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CF51" w14:textId="77777777" w:rsidR="004401F0" w:rsidRPr="00DA7718" w:rsidRDefault="004401F0" w:rsidP="00BD4C7C">
      <w:pPr>
        <w:pStyle w:val="a3"/>
        <w:adjustRightInd w:val="0"/>
        <w:snapToGrid w:val="0"/>
        <w:rPr>
          <w:sz w:val="20"/>
          <w:lang w:val="fr-FR"/>
        </w:rPr>
      </w:pPr>
    </w:p>
    <w:p w14:paraId="563306C1" w14:textId="77777777" w:rsidR="004401F0" w:rsidRPr="00DA7718" w:rsidRDefault="004401F0" w:rsidP="00BD4C7C">
      <w:pPr>
        <w:pStyle w:val="a3"/>
        <w:adjustRightInd w:val="0"/>
        <w:snapToGrid w:val="0"/>
        <w:rPr>
          <w:sz w:val="20"/>
          <w:lang w:val="fr-FR"/>
        </w:rPr>
      </w:pPr>
    </w:p>
    <w:p w14:paraId="7E96FA05" w14:textId="77777777" w:rsidR="004401F0" w:rsidRPr="00DA7718" w:rsidRDefault="004401F0" w:rsidP="00BD4C7C">
      <w:pPr>
        <w:pStyle w:val="a3"/>
        <w:adjustRightInd w:val="0"/>
        <w:snapToGrid w:val="0"/>
        <w:rPr>
          <w:sz w:val="20"/>
          <w:lang w:val="fr-FR"/>
        </w:rPr>
      </w:pPr>
    </w:p>
    <w:p w14:paraId="01028A4E" w14:textId="77777777" w:rsidR="004401F0" w:rsidRPr="00DA7718" w:rsidRDefault="004401F0" w:rsidP="00BD4C7C">
      <w:pPr>
        <w:pStyle w:val="a3"/>
        <w:adjustRightInd w:val="0"/>
        <w:snapToGrid w:val="0"/>
        <w:rPr>
          <w:sz w:val="20"/>
          <w:lang w:val="fr-FR"/>
        </w:rPr>
      </w:pPr>
    </w:p>
    <w:p w14:paraId="598088CF" w14:textId="77777777" w:rsidR="004401F0" w:rsidRPr="00DA7718" w:rsidRDefault="004401F0" w:rsidP="00BD4C7C">
      <w:pPr>
        <w:pStyle w:val="a3"/>
        <w:adjustRightInd w:val="0"/>
        <w:snapToGrid w:val="0"/>
        <w:rPr>
          <w:sz w:val="20"/>
          <w:lang w:val="fr-FR"/>
        </w:rPr>
      </w:pPr>
    </w:p>
    <w:p w14:paraId="330D4910" w14:textId="77777777" w:rsidR="004401F0" w:rsidRPr="00DA7718" w:rsidRDefault="004401F0" w:rsidP="00BD4C7C">
      <w:pPr>
        <w:pStyle w:val="a3"/>
        <w:adjustRightInd w:val="0"/>
        <w:snapToGrid w:val="0"/>
        <w:rPr>
          <w:sz w:val="20"/>
          <w:lang w:val="fr-FR"/>
        </w:rPr>
      </w:pPr>
    </w:p>
    <w:p w14:paraId="1FB8C447" w14:textId="77777777" w:rsidR="004401F0" w:rsidRPr="00DA7718" w:rsidRDefault="004401F0" w:rsidP="00BD4C7C">
      <w:pPr>
        <w:pStyle w:val="a3"/>
        <w:adjustRightInd w:val="0"/>
        <w:snapToGrid w:val="0"/>
        <w:rPr>
          <w:sz w:val="20"/>
          <w:lang w:val="fr-FR"/>
        </w:rPr>
      </w:pPr>
    </w:p>
    <w:p w14:paraId="0E4EACFD" w14:textId="77777777" w:rsidR="004401F0" w:rsidRPr="00DA7718" w:rsidRDefault="004401F0" w:rsidP="00BD4C7C">
      <w:pPr>
        <w:pStyle w:val="a3"/>
        <w:adjustRightInd w:val="0"/>
        <w:snapToGrid w:val="0"/>
        <w:rPr>
          <w:sz w:val="20"/>
          <w:lang w:val="fr-FR"/>
        </w:rPr>
      </w:pPr>
    </w:p>
    <w:p w14:paraId="7B4F2D8A" w14:textId="77777777" w:rsidR="004401F0" w:rsidRPr="00DA7718" w:rsidRDefault="004401F0" w:rsidP="00BD4C7C">
      <w:pPr>
        <w:pStyle w:val="a3"/>
        <w:adjustRightInd w:val="0"/>
        <w:snapToGrid w:val="0"/>
        <w:rPr>
          <w:sz w:val="20"/>
          <w:lang w:val="fr-FR"/>
        </w:rPr>
      </w:pPr>
    </w:p>
    <w:p w14:paraId="2792F9DA" w14:textId="77777777" w:rsidR="004401F0" w:rsidRPr="00DA7718" w:rsidRDefault="004401F0" w:rsidP="00BD4C7C">
      <w:pPr>
        <w:pStyle w:val="a3"/>
        <w:adjustRightInd w:val="0"/>
        <w:snapToGrid w:val="0"/>
        <w:rPr>
          <w:sz w:val="20"/>
          <w:lang w:val="fr-FR"/>
        </w:rPr>
      </w:pPr>
    </w:p>
    <w:p w14:paraId="4C87D744" w14:textId="77777777" w:rsidR="004401F0" w:rsidRPr="00DA7718" w:rsidRDefault="004401F0" w:rsidP="00BD4C7C">
      <w:pPr>
        <w:pStyle w:val="a3"/>
        <w:adjustRightInd w:val="0"/>
        <w:snapToGrid w:val="0"/>
        <w:rPr>
          <w:sz w:val="20"/>
          <w:lang w:val="fr-FR"/>
        </w:rPr>
      </w:pPr>
    </w:p>
    <w:p w14:paraId="125A38F4" w14:textId="77777777" w:rsidR="004401F0" w:rsidRPr="00DA7718" w:rsidRDefault="004401F0" w:rsidP="00BD4C7C">
      <w:pPr>
        <w:pStyle w:val="a3"/>
        <w:adjustRightInd w:val="0"/>
        <w:snapToGrid w:val="0"/>
        <w:rPr>
          <w:sz w:val="20"/>
          <w:lang w:val="fr-FR"/>
        </w:rPr>
      </w:pPr>
    </w:p>
    <w:p w14:paraId="2A4795AD" w14:textId="77777777" w:rsidR="004401F0" w:rsidRPr="00DA7718" w:rsidRDefault="004401F0" w:rsidP="00BD4C7C">
      <w:pPr>
        <w:pStyle w:val="a3"/>
        <w:adjustRightInd w:val="0"/>
        <w:snapToGrid w:val="0"/>
        <w:rPr>
          <w:sz w:val="20"/>
          <w:lang w:val="fr-FR"/>
        </w:rPr>
      </w:pPr>
    </w:p>
    <w:p w14:paraId="1745C7B2" w14:textId="77777777" w:rsidR="004401F0" w:rsidRPr="00DA7718" w:rsidRDefault="004401F0" w:rsidP="00BD4C7C">
      <w:pPr>
        <w:pStyle w:val="a3"/>
        <w:adjustRightInd w:val="0"/>
        <w:snapToGrid w:val="0"/>
        <w:rPr>
          <w:sz w:val="20"/>
          <w:lang w:val="fr-FR"/>
        </w:rPr>
      </w:pPr>
    </w:p>
    <w:p w14:paraId="6B0AB3D4" w14:textId="77777777" w:rsidR="004401F0" w:rsidRPr="00DA7718" w:rsidRDefault="004401F0" w:rsidP="00BD4C7C">
      <w:pPr>
        <w:pStyle w:val="a3"/>
        <w:adjustRightInd w:val="0"/>
        <w:snapToGrid w:val="0"/>
        <w:rPr>
          <w:sz w:val="20"/>
          <w:lang w:val="fr-FR"/>
        </w:rPr>
      </w:pPr>
    </w:p>
    <w:p w14:paraId="14A1C6C0" w14:textId="77777777" w:rsidR="004401F0" w:rsidRPr="00DA7718" w:rsidRDefault="004401F0" w:rsidP="00BD4C7C">
      <w:pPr>
        <w:pStyle w:val="a3"/>
        <w:adjustRightInd w:val="0"/>
        <w:snapToGrid w:val="0"/>
        <w:rPr>
          <w:sz w:val="20"/>
          <w:lang w:val="fr-FR"/>
        </w:rPr>
      </w:pPr>
    </w:p>
    <w:p w14:paraId="1D527B9C" w14:textId="77777777" w:rsidR="004401F0" w:rsidRPr="00DA7718" w:rsidRDefault="004401F0" w:rsidP="00BD4C7C">
      <w:pPr>
        <w:pStyle w:val="a3"/>
        <w:adjustRightInd w:val="0"/>
        <w:snapToGrid w:val="0"/>
        <w:rPr>
          <w:sz w:val="20"/>
          <w:lang w:val="fr-FR"/>
        </w:rPr>
      </w:pPr>
    </w:p>
    <w:p w14:paraId="005CCA92" w14:textId="77777777" w:rsidR="004401F0" w:rsidRPr="00DA7718" w:rsidRDefault="004401F0" w:rsidP="00BD4C7C">
      <w:pPr>
        <w:pStyle w:val="a3"/>
        <w:adjustRightInd w:val="0"/>
        <w:snapToGrid w:val="0"/>
        <w:rPr>
          <w:sz w:val="20"/>
          <w:lang w:val="fr-FR"/>
        </w:rPr>
      </w:pPr>
    </w:p>
    <w:p w14:paraId="02D3EDAD" w14:textId="77777777" w:rsidR="004401F0" w:rsidRPr="00DA7718" w:rsidRDefault="004401F0" w:rsidP="00BD4C7C">
      <w:pPr>
        <w:pStyle w:val="a3"/>
        <w:adjustRightInd w:val="0"/>
        <w:snapToGrid w:val="0"/>
        <w:rPr>
          <w:sz w:val="20"/>
          <w:lang w:val="fr-FR"/>
        </w:rPr>
      </w:pPr>
    </w:p>
    <w:p w14:paraId="1751C6E4" w14:textId="77777777" w:rsidR="004401F0" w:rsidRPr="00DA7718" w:rsidRDefault="004401F0" w:rsidP="00BD4C7C">
      <w:pPr>
        <w:pStyle w:val="a3"/>
        <w:adjustRightInd w:val="0"/>
        <w:snapToGrid w:val="0"/>
        <w:rPr>
          <w:sz w:val="20"/>
          <w:lang w:val="fr-FR"/>
        </w:rPr>
      </w:pPr>
    </w:p>
    <w:p w14:paraId="3747CDCB" w14:textId="77777777" w:rsidR="004401F0" w:rsidRPr="00DA7718" w:rsidRDefault="004401F0" w:rsidP="00BD4C7C">
      <w:pPr>
        <w:pStyle w:val="a3"/>
        <w:adjustRightInd w:val="0"/>
        <w:snapToGrid w:val="0"/>
        <w:rPr>
          <w:sz w:val="20"/>
          <w:lang w:val="fr-FR"/>
        </w:rPr>
      </w:pPr>
    </w:p>
    <w:p w14:paraId="58AEA871" w14:textId="77777777" w:rsidR="004401F0" w:rsidRPr="00DA7718" w:rsidRDefault="004401F0" w:rsidP="00BD4C7C">
      <w:pPr>
        <w:pStyle w:val="a3"/>
        <w:adjustRightInd w:val="0"/>
        <w:snapToGrid w:val="0"/>
        <w:rPr>
          <w:sz w:val="20"/>
          <w:lang w:val="fr-FR"/>
        </w:rPr>
      </w:pPr>
    </w:p>
    <w:p w14:paraId="3F80E858" w14:textId="77777777" w:rsidR="004401F0" w:rsidRPr="00DA7718" w:rsidRDefault="004401F0" w:rsidP="00BD4C7C">
      <w:pPr>
        <w:pStyle w:val="a3"/>
        <w:adjustRightInd w:val="0"/>
        <w:snapToGrid w:val="0"/>
        <w:rPr>
          <w:sz w:val="17"/>
          <w:lang w:val="fr-FR"/>
        </w:rPr>
      </w:pPr>
    </w:p>
    <w:p w14:paraId="4F5E4405" w14:textId="77777777" w:rsidR="004401F0" w:rsidRPr="00DA7718" w:rsidRDefault="00DF3C4F" w:rsidP="00BD4C7C">
      <w:pPr>
        <w:adjustRightInd w:val="0"/>
        <w:snapToGrid w:val="0"/>
        <w:jc w:val="center"/>
        <w:rPr>
          <w:b/>
          <w:lang w:val="fr-FR"/>
        </w:rPr>
      </w:pPr>
      <w:r w:rsidRPr="00DA7718">
        <w:rPr>
          <w:b/>
          <w:lang w:val="fr-FR"/>
        </w:rPr>
        <w:t>ANNEXE I</w:t>
      </w:r>
    </w:p>
    <w:p w14:paraId="6E645BAA" w14:textId="77777777" w:rsidR="004401F0" w:rsidRPr="00DA7718" w:rsidRDefault="004401F0" w:rsidP="00BD4C7C">
      <w:pPr>
        <w:pStyle w:val="a3"/>
        <w:adjustRightInd w:val="0"/>
        <w:snapToGrid w:val="0"/>
        <w:rPr>
          <w:b/>
          <w:lang w:val="fr-FR"/>
        </w:rPr>
      </w:pPr>
    </w:p>
    <w:p w14:paraId="1B1D7F86" w14:textId="77777777" w:rsidR="004401F0" w:rsidRPr="00DA7718" w:rsidRDefault="00DF3C4F" w:rsidP="00C540A3">
      <w:pPr>
        <w:pStyle w:val="TitleA"/>
        <w:outlineLvl w:val="0"/>
        <w:rPr>
          <w:lang w:val="fr-FR"/>
        </w:rPr>
      </w:pPr>
      <w:bookmarkStart w:id="0" w:name="RESUME_DES_CARACTERISTIQUES_DU_PRODUIT"/>
      <w:bookmarkEnd w:id="0"/>
      <w:r w:rsidRPr="00DA7718">
        <w:rPr>
          <w:lang w:val="fr-FR"/>
        </w:rPr>
        <w:t>RESUME DES CARACTERISTIQUES DU PRODUIT</w:t>
      </w:r>
    </w:p>
    <w:p w14:paraId="55B1E768" w14:textId="77777777" w:rsidR="00BD4C7C" w:rsidRPr="00DA7718" w:rsidRDefault="00BD4C7C" w:rsidP="00BD4C7C">
      <w:pPr>
        <w:adjustRightInd w:val="0"/>
        <w:snapToGrid w:val="0"/>
        <w:jc w:val="center"/>
        <w:rPr>
          <w:lang w:val="fr-FR"/>
        </w:rPr>
      </w:pPr>
    </w:p>
    <w:p w14:paraId="250775AC" w14:textId="198FB43F" w:rsidR="00BD4C7C" w:rsidRPr="000C517C" w:rsidRDefault="00BD4C7C">
      <w:pPr>
        <w:rPr>
          <w:lang w:val="fr-FR"/>
        </w:rPr>
      </w:pPr>
      <w:r w:rsidRPr="00DA7718">
        <w:rPr>
          <w:b/>
          <w:bCs/>
          <w:lang w:val="fr-FR"/>
        </w:rPr>
        <w:br w:type="page"/>
      </w:r>
      <w:r w:rsidR="005F1AD1">
        <w:rPr>
          <w:noProof/>
          <w:lang w:val="fr-FR" w:eastAsia="fr-FR"/>
        </w:rPr>
        <w:lastRenderedPageBreak/>
        <w:drawing>
          <wp:inline distT="0" distB="0" distL="0" distR="0" wp14:anchorId="4B39F2AA" wp14:editId="2EDE19C7">
            <wp:extent cx="217170" cy="163195"/>
            <wp:effectExtent l="0" t="0" r="0" b="0"/>
            <wp:docPr id="2" name="Imag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 cy="163195"/>
                    </a:xfrm>
                    <a:prstGeom prst="rect">
                      <a:avLst/>
                    </a:prstGeom>
                    <a:noFill/>
                    <a:ln>
                      <a:noFill/>
                    </a:ln>
                  </pic:spPr>
                </pic:pic>
              </a:graphicData>
            </a:graphic>
          </wp:inline>
        </w:drawing>
      </w:r>
      <w:r w:rsidR="0080289B" w:rsidRPr="000C517C">
        <w:rPr>
          <w:lang w:val="fr-FR"/>
        </w:rPr>
        <w:t>Ce médicament fait l’objet d</w:t>
      </w:r>
      <w:r w:rsidR="00671EBF" w:rsidRPr="000C517C">
        <w:rPr>
          <w:lang w:val="fr-FR"/>
        </w:rPr>
        <w:t>’</w:t>
      </w:r>
      <w:r w:rsidR="0080289B" w:rsidRPr="000C517C">
        <w:rPr>
          <w:lang w:val="fr-FR"/>
        </w:rPr>
        <w:t>une surveillance supplémentaire qui permettra l'identification rapide de nouvelles informations relatives à la sécurité. Les professionnels de la santé déclarent tout effet indésirable suspecté. Voir rubrique</w:t>
      </w:r>
      <w:r w:rsidR="00671EBF" w:rsidRPr="000C517C">
        <w:rPr>
          <w:lang w:val="fr-FR"/>
        </w:rPr>
        <w:t> </w:t>
      </w:r>
      <w:r w:rsidR="0080289B" w:rsidRPr="000C517C">
        <w:rPr>
          <w:lang w:val="fr-FR"/>
        </w:rPr>
        <w:t>4.8 pour les modalités de déclaration des effets indésirables.</w:t>
      </w:r>
    </w:p>
    <w:p w14:paraId="2A3A08C0" w14:textId="77777777" w:rsidR="0080289B" w:rsidRPr="00F05208" w:rsidRDefault="0080289B">
      <w:pPr>
        <w:rPr>
          <w:b/>
          <w:bCs/>
          <w:lang w:val="fr-FR"/>
        </w:rPr>
      </w:pPr>
    </w:p>
    <w:p w14:paraId="0F6E693F" w14:textId="77777777" w:rsidR="0080289B" w:rsidRPr="00DA7718" w:rsidRDefault="0080289B">
      <w:pPr>
        <w:rPr>
          <w:b/>
          <w:bCs/>
          <w:lang w:val="fr-FR"/>
        </w:rPr>
      </w:pPr>
    </w:p>
    <w:p w14:paraId="19C851E8" w14:textId="77777777" w:rsidR="004401F0" w:rsidRPr="00DA7718" w:rsidRDefault="00BD4C7C" w:rsidP="00C540A3">
      <w:pPr>
        <w:pStyle w:val="1"/>
        <w:adjustRightInd w:val="0"/>
        <w:snapToGrid w:val="0"/>
        <w:spacing w:before="0"/>
        <w:ind w:left="0"/>
        <w:rPr>
          <w:b w:val="0"/>
          <w:lang w:val="fr-FR"/>
        </w:rPr>
      </w:pPr>
      <w:r w:rsidRPr="00DA7718">
        <w:rPr>
          <w:lang w:val="fr-FR"/>
        </w:rPr>
        <w:t>1.</w:t>
      </w:r>
      <w:r w:rsidRPr="00DA7718">
        <w:rPr>
          <w:lang w:val="fr-FR"/>
        </w:rPr>
        <w:tab/>
      </w:r>
      <w:r w:rsidR="00DF3C4F" w:rsidRPr="00DA7718">
        <w:rPr>
          <w:lang w:val="fr-FR"/>
        </w:rPr>
        <w:t>DENOMINATION DU MEDICAMENT</w:t>
      </w:r>
    </w:p>
    <w:p w14:paraId="34FAF7B7" w14:textId="77777777" w:rsidR="004401F0" w:rsidRPr="007C119A" w:rsidRDefault="004401F0" w:rsidP="00BD4C7C">
      <w:pPr>
        <w:pStyle w:val="a3"/>
        <w:adjustRightInd w:val="0"/>
        <w:snapToGrid w:val="0"/>
        <w:rPr>
          <w:b/>
          <w:lang w:val="fr-FR"/>
        </w:rPr>
      </w:pPr>
    </w:p>
    <w:p w14:paraId="1AFDF76E" w14:textId="7907EC83" w:rsidR="004401F0" w:rsidRPr="001923DB" w:rsidRDefault="00F05208" w:rsidP="00BD4C7C">
      <w:pPr>
        <w:pStyle w:val="a3"/>
        <w:adjustRightInd w:val="0"/>
        <w:snapToGrid w:val="0"/>
        <w:rPr>
          <w:rFonts w:eastAsia="맑은 고딕"/>
          <w:lang w:val="fr-FR" w:eastAsia="ko-KR"/>
        </w:rPr>
      </w:pPr>
      <w:r>
        <w:rPr>
          <w:lang w:val="fr-FR"/>
        </w:rPr>
        <w:t>Vegzelma</w:t>
      </w:r>
      <w:r w:rsidR="00DF3C4F" w:rsidRPr="00DA7718">
        <w:rPr>
          <w:lang w:val="fr-FR"/>
        </w:rPr>
        <w:t xml:space="preserve"> 25</w:t>
      </w:r>
      <w:r w:rsidR="00DA7718" w:rsidRPr="00DA7718">
        <w:rPr>
          <w:lang w:val="fr-FR"/>
        </w:rPr>
        <w:t> mg</w:t>
      </w:r>
      <w:r w:rsidR="00DF3C4F" w:rsidRPr="00DA7718">
        <w:rPr>
          <w:lang w:val="fr-FR"/>
        </w:rPr>
        <w:t>/ml solution à diluer pour perfusion</w:t>
      </w:r>
      <w:r w:rsidR="001923DB">
        <w:rPr>
          <w:rFonts w:eastAsia="맑은 고딕" w:hint="eastAsia"/>
          <w:lang w:val="fr-FR" w:eastAsia="ko-KR"/>
        </w:rPr>
        <w:t>.</w:t>
      </w:r>
    </w:p>
    <w:p w14:paraId="1C0A0989" w14:textId="77777777" w:rsidR="004401F0" w:rsidRPr="001923DB" w:rsidRDefault="004401F0" w:rsidP="00BD4C7C">
      <w:pPr>
        <w:pStyle w:val="a3"/>
        <w:adjustRightInd w:val="0"/>
        <w:snapToGrid w:val="0"/>
        <w:rPr>
          <w:rFonts w:eastAsia="맑은 고딕"/>
          <w:lang w:val="fr-FR" w:eastAsia="ko-KR"/>
        </w:rPr>
      </w:pPr>
    </w:p>
    <w:p w14:paraId="481C86B0" w14:textId="77777777" w:rsidR="004401F0" w:rsidRPr="00DA7718" w:rsidRDefault="004401F0" w:rsidP="00BD4C7C">
      <w:pPr>
        <w:pStyle w:val="a3"/>
        <w:adjustRightInd w:val="0"/>
        <w:snapToGrid w:val="0"/>
        <w:rPr>
          <w:sz w:val="20"/>
          <w:lang w:val="fr-FR"/>
        </w:rPr>
      </w:pPr>
    </w:p>
    <w:p w14:paraId="0967F771" w14:textId="77777777" w:rsidR="004401F0" w:rsidRPr="00DA7718" w:rsidRDefault="00BD4C7C" w:rsidP="00BD4C7C">
      <w:pPr>
        <w:pStyle w:val="1"/>
        <w:adjustRightInd w:val="0"/>
        <w:snapToGrid w:val="0"/>
        <w:spacing w:before="0"/>
        <w:ind w:left="0"/>
        <w:rPr>
          <w:lang w:val="fr-FR"/>
        </w:rPr>
      </w:pPr>
      <w:r w:rsidRPr="00DA7718">
        <w:rPr>
          <w:lang w:val="fr-FR"/>
        </w:rPr>
        <w:t>2.</w:t>
      </w:r>
      <w:r w:rsidRPr="00DA7718">
        <w:rPr>
          <w:lang w:val="fr-FR"/>
        </w:rPr>
        <w:tab/>
      </w:r>
      <w:r w:rsidR="00DF3C4F" w:rsidRPr="00DA7718">
        <w:rPr>
          <w:lang w:val="fr-FR"/>
        </w:rPr>
        <w:t>COMPOSITION QUALITATIVE ET QUANTITATIVE</w:t>
      </w:r>
    </w:p>
    <w:p w14:paraId="748C53EF" w14:textId="77777777" w:rsidR="004401F0" w:rsidRPr="007C119A" w:rsidRDefault="004401F0" w:rsidP="00BD4C7C">
      <w:pPr>
        <w:pStyle w:val="a3"/>
        <w:adjustRightInd w:val="0"/>
        <w:snapToGrid w:val="0"/>
        <w:rPr>
          <w:b/>
          <w:lang w:val="fr-FR"/>
        </w:rPr>
      </w:pPr>
    </w:p>
    <w:p w14:paraId="467CE645" w14:textId="77777777" w:rsidR="003F4D24" w:rsidRDefault="00DF3C4F" w:rsidP="00BD4C7C">
      <w:pPr>
        <w:pStyle w:val="a3"/>
        <w:adjustRightInd w:val="0"/>
        <w:snapToGrid w:val="0"/>
        <w:rPr>
          <w:lang w:val="fr-FR"/>
        </w:rPr>
      </w:pPr>
      <w:r w:rsidRPr="00DA7718">
        <w:rPr>
          <w:lang w:val="fr-FR"/>
        </w:rPr>
        <w:t>Chaque</w:t>
      </w:r>
      <w:r w:rsidR="00DA7718" w:rsidRPr="00DA7718">
        <w:rPr>
          <w:lang w:val="fr-FR"/>
        </w:rPr>
        <w:t> ml</w:t>
      </w:r>
      <w:r w:rsidRPr="00DA7718">
        <w:rPr>
          <w:lang w:val="fr-FR"/>
        </w:rPr>
        <w:t xml:space="preserve"> de solution à diluer contient 25</w:t>
      </w:r>
      <w:r w:rsidR="00DA7718" w:rsidRPr="00DA7718">
        <w:rPr>
          <w:lang w:val="fr-FR"/>
        </w:rPr>
        <w:t> mg</w:t>
      </w:r>
      <w:r w:rsidRPr="00DA7718">
        <w:rPr>
          <w:lang w:val="fr-FR"/>
        </w:rPr>
        <w:t xml:space="preserve"> de bevacizumab*. </w:t>
      </w:r>
    </w:p>
    <w:p w14:paraId="409AB504" w14:textId="77777777" w:rsidR="004401F0" w:rsidRPr="00DA7718" w:rsidRDefault="00DF3C4F" w:rsidP="00BD4C7C">
      <w:pPr>
        <w:pStyle w:val="a3"/>
        <w:adjustRightInd w:val="0"/>
        <w:snapToGrid w:val="0"/>
        <w:rPr>
          <w:lang w:val="fr-FR"/>
        </w:rPr>
      </w:pPr>
      <w:r w:rsidRPr="00DA7718">
        <w:rPr>
          <w:lang w:val="fr-FR"/>
        </w:rPr>
        <w:t>Chaque flacon 4</w:t>
      </w:r>
      <w:r w:rsidR="00DA7718" w:rsidRPr="00DA7718">
        <w:rPr>
          <w:lang w:val="fr-FR"/>
        </w:rPr>
        <w:t> ml</w:t>
      </w:r>
      <w:r w:rsidRPr="00DA7718">
        <w:rPr>
          <w:lang w:val="fr-FR"/>
        </w:rPr>
        <w:t xml:space="preserve"> contient 100</w:t>
      </w:r>
      <w:r w:rsidR="00DA7718" w:rsidRPr="00DA7718">
        <w:rPr>
          <w:lang w:val="fr-FR"/>
        </w:rPr>
        <w:t> mg</w:t>
      </w:r>
      <w:r w:rsidRPr="00DA7718">
        <w:rPr>
          <w:lang w:val="fr-FR"/>
        </w:rPr>
        <w:t xml:space="preserve"> de bevacizumab.</w:t>
      </w:r>
    </w:p>
    <w:p w14:paraId="0A1F2D07" w14:textId="77777777" w:rsidR="004401F0" w:rsidRPr="00DA7718" w:rsidRDefault="00DF3C4F" w:rsidP="00BD4C7C">
      <w:pPr>
        <w:pStyle w:val="a3"/>
        <w:adjustRightInd w:val="0"/>
        <w:snapToGrid w:val="0"/>
        <w:rPr>
          <w:lang w:val="fr-FR"/>
        </w:rPr>
      </w:pPr>
      <w:r w:rsidRPr="00DA7718">
        <w:rPr>
          <w:lang w:val="fr-FR"/>
        </w:rPr>
        <w:t>Chaque flacon 16</w:t>
      </w:r>
      <w:r w:rsidR="00DA7718" w:rsidRPr="00DA7718">
        <w:rPr>
          <w:lang w:val="fr-FR"/>
        </w:rPr>
        <w:t> ml</w:t>
      </w:r>
      <w:r w:rsidRPr="00DA7718">
        <w:rPr>
          <w:lang w:val="fr-FR"/>
        </w:rPr>
        <w:t xml:space="preserve"> contient 400</w:t>
      </w:r>
      <w:r w:rsidR="00DA7718" w:rsidRPr="00DA7718">
        <w:rPr>
          <w:lang w:val="fr-FR"/>
        </w:rPr>
        <w:t> mg</w:t>
      </w:r>
      <w:r w:rsidRPr="00DA7718">
        <w:rPr>
          <w:lang w:val="fr-FR"/>
        </w:rPr>
        <w:t xml:space="preserve"> de bevacizumab.</w:t>
      </w:r>
    </w:p>
    <w:p w14:paraId="690F1F76" w14:textId="77777777" w:rsidR="004401F0" w:rsidRPr="00DA7718" w:rsidRDefault="00DF3C4F" w:rsidP="00BD4C7C">
      <w:pPr>
        <w:pStyle w:val="a3"/>
        <w:adjustRightInd w:val="0"/>
        <w:snapToGrid w:val="0"/>
        <w:rPr>
          <w:lang w:val="fr-FR"/>
        </w:rPr>
      </w:pPr>
      <w:r w:rsidRPr="00DA7718">
        <w:rPr>
          <w:lang w:val="fr-FR"/>
        </w:rPr>
        <w:t>Pour la dilution et autres recommandations de manipulation, voir rubrique 6.6.</w:t>
      </w:r>
    </w:p>
    <w:p w14:paraId="0436DB5F" w14:textId="77777777" w:rsidR="004401F0" w:rsidRPr="007C119A" w:rsidRDefault="004401F0" w:rsidP="00BD4C7C">
      <w:pPr>
        <w:pStyle w:val="a3"/>
        <w:adjustRightInd w:val="0"/>
        <w:snapToGrid w:val="0"/>
        <w:rPr>
          <w:lang w:val="fr-FR"/>
        </w:rPr>
      </w:pPr>
    </w:p>
    <w:p w14:paraId="478A7566" w14:textId="77777777" w:rsidR="004401F0" w:rsidRPr="00DA7718" w:rsidRDefault="00DF3C4F" w:rsidP="00BD4C7C">
      <w:pPr>
        <w:pStyle w:val="a3"/>
        <w:adjustRightInd w:val="0"/>
        <w:snapToGrid w:val="0"/>
        <w:rPr>
          <w:lang w:val="fr-FR"/>
        </w:rPr>
      </w:pPr>
      <w:r w:rsidRPr="00DA7718">
        <w:rPr>
          <w:lang w:val="fr-FR"/>
        </w:rPr>
        <w:t>*Bevacizumab est un anticorps monoclonal humanisé recombinant produit par la technologie de l’ADN recombinant dans des cellules d’ovaire de Hamster Chinois.</w:t>
      </w:r>
    </w:p>
    <w:p w14:paraId="25C69223" w14:textId="77777777" w:rsidR="004401F0" w:rsidRPr="00DA7718" w:rsidRDefault="004401F0" w:rsidP="00BD4C7C">
      <w:pPr>
        <w:pStyle w:val="a3"/>
        <w:adjustRightInd w:val="0"/>
        <w:snapToGrid w:val="0"/>
        <w:rPr>
          <w:lang w:val="fr-FR"/>
        </w:rPr>
      </w:pPr>
    </w:p>
    <w:p w14:paraId="7EB1E93D" w14:textId="213E17CA" w:rsidR="004038B4" w:rsidRPr="00850855" w:rsidRDefault="004038B4" w:rsidP="004038B4">
      <w:pPr>
        <w:widowControl/>
        <w:adjustRightInd w:val="0"/>
        <w:snapToGrid w:val="0"/>
        <w:rPr>
          <w:u w:val="single"/>
          <w:lang w:val="fr-CA" w:eastAsia="ko-KR"/>
        </w:rPr>
      </w:pPr>
      <w:r w:rsidRPr="00850855">
        <w:rPr>
          <w:u w:val="single"/>
          <w:lang w:val="fr-CA" w:eastAsia="ko-KR"/>
        </w:rPr>
        <w:t>Excipient à effet notoire</w:t>
      </w:r>
    </w:p>
    <w:p w14:paraId="2D6862E5" w14:textId="51EC8E92" w:rsidR="00B46F32" w:rsidRPr="00DA7718" w:rsidRDefault="00B46F32" w:rsidP="00B46F32">
      <w:pPr>
        <w:pStyle w:val="a3"/>
        <w:adjustRightInd w:val="0"/>
        <w:snapToGrid w:val="0"/>
        <w:rPr>
          <w:lang w:val="fr-FR"/>
        </w:rPr>
      </w:pPr>
      <w:r w:rsidRPr="00DA7718">
        <w:rPr>
          <w:lang w:val="fr-FR"/>
        </w:rPr>
        <w:t xml:space="preserve">Chaque flacon 4 ml contient </w:t>
      </w:r>
      <w:r>
        <w:rPr>
          <w:rFonts w:eastAsia="맑은 고딕" w:hint="eastAsia"/>
          <w:lang w:val="fr-FR" w:eastAsia="ko-KR"/>
        </w:rPr>
        <w:t>1,6</w:t>
      </w:r>
      <w:r w:rsidRPr="00DA7718">
        <w:rPr>
          <w:lang w:val="fr-FR"/>
        </w:rPr>
        <w:t xml:space="preserve"> mg de </w:t>
      </w:r>
      <w:r>
        <w:rPr>
          <w:rFonts w:eastAsia="맑은 고딕" w:hint="eastAsia"/>
          <w:lang w:val="fr-FR" w:eastAsia="ko-KR"/>
        </w:rPr>
        <w:t>polysorbate 20</w:t>
      </w:r>
      <w:r w:rsidRPr="00DA7718">
        <w:rPr>
          <w:lang w:val="fr-FR"/>
        </w:rPr>
        <w:t>.</w:t>
      </w:r>
    </w:p>
    <w:p w14:paraId="516CB5F2" w14:textId="474870AF" w:rsidR="00B46F32" w:rsidRPr="00DA7718" w:rsidRDefault="00B46F32" w:rsidP="00B46F32">
      <w:pPr>
        <w:pStyle w:val="a3"/>
        <w:adjustRightInd w:val="0"/>
        <w:snapToGrid w:val="0"/>
        <w:rPr>
          <w:lang w:val="fr-FR"/>
        </w:rPr>
      </w:pPr>
      <w:r w:rsidRPr="00DA7718">
        <w:rPr>
          <w:lang w:val="fr-FR"/>
        </w:rPr>
        <w:t xml:space="preserve">Chaque flacon </w:t>
      </w:r>
      <w:r>
        <w:rPr>
          <w:rFonts w:eastAsia="맑은 고딕" w:hint="eastAsia"/>
          <w:lang w:val="fr-FR" w:eastAsia="ko-KR"/>
        </w:rPr>
        <w:t>16</w:t>
      </w:r>
      <w:r w:rsidRPr="00DA7718">
        <w:rPr>
          <w:lang w:val="fr-FR"/>
        </w:rPr>
        <w:t xml:space="preserve"> ml contient </w:t>
      </w:r>
      <w:r>
        <w:rPr>
          <w:rFonts w:eastAsia="맑은 고딕" w:hint="eastAsia"/>
          <w:lang w:val="fr-FR" w:eastAsia="ko-KR"/>
        </w:rPr>
        <w:t>6,4</w:t>
      </w:r>
      <w:r w:rsidRPr="00DA7718">
        <w:rPr>
          <w:lang w:val="fr-FR"/>
        </w:rPr>
        <w:t xml:space="preserve"> mg de </w:t>
      </w:r>
      <w:r>
        <w:rPr>
          <w:rFonts w:eastAsia="맑은 고딕" w:hint="eastAsia"/>
          <w:lang w:val="fr-FR" w:eastAsia="ko-KR"/>
        </w:rPr>
        <w:t>polysorbate 20</w:t>
      </w:r>
      <w:r w:rsidRPr="00DA7718">
        <w:rPr>
          <w:lang w:val="fr-FR"/>
        </w:rPr>
        <w:t>.</w:t>
      </w:r>
    </w:p>
    <w:p w14:paraId="37FF0CF3" w14:textId="77777777" w:rsidR="004038B4" w:rsidRDefault="004038B4" w:rsidP="00BD4C7C">
      <w:pPr>
        <w:pStyle w:val="a3"/>
        <w:adjustRightInd w:val="0"/>
        <w:snapToGrid w:val="0"/>
        <w:rPr>
          <w:rFonts w:eastAsia="맑은 고딕"/>
          <w:lang w:val="fr-FR" w:eastAsia="ko-KR"/>
        </w:rPr>
      </w:pPr>
    </w:p>
    <w:p w14:paraId="4DE11883" w14:textId="2D97EA2A" w:rsidR="004401F0" w:rsidRPr="00DA7718" w:rsidRDefault="00DF3C4F" w:rsidP="00BD4C7C">
      <w:pPr>
        <w:pStyle w:val="a3"/>
        <w:adjustRightInd w:val="0"/>
        <w:snapToGrid w:val="0"/>
        <w:rPr>
          <w:lang w:val="fr-FR"/>
        </w:rPr>
      </w:pPr>
      <w:r w:rsidRPr="00DA7718">
        <w:rPr>
          <w:lang w:val="fr-FR"/>
        </w:rPr>
        <w:t>Pour la liste complète des excipients, voir rubrique 6.1.</w:t>
      </w:r>
    </w:p>
    <w:p w14:paraId="4F764496" w14:textId="77777777" w:rsidR="004401F0" w:rsidRPr="00DB59CD" w:rsidRDefault="004401F0" w:rsidP="00BD4C7C">
      <w:pPr>
        <w:pStyle w:val="a3"/>
        <w:adjustRightInd w:val="0"/>
        <w:snapToGrid w:val="0"/>
        <w:rPr>
          <w:lang w:val="fr-FR"/>
        </w:rPr>
      </w:pPr>
    </w:p>
    <w:p w14:paraId="07321705" w14:textId="77777777" w:rsidR="004401F0" w:rsidRPr="00DA7718" w:rsidRDefault="004401F0" w:rsidP="00BD4C7C">
      <w:pPr>
        <w:pStyle w:val="a3"/>
        <w:adjustRightInd w:val="0"/>
        <w:snapToGrid w:val="0"/>
        <w:rPr>
          <w:sz w:val="20"/>
          <w:lang w:val="fr-FR"/>
        </w:rPr>
      </w:pPr>
    </w:p>
    <w:p w14:paraId="27A9DD34" w14:textId="77777777" w:rsidR="004401F0" w:rsidRPr="00DA7718" w:rsidRDefault="00BD4C7C" w:rsidP="00BD4C7C">
      <w:pPr>
        <w:pStyle w:val="1"/>
        <w:adjustRightInd w:val="0"/>
        <w:snapToGrid w:val="0"/>
        <w:spacing w:before="0"/>
        <w:ind w:left="0"/>
        <w:rPr>
          <w:lang w:val="fr-FR"/>
        </w:rPr>
      </w:pPr>
      <w:r w:rsidRPr="00DA7718">
        <w:rPr>
          <w:lang w:val="fr-FR"/>
        </w:rPr>
        <w:t>3.</w:t>
      </w:r>
      <w:r w:rsidRPr="00DA7718">
        <w:rPr>
          <w:lang w:val="fr-FR"/>
        </w:rPr>
        <w:tab/>
      </w:r>
      <w:r w:rsidR="00DF3C4F" w:rsidRPr="00DA7718">
        <w:rPr>
          <w:lang w:val="fr-FR"/>
        </w:rPr>
        <w:t>FORME PHARMACEUTIQUE</w:t>
      </w:r>
    </w:p>
    <w:p w14:paraId="3A97EB2F" w14:textId="77777777" w:rsidR="004401F0" w:rsidRPr="007C119A" w:rsidRDefault="004401F0" w:rsidP="00BD4C7C">
      <w:pPr>
        <w:pStyle w:val="a3"/>
        <w:adjustRightInd w:val="0"/>
        <w:snapToGrid w:val="0"/>
        <w:rPr>
          <w:b/>
          <w:lang w:val="fr-FR"/>
        </w:rPr>
      </w:pPr>
    </w:p>
    <w:p w14:paraId="71263500" w14:textId="77777777" w:rsidR="004401F0" w:rsidRPr="00DA7718" w:rsidRDefault="00DF3C4F" w:rsidP="00BD4C7C">
      <w:pPr>
        <w:pStyle w:val="a3"/>
        <w:adjustRightInd w:val="0"/>
        <w:snapToGrid w:val="0"/>
        <w:rPr>
          <w:lang w:val="fr-FR"/>
        </w:rPr>
      </w:pPr>
      <w:r w:rsidRPr="00DA7718">
        <w:rPr>
          <w:lang w:val="fr-FR"/>
        </w:rPr>
        <w:t>Solution à diluer pour perfusion.</w:t>
      </w:r>
    </w:p>
    <w:p w14:paraId="61CC336A" w14:textId="77777777" w:rsidR="004401F0" w:rsidRPr="007C119A" w:rsidRDefault="004401F0" w:rsidP="00BD4C7C">
      <w:pPr>
        <w:pStyle w:val="a3"/>
        <w:adjustRightInd w:val="0"/>
        <w:snapToGrid w:val="0"/>
        <w:rPr>
          <w:lang w:val="fr-FR"/>
        </w:rPr>
      </w:pPr>
    </w:p>
    <w:p w14:paraId="71DD516E" w14:textId="77777777" w:rsidR="004401F0" w:rsidRPr="00DA7718" w:rsidRDefault="00DF3C4F" w:rsidP="00BD4C7C">
      <w:pPr>
        <w:pStyle w:val="a3"/>
        <w:adjustRightInd w:val="0"/>
        <w:snapToGrid w:val="0"/>
        <w:rPr>
          <w:lang w:val="fr-FR"/>
        </w:rPr>
      </w:pPr>
      <w:r w:rsidRPr="00DA7718">
        <w:rPr>
          <w:lang w:val="fr-FR"/>
        </w:rPr>
        <w:t>Liquide limpide à légèrement opalescent, incolore à brun pâle.</w:t>
      </w:r>
    </w:p>
    <w:p w14:paraId="5289E6B1" w14:textId="77777777" w:rsidR="004401F0" w:rsidRPr="00DB59CD" w:rsidRDefault="004401F0" w:rsidP="00BD4C7C">
      <w:pPr>
        <w:pStyle w:val="a3"/>
        <w:adjustRightInd w:val="0"/>
        <w:snapToGrid w:val="0"/>
        <w:rPr>
          <w:lang w:val="fr-FR"/>
        </w:rPr>
      </w:pPr>
    </w:p>
    <w:p w14:paraId="0F63E65A" w14:textId="77777777" w:rsidR="004401F0" w:rsidRPr="00DA7718" w:rsidRDefault="004401F0" w:rsidP="00BD4C7C">
      <w:pPr>
        <w:pStyle w:val="a3"/>
        <w:adjustRightInd w:val="0"/>
        <w:snapToGrid w:val="0"/>
        <w:rPr>
          <w:sz w:val="20"/>
          <w:lang w:val="fr-FR"/>
        </w:rPr>
      </w:pPr>
    </w:p>
    <w:p w14:paraId="0688BA34" w14:textId="7CBAE9AC" w:rsidR="004401F0" w:rsidRPr="00DA7718" w:rsidRDefault="00BD4C7C" w:rsidP="00BD4C7C">
      <w:pPr>
        <w:pStyle w:val="1"/>
        <w:adjustRightInd w:val="0"/>
        <w:snapToGrid w:val="0"/>
        <w:spacing w:before="0"/>
        <w:ind w:left="0"/>
        <w:rPr>
          <w:lang w:val="fr-FR"/>
        </w:rPr>
      </w:pPr>
      <w:r w:rsidRPr="00DA7718">
        <w:rPr>
          <w:lang w:val="fr-FR"/>
        </w:rPr>
        <w:t>4.</w:t>
      </w:r>
      <w:r w:rsidRPr="00DA7718">
        <w:rPr>
          <w:lang w:val="fr-FR"/>
        </w:rPr>
        <w:tab/>
      </w:r>
      <w:r w:rsidR="00DD4CA9">
        <w:rPr>
          <w:lang w:val="fr-FR"/>
        </w:rPr>
        <w:t>INFORMATIONS</w:t>
      </w:r>
      <w:r w:rsidR="00DD4CA9" w:rsidRPr="00DA7718">
        <w:rPr>
          <w:lang w:val="fr-FR"/>
        </w:rPr>
        <w:t xml:space="preserve"> </w:t>
      </w:r>
      <w:r w:rsidR="00DF3C4F" w:rsidRPr="00DA7718">
        <w:rPr>
          <w:lang w:val="fr-FR"/>
        </w:rPr>
        <w:t>CLINIQUES</w:t>
      </w:r>
    </w:p>
    <w:p w14:paraId="465C1683" w14:textId="77777777" w:rsidR="004401F0" w:rsidRPr="007C119A" w:rsidRDefault="004401F0" w:rsidP="00BD4C7C">
      <w:pPr>
        <w:pStyle w:val="a3"/>
        <w:adjustRightInd w:val="0"/>
        <w:snapToGrid w:val="0"/>
        <w:rPr>
          <w:b/>
          <w:lang w:val="fr-FR"/>
        </w:rPr>
      </w:pPr>
    </w:p>
    <w:p w14:paraId="55D86D37" w14:textId="77777777" w:rsidR="004401F0" w:rsidRPr="00DA7718" w:rsidRDefault="00BD4C7C" w:rsidP="00BD4C7C">
      <w:pPr>
        <w:pStyle w:val="2"/>
        <w:adjustRightInd w:val="0"/>
        <w:snapToGrid w:val="0"/>
        <w:ind w:left="0"/>
        <w:rPr>
          <w:lang w:val="fr-FR"/>
        </w:rPr>
      </w:pPr>
      <w:r w:rsidRPr="00DA7718">
        <w:rPr>
          <w:lang w:val="fr-FR"/>
        </w:rPr>
        <w:t>4.1</w:t>
      </w:r>
      <w:r w:rsidRPr="00DA7718">
        <w:rPr>
          <w:lang w:val="fr-FR"/>
        </w:rPr>
        <w:tab/>
      </w:r>
      <w:r w:rsidR="00DF3C4F" w:rsidRPr="00DA7718">
        <w:rPr>
          <w:lang w:val="fr-FR"/>
        </w:rPr>
        <w:t>Indications thérapeutiques</w:t>
      </w:r>
    </w:p>
    <w:p w14:paraId="6AE2B7B6" w14:textId="77777777" w:rsidR="004401F0" w:rsidRPr="007C119A" w:rsidRDefault="004401F0" w:rsidP="00BD4C7C">
      <w:pPr>
        <w:pStyle w:val="a3"/>
        <w:adjustRightInd w:val="0"/>
        <w:snapToGrid w:val="0"/>
        <w:rPr>
          <w:b/>
          <w:lang w:val="fr-FR"/>
        </w:rPr>
      </w:pPr>
    </w:p>
    <w:p w14:paraId="16AEAE11" w14:textId="40095241"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en association à une chimiothérapie à base de fluoropyrimidine, est indiqué chez les patients adultes atteints de cancer colorectal métastatique.</w:t>
      </w:r>
    </w:p>
    <w:p w14:paraId="465879D9" w14:textId="77777777" w:rsidR="004401F0" w:rsidRPr="007C119A" w:rsidRDefault="004401F0" w:rsidP="00BD4C7C">
      <w:pPr>
        <w:pStyle w:val="a3"/>
        <w:adjustRightInd w:val="0"/>
        <w:snapToGrid w:val="0"/>
        <w:rPr>
          <w:lang w:val="fr-FR"/>
        </w:rPr>
      </w:pPr>
    </w:p>
    <w:p w14:paraId="4B475219" w14:textId="40A57156"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en association au paclitaxel, est indiqué en traitement de première ligne, chez des patients adultes atteints de cancer du sein métastatique. Pour une information complémentaire concernant le statut du récepteur 2 du facteur de croissance épidermique humain (HER2), référez-vous à la rubrique 5.1.</w:t>
      </w:r>
    </w:p>
    <w:p w14:paraId="0A2561E0" w14:textId="77777777" w:rsidR="004401F0" w:rsidRPr="00DA7718" w:rsidRDefault="004401F0" w:rsidP="00BD4C7C">
      <w:pPr>
        <w:pStyle w:val="a3"/>
        <w:adjustRightInd w:val="0"/>
        <w:snapToGrid w:val="0"/>
        <w:rPr>
          <w:lang w:val="fr-FR"/>
        </w:rPr>
      </w:pPr>
    </w:p>
    <w:p w14:paraId="57288B37" w14:textId="7C7C65C5"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en association à la capécitabine, est indiqué en traitement de première ligne, chez des patients adultes atteints de cancer du sein métastatique, pour lesquels un traitement avec d’autres options de chimiothérapie incluant des taxanes ou des anthracyclines, n’est pas considéré comme approprié. Les patients ayant reçu un traitement à base de taxanes et d’anthracyclines en situation adjuvante au cours des 12 derniers mois, doivent être exclus d’un traitement par </w:t>
      </w:r>
      <w:r>
        <w:rPr>
          <w:lang w:val="fr-FR"/>
        </w:rPr>
        <w:t>Vegzelma</w:t>
      </w:r>
      <w:r w:rsidR="00DF3C4F" w:rsidRPr="00DA7718">
        <w:rPr>
          <w:lang w:val="fr-FR"/>
        </w:rPr>
        <w:t xml:space="preserve"> en association à la capécitabine. Pour une information complémentaire concernant le statut HER2, référez-vous à la rubrique 5.1.</w:t>
      </w:r>
    </w:p>
    <w:p w14:paraId="4971A9B3" w14:textId="77777777" w:rsidR="004401F0" w:rsidRPr="00DA7718" w:rsidRDefault="004401F0" w:rsidP="00BD4C7C">
      <w:pPr>
        <w:pStyle w:val="a3"/>
        <w:adjustRightInd w:val="0"/>
        <w:snapToGrid w:val="0"/>
        <w:rPr>
          <w:lang w:val="fr-FR"/>
        </w:rPr>
      </w:pPr>
    </w:p>
    <w:p w14:paraId="2888275F" w14:textId="4B592DDA" w:rsidR="004401F0" w:rsidRPr="00DA7718" w:rsidRDefault="00F05208" w:rsidP="00BD4C7C">
      <w:pPr>
        <w:pStyle w:val="a3"/>
        <w:adjustRightInd w:val="0"/>
        <w:snapToGrid w:val="0"/>
        <w:rPr>
          <w:lang w:val="fr-FR"/>
        </w:rPr>
      </w:pPr>
      <w:r>
        <w:rPr>
          <w:lang w:val="fr-FR"/>
        </w:rPr>
        <w:t>Vegzelma</w:t>
      </w:r>
      <w:r w:rsidR="00DF3C4F" w:rsidRPr="00DA7718">
        <w:rPr>
          <w:lang w:val="fr-FR"/>
        </w:rPr>
        <w:t>, en association à une chimiothérapie à base de sels de platine, est indiqué en traitement de première ligne chez les patients adultes atteints de cancer bronchique non à petites cellules</w:t>
      </w:r>
      <w:r w:rsidR="00CF54EA">
        <w:rPr>
          <w:lang w:val="fr-FR"/>
        </w:rPr>
        <w:t xml:space="preserve"> (CBNPC)</w:t>
      </w:r>
      <w:r w:rsidR="00DF3C4F" w:rsidRPr="00DA7718">
        <w:rPr>
          <w:lang w:val="fr-FR"/>
        </w:rPr>
        <w:t xml:space="preserve">, avancé et non opérable, métastatique ou en rechute, dès lors que l’histologie n’est pas à prédominance </w:t>
      </w:r>
      <w:r w:rsidR="00DF3C4F" w:rsidRPr="00DA7718">
        <w:rPr>
          <w:lang w:val="fr-FR"/>
        </w:rPr>
        <w:lastRenderedPageBreak/>
        <w:t>épidermoïde.</w:t>
      </w:r>
    </w:p>
    <w:p w14:paraId="0A5B3E35" w14:textId="77777777" w:rsidR="004401F0" w:rsidRPr="007C119A" w:rsidRDefault="004401F0" w:rsidP="00BD4C7C">
      <w:pPr>
        <w:pStyle w:val="a3"/>
        <w:adjustRightInd w:val="0"/>
        <w:snapToGrid w:val="0"/>
        <w:rPr>
          <w:lang w:val="fr-FR"/>
        </w:rPr>
      </w:pPr>
    </w:p>
    <w:p w14:paraId="696E30CC" w14:textId="3740E4A1" w:rsidR="004401F0" w:rsidRPr="00DA7718" w:rsidRDefault="00F05208" w:rsidP="00654D21">
      <w:pPr>
        <w:pStyle w:val="a3"/>
        <w:keepLines/>
        <w:adjustRightInd w:val="0"/>
        <w:snapToGrid w:val="0"/>
        <w:rPr>
          <w:lang w:val="fr-FR"/>
        </w:rPr>
      </w:pPr>
      <w:r>
        <w:rPr>
          <w:lang w:val="fr-FR"/>
        </w:rPr>
        <w:t>Vegzelma</w:t>
      </w:r>
      <w:r w:rsidR="00DF3C4F" w:rsidRPr="00DA7718">
        <w:rPr>
          <w:lang w:val="fr-FR"/>
        </w:rPr>
        <w:t xml:space="preserve">, en association à l’erlotinib, est indiqué en traitement de première ligne chez les patients adultes atteints de </w:t>
      </w:r>
      <w:r w:rsidR="00CF54EA">
        <w:rPr>
          <w:lang w:val="fr-FR"/>
        </w:rPr>
        <w:t>CBNPC</w:t>
      </w:r>
      <w:r w:rsidR="00DF3C4F" w:rsidRPr="00DA7718">
        <w:rPr>
          <w:lang w:val="fr-FR"/>
        </w:rPr>
        <w:t xml:space="preserve"> non épidermoïde, avancé et non opérable, métastatique ou en rechute, et présentant des mutations activatrices de l’EGFR (Epidermal Growth Factor Receptor) (voir rubrique 5.1).</w:t>
      </w:r>
    </w:p>
    <w:p w14:paraId="4352EF21" w14:textId="77777777" w:rsidR="004401F0" w:rsidRPr="00DA7718" w:rsidRDefault="004401F0" w:rsidP="00BD4C7C">
      <w:pPr>
        <w:pStyle w:val="a3"/>
        <w:adjustRightInd w:val="0"/>
        <w:snapToGrid w:val="0"/>
        <w:rPr>
          <w:lang w:val="fr-FR"/>
        </w:rPr>
      </w:pPr>
    </w:p>
    <w:p w14:paraId="5FACA9D7" w14:textId="4F8FC58F" w:rsidR="004401F0" w:rsidRPr="00DA7718" w:rsidRDefault="00F05208" w:rsidP="00BD4C7C">
      <w:pPr>
        <w:pStyle w:val="a3"/>
        <w:adjustRightInd w:val="0"/>
        <w:snapToGrid w:val="0"/>
        <w:rPr>
          <w:lang w:val="fr-FR"/>
        </w:rPr>
      </w:pPr>
      <w:r>
        <w:rPr>
          <w:lang w:val="fr-FR"/>
        </w:rPr>
        <w:t>Vegzelma</w:t>
      </w:r>
      <w:r w:rsidR="00DF3C4F" w:rsidRPr="00DA7718">
        <w:rPr>
          <w:lang w:val="fr-FR"/>
        </w:rPr>
        <w:t>, en association à l’interféron alfa-2a, est indiqué en traitement de première ligne, chez les patients adultes atteints de cancer du rein avancé et/ou métastatique.</w:t>
      </w:r>
    </w:p>
    <w:p w14:paraId="7DFC89AC" w14:textId="77777777" w:rsidR="00BD4C7C" w:rsidRPr="00DA7718" w:rsidRDefault="00BD4C7C" w:rsidP="00654D21">
      <w:pPr>
        <w:adjustRightInd w:val="0"/>
        <w:snapToGrid w:val="0"/>
        <w:ind w:firstLine="567"/>
        <w:rPr>
          <w:lang w:val="fr-FR"/>
        </w:rPr>
      </w:pPr>
    </w:p>
    <w:p w14:paraId="5C3A9341" w14:textId="599AED51" w:rsidR="004401F0" w:rsidRPr="00DA7718" w:rsidRDefault="00F05208" w:rsidP="00BD4C7C">
      <w:pPr>
        <w:pStyle w:val="a3"/>
        <w:adjustRightInd w:val="0"/>
        <w:snapToGrid w:val="0"/>
        <w:rPr>
          <w:lang w:val="fr-FR"/>
        </w:rPr>
      </w:pPr>
      <w:r>
        <w:rPr>
          <w:lang w:val="fr-FR"/>
        </w:rPr>
        <w:t>Vegzelma</w:t>
      </w:r>
      <w:r w:rsidR="00DF3C4F" w:rsidRPr="00DA7718">
        <w:rPr>
          <w:lang w:val="fr-FR"/>
        </w:rPr>
        <w:t>, en association au carboplatine et au paclitaxel, est indiqué en traitement de première ligne des stades avancés (stades FIGO (Fédération Internationale de Gynécologie Obstétrique) III B, III C et IV) du cancer épithélial de l’ovaire, des trompes de Fallope ou péritonéal primitif chez des patientes adultes (</w:t>
      </w:r>
      <w:r w:rsidR="001A35B2">
        <w:rPr>
          <w:lang w:val="fr-FR"/>
        </w:rPr>
        <w:t>v</w:t>
      </w:r>
      <w:r w:rsidR="00DF3C4F" w:rsidRPr="00DA7718">
        <w:rPr>
          <w:lang w:val="fr-FR"/>
        </w:rPr>
        <w:t>oir rubrique 5.1).</w:t>
      </w:r>
    </w:p>
    <w:p w14:paraId="4E30038C" w14:textId="77777777" w:rsidR="004401F0" w:rsidRPr="007C119A" w:rsidRDefault="004401F0" w:rsidP="00BD4C7C">
      <w:pPr>
        <w:pStyle w:val="a3"/>
        <w:adjustRightInd w:val="0"/>
        <w:snapToGrid w:val="0"/>
        <w:rPr>
          <w:lang w:val="fr-FR"/>
        </w:rPr>
      </w:pPr>
    </w:p>
    <w:p w14:paraId="2304F105" w14:textId="278F2B9F" w:rsidR="004401F0" w:rsidRPr="00DA7718" w:rsidRDefault="00F05208" w:rsidP="00BD4C7C">
      <w:pPr>
        <w:pStyle w:val="a3"/>
        <w:adjustRightInd w:val="0"/>
        <w:snapToGrid w:val="0"/>
        <w:rPr>
          <w:lang w:val="fr-FR"/>
        </w:rPr>
      </w:pPr>
      <w:r>
        <w:rPr>
          <w:lang w:val="fr-FR"/>
        </w:rPr>
        <w:t>Vegzelma</w:t>
      </w:r>
      <w:r w:rsidR="00DF3C4F" w:rsidRPr="00DA7718">
        <w:rPr>
          <w:lang w:val="fr-FR"/>
        </w:rPr>
        <w:t>, en association au carboplatine et à la gemcitabine ou en association au carboplatine et au paclitaxel, est indiqué chez les patientes adultes atteintes d’un cancer épithélial de l’ovaire, des trompes de Fallope ou péritonéal primitif, en première récidive, sensible aux sels de platine et qui n’ont pas été préalablement traitées par du bevacizumab ou d’autres inhibiteurs du</w:t>
      </w:r>
      <w:r w:rsidR="002D1B46">
        <w:rPr>
          <w:lang w:val="fr-FR"/>
        </w:rPr>
        <w:t xml:space="preserve"> facteur de croissance de l’endothélium vasculaire</w:t>
      </w:r>
      <w:r w:rsidR="00DF3C4F" w:rsidRPr="00DA7718">
        <w:rPr>
          <w:lang w:val="fr-FR"/>
        </w:rPr>
        <w:t xml:space="preserve"> </w:t>
      </w:r>
      <w:r w:rsidR="002D1B46">
        <w:rPr>
          <w:lang w:val="fr-FR"/>
        </w:rPr>
        <w:t>(</w:t>
      </w:r>
      <w:r w:rsidR="00DF3C4F" w:rsidRPr="00DA7718">
        <w:rPr>
          <w:lang w:val="fr-FR"/>
        </w:rPr>
        <w:t>VEGF</w:t>
      </w:r>
      <w:r w:rsidR="002D1B46">
        <w:rPr>
          <w:lang w:val="fr-FR"/>
        </w:rPr>
        <w:t>, Vascular Endothelial Growth Factor)</w:t>
      </w:r>
      <w:r w:rsidR="00DF3C4F" w:rsidRPr="00DA7718">
        <w:rPr>
          <w:lang w:val="fr-FR"/>
        </w:rPr>
        <w:t xml:space="preserve"> ou d’autres agents ciblant le récepteur du VEGF.</w:t>
      </w:r>
    </w:p>
    <w:p w14:paraId="0F9F1A85" w14:textId="77777777" w:rsidR="004401F0" w:rsidRPr="007C119A" w:rsidRDefault="004401F0" w:rsidP="00BD4C7C">
      <w:pPr>
        <w:pStyle w:val="a3"/>
        <w:adjustRightInd w:val="0"/>
        <w:snapToGrid w:val="0"/>
        <w:rPr>
          <w:lang w:val="fr-FR"/>
        </w:rPr>
      </w:pPr>
    </w:p>
    <w:p w14:paraId="65C921A7" w14:textId="3A893B85" w:rsidR="004401F0" w:rsidRPr="00DA7718" w:rsidRDefault="00F05208" w:rsidP="00BD4C7C">
      <w:pPr>
        <w:pStyle w:val="a3"/>
        <w:adjustRightInd w:val="0"/>
        <w:snapToGrid w:val="0"/>
        <w:rPr>
          <w:lang w:val="fr-FR"/>
        </w:rPr>
      </w:pPr>
      <w:r>
        <w:rPr>
          <w:lang w:val="fr-FR"/>
        </w:rPr>
        <w:t>Vegzelma</w:t>
      </w:r>
      <w:r w:rsidR="00DF3C4F" w:rsidRPr="00DA7718">
        <w:rPr>
          <w:lang w:val="fr-FR"/>
        </w:rPr>
        <w:t>, en association au paclitaxel, au topotécan ou à la doxorubicine liposomale pégylée, est indiqué chez les patientes adultes atteintes d’un cancer épithélial de l’ovaire, des trompes de Fallope ou péritonéal primitif, en rechute, résistant aux sels de platine, qui n’ont pas reçu plus de deux protocoles antérieurs de chimiothérapie et qui n’ont pas été préalablement traitées par du bevacizumab ou d’autres inhibiteurs du VEGF ou d’autres agents ciblant le récepteur du VEGF (voir rubrique 5.1).</w:t>
      </w:r>
    </w:p>
    <w:p w14:paraId="701CEC7D" w14:textId="77777777" w:rsidR="004401F0" w:rsidRPr="00DA7718" w:rsidRDefault="004401F0" w:rsidP="00BD4C7C">
      <w:pPr>
        <w:pStyle w:val="a3"/>
        <w:adjustRightInd w:val="0"/>
        <w:snapToGrid w:val="0"/>
        <w:rPr>
          <w:lang w:val="fr-FR"/>
        </w:rPr>
      </w:pPr>
    </w:p>
    <w:p w14:paraId="20A97C09" w14:textId="3DBD1F1B" w:rsidR="004401F0" w:rsidRPr="00DA7718" w:rsidRDefault="00F05208" w:rsidP="00BD4C7C">
      <w:pPr>
        <w:pStyle w:val="a3"/>
        <w:adjustRightInd w:val="0"/>
        <w:snapToGrid w:val="0"/>
        <w:rPr>
          <w:lang w:val="fr-FR"/>
        </w:rPr>
      </w:pPr>
      <w:r>
        <w:rPr>
          <w:lang w:val="fr-FR"/>
        </w:rPr>
        <w:t>Vegzelma</w:t>
      </w:r>
      <w:r w:rsidR="00DF3C4F" w:rsidRPr="00DA7718">
        <w:rPr>
          <w:lang w:val="fr-FR"/>
        </w:rPr>
        <w:t>, en association au paclitaxel et au cisplatine, ou bien en association au paclitaxel et au topotécan chez les patientes ne pouvant pas recevoir de traitement à base de sels de platine, est indiqué chez les patientes adultes atteintes d’un carcinome du col de l’utérus persistant, en rechute ou métastatique (voir rubrique 5.1).</w:t>
      </w:r>
    </w:p>
    <w:p w14:paraId="21082C3B" w14:textId="77777777" w:rsidR="004401F0" w:rsidRPr="00DA7718" w:rsidRDefault="004401F0" w:rsidP="00BD4C7C">
      <w:pPr>
        <w:pStyle w:val="a3"/>
        <w:adjustRightInd w:val="0"/>
        <w:snapToGrid w:val="0"/>
        <w:rPr>
          <w:lang w:val="fr-FR"/>
        </w:rPr>
      </w:pPr>
    </w:p>
    <w:p w14:paraId="5195876F" w14:textId="77777777" w:rsidR="004401F0" w:rsidRPr="00DA7718" w:rsidRDefault="00BD4C7C" w:rsidP="00BD4C7C">
      <w:pPr>
        <w:pStyle w:val="2"/>
        <w:adjustRightInd w:val="0"/>
        <w:snapToGrid w:val="0"/>
        <w:ind w:left="0"/>
        <w:rPr>
          <w:lang w:val="fr-FR"/>
        </w:rPr>
      </w:pPr>
      <w:r w:rsidRPr="00DA7718">
        <w:rPr>
          <w:lang w:val="fr-FR"/>
        </w:rPr>
        <w:t>4.2</w:t>
      </w:r>
      <w:r w:rsidRPr="00DA7718">
        <w:rPr>
          <w:lang w:val="fr-FR"/>
        </w:rPr>
        <w:tab/>
      </w:r>
      <w:r w:rsidR="00DF3C4F" w:rsidRPr="00DA7718">
        <w:rPr>
          <w:lang w:val="fr-FR"/>
        </w:rPr>
        <w:t>Posologie et mode d’administration</w:t>
      </w:r>
    </w:p>
    <w:p w14:paraId="74A01791" w14:textId="77777777" w:rsidR="004401F0" w:rsidRPr="007C119A" w:rsidRDefault="004401F0" w:rsidP="00BD4C7C">
      <w:pPr>
        <w:pStyle w:val="a3"/>
        <w:adjustRightInd w:val="0"/>
        <w:snapToGrid w:val="0"/>
        <w:rPr>
          <w:lang w:val="fr-FR"/>
        </w:rPr>
      </w:pPr>
    </w:p>
    <w:p w14:paraId="3CB51581" w14:textId="1B5F14B8"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doit être administré sous le contrôle d’un médecin expérimenté dans l’utilisation des agents antinéoplasiques.</w:t>
      </w:r>
    </w:p>
    <w:p w14:paraId="0A06D699" w14:textId="77777777" w:rsidR="004401F0" w:rsidRPr="00DA7718" w:rsidRDefault="004401F0" w:rsidP="00BD4C7C">
      <w:pPr>
        <w:pStyle w:val="a3"/>
        <w:adjustRightInd w:val="0"/>
        <w:snapToGrid w:val="0"/>
        <w:rPr>
          <w:lang w:val="fr-FR"/>
        </w:rPr>
      </w:pPr>
    </w:p>
    <w:p w14:paraId="4363722A" w14:textId="77777777" w:rsidR="004401F0" w:rsidRPr="00DA7718" w:rsidRDefault="00DF3C4F" w:rsidP="00BD4C7C">
      <w:pPr>
        <w:pStyle w:val="a3"/>
        <w:adjustRightInd w:val="0"/>
        <w:snapToGrid w:val="0"/>
        <w:rPr>
          <w:lang w:val="fr-FR"/>
        </w:rPr>
      </w:pPr>
      <w:r w:rsidRPr="00DA7718">
        <w:rPr>
          <w:u w:val="single"/>
          <w:lang w:val="fr-FR"/>
        </w:rPr>
        <w:t>Posologie</w:t>
      </w:r>
    </w:p>
    <w:p w14:paraId="591F9324" w14:textId="77777777" w:rsidR="004401F0" w:rsidRPr="003F4D24" w:rsidRDefault="004401F0" w:rsidP="00BD4C7C">
      <w:pPr>
        <w:pStyle w:val="a3"/>
        <w:adjustRightInd w:val="0"/>
        <w:snapToGrid w:val="0"/>
        <w:rPr>
          <w:lang w:val="fr-FR"/>
        </w:rPr>
      </w:pPr>
    </w:p>
    <w:p w14:paraId="2B5CBCC6" w14:textId="77777777" w:rsidR="004401F0" w:rsidRPr="00DA7718" w:rsidRDefault="00DF3C4F" w:rsidP="00BD4C7C">
      <w:pPr>
        <w:adjustRightInd w:val="0"/>
        <w:snapToGrid w:val="0"/>
        <w:rPr>
          <w:i/>
          <w:lang w:val="fr-FR"/>
        </w:rPr>
      </w:pPr>
      <w:r w:rsidRPr="00DA7718">
        <w:rPr>
          <w:i/>
          <w:u w:val="single"/>
          <w:lang w:val="fr-FR"/>
        </w:rPr>
        <w:t>Cancer colorectal métastatique (CCRm)</w:t>
      </w:r>
    </w:p>
    <w:p w14:paraId="1FC2B29A" w14:textId="77777777" w:rsidR="004401F0" w:rsidRPr="003F4D24" w:rsidRDefault="004401F0" w:rsidP="00BD4C7C">
      <w:pPr>
        <w:pStyle w:val="a3"/>
        <w:adjustRightInd w:val="0"/>
        <w:snapToGrid w:val="0"/>
        <w:rPr>
          <w:i/>
          <w:lang w:val="fr-FR"/>
        </w:rPr>
      </w:pPr>
    </w:p>
    <w:p w14:paraId="0B4A7A0B" w14:textId="29AA9C61" w:rsidR="004401F0" w:rsidRPr="00DA7718" w:rsidRDefault="00F05208" w:rsidP="00654D21">
      <w:pPr>
        <w:pStyle w:val="a3"/>
        <w:adjustRightInd w:val="0"/>
        <w:snapToGrid w:val="0"/>
        <w:rPr>
          <w:lang w:val="fr-FR"/>
        </w:rPr>
      </w:pPr>
      <w:r>
        <w:rPr>
          <w:lang w:val="fr-FR"/>
        </w:rPr>
        <w:t>Vegzelma</w:t>
      </w:r>
      <w:r w:rsidR="00DF3C4F" w:rsidRPr="00DA7718">
        <w:rPr>
          <w:lang w:val="fr-FR"/>
        </w:rPr>
        <w:t xml:space="preserve"> est recommandé soit à la posologie de 5</w:t>
      </w:r>
      <w:r w:rsidR="00DA7718" w:rsidRPr="00DA7718">
        <w:rPr>
          <w:lang w:val="fr-FR"/>
        </w:rPr>
        <w:t> mg</w:t>
      </w:r>
      <w:r w:rsidR="00DF3C4F" w:rsidRPr="00DA7718">
        <w:rPr>
          <w:lang w:val="fr-FR"/>
        </w:rPr>
        <w:t>/kg ou 10</w:t>
      </w:r>
      <w:r w:rsidR="00DA7718" w:rsidRPr="00DA7718">
        <w:rPr>
          <w:lang w:val="fr-FR"/>
        </w:rPr>
        <w:t> mg</w:t>
      </w:r>
      <w:r w:rsidR="00DF3C4F" w:rsidRPr="00DA7718">
        <w:rPr>
          <w:lang w:val="fr-FR"/>
        </w:rPr>
        <w:t xml:space="preserve">/kg de poids corporel administré une fois </w:t>
      </w:r>
      <w:r w:rsidR="00DF3C4F" w:rsidRPr="00F9256D">
        <w:rPr>
          <w:lang w:val="fr-FR"/>
        </w:rPr>
        <w:t>toutes les 2 semaines</w:t>
      </w:r>
      <w:r w:rsidR="00DF3C4F" w:rsidRPr="00DA7718">
        <w:rPr>
          <w:lang w:val="fr-FR"/>
        </w:rPr>
        <w:t>, soit à la posologie de 7,5</w:t>
      </w:r>
      <w:r w:rsidR="00DA7718" w:rsidRPr="00DA7718">
        <w:rPr>
          <w:lang w:val="fr-FR"/>
        </w:rPr>
        <w:t> mg</w:t>
      </w:r>
      <w:r w:rsidR="00DF3C4F" w:rsidRPr="00DA7718">
        <w:rPr>
          <w:lang w:val="fr-FR"/>
        </w:rPr>
        <w:t>/kg ou 15</w:t>
      </w:r>
      <w:r w:rsidR="00DA7718" w:rsidRPr="00DA7718">
        <w:rPr>
          <w:lang w:val="fr-FR"/>
        </w:rPr>
        <w:t> mg</w:t>
      </w:r>
      <w:r w:rsidR="00DF3C4F" w:rsidRPr="00DA7718">
        <w:rPr>
          <w:lang w:val="fr-FR"/>
        </w:rPr>
        <w:t xml:space="preserve">/kg administré une fois </w:t>
      </w:r>
      <w:r w:rsidR="00DF3C4F" w:rsidRPr="00F9256D">
        <w:rPr>
          <w:lang w:val="fr-FR"/>
        </w:rPr>
        <w:t>toutes les 3 semaines</w:t>
      </w:r>
      <w:r w:rsidR="00DF3C4F" w:rsidRPr="00DA7718">
        <w:rPr>
          <w:lang w:val="fr-FR"/>
        </w:rPr>
        <w:t>, en perfusion intraveineuse.</w:t>
      </w:r>
    </w:p>
    <w:p w14:paraId="43389F09" w14:textId="77777777" w:rsidR="004401F0" w:rsidRPr="00DA7718" w:rsidRDefault="00DF3C4F" w:rsidP="00BD4C7C">
      <w:pPr>
        <w:pStyle w:val="a3"/>
        <w:adjustRightInd w:val="0"/>
        <w:snapToGrid w:val="0"/>
        <w:jc w:val="both"/>
        <w:rPr>
          <w:lang w:val="fr-FR"/>
        </w:rPr>
      </w:pPr>
      <w:r w:rsidRPr="00DA7718">
        <w:rPr>
          <w:lang w:val="fr-FR"/>
        </w:rPr>
        <w:t>Il est recommandé de poursuivre le traitement jusqu’à la progression de la maladie sous-jacente ou toxicité inacceptable.</w:t>
      </w:r>
    </w:p>
    <w:p w14:paraId="6E39E818" w14:textId="77777777" w:rsidR="004401F0" w:rsidRPr="007C119A" w:rsidRDefault="004401F0" w:rsidP="00BD4C7C">
      <w:pPr>
        <w:pStyle w:val="a3"/>
        <w:adjustRightInd w:val="0"/>
        <w:snapToGrid w:val="0"/>
        <w:rPr>
          <w:lang w:val="fr-FR"/>
        </w:rPr>
      </w:pPr>
    </w:p>
    <w:p w14:paraId="3E89DA07" w14:textId="77777777" w:rsidR="004401F0" w:rsidRPr="00DA7718" w:rsidRDefault="00DF3C4F" w:rsidP="00BD4C7C">
      <w:pPr>
        <w:adjustRightInd w:val="0"/>
        <w:snapToGrid w:val="0"/>
        <w:jc w:val="both"/>
        <w:rPr>
          <w:i/>
          <w:lang w:val="fr-FR"/>
        </w:rPr>
      </w:pPr>
      <w:r w:rsidRPr="00DA7718">
        <w:rPr>
          <w:i/>
          <w:u w:val="single"/>
          <w:lang w:val="fr-FR"/>
        </w:rPr>
        <w:t>Cancer du sein métastatique (CSm)</w:t>
      </w:r>
    </w:p>
    <w:p w14:paraId="497E1B61" w14:textId="77777777" w:rsidR="004401F0" w:rsidRPr="003F4D24" w:rsidRDefault="004401F0" w:rsidP="00BD4C7C">
      <w:pPr>
        <w:pStyle w:val="a3"/>
        <w:adjustRightInd w:val="0"/>
        <w:snapToGrid w:val="0"/>
        <w:rPr>
          <w:i/>
          <w:lang w:val="fr-FR"/>
        </w:rPr>
      </w:pPr>
    </w:p>
    <w:p w14:paraId="05ED341B" w14:textId="113DFE4C"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est recommandé à la posologie de 10</w:t>
      </w:r>
      <w:r w:rsidR="00DA7718" w:rsidRPr="00DA7718">
        <w:rPr>
          <w:lang w:val="fr-FR"/>
        </w:rPr>
        <w:t> mg</w:t>
      </w:r>
      <w:r w:rsidR="00DF3C4F" w:rsidRPr="00DA7718">
        <w:rPr>
          <w:lang w:val="fr-FR"/>
        </w:rPr>
        <w:t>/kg de poids corporel administré une fois toutes les 2 semaines ou à la posologie de 15</w:t>
      </w:r>
      <w:r w:rsidR="00DA7718" w:rsidRPr="00DA7718">
        <w:rPr>
          <w:lang w:val="fr-FR"/>
        </w:rPr>
        <w:t> mg</w:t>
      </w:r>
      <w:r w:rsidR="00DF3C4F" w:rsidRPr="00DA7718">
        <w:rPr>
          <w:lang w:val="fr-FR"/>
        </w:rPr>
        <w:t xml:space="preserve">/kg de poids corporel, administré une fois toutes les </w:t>
      </w:r>
      <w:r w:rsidR="008B6844" w:rsidRPr="00DA7718">
        <w:rPr>
          <w:lang w:val="fr-FR"/>
        </w:rPr>
        <w:t>3</w:t>
      </w:r>
      <w:r w:rsidR="008B6844">
        <w:rPr>
          <w:lang w:val="fr-FR"/>
        </w:rPr>
        <w:t> </w:t>
      </w:r>
      <w:r w:rsidR="00DF3C4F" w:rsidRPr="00DA7718">
        <w:rPr>
          <w:lang w:val="fr-FR"/>
        </w:rPr>
        <w:t>semaines, en perfusion intraveineuse.</w:t>
      </w:r>
    </w:p>
    <w:p w14:paraId="77F49771" w14:textId="77777777" w:rsidR="004401F0" w:rsidRPr="00DA7718" w:rsidRDefault="00DF3C4F" w:rsidP="00BD4C7C">
      <w:pPr>
        <w:pStyle w:val="a3"/>
        <w:adjustRightInd w:val="0"/>
        <w:snapToGrid w:val="0"/>
        <w:rPr>
          <w:lang w:val="fr-FR"/>
        </w:rPr>
      </w:pPr>
      <w:r w:rsidRPr="00DA7718">
        <w:rPr>
          <w:lang w:val="fr-FR"/>
        </w:rPr>
        <w:t>Il est recommandé de poursuivre le traitement jusqu’à la progression de la maladie sous-jacente ou toxicité inacceptable.</w:t>
      </w:r>
    </w:p>
    <w:p w14:paraId="7D62CD9F" w14:textId="77777777" w:rsidR="004401F0" w:rsidRPr="00DA7718" w:rsidRDefault="004401F0" w:rsidP="00BD4C7C">
      <w:pPr>
        <w:pStyle w:val="a3"/>
        <w:adjustRightInd w:val="0"/>
        <w:snapToGrid w:val="0"/>
        <w:rPr>
          <w:lang w:val="fr-FR"/>
        </w:rPr>
      </w:pPr>
    </w:p>
    <w:p w14:paraId="52774B77" w14:textId="77777777" w:rsidR="004401F0" w:rsidRPr="00DA7718" w:rsidRDefault="00DF3C4F" w:rsidP="00654D21">
      <w:pPr>
        <w:keepNext/>
        <w:keepLines/>
        <w:adjustRightInd w:val="0"/>
        <w:snapToGrid w:val="0"/>
        <w:rPr>
          <w:i/>
          <w:lang w:val="fr-FR"/>
        </w:rPr>
      </w:pPr>
      <w:r w:rsidRPr="00DA7718">
        <w:rPr>
          <w:i/>
          <w:u w:val="single"/>
          <w:lang w:val="fr-FR"/>
        </w:rPr>
        <w:lastRenderedPageBreak/>
        <w:t>Cancer bronchique non à petites cellules (CBNPC)</w:t>
      </w:r>
    </w:p>
    <w:p w14:paraId="4596F410" w14:textId="77777777" w:rsidR="004401F0" w:rsidRPr="003F4D24" w:rsidRDefault="004401F0" w:rsidP="00654D21">
      <w:pPr>
        <w:pStyle w:val="a3"/>
        <w:keepNext/>
        <w:keepLines/>
        <w:adjustRightInd w:val="0"/>
        <w:snapToGrid w:val="0"/>
        <w:rPr>
          <w:i/>
          <w:lang w:val="fr-FR"/>
        </w:rPr>
      </w:pPr>
    </w:p>
    <w:p w14:paraId="4B1DEFDD" w14:textId="77777777" w:rsidR="004401F0" w:rsidRPr="00185A85" w:rsidRDefault="00DF3C4F" w:rsidP="00654D21">
      <w:pPr>
        <w:keepNext/>
        <w:keepLines/>
        <w:adjustRightInd w:val="0"/>
        <w:snapToGrid w:val="0"/>
        <w:rPr>
          <w:i/>
          <w:lang w:val="fr-FR"/>
        </w:rPr>
      </w:pPr>
      <w:r w:rsidRPr="00F9256D">
        <w:rPr>
          <w:i/>
          <w:lang w:val="fr-FR"/>
        </w:rPr>
        <w:t>Traitement de première ligne du CBNPC non épidermoïde en association à une chimiothérapie à base</w:t>
      </w:r>
      <w:r w:rsidRPr="00185A85">
        <w:rPr>
          <w:i/>
          <w:lang w:val="fr-FR"/>
        </w:rPr>
        <w:t xml:space="preserve"> </w:t>
      </w:r>
      <w:r w:rsidRPr="00F9256D">
        <w:rPr>
          <w:i/>
          <w:lang w:val="fr-FR"/>
        </w:rPr>
        <w:t>de sels de platine</w:t>
      </w:r>
    </w:p>
    <w:p w14:paraId="5687DA42" w14:textId="77777777" w:rsidR="004401F0" w:rsidRPr="003F4D24" w:rsidRDefault="004401F0" w:rsidP="00BD4C7C">
      <w:pPr>
        <w:pStyle w:val="a3"/>
        <w:adjustRightInd w:val="0"/>
        <w:snapToGrid w:val="0"/>
        <w:rPr>
          <w:i/>
          <w:lang w:val="fr-FR"/>
        </w:rPr>
      </w:pPr>
    </w:p>
    <w:p w14:paraId="34CD022D" w14:textId="56FF8011"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est administré en association à une chimiothérapie à base de sels de platine jusqu’à </w:t>
      </w:r>
      <w:r w:rsidR="00775F50" w:rsidRPr="00DA7718">
        <w:rPr>
          <w:lang w:val="fr-FR"/>
        </w:rPr>
        <w:t>6</w:t>
      </w:r>
      <w:r w:rsidR="00775F50">
        <w:rPr>
          <w:lang w:val="fr-FR"/>
        </w:rPr>
        <w:t> </w:t>
      </w:r>
      <w:r w:rsidR="00DF3C4F" w:rsidRPr="00DA7718">
        <w:rPr>
          <w:lang w:val="fr-FR"/>
        </w:rPr>
        <w:t>cycles de traitement, suivis d</w:t>
      </w:r>
      <w:r w:rsidR="00686A9D">
        <w:rPr>
          <w:lang w:val="fr-FR"/>
        </w:rPr>
        <w:t xml:space="preserve">e </w:t>
      </w:r>
      <w:r>
        <w:rPr>
          <w:lang w:val="fr-FR"/>
        </w:rPr>
        <w:t>Vegzelma</w:t>
      </w:r>
      <w:r w:rsidR="00DF3C4F" w:rsidRPr="00DA7718">
        <w:rPr>
          <w:lang w:val="fr-FR"/>
        </w:rPr>
        <w:t xml:space="preserve"> en monothérapie jusqu’à progression de la maladie.</w:t>
      </w:r>
    </w:p>
    <w:p w14:paraId="37D936EA" w14:textId="22E0F993"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est recommandé à la posologie de 7,5</w:t>
      </w:r>
      <w:r w:rsidR="00DA7718" w:rsidRPr="00DA7718">
        <w:rPr>
          <w:lang w:val="fr-FR"/>
        </w:rPr>
        <w:t> mg</w:t>
      </w:r>
      <w:r w:rsidR="00DF3C4F" w:rsidRPr="00DA7718">
        <w:rPr>
          <w:lang w:val="fr-FR"/>
        </w:rPr>
        <w:t>/kg ou 15</w:t>
      </w:r>
      <w:r w:rsidR="00DA7718" w:rsidRPr="00DA7718">
        <w:rPr>
          <w:lang w:val="fr-FR"/>
        </w:rPr>
        <w:t> mg</w:t>
      </w:r>
      <w:r w:rsidR="00DF3C4F" w:rsidRPr="00DA7718">
        <w:rPr>
          <w:lang w:val="fr-FR"/>
        </w:rPr>
        <w:t>/kg de poids corporel administré une fois toutes les 3 semaines, en perfusion intraveineuse.</w:t>
      </w:r>
    </w:p>
    <w:p w14:paraId="231C7C30" w14:textId="77777777" w:rsidR="00BD4C7C" w:rsidRPr="00DA7718" w:rsidRDefault="00BD4C7C" w:rsidP="00BD4C7C">
      <w:pPr>
        <w:adjustRightInd w:val="0"/>
        <w:snapToGrid w:val="0"/>
        <w:rPr>
          <w:lang w:val="fr-FR"/>
        </w:rPr>
      </w:pPr>
    </w:p>
    <w:p w14:paraId="16D4F45D" w14:textId="05EA7F9F" w:rsidR="00C808FD" w:rsidRDefault="00DF3C4F" w:rsidP="00BD4C7C">
      <w:pPr>
        <w:pStyle w:val="a3"/>
        <w:adjustRightInd w:val="0"/>
        <w:snapToGrid w:val="0"/>
        <w:rPr>
          <w:i/>
          <w:lang w:val="fr-FR"/>
        </w:rPr>
      </w:pPr>
      <w:r w:rsidRPr="00DA7718">
        <w:rPr>
          <w:lang w:val="fr-FR"/>
        </w:rPr>
        <w:t>Le bénéfice clinique chez les patients atteints de CBNPC a été démontré aux posologies de 7,5</w:t>
      </w:r>
      <w:r w:rsidR="00DA7718" w:rsidRPr="00DA7718">
        <w:rPr>
          <w:lang w:val="fr-FR"/>
        </w:rPr>
        <w:t> mg</w:t>
      </w:r>
      <w:r w:rsidRPr="00DA7718">
        <w:rPr>
          <w:lang w:val="fr-FR"/>
        </w:rPr>
        <w:t>/kg et 15</w:t>
      </w:r>
      <w:r w:rsidR="00DA7718" w:rsidRPr="00DA7718">
        <w:rPr>
          <w:lang w:val="fr-FR"/>
        </w:rPr>
        <w:t> mg</w:t>
      </w:r>
      <w:r w:rsidRPr="00DA7718">
        <w:rPr>
          <w:lang w:val="fr-FR"/>
        </w:rPr>
        <w:t>/kg (voir rubrique 5.1)</w:t>
      </w:r>
      <w:r w:rsidRPr="00DA7718">
        <w:rPr>
          <w:i/>
          <w:lang w:val="fr-FR"/>
        </w:rPr>
        <w:t>.</w:t>
      </w:r>
    </w:p>
    <w:p w14:paraId="102EA585" w14:textId="77777777" w:rsidR="00030EED" w:rsidRPr="00DA7718" w:rsidRDefault="00030EED" w:rsidP="00BD4C7C">
      <w:pPr>
        <w:pStyle w:val="a3"/>
        <w:adjustRightInd w:val="0"/>
        <w:snapToGrid w:val="0"/>
        <w:rPr>
          <w:i/>
          <w:lang w:val="fr-FR"/>
        </w:rPr>
      </w:pPr>
    </w:p>
    <w:p w14:paraId="02AF4CBC" w14:textId="77777777" w:rsidR="004401F0" w:rsidRPr="00DA7718" w:rsidRDefault="00DF3C4F" w:rsidP="00BD4C7C">
      <w:pPr>
        <w:pStyle w:val="a3"/>
        <w:adjustRightInd w:val="0"/>
        <w:snapToGrid w:val="0"/>
        <w:rPr>
          <w:lang w:val="fr-FR"/>
        </w:rPr>
      </w:pPr>
      <w:r w:rsidRPr="00DA7718">
        <w:rPr>
          <w:lang w:val="fr-FR"/>
        </w:rPr>
        <w:t>Il est recommandé de poursuivre le traitement jusqu’à la progression de la maladie sous-jacente ou toxicité inacceptable.</w:t>
      </w:r>
    </w:p>
    <w:p w14:paraId="1A1F7D93" w14:textId="77777777" w:rsidR="004401F0" w:rsidRPr="007C119A" w:rsidRDefault="004401F0" w:rsidP="00BD4C7C">
      <w:pPr>
        <w:pStyle w:val="a3"/>
        <w:adjustRightInd w:val="0"/>
        <w:snapToGrid w:val="0"/>
        <w:rPr>
          <w:lang w:val="fr-FR"/>
        </w:rPr>
      </w:pPr>
    </w:p>
    <w:p w14:paraId="45212980" w14:textId="77777777" w:rsidR="004401F0" w:rsidRPr="00185A85" w:rsidRDefault="00DF3C4F" w:rsidP="00BD4C7C">
      <w:pPr>
        <w:adjustRightInd w:val="0"/>
        <w:snapToGrid w:val="0"/>
        <w:rPr>
          <w:i/>
          <w:lang w:val="fr-FR"/>
        </w:rPr>
      </w:pPr>
      <w:r w:rsidRPr="00F9256D">
        <w:rPr>
          <w:i/>
          <w:lang w:val="fr-FR"/>
        </w:rPr>
        <w:t>Traitement de première ligne du CBNPC non épidermoïde présentant des mutations activatrices de</w:t>
      </w:r>
      <w:r w:rsidRPr="00185A85">
        <w:rPr>
          <w:i/>
          <w:lang w:val="fr-FR"/>
        </w:rPr>
        <w:t xml:space="preserve"> </w:t>
      </w:r>
      <w:r w:rsidRPr="00F9256D">
        <w:rPr>
          <w:i/>
          <w:lang w:val="fr-FR"/>
        </w:rPr>
        <w:t>l’EGFR, en association à l’erlotinib</w:t>
      </w:r>
    </w:p>
    <w:p w14:paraId="2441EDB7" w14:textId="77777777" w:rsidR="004401F0" w:rsidRPr="003F4D24" w:rsidRDefault="004401F0" w:rsidP="00BD4C7C">
      <w:pPr>
        <w:pStyle w:val="a3"/>
        <w:adjustRightInd w:val="0"/>
        <w:snapToGrid w:val="0"/>
        <w:rPr>
          <w:i/>
          <w:lang w:val="fr-FR"/>
        </w:rPr>
      </w:pPr>
    </w:p>
    <w:p w14:paraId="104953A2" w14:textId="2BD3375F" w:rsidR="004401F0" w:rsidRPr="00DA7718" w:rsidRDefault="00DF3C4F" w:rsidP="00BD4C7C">
      <w:pPr>
        <w:pStyle w:val="a3"/>
        <w:adjustRightInd w:val="0"/>
        <w:snapToGrid w:val="0"/>
        <w:rPr>
          <w:lang w:val="fr-FR"/>
        </w:rPr>
      </w:pPr>
      <w:r w:rsidRPr="00DA7718">
        <w:rPr>
          <w:lang w:val="fr-FR"/>
        </w:rPr>
        <w:t xml:space="preserve">La recherche de la mutation de l’EGFR doit être réalisée avant l’initiation du traitement par l’association </w:t>
      </w:r>
      <w:r w:rsidR="00F05208">
        <w:rPr>
          <w:lang w:val="fr-FR"/>
        </w:rPr>
        <w:t>Vegzelma</w:t>
      </w:r>
      <w:r w:rsidRPr="00DA7718">
        <w:rPr>
          <w:lang w:val="fr-FR"/>
        </w:rPr>
        <w:t xml:space="preserve"> et erlotinib. Il est important de choisir une méthode robuste et bien validée pour éviter les faux négatifs ou faux positifs.</w:t>
      </w:r>
    </w:p>
    <w:p w14:paraId="681A32A2" w14:textId="77777777" w:rsidR="004401F0" w:rsidRPr="007C119A" w:rsidRDefault="004401F0" w:rsidP="00BD4C7C">
      <w:pPr>
        <w:pStyle w:val="a3"/>
        <w:adjustRightInd w:val="0"/>
        <w:snapToGrid w:val="0"/>
        <w:rPr>
          <w:lang w:val="fr-FR"/>
        </w:rPr>
      </w:pPr>
    </w:p>
    <w:p w14:paraId="50156750" w14:textId="61000F7A" w:rsidR="004401F0" w:rsidRDefault="00F05208" w:rsidP="00BD4C7C">
      <w:pPr>
        <w:pStyle w:val="a3"/>
        <w:adjustRightInd w:val="0"/>
        <w:snapToGrid w:val="0"/>
        <w:rPr>
          <w:lang w:val="fr-FR"/>
        </w:rPr>
      </w:pPr>
      <w:r>
        <w:rPr>
          <w:lang w:val="fr-FR"/>
        </w:rPr>
        <w:t>Vegzelma</w:t>
      </w:r>
      <w:r w:rsidR="00EA7ADC" w:rsidRPr="00DA7718">
        <w:rPr>
          <w:lang w:val="fr-FR"/>
        </w:rPr>
        <w:t xml:space="preserve"> </w:t>
      </w:r>
      <w:r w:rsidR="00DF3C4F" w:rsidRPr="00DA7718">
        <w:rPr>
          <w:lang w:val="fr-FR"/>
        </w:rPr>
        <w:t>est recommandé, en association à l’erlotinib, à la posologie de 15</w:t>
      </w:r>
      <w:r w:rsidR="00DA7718" w:rsidRPr="00DA7718">
        <w:rPr>
          <w:lang w:val="fr-FR"/>
        </w:rPr>
        <w:t> mg</w:t>
      </w:r>
      <w:r w:rsidR="00DF3C4F" w:rsidRPr="00DA7718">
        <w:rPr>
          <w:lang w:val="fr-FR"/>
        </w:rPr>
        <w:t>/kg de poids corporel administré une fois toutes les 3 semaines, en perfusion intraveineuse.</w:t>
      </w:r>
    </w:p>
    <w:p w14:paraId="7020A0E7" w14:textId="77777777" w:rsidR="00030EED" w:rsidRPr="00DA7718" w:rsidRDefault="00030EED" w:rsidP="00BD4C7C">
      <w:pPr>
        <w:pStyle w:val="a3"/>
        <w:adjustRightInd w:val="0"/>
        <w:snapToGrid w:val="0"/>
        <w:rPr>
          <w:lang w:val="fr-FR"/>
        </w:rPr>
      </w:pPr>
    </w:p>
    <w:p w14:paraId="60294892" w14:textId="5A5E9E99" w:rsidR="004401F0" w:rsidRPr="00DA7718" w:rsidRDefault="00DF3C4F" w:rsidP="00BD4C7C">
      <w:pPr>
        <w:pStyle w:val="a3"/>
        <w:adjustRightInd w:val="0"/>
        <w:snapToGrid w:val="0"/>
        <w:rPr>
          <w:lang w:val="fr-FR"/>
        </w:rPr>
      </w:pPr>
      <w:r w:rsidRPr="00DA7718">
        <w:rPr>
          <w:lang w:val="fr-FR"/>
        </w:rPr>
        <w:t xml:space="preserve">Il est recommandé de poursuivre le traitement par </w:t>
      </w:r>
      <w:r w:rsidR="00F05208">
        <w:rPr>
          <w:lang w:val="fr-FR"/>
        </w:rPr>
        <w:t>Vegzelma</w:t>
      </w:r>
      <w:r w:rsidR="00A92A66">
        <w:rPr>
          <w:lang w:val="fr-FR"/>
        </w:rPr>
        <w:t xml:space="preserve"> </w:t>
      </w:r>
      <w:r w:rsidRPr="00DA7718">
        <w:rPr>
          <w:lang w:val="fr-FR"/>
        </w:rPr>
        <w:t>en association à l’erlotinib jusqu’à progression de la maladie.</w:t>
      </w:r>
    </w:p>
    <w:p w14:paraId="2AD1E115" w14:textId="77777777" w:rsidR="004401F0" w:rsidRPr="007C119A" w:rsidRDefault="004401F0" w:rsidP="00BD4C7C">
      <w:pPr>
        <w:pStyle w:val="a3"/>
        <w:adjustRightInd w:val="0"/>
        <w:snapToGrid w:val="0"/>
        <w:rPr>
          <w:lang w:val="fr-FR"/>
        </w:rPr>
      </w:pPr>
    </w:p>
    <w:p w14:paraId="50B4A683" w14:textId="77777777" w:rsidR="004401F0" w:rsidRPr="00DA7718" w:rsidRDefault="00DF3C4F" w:rsidP="00BD4C7C">
      <w:pPr>
        <w:pStyle w:val="a3"/>
        <w:adjustRightInd w:val="0"/>
        <w:snapToGrid w:val="0"/>
        <w:rPr>
          <w:lang w:val="fr-FR"/>
        </w:rPr>
      </w:pPr>
      <w:r w:rsidRPr="00DA7718">
        <w:rPr>
          <w:lang w:val="fr-FR"/>
        </w:rPr>
        <w:t>Pour la posologie et le mode d’administration de l’erlotinib, veuillez-vous référer au Résumé des Caractéristiques du Produit de l’erlotinib.</w:t>
      </w:r>
    </w:p>
    <w:p w14:paraId="3D64DF29" w14:textId="77777777" w:rsidR="004401F0" w:rsidRPr="00DA7718" w:rsidRDefault="004401F0" w:rsidP="00BD4C7C">
      <w:pPr>
        <w:pStyle w:val="a3"/>
        <w:adjustRightInd w:val="0"/>
        <w:snapToGrid w:val="0"/>
        <w:rPr>
          <w:lang w:val="fr-FR"/>
        </w:rPr>
      </w:pPr>
    </w:p>
    <w:p w14:paraId="61D1ED20" w14:textId="77777777" w:rsidR="004401F0" w:rsidRPr="00DA7718" w:rsidRDefault="00DF3C4F" w:rsidP="00BD4C7C">
      <w:pPr>
        <w:adjustRightInd w:val="0"/>
        <w:snapToGrid w:val="0"/>
        <w:rPr>
          <w:i/>
          <w:lang w:val="fr-FR"/>
        </w:rPr>
      </w:pPr>
      <w:r w:rsidRPr="00DA7718">
        <w:rPr>
          <w:i/>
          <w:u w:val="single"/>
          <w:lang w:val="fr-FR"/>
        </w:rPr>
        <w:t>Cancer du rein avancé et/ou métastatique (CRm)</w:t>
      </w:r>
    </w:p>
    <w:p w14:paraId="4D82DE88" w14:textId="77777777" w:rsidR="004401F0" w:rsidRPr="003F4D24" w:rsidRDefault="004401F0" w:rsidP="00BD4C7C">
      <w:pPr>
        <w:pStyle w:val="a3"/>
        <w:adjustRightInd w:val="0"/>
        <w:snapToGrid w:val="0"/>
        <w:rPr>
          <w:i/>
          <w:lang w:val="fr-FR"/>
        </w:rPr>
      </w:pPr>
    </w:p>
    <w:p w14:paraId="309FF58D" w14:textId="7AF74745"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est recommandé à la posologie de 10</w:t>
      </w:r>
      <w:r w:rsidR="00DA7718" w:rsidRPr="00DA7718">
        <w:rPr>
          <w:lang w:val="fr-FR"/>
        </w:rPr>
        <w:t> mg</w:t>
      </w:r>
      <w:r w:rsidR="00DF3C4F" w:rsidRPr="00DA7718">
        <w:rPr>
          <w:lang w:val="fr-FR"/>
        </w:rPr>
        <w:t>/kg de poids corporel, administré une fois toutes les 2 semaines, en perfusion intraveineuse.</w:t>
      </w:r>
    </w:p>
    <w:p w14:paraId="039BFC84" w14:textId="77777777" w:rsidR="004401F0" w:rsidRPr="00DA7718" w:rsidRDefault="00DF3C4F" w:rsidP="00BD4C7C">
      <w:pPr>
        <w:pStyle w:val="a3"/>
        <w:adjustRightInd w:val="0"/>
        <w:snapToGrid w:val="0"/>
        <w:rPr>
          <w:lang w:val="fr-FR"/>
        </w:rPr>
      </w:pPr>
      <w:r w:rsidRPr="00DA7718">
        <w:rPr>
          <w:lang w:val="fr-FR"/>
        </w:rPr>
        <w:t>Il est recommandé de poursuivre le traitement jusqu’à la progression de la maladie sous-jacente ou toxicité inacceptable.</w:t>
      </w:r>
    </w:p>
    <w:p w14:paraId="123302B6" w14:textId="77777777" w:rsidR="004401F0" w:rsidRPr="007C119A" w:rsidRDefault="004401F0" w:rsidP="00BD4C7C">
      <w:pPr>
        <w:pStyle w:val="a3"/>
        <w:adjustRightInd w:val="0"/>
        <w:snapToGrid w:val="0"/>
        <w:rPr>
          <w:lang w:val="fr-FR"/>
        </w:rPr>
      </w:pPr>
    </w:p>
    <w:p w14:paraId="49FBC0C8" w14:textId="77777777" w:rsidR="004401F0" w:rsidRPr="00DA7718" w:rsidRDefault="00DF3C4F" w:rsidP="00BD4C7C">
      <w:pPr>
        <w:adjustRightInd w:val="0"/>
        <w:snapToGrid w:val="0"/>
        <w:rPr>
          <w:i/>
          <w:lang w:val="fr-FR"/>
        </w:rPr>
      </w:pPr>
      <w:r w:rsidRPr="00DA7718">
        <w:rPr>
          <w:i/>
          <w:u w:val="single"/>
          <w:lang w:val="fr-FR"/>
        </w:rPr>
        <w:t>Cancer épithélial de l’ovaire, des trompes de Fallope ou péritonéal primitif</w:t>
      </w:r>
    </w:p>
    <w:p w14:paraId="5A1F8921" w14:textId="77777777" w:rsidR="004401F0" w:rsidRPr="003F4D24" w:rsidRDefault="004401F0" w:rsidP="00BD4C7C">
      <w:pPr>
        <w:pStyle w:val="a3"/>
        <w:adjustRightInd w:val="0"/>
        <w:snapToGrid w:val="0"/>
        <w:rPr>
          <w:i/>
          <w:lang w:val="fr-FR"/>
        </w:rPr>
      </w:pPr>
    </w:p>
    <w:p w14:paraId="5725A141" w14:textId="4A5C749C" w:rsidR="004401F0" w:rsidRPr="00DA7718" w:rsidRDefault="00DF3C4F" w:rsidP="00966E27">
      <w:pPr>
        <w:pStyle w:val="a3"/>
        <w:adjustRightInd w:val="0"/>
        <w:snapToGrid w:val="0"/>
        <w:rPr>
          <w:lang w:val="fr-FR"/>
        </w:rPr>
      </w:pPr>
      <w:r w:rsidRPr="00F9256D">
        <w:rPr>
          <w:i/>
          <w:lang w:val="fr-FR"/>
        </w:rPr>
        <w:t>Traitement de première ligne</w:t>
      </w:r>
      <w:r w:rsidR="00765A43">
        <w:rPr>
          <w:i/>
          <w:lang w:val="fr-FR"/>
        </w:rPr>
        <w:t xml:space="preserve"> : </w:t>
      </w:r>
      <w:r w:rsidR="00F05208">
        <w:rPr>
          <w:lang w:val="fr-FR"/>
        </w:rPr>
        <w:t>Vegzelma</w:t>
      </w:r>
      <w:r w:rsidRPr="00DA7718">
        <w:rPr>
          <w:lang w:val="fr-FR"/>
        </w:rPr>
        <w:t xml:space="preserve"> est administré en association au carboplatine et au paclitaxel jusqu’à 6 cycles de traitement, suivis d</w:t>
      </w:r>
      <w:r w:rsidR="00686A9D">
        <w:rPr>
          <w:lang w:val="fr-FR"/>
        </w:rPr>
        <w:t xml:space="preserve">e </w:t>
      </w:r>
      <w:r w:rsidR="00F05208">
        <w:rPr>
          <w:lang w:val="fr-FR"/>
        </w:rPr>
        <w:t>Vegzelma</w:t>
      </w:r>
      <w:r w:rsidRPr="00DA7718">
        <w:rPr>
          <w:lang w:val="fr-FR"/>
        </w:rPr>
        <w:t xml:space="preserve"> en monothérapie en continu jusqu’à progression de la maladie ou jusqu’à 15 mois maximum ou jusqu’à toxicité inacceptable, selon ce qui survient en premier.</w:t>
      </w:r>
      <w:r w:rsidR="00966E27">
        <w:rPr>
          <w:lang w:val="fr-FR"/>
        </w:rPr>
        <w:t xml:space="preserve"> </w:t>
      </w:r>
      <w:r w:rsidR="00F05208">
        <w:rPr>
          <w:lang w:val="fr-FR"/>
        </w:rPr>
        <w:t>Vegzelma</w:t>
      </w:r>
      <w:r w:rsidRPr="00DA7718">
        <w:rPr>
          <w:lang w:val="fr-FR"/>
        </w:rPr>
        <w:t xml:space="preserve"> est recommandé à la posologie de 15</w:t>
      </w:r>
      <w:r w:rsidR="00DA7718" w:rsidRPr="00DA7718">
        <w:rPr>
          <w:lang w:val="fr-FR"/>
        </w:rPr>
        <w:t> mg</w:t>
      </w:r>
      <w:r w:rsidRPr="00DA7718">
        <w:rPr>
          <w:lang w:val="fr-FR"/>
        </w:rPr>
        <w:t>/kg de poids corporel administré une fois toutes les 3 semaines, en perfusion intraveineuse.</w:t>
      </w:r>
    </w:p>
    <w:p w14:paraId="59A826BC" w14:textId="77777777" w:rsidR="004401F0" w:rsidRPr="007C119A" w:rsidRDefault="004401F0" w:rsidP="00BD4C7C">
      <w:pPr>
        <w:pStyle w:val="a3"/>
        <w:adjustRightInd w:val="0"/>
        <w:snapToGrid w:val="0"/>
        <w:rPr>
          <w:lang w:val="fr-FR"/>
        </w:rPr>
      </w:pPr>
    </w:p>
    <w:p w14:paraId="22E2D842" w14:textId="0324BE8C" w:rsidR="004401F0" w:rsidRPr="00DA7718" w:rsidRDefault="00DF3C4F" w:rsidP="00BD4C7C">
      <w:pPr>
        <w:pStyle w:val="a3"/>
        <w:adjustRightInd w:val="0"/>
        <w:snapToGrid w:val="0"/>
        <w:rPr>
          <w:lang w:val="fr-FR"/>
        </w:rPr>
      </w:pPr>
      <w:r w:rsidRPr="00F9256D">
        <w:rPr>
          <w:i/>
          <w:lang w:val="fr-FR"/>
        </w:rPr>
        <w:t>Traitement de la maladie récidivante sensible aux sels de platine</w:t>
      </w:r>
      <w:r w:rsidR="00765A43">
        <w:rPr>
          <w:i/>
          <w:lang w:val="fr-FR"/>
        </w:rPr>
        <w:t xml:space="preserve"> : </w:t>
      </w:r>
      <w:r w:rsidR="00F05208">
        <w:rPr>
          <w:lang w:val="fr-FR"/>
        </w:rPr>
        <w:t>Vegzelma</w:t>
      </w:r>
      <w:r w:rsidRPr="00DA7718">
        <w:rPr>
          <w:lang w:val="fr-FR"/>
        </w:rPr>
        <w:t xml:space="preserve"> est administré en association soit au carboplatine et à la gemcitabine pendant 6 cycles, et jusqu’à 10 cycles ou soit en association au carboplatine et paclitaxel pendant 6 cycles, et jusqu’à 8 cycles, suivis </w:t>
      </w:r>
      <w:r w:rsidR="00686A9D">
        <w:rPr>
          <w:lang w:val="fr-FR"/>
        </w:rPr>
        <w:t xml:space="preserve">de </w:t>
      </w:r>
      <w:r w:rsidR="00F05208">
        <w:rPr>
          <w:lang w:val="fr-FR"/>
        </w:rPr>
        <w:t>Vegzelma</w:t>
      </w:r>
      <w:r w:rsidR="00686A9D" w:rsidRPr="00DA7718">
        <w:rPr>
          <w:lang w:val="fr-FR"/>
        </w:rPr>
        <w:t xml:space="preserve"> </w:t>
      </w:r>
      <w:r w:rsidRPr="00DA7718">
        <w:rPr>
          <w:lang w:val="fr-FR"/>
        </w:rPr>
        <w:t xml:space="preserve">en monothérapie en continu jusqu’à progression de la maladie. </w:t>
      </w:r>
      <w:r w:rsidR="00F05208">
        <w:rPr>
          <w:lang w:val="fr-FR"/>
        </w:rPr>
        <w:t>Vegzelma</w:t>
      </w:r>
      <w:r w:rsidRPr="00DA7718">
        <w:rPr>
          <w:lang w:val="fr-FR"/>
        </w:rPr>
        <w:t xml:space="preserve"> est recommandé à la dose de 15</w:t>
      </w:r>
      <w:r w:rsidR="00DA7718" w:rsidRPr="00DA7718">
        <w:rPr>
          <w:lang w:val="fr-FR"/>
        </w:rPr>
        <w:t> mg</w:t>
      </w:r>
      <w:r w:rsidRPr="00DA7718">
        <w:rPr>
          <w:lang w:val="fr-FR"/>
        </w:rPr>
        <w:t>/kg de poids corporel administré une fois toutes les 3 semaines, en perfusion intraveineuse.</w:t>
      </w:r>
    </w:p>
    <w:p w14:paraId="738F2D45" w14:textId="77777777" w:rsidR="004401F0" w:rsidRPr="00DA7718" w:rsidRDefault="004401F0" w:rsidP="00BD4C7C">
      <w:pPr>
        <w:pStyle w:val="a3"/>
        <w:adjustRightInd w:val="0"/>
        <w:snapToGrid w:val="0"/>
        <w:rPr>
          <w:lang w:val="fr-FR"/>
        </w:rPr>
      </w:pPr>
    </w:p>
    <w:p w14:paraId="56C8B357" w14:textId="4E692E6D" w:rsidR="004401F0" w:rsidRPr="00DA7718" w:rsidRDefault="00DF3C4F" w:rsidP="00654D21">
      <w:pPr>
        <w:pStyle w:val="a3"/>
        <w:keepNext/>
        <w:keepLines/>
        <w:adjustRightInd w:val="0"/>
        <w:snapToGrid w:val="0"/>
        <w:rPr>
          <w:lang w:val="fr-FR"/>
        </w:rPr>
      </w:pPr>
      <w:r w:rsidRPr="00F9256D">
        <w:rPr>
          <w:i/>
          <w:lang w:val="fr-FR"/>
        </w:rPr>
        <w:lastRenderedPageBreak/>
        <w:t>Traitement de la maladie récidivante résistante aux sels de platine</w:t>
      </w:r>
      <w:r w:rsidR="00765A43" w:rsidRPr="00F9256D">
        <w:rPr>
          <w:i/>
          <w:lang w:val="fr-FR"/>
        </w:rPr>
        <w:t> :</w:t>
      </w:r>
      <w:r w:rsidR="00765A43">
        <w:rPr>
          <w:i/>
          <w:u w:val="single"/>
          <w:lang w:val="fr-FR"/>
        </w:rPr>
        <w:t xml:space="preserve"> </w:t>
      </w:r>
      <w:r w:rsidR="00F05208">
        <w:rPr>
          <w:lang w:val="fr-FR"/>
        </w:rPr>
        <w:t>Vegzelma</w:t>
      </w:r>
      <w:r w:rsidRPr="00DA7718">
        <w:rPr>
          <w:lang w:val="fr-FR"/>
        </w:rPr>
        <w:t xml:space="preserve"> est administré en association avec l’un des agents suivants - paclitaxel, topotécan (administré chaque semaine) ou doxorubicine liposomale pégylée. </w:t>
      </w:r>
      <w:r w:rsidR="00F05208">
        <w:rPr>
          <w:lang w:val="fr-FR"/>
        </w:rPr>
        <w:t>Vegzelma</w:t>
      </w:r>
      <w:r w:rsidRPr="00DA7718">
        <w:rPr>
          <w:lang w:val="fr-FR"/>
        </w:rPr>
        <w:t xml:space="preserve"> est recommandé à la dose de 10</w:t>
      </w:r>
      <w:r w:rsidR="00DA7718" w:rsidRPr="00DA7718">
        <w:rPr>
          <w:lang w:val="fr-FR"/>
        </w:rPr>
        <w:t> mg</w:t>
      </w:r>
      <w:r w:rsidRPr="00DA7718">
        <w:rPr>
          <w:lang w:val="fr-FR"/>
        </w:rPr>
        <w:t xml:space="preserve">/kg de poids corporel administré une fois toutes les 2 semaines, en perfusion intraveineuse. Lorsque </w:t>
      </w:r>
      <w:r w:rsidR="00F05208">
        <w:rPr>
          <w:lang w:val="fr-FR"/>
        </w:rPr>
        <w:t>Vegzelma</w:t>
      </w:r>
      <w:r w:rsidRPr="00DA7718">
        <w:rPr>
          <w:lang w:val="fr-FR"/>
        </w:rPr>
        <w:t xml:space="preserve"> est administré en association avec le topotécan (administré aux jours 1-5, toutes les 3 semaines), </w:t>
      </w:r>
      <w:r w:rsidR="00F05208">
        <w:rPr>
          <w:lang w:val="fr-FR"/>
        </w:rPr>
        <w:t>Vegzelma</w:t>
      </w:r>
      <w:r w:rsidRPr="00DA7718">
        <w:rPr>
          <w:lang w:val="fr-FR"/>
        </w:rPr>
        <w:t xml:space="preserve"> est recommandé à la dose de 15</w:t>
      </w:r>
      <w:r w:rsidR="00DA7718" w:rsidRPr="00DA7718">
        <w:rPr>
          <w:lang w:val="fr-FR"/>
        </w:rPr>
        <w:t> mg</w:t>
      </w:r>
      <w:r w:rsidRPr="00DA7718">
        <w:rPr>
          <w:lang w:val="fr-FR"/>
        </w:rPr>
        <w:t xml:space="preserve">/kg de poids corporel administré une fois toutes les </w:t>
      </w:r>
      <w:r w:rsidR="00067112" w:rsidRPr="00DA7718">
        <w:rPr>
          <w:lang w:val="fr-FR"/>
        </w:rPr>
        <w:t>3</w:t>
      </w:r>
      <w:r w:rsidR="00067112">
        <w:rPr>
          <w:lang w:val="fr-FR"/>
        </w:rPr>
        <w:t> </w:t>
      </w:r>
      <w:r w:rsidRPr="00DA7718">
        <w:rPr>
          <w:lang w:val="fr-FR"/>
        </w:rPr>
        <w:t>semaines en perfusion intraveineuse. Il est recommandé de poursuivre le traitement jusqu’à progression de la maladie ou toxicité inacceptable (voir rubrique 5.1, étude MO22224).</w:t>
      </w:r>
    </w:p>
    <w:p w14:paraId="6C94F36F" w14:textId="77777777" w:rsidR="004401F0" w:rsidRPr="007C119A" w:rsidRDefault="004401F0" w:rsidP="00BD4C7C">
      <w:pPr>
        <w:pStyle w:val="a3"/>
        <w:adjustRightInd w:val="0"/>
        <w:snapToGrid w:val="0"/>
        <w:rPr>
          <w:lang w:val="fr-FR"/>
        </w:rPr>
      </w:pPr>
    </w:p>
    <w:p w14:paraId="294BD992" w14:textId="77777777" w:rsidR="004401F0" w:rsidRPr="00DA7718" w:rsidRDefault="00DF3C4F" w:rsidP="00BD4C7C">
      <w:pPr>
        <w:adjustRightInd w:val="0"/>
        <w:snapToGrid w:val="0"/>
        <w:rPr>
          <w:i/>
          <w:lang w:val="fr-FR"/>
        </w:rPr>
      </w:pPr>
      <w:r w:rsidRPr="00DA7718">
        <w:rPr>
          <w:i/>
          <w:u w:val="single"/>
          <w:lang w:val="fr-FR"/>
        </w:rPr>
        <w:t>Cancer du col de l’utérus</w:t>
      </w:r>
    </w:p>
    <w:p w14:paraId="5DE66D69" w14:textId="77777777" w:rsidR="004401F0" w:rsidRPr="003F4D24" w:rsidRDefault="004401F0" w:rsidP="00BD4C7C">
      <w:pPr>
        <w:pStyle w:val="a3"/>
        <w:adjustRightInd w:val="0"/>
        <w:snapToGrid w:val="0"/>
        <w:rPr>
          <w:i/>
          <w:lang w:val="fr-FR"/>
        </w:rPr>
      </w:pPr>
    </w:p>
    <w:p w14:paraId="6C0037E6" w14:textId="3426DA0C" w:rsidR="004401F0" w:rsidRDefault="00F05208" w:rsidP="00BD4C7C">
      <w:pPr>
        <w:pStyle w:val="a3"/>
        <w:adjustRightInd w:val="0"/>
        <w:snapToGrid w:val="0"/>
        <w:rPr>
          <w:lang w:val="fr-FR"/>
        </w:rPr>
      </w:pPr>
      <w:r>
        <w:rPr>
          <w:lang w:val="fr-FR"/>
        </w:rPr>
        <w:t>Vegzelma</w:t>
      </w:r>
      <w:r w:rsidR="00DF3C4F" w:rsidRPr="00DA7718">
        <w:rPr>
          <w:lang w:val="fr-FR"/>
        </w:rPr>
        <w:t xml:space="preserve"> est administré en association avec l’un des protocoles de chimiothérapie suivants</w:t>
      </w:r>
      <w:r w:rsidR="00765A43">
        <w:rPr>
          <w:lang w:val="fr-FR"/>
        </w:rPr>
        <w:t xml:space="preserve"> : </w:t>
      </w:r>
      <w:r w:rsidR="00DF3C4F" w:rsidRPr="00DA7718">
        <w:rPr>
          <w:lang w:val="fr-FR"/>
        </w:rPr>
        <w:t>paclitaxel et cisplatine ou paclitaxel et topotécan.</w:t>
      </w:r>
    </w:p>
    <w:p w14:paraId="127F9209" w14:textId="77777777" w:rsidR="00067112" w:rsidRPr="00DA7718" w:rsidRDefault="00067112" w:rsidP="00BD4C7C">
      <w:pPr>
        <w:pStyle w:val="a3"/>
        <w:adjustRightInd w:val="0"/>
        <w:snapToGrid w:val="0"/>
        <w:rPr>
          <w:lang w:val="fr-FR"/>
        </w:rPr>
      </w:pPr>
    </w:p>
    <w:p w14:paraId="5F6D5BD4" w14:textId="5187DF04"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est recommandé à la dose de 15</w:t>
      </w:r>
      <w:r w:rsidR="00DA7718" w:rsidRPr="00DA7718">
        <w:rPr>
          <w:lang w:val="fr-FR"/>
        </w:rPr>
        <w:t> mg</w:t>
      </w:r>
      <w:r w:rsidR="00DF3C4F" w:rsidRPr="00DA7718">
        <w:rPr>
          <w:lang w:val="fr-FR"/>
        </w:rPr>
        <w:t xml:space="preserve">/kg de poids corporel administré une fois toutes les </w:t>
      </w:r>
      <w:r w:rsidR="00067112" w:rsidRPr="00DA7718">
        <w:rPr>
          <w:lang w:val="fr-FR"/>
        </w:rPr>
        <w:t>3</w:t>
      </w:r>
      <w:r w:rsidR="00067112">
        <w:rPr>
          <w:lang w:val="fr-FR"/>
        </w:rPr>
        <w:t> </w:t>
      </w:r>
      <w:r w:rsidR="00DF3C4F" w:rsidRPr="00DA7718">
        <w:rPr>
          <w:lang w:val="fr-FR"/>
        </w:rPr>
        <w:t>semaines en perfusion intraveineuse.</w:t>
      </w:r>
    </w:p>
    <w:p w14:paraId="0168B5CD" w14:textId="77777777" w:rsidR="00BD4C7C" w:rsidRPr="00DA7718" w:rsidRDefault="00BD4C7C" w:rsidP="00BD4C7C">
      <w:pPr>
        <w:adjustRightInd w:val="0"/>
        <w:snapToGrid w:val="0"/>
        <w:rPr>
          <w:lang w:val="fr-FR"/>
        </w:rPr>
      </w:pPr>
    </w:p>
    <w:p w14:paraId="29132E86" w14:textId="77777777" w:rsidR="004401F0" w:rsidRPr="00DA7718" w:rsidRDefault="00DF3C4F" w:rsidP="00BD4C7C">
      <w:pPr>
        <w:pStyle w:val="a3"/>
        <w:adjustRightInd w:val="0"/>
        <w:snapToGrid w:val="0"/>
        <w:rPr>
          <w:lang w:val="fr-FR"/>
        </w:rPr>
      </w:pPr>
      <w:r w:rsidRPr="00DA7718">
        <w:rPr>
          <w:lang w:val="fr-FR"/>
        </w:rPr>
        <w:t>Il est recommandé de poursuivre le traitement jusqu’à progression de la maladie sous-jacente ou toxicité inacceptable (voir rubrique 5.1).</w:t>
      </w:r>
    </w:p>
    <w:p w14:paraId="5FEC953C" w14:textId="77777777" w:rsidR="004401F0" w:rsidRPr="00DA7718" w:rsidRDefault="004401F0" w:rsidP="00BD4C7C">
      <w:pPr>
        <w:pStyle w:val="a3"/>
        <w:adjustRightInd w:val="0"/>
        <w:snapToGrid w:val="0"/>
        <w:rPr>
          <w:lang w:val="fr-FR"/>
        </w:rPr>
      </w:pPr>
    </w:p>
    <w:p w14:paraId="1225F9E0" w14:textId="77777777" w:rsidR="004401F0" w:rsidRPr="00DA7718" w:rsidRDefault="00DF3C4F" w:rsidP="00BD4C7C">
      <w:pPr>
        <w:adjustRightInd w:val="0"/>
        <w:snapToGrid w:val="0"/>
        <w:rPr>
          <w:i/>
          <w:lang w:val="fr-FR"/>
        </w:rPr>
      </w:pPr>
      <w:r w:rsidRPr="00DA7718">
        <w:rPr>
          <w:i/>
          <w:u w:val="single"/>
          <w:lang w:val="fr-FR"/>
        </w:rPr>
        <w:t>Populations particulières</w:t>
      </w:r>
    </w:p>
    <w:p w14:paraId="55EFC4B7" w14:textId="77777777" w:rsidR="004401F0" w:rsidRPr="003F4D24" w:rsidRDefault="004401F0" w:rsidP="00BD4C7C">
      <w:pPr>
        <w:pStyle w:val="a3"/>
        <w:adjustRightInd w:val="0"/>
        <w:snapToGrid w:val="0"/>
        <w:rPr>
          <w:i/>
          <w:lang w:val="fr-FR"/>
        </w:rPr>
      </w:pPr>
    </w:p>
    <w:p w14:paraId="6A5A7F1D" w14:textId="7A565410" w:rsidR="007C119A" w:rsidRDefault="00DF3C4F" w:rsidP="00BD4C7C">
      <w:pPr>
        <w:pStyle w:val="a3"/>
        <w:adjustRightInd w:val="0"/>
        <w:snapToGrid w:val="0"/>
        <w:rPr>
          <w:i/>
          <w:lang w:val="fr-FR"/>
        </w:rPr>
      </w:pPr>
      <w:r w:rsidRPr="00DA7718">
        <w:rPr>
          <w:i/>
          <w:lang w:val="fr-FR"/>
        </w:rPr>
        <w:t>Patients âgés</w:t>
      </w:r>
    </w:p>
    <w:p w14:paraId="2CCB652F" w14:textId="77777777" w:rsidR="004401F0" w:rsidRPr="00DA7718" w:rsidRDefault="00DF3C4F" w:rsidP="00BD4C7C">
      <w:pPr>
        <w:pStyle w:val="a3"/>
        <w:adjustRightInd w:val="0"/>
        <w:snapToGrid w:val="0"/>
        <w:rPr>
          <w:lang w:val="fr-FR"/>
        </w:rPr>
      </w:pPr>
      <w:r w:rsidRPr="00DA7718">
        <w:rPr>
          <w:lang w:val="fr-FR"/>
        </w:rPr>
        <w:t>Aucune adaptation de la dose n’est nécessaire chez les patients âgés de 65 ans et plus.</w:t>
      </w:r>
    </w:p>
    <w:p w14:paraId="11F59A43" w14:textId="77777777" w:rsidR="004401F0" w:rsidRPr="00DA7718" w:rsidRDefault="004401F0" w:rsidP="00BD4C7C">
      <w:pPr>
        <w:pStyle w:val="a3"/>
        <w:adjustRightInd w:val="0"/>
        <w:snapToGrid w:val="0"/>
        <w:rPr>
          <w:lang w:val="fr-FR"/>
        </w:rPr>
      </w:pPr>
    </w:p>
    <w:p w14:paraId="162BBC2E" w14:textId="5CE3DDA6" w:rsidR="007C119A" w:rsidRDefault="00DF3C4F" w:rsidP="00BD4C7C">
      <w:pPr>
        <w:adjustRightInd w:val="0"/>
        <w:snapToGrid w:val="0"/>
        <w:rPr>
          <w:i/>
          <w:lang w:val="fr-FR"/>
        </w:rPr>
      </w:pPr>
      <w:r w:rsidRPr="00DA7718">
        <w:rPr>
          <w:i/>
          <w:lang w:val="fr-FR"/>
        </w:rPr>
        <w:t>Patients en insuffisance rénale</w:t>
      </w:r>
    </w:p>
    <w:p w14:paraId="26DF0143" w14:textId="43A9A6FD" w:rsidR="004401F0" w:rsidRPr="00DA7718" w:rsidRDefault="00DF3C4F" w:rsidP="00BD4C7C">
      <w:pPr>
        <w:adjustRightInd w:val="0"/>
        <w:snapToGrid w:val="0"/>
        <w:rPr>
          <w:lang w:val="fr-FR"/>
        </w:rPr>
      </w:pPr>
      <w:r w:rsidRPr="00DA7718">
        <w:rPr>
          <w:lang w:val="fr-FR"/>
        </w:rPr>
        <w:t>La tolérance et l’efficacité n’ont pas été étudiées chez les patients insuffisants rénaux (</w:t>
      </w:r>
      <w:r w:rsidR="00067112" w:rsidRPr="00DA7718">
        <w:rPr>
          <w:lang w:val="fr-FR"/>
        </w:rPr>
        <w:t>voir</w:t>
      </w:r>
      <w:r w:rsidR="00067112">
        <w:rPr>
          <w:lang w:val="fr-FR"/>
        </w:rPr>
        <w:t> </w:t>
      </w:r>
      <w:r w:rsidR="00067112" w:rsidRPr="00DA7718">
        <w:rPr>
          <w:lang w:val="fr-FR"/>
        </w:rPr>
        <w:t>rubrique</w:t>
      </w:r>
      <w:r w:rsidR="00067112">
        <w:rPr>
          <w:lang w:val="fr-FR"/>
        </w:rPr>
        <w:t> </w:t>
      </w:r>
      <w:r w:rsidRPr="00DA7718">
        <w:rPr>
          <w:lang w:val="fr-FR"/>
        </w:rPr>
        <w:t>5.2).</w:t>
      </w:r>
    </w:p>
    <w:p w14:paraId="544024EE" w14:textId="77777777" w:rsidR="004401F0" w:rsidRPr="007C119A" w:rsidRDefault="004401F0" w:rsidP="00BD4C7C">
      <w:pPr>
        <w:pStyle w:val="a3"/>
        <w:adjustRightInd w:val="0"/>
        <w:snapToGrid w:val="0"/>
        <w:rPr>
          <w:lang w:val="fr-FR"/>
        </w:rPr>
      </w:pPr>
    </w:p>
    <w:p w14:paraId="3BD5A424" w14:textId="2CBB229D" w:rsidR="007C119A" w:rsidRDefault="00DF3C4F" w:rsidP="00BD4C7C">
      <w:pPr>
        <w:adjustRightInd w:val="0"/>
        <w:snapToGrid w:val="0"/>
        <w:rPr>
          <w:i/>
          <w:lang w:val="fr-FR"/>
        </w:rPr>
      </w:pPr>
      <w:r w:rsidRPr="00DA7718">
        <w:rPr>
          <w:i/>
          <w:lang w:val="fr-FR"/>
        </w:rPr>
        <w:t>Patients en insuffisance hépatique</w:t>
      </w:r>
    </w:p>
    <w:p w14:paraId="0E06BF37" w14:textId="3F4AE48D" w:rsidR="004401F0" w:rsidRPr="00DA7718" w:rsidRDefault="00DF3C4F" w:rsidP="00BD4C7C">
      <w:pPr>
        <w:adjustRightInd w:val="0"/>
        <w:snapToGrid w:val="0"/>
        <w:rPr>
          <w:lang w:val="fr-FR"/>
        </w:rPr>
      </w:pPr>
      <w:r w:rsidRPr="00DA7718">
        <w:rPr>
          <w:lang w:val="fr-FR"/>
        </w:rPr>
        <w:t>La tolérance et l’efficacité n’ont pas été étudiées chez les patients insuffisants hépatiques (</w:t>
      </w:r>
      <w:r w:rsidR="00067112" w:rsidRPr="00DA7718">
        <w:rPr>
          <w:lang w:val="fr-FR"/>
        </w:rPr>
        <w:t>voir</w:t>
      </w:r>
      <w:r w:rsidR="00067112">
        <w:rPr>
          <w:lang w:val="fr-FR"/>
        </w:rPr>
        <w:t> </w:t>
      </w:r>
      <w:r w:rsidRPr="00DA7718">
        <w:rPr>
          <w:lang w:val="fr-FR"/>
        </w:rPr>
        <w:t>rubrique 5.2).</w:t>
      </w:r>
    </w:p>
    <w:p w14:paraId="33E2550F" w14:textId="77777777" w:rsidR="004401F0" w:rsidRPr="007C119A" w:rsidRDefault="004401F0" w:rsidP="00BD4C7C">
      <w:pPr>
        <w:pStyle w:val="a3"/>
        <w:adjustRightInd w:val="0"/>
        <w:snapToGrid w:val="0"/>
        <w:rPr>
          <w:lang w:val="fr-FR"/>
        </w:rPr>
      </w:pPr>
    </w:p>
    <w:p w14:paraId="0CE5DD25" w14:textId="77777777" w:rsidR="004401F0" w:rsidRPr="007C119A" w:rsidRDefault="00DF3C4F" w:rsidP="00BD4C7C">
      <w:pPr>
        <w:adjustRightInd w:val="0"/>
        <w:snapToGrid w:val="0"/>
        <w:rPr>
          <w:i/>
          <w:lang w:val="fr-FR"/>
        </w:rPr>
      </w:pPr>
      <w:r w:rsidRPr="007C119A">
        <w:rPr>
          <w:i/>
          <w:lang w:val="fr-FR"/>
        </w:rPr>
        <w:t>Population pédiatrique</w:t>
      </w:r>
    </w:p>
    <w:p w14:paraId="69618CDC" w14:textId="77777777" w:rsidR="004401F0" w:rsidRPr="00DA7718" w:rsidRDefault="00DF3C4F" w:rsidP="00BD4C7C">
      <w:pPr>
        <w:pStyle w:val="a3"/>
        <w:adjustRightInd w:val="0"/>
        <w:snapToGrid w:val="0"/>
        <w:rPr>
          <w:lang w:val="fr-FR"/>
        </w:rPr>
      </w:pPr>
      <w:r w:rsidRPr="00DA7718">
        <w:rPr>
          <w:lang w:val="fr-FR"/>
        </w:rPr>
        <w:t>La sécurité et l’efficacité du bevacizumab chez les enfants âgés de moins de 18 ans n’ont pas été établies. Les données actuellement disponibles sont décrites en rubriques 4.8, 5.1 et 5.2 mais aucune recommandation sur la posologie ne peut être donnée.</w:t>
      </w:r>
    </w:p>
    <w:p w14:paraId="5E65CB82" w14:textId="77777777" w:rsidR="004401F0" w:rsidRPr="007C119A" w:rsidRDefault="004401F0" w:rsidP="00BD4C7C">
      <w:pPr>
        <w:pStyle w:val="a3"/>
        <w:adjustRightInd w:val="0"/>
        <w:snapToGrid w:val="0"/>
        <w:rPr>
          <w:lang w:val="fr-FR"/>
        </w:rPr>
      </w:pPr>
    </w:p>
    <w:p w14:paraId="023D102C" w14:textId="77777777" w:rsidR="004401F0" w:rsidRPr="00DA7718" w:rsidRDefault="00DF3C4F" w:rsidP="00BD4C7C">
      <w:pPr>
        <w:pStyle w:val="a3"/>
        <w:adjustRightInd w:val="0"/>
        <w:snapToGrid w:val="0"/>
        <w:rPr>
          <w:lang w:val="fr-FR"/>
        </w:rPr>
      </w:pPr>
      <w:r w:rsidRPr="00DA7718">
        <w:rPr>
          <w:lang w:val="fr-FR"/>
        </w:rPr>
        <w:t>Il n’existe aucune utilisation pertinente du bevacizumab au sein de la population pédiatrique dans les indications de traitement des cancers du côlon, du rectum, du sein, du poumon, de l’ovaire, des trompes de Fallope, du péritoine, du col de l’utérus et du rein.</w:t>
      </w:r>
    </w:p>
    <w:p w14:paraId="7BA22892" w14:textId="77777777" w:rsidR="004401F0" w:rsidRPr="00DA7718" w:rsidRDefault="004401F0" w:rsidP="00BD4C7C">
      <w:pPr>
        <w:pStyle w:val="a3"/>
        <w:adjustRightInd w:val="0"/>
        <w:snapToGrid w:val="0"/>
        <w:rPr>
          <w:lang w:val="fr-FR"/>
        </w:rPr>
      </w:pPr>
    </w:p>
    <w:p w14:paraId="16FB58EA" w14:textId="77777777" w:rsidR="004401F0" w:rsidRPr="00DA7718" w:rsidRDefault="00DF3C4F" w:rsidP="00BD4C7C">
      <w:pPr>
        <w:pStyle w:val="a3"/>
        <w:adjustRightInd w:val="0"/>
        <w:snapToGrid w:val="0"/>
        <w:rPr>
          <w:lang w:val="fr-FR"/>
        </w:rPr>
      </w:pPr>
      <w:r w:rsidRPr="00DA7718">
        <w:rPr>
          <w:u w:val="single"/>
          <w:lang w:val="fr-FR"/>
        </w:rPr>
        <w:t>Mode d’administration</w:t>
      </w:r>
    </w:p>
    <w:p w14:paraId="438EB464" w14:textId="77777777" w:rsidR="004401F0" w:rsidRPr="003F4D24" w:rsidRDefault="004401F0" w:rsidP="00BD4C7C">
      <w:pPr>
        <w:pStyle w:val="a3"/>
        <w:adjustRightInd w:val="0"/>
        <w:snapToGrid w:val="0"/>
        <w:rPr>
          <w:lang w:val="fr-FR"/>
        </w:rPr>
      </w:pPr>
    </w:p>
    <w:p w14:paraId="54AB40AF" w14:textId="6483826E" w:rsidR="004401F0" w:rsidRPr="00DA7718" w:rsidRDefault="00F05208" w:rsidP="00BD4C7C">
      <w:pPr>
        <w:pStyle w:val="a3"/>
        <w:adjustRightInd w:val="0"/>
        <w:snapToGrid w:val="0"/>
        <w:rPr>
          <w:lang w:val="fr-FR"/>
        </w:rPr>
      </w:pPr>
      <w:r>
        <w:rPr>
          <w:lang w:val="fr-FR"/>
        </w:rPr>
        <w:t>Vegzelma</w:t>
      </w:r>
      <w:r w:rsidR="00866552">
        <w:rPr>
          <w:lang w:val="fr-FR"/>
        </w:rPr>
        <w:t xml:space="preserve"> </w:t>
      </w:r>
      <w:r w:rsidR="009246E1">
        <w:rPr>
          <w:lang w:val="fr-FR"/>
        </w:rPr>
        <w:t xml:space="preserve">doit être administré </w:t>
      </w:r>
      <w:r w:rsidR="00866552">
        <w:rPr>
          <w:lang w:val="fr-FR"/>
        </w:rPr>
        <w:t xml:space="preserve">par voie intraveineuse. </w:t>
      </w:r>
      <w:r w:rsidR="00DF3C4F" w:rsidRPr="00DA7718">
        <w:rPr>
          <w:lang w:val="fr-FR"/>
        </w:rPr>
        <w:t>La dose initiale doit être administrée par une perfusion intraveineuse de 90 minutes. Si la première perfusion est bien tolérée, la deuxième perfusion peut être administrée en 60 minutes. Si la perfusion administrée en 60 minutes est bien tolérée, toutes les perfusions ultérieures pourront être administrées en 30 minutes.</w:t>
      </w:r>
    </w:p>
    <w:p w14:paraId="48DD6A0B" w14:textId="77777777" w:rsidR="004401F0" w:rsidRPr="007C119A" w:rsidRDefault="004401F0" w:rsidP="00BD4C7C">
      <w:pPr>
        <w:pStyle w:val="a3"/>
        <w:adjustRightInd w:val="0"/>
        <w:snapToGrid w:val="0"/>
        <w:rPr>
          <w:lang w:val="fr-FR"/>
        </w:rPr>
      </w:pPr>
    </w:p>
    <w:p w14:paraId="7139F41F" w14:textId="77777777" w:rsidR="004401F0" w:rsidRPr="00DA7718" w:rsidRDefault="00DF3C4F" w:rsidP="00BD4C7C">
      <w:pPr>
        <w:pStyle w:val="a3"/>
        <w:adjustRightInd w:val="0"/>
        <w:snapToGrid w:val="0"/>
        <w:jc w:val="both"/>
        <w:rPr>
          <w:lang w:val="fr-FR"/>
        </w:rPr>
      </w:pPr>
      <w:r w:rsidRPr="00DA7718">
        <w:rPr>
          <w:lang w:val="fr-FR"/>
        </w:rPr>
        <w:t>Ne pas administrer par voie I.V. rapide ou en bolus.</w:t>
      </w:r>
    </w:p>
    <w:p w14:paraId="57573814" w14:textId="77777777" w:rsidR="004401F0" w:rsidRPr="007C119A" w:rsidRDefault="004401F0" w:rsidP="00BD4C7C">
      <w:pPr>
        <w:pStyle w:val="a3"/>
        <w:adjustRightInd w:val="0"/>
        <w:snapToGrid w:val="0"/>
        <w:rPr>
          <w:lang w:val="fr-FR"/>
        </w:rPr>
      </w:pPr>
    </w:p>
    <w:p w14:paraId="480F49FB" w14:textId="372ED2BC" w:rsidR="004401F0" w:rsidRPr="00DA7718" w:rsidRDefault="00DF3C4F" w:rsidP="00BD4C7C">
      <w:pPr>
        <w:pStyle w:val="a3"/>
        <w:adjustRightInd w:val="0"/>
        <w:snapToGrid w:val="0"/>
        <w:jc w:val="both"/>
        <w:rPr>
          <w:lang w:val="fr-FR"/>
        </w:rPr>
      </w:pPr>
      <w:r w:rsidRPr="00DA7718">
        <w:rPr>
          <w:lang w:val="fr-FR"/>
        </w:rPr>
        <w:t xml:space="preserve">Une réduction de dose n’est pas recommandée en cas de survenue d’effets indésirables. Si nécessaire, le traitement doit être soit arrêté de façon définitive, soit suspendu de façon temporaire, comme décrit </w:t>
      </w:r>
      <w:r w:rsidR="00CC31A1">
        <w:rPr>
          <w:lang w:val="fr-FR"/>
        </w:rPr>
        <w:t>à la</w:t>
      </w:r>
      <w:r w:rsidR="00CC31A1" w:rsidRPr="00DA7718">
        <w:rPr>
          <w:lang w:val="fr-FR"/>
        </w:rPr>
        <w:t xml:space="preserve"> </w:t>
      </w:r>
      <w:r w:rsidRPr="00DA7718">
        <w:rPr>
          <w:lang w:val="fr-FR"/>
        </w:rPr>
        <w:t>rubrique 4.4.</w:t>
      </w:r>
    </w:p>
    <w:p w14:paraId="0D95FF8C" w14:textId="77777777" w:rsidR="004401F0" w:rsidRPr="00DA7718" w:rsidRDefault="004401F0" w:rsidP="00BD4C7C">
      <w:pPr>
        <w:pStyle w:val="a3"/>
        <w:adjustRightInd w:val="0"/>
        <w:snapToGrid w:val="0"/>
        <w:rPr>
          <w:lang w:val="fr-FR"/>
        </w:rPr>
      </w:pPr>
    </w:p>
    <w:p w14:paraId="4E795DC6" w14:textId="77777777" w:rsidR="004401F0" w:rsidRPr="00DA7718" w:rsidRDefault="00DF3C4F" w:rsidP="00654D21">
      <w:pPr>
        <w:keepNext/>
        <w:keepLines/>
        <w:adjustRightInd w:val="0"/>
        <w:snapToGrid w:val="0"/>
        <w:jc w:val="both"/>
        <w:rPr>
          <w:i/>
          <w:lang w:val="fr-FR"/>
        </w:rPr>
      </w:pPr>
      <w:r w:rsidRPr="00DA7718">
        <w:rPr>
          <w:i/>
          <w:u w:val="single"/>
          <w:lang w:val="fr-FR"/>
        </w:rPr>
        <w:lastRenderedPageBreak/>
        <w:t>Précautions à prendre avant la manipulation ou l’administration du médicament</w:t>
      </w:r>
    </w:p>
    <w:p w14:paraId="210F4C73" w14:textId="77777777" w:rsidR="004401F0" w:rsidRPr="003F4D24" w:rsidRDefault="004401F0" w:rsidP="00654D21">
      <w:pPr>
        <w:pStyle w:val="a3"/>
        <w:keepNext/>
        <w:keepLines/>
        <w:adjustRightInd w:val="0"/>
        <w:snapToGrid w:val="0"/>
        <w:rPr>
          <w:i/>
          <w:lang w:val="fr-FR"/>
        </w:rPr>
      </w:pPr>
    </w:p>
    <w:p w14:paraId="62F4913F" w14:textId="242F97F8" w:rsidR="004401F0" w:rsidRPr="00DA7718" w:rsidRDefault="00DF3C4F" w:rsidP="00BD4C7C">
      <w:pPr>
        <w:pStyle w:val="a3"/>
        <w:adjustRightInd w:val="0"/>
        <w:snapToGrid w:val="0"/>
        <w:rPr>
          <w:lang w:val="fr-FR"/>
        </w:rPr>
      </w:pPr>
      <w:r w:rsidRPr="00DA7718">
        <w:rPr>
          <w:lang w:val="fr-FR"/>
        </w:rPr>
        <w:t>Pour les instructions concernant la dilution du médicament avant administration, voir la rubrique 6.6. Les perfusions d</w:t>
      </w:r>
      <w:r w:rsidR="00866552">
        <w:rPr>
          <w:lang w:val="fr-FR"/>
        </w:rPr>
        <w:t xml:space="preserve">e </w:t>
      </w:r>
      <w:r w:rsidR="00F05208">
        <w:rPr>
          <w:lang w:val="fr-FR"/>
        </w:rPr>
        <w:t>Vegzelma</w:t>
      </w:r>
      <w:r w:rsidRPr="00DA7718">
        <w:rPr>
          <w:lang w:val="fr-FR"/>
        </w:rPr>
        <w:t xml:space="preserve"> ne doivent pas être administrées, ou mélangées, avec des solutions de glucose. Ce médicament ne doit pas être mélangé à d’autres médicaments excepté ceux mentionnés dans la rubrique 6.6.</w:t>
      </w:r>
    </w:p>
    <w:p w14:paraId="5B7503F0" w14:textId="77777777" w:rsidR="004401F0" w:rsidRPr="00DA7718" w:rsidRDefault="004401F0" w:rsidP="00BD4C7C">
      <w:pPr>
        <w:pStyle w:val="a3"/>
        <w:adjustRightInd w:val="0"/>
        <w:snapToGrid w:val="0"/>
        <w:rPr>
          <w:lang w:val="fr-FR"/>
        </w:rPr>
      </w:pPr>
    </w:p>
    <w:p w14:paraId="3324F72A" w14:textId="77777777" w:rsidR="004401F0" w:rsidRPr="00DA7718" w:rsidRDefault="00BD4C7C" w:rsidP="00BD4C7C">
      <w:pPr>
        <w:pStyle w:val="2"/>
        <w:adjustRightInd w:val="0"/>
        <w:snapToGrid w:val="0"/>
        <w:ind w:left="0"/>
        <w:rPr>
          <w:lang w:val="fr-FR"/>
        </w:rPr>
      </w:pPr>
      <w:r w:rsidRPr="00DA7718">
        <w:rPr>
          <w:lang w:val="fr-FR"/>
        </w:rPr>
        <w:t>4.3</w:t>
      </w:r>
      <w:r w:rsidRPr="00DA7718">
        <w:rPr>
          <w:lang w:val="fr-FR"/>
        </w:rPr>
        <w:tab/>
      </w:r>
      <w:r w:rsidR="00DF3C4F" w:rsidRPr="00DA7718">
        <w:rPr>
          <w:lang w:val="fr-FR"/>
        </w:rPr>
        <w:t>Contre-indications</w:t>
      </w:r>
    </w:p>
    <w:p w14:paraId="2C2ACC18" w14:textId="77777777" w:rsidR="004401F0" w:rsidRPr="007C119A" w:rsidRDefault="004401F0" w:rsidP="00BD4C7C">
      <w:pPr>
        <w:pStyle w:val="a3"/>
        <w:adjustRightInd w:val="0"/>
        <w:snapToGrid w:val="0"/>
        <w:rPr>
          <w:b/>
          <w:lang w:val="fr-FR"/>
        </w:rPr>
      </w:pPr>
    </w:p>
    <w:p w14:paraId="00E4734A" w14:textId="20DE3515" w:rsidR="004401F0" w:rsidRPr="00DA7718" w:rsidRDefault="00067112" w:rsidP="007C119A">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Hypersensibilité à la substance active ou à l’un des excipients mentionnés à la rubrique 6.1.</w:t>
      </w:r>
    </w:p>
    <w:p w14:paraId="572784B2" w14:textId="07A720DA" w:rsidR="004401F0" w:rsidRPr="00DA7718" w:rsidRDefault="00067112" w:rsidP="007C119A">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Hypersensibilité aux produits des cellules ovariennes de hamster Chinois (CHO) ou à d’autres anticorps recombinants humains ou humanisés.</w:t>
      </w:r>
    </w:p>
    <w:p w14:paraId="221A7DF4" w14:textId="31A403D8" w:rsidR="004401F0" w:rsidRPr="00DA7718" w:rsidRDefault="00067112" w:rsidP="007C119A">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Grossesse (voir rubrique 4.6).</w:t>
      </w:r>
    </w:p>
    <w:p w14:paraId="6D5EBE0C" w14:textId="77777777" w:rsidR="004401F0" w:rsidRPr="00DA7718" w:rsidRDefault="004401F0" w:rsidP="00BD4C7C">
      <w:pPr>
        <w:pStyle w:val="a3"/>
        <w:adjustRightInd w:val="0"/>
        <w:snapToGrid w:val="0"/>
        <w:rPr>
          <w:lang w:val="fr-FR"/>
        </w:rPr>
      </w:pPr>
    </w:p>
    <w:p w14:paraId="66ADCC57" w14:textId="77777777" w:rsidR="004401F0" w:rsidRPr="00DA7718" w:rsidRDefault="00BD4C7C" w:rsidP="00BD4C7C">
      <w:pPr>
        <w:pStyle w:val="2"/>
        <w:adjustRightInd w:val="0"/>
        <w:snapToGrid w:val="0"/>
        <w:ind w:left="0"/>
        <w:rPr>
          <w:lang w:val="fr-FR"/>
        </w:rPr>
      </w:pPr>
      <w:r w:rsidRPr="00DA7718">
        <w:rPr>
          <w:lang w:val="fr-FR"/>
        </w:rPr>
        <w:t>4.4</w:t>
      </w:r>
      <w:r w:rsidRPr="00DA7718">
        <w:rPr>
          <w:lang w:val="fr-FR"/>
        </w:rPr>
        <w:tab/>
      </w:r>
      <w:r w:rsidR="00DF3C4F" w:rsidRPr="00DA7718">
        <w:rPr>
          <w:lang w:val="fr-FR"/>
        </w:rPr>
        <w:t>Mises en garde spéciales et précautions d’emploi</w:t>
      </w:r>
    </w:p>
    <w:p w14:paraId="34851AB8" w14:textId="77777777" w:rsidR="004401F0" w:rsidRPr="007C119A" w:rsidRDefault="004401F0" w:rsidP="00BD4C7C">
      <w:pPr>
        <w:pStyle w:val="a3"/>
        <w:adjustRightInd w:val="0"/>
        <w:snapToGrid w:val="0"/>
        <w:rPr>
          <w:b/>
          <w:lang w:val="fr-FR"/>
        </w:rPr>
      </w:pPr>
    </w:p>
    <w:p w14:paraId="715EDB02" w14:textId="77777777" w:rsidR="004401F0" w:rsidRPr="00F9256D" w:rsidRDefault="00DF3C4F" w:rsidP="00BD4C7C">
      <w:pPr>
        <w:adjustRightInd w:val="0"/>
        <w:snapToGrid w:val="0"/>
        <w:rPr>
          <w:iCs/>
          <w:u w:val="single"/>
          <w:lang w:val="fr-FR"/>
        </w:rPr>
      </w:pPr>
      <w:r w:rsidRPr="00F9256D">
        <w:rPr>
          <w:iCs/>
          <w:u w:val="single"/>
          <w:lang w:val="fr-FR"/>
        </w:rPr>
        <w:t>Traçabilité</w:t>
      </w:r>
    </w:p>
    <w:p w14:paraId="5F04D795" w14:textId="77777777" w:rsidR="004401F0" w:rsidRPr="00DA7718" w:rsidRDefault="00DF3C4F" w:rsidP="00BD4C7C">
      <w:pPr>
        <w:pStyle w:val="a3"/>
        <w:adjustRightInd w:val="0"/>
        <w:snapToGrid w:val="0"/>
        <w:rPr>
          <w:lang w:val="fr-FR"/>
        </w:rPr>
      </w:pPr>
      <w:r w:rsidRPr="00DA7718">
        <w:rPr>
          <w:lang w:val="fr-FR"/>
        </w:rPr>
        <w:t>Afin d’améliorer la traçabilité des médicaments biologiques, le nom et le numéro de lot du produit administré doivent être clairement enregistrés.</w:t>
      </w:r>
    </w:p>
    <w:p w14:paraId="57CF52B5" w14:textId="77777777" w:rsidR="00BD4C7C" w:rsidRPr="00DA7718" w:rsidRDefault="00BD4C7C" w:rsidP="00BD4C7C">
      <w:pPr>
        <w:adjustRightInd w:val="0"/>
        <w:snapToGrid w:val="0"/>
        <w:rPr>
          <w:lang w:val="fr-FR"/>
        </w:rPr>
      </w:pPr>
    </w:p>
    <w:p w14:paraId="47A4D2F4" w14:textId="77777777" w:rsidR="004401F0" w:rsidRPr="00DA7718" w:rsidRDefault="00DF3C4F" w:rsidP="00BD4C7C">
      <w:pPr>
        <w:adjustRightInd w:val="0"/>
        <w:snapToGrid w:val="0"/>
        <w:rPr>
          <w:lang w:val="fr-FR"/>
        </w:rPr>
      </w:pPr>
      <w:r w:rsidRPr="00F9256D">
        <w:rPr>
          <w:iCs/>
          <w:u w:val="single"/>
          <w:lang w:val="fr-FR"/>
        </w:rPr>
        <w:t>Perforations gastro-intestinales (GI) et fistules</w:t>
      </w:r>
      <w:r w:rsidRPr="00DA7718">
        <w:rPr>
          <w:i/>
          <w:lang w:val="fr-FR"/>
        </w:rPr>
        <w:t xml:space="preserve"> </w:t>
      </w:r>
      <w:r w:rsidRPr="00DA7718">
        <w:rPr>
          <w:lang w:val="fr-FR"/>
        </w:rPr>
        <w:t>(voir rubrique 4.8)</w:t>
      </w:r>
    </w:p>
    <w:p w14:paraId="193DB562" w14:textId="48AD331A" w:rsidR="004401F0" w:rsidRPr="00DA7718" w:rsidRDefault="00DF3C4F" w:rsidP="00BD4C7C">
      <w:pPr>
        <w:pStyle w:val="a3"/>
        <w:adjustRightInd w:val="0"/>
        <w:snapToGrid w:val="0"/>
        <w:rPr>
          <w:lang w:val="fr-FR"/>
        </w:rPr>
      </w:pPr>
      <w:r w:rsidRPr="00DA7718">
        <w:rPr>
          <w:lang w:val="fr-FR"/>
        </w:rPr>
        <w:t xml:space="preserve">Les patients traités par </w:t>
      </w:r>
      <w:r w:rsidR="00866552">
        <w:rPr>
          <w:lang w:val="fr-FR"/>
        </w:rPr>
        <w:t>b</w:t>
      </w:r>
      <w:r w:rsidR="00A92A66">
        <w:rPr>
          <w:lang w:val="fr-FR"/>
        </w:rPr>
        <w:t>e</w:t>
      </w:r>
      <w:r w:rsidR="00866552">
        <w:rPr>
          <w:lang w:val="fr-FR"/>
        </w:rPr>
        <w:t>vacizumab</w:t>
      </w:r>
      <w:r w:rsidR="000C5EF5">
        <w:rPr>
          <w:lang w:val="fr-FR"/>
        </w:rPr>
        <w:t xml:space="preserve"> </w:t>
      </w:r>
      <w:r w:rsidRPr="00DA7718">
        <w:rPr>
          <w:lang w:val="fr-FR"/>
        </w:rPr>
        <w:t xml:space="preserve">peuvent être exposés à un risque accru de perforation gastro-intestinale et de perforation de la vésicule biliaire. Chez les patients ayant un cancer colorectal métastatique, une réaction inflammatoire intra abdominale peut être un facteur de risque de perforation gastro- intestinale, de ce fait, des précautions seront prises lors du traitement de ces patients. Une radiothérapie préalable est un facteur de risque de perforation GI chez les patientes traitées par </w:t>
      </w:r>
      <w:r w:rsidR="00866552">
        <w:rPr>
          <w:lang w:val="fr-FR"/>
        </w:rPr>
        <w:t>b</w:t>
      </w:r>
      <w:r w:rsidR="00A92A66">
        <w:rPr>
          <w:lang w:val="fr-FR"/>
        </w:rPr>
        <w:t>e</w:t>
      </w:r>
      <w:r w:rsidR="00866552">
        <w:rPr>
          <w:lang w:val="fr-FR"/>
        </w:rPr>
        <w:t>vacizumab</w:t>
      </w:r>
      <w:r w:rsidR="00866552" w:rsidRPr="00DA7718">
        <w:rPr>
          <w:lang w:val="fr-FR"/>
        </w:rPr>
        <w:t xml:space="preserve"> </w:t>
      </w:r>
      <w:r w:rsidRPr="00DA7718">
        <w:rPr>
          <w:lang w:val="fr-FR"/>
        </w:rPr>
        <w:t>pour un cancer du col de l’utérus persistant, en rechute ou métastatique et tous les patients présentant des perforations GI avaient des antécédents de radiothérapies préalables. La survenue d’une perforation gastro-intestinale impose l’arrêt définitif du traitement.</w:t>
      </w:r>
    </w:p>
    <w:p w14:paraId="6F6422CD" w14:textId="77777777" w:rsidR="004401F0" w:rsidRPr="007C119A" w:rsidRDefault="004401F0" w:rsidP="00BD4C7C">
      <w:pPr>
        <w:pStyle w:val="a3"/>
        <w:adjustRightInd w:val="0"/>
        <w:snapToGrid w:val="0"/>
        <w:rPr>
          <w:lang w:val="fr-FR"/>
        </w:rPr>
      </w:pPr>
    </w:p>
    <w:p w14:paraId="6F980722" w14:textId="77777777" w:rsidR="004401F0" w:rsidRPr="00F9256D" w:rsidRDefault="00DF3C4F" w:rsidP="00BD4C7C">
      <w:pPr>
        <w:adjustRightInd w:val="0"/>
        <w:snapToGrid w:val="0"/>
        <w:rPr>
          <w:iCs/>
          <w:u w:val="single"/>
          <w:lang w:val="fr-FR"/>
        </w:rPr>
      </w:pPr>
      <w:r w:rsidRPr="00F9256D">
        <w:rPr>
          <w:iCs/>
          <w:u w:val="single"/>
          <w:lang w:val="fr-FR"/>
        </w:rPr>
        <w:t>Fistules GI-vaginales dans l’étude GOG-0240</w:t>
      </w:r>
    </w:p>
    <w:p w14:paraId="36569C83" w14:textId="378E3966" w:rsidR="004401F0" w:rsidRPr="00DA7718" w:rsidRDefault="00DF3C4F" w:rsidP="00BD4C7C">
      <w:pPr>
        <w:pStyle w:val="a3"/>
        <w:adjustRightInd w:val="0"/>
        <w:snapToGrid w:val="0"/>
        <w:rPr>
          <w:lang w:val="fr-FR"/>
        </w:rPr>
      </w:pPr>
      <w:r w:rsidRPr="00DA7718">
        <w:rPr>
          <w:lang w:val="fr-FR"/>
        </w:rPr>
        <w:t xml:space="preserve">Les patientes traitées par </w:t>
      </w:r>
      <w:r w:rsidR="00866552">
        <w:rPr>
          <w:lang w:val="fr-FR"/>
        </w:rPr>
        <w:t>b</w:t>
      </w:r>
      <w:r w:rsidR="00A92A66">
        <w:rPr>
          <w:lang w:val="fr-FR"/>
        </w:rPr>
        <w:t>e</w:t>
      </w:r>
      <w:r w:rsidR="00866552">
        <w:rPr>
          <w:lang w:val="fr-FR"/>
        </w:rPr>
        <w:t>vacizumab</w:t>
      </w:r>
      <w:r w:rsidR="00866552" w:rsidRPr="00DA7718">
        <w:rPr>
          <w:lang w:val="fr-FR"/>
        </w:rPr>
        <w:t xml:space="preserve"> </w:t>
      </w:r>
      <w:r w:rsidRPr="00DA7718">
        <w:rPr>
          <w:lang w:val="fr-FR"/>
        </w:rPr>
        <w:t>pour un cancer du col de l’utérus persistant, en rechute ou métastatique ont un risque plus élevé de développer des fistules entre le vagin et toute partie du tractus GI (fistules GI-vaginales). Une radiothérapie préalable est un facteur de risque majeur de développement de fistules GI-vaginales et toutes les patientes présentant des fistules GI-vaginales avaient des antécédents de radiothérapie préalable. Une récidive du cancer dans la zone pré-irradiée (radiothérapie préalable) est un facteur de risque supplémentaire important de développement de fistules GI-vaginales.</w:t>
      </w:r>
    </w:p>
    <w:p w14:paraId="33BF1C7E" w14:textId="77777777" w:rsidR="004401F0" w:rsidRPr="008305DD" w:rsidRDefault="004401F0" w:rsidP="00BD4C7C">
      <w:pPr>
        <w:pStyle w:val="a3"/>
        <w:adjustRightInd w:val="0"/>
        <w:snapToGrid w:val="0"/>
        <w:rPr>
          <w:iCs/>
          <w:lang w:val="fr-FR"/>
        </w:rPr>
      </w:pPr>
    </w:p>
    <w:p w14:paraId="45B4CB84" w14:textId="77777777" w:rsidR="004401F0" w:rsidRPr="00DA7718" w:rsidRDefault="00DF3C4F" w:rsidP="00BD4C7C">
      <w:pPr>
        <w:adjustRightInd w:val="0"/>
        <w:snapToGrid w:val="0"/>
        <w:rPr>
          <w:lang w:val="fr-FR"/>
        </w:rPr>
      </w:pPr>
      <w:r w:rsidRPr="00F9256D">
        <w:rPr>
          <w:iCs/>
          <w:u w:val="single"/>
          <w:lang w:val="fr-FR"/>
        </w:rPr>
        <w:t>Fistules non GI</w:t>
      </w:r>
      <w:r w:rsidRPr="00DA7718">
        <w:rPr>
          <w:i/>
          <w:lang w:val="fr-FR"/>
        </w:rPr>
        <w:t xml:space="preserve"> </w:t>
      </w:r>
      <w:r w:rsidRPr="00DA7718">
        <w:rPr>
          <w:lang w:val="fr-FR"/>
        </w:rPr>
        <w:t>(voir rubrique 4.8)</w:t>
      </w:r>
    </w:p>
    <w:p w14:paraId="353BCBB4" w14:textId="50E5CF0C" w:rsidR="0095072A" w:rsidRDefault="00DF3C4F" w:rsidP="00BD4C7C">
      <w:pPr>
        <w:pStyle w:val="a3"/>
        <w:adjustRightInd w:val="0"/>
        <w:snapToGrid w:val="0"/>
        <w:rPr>
          <w:lang w:val="fr-FR"/>
        </w:rPr>
      </w:pPr>
      <w:r w:rsidRPr="00DA7718">
        <w:rPr>
          <w:lang w:val="fr-FR"/>
        </w:rPr>
        <w:t xml:space="preserve">Les patients traités par </w:t>
      </w:r>
      <w:r w:rsidR="00866552">
        <w:rPr>
          <w:lang w:val="fr-FR"/>
        </w:rPr>
        <w:t>b</w:t>
      </w:r>
      <w:r w:rsidR="00A92A66">
        <w:rPr>
          <w:lang w:val="fr-FR"/>
        </w:rPr>
        <w:t>e</w:t>
      </w:r>
      <w:r w:rsidR="00866552">
        <w:rPr>
          <w:lang w:val="fr-FR"/>
        </w:rPr>
        <w:t>vacizumab</w:t>
      </w:r>
      <w:r w:rsidR="00866552" w:rsidRPr="00DA7718">
        <w:rPr>
          <w:lang w:val="fr-FR"/>
        </w:rPr>
        <w:t xml:space="preserve"> </w:t>
      </w:r>
      <w:r w:rsidRPr="00DA7718">
        <w:rPr>
          <w:lang w:val="fr-FR"/>
        </w:rPr>
        <w:t xml:space="preserve">peuvent être exposés à un risque accru de survenue de fistule. </w:t>
      </w:r>
      <w:r w:rsidR="00F05208">
        <w:rPr>
          <w:lang w:val="fr-FR"/>
        </w:rPr>
        <w:t>Vegzelma</w:t>
      </w:r>
      <w:r w:rsidRPr="00DA7718">
        <w:rPr>
          <w:lang w:val="fr-FR"/>
        </w:rPr>
        <w:t xml:space="preserve"> doit être définitivement arrêté chez les patients atteints de fistule trachéo-œsophagienne (TO) ou toute autre fistule de Grade 4 [US National Cancer Institute – Common Terminology Criteria for Adverse Events [NCI</w:t>
      </w:r>
      <w:r w:rsidR="00F20376" w:rsidRPr="00F9256D">
        <w:rPr>
          <w:color w:val="000000"/>
          <w:lang w:val="fr-FR"/>
        </w:rPr>
        <w:noBreakHyphen/>
      </w:r>
      <w:r w:rsidRPr="00DA7718">
        <w:rPr>
          <w:lang w:val="fr-FR"/>
        </w:rPr>
        <w:t xml:space="preserve">CTCAE v.3]]. Les données disponibles sont limitées quant à la poursuite </w:t>
      </w:r>
      <w:r w:rsidR="00866552">
        <w:rPr>
          <w:lang w:val="fr-FR"/>
        </w:rPr>
        <w:t>de b</w:t>
      </w:r>
      <w:r w:rsidR="00A92A66">
        <w:rPr>
          <w:lang w:val="fr-FR"/>
        </w:rPr>
        <w:t>e</w:t>
      </w:r>
      <w:r w:rsidR="00866552">
        <w:rPr>
          <w:lang w:val="fr-FR"/>
        </w:rPr>
        <w:t>vacizumab</w:t>
      </w:r>
      <w:r w:rsidR="00866552" w:rsidRPr="00DA7718">
        <w:rPr>
          <w:lang w:val="fr-FR"/>
        </w:rPr>
        <w:t xml:space="preserve"> </w:t>
      </w:r>
      <w:r w:rsidRPr="00DA7718">
        <w:rPr>
          <w:lang w:val="fr-FR"/>
        </w:rPr>
        <w:t xml:space="preserve">chez les patients présentant d’autres types de fistule. </w:t>
      </w:r>
    </w:p>
    <w:p w14:paraId="43F05434" w14:textId="1B44E3EA" w:rsidR="004401F0" w:rsidRPr="00DA7718" w:rsidRDefault="00DF3C4F" w:rsidP="00BD4C7C">
      <w:pPr>
        <w:pStyle w:val="a3"/>
        <w:adjustRightInd w:val="0"/>
        <w:snapToGrid w:val="0"/>
        <w:rPr>
          <w:lang w:val="fr-FR"/>
        </w:rPr>
      </w:pPr>
      <w:r w:rsidRPr="00DA7718">
        <w:rPr>
          <w:lang w:val="fr-FR"/>
        </w:rPr>
        <w:t xml:space="preserve">En cas de fistule interne autre que celles du tractus gastro-intestinal, l’arrêt du traitement par </w:t>
      </w:r>
      <w:r w:rsidR="00F05208">
        <w:rPr>
          <w:lang w:val="fr-FR"/>
        </w:rPr>
        <w:t>Vegzelma</w:t>
      </w:r>
      <w:r w:rsidRPr="00DA7718">
        <w:rPr>
          <w:lang w:val="fr-FR"/>
        </w:rPr>
        <w:t xml:space="preserve"> doit être envisagé.</w:t>
      </w:r>
    </w:p>
    <w:p w14:paraId="75DB3324" w14:textId="77777777" w:rsidR="004401F0" w:rsidRPr="00DA7718" w:rsidRDefault="004401F0" w:rsidP="00BD4C7C">
      <w:pPr>
        <w:pStyle w:val="a3"/>
        <w:adjustRightInd w:val="0"/>
        <w:snapToGrid w:val="0"/>
        <w:rPr>
          <w:lang w:val="fr-FR"/>
        </w:rPr>
      </w:pPr>
    </w:p>
    <w:p w14:paraId="7545EDA0" w14:textId="77777777" w:rsidR="004401F0" w:rsidRPr="00DA7718" w:rsidRDefault="00DF3C4F" w:rsidP="00BD4C7C">
      <w:pPr>
        <w:adjustRightInd w:val="0"/>
        <w:snapToGrid w:val="0"/>
        <w:rPr>
          <w:lang w:val="fr-FR"/>
        </w:rPr>
      </w:pPr>
      <w:r w:rsidRPr="00F9256D">
        <w:rPr>
          <w:iCs/>
          <w:u w:val="single"/>
          <w:lang w:val="fr-FR"/>
        </w:rPr>
        <w:t>Complications de la cicatrisation des plaies</w:t>
      </w:r>
      <w:r w:rsidRPr="00DA7718">
        <w:rPr>
          <w:i/>
          <w:lang w:val="fr-FR"/>
        </w:rPr>
        <w:t xml:space="preserve"> </w:t>
      </w:r>
      <w:r w:rsidRPr="00DA7718">
        <w:rPr>
          <w:lang w:val="fr-FR"/>
        </w:rPr>
        <w:t>(voir rubrique 4.8)</w:t>
      </w:r>
    </w:p>
    <w:p w14:paraId="16BA1594" w14:textId="7199AEAD" w:rsidR="004401F0" w:rsidRPr="00DA7718" w:rsidRDefault="00866552" w:rsidP="00BD4C7C">
      <w:pPr>
        <w:pStyle w:val="a3"/>
        <w:adjustRightInd w:val="0"/>
        <w:snapToGrid w:val="0"/>
        <w:rPr>
          <w:lang w:val="fr-FR"/>
        </w:rPr>
      </w:pPr>
      <w:r>
        <w:rPr>
          <w:lang w:val="fr-FR"/>
        </w:rPr>
        <w:t>Le b</w:t>
      </w:r>
      <w:r w:rsidR="00A92A66">
        <w:rPr>
          <w:lang w:val="fr-FR"/>
        </w:rPr>
        <w:t>e</w:t>
      </w:r>
      <w:r>
        <w:rPr>
          <w:lang w:val="fr-FR"/>
        </w:rPr>
        <w:t>vacizumab</w:t>
      </w:r>
      <w:r w:rsidRPr="00DA7718">
        <w:rPr>
          <w:lang w:val="fr-FR"/>
        </w:rPr>
        <w:t xml:space="preserve"> </w:t>
      </w:r>
      <w:r w:rsidR="00DF3C4F" w:rsidRPr="00DA7718">
        <w:rPr>
          <w:lang w:val="fr-FR"/>
        </w:rPr>
        <w:t>serait susceptible d’altérer le processus de cicatrisation des plaies. Des complications graves de la cicatrisation des plaies, incluant des complications anastomotiques, d’issue fatale, ont été rapportées. Le traitement ne doit pas être initié pendant au moins 28 jours après une intervention chirurgicale lourde, ou tant que la plaie chirurgicale n’est pas totalement cicatrisée. En cas de complications de la cicatrisation d’une plaie pendant le traitement, celui-ci doit être interrompu jusqu’à la cicatrisation totale. Le traitement doit être suspendu lorsqu’une intervention chirurgicale est planifiée.</w:t>
      </w:r>
    </w:p>
    <w:p w14:paraId="7BDA8B61" w14:textId="77777777" w:rsidR="004401F0" w:rsidRPr="007C119A" w:rsidRDefault="004401F0" w:rsidP="00BD4C7C">
      <w:pPr>
        <w:pStyle w:val="a3"/>
        <w:adjustRightInd w:val="0"/>
        <w:snapToGrid w:val="0"/>
        <w:rPr>
          <w:lang w:val="fr-FR"/>
        </w:rPr>
      </w:pPr>
    </w:p>
    <w:p w14:paraId="0A22066C" w14:textId="3CE858B5" w:rsidR="004401F0" w:rsidRPr="00DA7718" w:rsidRDefault="00DF3C4F" w:rsidP="00BD4C7C">
      <w:pPr>
        <w:pStyle w:val="a3"/>
        <w:adjustRightInd w:val="0"/>
        <w:snapToGrid w:val="0"/>
        <w:rPr>
          <w:lang w:val="fr-FR"/>
        </w:rPr>
      </w:pPr>
      <w:r w:rsidRPr="00DA7718">
        <w:rPr>
          <w:lang w:val="fr-FR"/>
        </w:rPr>
        <w:lastRenderedPageBreak/>
        <w:t xml:space="preserve">Des cas de fasciite nécrosante, dont certains d’issue fatale, ont rarement été rapportés chez des patients traités par </w:t>
      </w:r>
      <w:r w:rsidR="007845DB">
        <w:rPr>
          <w:lang w:val="fr-FR"/>
        </w:rPr>
        <w:t>bevacizumab</w:t>
      </w:r>
      <w:r w:rsidRPr="00DA7718">
        <w:rPr>
          <w:lang w:val="fr-FR"/>
        </w:rPr>
        <w:t xml:space="preserve">. Cette condition est généralement secondaire à des complications de la cicatrisation des plaies, à une perforation gastro-intestinale ou à une formation de fistules. Le traitement par </w:t>
      </w:r>
      <w:r w:rsidR="00F05208">
        <w:rPr>
          <w:lang w:val="fr-FR"/>
        </w:rPr>
        <w:t>Vegzelma</w:t>
      </w:r>
      <w:r w:rsidRPr="00DA7718">
        <w:rPr>
          <w:lang w:val="fr-FR"/>
        </w:rPr>
        <w:t xml:space="preserve"> doit être arrêté chez les patients développant une fasciite nécrosante</w:t>
      </w:r>
      <w:r w:rsidR="00881CB8">
        <w:rPr>
          <w:lang w:val="fr-FR"/>
        </w:rPr>
        <w:t xml:space="preserve"> ; </w:t>
      </w:r>
      <w:r w:rsidRPr="00DA7718">
        <w:rPr>
          <w:lang w:val="fr-FR"/>
        </w:rPr>
        <w:t>un traitement approprié doit être rapidement initié.</w:t>
      </w:r>
    </w:p>
    <w:p w14:paraId="565D0C37" w14:textId="77777777" w:rsidR="004401F0" w:rsidRPr="00DA7718" w:rsidRDefault="004401F0" w:rsidP="00BD4C7C">
      <w:pPr>
        <w:pStyle w:val="a3"/>
        <w:adjustRightInd w:val="0"/>
        <w:snapToGrid w:val="0"/>
        <w:rPr>
          <w:lang w:val="fr-FR"/>
        </w:rPr>
      </w:pPr>
    </w:p>
    <w:p w14:paraId="4AAA6F8C" w14:textId="77777777" w:rsidR="004401F0" w:rsidRPr="00DA7718" w:rsidRDefault="00DF3C4F" w:rsidP="00BD4C7C">
      <w:pPr>
        <w:adjustRightInd w:val="0"/>
        <w:snapToGrid w:val="0"/>
        <w:rPr>
          <w:lang w:val="fr-FR"/>
        </w:rPr>
      </w:pPr>
      <w:r w:rsidRPr="00F9256D">
        <w:rPr>
          <w:iCs/>
          <w:u w:val="single"/>
          <w:lang w:val="fr-FR"/>
        </w:rPr>
        <w:t>Hypertension artérielle</w:t>
      </w:r>
      <w:r w:rsidRPr="00DA7718">
        <w:rPr>
          <w:i/>
          <w:lang w:val="fr-FR"/>
        </w:rPr>
        <w:t xml:space="preserve"> </w:t>
      </w:r>
      <w:r w:rsidRPr="00DA7718">
        <w:rPr>
          <w:lang w:val="fr-FR"/>
        </w:rPr>
        <w:t>(voir rubrique 4.8)</w:t>
      </w:r>
    </w:p>
    <w:p w14:paraId="157B3B36" w14:textId="389FE348" w:rsidR="0095072A" w:rsidRDefault="00DF3C4F" w:rsidP="00BD4C7C">
      <w:pPr>
        <w:pStyle w:val="a3"/>
        <w:adjustRightInd w:val="0"/>
        <w:snapToGrid w:val="0"/>
        <w:rPr>
          <w:lang w:val="fr-FR"/>
        </w:rPr>
      </w:pPr>
      <w:r w:rsidRPr="00DA7718">
        <w:rPr>
          <w:lang w:val="fr-FR"/>
        </w:rPr>
        <w:t xml:space="preserve">Une majoration de l'incidence de l’hypertension artérielle a été observée chez les patients traités par </w:t>
      </w:r>
      <w:r w:rsidR="00866552">
        <w:rPr>
          <w:lang w:val="fr-FR"/>
        </w:rPr>
        <w:t>b</w:t>
      </w:r>
      <w:r w:rsidR="007845DB">
        <w:rPr>
          <w:lang w:val="fr-FR"/>
        </w:rPr>
        <w:t>e</w:t>
      </w:r>
      <w:r w:rsidR="00866552">
        <w:rPr>
          <w:lang w:val="fr-FR"/>
        </w:rPr>
        <w:t>vacizumab</w:t>
      </w:r>
      <w:r w:rsidRPr="00DA7718">
        <w:rPr>
          <w:lang w:val="fr-FR"/>
        </w:rPr>
        <w:t xml:space="preserve">. Les données de tolérance clinique suggèrent que l’incidence de l’hypertension artérielle est vraisemblablement dose-dépendante. Toute hypertension artérielle préexistante doit être efficacement contrôlée avant l’instauration du traitement par </w:t>
      </w:r>
      <w:r w:rsidR="00F05208">
        <w:rPr>
          <w:lang w:val="fr-FR"/>
        </w:rPr>
        <w:t>Vegzelma</w:t>
      </w:r>
      <w:r w:rsidRPr="00DA7718">
        <w:rPr>
          <w:lang w:val="fr-FR"/>
        </w:rPr>
        <w:t xml:space="preserve">. Aucune information n’est disponible quant à l’effet </w:t>
      </w:r>
      <w:r w:rsidR="00866552">
        <w:rPr>
          <w:lang w:val="fr-FR"/>
        </w:rPr>
        <w:t>du b</w:t>
      </w:r>
      <w:r w:rsidR="007845DB">
        <w:rPr>
          <w:lang w:val="fr-FR"/>
        </w:rPr>
        <w:t>e</w:t>
      </w:r>
      <w:r w:rsidR="00866552">
        <w:rPr>
          <w:lang w:val="fr-FR"/>
        </w:rPr>
        <w:t>vacizumab</w:t>
      </w:r>
      <w:r w:rsidR="00866552" w:rsidRPr="00DA7718">
        <w:rPr>
          <w:lang w:val="fr-FR"/>
        </w:rPr>
        <w:t xml:space="preserve"> </w:t>
      </w:r>
      <w:r w:rsidRPr="00DA7718">
        <w:rPr>
          <w:lang w:val="fr-FR"/>
        </w:rPr>
        <w:t xml:space="preserve">chez les patients présentant une hypertension artérielle non contrôlée à l’instauration du traitement. </w:t>
      </w:r>
    </w:p>
    <w:p w14:paraId="7AB1375B" w14:textId="77777777" w:rsidR="0095072A" w:rsidRPr="00F9256D" w:rsidRDefault="0095072A" w:rsidP="00BD4C7C">
      <w:pPr>
        <w:pStyle w:val="a3"/>
        <w:adjustRightInd w:val="0"/>
        <w:snapToGrid w:val="0"/>
        <w:rPr>
          <w:lang w:val="fr-FR"/>
        </w:rPr>
      </w:pPr>
    </w:p>
    <w:p w14:paraId="07863856" w14:textId="359D9D88" w:rsidR="004401F0" w:rsidRPr="00DA7718" w:rsidRDefault="00DF3C4F" w:rsidP="00BD4C7C">
      <w:pPr>
        <w:pStyle w:val="a3"/>
        <w:adjustRightInd w:val="0"/>
        <w:snapToGrid w:val="0"/>
        <w:rPr>
          <w:lang w:val="fr-FR"/>
        </w:rPr>
      </w:pPr>
      <w:r w:rsidRPr="00DA7718">
        <w:rPr>
          <w:lang w:val="fr-FR"/>
        </w:rPr>
        <w:t>La surveillance de la pression artérielle est recommandée au cours du traitement.</w:t>
      </w:r>
    </w:p>
    <w:p w14:paraId="432BF2FD" w14:textId="77777777" w:rsidR="004401F0" w:rsidRPr="007C119A" w:rsidRDefault="004401F0" w:rsidP="00BD4C7C">
      <w:pPr>
        <w:pStyle w:val="a3"/>
        <w:adjustRightInd w:val="0"/>
        <w:snapToGrid w:val="0"/>
        <w:rPr>
          <w:lang w:val="fr-FR"/>
        </w:rPr>
      </w:pPr>
    </w:p>
    <w:p w14:paraId="0815B326" w14:textId="68DF1E97" w:rsidR="004401F0" w:rsidRPr="00DA7718" w:rsidRDefault="00DF3C4F" w:rsidP="00BD4C7C">
      <w:pPr>
        <w:pStyle w:val="a3"/>
        <w:adjustRightInd w:val="0"/>
        <w:snapToGrid w:val="0"/>
        <w:rPr>
          <w:lang w:val="fr-FR"/>
        </w:rPr>
      </w:pPr>
      <w:r w:rsidRPr="00DA7718">
        <w:rPr>
          <w:lang w:val="fr-FR"/>
        </w:rPr>
        <w:t xml:space="preserve">Dans la majorité des cas, l’hypertension artérielle a été efficacement contrôlée par un traitement antihypertenseur standard, adapté à la situation individuelle du patient. L’utilisation de diurétiques n’est pas recommandée pour contrôler l’hypertension artérielle des patients traités par une chimiothérapie à base de cisplatine. </w:t>
      </w:r>
      <w:r w:rsidR="00F05208">
        <w:rPr>
          <w:lang w:val="fr-FR"/>
        </w:rPr>
        <w:t>Vegzelma</w:t>
      </w:r>
      <w:r w:rsidRPr="00DA7718">
        <w:rPr>
          <w:lang w:val="fr-FR"/>
        </w:rPr>
        <w:t xml:space="preserve"> doit être définitivement arrêté si l’hypertension artérielle médicalement significative ne peut pas être contrôlée efficacement par un traitement antihypertenseur ou en cas de survenue de crise hypertensive ou d’encéphalopathie hypertensive.</w:t>
      </w:r>
    </w:p>
    <w:p w14:paraId="4386671C" w14:textId="77777777" w:rsidR="00BD4C7C" w:rsidRPr="00DA7718" w:rsidRDefault="00BD4C7C" w:rsidP="00BD4C7C">
      <w:pPr>
        <w:adjustRightInd w:val="0"/>
        <w:snapToGrid w:val="0"/>
        <w:rPr>
          <w:lang w:val="fr-FR"/>
        </w:rPr>
      </w:pPr>
    </w:p>
    <w:p w14:paraId="162E80C1" w14:textId="77777777" w:rsidR="004401F0" w:rsidRPr="00DA7718" w:rsidRDefault="00DF3C4F" w:rsidP="00BD4C7C">
      <w:pPr>
        <w:adjustRightInd w:val="0"/>
        <w:snapToGrid w:val="0"/>
        <w:rPr>
          <w:lang w:val="fr-FR"/>
        </w:rPr>
      </w:pPr>
      <w:r w:rsidRPr="00F9256D">
        <w:rPr>
          <w:u w:val="single"/>
          <w:lang w:val="fr-FR"/>
        </w:rPr>
        <w:t>Syndrome d’encéphalopathie postérieure réversible (SEPR)</w:t>
      </w:r>
      <w:r w:rsidRPr="00DA7718">
        <w:rPr>
          <w:i/>
          <w:lang w:val="fr-FR"/>
        </w:rPr>
        <w:t xml:space="preserve"> </w:t>
      </w:r>
      <w:r w:rsidRPr="00DA7718">
        <w:rPr>
          <w:lang w:val="fr-FR"/>
        </w:rPr>
        <w:t>(voir rubrique 4.8)</w:t>
      </w:r>
    </w:p>
    <w:p w14:paraId="110E2EF4" w14:textId="52A5741A" w:rsidR="004401F0" w:rsidRPr="00DA7718" w:rsidRDefault="00DF3C4F" w:rsidP="00BD4C7C">
      <w:pPr>
        <w:pStyle w:val="a3"/>
        <w:adjustRightInd w:val="0"/>
        <w:snapToGrid w:val="0"/>
        <w:rPr>
          <w:lang w:val="fr-FR"/>
        </w:rPr>
      </w:pPr>
      <w:r w:rsidRPr="00DA7718">
        <w:rPr>
          <w:lang w:val="fr-FR"/>
        </w:rPr>
        <w:t xml:space="preserve">Il a été rarement rapporté que des patients traités par </w:t>
      </w:r>
      <w:r w:rsidR="00866552">
        <w:rPr>
          <w:lang w:val="fr-FR"/>
        </w:rPr>
        <w:t>b</w:t>
      </w:r>
      <w:r w:rsidR="007845DB">
        <w:rPr>
          <w:lang w:val="fr-FR"/>
        </w:rPr>
        <w:t>e</w:t>
      </w:r>
      <w:r w:rsidR="00866552">
        <w:rPr>
          <w:lang w:val="fr-FR"/>
        </w:rPr>
        <w:t>vacizumab</w:t>
      </w:r>
      <w:r w:rsidR="00866552" w:rsidRPr="00DA7718">
        <w:rPr>
          <w:lang w:val="fr-FR"/>
        </w:rPr>
        <w:t xml:space="preserve"> </w:t>
      </w:r>
      <w:r w:rsidRPr="00DA7718">
        <w:rPr>
          <w:lang w:val="fr-FR"/>
        </w:rPr>
        <w:t>développent des signes et symptômes compatibles avec un Syndrome d’Encéphalopathie Postérieure Réversible (SEPR), un trouble neurologique rare, pouvant se manifester, entres autres, par les signes et symptômes suivants</w:t>
      </w:r>
      <w:r w:rsidR="00765A43">
        <w:rPr>
          <w:lang w:val="fr-FR"/>
        </w:rPr>
        <w:t xml:space="preserve"> : </w:t>
      </w:r>
      <w:r w:rsidRPr="00DA7718">
        <w:rPr>
          <w:lang w:val="fr-FR"/>
        </w:rPr>
        <w:t xml:space="preserve">attaques, céphalées, état mental altéré, troubles de la vision, cécité corticale, avec ou sans hypertension associée. Le diagnostic de SEPR requiert une confirmation par imagerie cérébrale, de préférence par imagerie par résonance magnétique (IRM). Chez les patients qui développent un SEPR, le traitement spécifique des symptômes, incluant le contrôle de l’hypertension est recommandé ainsi que l’arrêt </w:t>
      </w:r>
      <w:r w:rsidR="003F0169">
        <w:rPr>
          <w:lang w:val="fr-FR"/>
        </w:rPr>
        <w:t xml:space="preserve">de </w:t>
      </w:r>
      <w:r w:rsidR="00F05208">
        <w:rPr>
          <w:lang w:val="fr-FR"/>
        </w:rPr>
        <w:t>Vegzelma</w:t>
      </w:r>
      <w:r w:rsidRPr="00DA7718">
        <w:rPr>
          <w:lang w:val="fr-FR"/>
        </w:rPr>
        <w:t xml:space="preserve">. Les conséquences en termes de tolérance d’une reprise du traitement par </w:t>
      </w:r>
      <w:r w:rsidR="003F0169">
        <w:rPr>
          <w:lang w:val="fr-FR"/>
        </w:rPr>
        <w:t>b</w:t>
      </w:r>
      <w:r w:rsidR="007845DB">
        <w:rPr>
          <w:lang w:val="fr-FR"/>
        </w:rPr>
        <w:t>e</w:t>
      </w:r>
      <w:r w:rsidR="003F0169">
        <w:rPr>
          <w:lang w:val="fr-FR"/>
        </w:rPr>
        <w:t>vacizumab</w:t>
      </w:r>
      <w:r w:rsidR="003F0169" w:rsidRPr="00DA7718">
        <w:rPr>
          <w:lang w:val="fr-FR"/>
        </w:rPr>
        <w:t xml:space="preserve"> </w:t>
      </w:r>
      <w:r w:rsidRPr="00DA7718">
        <w:rPr>
          <w:lang w:val="fr-FR"/>
        </w:rPr>
        <w:t>chez les patients ayant développé un SEPR ne sont pas connues.</w:t>
      </w:r>
    </w:p>
    <w:p w14:paraId="682BFB03" w14:textId="77777777" w:rsidR="004401F0" w:rsidRPr="007C119A" w:rsidRDefault="004401F0" w:rsidP="00BD4C7C">
      <w:pPr>
        <w:pStyle w:val="a3"/>
        <w:adjustRightInd w:val="0"/>
        <w:snapToGrid w:val="0"/>
        <w:rPr>
          <w:lang w:val="fr-FR"/>
        </w:rPr>
      </w:pPr>
    </w:p>
    <w:p w14:paraId="7A49A104" w14:textId="77777777" w:rsidR="004401F0" w:rsidRPr="00DA7718" w:rsidRDefault="00DF3C4F" w:rsidP="00BD4C7C">
      <w:pPr>
        <w:adjustRightInd w:val="0"/>
        <w:snapToGrid w:val="0"/>
        <w:rPr>
          <w:lang w:val="fr-FR"/>
        </w:rPr>
      </w:pPr>
      <w:r w:rsidRPr="00F9256D">
        <w:rPr>
          <w:u w:val="single"/>
          <w:lang w:val="fr-FR"/>
        </w:rPr>
        <w:t>Protéinurie</w:t>
      </w:r>
      <w:r w:rsidRPr="00DA7718">
        <w:rPr>
          <w:i/>
          <w:lang w:val="fr-FR"/>
        </w:rPr>
        <w:t xml:space="preserve"> </w:t>
      </w:r>
      <w:r w:rsidRPr="00DA7718">
        <w:rPr>
          <w:lang w:val="fr-FR"/>
        </w:rPr>
        <w:t>(voir rubrique 4.8)</w:t>
      </w:r>
    </w:p>
    <w:p w14:paraId="75B30B1D" w14:textId="117006C8" w:rsidR="004401F0" w:rsidRPr="00DA7718" w:rsidRDefault="00DF3C4F" w:rsidP="00BD4C7C">
      <w:pPr>
        <w:pStyle w:val="a3"/>
        <w:adjustRightInd w:val="0"/>
        <w:snapToGrid w:val="0"/>
        <w:rPr>
          <w:lang w:val="fr-FR"/>
        </w:rPr>
      </w:pPr>
      <w:r w:rsidRPr="00DA7718">
        <w:rPr>
          <w:lang w:val="fr-FR"/>
        </w:rPr>
        <w:t xml:space="preserve">Les patients ayant des antécédents d’hypertension artérielle peuvent être exposés à un risque accru de protéinurie lorsqu’ils sont traités par </w:t>
      </w:r>
      <w:r w:rsidR="003F0169">
        <w:rPr>
          <w:lang w:val="fr-FR"/>
        </w:rPr>
        <w:t>b</w:t>
      </w:r>
      <w:r w:rsidR="007845DB">
        <w:rPr>
          <w:lang w:val="fr-FR"/>
        </w:rPr>
        <w:t>e</w:t>
      </w:r>
      <w:r w:rsidR="003F0169">
        <w:rPr>
          <w:lang w:val="fr-FR"/>
        </w:rPr>
        <w:t>vacizumab</w:t>
      </w:r>
      <w:r w:rsidRPr="00DA7718">
        <w:rPr>
          <w:lang w:val="fr-FR"/>
        </w:rPr>
        <w:t xml:space="preserve">. Certaines données suggèrent que l’apparition d’une protéinurie de tout Grade (US National Cancer Institute – Common Terminology Criteria for Adverse Events [NCI-CTCAE v.3]) peut être liée à la dose. La surveillance de la protéinurie par analyse d’urine à la bandelette est recommandée avant le début du traitement et au cours de celui-ci. Des cas de protéinurie de grade 4 (syndrome néphrotique) ont été observés chez jusqu’à 1,4% des patients traités par </w:t>
      </w:r>
      <w:r w:rsidR="003F0169">
        <w:rPr>
          <w:lang w:val="fr-FR"/>
        </w:rPr>
        <w:t>b</w:t>
      </w:r>
      <w:r w:rsidR="007845DB">
        <w:rPr>
          <w:lang w:val="fr-FR"/>
        </w:rPr>
        <w:t>e</w:t>
      </w:r>
      <w:r w:rsidR="003F0169">
        <w:rPr>
          <w:lang w:val="fr-FR"/>
        </w:rPr>
        <w:t>vacizumab</w:t>
      </w:r>
      <w:r w:rsidRPr="00DA7718">
        <w:rPr>
          <w:lang w:val="fr-FR"/>
        </w:rPr>
        <w:t>. Le traitement doit être arrêté définitivement en cas de syndrome néphrotique (NCI- CTCAE v.3).</w:t>
      </w:r>
    </w:p>
    <w:p w14:paraId="70BE50B1" w14:textId="77777777" w:rsidR="004401F0" w:rsidRPr="00DA7718" w:rsidRDefault="004401F0" w:rsidP="00BD4C7C">
      <w:pPr>
        <w:pStyle w:val="a3"/>
        <w:adjustRightInd w:val="0"/>
        <w:snapToGrid w:val="0"/>
        <w:rPr>
          <w:lang w:val="fr-FR"/>
        </w:rPr>
      </w:pPr>
    </w:p>
    <w:p w14:paraId="502A8B90" w14:textId="77777777" w:rsidR="004401F0" w:rsidRPr="00DA7718" w:rsidRDefault="00DF3C4F" w:rsidP="00BD4C7C">
      <w:pPr>
        <w:adjustRightInd w:val="0"/>
        <w:snapToGrid w:val="0"/>
        <w:rPr>
          <w:lang w:val="fr-FR"/>
        </w:rPr>
      </w:pPr>
      <w:r w:rsidRPr="00F9256D">
        <w:rPr>
          <w:u w:val="single"/>
          <w:lang w:val="fr-FR"/>
        </w:rPr>
        <w:t>Thromboembolies artérielles</w:t>
      </w:r>
      <w:r w:rsidRPr="00DA7718">
        <w:rPr>
          <w:i/>
          <w:lang w:val="fr-FR"/>
        </w:rPr>
        <w:t xml:space="preserve"> </w:t>
      </w:r>
      <w:r w:rsidRPr="00DA7718">
        <w:rPr>
          <w:lang w:val="fr-FR"/>
        </w:rPr>
        <w:t>(voir rubrique 4.8)</w:t>
      </w:r>
    </w:p>
    <w:p w14:paraId="0B38F77F" w14:textId="11C0E6A6" w:rsidR="004401F0" w:rsidRPr="00DA7718" w:rsidRDefault="00DF3C4F" w:rsidP="00BD4C7C">
      <w:pPr>
        <w:pStyle w:val="a3"/>
        <w:adjustRightInd w:val="0"/>
        <w:snapToGrid w:val="0"/>
        <w:rPr>
          <w:lang w:val="fr-FR"/>
        </w:rPr>
      </w:pPr>
      <w:r w:rsidRPr="00DA7718">
        <w:rPr>
          <w:lang w:val="fr-FR"/>
        </w:rPr>
        <w:t xml:space="preserve">Dans les études cliniques, l’incidence des effets thromboemboliques artériels, incluant des accidents vasculaires cérébraux (AVC), des accidents ischémiques transitoires (AIT) et des infarctus du myocarde (IM), a été plus élevée chez les patients recevant </w:t>
      </w:r>
      <w:r w:rsidR="003F0169">
        <w:rPr>
          <w:lang w:val="fr-FR"/>
        </w:rPr>
        <w:t>le b</w:t>
      </w:r>
      <w:r w:rsidR="007845DB">
        <w:rPr>
          <w:lang w:val="fr-FR"/>
        </w:rPr>
        <w:t>e</w:t>
      </w:r>
      <w:r w:rsidR="003F0169">
        <w:rPr>
          <w:lang w:val="fr-FR"/>
        </w:rPr>
        <w:t>vacizumab</w:t>
      </w:r>
      <w:r w:rsidR="003F0169" w:rsidRPr="00DA7718">
        <w:rPr>
          <w:lang w:val="fr-FR"/>
        </w:rPr>
        <w:t xml:space="preserve"> </w:t>
      </w:r>
      <w:r w:rsidRPr="00DA7718">
        <w:rPr>
          <w:lang w:val="fr-FR"/>
        </w:rPr>
        <w:t>en association à une chimiothérapie que chez les patients recevant une chimiothérapie seule.</w:t>
      </w:r>
    </w:p>
    <w:p w14:paraId="237B70FF" w14:textId="77777777" w:rsidR="004401F0" w:rsidRPr="00DA7718" w:rsidRDefault="004401F0" w:rsidP="00BD4C7C">
      <w:pPr>
        <w:pStyle w:val="a3"/>
        <w:adjustRightInd w:val="0"/>
        <w:snapToGrid w:val="0"/>
        <w:rPr>
          <w:lang w:val="fr-FR"/>
        </w:rPr>
      </w:pPr>
    </w:p>
    <w:p w14:paraId="51AAA068" w14:textId="3063DCD7" w:rsidR="004401F0" w:rsidRPr="00DA7718" w:rsidRDefault="00DF3C4F" w:rsidP="00BD4C7C">
      <w:pPr>
        <w:pStyle w:val="a3"/>
        <w:adjustRightInd w:val="0"/>
        <w:snapToGrid w:val="0"/>
        <w:rPr>
          <w:lang w:val="fr-FR"/>
        </w:rPr>
      </w:pPr>
      <w:r w:rsidRPr="00DA7718">
        <w:rPr>
          <w:lang w:val="fr-FR"/>
        </w:rPr>
        <w:t xml:space="preserve">Les patients recevant </w:t>
      </w:r>
      <w:r w:rsidR="003F0169">
        <w:rPr>
          <w:lang w:val="fr-FR"/>
        </w:rPr>
        <w:t>le b</w:t>
      </w:r>
      <w:r w:rsidR="007845DB">
        <w:rPr>
          <w:lang w:val="fr-FR"/>
        </w:rPr>
        <w:t>e</w:t>
      </w:r>
      <w:r w:rsidR="003F0169">
        <w:rPr>
          <w:lang w:val="fr-FR"/>
        </w:rPr>
        <w:t>vacizumab</w:t>
      </w:r>
      <w:r w:rsidR="003F0169" w:rsidRPr="00DA7718">
        <w:rPr>
          <w:lang w:val="fr-FR"/>
        </w:rPr>
        <w:t xml:space="preserve"> </w:t>
      </w:r>
      <w:r w:rsidRPr="00DA7718">
        <w:rPr>
          <w:lang w:val="fr-FR"/>
        </w:rPr>
        <w:t xml:space="preserve">plus chimiothérapie ayant des antécédents thromboemboliques artériels ou de diabète ou âgés de plus de 65 ans, ont un risque majoré d’effet thromboembolique artériel pendant le traitement. La prudence est nécessaire lors du traitement de ces patients par </w:t>
      </w:r>
      <w:r w:rsidR="00F05208">
        <w:rPr>
          <w:lang w:val="fr-FR"/>
        </w:rPr>
        <w:t>Vegzelma</w:t>
      </w:r>
      <w:r w:rsidRPr="00DA7718">
        <w:rPr>
          <w:lang w:val="fr-FR"/>
        </w:rPr>
        <w:t>.</w:t>
      </w:r>
    </w:p>
    <w:p w14:paraId="19D89159" w14:textId="77777777" w:rsidR="004401F0" w:rsidRPr="00DA7718" w:rsidRDefault="004401F0" w:rsidP="00BD4C7C">
      <w:pPr>
        <w:pStyle w:val="a3"/>
        <w:adjustRightInd w:val="0"/>
        <w:snapToGrid w:val="0"/>
        <w:rPr>
          <w:lang w:val="fr-FR"/>
        </w:rPr>
      </w:pPr>
    </w:p>
    <w:p w14:paraId="244CB576" w14:textId="77777777" w:rsidR="004401F0" w:rsidRPr="00DA7718" w:rsidRDefault="00DF3C4F" w:rsidP="00BD4C7C">
      <w:pPr>
        <w:pStyle w:val="a3"/>
        <w:adjustRightInd w:val="0"/>
        <w:snapToGrid w:val="0"/>
        <w:rPr>
          <w:lang w:val="fr-FR"/>
        </w:rPr>
      </w:pPr>
      <w:r w:rsidRPr="00DA7718">
        <w:rPr>
          <w:lang w:val="fr-FR"/>
        </w:rPr>
        <w:t>La survenue d’un accident thromboembolique impose l’arrêt définitif du traitement.</w:t>
      </w:r>
    </w:p>
    <w:p w14:paraId="2DDA3733" w14:textId="77777777" w:rsidR="004401F0" w:rsidRPr="007C119A" w:rsidRDefault="004401F0" w:rsidP="00BD4C7C">
      <w:pPr>
        <w:pStyle w:val="a3"/>
        <w:adjustRightInd w:val="0"/>
        <w:snapToGrid w:val="0"/>
        <w:rPr>
          <w:lang w:val="fr-FR"/>
        </w:rPr>
      </w:pPr>
    </w:p>
    <w:p w14:paraId="2784765F" w14:textId="77777777" w:rsidR="004401F0" w:rsidRPr="00DA7718" w:rsidRDefault="00DF3C4F" w:rsidP="00BD4C7C">
      <w:pPr>
        <w:adjustRightInd w:val="0"/>
        <w:snapToGrid w:val="0"/>
        <w:rPr>
          <w:lang w:val="fr-FR"/>
        </w:rPr>
      </w:pPr>
      <w:r w:rsidRPr="00F9256D">
        <w:rPr>
          <w:u w:val="single"/>
          <w:lang w:val="fr-FR"/>
        </w:rPr>
        <w:lastRenderedPageBreak/>
        <w:t>Thromboembolies veineuses</w:t>
      </w:r>
      <w:r w:rsidRPr="00DA7718">
        <w:rPr>
          <w:i/>
          <w:lang w:val="fr-FR"/>
        </w:rPr>
        <w:t xml:space="preserve"> </w:t>
      </w:r>
      <w:r w:rsidRPr="00DA7718">
        <w:rPr>
          <w:lang w:val="fr-FR"/>
        </w:rPr>
        <w:t>(voir rubrique 4.8)</w:t>
      </w:r>
    </w:p>
    <w:p w14:paraId="1FBDE1FF" w14:textId="622A6020" w:rsidR="004401F0" w:rsidRPr="00DA7718" w:rsidRDefault="00DF3C4F" w:rsidP="00BD4C7C">
      <w:pPr>
        <w:pStyle w:val="a3"/>
        <w:adjustRightInd w:val="0"/>
        <w:snapToGrid w:val="0"/>
        <w:rPr>
          <w:lang w:val="fr-FR"/>
        </w:rPr>
      </w:pPr>
      <w:r w:rsidRPr="00DA7718">
        <w:rPr>
          <w:lang w:val="fr-FR"/>
        </w:rPr>
        <w:t xml:space="preserve">Les patients recevant </w:t>
      </w:r>
      <w:r w:rsidR="003F0169">
        <w:rPr>
          <w:lang w:val="fr-FR"/>
        </w:rPr>
        <w:t>le b</w:t>
      </w:r>
      <w:r w:rsidR="007845DB">
        <w:rPr>
          <w:lang w:val="fr-FR"/>
        </w:rPr>
        <w:t>e</w:t>
      </w:r>
      <w:r w:rsidR="003F0169">
        <w:rPr>
          <w:lang w:val="fr-FR"/>
        </w:rPr>
        <w:t>vacizumab</w:t>
      </w:r>
      <w:r w:rsidR="003F0169" w:rsidRPr="00DA7718">
        <w:rPr>
          <w:lang w:val="fr-FR"/>
        </w:rPr>
        <w:t xml:space="preserve"> </w:t>
      </w:r>
      <w:r w:rsidRPr="00DA7718">
        <w:rPr>
          <w:lang w:val="fr-FR"/>
        </w:rPr>
        <w:t>sont susceptibles de présenter des réactions thromboemboliques veineuses, y compris une embolie pulmonaire.</w:t>
      </w:r>
    </w:p>
    <w:p w14:paraId="5293B20D" w14:textId="0EB69115" w:rsidR="004401F0" w:rsidRPr="00DA7718" w:rsidRDefault="00DF3C4F" w:rsidP="00BD4C7C">
      <w:pPr>
        <w:pStyle w:val="a3"/>
        <w:adjustRightInd w:val="0"/>
        <w:snapToGrid w:val="0"/>
        <w:rPr>
          <w:lang w:val="fr-FR"/>
        </w:rPr>
      </w:pPr>
      <w:r w:rsidRPr="00DA7718">
        <w:rPr>
          <w:lang w:val="fr-FR"/>
        </w:rPr>
        <w:t xml:space="preserve">Les patientes traitées par </w:t>
      </w:r>
      <w:r w:rsidR="003F0169">
        <w:rPr>
          <w:lang w:val="fr-FR"/>
        </w:rPr>
        <w:t>b</w:t>
      </w:r>
      <w:r w:rsidR="007845DB">
        <w:rPr>
          <w:lang w:val="fr-FR"/>
        </w:rPr>
        <w:t>e</w:t>
      </w:r>
      <w:r w:rsidR="003F0169">
        <w:rPr>
          <w:lang w:val="fr-FR"/>
        </w:rPr>
        <w:t>vacizumab</w:t>
      </w:r>
      <w:r w:rsidR="003F0169" w:rsidRPr="00DA7718">
        <w:rPr>
          <w:lang w:val="fr-FR"/>
        </w:rPr>
        <w:t xml:space="preserve"> </w:t>
      </w:r>
      <w:r w:rsidRPr="00DA7718">
        <w:rPr>
          <w:lang w:val="fr-FR"/>
        </w:rPr>
        <w:t>pour un cancer du col de l’utérus persistant, en rechute ou métastatique en association au paclitaxel et au cisplatine peuvent avoir un risque plus élevé de présenter des évènements thromboemboliques veineux.</w:t>
      </w:r>
    </w:p>
    <w:p w14:paraId="07228254" w14:textId="021C0451"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doit être arrêté chez les patients présentant des effets thromboemboliques mettant en jeu le pronostic vital (Grade 4), notamment une embolie pulmonaire (NCI-CTCAE v.3). Les patients présentant des effets thromboemboliques de Grade ≤ 3 doivent être étroitement surveillés </w:t>
      </w:r>
      <w:r w:rsidR="007F735F">
        <w:rPr>
          <w:lang w:val="fr-FR"/>
        </w:rPr>
        <w:br/>
      </w:r>
      <w:r w:rsidR="00DF3C4F" w:rsidRPr="00DA7718">
        <w:rPr>
          <w:lang w:val="fr-FR"/>
        </w:rPr>
        <w:t>(NCI-CTCAE v.3).</w:t>
      </w:r>
    </w:p>
    <w:p w14:paraId="51EE8FAE" w14:textId="77777777" w:rsidR="004401F0" w:rsidRPr="00DA7718" w:rsidRDefault="004401F0" w:rsidP="00BD4C7C">
      <w:pPr>
        <w:pStyle w:val="a3"/>
        <w:adjustRightInd w:val="0"/>
        <w:snapToGrid w:val="0"/>
        <w:rPr>
          <w:sz w:val="20"/>
          <w:lang w:val="fr-FR"/>
        </w:rPr>
      </w:pPr>
    </w:p>
    <w:p w14:paraId="480AE4C5" w14:textId="77777777" w:rsidR="004401F0" w:rsidRPr="00F9256D" w:rsidRDefault="00DF3C4F" w:rsidP="00BD4C7C">
      <w:pPr>
        <w:adjustRightInd w:val="0"/>
        <w:snapToGrid w:val="0"/>
        <w:rPr>
          <w:u w:val="single"/>
          <w:lang w:val="fr-FR"/>
        </w:rPr>
      </w:pPr>
      <w:r w:rsidRPr="00F9256D">
        <w:rPr>
          <w:u w:val="single"/>
          <w:lang w:val="fr-FR"/>
        </w:rPr>
        <w:t>Hémorragies</w:t>
      </w:r>
    </w:p>
    <w:p w14:paraId="64F73C3F" w14:textId="07DE5399" w:rsidR="004401F0" w:rsidRPr="00DA7718" w:rsidRDefault="00DF3C4F" w:rsidP="00BD4C7C">
      <w:pPr>
        <w:pStyle w:val="a3"/>
        <w:adjustRightInd w:val="0"/>
        <w:snapToGrid w:val="0"/>
        <w:jc w:val="both"/>
        <w:rPr>
          <w:lang w:val="fr-FR"/>
        </w:rPr>
      </w:pPr>
      <w:r w:rsidRPr="00DA7718">
        <w:rPr>
          <w:lang w:val="fr-FR"/>
        </w:rPr>
        <w:t xml:space="preserve">Les patients traités par </w:t>
      </w:r>
      <w:r w:rsidR="003F0169">
        <w:rPr>
          <w:lang w:val="fr-FR"/>
        </w:rPr>
        <w:t>b</w:t>
      </w:r>
      <w:r w:rsidR="007845DB">
        <w:rPr>
          <w:lang w:val="fr-FR"/>
        </w:rPr>
        <w:t>e</w:t>
      </w:r>
      <w:r w:rsidR="003F0169">
        <w:rPr>
          <w:lang w:val="fr-FR"/>
        </w:rPr>
        <w:t>vacizumab</w:t>
      </w:r>
      <w:r w:rsidR="003F0169" w:rsidRPr="00DA7718">
        <w:rPr>
          <w:lang w:val="fr-FR"/>
        </w:rPr>
        <w:t xml:space="preserve"> </w:t>
      </w:r>
      <w:r w:rsidRPr="00DA7718">
        <w:rPr>
          <w:lang w:val="fr-FR"/>
        </w:rPr>
        <w:t xml:space="preserve">ont un risque hémorragique majoré, notamment d’hémorragie liée à la tumeur. La survenue d’une hémorragie de Grade 3 ou 4 au cours du traitement impose l’arrêt définitif du traitement par </w:t>
      </w:r>
      <w:r w:rsidR="00F05208">
        <w:rPr>
          <w:lang w:val="fr-FR"/>
        </w:rPr>
        <w:t>Vegzelma</w:t>
      </w:r>
      <w:r w:rsidRPr="00DA7718">
        <w:rPr>
          <w:lang w:val="fr-FR"/>
        </w:rPr>
        <w:t xml:space="preserve"> (NCI-CTCAE v.3) (voir rubrique 4.8).</w:t>
      </w:r>
    </w:p>
    <w:p w14:paraId="7BCF1F30" w14:textId="77777777" w:rsidR="004401F0" w:rsidRPr="007C119A" w:rsidRDefault="004401F0" w:rsidP="00BD4C7C">
      <w:pPr>
        <w:pStyle w:val="a3"/>
        <w:adjustRightInd w:val="0"/>
        <w:snapToGrid w:val="0"/>
        <w:rPr>
          <w:lang w:val="fr-FR"/>
        </w:rPr>
      </w:pPr>
    </w:p>
    <w:p w14:paraId="53EC80A1" w14:textId="7739C296" w:rsidR="004401F0" w:rsidRPr="00DA7718" w:rsidRDefault="00DF3C4F" w:rsidP="00BD4C7C">
      <w:pPr>
        <w:pStyle w:val="a3"/>
        <w:adjustRightInd w:val="0"/>
        <w:snapToGrid w:val="0"/>
        <w:rPr>
          <w:lang w:val="fr-FR"/>
        </w:rPr>
      </w:pPr>
      <w:r w:rsidRPr="00DA7718">
        <w:rPr>
          <w:lang w:val="fr-FR"/>
        </w:rPr>
        <w:t xml:space="preserve">Sur la base de résultats d’imagerie ou la présence de signes ou symptômes cliniques, les patients présentant des métastases du système nerveux central (SNC) non traitées étaient systématiquement exclus des études cliniques avec </w:t>
      </w:r>
      <w:r w:rsidR="003F0169">
        <w:rPr>
          <w:lang w:val="fr-FR"/>
        </w:rPr>
        <w:t>le b</w:t>
      </w:r>
      <w:r w:rsidR="007845DB">
        <w:rPr>
          <w:lang w:val="fr-FR"/>
        </w:rPr>
        <w:t>e</w:t>
      </w:r>
      <w:r w:rsidR="003F0169">
        <w:rPr>
          <w:lang w:val="fr-FR"/>
        </w:rPr>
        <w:t>vacizumab</w:t>
      </w:r>
      <w:r w:rsidRPr="00DA7718">
        <w:rPr>
          <w:lang w:val="fr-FR"/>
        </w:rPr>
        <w:t xml:space="preserve">. De ce fait, chez ces patients, le risque d’hémorragie du SNC n’a pas été évalué de manière prospective au cours d’études cliniques randomisées (voir rubrique 4.8). Les patients doivent être surveillés pour des signes et symptômes d’hémorragie du système nerveux central. Le traitement par </w:t>
      </w:r>
      <w:r w:rsidR="00F05208">
        <w:rPr>
          <w:lang w:val="fr-FR"/>
        </w:rPr>
        <w:t>Vegzelma</w:t>
      </w:r>
      <w:r w:rsidRPr="00DA7718">
        <w:rPr>
          <w:lang w:val="fr-FR"/>
        </w:rPr>
        <w:t xml:space="preserve"> doit être arrêté en cas d’hémorragie cérébrale.</w:t>
      </w:r>
    </w:p>
    <w:p w14:paraId="330F74A2" w14:textId="77777777" w:rsidR="00BD4C7C" w:rsidRPr="00DA7718" w:rsidRDefault="00BD4C7C" w:rsidP="00BD4C7C">
      <w:pPr>
        <w:adjustRightInd w:val="0"/>
        <w:snapToGrid w:val="0"/>
        <w:rPr>
          <w:lang w:val="fr-FR"/>
        </w:rPr>
      </w:pPr>
    </w:p>
    <w:p w14:paraId="72FA4403" w14:textId="031D1002" w:rsidR="004401F0" w:rsidRPr="00DA7718" w:rsidRDefault="00DF3C4F" w:rsidP="00BD4C7C">
      <w:pPr>
        <w:pStyle w:val="a3"/>
        <w:adjustRightInd w:val="0"/>
        <w:snapToGrid w:val="0"/>
        <w:rPr>
          <w:lang w:val="fr-FR"/>
        </w:rPr>
      </w:pPr>
      <w:r w:rsidRPr="00DA7718">
        <w:rPr>
          <w:lang w:val="fr-FR"/>
        </w:rPr>
        <w:t xml:space="preserve">Aucune information n’est disponible quant au profil de tolérance </w:t>
      </w:r>
      <w:r w:rsidR="003F0169">
        <w:rPr>
          <w:lang w:val="fr-FR"/>
        </w:rPr>
        <w:t>du b</w:t>
      </w:r>
      <w:r w:rsidR="007845DB">
        <w:rPr>
          <w:lang w:val="fr-FR"/>
        </w:rPr>
        <w:t>e</w:t>
      </w:r>
      <w:r w:rsidR="003F0169">
        <w:rPr>
          <w:lang w:val="fr-FR"/>
        </w:rPr>
        <w:t>vacizumab</w:t>
      </w:r>
      <w:r w:rsidR="003F0169" w:rsidRPr="00DA7718">
        <w:rPr>
          <w:lang w:val="fr-FR"/>
        </w:rPr>
        <w:t xml:space="preserve"> </w:t>
      </w:r>
      <w:r w:rsidRPr="00DA7718">
        <w:rPr>
          <w:lang w:val="fr-FR"/>
        </w:rPr>
        <w:t xml:space="preserve">chez les patients présentant une prédisposition congénitale aux hémorragies, une coagulopathie acquise ou recevant un anticoagulant à pleine dose pour le traitement d’un évènement thromboembolique avant l’instauration du traitement par </w:t>
      </w:r>
      <w:r w:rsidR="003F0169">
        <w:rPr>
          <w:lang w:val="fr-FR"/>
        </w:rPr>
        <w:t>b</w:t>
      </w:r>
      <w:r w:rsidR="007845DB">
        <w:rPr>
          <w:lang w:val="fr-FR"/>
        </w:rPr>
        <w:t>e</w:t>
      </w:r>
      <w:r w:rsidR="003F0169">
        <w:rPr>
          <w:lang w:val="fr-FR"/>
        </w:rPr>
        <w:t>vacizumab</w:t>
      </w:r>
      <w:r w:rsidRPr="00DA7718">
        <w:rPr>
          <w:lang w:val="fr-FR"/>
        </w:rPr>
        <w:t xml:space="preserve">. En effet, ces patients étaient exclus des études cliniques. Le traitement sera donc instauré avec prudence chez de tels patients. Néanmoins, les patients qui ont développé une thrombose veineuse au cours du traitement et qui ont été traités simultanément par la warfarine à pleine dose et par </w:t>
      </w:r>
      <w:r w:rsidR="003F0169">
        <w:rPr>
          <w:lang w:val="fr-FR"/>
        </w:rPr>
        <w:t>b</w:t>
      </w:r>
      <w:r w:rsidR="007845DB">
        <w:rPr>
          <w:lang w:val="fr-FR"/>
        </w:rPr>
        <w:t>e</w:t>
      </w:r>
      <w:r w:rsidR="003F0169">
        <w:rPr>
          <w:lang w:val="fr-FR"/>
        </w:rPr>
        <w:t>vacizumab</w:t>
      </w:r>
      <w:r w:rsidR="003F0169" w:rsidRPr="00DA7718">
        <w:rPr>
          <w:lang w:val="fr-FR"/>
        </w:rPr>
        <w:t xml:space="preserve"> </w:t>
      </w:r>
      <w:r w:rsidRPr="00DA7718">
        <w:rPr>
          <w:lang w:val="fr-FR"/>
        </w:rPr>
        <w:t>n’ont pas présenté une fréquence accrue d’hémorragies de Grade 3 ou plus (NCI</w:t>
      </w:r>
      <w:r w:rsidR="00A97E93">
        <w:rPr>
          <w:lang w:val="fr-FR"/>
        </w:rPr>
        <w:noBreakHyphen/>
      </w:r>
      <w:r w:rsidRPr="00DA7718">
        <w:rPr>
          <w:lang w:val="fr-FR"/>
        </w:rPr>
        <w:t>CTCAE v.3).</w:t>
      </w:r>
    </w:p>
    <w:p w14:paraId="06102D24" w14:textId="77777777" w:rsidR="004401F0" w:rsidRPr="007C119A" w:rsidRDefault="004401F0" w:rsidP="00BD4C7C">
      <w:pPr>
        <w:pStyle w:val="a3"/>
        <w:adjustRightInd w:val="0"/>
        <w:snapToGrid w:val="0"/>
        <w:rPr>
          <w:lang w:val="fr-FR"/>
        </w:rPr>
      </w:pPr>
    </w:p>
    <w:p w14:paraId="35A06FE8" w14:textId="77777777" w:rsidR="004401F0" w:rsidRPr="00F9256D" w:rsidRDefault="00DF3C4F" w:rsidP="00BD4C7C">
      <w:pPr>
        <w:adjustRightInd w:val="0"/>
        <w:snapToGrid w:val="0"/>
        <w:rPr>
          <w:u w:val="single"/>
          <w:lang w:val="fr-FR"/>
        </w:rPr>
      </w:pPr>
      <w:r w:rsidRPr="00F9256D">
        <w:rPr>
          <w:u w:val="single"/>
          <w:lang w:val="fr-FR"/>
        </w:rPr>
        <w:t>Hémorragies pulmonaires/hémoptysies</w:t>
      </w:r>
    </w:p>
    <w:p w14:paraId="66F1E91A" w14:textId="35E35847" w:rsidR="004401F0" w:rsidRPr="00DA7718" w:rsidRDefault="00DF3C4F" w:rsidP="00BD4C7C">
      <w:pPr>
        <w:pStyle w:val="a3"/>
        <w:adjustRightInd w:val="0"/>
        <w:snapToGrid w:val="0"/>
        <w:rPr>
          <w:lang w:val="fr-FR"/>
        </w:rPr>
      </w:pPr>
      <w:r w:rsidRPr="00DA7718">
        <w:rPr>
          <w:lang w:val="fr-FR"/>
        </w:rPr>
        <w:t xml:space="preserve">Les patients atteints d’un </w:t>
      </w:r>
      <w:r w:rsidR="003F0169">
        <w:rPr>
          <w:lang w:val="fr-FR"/>
        </w:rPr>
        <w:t>CBNPC</w:t>
      </w:r>
      <w:r w:rsidRPr="00DA7718">
        <w:rPr>
          <w:lang w:val="fr-FR"/>
        </w:rPr>
        <w:t xml:space="preserve"> traités par </w:t>
      </w:r>
      <w:r w:rsidR="003F0169">
        <w:rPr>
          <w:lang w:val="fr-FR"/>
        </w:rPr>
        <w:t>b</w:t>
      </w:r>
      <w:r w:rsidR="007845DB">
        <w:rPr>
          <w:lang w:val="fr-FR"/>
        </w:rPr>
        <w:t>e</w:t>
      </w:r>
      <w:r w:rsidR="003F0169">
        <w:rPr>
          <w:lang w:val="fr-FR"/>
        </w:rPr>
        <w:t>vacizumab</w:t>
      </w:r>
      <w:r w:rsidR="003F0169" w:rsidRPr="00DA7718">
        <w:rPr>
          <w:lang w:val="fr-FR"/>
        </w:rPr>
        <w:t xml:space="preserve"> </w:t>
      </w:r>
      <w:r w:rsidRPr="00DA7718">
        <w:rPr>
          <w:lang w:val="fr-FR"/>
        </w:rPr>
        <w:t>peuvent être exposés à un risque d’hémorragie pulmonaire/hémoptysie grave et dans certains cas, fatal. Les patients ayant récemment présenté une hémorragie pulmonaire/hémoptysie (&gt; 2,5</w:t>
      </w:r>
      <w:r w:rsidR="00DA7718" w:rsidRPr="00DA7718">
        <w:rPr>
          <w:lang w:val="fr-FR"/>
        </w:rPr>
        <w:t> ml</w:t>
      </w:r>
      <w:r w:rsidRPr="00DA7718">
        <w:rPr>
          <w:lang w:val="fr-FR"/>
        </w:rPr>
        <w:t xml:space="preserve"> de sang rouge) ne doivent pas être traités par </w:t>
      </w:r>
      <w:r w:rsidR="007845DB">
        <w:rPr>
          <w:lang w:val="fr-FR"/>
        </w:rPr>
        <w:t>be</w:t>
      </w:r>
      <w:r w:rsidR="00AF75A6">
        <w:rPr>
          <w:lang w:val="fr-FR"/>
        </w:rPr>
        <w:t>vacizumab</w:t>
      </w:r>
      <w:r w:rsidRPr="00DA7718">
        <w:rPr>
          <w:lang w:val="fr-FR"/>
        </w:rPr>
        <w:t>.</w:t>
      </w:r>
    </w:p>
    <w:p w14:paraId="698871C5" w14:textId="77777777" w:rsidR="004401F0" w:rsidRPr="00DA7718" w:rsidRDefault="004401F0" w:rsidP="00BD4C7C">
      <w:pPr>
        <w:pStyle w:val="a3"/>
        <w:adjustRightInd w:val="0"/>
        <w:snapToGrid w:val="0"/>
        <w:rPr>
          <w:lang w:val="fr-FR"/>
        </w:rPr>
      </w:pPr>
    </w:p>
    <w:p w14:paraId="32817EEA" w14:textId="77777777" w:rsidR="004401F0" w:rsidRPr="00F9256D" w:rsidRDefault="00DF3C4F" w:rsidP="00BD4C7C">
      <w:pPr>
        <w:adjustRightInd w:val="0"/>
        <w:snapToGrid w:val="0"/>
        <w:rPr>
          <w:u w:val="single"/>
          <w:lang w:val="fr-FR"/>
        </w:rPr>
      </w:pPr>
      <w:r w:rsidRPr="00F9256D">
        <w:rPr>
          <w:u w:val="single"/>
          <w:lang w:val="fr-FR"/>
        </w:rPr>
        <w:t>Anévrisme et dissections artérielles</w:t>
      </w:r>
    </w:p>
    <w:p w14:paraId="2CEEA383" w14:textId="7DEAF98D" w:rsidR="004401F0" w:rsidRPr="00DA7718" w:rsidRDefault="00DF3C4F" w:rsidP="00BD4C7C">
      <w:pPr>
        <w:pStyle w:val="a3"/>
        <w:adjustRightInd w:val="0"/>
        <w:snapToGrid w:val="0"/>
        <w:rPr>
          <w:lang w:val="fr-FR"/>
        </w:rPr>
      </w:pPr>
      <w:r w:rsidRPr="00DA7718">
        <w:rPr>
          <w:lang w:val="fr-FR"/>
        </w:rPr>
        <w:t xml:space="preserve">L’utilisation d’inhibiteurs des voies du VEGF chez les patients souffrant ou non d’hypertension peut favoriser la formation d’anévrismes et/ou de dissections artérielles. Avant l’instauration </w:t>
      </w:r>
      <w:r w:rsidR="000E0109">
        <w:rPr>
          <w:lang w:val="fr-FR"/>
        </w:rPr>
        <w:t xml:space="preserve">de </w:t>
      </w:r>
      <w:r w:rsidR="00F05208">
        <w:rPr>
          <w:lang w:val="fr-FR"/>
        </w:rPr>
        <w:t>Vegzelma</w:t>
      </w:r>
      <w:r w:rsidRPr="00DA7718">
        <w:rPr>
          <w:lang w:val="fr-FR"/>
        </w:rPr>
        <w:t>, ce risque doit être soigneusement pris en considération chez les patients présentant des facteurs de risque tels que l’hypertension ou des antécédents d’anévrisme.</w:t>
      </w:r>
    </w:p>
    <w:p w14:paraId="5A039D86" w14:textId="77777777" w:rsidR="004401F0" w:rsidRPr="00DA7718" w:rsidRDefault="004401F0" w:rsidP="00BD4C7C">
      <w:pPr>
        <w:pStyle w:val="a3"/>
        <w:adjustRightInd w:val="0"/>
        <w:snapToGrid w:val="0"/>
        <w:rPr>
          <w:lang w:val="fr-FR"/>
        </w:rPr>
      </w:pPr>
    </w:p>
    <w:p w14:paraId="57BEFBB7" w14:textId="77777777" w:rsidR="004401F0" w:rsidRPr="00DA7718" w:rsidRDefault="00DF3C4F" w:rsidP="00BD4C7C">
      <w:pPr>
        <w:adjustRightInd w:val="0"/>
        <w:snapToGrid w:val="0"/>
        <w:rPr>
          <w:lang w:val="fr-FR"/>
        </w:rPr>
      </w:pPr>
      <w:r w:rsidRPr="00F9256D">
        <w:rPr>
          <w:u w:val="single"/>
          <w:lang w:val="fr-FR"/>
        </w:rPr>
        <w:t>Insuffisance cardiaque congestive (ICC)</w:t>
      </w:r>
      <w:r w:rsidRPr="00DA7718">
        <w:rPr>
          <w:i/>
          <w:lang w:val="fr-FR"/>
        </w:rPr>
        <w:t xml:space="preserve"> </w:t>
      </w:r>
      <w:r w:rsidRPr="00DA7718">
        <w:rPr>
          <w:lang w:val="fr-FR"/>
        </w:rPr>
        <w:t>(voir rubrique 4.8)</w:t>
      </w:r>
    </w:p>
    <w:p w14:paraId="54CB73BF" w14:textId="324719E3" w:rsidR="004401F0" w:rsidRPr="00DA7718" w:rsidRDefault="00DF3C4F" w:rsidP="00BD4C7C">
      <w:pPr>
        <w:pStyle w:val="a3"/>
        <w:adjustRightInd w:val="0"/>
        <w:snapToGrid w:val="0"/>
        <w:rPr>
          <w:lang w:val="fr-FR"/>
        </w:rPr>
      </w:pPr>
      <w:r w:rsidRPr="00DA7718">
        <w:rPr>
          <w:lang w:val="fr-FR"/>
        </w:rPr>
        <w:t xml:space="preserve">Des effets compatibles avec une ICC ont été rapportés dans les études cliniques. Les résultats observés sont allés d’une diminution asymptomatique de la fraction d’éjection ventriculaire gauche à une ICC symptomatique, nécessitant un traitement ou une hospitalisation. Une attention particulière est recommandée en cas de traitement avec </w:t>
      </w:r>
      <w:r w:rsidR="00F24824">
        <w:rPr>
          <w:lang w:val="fr-FR"/>
        </w:rPr>
        <w:t>bevacizumab</w:t>
      </w:r>
      <w:r w:rsidR="00F24824" w:rsidRPr="00DA7718">
        <w:rPr>
          <w:lang w:val="fr-FR"/>
        </w:rPr>
        <w:t xml:space="preserve"> </w:t>
      </w:r>
      <w:r w:rsidRPr="00DA7718">
        <w:rPr>
          <w:lang w:val="fr-FR"/>
        </w:rPr>
        <w:t xml:space="preserve">chez des patients atteints d’une affection cardiovasculaire cliniquement significative telle qu’une pathologie coronarienne pré-existante, ou une </w:t>
      </w:r>
      <w:r w:rsidR="00F20376">
        <w:rPr>
          <w:lang w:val="fr-FR"/>
        </w:rPr>
        <w:t>ICC</w:t>
      </w:r>
      <w:r w:rsidRPr="00DA7718">
        <w:rPr>
          <w:lang w:val="fr-FR"/>
        </w:rPr>
        <w:t>.</w:t>
      </w:r>
    </w:p>
    <w:p w14:paraId="1C243F2E" w14:textId="77777777" w:rsidR="004401F0" w:rsidRPr="007C119A" w:rsidRDefault="004401F0" w:rsidP="00BD4C7C">
      <w:pPr>
        <w:pStyle w:val="a3"/>
        <w:adjustRightInd w:val="0"/>
        <w:snapToGrid w:val="0"/>
        <w:rPr>
          <w:lang w:val="fr-FR"/>
        </w:rPr>
      </w:pPr>
    </w:p>
    <w:p w14:paraId="3598848E" w14:textId="77777777" w:rsidR="004401F0" w:rsidRPr="00DA7718" w:rsidRDefault="00DF3C4F" w:rsidP="00BD4C7C">
      <w:pPr>
        <w:pStyle w:val="a3"/>
        <w:adjustRightInd w:val="0"/>
        <w:snapToGrid w:val="0"/>
        <w:rPr>
          <w:lang w:val="fr-FR"/>
        </w:rPr>
      </w:pPr>
      <w:r w:rsidRPr="00DA7718">
        <w:rPr>
          <w:lang w:val="fr-FR"/>
        </w:rPr>
        <w:t>La plupart des cas d'ICC sont survenus chez des patients atteints d’un cancer du sein métastatique précédemment traités par anthracyclines ou radiothérapie de la paroi thoracique gauche, ou chez qui d’autres facteurs de risque de survenue d’ICC étaient présents.</w:t>
      </w:r>
    </w:p>
    <w:p w14:paraId="372201F2" w14:textId="77777777" w:rsidR="004401F0" w:rsidRPr="00DA7718" w:rsidRDefault="004401F0" w:rsidP="00BD4C7C">
      <w:pPr>
        <w:pStyle w:val="a3"/>
        <w:adjustRightInd w:val="0"/>
        <w:snapToGrid w:val="0"/>
        <w:rPr>
          <w:lang w:val="fr-FR"/>
        </w:rPr>
      </w:pPr>
    </w:p>
    <w:p w14:paraId="2EB169E5" w14:textId="77777777" w:rsidR="004401F0" w:rsidRPr="00DA7718" w:rsidRDefault="00DF3C4F" w:rsidP="00BD4C7C">
      <w:pPr>
        <w:pStyle w:val="a3"/>
        <w:adjustRightInd w:val="0"/>
        <w:snapToGrid w:val="0"/>
        <w:rPr>
          <w:lang w:val="fr-FR"/>
        </w:rPr>
      </w:pPr>
      <w:r w:rsidRPr="00DA7718">
        <w:rPr>
          <w:lang w:val="fr-FR"/>
        </w:rPr>
        <w:t xml:space="preserve">Dans l’étude AVF3694g, chez les patients traités par anthracyclines et qui n’avaient pas reçu </w:t>
      </w:r>
      <w:r w:rsidRPr="00DA7718">
        <w:rPr>
          <w:lang w:val="fr-FR"/>
        </w:rPr>
        <w:lastRenderedPageBreak/>
        <w:t>d’anthracyclines précédemment, aucune augmentation de l’incidence des ICC, quel que soit le grade, n’a été observée dans le groupe bevacizumab + anthracycline comparé au groupe traité par anthracyclines seules. Les ICC de grade 3 ou plus étaient toutefois plus fréquentes parmi les patients traités par bevacizumab en association à une chimiothérapie que parmi les patients traités par chimiothérapie uniquement. Ceci est en accord avec les résultats obtenus dans les autres études conduites dans le cancer du sein métastatique chez des patients qui n’avaient pas été préalablement traités par des anthracyclines (NCI-CTCAE v.3) (voir rubrique 4.8)</w:t>
      </w:r>
    </w:p>
    <w:p w14:paraId="67384CE2" w14:textId="77777777" w:rsidR="004401F0" w:rsidRPr="00DA7718" w:rsidRDefault="004401F0" w:rsidP="00BD4C7C">
      <w:pPr>
        <w:pStyle w:val="a3"/>
        <w:adjustRightInd w:val="0"/>
        <w:snapToGrid w:val="0"/>
        <w:rPr>
          <w:lang w:val="fr-FR"/>
        </w:rPr>
      </w:pPr>
    </w:p>
    <w:p w14:paraId="75EA5A02" w14:textId="77777777" w:rsidR="004401F0" w:rsidRPr="00DA7718" w:rsidRDefault="00DF3C4F" w:rsidP="00BD4C7C">
      <w:pPr>
        <w:adjustRightInd w:val="0"/>
        <w:snapToGrid w:val="0"/>
        <w:rPr>
          <w:lang w:val="fr-FR"/>
        </w:rPr>
      </w:pPr>
      <w:r w:rsidRPr="00F9256D">
        <w:rPr>
          <w:u w:val="single"/>
          <w:lang w:val="fr-FR"/>
        </w:rPr>
        <w:t>Neutropénies et infections</w:t>
      </w:r>
      <w:r w:rsidRPr="00DA7718">
        <w:rPr>
          <w:i/>
          <w:lang w:val="fr-FR"/>
        </w:rPr>
        <w:t xml:space="preserve"> </w:t>
      </w:r>
      <w:r w:rsidRPr="00DA7718">
        <w:rPr>
          <w:lang w:val="fr-FR"/>
        </w:rPr>
        <w:t>(voir rubrique 4.8)</w:t>
      </w:r>
    </w:p>
    <w:p w14:paraId="3A8BEBBF" w14:textId="61CE8DA0" w:rsidR="004401F0" w:rsidRPr="00DA7718" w:rsidRDefault="00DF3C4F" w:rsidP="00BD4C7C">
      <w:pPr>
        <w:pStyle w:val="a3"/>
        <w:adjustRightInd w:val="0"/>
        <w:snapToGrid w:val="0"/>
        <w:rPr>
          <w:lang w:val="fr-FR"/>
        </w:rPr>
      </w:pPr>
      <w:r w:rsidRPr="00DA7718">
        <w:rPr>
          <w:lang w:val="fr-FR"/>
        </w:rPr>
        <w:t xml:space="preserve">Une augmentation de l’incidence des neutropénies sévères, des neutropénies fébriles ou des infections avec ou sans neutropénie sévère (dont certaines fatales) a été observée chez des patients recevant une chimiothérapie myélotoxique associée </w:t>
      </w:r>
      <w:r w:rsidR="00F24824">
        <w:rPr>
          <w:lang w:val="fr-FR"/>
        </w:rPr>
        <w:t>au bevacizumab</w:t>
      </w:r>
      <w:r w:rsidRPr="00DA7718">
        <w:rPr>
          <w:lang w:val="fr-FR"/>
        </w:rPr>
        <w:t>, comparé à ceux recevant une chimiothérapie seule. Cela a principalement été observé en association aux dérivés du platine ou aux chimiothérapies à base de taxane dans le CBNPC, le cancer du sein métastatique, et en association au paclitaxel et au topotécan dans le cancer du col de l’utérus persistant, en rechute ou métastatique.</w:t>
      </w:r>
    </w:p>
    <w:p w14:paraId="24DFE351" w14:textId="77777777" w:rsidR="004401F0" w:rsidRPr="007C119A" w:rsidRDefault="004401F0" w:rsidP="00BD4C7C">
      <w:pPr>
        <w:pStyle w:val="a3"/>
        <w:adjustRightInd w:val="0"/>
        <w:snapToGrid w:val="0"/>
        <w:rPr>
          <w:lang w:val="fr-FR"/>
        </w:rPr>
      </w:pPr>
    </w:p>
    <w:p w14:paraId="3C20679A" w14:textId="2EE290C9" w:rsidR="004401F0" w:rsidRPr="00DA7718" w:rsidRDefault="00DF3C4F" w:rsidP="00BD4C7C">
      <w:pPr>
        <w:adjustRightInd w:val="0"/>
        <w:snapToGrid w:val="0"/>
        <w:rPr>
          <w:lang w:val="fr-FR"/>
        </w:rPr>
      </w:pPr>
      <w:r w:rsidRPr="00F9256D">
        <w:rPr>
          <w:u w:val="single"/>
          <w:lang w:val="fr-FR"/>
        </w:rPr>
        <w:t xml:space="preserve">Réactions d’hypersensibilité </w:t>
      </w:r>
      <w:r w:rsidR="006A2D64" w:rsidRPr="006A2D64">
        <w:rPr>
          <w:u w:val="single"/>
          <w:lang w:val="fr-FR"/>
        </w:rPr>
        <w:t>(dont le choc anaphylactique)</w:t>
      </w:r>
      <w:r w:rsidR="006A2D64">
        <w:rPr>
          <w:u w:val="single"/>
          <w:lang w:val="fr-FR"/>
        </w:rPr>
        <w:t xml:space="preserve"> </w:t>
      </w:r>
      <w:r w:rsidRPr="00F9256D">
        <w:rPr>
          <w:u w:val="single"/>
          <w:lang w:val="fr-FR"/>
        </w:rPr>
        <w:t>/ réactions liées à la perfusion</w:t>
      </w:r>
      <w:r w:rsidRPr="00DA7718">
        <w:rPr>
          <w:i/>
          <w:lang w:val="fr-FR"/>
        </w:rPr>
        <w:t xml:space="preserve"> </w:t>
      </w:r>
      <w:r w:rsidRPr="00DA7718">
        <w:rPr>
          <w:lang w:val="fr-FR"/>
        </w:rPr>
        <w:t>(voir rubrique 4.8)</w:t>
      </w:r>
    </w:p>
    <w:p w14:paraId="42335C3B" w14:textId="397632D2" w:rsidR="004401F0" w:rsidRPr="00DA7718" w:rsidRDefault="00DF3C4F" w:rsidP="00BD4C7C">
      <w:pPr>
        <w:pStyle w:val="a3"/>
        <w:adjustRightInd w:val="0"/>
        <w:snapToGrid w:val="0"/>
        <w:rPr>
          <w:lang w:val="fr-FR"/>
        </w:rPr>
      </w:pPr>
      <w:r w:rsidRPr="00DA7718">
        <w:rPr>
          <w:lang w:val="fr-FR"/>
        </w:rPr>
        <w:t>Les patients peuvent être exposés à un risque de réactions liées à la perfusion</w:t>
      </w:r>
      <w:r w:rsidR="0051331B">
        <w:rPr>
          <w:lang w:val="fr-FR"/>
        </w:rPr>
        <w:t xml:space="preserve"> </w:t>
      </w:r>
      <w:r w:rsidRPr="00DA7718">
        <w:rPr>
          <w:lang w:val="fr-FR"/>
        </w:rPr>
        <w:t>/ d’hypersensibilité</w:t>
      </w:r>
      <w:r w:rsidR="006A2D64">
        <w:rPr>
          <w:lang w:val="fr-FR"/>
        </w:rPr>
        <w:t xml:space="preserve"> </w:t>
      </w:r>
      <w:r w:rsidR="006A2D64" w:rsidRPr="006A2D64">
        <w:rPr>
          <w:u w:val="single"/>
          <w:lang w:val="fr-FR"/>
        </w:rPr>
        <w:t>(dont le choc anaphylactique)</w:t>
      </w:r>
      <w:r w:rsidRPr="00DA7718">
        <w:rPr>
          <w:lang w:val="fr-FR"/>
        </w:rPr>
        <w:t>. Comme avec toute perfusion d’un anticorps monoclonal humanisé, les patients doivent être étroitement surveillés pendant et après l’administration du bevacizumab. En cas de réaction, la perfusion doit être arrêtée et un traitement approprié doit être instauré. Une prémédication systématique n’est pas justifiée.</w:t>
      </w:r>
    </w:p>
    <w:p w14:paraId="476622BE" w14:textId="77777777" w:rsidR="00BD4C7C" w:rsidRPr="00DA7718" w:rsidRDefault="00BD4C7C" w:rsidP="00BD4C7C">
      <w:pPr>
        <w:adjustRightInd w:val="0"/>
        <w:snapToGrid w:val="0"/>
        <w:rPr>
          <w:lang w:val="fr-FR"/>
        </w:rPr>
      </w:pPr>
    </w:p>
    <w:p w14:paraId="344FAEA9" w14:textId="77777777" w:rsidR="004401F0" w:rsidRPr="00DA7718" w:rsidRDefault="00DF3C4F" w:rsidP="00BD4C7C">
      <w:pPr>
        <w:adjustRightInd w:val="0"/>
        <w:snapToGrid w:val="0"/>
        <w:rPr>
          <w:i/>
          <w:lang w:val="fr-FR"/>
        </w:rPr>
      </w:pPr>
      <w:r w:rsidRPr="00F9256D">
        <w:rPr>
          <w:u w:val="single"/>
          <w:lang w:val="fr-FR"/>
        </w:rPr>
        <w:t>Ostéonécroses de la mâchoire</w:t>
      </w:r>
      <w:r w:rsidRPr="00DA7718">
        <w:rPr>
          <w:i/>
          <w:lang w:val="fr-FR"/>
        </w:rPr>
        <w:t xml:space="preserve"> </w:t>
      </w:r>
      <w:r w:rsidRPr="00654D21">
        <w:rPr>
          <w:iCs/>
          <w:lang w:val="fr-FR"/>
        </w:rPr>
        <w:t>(voir rubrique 4.8)</w:t>
      </w:r>
    </w:p>
    <w:p w14:paraId="5B7F5CC5" w14:textId="56196D05" w:rsidR="004401F0" w:rsidRDefault="00DF3C4F" w:rsidP="00CD2DD7">
      <w:pPr>
        <w:pStyle w:val="a3"/>
        <w:adjustRightInd w:val="0"/>
        <w:snapToGrid w:val="0"/>
        <w:rPr>
          <w:lang w:val="fr-FR"/>
        </w:rPr>
      </w:pPr>
      <w:r w:rsidRPr="00DA7718">
        <w:rPr>
          <w:lang w:val="fr-FR"/>
        </w:rPr>
        <w:t xml:space="preserve">Des cas d’ostéonécrose de la mâchoire ont été rapportés chez des patients atteints de cancer et traités avec </w:t>
      </w:r>
      <w:r w:rsidR="00F24824">
        <w:rPr>
          <w:lang w:val="fr-FR"/>
        </w:rPr>
        <w:t>bevacizumab</w:t>
      </w:r>
      <w:r w:rsidRPr="00DA7718">
        <w:rPr>
          <w:lang w:val="fr-FR"/>
        </w:rPr>
        <w:t>, dont la majorité avait reçu un traitement antérieur ou concomitant par des bisphosphonates administrés par voie intraveineuse, lesquels ont un risque connu d’ostéonécroses de la mâchoire.</w:t>
      </w:r>
      <w:r w:rsidR="00CD2DD7">
        <w:rPr>
          <w:lang w:val="fr-FR"/>
        </w:rPr>
        <w:t xml:space="preserve"> </w:t>
      </w:r>
      <w:r w:rsidRPr="00DA7718">
        <w:rPr>
          <w:lang w:val="fr-FR"/>
        </w:rPr>
        <w:t xml:space="preserve">Une attention particulière est recommandée en cas d’administration antérieure ou concomitante </w:t>
      </w:r>
      <w:r w:rsidR="00F24824">
        <w:rPr>
          <w:lang w:val="fr-FR"/>
        </w:rPr>
        <w:t>du bevacizumab</w:t>
      </w:r>
      <w:r w:rsidR="00F24824" w:rsidRPr="00DA7718">
        <w:rPr>
          <w:lang w:val="fr-FR"/>
        </w:rPr>
        <w:t xml:space="preserve"> </w:t>
      </w:r>
      <w:r w:rsidRPr="00DA7718">
        <w:rPr>
          <w:lang w:val="fr-FR"/>
        </w:rPr>
        <w:t>avec des bisphosphonates administrés par voie intraveineuse.</w:t>
      </w:r>
    </w:p>
    <w:p w14:paraId="2ADE8E36" w14:textId="77777777" w:rsidR="00CD2DD7" w:rsidRPr="00DA7718" w:rsidRDefault="00CD2DD7" w:rsidP="00BD4C7C">
      <w:pPr>
        <w:pStyle w:val="a3"/>
        <w:adjustRightInd w:val="0"/>
        <w:snapToGrid w:val="0"/>
        <w:rPr>
          <w:lang w:val="fr-FR"/>
        </w:rPr>
      </w:pPr>
    </w:p>
    <w:p w14:paraId="45246ADA" w14:textId="3A749E11" w:rsidR="004401F0" w:rsidRPr="00DA7718" w:rsidRDefault="00DF3C4F" w:rsidP="00CD2DD7">
      <w:pPr>
        <w:pStyle w:val="a3"/>
        <w:adjustRightInd w:val="0"/>
        <w:snapToGrid w:val="0"/>
        <w:rPr>
          <w:lang w:val="fr-FR"/>
        </w:rPr>
      </w:pPr>
      <w:r w:rsidRPr="00DA7718">
        <w:rPr>
          <w:lang w:val="fr-FR"/>
        </w:rPr>
        <w:t>Les interventions dentaires invasives sont connues comme étant un facteur de risque.</w:t>
      </w:r>
      <w:r w:rsidR="00CD2DD7">
        <w:rPr>
          <w:lang w:val="fr-FR"/>
        </w:rPr>
        <w:t xml:space="preserve"> </w:t>
      </w:r>
      <w:r w:rsidRPr="00DA7718">
        <w:rPr>
          <w:lang w:val="fr-FR"/>
        </w:rPr>
        <w:t xml:space="preserve">Un examen dentaire ainsi que des soins dentaires préventifs appropriés doivent être envisagés avant l’instauration du traitement par </w:t>
      </w:r>
      <w:r w:rsidR="00F05208">
        <w:rPr>
          <w:lang w:val="fr-FR"/>
        </w:rPr>
        <w:t>Vegzelma</w:t>
      </w:r>
      <w:r w:rsidRPr="00DA7718">
        <w:rPr>
          <w:lang w:val="fr-FR"/>
        </w:rPr>
        <w:t>. Pour les patients ayant auparavant reçu ou recevant un traitement par bisphosphonates administrés par voie intraveineuse, les interventions dentaires invasives doivent si possible être évitées.</w:t>
      </w:r>
    </w:p>
    <w:p w14:paraId="2123F940" w14:textId="77777777" w:rsidR="004401F0" w:rsidRPr="007C119A" w:rsidRDefault="004401F0" w:rsidP="00BD4C7C">
      <w:pPr>
        <w:pStyle w:val="a3"/>
        <w:adjustRightInd w:val="0"/>
        <w:snapToGrid w:val="0"/>
        <w:rPr>
          <w:lang w:val="fr-FR"/>
        </w:rPr>
      </w:pPr>
    </w:p>
    <w:p w14:paraId="7C1DCDBC" w14:textId="77777777" w:rsidR="004401F0" w:rsidRPr="00F9256D" w:rsidRDefault="00DF3C4F" w:rsidP="00BD4C7C">
      <w:pPr>
        <w:adjustRightInd w:val="0"/>
        <w:snapToGrid w:val="0"/>
        <w:rPr>
          <w:u w:val="single"/>
          <w:lang w:val="fr-FR"/>
        </w:rPr>
      </w:pPr>
      <w:r w:rsidRPr="00F9256D">
        <w:rPr>
          <w:u w:val="single"/>
          <w:lang w:val="fr-FR"/>
        </w:rPr>
        <w:t>Utilisation intra-vitréenne</w:t>
      </w:r>
    </w:p>
    <w:p w14:paraId="1E6A9C10" w14:textId="26E0D828"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n’est pas formulé pour une utilisation intra-vitréenne.</w:t>
      </w:r>
    </w:p>
    <w:p w14:paraId="7AF1C18A" w14:textId="77777777" w:rsidR="004401F0" w:rsidRPr="007C119A" w:rsidRDefault="004401F0" w:rsidP="00BD4C7C">
      <w:pPr>
        <w:pStyle w:val="a3"/>
        <w:adjustRightInd w:val="0"/>
        <w:snapToGrid w:val="0"/>
        <w:rPr>
          <w:lang w:val="fr-FR"/>
        </w:rPr>
      </w:pPr>
    </w:p>
    <w:p w14:paraId="279AC006" w14:textId="77777777" w:rsidR="004401F0" w:rsidRPr="00F9256D" w:rsidRDefault="00DF3C4F" w:rsidP="00BD4C7C">
      <w:pPr>
        <w:adjustRightInd w:val="0"/>
        <w:snapToGrid w:val="0"/>
        <w:rPr>
          <w:u w:val="single"/>
          <w:lang w:val="fr-FR"/>
        </w:rPr>
      </w:pPr>
      <w:r w:rsidRPr="00F9256D">
        <w:rPr>
          <w:u w:val="single"/>
          <w:lang w:val="fr-FR"/>
        </w:rPr>
        <w:t>Affections oculaires</w:t>
      </w:r>
    </w:p>
    <w:p w14:paraId="0E1E3BE9" w14:textId="53CD5CDC" w:rsidR="004401F0" w:rsidRPr="00DA7718" w:rsidRDefault="00DF3C4F" w:rsidP="00F81C89">
      <w:pPr>
        <w:pStyle w:val="a3"/>
        <w:adjustRightInd w:val="0"/>
        <w:snapToGrid w:val="0"/>
        <w:rPr>
          <w:lang w:val="fr-FR"/>
        </w:rPr>
      </w:pPr>
      <w:r w:rsidRPr="00DA7718">
        <w:rPr>
          <w:lang w:val="fr-FR"/>
        </w:rPr>
        <w:t xml:space="preserve">Des cas isolés et des séries d’effets indésirables oculaires graves ont été rapportés à la suite d’une utilisation intra-vitréenne non autorisée </w:t>
      </w:r>
      <w:r w:rsidR="00F24824">
        <w:rPr>
          <w:lang w:val="fr-FR"/>
        </w:rPr>
        <w:t>du bevacizumab</w:t>
      </w:r>
      <w:r w:rsidRPr="00DA7718">
        <w:rPr>
          <w:lang w:val="fr-FR"/>
        </w:rPr>
        <w:t>, préparé à partir de flacons autorisés pour une administration intraveineuse chez des patients atteints de cancer. Ces effets incluent</w:t>
      </w:r>
      <w:r w:rsidR="00765A43">
        <w:rPr>
          <w:lang w:val="fr-FR"/>
        </w:rPr>
        <w:t xml:space="preserve"> : </w:t>
      </w:r>
      <w:r w:rsidRPr="00DA7718">
        <w:rPr>
          <w:lang w:val="fr-FR"/>
        </w:rPr>
        <w:t>endophtalmie infectieuse</w:t>
      </w:r>
      <w:r w:rsidR="00881CB8">
        <w:rPr>
          <w:lang w:val="fr-FR"/>
        </w:rPr>
        <w:t xml:space="preserve"> ; </w:t>
      </w:r>
      <w:r w:rsidRPr="00DA7718">
        <w:rPr>
          <w:lang w:val="fr-FR"/>
        </w:rPr>
        <w:t>inflammation intraoculaire telle qu’une endophtalmie stérile, une uvéite et une hyalite</w:t>
      </w:r>
      <w:r w:rsidR="00881CB8">
        <w:rPr>
          <w:lang w:val="fr-FR"/>
        </w:rPr>
        <w:t xml:space="preserve"> ; </w:t>
      </w:r>
      <w:r w:rsidRPr="00DA7718">
        <w:rPr>
          <w:lang w:val="fr-FR"/>
        </w:rPr>
        <w:t>décollement de la rétine</w:t>
      </w:r>
      <w:r w:rsidR="00881CB8">
        <w:rPr>
          <w:lang w:val="fr-FR"/>
        </w:rPr>
        <w:t xml:space="preserve"> ; </w:t>
      </w:r>
      <w:r w:rsidRPr="00DA7718">
        <w:rPr>
          <w:lang w:val="fr-FR"/>
        </w:rPr>
        <w:t>déchirure de l’épithélium pigmentaire de la rétine</w:t>
      </w:r>
      <w:r w:rsidR="00881CB8">
        <w:rPr>
          <w:lang w:val="fr-FR"/>
        </w:rPr>
        <w:t xml:space="preserve"> ; </w:t>
      </w:r>
      <w:r w:rsidRPr="00DA7718">
        <w:rPr>
          <w:lang w:val="fr-FR"/>
        </w:rPr>
        <w:t>augmentation de la pression intraoculaire</w:t>
      </w:r>
      <w:r w:rsidR="00881CB8">
        <w:rPr>
          <w:lang w:val="fr-FR"/>
        </w:rPr>
        <w:t xml:space="preserve"> ; </w:t>
      </w:r>
      <w:r w:rsidRPr="00DA7718">
        <w:rPr>
          <w:lang w:val="fr-FR"/>
        </w:rPr>
        <w:t>hémorragie intraoculaire telle qu’une hémorragie du vitré ou de la rétine</w:t>
      </w:r>
      <w:r w:rsidR="00881CB8">
        <w:rPr>
          <w:lang w:val="fr-FR"/>
        </w:rPr>
        <w:t xml:space="preserve"> ; </w:t>
      </w:r>
      <w:r w:rsidRPr="00DA7718">
        <w:rPr>
          <w:lang w:val="fr-FR"/>
        </w:rPr>
        <w:t>hémorragie conjonctivale.</w:t>
      </w:r>
      <w:r w:rsidR="00F81C89">
        <w:rPr>
          <w:lang w:val="fr-FR"/>
        </w:rPr>
        <w:t xml:space="preserve"> </w:t>
      </w:r>
      <w:r w:rsidRPr="00DA7718">
        <w:rPr>
          <w:lang w:val="fr-FR"/>
        </w:rPr>
        <w:t>Certains de ces effets ont entrainé une diminution de l’acuité visuelle à des degrés différents, dont la cécité permanente.</w:t>
      </w:r>
    </w:p>
    <w:p w14:paraId="38ED15D0" w14:textId="77777777" w:rsidR="004401F0" w:rsidRPr="007C119A" w:rsidRDefault="004401F0" w:rsidP="00BD4C7C">
      <w:pPr>
        <w:pStyle w:val="a3"/>
        <w:adjustRightInd w:val="0"/>
        <w:snapToGrid w:val="0"/>
        <w:rPr>
          <w:lang w:val="fr-FR"/>
        </w:rPr>
      </w:pPr>
    </w:p>
    <w:p w14:paraId="7A6AA0EE" w14:textId="77777777" w:rsidR="004401F0" w:rsidRPr="00F9256D" w:rsidRDefault="00DF3C4F" w:rsidP="00BD4C7C">
      <w:pPr>
        <w:adjustRightInd w:val="0"/>
        <w:snapToGrid w:val="0"/>
        <w:rPr>
          <w:u w:val="single"/>
          <w:lang w:val="fr-FR"/>
        </w:rPr>
      </w:pPr>
      <w:r w:rsidRPr="00F9256D">
        <w:rPr>
          <w:u w:val="single"/>
          <w:lang w:val="fr-FR"/>
        </w:rPr>
        <w:t>Effets systémiques suite à une utilisation intra-vitréenne</w:t>
      </w:r>
    </w:p>
    <w:p w14:paraId="67ACB887" w14:textId="29E5C1BC" w:rsidR="004401F0" w:rsidRPr="00DA7718" w:rsidRDefault="00DF3C4F" w:rsidP="00BD4C7C">
      <w:pPr>
        <w:pStyle w:val="a3"/>
        <w:adjustRightInd w:val="0"/>
        <w:snapToGrid w:val="0"/>
        <w:rPr>
          <w:lang w:val="fr-FR"/>
        </w:rPr>
      </w:pPr>
      <w:r w:rsidRPr="00DA7718">
        <w:rPr>
          <w:lang w:val="fr-FR"/>
        </w:rPr>
        <w:t>Une réduction de la concentration en VEGF circulant a été démontrée suite à un traitement par anti- VEGF en intra-vitréen. Des effets systémiques dont des hémorragies non</w:t>
      </w:r>
      <w:r w:rsidR="00DD4CA9">
        <w:rPr>
          <w:lang w:val="fr-FR"/>
        </w:rPr>
        <w:t xml:space="preserve"> </w:t>
      </w:r>
      <w:r w:rsidRPr="00DA7718">
        <w:rPr>
          <w:lang w:val="fr-FR"/>
        </w:rPr>
        <w:t>oculaires et des effets thromboemboliques artériels ont été rapportés suite à une injection intra-vitréenne d’un inhibiteur du VEGF.</w:t>
      </w:r>
    </w:p>
    <w:p w14:paraId="68300CCD" w14:textId="77777777" w:rsidR="004401F0" w:rsidRPr="007C119A" w:rsidRDefault="004401F0" w:rsidP="00BD4C7C">
      <w:pPr>
        <w:pStyle w:val="a3"/>
        <w:adjustRightInd w:val="0"/>
        <w:snapToGrid w:val="0"/>
        <w:rPr>
          <w:lang w:val="fr-FR"/>
        </w:rPr>
      </w:pPr>
    </w:p>
    <w:p w14:paraId="1667F4AF" w14:textId="77777777" w:rsidR="004401F0" w:rsidRPr="00F9256D" w:rsidRDefault="00DF3C4F" w:rsidP="00654D21">
      <w:pPr>
        <w:keepNext/>
        <w:keepLines/>
        <w:adjustRightInd w:val="0"/>
        <w:snapToGrid w:val="0"/>
        <w:rPr>
          <w:u w:val="single"/>
          <w:lang w:val="fr-FR"/>
        </w:rPr>
      </w:pPr>
      <w:r w:rsidRPr="00F9256D">
        <w:rPr>
          <w:u w:val="single"/>
          <w:lang w:val="fr-FR"/>
        </w:rPr>
        <w:lastRenderedPageBreak/>
        <w:t>Insuffisance ovarienne / Fertilité</w:t>
      </w:r>
    </w:p>
    <w:p w14:paraId="2D2299BE" w14:textId="1AD1322D" w:rsidR="004401F0" w:rsidRPr="00DA7718" w:rsidRDefault="00F24824" w:rsidP="00654D21">
      <w:pPr>
        <w:pStyle w:val="a3"/>
        <w:keepNext/>
        <w:keepLines/>
        <w:adjustRightInd w:val="0"/>
        <w:snapToGrid w:val="0"/>
        <w:rPr>
          <w:lang w:val="fr-FR"/>
        </w:rPr>
      </w:pPr>
      <w:r>
        <w:rPr>
          <w:lang w:val="fr-FR"/>
        </w:rPr>
        <w:t>Le bevacizumab</w:t>
      </w:r>
      <w:r w:rsidRPr="00DA7718">
        <w:rPr>
          <w:lang w:val="fr-FR"/>
        </w:rPr>
        <w:t xml:space="preserve"> </w:t>
      </w:r>
      <w:r w:rsidR="00DF3C4F" w:rsidRPr="00DA7718">
        <w:rPr>
          <w:lang w:val="fr-FR"/>
        </w:rPr>
        <w:t xml:space="preserve">peut altérer la fertilité chez la femme (voir rubriques 4.6 et 4.8). En conséquence, des stratégies de préservation de la fertilité doivent être discutées avec les femmes en âge de procréer, avant de démarrer un traitement par </w:t>
      </w:r>
      <w:r w:rsidR="00F05208">
        <w:rPr>
          <w:lang w:val="fr-FR"/>
        </w:rPr>
        <w:t>Vegzelma</w:t>
      </w:r>
      <w:r w:rsidR="00DF3C4F" w:rsidRPr="00DA7718">
        <w:rPr>
          <w:lang w:val="fr-FR"/>
        </w:rPr>
        <w:t>.</w:t>
      </w:r>
    </w:p>
    <w:p w14:paraId="42EA8C1D" w14:textId="77777777" w:rsidR="004401F0" w:rsidRDefault="004401F0" w:rsidP="00BD4C7C">
      <w:pPr>
        <w:pStyle w:val="a3"/>
        <w:adjustRightInd w:val="0"/>
        <w:snapToGrid w:val="0"/>
        <w:rPr>
          <w:rFonts w:eastAsia="맑은 고딕"/>
          <w:lang w:val="fr-FR" w:eastAsia="ko-KR"/>
        </w:rPr>
      </w:pPr>
    </w:p>
    <w:p w14:paraId="6C695D40" w14:textId="77777777" w:rsidR="003E0A60" w:rsidRPr="00850855" w:rsidRDefault="003E0A60" w:rsidP="003E0A60">
      <w:pPr>
        <w:pStyle w:val="a3"/>
        <w:widowControl/>
        <w:adjustRightInd w:val="0"/>
        <w:snapToGrid w:val="0"/>
        <w:rPr>
          <w:rFonts w:eastAsiaTheme="minorEastAsia"/>
          <w:u w:val="single"/>
          <w:lang w:val="fr-CA" w:eastAsia="ko-KR"/>
        </w:rPr>
      </w:pPr>
      <w:r w:rsidRPr="00850855">
        <w:rPr>
          <w:rFonts w:eastAsiaTheme="minorEastAsia" w:hint="eastAsia"/>
          <w:u w:val="single"/>
          <w:lang w:val="fr-CA" w:eastAsia="ko-KR"/>
        </w:rPr>
        <w:t>Excipients</w:t>
      </w:r>
    </w:p>
    <w:p w14:paraId="0B2F790A" w14:textId="77777777" w:rsidR="003E0A60" w:rsidRPr="00850855" w:rsidRDefault="003E0A60" w:rsidP="003E0A60">
      <w:pPr>
        <w:adjustRightInd w:val="0"/>
        <w:rPr>
          <w:lang w:val="fr-CA"/>
        </w:rPr>
      </w:pPr>
      <w:r w:rsidRPr="00850855">
        <w:rPr>
          <w:lang w:val="fr-CA"/>
        </w:rPr>
        <w:t>Ce médicament contient moins de 1 mmol (23 mg) de sodium par dose de 120 mg, c.</w:t>
      </w:r>
      <w:r w:rsidRPr="00850855">
        <w:rPr>
          <w:lang w:val="fr-CA"/>
        </w:rPr>
        <w:noBreakHyphen/>
        <w:t>à</w:t>
      </w:r>
      <w:r w:rsidRPr="00850855">
        <w:rPr>
          <w:lang w:val="fr-CA"/>
        </w:rPr>
        <w:noBreakHyphen/>
        <w:t>d. qu’il est essentiellement « sans sodium ».</w:t>
      </w:r>
    </w:p>
    <w:p w14:paraId="16FAE115" w14:textId="77777777" w:rsidR="003E0A60" w:rsidRPr="00850855" w:rsidRDefault="003E0A60" w:rsidP="003E0A60">
      <w:pPr>
        <w:pStyle w:val="a3"/>
        <w:widowControl/>
        <w:adjustRightInd w:val="0"/>
        <w:snapToGrid w:val="0"/>
        <w:rPr>
          <w:rFonts w:eastAsiaTheme="minorEastAsia"/>
          <w:lang w:val="fr-CA" w:eastAsia="ko-KR"/>
        </w:rPr>
      </w:pPr>
    </w:p>
    <w:p w14:paraId="7F1488A6" w14:textId="3DD9ED35" w:rsidR="003E0A60" w:rsidRPr="003E0A60" w:rsidRDefault="003E0A60" w:rsidP="003E0A60">
      <w:pPr>
        <w:pStyle w:val="a3"/>
        <w:adjustRightInd w:val="0"/>
        <w:snapToGrid w:val="0"/>
        <w:rPr>
          <w:rFonts w:eastAsia="맑은 고딕"/>
          <w:lang w:val="fr-FR" w:eastAsia="ko-KR"/>
        </w:rPr>
      </w:pPr>
      <w:r w:rsidRPr="00850855">
        <w:rPr>
          <w:rFonts w:eastAsiaTheme="minorEastAsia"/>
          <w:lang w:val="fr-CA" w:eastAsia="ko-KR"/>
        </w:rPr>
        <w:t xml:space="preserve">Ce médicament contient </w:t>
      </w:r>
      <w:r w:rsidRPr="00850855">
        <w:rPr>
          <w:rFonts w:eastAsia="맑은 고딕" w:hint="eastAsia"/>
          <w:lang w:val="fr-CA" w:eastAsia="ko-KR"/>
        </w:rPr>
        <w:t>0,4</w:t>
      </w:r>
      <w:r w:rsidRPr="00850855">
        <w:rPr>
          <w:rFonts w:eastAsiaTheme="minorEastAsia"/>
          <w:lang w:val="fr-CA" w:eastAsia="ko-KR"/>
        </w:rPr>
        <w:t xml:space="preserve"> mg de polysorbate </w:t>
      </w:r>
      <w:r w:rsidRPr="00850855">
        <w:rPr>
          <w:rFonts w:eastAsia="맑은 고딕" w:hint="eastAsia"/>
          <w:lang w:val="fr-CA" w:eastAsia="ko-KR"/>
        </w:rPr>
        <w:t>20</w:t>
      </w:r>
      <w:r w:rsidRPr="00850855">
        <w:rPr>
          <w:rFonts w:eastAsiaTheme="minorEastAsia"/>
          <w:lang w:val="fr-CA" w:eastAsia="ko-KR"/>
        </w:rPr>
        <w:t xml:space="preserve"> par </w:t>
      </w:r>
      <w:r w:rsidRPr="00850855">
        <w:rPr>
          <w:rFonts w:eastAsia="맑은 고딕" w:hint="eastAsia"/>
          <w:lang w:val="fr-CA" w:eastAsia="ko-KR"/>
        </w:rPr>
        <w:t xml:space="preserve">ml. </w:t>
      </w:r>
      <w:r w:rsidRPr="003E0A60">
        <w:rPr>
          <w:rFonts w:eastAsiaTheme="minorEastAsia"/>
          <w:lang w:val="fr-FR" w:eastAsia="ko-KR"/>
        </w:rPr>
        <w:t>Les polysorbates peuvent provoquer des réactions allergiques. Les patients ayant déjà présenté une allergie aux polysorbates ne doivent pas prendre ce médicament.</w:t>
      </w:r>
    </w:p>
    <w:p w14:paraId="280630A0" w14:textId="77777777" w:rsidR="003E0A60" w:rsidRPr="003E0A60" w:rsidRDefault="003E0A60" w:rsidP="00BD4C7C">
      <w:pPr>
        <w:pStyle w:val="a3"/>
        <w:adjustRightInd w:val="0"/>
        <w:snapToGrid w:val="0"/>
        <w:rPr>
          <w:lang w:val="fr-FR"/>
        </w:rPr>
      </w:pPr>
    </w:p>
    <w:p w14:paraId="3B0E1B30" w14:textId="77777777" w:rsidR="004401F0" w:rsidRPr="00DA7718" w:rsidRDefault="00BD4C7C" w:rsidP="00BD4C7C">
      <w:pPr>
        <w:pStyle w:val="2"/>
        <w:adjustRightInd w:val="0"/>
        <w:snapToGrid w:val="0"/>
        <w:ind w:left="0"/>
        <w:rPr>
          <w:lang w:val="fr-FR"/>
        </w:rPr>
      </w:pPr>
      <w:r w:rsidRPr="00DA7718">
        <w:rPr>
          <w:lang w:val="fr-FR"/>
        </w:rPr>
        <w:t>4.5</w:t>
      </w:r>
      <w:r w:rsidRPr="00DA7718">
        <w:rPr>
          <w:lang w:val="fr-FR"/>
        </w:rPr>
        <w:tab/>
      </w:r>
      <w:r w:rsidR="00DF3C4F" w:rsidRPr="00DA7718">
        <w:rPr>
          <w:lang w:val="fr-FR"/>
        </w:rPr>
        <w:t>Interactions avec d’autres médicaments et autres formes d’interactions</w:t>
      </w:r>
    </w:p>
    <w:p w14:paraId="2735D46F" w14:textId="77777777" w:rsidR="004401F0" w:rsidRPr="007C119A" w:rsidRDefault="004401F0" w:rsidP="00BD4C7C">
      <w:pPr>
        <w:pStyle w:val="a3"/>
        <w:adjustRightInd w:val="0"/>
        <w:snapToGrid w:val="0"/>
        <w:rPr>
          <w:b/>
          <w:lang w:val="fr-FR"/>
        </w:rPr>
      </w:pPr>
    </w:p>
    <w:p w14:paraId="5723718D" w14:textId="77777777" w:rsidR="004401F0" w:rsidRPr="00F9256D" w:rsidRDefault="00DF3C4F" w:rsidP="00BD4C7C">
      <w:pPr>
        <w:adjustRightInd w:val="0"/>
        <w:snapToGrid w:val="0"/>
        <w:rPr>
          <w:u w:val="single"/>
          <w:lang w:val="fr-FR"/>
        </w:rPr>
      </w:pPr>
      <w:r w:rsidRPr="00F9256D">
        <w:rPr>
          <w:u w:val="single"/>
          <w:lang w:val="fr-FR"/>
        </w:rPr>
        <w:t>Effet des agents antinéoplasiques sur la pharmacocinétique du bevacizumab</w:t>
      </w:r>
    </w:p>
    <w:p w14:paraId="05C81627" w14:textId="0D5E660D" w:rsidR="004401F0" w:rsidRPr="00DA7718" w:rsidRDefault="00DF3C4F" w:rsidP="00BD4C7C">
      <w:pPr>
        <w:pStyle w:val="a3"/>
        <w:adjustRightInd w:val="0"/>
        <w:snapToGrid w:val="0"/>
        <w:rPr>
          <w:lang w:val="fr-FR"/>
        </w:rPr>
      </w:pPr>
      <w:r w:rsidRPr="00DA7718">
        <w:rPr>
          <w:lang w:val="fr-FR"/>
        </w:rPr>
        <w:t xml:space="preserve">Les résultats d’analyses de pharmacocinétique de population n’ont montré aucune interaction cliniquement significative lors de la co-administration de chimiothérapies avec le bevacizumab. </w:t>
      </w:r>
      <w:r w:rsidR="00F81C89" w:rsidRPr="00DA7718">
        <w:rPr>
          <w:lang w:val="fr-FR"/>
        </w:rPr>
        <w:t>Il</w:t>
      </w:r>
      <w:r w:rsidR="00F81C89">
        <w:rPr>
          <w:lang w:val="fr-FR"/>
        </w:rPr>
        <w:t> </w:t>
      </w:r>
      <w:r w:rsidR="00F81C89" w:rsidRPr="00DA7718">
        <w:rPr>
          <w:lang w:val="fr-FR"/>
        </w:rPr>
        <w:t>n’y</w:t>
      </w:r>
      <w:r w:rsidR="00F81C89">
        <w:rPr>
          <w:lang w:val="fr-FR"/>
        </w:rPr>
        <w:t> </w:t>
      </w:r>
      <w:r w:rsidRPr="00DA7718">
        <w:rPr>
          <w:lang w:val="fr-FR"/>
        </w:rPr>
        <w:t xml:space="preserve">avait de différence ni statistiquement significative ni cliniquement pertinente de la clairance </w:t>
      </w:r>
      <w:r w:rsidR="00F81C89" w:rsidRPr="00DA7718">
        <w:rPr>
          <w:lang w:val="fr-FR"/>
        </w:rPr>
        <w:t>du</w:t>
      </w:r>
      <w:r w:rsidR="00F81C89">
        <w:rPr>
          <w:lang w:val="fr-FR"/>
        </w:rPr>
        <w:t> </w:t>
      </w:r>
      <w:r w:rsidRPr="00DA7718">
        <w:rPr>
          <w:lang w:val="fr-FR"/>
        </w:rPr>
        <w:t xml:space="preserve">bevacizumab chez les patients recevant </w:t>
      </w:r>
      <w:r w:rsidR="00474564">
        <w:rPr>
          <w:lang w:val="fr-FR"/>
        </w:rPr>
        <w:t>le bevacizumab</w:t>
      </w:r>
      <w:r w:rsidR="00474564" w:rsidRPr="00DA7718">
        <w:rPr>
          <w:lang w:val="fr-FR"/>
        </w:rPr>
        <w:t xml:space="preserve"> </w:t>
      </w:r>
      <w:r w:rsidRPr="00DA7718">
        <w:rPr>
          <w:lang w:val="fr-FR"/>
        </w:rPr>
        <w:t xml:space="preserve">en monothérapie comparé à ceux </w:t>
      </w:r>
      <w:r w:rsidR="00F81C89" w:rsidRPr="00DA7718">
        <w:rPr>
          <w:lang w:val="fr-FR"/>
        </w:rPr>
        <w:t>recevant</w:t>
      </w:r>
      <w:r w:rsidR="00F81C89">
        <w:rPr>
          <w:lang w:val="fr-FR"/>
        </w:rPr>
        <w:t> </w:t>
      </w:r>
      <w:r w:rsidR="00474564">
        <w:rPr>
          <w:lang w:val="fr-FR"/>
        </w:rPr>
        <w:t>le</w:t>
      </w:r>
      <w:r w:rsidR="00F81C89">
        <w:rPr>
          <w:lang w:val="fr-FR"/>
        </w:rPr>
        <w:t> </w:t>
      </w:r>
      <w:r w:rsidR="00474564">
        <w:rPr>
          <w:lang w:val="fr-FR"/>
        </w:rPr>
        <w:t>bevacizumab</w:t>
      </w:r>
      <w:r w:rsidR="00474564" w:rsidRPr="00DA7718">
        <w:rPr>
          <w:lang w:val="fr-FR"/>
        </w:rPr>
        <w:t xml:space="preserve"> </w:t>
      </w:r>
      <w:r w:rsidRPr="00DA7718">
        <w:rPr>
          <w:lang w:val="fr-FR"/>
        </w:rPr>
        <w:t>en association à l’interféron alfa-2a, l’erlotinib ou à d’autres chimiothérapies (IFL, 5-FU/LV, carboplatine-paclitaxel, capécitabine, doxorubicine ou cisplatine/gemcitabine).</w:t>
      </w:r>
    </w:p>
    <w:p w14:paraId="6806872B" w14:textId="77777777" w:rsidR="004401F0" w:rsidRPr="00DA7718" w:rsidRDefault="004401F0" w:rsidP="00BD4C7C">
      <w:pPr>
        <w:pStyle w:val="a3"/>
        <w:adjustRightInd w:val="0"/>
        <w:snapToGrid w:val="0"/>
        <w:rPr>
          <w:lang w:val="fr-FR"/>
        </w:rPr>
      </w:pPr>
    </w:p>
    <w:p w14:paraId="5D7C74E1" w14:textId="77777777" w:rsidR="004401F0" w:rsidRPr="00F9256D" w:rsidRDefault="00DF3C4F" w:rsidP="00BD4C7C">
      <w:pPr>
        <w:adjustRightInd w:val="0"/>
        <w:snapToGrid w:val="0"/>
        <w:rPr>
          <w:u w:val="single"/>
          <w:lang w:val="fr-FR"/>
        </w:rPr>
      </w:pPr>
      <w:r w:rsidRPr="00F9256D">
        <w:rPr>
          <w:u w:val="single"/>
          <w:lang w:val="fr-FR"/>
        </w:rPr>
        <w:t>Effet du bevacizumab sur la pharmacocinétique des autres agents antinéoplasiques</w:t>
      </w:r>
    </w:p>
    <w:p w14:paraId="53704E3A" w14:textId="1D7B4BC6" w:rsidR="004401F0" w:rsidRPr="00DA7718" w:rsidRDefault="00DF3C4F" w:rsidP="00BD4C7C">
      <w:pPr>
        <w:pStyle w:val="a3"/>
        <w:adjustRightInd w:val="0"/>
        <w:snapToGrid w:val="0"/>
        <w:rPr>
          <w:lang w:val="fr-FR"/>
        </w:rPr>
      </w:pPr>
      <w:r w:rsidRPr="00DA7718">
        <w:rPr>
          <w:lang w:val="fr-FR"/>
        </w:rPr>
        <w:t>Aucune interaction cliniquement pertinente du bevacizumab n’a été observée sur la pharmacocinétique de l’interféron alfa-2a, de l’erlotinib (et son métabolite actif OSI-420) ou d’autres chimiothérapies</w:t>
      </w:r>
      <w:r w:rsidR="00765A43">
        <w:rPr>
          <w:lang w:val="fr-FR"/>
        </w:rPr>
        <w:t xml:space="preserve"> : </w:t>
      </w:r>
      <w:r w:rsidRPr="00DA7718">
        <w:rPr>
          <w:lang w:val="fr-FR"/>
        </w:rPr>
        <w:t>irinotécan (et son métabolite actif SN38), capécitabine, oxaliplatine (déterminée d’après la mesure du</w:t>
      </w:r>
      <w:r w:rsidR="00F81C89">
        <w:rPr>
          <w:lang w:val="fr-FR"/>
        </w:rPr>
        <w:t xml:space="preserve"> </w:t>
      </w:r>
      <w:r w:rsidRPr="00DA7718">
        <w:rPr>
          <w:lang w:val="fr-FR"/>
        </w:rPr>
        <w:t>platine libre et total) ou cisplatine, lors de leur co-administration. Les conclusions sur l’impact du bevacizumab sur la pharmacocinétique de la gemcitabine ne peuvent être tirées.</w:t>
      </w:r>
    </w:p>
    <w:p w14:paraId="1675EED9" w14:textId="77777777" w:rsidR="004401F0" w:rsidRPr="007C119A" w:rsidRDefault="004401F0" w:rsidP="00BD4C7C">
      <w:pPr>
        <w:pStyle w:val="a3"/>
        <w:adjustRightInd w:val="0"/>
        <w:snapToGrid w:val="0"/>
        <w:rPr>
          <w:lang w:val="fr-FR"/>
        </w:rPr>
      </w:pPr>
    </w:p>
    <w:p w14:paraId="4558C443" w14:textId="77777777" w:rsidR="004401F0" w:rsidRPr="00F9256D" w:rsidRDefault="00DF3C4F" w:rsidP="00BD4C7C">
      <w:pPr>
        <w:adjustRightInd w:val="0"/>
        <w:snapToGrid w:val="0"/>
        <w:rPr>
          <w:u w:val="single"/>
          <w:lang w:val="fr-FR"/>
        </w:rPr>
      </w:pPr>
      <w:r w:rsidRPr="00F9256D">
        <w:rPr>
          <w:u w:val="single"/>
          <w:lang w:val="fr-FR"/>
        </w:rPr>
        <w:t>Association bevacizumab et malate de sunitinib</w:t>
      </w:r>
    </w:p>
    <w:p w14:paraId="796E187A" w14:textId="77777777" w:rsidR="004401F0" w:rsidRPr="00DA7718" w:rsidRDefault="00DF3C4F" w:rsidP="00BD4C7C">
      <w:pPr>
        <w:pStyle w:val="a3"/>
        <w:adjustRightInd w:val="0"/>
        <w:snapToGrid w:val="0"/>
        <w:rPr>
          <w:lang w:val="fr-FR"/>
        </w:rPr>
      </w:pPr>
      <w:r w:rsidRPr="00DA7718">
        <w:rPr>
          <w:lang w:val="fr-FR"/>
        </w:rPr>
        <w:t>Au cours de deux études cliniques dans le carcinome du rein métastatique, une anémie hémolytique microangiopathique (AHMA) a été rapportée chez 7 des 19 patients traités par l’association bevacizumab (10</w:t>
      </w:r>
      <w:r w:rsidR="00DA7718" w:rsidRPr="00DA7718">
        <w:rPr>
          <w:lang w:val="fr-FR"/>
        </w:rPr>
        <w:t> mg</w:t>
      </w:r>
      <w:r w:rsidRPr="00DA7718">
        <w:rPr>
          <w:lang w:val="fr-FR"/>
        </w:rPr>
        <w:t>/kg toutes les deux semaines) et malate de sunitinib (50</w:t>
      </w:r>
      <w:r w:rsidR="00DA7718" w:rsidRPr="00DA7718">
        <w:rPr>
          <w:lang w:val="fr-FR"/>
        </w:rPr>
        <w:t> mg</w:t>
      </w:r>
      <w:r w:rsidRPr="00DA7718">
        <w:rPr>
          <w:lang w:val="fr-FR"/>
        </w:rPr>
        <w:t xml:space="preserve"> par jour).</w:t>
      </w:r>
    </w:p>
    <w:p w14:paraId="0FADEDDE" w14:textId="77777777" w:rsidR="004401F0" w:rsidRPr="00DA7718" w:rsidRDefault="004401F0" w:rsidP="00BD4C7C">
      <w:pPr>
        <w:pStyle w:val="a3"/>
        <w:adjustRightInd w:val="0"/>
        <w:snapToGrid w:val="0"/>
        <w:rPr>
          <w:lang w:val="fr-FR"/>
        </w:rPr>
      </w:pPr>
    </w:p>
    <w:p w14:paraId="1E8B26B5" w14:textId="77777777" w:rsidR="004401F0" w:rsidRPr="00DA7718" w:rsidRDefault="00DF3C4F" w:rsidP="00BD4C7C">
      <w:pPr>
        <w:pStyle w:val="a3"/>
        <w:adjustRightInd w:val="0"/>
        <w:snapToGrid w:val="0"/>
        <w:rPr>
          <w:lang w:val="fr-FR"/>
        </w:rPr>
      </w:pPr>
      <w:r w:rsidRPr="00DA7718">
        <w:rPr>
          <w:lang w:val="fr-FR"/>
        </w:rPr>
        <w:t>La AHMA est une affection hémolytique qui peut se traduire par une fragmentation des globules rouges, une anémie et une thrombopénie. De plus, une hypertension (incluant des poussées hypertensives), une créatininémie élevée et des symptômes neurologiques ont été observés chez certains de ces patients. Tous ces troubles ont été réversibles à l’arrêt du bevacizumab et du malate de sunitinib (voir Hypertension, Protéinurie, SEPR rubrique 4.4).</w:t>
      </w:r>
    </w:p>
    <w:p w14:paraId="5B58A50D" w14:textId="77777777" w:rsidR="004401F0" w:rsidRPr="007C119A" w:rsidRDefault="004401F0" w:rsidP="00BD4C7C">
      <w:pPr>
        <w:pStyle w:val="a3"/>
        <w:adjustRightInd w:val="0"/>
        <w:snapToGrid w:val="0"/>
        <w:rPr>
          <w:lang w:val="fr-FR"/>
        </w:rPr>
      </w:pPr>
    </w:p>
    <w:p w14:paraId="07F47507" w14:textId="680C47D1" w:rsidR="00B101F8" w:rsidRPr="00F9256D" w:rsidRDefault="00DF3C4F" w:rsidP="00BD4C7C">
      <w:pPr>
        <w:adjustRightInd w:val="0"/>
        <w:snapToGrid w:val="0"/>
        <w:rPr>
          <w:rStyle w:val="a7"/>
          <w:iCs/>
          <w:lang w:val="fr-FR"/>
        </w:rPr>
      </w:pPr>
      <w:r w:rsidRPr="00F9256D">
        <w:rPr>
          <w:u w:val="single"/>
          <w:lang w:val="fr-FR"/>
        </w:rPr>
        <w:t>Association avec des traitements à base de sels de platine ou de taxanes</w:t>
      </w:r>
      <w:r w:rsidRPr="00DA7718">
        <w:rPr>
          <w:i/>
          <w:lang w:val="fr-FR"/>
        </w:rPr>
        <w:t xml:space="preserve"> </w:t>
      </w:r>
      <w:r w:rsidRPr="00654D21">
        <w:rPr>
          <w:iCs/>
          <w:lang w:val="fr-FR"/>
        </w:rPr>
        <w:t>(voir rubrique 4.4 et 4.8</w:t>
      </w:r>
      <w:r w:rsidR="00B101F8" w:rsidRPr="00654D21">
        <w:rPr>
          <w:iCs/>
          <w:lang w:val="fr-FR"/>
        </w:rPr>
        <w:t>)</w:t>
      </w:r>
    </w:p>
    <w:p w14:paraId="72C0BF82" w14:textId="6DA5AD40" w:rsidR="004401F0" w:rsidRPr="00DA7718" w:rsidRDefault="00DF3C4F" w:rsidP="00BD4C7C">
      <w:pPr>
        <w:adjustRightInd w:val="0"/>
        <w:snapToGrid w:val="0"/>
        <w:rPr>
          <w:lang w:val="fr-FR"/>
        </w:rPr>
      </w:pPr>
      <w:r w:rsidRPr="00DA7718">
        <w:rPr>
          <w:lang w:val="fr-FR"/>
        </w:rPr>
        <w:t>Une augmentation de l’incidence des neutropénies sévères, des neutropénies fébriles et des infections avec ou sans neutropénie sévère (dont certaines fatales) a été principalement observée chez des patients recevant un traitement à base de sels de platine ou de taxanes dans le cadre d’un CBNPC ou d’un cancer du sein métastatique.</w:t>
      </w:r>
    </w:p>
    <w:p w14:paraId="677FCB9F" w14:textId="77777777" w:rsidR="004401F0" w:rsidRPr="007C119A" w:rsidRDefault="004401F0" w:rsidP="00BD4C7C">
      <w:pPr>
        <w:pStyle w:val="a3"/>
        <w:adjustRightInd w:val="0"/>
        <w:snapToGrid w:val="0"/>
        <w:rPr>
          <w:lang w:val="fr-FR"/>
        </w:rPr>
      </w:pPr>
    </w:p>
    <w:p w14:paraId="2CB37418" w14:textId="77777777" w:rsidR="004401F0" w:rsidRPr="00F9256D" w:rsidRDefault="00DF3C4F" w:rsidP="00BD4C7C">
      <w:pPr>
        <w:adjustRightInd w:val="0"/>
        <w:snapToGrid w:val="0"/>
        <w:rPr>
          <w:u w:val="single"/>
          <w:lang w:val="fr-FR"/>
        </w:rPr>
      </w:pPr>
      <w:r w:rsidRPr="00F9256D">
        <w:rPr>
          <w:u w:val="single"/>
          <w:lang w:val="fr-FR"/>
        </w:rPr>
        <w:t>Radiothérapie</w:t>
      </w:r>
    </w:p>
    <w:p w14:paraId="7B7994AE" w14:textId="3A2C12B7" w:rsidR="004401F0" w:rsidRPr="00DA7718" w:rsidRDefault="00DF3C4F" w:rsidP="00BD4C7C">
      <w:pPr>
        <w:pStyle w:val="a3"/>
        <w:adjustRightInd w:val="0"/>
        <w:snapToGrid w:val="0"/>
        <w:rPr>
          <w:lang w:val="fr-FR"/>
        </w:rPr>
      </w:pPr>
      <w:r w:rsidRPr="00DA7718">
        <w:rPr>
          <w:lang w:val="fr-FR"/>
        </w:rPr>
        <w:t xml:space="preserve">La tolérance et l’efficacité de l’administration concomitante </w:t>
      </w:r>
      <w:r w:rsidR="00743103">
        <w:rPr>
          <w:lang w:val="fr-FR"/>
        </w:rPr>
        <w:t>du bevacizumab</w:t>
      </w:r>
      <w:r w:rsidR="00743103" w:rsidRPr="00DA7718">
        <w:rPr>
          <w:lang w:val="fr-FR"/>
        </w:rPr>
        <w:t xml:space="preserve"> </w:t>
      </w:r>
      <w:r w:rsidRPr="00DA7718">
        <w:rPr>
          <w:lang w:val="fr-FR"/>
        </w:rPr>
        <w:t>et d’une radiothérapie n’ont pas été établies.</w:t>
      </w:r>
    </w:p>
    <w:p w14:paraId="0249E0DC" w14:textId="77777777" w:rsidR="004401F0" w:rsidRPr="00DA7718" w:rsidRDefault="004401F0" w:rsidP="00BD4C7C">
      <w:pPr>
        <w:pStyle w:val="a3"/>
        <w:adjustRightInd w:val="0"/>
        <w:snapToGrid w:val="0"/>
        <w:rPr>
          <w:lang w:val="fr-FR"/>
        </w:rPr>
      </w:pPr>
    </w:p>
    <w:p w14:paraId="6743FEF5" w14:textId="77777777" w:rsidR="004401F0" w:rsidRPr="00F9256D" w:rsidRDefault="00DF3C4F" w:rsidP="00BD4C7C">
      <w:pPr>
        <w:adjustRightInd w:val="0"/>
        <w:snapToGrid w:val="0"/>
        <w:rPr>
          <w:u w:val="single"/>
          <w:lang w:val="fr-FR"/>
        </w:rPr>
      </w:pPr>
      <w:r w:rsidRPr="00F9256D">
        <w:rPr>
          <w:u w:val="single"/>
          <w:lang w:val="fr-FR"/>
        </w:rPr>
        <w:t>Anticorps monoclonaux anti-EGFR en association à des traitements de chimiothérapie contenant du bevacizumab</w:t>
      </w:r>
    </w:p>
    <w:p w14:paraId="3698EF33" w14:textId="77777777" w:rsidR="004401F0" w:rsidRPr="00DA7718" w:rsidRDefault="00DF3C4F" w:rsidP="00BD4C7C">
      <w:pPr>
        <w:pStyle w:val="a3"/>
        <w:adjustRightInd w:val="0"/>
        <w:snapToGrid w:val="0"/>
        <w:rPr>
          <w:lang w:val="fr-FR"/>
        </w:rPr>
      </w:pPr>
      <w:r w:rsidRPr="00DA7718">
        <w:rPr>
          <w:lang w:val="fr-FR"/>
        </w:rPr>
        <w:t xml:space="preserve">Aucune étude d’interaction n’a été conduite. Les anticorps monoclonaux anti-EGFR ne doivent pas être administrés en association à un traitement de chimiothérapie contenant du bevacizumab dans le cadre d’un cancer colorectal métastatique. Les résultats des études randomisées de phase III, PACCE et CAIRO-2, menées chez des patients atteints d’un cancer colorectal métastatique, suggèrent que </w:t>
      </w:r>
      <w:r w:rsidRPr="00DA7718">
        <w:rPr>
          <w:lang w:val="fr-FR"/>
        </w:rPr>
        <w:lastRenderedPageBreak/>
        <w:t xml:space="preserve">l’utilisation des anticorps monoclonaux anti-EGFR panitumumab et cetuximab, respectivement, en association au bevacizumab plus chimiothérapie, est associée à une diminution de la survie sans progression </w:t>
      </w:r>
      <w:r w:rsidR="00743103">
        <w:rPr>
          <w:lang w:val="fr-FR"/>
        </w:rPr>
        <w:t xml:space="preserve">(PFS) </w:t>
      </w:r>
      <w:r w:rsidRPr="00DA7718">
        <w:rPr>
          <w:lang w:val="fr-FR"/>
        </w:rPr>
        <w:t>et/ou de la survie globale</w:t>
      </w:r>
      <w:r w:rsidR="00743103">
        <w:rPr>
          <w:lang w:val="fr-FR"/>
        </w:rPr>
        <w:t xml:space="preserve"> (OS)</w:t>
      </w:r>
      <w:r w:rsidRPr="00DA7718">
        <w:rPr>
          <w:lang w:val="fr-FR"/>
        </w:rPr>
        <w:t xml:space="preserve"> et à une augmentation de la toxicité par rapport à la chimiothérapie plus bevacizumab seul.</w:t>
      </w:r>
    </w:p>
    <w:p w14:paraId="241D3B1D" w14:textId="77777777" w:rsidR="004401F0" w:rsidRPr="00DA7718" w:rsidRDefault="004401F0" w:rsidP="00BD4C7C">
      <w:pPr>
        <w:pStyle w:val="a3"/>
        <w:adjustRightInd w:val="0"/>
        <w:snapToGrid w:val="0"/>
        <w:rPr>
          <w:lang w:val="fr-FR"/>
        </w:rPr>
      </w:pPr>
    </w:p>
    <w:p w14:paraId="10719B3C" w14:textId="77777777" w:rsidR="004401F0" w:rsidRPr="00DA7718" w:rsidRDefault="00BD4C7C" w:rsidP="00654D21">
      <w:pPr>
        <w:pStyle w:val="2"/>
        <w:keepNext/>
        <w:keepLines/>
        <w:adjustRightInd w:val="0"/>
        <w:snapToGrid w:val="0"/>
        <w:ind w:left="0"/>
        <w:rPr>
          <w:lang w:val="fr-FR"/>
        </w:rPr>
      </w:pPr>
      <w:r w:rsidRPr="00DA7718">
        <w:rPr>
          <w:lang w:val="fr-FR"/>
        </w:rPr>
        <w:t>4.6</w:t>
      </w:r>
      <w:r w:rsidRPr="00DA7718">
        <w:rPr>
          <w:lang w:val="fr-FR"/>
        </w:rPr>
        <w:tab/>
      </w:r>
      <w:r w:rsidR="00DF3C4F" w:rsidRPr="00DA7718">
        <w:rPr>
          <w:lang w:val="fr-FR"/>
        </w:rPr>
        <w:t>Fertilité, grossesse et allaitement</w:t>
      </w:r>
    </w:p>
    <w:p w14:paraId="715CFC26" w14:textId="77777777" w:rsidR="004401F0" w:rsidRPr="007C119A" w:rsidRDefault="004401F0" w:rsidP="00654D21">
      <w:pPr>
        <w:pStyle w:val="a3"/>
        <w:keepNext/>
        <w:keepLines/>
        <w:adjustRightInd w:val="0"/>
        <w:snapToGrid w:val="0"/>
        <w:rPr>
          <w:b/>
          <w:lang w:val="fr-FR"/>
        </w:rPr>
      </w:pPr>
    </w:p>
    <w:p w14:paraId="17423638" w14:textId="77777777" w:rsidR="004401F0" w:rsidRPr="00F9256D" w:rsidRDefault="00DF3C4F" w:rsidP="00654D21">
      <w:pPr>
        <w:keepNext/>
        <w:keepLines/>
        <w:adjustRightInd w:val="0"/>
        <w:snapToGrid w:val="0"/>
        <w:rPr>
          <w:u w:val="single"/>
          <w:lang w:val="fr-FR"/>
        </w:rPr>
      </w:pPr>
      <w:r w:rsidRPr="00F9256D">
        <w:rPr>
          <w:u w:val="single"/>
          <w:lang w:val="fr-FR"/>
        </w:rPr>
        <w:t>Femmes en âge d’avoir des enfants</w:t>
      </w:r>
    </w:p>
    <w:p w14:paraId="6226B1EC" w14:textId="77777777" w:rsidR="004401F0" w:rsidRPr="00DA7718" w:rsidRDefault="00DF3C4F" w:rsidP="00654D21">
      <w:pPr>
        <w:pStyle w:val="a3"/>
        <w:keepNext/>
        <w:keepLines/>
        <w:adjustRightInd w:val="0"/>
        <w:snapToGrid w:val="0"/>
        <w:rPr>
          <w:lang w:val="fr-FR"/>
        </w:rPr>
      </w:pPr>
      <w:r w:rsidRPr="00DA7718">
        <w:rPr>
          <w:lang w:val="fr-FR"/>
        </w:rPr>
        <w:t>Les femmes en âge de procréer doivent utiliser des mesures efficaces de contraception au cours du traitement et pendant les 6 mois qui suivent son arrêt.</w:t>
      </w:r>
    </w:p>
    <w:p w14:paraId="018491B1" w14:textId="77777777" w:rsidR="004401F0" w:rsidRPr="00DA7718" w:rsidRDefault="004401F0" w:rsidP="00BD4C7C">
      <w:pPr>
        <w:pStyle w:val="a3"/>
        <w:adjustRightInd w:val="0"/>
        <w:snapToGrid w:val="0"/>
        <w:rPr>
          <w:lang w:val="fr-FR"/>
        </w:rPr>
      </w:pPr>
    </w:p>
    <w:p w14:paraId="55D5D671" w14:textId="77777777" w:rsidR="004401F0" w:rsidRPr="00F9256D" w:rsidRDefault="00DF3C4F" w:rsidP="00BD4C7C">
      <w:pPr>
        <w:adjustRightInd w:val="0"/>
        <w:snapToGrid w:val="0"/>
        <w:rPr>
          <w:u w:val="single"/>
          <w:lang w:val="fr-FR"/>
        </w:rPr>
      </w:pPr>
      <w:r w:rsidRPr="00F9256D">
        <w:rPr>
          <w:u w:val="single"/>
          <w:lang w:val="fr-FR"/>
        </w:rPr>
        <w:t>Grossesse</w:t>
      </w:r>
    </w:p>
    <w:p w14:paraId="07908E2A" w14:textId="338F0910" w:rsidR="004401F0" w:rsidRPr="00DA7718" w:rsidRDefault="00DF3C4F" w:rsidP="00BD4C7C">
      <w:pPr>
        <w:pStyle w:val="a3"/>
        <w:adjustRightInd w:val="0"/>
        <w:snapToGrid w:val="0"/>
        <w:rPr>
          <w:lang w:val="fr-FR"/>
        </w:rPr>
      </w:pPr>
      <w:r w:rsidRPr="00DA7718">
        <w:rPr>
          <w:lang w:val="fr-FR"/>
        </w:rPr>
        <w:t xml:space="preserve">Il n’existe pas de données issues d’essais cliniques concernant l’utilisation </w:t>
      </w:r>
      <w:r w:rsidR="00743103">
        <w:rPr>
          <w:lang w:val="fr-FR"/>
        </w:rPr>
        <w:t>du bevacizumab</w:t>
      </w:r>
      <w:r w:rsidR="00743103" w:rsidRPr="00DA7718">
        <w:rPr>
          <w:lang w:val="fr-FR"/>
        </w:rPr>
        <w:t xml:space="preserve"> </w:t>
      </w:r>
      <w:r w:rsidRPr="00DA7718">
        <w:rPr>
          <w:lang w:val="fr-FR"/>
        </w:rPr>
        <w:t xml:space="preserve">chez les femmes enceintes. Des études chez l’animal ont mis en évidence une toxicité sur la reproduction incluant des malformations (voir rubrique 5.3). Il est connu que les </w:t>
      </w:r>
      <w:r w:rsidR="00743103">
        <w:rPr>
          <w:lang w:val="fr-FR"/>
        </w:rPr>
        <w:t>immunoglobulines G (</w:t>
      </w:r>
      <w:r w:rsidRPr="00DA7718">
        <w:rPr>
          <w:lang w:val="fr-FR"/>
        </w:rPr>
        <w:t>IgG</w:t>
      </w:r>
      <w:r w:rsidR="00743103">
        <w:rPr>
          <w:lang w:val="fr-FR"/>
        </w:rPr>
        <w:t>)</w:t>
      </w:r>
      <w:r w:rsidRPr="00DA7718">
        <w:rPr>
          <w:lang w:val="fr-FR"/>
        </w:rPr>
        <w:t xml:space="preserve"> franchissent la barrière placentaire et </w:t>
      </w:r>
      <w:r w:rsidR="00743103">
        <w:rPr>
          <w:lang w:val="fr-FR"/>
        </w:rPr>
        <w:t>le bevacizumab</w:t>
      </w:r>
      <w:r w:rsidR="00743103" w:rsidRPr="00DA7718">
        <w:rPr>
          <w:lang w:val="fr-FR"/>
        </w:rPr>
        <w:t xml:space="preserve"> </w:t>
      </w:r>
      <w:r w:rsidRPr="00DA7718">
        <w:rPr>
          <w:lang w:val="fr-FR"/>
        </w:rPr>
        <w:t xml:space="preserve">est susceptible d’inhiber l’angiogenèse fœtale, ce qui pourrait causer de graves anomalies congénitales lors d’une administration pendant la grossesse. Après commercialisation, des cas d’anomalies fœtales ont été observés chez des femmes traitées par bevacizumab seul ou en association à des chimiothérapies connues pour être embryotoxiques (voir rubrique 4.8). </w:t>
      </w:r>
      <w:r w:rsidR="00BD72DE">
        <w:rPr>
          <w:lang w:val="fr-FR"/>
        </w:rPr>
        <w:t>Le bevacizumab</w:t>
      </w:r>
      <w:r w:rsidR="00BD72DE" w:rsidRPr="00DA7718">
        <w:rPr>
          <w:lang w:val="fr-FR"/>
        </w:rPr>
        <w:t xml:space="preserve"> </w:t>
      </w:r>
      <w:r w:rsidRPr="00DA7718">
        <w:rPr>
          <w:lang w:val="fr-FR"/>
        </w:rPr>
        <w:t>est contre- indiqué chez la femme enceinte (voir rubrique 4.3).</w:t>
      </w:r>
    </w:p>
    <w:p w14:paraId="4FAA896B" w14:textId="77777777" w:rsidR="004401F0" w:rsidRPr="007C119A" w:rsidRDefault="004401F0" w:rsidP="00BD4C7C">
      <w:pPr>
        <w:pStyle w:val="a3"/>
        <w:adjustRightInd w:val="0"/>
        <w:snapToGrid w:val="0"/>
        <w:rPr>
          <w:lang w:val="fr-FR"/>
        </w:rPr>
      </w:pPr>
    </w:p>
    <w:p w14:paraId="5C66B57F" w14:textId="77777777" w:rsidR="004401F0" w:rsidRPr="00F9256D" w:rsidRDefault="00DF3C4F" w:rsidP="00BD4C7C">
      <w:pPr>
        <w:adjustRightInd w:val="0"/>
        <w:snapToGrid w:val="0"/>
        <w:rPr>
          <w:u w:val="single"/>
          <w:lang w:val="fr-FR"/>
        </w:rPr>
      </w:pPr>
      <w:r w:rsidRPr="00F9256D">
        <w:rPr>
          <w:u w:val="single"/>
          <w:lang w:val="fr-FR"/>
        </w:rPr>
        <w:t>Allaitement</w:t>
      </w:r>
    </w:p>
    <w:p w14:paraId="6B4DAAFE" w14:textId="115B6D5A" w:rsidR="004401F0" w:rsidRPr="00DA7718" w:rsidRDefault="00DF3C4F" w:rsidP="00BD4C7C">
      <w:pPr>
        <w:pStyle w:val="a3"/>
        <w:adjustRightInd w:val="0"/>
        <w:snapToGrid w:val="0"/>
        <w:rPr>
          <w:lang w:val="fr-FR"/>
        </w:rPr>
      </w:pPr>
      <w:r w:rsidRPr="00DA7718">
        <w:rPr>
          <w:lang w:val="fr-FR"/>
        </w:rPr>
        <w:t xml:space="preserve">On ne sait pas si le bevacizumab est excrété dans le lait humain. Puisque les IgG maternelles passent dans le lait et que le bevacizumab pourrait compromettre la croissance et le développement du nourrisson (voir rubrique 5.3), les femmes doivent interrompre l’allaitement pendant le traitement et ne doivent pas allaiter pendant au moins 6 mois après l’administration de la dernière dose </w:t>
      </w:r>
      <w:r w:rsidR="00BD72DE">
        <w:rPr>
          <w:lang w:val="fr-FR"/>
        </w:rPr>
        <w:t>de bevacizumab</w:t>
      </w:r>
      <w:r w:rsidRPr="00DA7718">
        <w:rPr>
          <w:lang w:val="fr-FR"/>
        </w:rPr>
        <w:t>.</w:t>
      </w:r>
    </w:p>
    <w:p w14:paraId="1DA5B4A8" w14:textId="77777777" w:rsidR="00BD4C7C" w:rsidRPr="00DA7718" w:rsidRDefault="00BD4C7C" w:rsidP="00BD4C7C">
      <w:pPr>
        <w:adjustRightInd w:val="0"/>
        <w:snapToGrid w:val="0"/>
        <w:rPr>
          <w:lang w:val="fr-FR"/>
        </w:rPr>
      </w:pPr>
    </w:p>
    <w:p w14:paraId="79105789" w14:textId="77777777" w:rsidR="004401F0" w:rsidRPr="00F9256D" w:rsidRDefault="00DF3C4F" w:rsidP="00BD4C7C">
      <w:pPr>
        <w:adjustRightInd w:val="0"/>
        <w:snapToGrid w:val="0"/>
        <w:rPr>
          <w:u w:val="single"/>
          <w:lang w:val="fr-FR"/>
        </w:rPr>
      </w:pPr>
      <w:r w:rsidRPr="00F9256D">
        <w:rPr>
          <w:u w:val="single"/>
          <w:lang w:val="fr-FR"/>
        </w:rPr>
        <w:t>Fertilité</w:t>
      </w:r>
    </w:p>
    <w:p w14:paraId="02FB200E" w14:textId="77777777" w:rsidR="004401F0" w:rsidRPr="00DA7718" w:rsidRDefault="00DF3C4F" w:rsidP="00BD4C7C">
      <w:pPr>
        <w:pStyle w:val="a3"/>
        <w:adjustRightInd w:val="0"/>
        <w:snapToGrid w:val="0"/>
        <w:rPr>
          <w:lang w:val="fr-FR"/>
        </w:rPr>
      </w:pPr>
      <w:r w:rsidRPr="00DA7718">
        <w:rPr>
          <w:lang w:val="fr-FR"/>
        </w:rPr>
        <w:t>Des études de la toxicité par administration répétée chez l’animal ont révélé que le bevacizumab pourrait avoir un effet indésirable sur la fertilité des femmes (voir rubrique 5.3). Dans un essai de phase III chez des patients atteints d’un cancer colorectal en traitement adjuvant, une sous-étude a montré, chez des femmes non ménopausées, une augmentation de l’incidence de nouveaux cas d’insuffisance ovarienne dans le groupe bevacizumab comparé au groupe contrôle. Après arrêt du traitement par le bevacizumab, la fonction ovarienne s’est rétablie pour la majorité des patientes concernées. Les effets à long-terme d’un traitement par bevacizumab sur la fertilité ne sont à ce jour pas connus.</w:t>
      </w:r>
    </w:p>
    <w:p w14:paraId="7709612B" w14:textId="77777777" w:rsidR="004401F0" w:rsidRPr="00DA7718" w:rsidRDefault="004401F0" w:rsidP="00BD4C7C">
      <w:pPr>
        <w:pStyle w:val="a3"/>
        <w:adjustRightInd w:val="0"/>
        <w:snapToGrid w:val="0"/>
        <w:rPr>
          <w:lang w:val="fr-FR"/>
        </w:rPr>
      </w:pPr>
    </w:p>
    <w:p w14:paraId="3DE1B5A5" w14:textId="77777777" w:rsidR="004401F0" w:rsidRPr="00DA7718" w:rsidRDefault="00BD4C7C" w:rsidP="00BD4C7C">
      <w:pPr>
        <w:pStyle w:val="2"/>
        <w:adjustRightInd w:val="0"/>
        <w:snapToGrid w:val="0"/>
        <w:ind w:left="0"/>
        <w:rPr>
          <w:lang w:val="fr-FR"/>
        </w:rPr>
      </w:pPr>
      <w:r w:rsidRPr="00DA7718">
        <w:rPr>
          <w:lang w:val="fr-FR"/>
        </w:rPr>
        <w:t>4.7</w:t>
      </w:r>
      <w:r w:rsidRPr="00DA7718">
        <w:rPr>
          <w:lang w:val="fr-FR"/>
        </w:rPr>
        <w:tab/>
      </w:r>
      <w:r w:rsidR="00DF3C4F" w:rsidRPr="00DA7718">
        <w:rPr>
          <w:lang w:val="fr-FR"/>
        </w:rPr>
        <w:t>Effets sur l’aptitude à conduire des véhicules et à utiliser des machines</w:t>
      </w:r>
    </w:p>
    <w:p w14:paraId="170251A3" w14:textId="77777777" w:rsidR="004401F0" w:rsidRPr="007C119A" w:rsidRDefault="004401F0" w:rsidP="00BD4C7C">
      <w:pPr>
        <w:pStyle w:val="a3"/>
        <w:adjustRightInd w:val="0"/>
        <w:snapToGrid w:val="0"/>
        <w:rPr>
          <w:b/>
          <w:lang w:val="fr-FR"/>
        </w:rPr>
      </w:pPr>
    </w:p>
    <w:p w14:paraId="4F0293C2" w14:textId="4BAD5B00" w:rsidR="004401F0" w:rsidRPr="00DA7718" w:rsidRDefault="00BD72DE" w:rsidP="00BD4C7C">
      <w:pPr>
        <w:pStyle w:val="a3"/>
        <w:adjustRightInd w:val="0"/>
        <w:snapToGrid w:val="0"/>
        <w:rPr>
          <w:lang w:val="fr-FR"/>
        </w:rPr>
      </w:pPr>
      <w:r>
        <w:rPr>
          <w:lang w:val="fr-FR"/>
        </w:rPr>
        <w:t>Le bevacizumab</w:t>
      </w:r>
      <w:r w:rsidRPr="00DA7718">
        <w:rPr>
          <w:lang w:val="fr-FR"/>
        </w:rPr>
        <w:t xml:space="preserve"> </w:t>
      </w:r>
      <w:r w:rsidR="00DF3C4F" w:rsidRPr="00DA7718">
        <w:rPr>
          <w:lang w:val="fr-FR"/>
        </w:rPr>
        <w:t xml:space="preserve">n’a aucun effet ou qu’un effet négligeable sur l’aptitude à conduire des véhicules et à utiliser des machines. Toutefois, des cas de somnolence et de syncope ont été rapportés sous </w:t>
      </w:r>
      <w:r>
        <w:rPr>
          <w:lang w:val="fr-FR"/>
        </w:rPr>
        <w:t>bevacizumab</w:t>
      </w:r>
      <w:r w:rsidRPr="00DA7718">
        <w:rPr>
          <w:lang w:val="fr-FR"/>
        </w:rPr>
        <w:t xml:space="preserve"> </w:t>
      </w:r>
      <w:r w:rsidR="00DF3C4F" w:rsidRPr="00DA7718">
        <w:rPr>
          <w:lang w:val="fr-FR"/>
        </w:rPr>
        <w:t>(voir tableau 1 rubrique 4.8). Si les patients présentent des symptômes altérant leur vision, leur concentration ou leur aptitude à réagir, il est déconseillé de conduire et d’utiliser des machines jusqu’à régression des symptômes.</w:t>
      </w:r>
    </w:p>
    <w:p w14:paraId="30EB6680" w14:textId="77777777" w:rsidR="004401F0" w:rsidRPr="00DA7718" w:rsidRDefault="004401F0" w:rsidP="00BD4C7C">
      <w:pPr>
        <w:pStyle w:val="a3"/>
        <w:adjustRightInd w:val="0"/>
        <w:snapToGrid w:val="0"/>
        <w:rPr>
          <w:lang w:val="fr-FR"/>
        </w:rPr>
      </w:pPr>
    </w:p>
    <w:p w14:paraId="51C7FAFD" w14:textId="77777777" w:rsidR="004401F0" w:rsidRPr="00DA7718" w:rsidRDefault="00BD4C7C" w:rsidP="00BD4C7C">
      <w:pPr>
        <w:pStyle w:val="2"/>
        <w:adjustRightInd w:val="0"/>
        <w:snapToGrid w:val="0"/>
        <w:ind w:left="0"/>
        <w:rPr>
          <w:lang w:val="fr-FR"/>
        </w:rPr>
      </w:pPr>
      <w:r w:rsidRPr="00DA7718">
        <w:rPr>
          <w:lang w:val="fr-FR"/>
        </w:rPr>
        <w:t>4.8</w:t>
      </w:r>
      <w:r w:rsidRPr="00DA7718">
        <w:rPr>
          <w:lang w:val="fr-FR"/>
        </w:rPr>
        <w:tab/>
      </w:r>
      <w:r w:rsidR="00DF3C4F" w:rsidRPr="00DA7718">
        <w:rPr>
          <w:lang w:val="fr-FR"/>
        </w:rPr>
        <w:t>Effets indésirables</w:t>
      </w:r>
    </w:p>
    <w:p w14:paraId="7FF4A87A" w14:textId="77777777" w:rsidR="004401F0" w:rsidRPr="007C119A" w:rsidRDefault="004401F0" w:rsidP="00BD4C7C">
      <w:pPr>
        <w:pStyle w:val="a3"/>
        <w:adjustRightInd w:val="0"/>
        <w:snapToGrid w:val="0"/>
        <w:rPr>
          <w:b/>
          <w:lang w:val="fr-FR"/>
        </w:rPr>
      </w:pPr>
    </w:p>
    <w:p w14:paraId="67F05817" w14:textId="77777777" w:rsidR="004401F0" w:rsidRPr="00DA7718" w:rsidRDefault="00DF3C4F" w:rsidP="00BD4C7C">
      <w:pPr>
        <w:pStyle w:val="a3"/>
        <w:adjustRightInd w:val="0"/>
        <w:snapToGrid w:val="0"/>
        <w:rPr>
          <w:lang w:val="fr-FR"/>
        </w:rPr>
      </w:pPr>
      <w:r w:rsidRPr="00DA7718">
        <w:rPr>
          <w:u w:val="single"/>
          <w:lang w:val="fr-FR"/>
        </w:rPr>
        <w:t>Résumé du profil de tolérance</w:t>
      </w:r>
    </w:p>
    <w:p w14:paraId="0A70494B" w14:textId="77777777" w:rsidR="004401F0" w:rsidRPr="003F4D24" w:rsidRDefault="004401F0" w:rsidP="00BD4C7C">
      <w:pPr>
        <w:pStyle w:val="a3"/>
        <w:adjustRightInd w:val="0"/>
        <w:snapToGrid w:val="0"/>
        <w:rPr>
          <w:lang w:val="fr-FR"/>
        </w:rPr>
      </w:pPr>
    </w:p>
    <w:p w14:paraId="10B87B0C" w14:textId="216AE806" w:rsidR="004401F0" w:rsidRPr="00DA7718" w:rsidRDefault="00DF3C4F" w:rsidP="00BD4C7C">
      <w:pPr>
        <w:pStyle w:val="a3"/>
        <w:adjustRightInd w:val="0"/>
        <w:snapToGrid w:val="0"/>
        <w:rPr>
          <w:lang w:val="fr-FR"/>
        </w:rPr>
      </w:pPr>
      <w:r w:rsidRPr="00DA7718">
        <w:rPr>
          <w:lang w:val="fr-FR"/>
        </w:rPr>
        <w:t xml:space="preserve">Le profil de tolérance </w:t>
      </w:r>
      <w:r w:rsidR="00BD72DE">
        <w:rPr>
          <w:lang w:val="fr-FR"/>
        </w:rPr>
        <w:t>du bevacizumab</w:t>
      </w:r>
      <w:r w:rsidR="00BD72DE" w:rsidRPr="00DA7718">
        <w:rPr>
          <w:lang w:val="fr-FR"/>
        </w:rPr>
        <w:t xml:space="preserve"> </w:t>
      </w:r>
      <w:r w:rsidRPr="00DA7718">
        <w:rPr>
          <w:lang w:val="fr-FR"/>
        </w:rPr>
        <w:t xml:space="preserve">est basé sur des données recueillies, au cours d’études cliniques, menées chez plus de 5 700 patients atteints de différents types de tumeurs malignes qui ont été traités, pour la plupart, par </w:t>
      </w:r>
      <w:r w:rsidR="00BD72DE">
        <w:rPr>
          <w:lang w:val="fr-FR"/>
        </w:rPr>
        <w:t>bevacizumab</w:t>
      </w:r>
      <w:r w:rsidR="00BD72DE" w:rsidRPr="00DA7718">
        <w:rPr>
          <w:lang w:val="fr-FR"/>
        </w:rPr>
        <w:t xml:space="preserve"> </w:t>
      </w:r>
      <w:r w:rsidRPr="00DA7718">
        <w:rPr>
          <w:lang w:val="fr-FR"/>
        </w:rPr>
        <w:t>associé à une chimiothérapie.</w:t>
      </w:r>
    </w:p>
    <w:p w14:paraId="105522B3" w14:textId="77777777" w:rsidR="004401F0" w:rsidRPr="00DA7718" w:rsidRDefault="004401F0" w:rsidP="00BD4C7C">
      <w:pPr>
        <w:pStyle w:val="a3"/>
        <w:adjustRightInd w:val="0"/>
        <w:snapToGrid w:val="0"/>
        <w:rPr>
          <w:lang w:val="fr-FR"/>
        </w:rPr>
      </w:pPr>
    </w:p>
    <w:p w14:paraId="2D20EE5E" w14:textId="77777777" w:rsidR="004401F0" w:rsidRPr="00DA7718" w:rsidRDefault="00DF3C4F" w:rsidP="00BD4C7C">
      <w:pPr>
        <w:pStyle w:val="a3"/>
        <w:adjustRightInd w:val="0"/>
        <w:snapToGrid w:val="0"/>
        <w:rPr>
          <w:lang w:val="fr-FR"/>
        </w:rPr>
      </w:pPr>
      <w:r w:rsidRPr="00DA7718">
        <w:rPr>
          <w:lang w:val="fr-FR"/>
        </w:rPr>
        <w:t>Les effets indésirables les plus graves étaient :</w:t>
      </w:r>
    </w:p>
    <w:p w14:paraId="63654E9C" w14:textId="77777777" w:rsidR="004401F0" w:rsidRPr="00DA7718" w:rsidRDefault="004401F0" w:rsidP="00BD4C7C">
      <w:pPr>
        <w:pStyle w:val="a3"/>
        <w:adjustRightInd w:val="0"/>
        <w:snapToGrid w:val="0"/>
        <w:rPr>
          <w:lang w:val="fr-FR"/>
        </w:rPr>
      </w:pPr>
    </w:p>
    <w:p w14:paraId="408594EF" w14:textId="1D53F37E" w:rsidR="004401F0" w:rsidRPr="00DA7718" w:rsidRDefault="00067112" w:rsidP="00120BC8">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Des perforations gastro-intestinales (voir rubrique 4.4).</w:t>
      </w:r>
    </w:p>
    <w:p w14:paraId="5FAF5BA1" w14:textId="741833C1" w:rsidR="004401F0" w:rsidRPr="00DA7718" w:rsidRDefault="00067112" w:rsidP="00120BC8">
      <w:pPr>
        <w:adjustRightInd w:val="0"/>
        <w:snapToGrid w:val="0"/>
        <w:ind w:left="567" w:hanging="567"/>
        <w:rPr>
          <w:lang w:val="fr-FR"/>
        </w:rPr>
      </w:pPr>
      <w:r w:rsidRPr="00595D88">
        <w:rPr>
          <w:rFonts w:ascii="Symbol" w:eastAsia="Symbol" w:hAnsi="Symbol"/>
          <w:color w:val="000000"/>
          <w:lang w:val="en-GB"/>
        </w:rPr>
        <w:lastRenderedPageBreak/>
        <w:t></w:t>
      </w:r>
      <w:r w:rsidR="00BD4C7C" w:rsidRPr="00DA7718">
        <w:rPr>
          <w:lang w:val="fr-FR"/>
        </w:rPr>
        <w:tab/>
      </w:r>
      <w:r w:rsidR="00DF3C4F" w:rsidRPr="00DA7718">
        <w:rPr>
          <w:lang w:val="fr-FR"/>
        </w:rPr>
        <w:t xml:space="preserve">Des hémorragies, dont des hémorragies pulmonaires/hémoptysies, plus fréquentes chez les patients atteints d’un </w:t>
      </w:r>
      <w:r w:rsidR="00BD72DE">
        <w:rPr>
          <w:lang w:val="fr-FR"/>
        </w:rPr>
        <w:t>CBNPC</w:t>
      </w:r>
      <w:r w:rsidR="00DF3C4F" w:rsidRPr="00DA7718">
        <w:rPr>
          <w:lang w:val="fr-FR"/>
        </w:rPr>
        <w:t xml:space="preserve"> (voir rubrique 4.4).</w:t>
      </w:r>
    </w:p>
    <w:p w14:paraId="655B2247" w14:textId="5F867423" w:rsidR="004401F0" w:rsidRPr="00DA7718" w:rsidRDefault="00067112" w:rsidP="00120BC8">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Des thromboembolies artérielles (voir rubrique 4.4).</w:t>
      </w:r>
    </w:p>
    <w:p w14:paraId="743EE21E" w14:textId="77777777" w:rsidR="004401F0" w:rsidRPr="007C119A" w:rsidRDefault="004401F0" w:rsidP="00BD4C7C">
      <w:pPr>
        <w:pStyle w:val="a3"/>
        <w:adjustRightInd w:val="0"/>
        <w:snapToGrid w:val="0"/>
        <w:rPr>
          <w:lang w:val="fr-FR"/>
        </w:rPr>
      </w:pPr>
    </w:p>
    <w:p w14:paraId="2B75A16B" w14:textId="75033102" w:rsidR="004401F0" w:rsidRPr="00DA7718" w:rsidRDefault="00DF3C4F" w:rsidP="00654D21">
      <w:pPr>
        <w:pStyle w:val="a3"/>
        <w:keepLines/>
        <w:adjustRightInd w:val="0"/>
        <w:snapToGrid w:val="0"/>
        <w:rPr>
          <w:lang w:val="fr-FR"/>
        </w:rPr>
      </w:pPr>
      <w:r w:rsidRPr="00DA7718">
        <w:rPr>
          <w:lang w:val="fr-FR"/>
        </w:rPr>
        <w:t xml:space="preserve">Dans l’ensemble des études cliniques, les effets indésirables les plus fréquemment observés chez les patients recevant </w:t>
      </w:r>
      <w:r w:rsidR="00BD72DE">
        <w:rPr>
          <w:lang w:val="fr-FR"/>
        </w:rPr>
        <w:t>le bevacizumab</w:t>
      </w:r>
      <w:r w:rsidR="00BD72DE" w:rsidRPr="00DA7718">
        <w:rPr>
          <w:lang w:val="fr-FR"/>
        </w:rPr>
        <w:t xml:space="preserve"> </w:t>
      </w:r>
      <w:r w:rsidRPr="00DA7718">
        <w:rPr>
          <w:lang w:val="fr-FR"/>
        </w:rPr>
        <w:t>étaient</w:t>
      </w:r>
      <w:r w:rsidR="00765A43">
        <w:rPr>
          <w:lang w:val="fr-FR"/>
        </w:rPr>
        <w:t xml:space="preserve"> : </w:t>
      </w:r>
      <w:r w:rsidRPr="00DA7718">
        <w:rPr>
          <w:lang w:val="fr-FR"/>
        </w:rPr>
        <w:t>hypertension artérielle, fatigue ou asthénie, diarrhée et douleur abdominale.</w:t>
      </w:r>
    </w:p>
    <w:p w14:paraId="5ABE5DE9" w14:textId="77777777" w:rsidR="004401F0" w:rsidRPr="00DA7718" w:rsidRDefault="004401F0" w:rsidP="00BD4C7C">
      <w:pPr>
        <w:pStyle w:val="a3"/>
        <w:adjustRightInd w:val="0"/>
        <w:snapToGrid w:val="0"/>
        <w:rPr>
          <w:lang w:val="fr-FR"/>
        </w:rPr>
      </w:pPr>
    </w:p>
    <w:p w14:paraId="54259DE4" w14:textId="167C0A32" w:rsidR="004401F0" w:rsidRPr="00DA7718" w:rsidRDefault="00DF3C4F" w:rsidP="00BD4C7C">
      <w:pPr>
        <w:pStyle w:val="a3"/>
        <w:adjustRightInd w:val="0"/>
        <w:snapToGrid w:val="0"/>
        <w:rPr>
          <w:lang w:val="fr-FR"/>
        </w:rPr>
      </w:pPr>
      <w:r w:rsidRPr="00DA7718">
        <w:rPr>
          <w:lang w:val="fr-FR"/>
        </w:rPr>
        <w:t xml:space="preserve">Les analyses des données cliniques de tolérance suggèrent que la survenue d’une hypertension artérielle et d’une protéinurie lors du traitement par </w:t>
      </w:r>
      <w:r w:rsidR="00BD72DE">
        <w:rPr>
          <w:lang w:val="fr-FR"/>
        </w:rPr>
        <w:t>bevacizumab</w:t>
      </w:r>
      <w:r w:rsidR="00BD72DE" w:rsidRPr="00DA7718">
        <w:rPr>
          <w:lang w:val="fr-FR"/>
        </w:rPr>
        <w:t xml:space="preserve"> </w:t>
      </w:r>
      <w:r w:rsidRPr="00DA7718">
        <w:rPr>
          <w:lang w:val="fr-FR"/>
        </w:rPr>
        <w:t>sont probablement dose dépendantes.</w:t>
      </w:r>
    </w:p>
    <w:p w14:paraId="42272366" w14:textId="77777777" w:rsidR="004401F0" w:rsidRPr="00DA7718" w:rsidRDefault="004401F0" w:rsidP="00BD4C7C">
      <w:pPr>
        <w:pStyle w:val="a3"/>
        <w:adjustRightInd w:val="0"/>
        <w:snapToGrid w:val="0"/>
        <w:rPr>
          <w:lang w:val="fr-FR"/>
        </w:rPr>
      </w:pPr>
    </w:p>
    <w:p w14:paraId="7285C549" w14:textId="77777777" w:rsidR="004401F0" w:rsidRPr="00DA7718" w:rsidRDefault="00DF3C4F" w:rsidP="00BD4C7C">
      <w:pPr>
        <w:pStyle w:val="a3"/>
        <w:adjustRightInd w:val="0"/>
        <w:snapToGrid w:val="0"/>
        <w:rPr>
          <w:lang w:val="fr-FR"/>
        </w:rPr>
      </w:pPr>
      <w:r w:rsidRPr="00DA7718">
        <w:rPr>
          <w:u w:val="single"/>
          <w:lang w:val="fr-FR"/>
        </w:rPr>
        <w:t>Liste des effets indésirables sous forme de tableau</w:t>
      </w:r>
    </w:p>
    <w:p w14:paraId="10EE7B6E" w14:textId="77777777" w:rsidR="004401F0" w:rsidRPr="003F4D24" w:rsidRDefault="004401F0" w:rsidP="00BD4C7C">
      <w:pPr>
        <w:pStyle w:val="a3"/>
        <w:adjustRightInd w:val="0"/>
        <w:snapToGrid w:val="0"/>
        <w:rPr>
          <w:lang w:val="fr-FR"/>
        </w:rPr>
      </w:pPr>
    </w:p>
    <w:p w14:paraId="6DCD1D2E" w14:textId="250F52B4" w:rsidR="004401F0" w:rsidRPr="00DA7718" w:rsidRDefault="00DF3C4F" w:rsidP="004A47E1">
      <w:pPr>
        <w:pStyle w:val="a3"/>
        <w:adjustRightInd w:val="0"/>
        <w:snapToGrid w:val="0"/>
        <w:rPr>
          <w:lang w:val="fr-FR"/>
        </w:rPr>
      </w:pPr>
      <w:r w:rsidRPr="00DA7718">
        <w:rPr>
          <w:lang w:val="fr-FR"/>
        </w:rPr>
        <w:t>Les effets indésirables mentionnés dans cette rubrique font partie des groupes de fréquence suivants</w:t>
      </w:r>
      <w:r w:rsidR="00765A43">
        <w:rPr>
          <w:lang w:val="fr-FR"/>
        </w:rPr>
        <w:t xml:space="preserve"> : </w:t>
      </w:r>
      <w:r w:rsidRPr="00DA7718">
        <w:rPr>
          <w:lang w:val="fr-FR"/>
        </w:rPr>
        <w:t>très fréquent (≥ 1/10), fréquent (≥ 1 /100 - &lt; 1/10), peu fréquent</w:t>
      </w:r>
      <w:r w:rsidR="00765A43">
        <w:rPr>
          <w:lang w:val="fr-FR"/>
        </w:rPr>
        <w:t xml:space="preserve"> : </w:t>
      </w:r>
      <w:r w:rsidRPr="00DA7718">
        <w:rPr>
          <w:lang w:val="fr-FR"/>
        </w:rPr>
        <w:t xml:space="preserve">(≥ 1 /1000 à &lt; 1 /100), rare </w:t>
      </w:r>
      <w:r w:rsidR="004A47E1" w:rsidRPr="00DA7718">
        <w:rPr>
          <w:lang w:val="fr-FR"/>
        </w:rPr>
        <w:t>(≥</w:t>
      </w:r>
      <w:r w:rsidR="004A47E1">
        <w:rPr>
          <w:lang w:val="fr-FR"/>
        </w:rPr>
        <w:t> </w:t>
      </w:r>
      <w:r w:rsidR="004A47E1" w:rsidRPr="00DA7718">
        <w:rPr>
          <w:lang w:val="fr-FR"/>
        </w:rPr>
        <w:t>1</w:t>
      </w:r>
      <w:r w:rsidR="004A47E1">
        <w:rPr>
          <w:lang w:val="fr-FR"/>
        </w:rPr>
        <w:t> </w:t>
      </w:r>
      <w:r w:rsidRPr="00DA7718">
        <w:rPr>
          <w:lang w:val="fr-FR"/>
        </w:rPr>
        <w:t>/10000 à &lt; 1/1000), très rare (&lt; 1/10000), fréquence indéterminée (ne peut être estimée sur la base des données disponibles).</w:t>
      </w:r>
    </w:p>
    <w:p w14:paraId="70E56512" w14:textId="77777777" w:rsidR="004401F0" w:rsidRPr="00DA7718" w:rsidRDefault="004401F0" w:rsidP="00BD4C7C">
      <w:pPr>
        <w:pStyle w:val="a3"/>
        <w:adjustRightInd w:val="0"/>
        <w:snapToGrid w:val="0"/>
        <w:rPr>
          <w:lang w:val="fr-FR"/>
        </w:rPr>
      </w:pPr>
    </w:p>
    <w:p w14:paraId="2B634B04" w14:textId="57E49103" w:rsidR="004401F0" w:rsidRPr="00DA7718" w:rsidRDefault="00DF3C4F" w:rsidP="00BD4C7C">
      <w:pPr>
        <w:pStyle w:val="a3"/>
        <w:adjustRightInd w:val="0"/>
        <w:snapToGrid w:val="0"/>
        <w:jc w:val="both"/>
        <w:rPr>
          <w:lang w:val="fr-FR"/>
        </w:rPr>
      </w:pPr>
      <w:r w:rsidRPr="00DA7718">
        <w:rPr>
          <w:lang w:val="fr-FR"/>
        </w:rPr>
        <w:t xml:space="preserve">Les tableaux 1 et 2 présentent les effets indésirables associés à l’utilisation </w:t>
      </w:r>
      <w:r w:rsidR="00BD72DE">
        <w:rPr>
          <w:lang w:val="fr-FR"/>
        </w:rPr>
        <w:t>du bevacizumab</w:t>
      </w:r>
      <w:r w:rsidR="00BD72DE" w:rsidRPr="00DA7718">
        <w:rPr>
          <w:lang w:val="fr-FR"/>
        </w:rPr>
        <w:t xml:space="preserve"> </w:t>
      </w:r>
      <w:r w:rsidRPr="00DA7718">
        <w:rPr>
          <w:lang w:val="fr-FR"/>
        </w:rPr>
        <w:t>en association à différents protocoles de chimiothérapie dans diverses indications, selon la classification MedDRA par Système Organe Classe.</w:t>
      </w:r>
    </w:p>
    <w:p w14:paraId="1B41AC73" w14:textId="77777777" w:rsidR="00BD4C7C" w:rsidRPr="00DA7718" w:rsidRDefault="00BD4C7C" w:rsidP="00BD4C7C">
      <w:pPr>
        <w:adjustRightInd w:val="0"/>
        <w:snapToGrid w:val="0"/>
        <w:jc w:val="both"/>
        <w:rPr>
          <w:lang w:val="fr-FR"/>
        </w:rPr>
      </w:pPr>
    </w:p>
    <w:p w14:paraId="41818301" w14:textId="6E4602C4" w:rsidR="004401F0" w:rsidRPr="00DA7718" w:rsidRDefault="00DF3C4F" w:rsidP="00BD4C7C">
      <w:pPr>
        <w:pStyle w:val="a3"/>
        <w:adjustRightInd w:val="0"/>
        <w:snapToGrid w:val="0"/>
        <w:rPr>
          <w:lang w:val="fr-FR"/>
        </w:rPr>
      </w:pPr>
      <w:r w:rsidRPr="00DA7718">
        <w:rPr>
          <w:lang w:val="fr-FR"/>
        </w:rPr>
        <w:t xml:space="preserve">Le tableau 1 présente, selon leur fréquence, tous les effets indésirables définis comme ayant une relation causale avec la prise </w:t>
      </w:r>
      <w:r w:rsidR="00224CFF">
        <w:rPr>
          <w:lang w:val="fr-FR"/>
        </w:rPr>
        <w:t>du b</w:t>
      </w:r>
      <w:r w:rsidR="00614220">
        <w:rPr>
          <w:lang w:val="fr-FR"/>
        </w:rPr>
        <w:t>e</w:t>
      </w:r>
      <w:r w:rsidR="00224CFF">
        <w:rPr>
          <w:lang w:val="fr-FR"/>
        </w:rPr>
        <w:t>vacizumab</w:t>
      </w:r>
      <w:r w:rsidR="00224CFF" w:rsidRPr="00DA7718">
        <w:rPr>
          <w:lang w:val="fr-FR"/>
        </w:rPr>
        <w:t xml:space="preserve"> </w:t>
      </w:r>
      <w:r w:rsidRPr="00DA7718">
        <w:rPr>
          <w:lang w:val="fr-FR"/>
        </w:rPr>
        <w:t>au travers :</w:t>
      </w:r>
    </w:p>
    <w:p w14:paraId="208BA54B" w14:textId="769BF92D" w:rsidR="004401F0" w:rsidRPr="00DA7718" w:rsidRDefault="00067112" w:rsidP="00120BC8">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de la comparaison des incidences constatées entre les bras de traitement des essais cliniques (avec une différence d’au moins 10% par rapport au groupe témoin pour les effets de grade 1-5 NCI-CTCAE ou une différence supérieure d’au moins 2% par rapport au groupe témoin pour les effets de grade 3-5 NCI-CTCAE),</w:t>
      </w:r>
    </w:p>
    <w:p w14:paraId="2850DF40" w14:textId="58B3326D" w:rsidR="004401F0" w:rsidRPr="00DA7718" w:rsidRDefault="00067112" w:rsidP="00120BC8">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des études de sécurité post-autorisation,</w:t>
      </w:r>
    </w:p>
    <w:p w14:paraId="41916C26" w14:textId="6DA25BD5" w:rsidR="004401F0" w:rsidRPr="00DA7718" w:rsidRDefault="00067112" w:rsidP="00120BC8">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des déclarations spontanées,</w:t>
      </w:r>
    </w:p>
    <w:p w14:paraId="02EEB5BD" w14:textId="08A9EB3A" w:rsidR="004401F0" w:rsidRPr="00DA7718" w:rsidRDefault="00067112" w:rsidP="00120BC8">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des études épidémiologiques non interventionnelles ou observationnelles,</w:t>
      </w:r>
    </w:p>
    <w:p w14:paraId="1ABED586" w14:textId="79B1B276" w:rsidR="004401F0" w:rsidRPr="00DA7718" w:rsidRDefault="00067112" w:rsidP="00120BC8">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ou au travers de l’évaluation de rapports de cas individuels.</w:t>
      </w:r>
    </w:p>
    <w:p w14:paraId="2612428F" w14:textId="77777777" w:rsidR="004401F0" w:rsidRPr="00DA7718" w:rsidRDefault="004401F0" w:rsidP="00BD4C7C">
      <w:pPr>
        <w:pStyle w:val="a3"/>
        <w:adjustRightInd w:val="0"/>
        <w:snapToGrid w:val="0"/>
        <w:rPr>
          <w:lang w:val="fr-FR"/>
        </w:rPr>
      </w:pPr>
    </w:p>
    <w:p w14:paraId="2590405E" w14:textId="77777777" w:rsidR="004401F0" w:rsidRPr="00DA7718" w:rsidRDefault="00DF3C4F" w:rsidP="00BD4C7C">
      <w:pPr>
        <w:pStyle w:val="a3"/>
        <w:adjustRightInd w:val="0"/>
        <w:snapToGrid w:val="0"/>
        <w:rPr>
          <w:lang w:val="fr-FR"/>
        </w:rPr>
      </w:pPr>
      <w:r w:rsidRPr="00DA7718">
        <w:rPr>
          <w:lang w:val="fr-FR"/>
        </w:rPr>
        <w:t>Le tableau 2 présente la fréquence des effets indésirables graves. Les effets indésirables graves sont considérés en tant que tel, lorsque qu’une différence d’au moins 2% est observée par rapport au groupe témoin pour les effets de grade 3-5 NCI-CTCAE dans les études cliniques. Le tableau 2 inclut également les effets indésirables considérés comme cliniquement significatifs ou graves par le titulaire de l’AMM.</w:t>
      </w:r>
    </w:p>
    <w:p w14:paraId="2A021683" w14:textId="77777777" w:rsidR="004401F0" w:rsidRPr="007C119A" w:rsidRDefault="004401F0" w:rsidP="00BD4C7C">
      <w:pPr>
        <w:pStyle w:val="a3"/>
        <w:adjustRightInd w:val="0"/>
        <w:snapToGrid w:val="0"/>
        <w:rPr>
          <w:lang w:val="fr-FR"/>
        </w:rPr>
      </w:pPr>
    </w:p>
    <w:p w14:paraId="2D267A8E" w14:textId="77777777" w:rsidR="004401F0" w:rsidRPr="00DA7718" w:rsidRDefault="00DF3C4F" w:rsidP="00BD4C7C">
      <w:pPr>
        <w:pStyle w:val="a3"/>
        <w:adjustRightInd w:val="0"/>
        <w:snapToGrid w:val="0"/>
        <w:rPr>
          <w:lang w:val="fr-FR"/>
        </w:rPr>
      </w:pPr>
      <w:r w:rsidRPr="00DA7718">
        <w:rPr>
          <w:lang w:val="fr-FR"/>
        </w:rPr>
        <w:t>Les effets indésirables post-commercialisation sont inclus dans les tableaux 1 et 2, si applicable. Des informations détaillées sur les effets indésirables rapportés depuis la commercialisation sont présentées dans le tableau 3.</w:t>
      </w:r>
    </w:p>
    <w:p w14:paraId="383860B2" w14:textId="77777777" w:rsidR="004401F0" w:rsidRPr="00DA7718" w:rsidRDefault="004401F0" w:rsidP="00BD4C7C">
      <w:pPr>
        <w:pStyle w:val="a3"/>
        <w:adjustRightInd w:val="0"/>
        <w:snapToGrid w:val="0"/>
        <w:rPr>
          <w:lang w:val="fr-FR"/>
        </w:rPr>
      </w:pPr>
    </w:p>
    <w:p w14:paraId="65E24E99" w14:textId="77777777" w:rsidR="004401F0" w:rsidRPr="00DA7718" w:rsidRDefault="00DF3C4F" w:rsidP="00BD4C7C">
      <w:pPr>
        <w:pStyle w:val="a3"/>
        <w:adjustRightInd w:val="0"/>
        <w:snapToGrid w:val="0"/>
        <w:rPr>
          <w:lang w:val="fr-FR"/>
        </w:rPr>
      </w:pPr>
      <w:r w:rsidRPr="00DA7718">
        <w:rPr>
          <w:lang w:val="fr-FR"/>
        </w:rPr>
        <w:t>Les effets indésirables sont classés dans le groupe de fréquence appropriée dans les tableaux ci- dessous, en fonction de l’incidence la plus élevée observée quelle que soit l’indication.</w:t>
      </w:r>
    </w:p>
    <w:p w14:paraId="35EE3DCA" w14:textId="77777777" w:rsidR="004401F0" w:rsidRPr="00DA7718" w:rsidRDefault="00DF3C4F" w:rsidP="00BD4C7C">
      <w:pPr>
        <w:pStyle w:val="a3"/>
        <w:adjustRightInd w:val="0"/>
        <w:snapToGrid w:val="0"/>
        <w:rPr>
          <w:lang w:val="fr-FR"/>
        </w:rPr>
      </w:pPr>
      <w:r w:rsidRPr="00DA7718">
        <w:rPr>
          <w:lang w:val="fr-FR"/>
        </w:rPr>
        <w:t>Au sein de chaque catégorie de fréquence, les effets indésirables sont présentés suivant un ordre décroissant de gravité.</w:t>
      </w:r>
    </w:p>
    <w:p w14:paraId="0FC5520A" w14:textId="77777777" w:rsidR="004401F0" w:rsidRPr="007C119A" w:rsidRDefault="004401F0" w:rsidP="00BD4C7C">
      <w:pPr>
        <w:pStyle w:val="a3"/>
        <w:adjustRightInd w:val="0"/>
        <w:snapToGrid w:val="0"/>
        <w:rPr>
          <w:lang w:val="fr-FR"/>
        </w:rPr>
      </w:pPr>
    </w:p>
    <w:p w14:paraId="1FE91371" w14:textId="022149BE" w:rsidR="004401F0" w:rsidRPr="00DA7718" w:rsidRDefault="00DF3C4F" w:rsidP="00BD4C7C">
      <w:pPr>
        <w:pStyle w:val="a3"/>
        <w:adjustRightInd w:val="0"/>
        <w:snapToGrid w:val="0"/>
        <w:rPr>
          <w:lang w:val="fr-FR"/>
        </w:rPr>
      </w:pPr>
      <w:r w:rsidRPr="00DA7718">
        <w:rPr>
          <w:lang w:val="fr-FR"/>
        </w:rPr>
        <w:t>Certains des effets indésirables sont des effets fréquemment observés avec une chimiothérapie</w:t>
      </w:r>
      <w:r w:rsidR="00881CB8">
        <w:rPr>
          <w:lang w:val="fr-FR"/>
        </w:rPr>
        <w:t xml:space="preserve"> ; </w:t>
      </w:r>
      <w:r w:rsidRPr="00DA7718">
        <w:rPr>
          <w:lang w:val="fr-FR"/>
        </w:rPr>
        <w:t xml:space="preserve">toutefois </w:t>
      </w:r>
      <w:r w:rsidR="00224CFF">
        <w:rPr>
          <w:lang w:val="fr-FR"/>
        </w:rPr>
        <w:t>le b</w:t>
      </w:r>
      <w:r w:rsidR="00614220">
        <w:rPr>
          <w:lang w:val="fr-FR"/>
        </w:rPr>
        <w:t>e</w:t>
      </w:r>
      <w:r w:rsidR="00224CFF">
        <w:rPr>
          <w:lang w:val="fr-FR"/>
        </w:rPr>
        <w:t>vacizumab</w:t>
      </w:r>
      <w:r w:rsidRPr="00DA7718">
        <w:rPr>
          <w:lang w:val="fr-FR"/>
        </w:rPr>
        <w:t>, en association à des agents de chimiothérapie, peut exacerber ces effets indésirables. Par exemple, un syndrome d’érythrodysesthésie palmo-plantaire avec la doxorubicine liposomale pégylée ou la capécitabine, une neuropathie sensitive périphérique avec le paclitaxel ou l’oxaliplatine, des troubles unguéaux ou une alopécie avec le paclitaxel et une paronychie avec l’erlotinib.</w:t>
      </w:r>
    </w:p>
    <w:p w14:paraId="4B9B864E" w14:textId="77777777" w:rsidR="004401F0" w:rsidRPr="00DA7718" w:rsidRDefault="004401F0" w:rsidP="00BD4C7C">
      <w:pPr>
        <w:pStyle w:val="a3"/>
        <w:adjustRightInd w:val="0"/>
        <w:snapToGrid w:val="0"/>
        <w:rPr>
          <w:lang w:val="fr-FR"/>
        </w:rPr>
      </w:pPr>
    </w:p>
    <w:p w14:paraId="287C3747" w14:textId="77777777" w:rsidR="004401F0" w:rsidRPr="00E13189" w:rsidRDefault="00DF3C4F" w:rsidP="00E13189">
      <w:pPr>
        <w:keepNext/>
        <w:keepLines/>
        <w:ind w:left="1276" w:hanging="1276"/>
        <w:rPr>
          <w:b/>
          <w:bCs/>
          <w:lang w:val="fr-FR"/>
        </w:rPr>
      </w:pPr>
      <w:r w:rsidRPr="00E13189">
        <w:rPr>
          <w:b/>
          <w:bCs/>
          <w:lang w:val="fr-FR"/>
        </w:rPr>
        <w:lastRenderedPageBreak/>
        <w:t>Tableau 1 :</w:t>
      </w:r>
      <w:r w:rsidR="00A85500" w:rsidRPr="00E13189">
        <w:rPr>
          <w:b/>
          <w:bCs/>
          <w:lang w:val="fr-FR"/>
        </w:rPr>
        <w:tab/>
      </w:r>
      <w:r w:rsidRPr="00E13189">
        <w:rPr>
          <w:b/>
          <w:bCs/>
          <w:lang w:val="fr-FR"/>
        </w:rPr>
        <w:t>Effets indésirables selon leur fréquence</w:t>
      </w:r>
    </w:p>
    <w:p w14:paraId="40616992" w14:textId="77777777" w:rsidR="004401F0" w:rsidRPr="00DA7718" w:rsidRDefault="004401F0" w:rsidP="00E13189">
      <w:pPr>
        <w:pStyle w:val="a3"/>
        <w:keepNext/>
        <w:keepLines/>
        <w:adjustRightInd w:val="0"/>
        <w:snapToGrid w:val="0"/>
        <w:rPr>
          <w:b/>
          <w:sz w:val="20"/>
          <w:lang w:val="fr-FR"/>
        </w:rPr>
      </w:pPr>
    </w:p>
    <w:tbl>
      <w:tblPr>
        <w:tblW w:w="52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1477"/>
        <w:gridCol w:w="1598"/>
        <w:gridCol w:w="1597"/>
        <w:gridCol w:w="889"/>
        <w:gridCol w:w="1294"/>
        <w:gridCol w:w="1369"/>
        <w:gridCol w:w="1351"/>
      </w:tblGrid>
      <w:tr w:rsidR="000D614A" w:rsidRPr="00E450CF" w14:paraId="1D22BC51" w14:textId="77777777" w:rsidTr="00654D21">
        <w:trPr>
          <w:cantSplit/>
          <w:tblHeader/>
        </w:trPr>
        <w:tc>
          <w:tcPr>
            <w:tcW w:w="1497" w:type="dxa"/>
          </w:tcPr>
          <w:p w14:paraId="741BEA84" w14:textId="0A8322E1" w:rsidR="007F1ED1" w:rsidRPr="00120BC8" w:rsidRDefault="007F1ED1" w:rsidP="00654D21">
            <w:pPr>
              <w:pStyle w:val="TableParagraph"/>
              <w:keepNext/>
              <w:keepLines/>
              <w:adjustRightInd w:val="0"/>
              <w:snapToGrid w:val="0"/>
              <w:rPr>
                <w:b/>
                <w:bCs/>
                <w:sz w:val="20"/>
                <w:szCs w:val="20"/>
                <w:lang w:val="fr-FR"/>
              </w:rPr>
            </w:pPr>
            <w:r w:rsidRPr="00120BC8">
              <w:rPr>
                <w:b/>
                <w:bCs/>
                <w:sz w:val="20"/>
                <w:szCs w:val="20"/>
                <w:lang w:val="fr-FR"/>
              </w:rPr>
              <w:t>Système</w:t>
            </w:r>
            <w:r w:rsidR="00E450CF">
              <w:rPr>
                <w:b/>
                <w:bCs/>
                <w:sz w:val="20"/>
                <w:szCs w:val="20"/>
                <w:lang w:val="fr-FR"/>
              </w:rPr>
              <w:br/>
            </w:r>
            <w:r w:rsidRPr="00120BC8">
              <w:rPr>
                <w:b/>
                <w:bCs/>
                <w:sz w:val="20"/>
                <w:szCs w:val="20"/>
                <w:lang w:val="fr-FR"/>
              </w:rPr>
              <w:t>Organe Classe</w:t>
            </w:r>
          </w:p>
        </w:tc>
        <w:tc>
          <w:tcPr>
            <w:tcW w:w="1620" w:type="dxa"/>
          </w:tcPr>
          <w:p w14:paraId="6E00BA0B" w14:textId="77777777" w:rsidR="007F1ED1" w:rsidRPr="00120BC8" w:rsidRDefault="007F1ED1" w:rsidP="00654D21">
            <w:pPr>
              <w:pStyle w:val="TableParagraph"/>
              <w:keepNext/>
              <w:keepLines/>
              <w:adjustRightInd w:val="0"/>
              <w:snapToGrid w:val="0"/>
              <w:rPr>
                <w:b/>
                <w:bCs/>
                <w:sz w:val="20"/>
                <w:szCs w:val="20"/>
                <w:lang w:val="fr-FR"/>
              </w:rPr>
            </w:pPr>
            <w:r w:rsidRPr="00120BC8">
              <w:rPr>
                <w:b/>
                <w:bCs/>
                <w:sz w:val="20"/>
                <w:szCs w:val="20"/>
                <w:lang w:val="fr-FR"/>
              </w:rPr>
              <w:t>Très fréquent</w:t>
            </w:r>
          </w:p>
        </w:tc>
        <w:tc>
          <w:tcPr>
            <w:tcW w:w="1620" w:type="dxa"/>
          </w:tcPr>
          <w:p w14:paraId="2CEE2E02" w14:textId="77777777" w:rsidR="007F1ED1" w:rsidRPr="00120BC8" w:rsidRDefault="007F1ED1" w:rsidP="00654D21">
            <w:pPr>
              <w:pStyle w:val="TableParagraph"/>
              <w:keepNext/>
              <w:keepLines/>
              <w:adjustRightInd w:val="0"/>
              <w:snapToGrid w:val="0"/>
              <w:rPr>
                <w:b/>
                <w:bCs/>
                <w:sz w:val="20"/>
                <w:szCs w:val="20"/>
                <w:lang w:val="fr-FR"/>
              </w:rPr>
            </w:pPr>
            <w:r w:rsidRPr="00120BC8">
              <w:rPr>
                <w:b/>
                <w:bCs/>
                <w:sz w:val="20"/>
                <w:szCs w:val="20"/>
                <w:lang w:val="fr-FR"/>
              </w:rPr>
              <w:t>Fréquent</w:t>
            </w:r>
          </w:p>
        </w:tc>
        <w:tc>
          <w:tcPr>
            <w:tcW w:w="901" w:type="dxa"/>
          </w:tcPr>
          <w:p w14:paraId="4867DFDD" w14:textId="7CEB0505" w:rsidR="007F1ED1" w:rsidRPr="00120BC8" w:rsidRDefault="007F1ED1" w:rsidP="00654D21">
            <w:pPr>
              <w:pStyle w:val="TableParagraph"/>
              <w:keepNext/>
              <w:keepLines/>
              <w:adjustRightInd w:val="0"/>
              <w:snapToGrid w:val="0"/>
              <w:rPr>
                <w:b/>
                <w:bCs/>
                <w:sz w:val="20"/>
                <w:szCs w:val="20"/>
                <w:lang w:val="fr-FR"/>
              </w:rPr>
            </w:pPr>
            <w:r w:rsidRPr="00120BC8">
              <w:rPr>
                <w:b/>
                <w:bCs/>
                <w:sz w:val="20"/>
                <w:szCs w:val="20"/>
                <w:lang w:val="fr-FR"/>
              </w:rPr>
              <w:t>Peu fréquent</w:t>
            </w:r>
          </w:p>
        </w:tc>
        <w:tc>
          <w:tcPr>
            <w:tcW w:w="1312" w:type="dxa"/>
          </w:tcPr>
          <w:p w14:paraId="5403F2A8" w14:textId="77777777" w:rsidR="007F1ED1" w:rsidRPr="00120BC8" w:rsidRDefault="007F1ED1" w:rsidP="00654D21">
            <w:pPr>
              <w:pStyle w:val="TableParagraph"/>
              <w:keepNext/>
              <w:keepLines/>
              <w:adjustRightInd w:val="0"/>
              <w:snapToGrid w:val="0"/>
              <w:rPr>
                <w:b/>
                <w:bCs/>
                <w:sz w:val="20"/>
                <w:szCs w:val="20"/>
                <w:lang w:val="fr-FR"/>
              </w:rPr>
            </w:pPr>
            <w:r w:rsidRPr="00120BC8">
              <w:rPr>
                <w:b/>
                <w:bCs/>
                <w:sz w:val="20"/>
                <w:szCs w:val="20"/>
                <w:lang w:val="fr-FR"/>
              </w:rPr>
              <w:t>Rare</w:t>
            </w:r>
          </w:p>
        </w:tc>
        <w:tc>
          <w:tcPr>
            <w:tcW w:w="1388" w:type="dxa"/>
          </w:tcPr>
          <w:p w14:paraId="3680FAE9" w14:textId="77777777" w:rsidR="007F1ED1" w:rsidRPr="00120BC8" w:rsidRDefault="007F1ED1" w:rsidP="00654D21">
            <w:pPr>
              <w:pStyle w:val="TableParagraph"/>
              <w:keepNext/>
              <w:keepLines/>
              <w:adjustRightInd w:val="0"/>
              <w:snapToGrid w:val="0"/>
              <w:rPr>
                <w:b/>
                <w:bCs/>
                <w:sz w:val="20"/>
                <w:szCs w:val="20"/>
                <w:lang w:val="fr-FR"/>
              </w:rPr>
            </w:pPr>
            <w:r w:rsidRPr="00120BC8">
              <w:rPr>
                <w:b/>
                <w:bCs/>
                <w:sz w:val="20"/>
                <w:szCs w:val="20"/>
                <w:lang w:val="fr-FR"/>
              </w:rPr>
              <w:t>Très rare</w:t>
            </w:r>
          </w:p>
        </w:tc>
        <w:tc>
          <w:tcPr>
            <w:tcW w:w="1370" w:type="dxa"/>
          </w:tcPr>
          <w:p w14:paraId="0D269B5B" w14:textId="77777777" w:rsidR="007F1ED1" w:rsidRPr="00120BC8" w:rsidRDefault="007F1ED1" w:rsidP="00654D21">
            <w:pPr>
              <w:pStyle w:val="TableParagraph"/>
              <w:keepNext/>
              <w:keepLines/>
              <w:adjustRightInd w:val="0"/>
              <w:snapToGrid w:val="0"/>
              <w:rPr>
                <w:b/>
                <w:bCs/>
                <w:sz w:val="20"/>
                <w:szCs w:val="20"/>
                <w:lang w:val="fr-FR"/>
              </w:rPr>
            </w:pPr>
            <w:r w:rsidRPr="00120BC8">
              <w:rPr>
                <w:b/>
                <w:bCs/>
                <w:sz w:val="20"/>
                <w:szCs w:val="20"/>
                <w:lang w:val="fr-FR"/>
              </w:rPr>
              <w:t xml:space="preserve">Fréquence </w:t>
            </w:r>
            <w:r w:rsidR="00E450CF">
              <w:rPr>
                <w:b/>
                <w:bCs/>
                <w:sz w:val="20"/>
                <w:szCs w:val="20"/>
                <w:lang w:val="fr-FR"/>
              </w:rPr>
              <w:br/>
            </w:r>
            <w:r w:rsidRPr="00120BC8">
              <w:rPr>
                <w:b/>
                <w:bCs/>
                <w:sz w:val="20"/>
                <w:szCs w:val="20"/>
                <w:lang w:val="fr-FR"/>
              </w:rPr>
              <w:t>indéterminée</w:t>
            </w:r>
          </w:p>
        </w:tc>
      </w:tr>
      <w:tr w:rsidR="00A22BD3" w:rsidRPr="00120BC8" w14:paraId="53F85118" w14:textId="77777777" w:rsidTr="00654D21">
        <w:trPr>
          <w:cantSplit/>
        </w:trPr>
        <w:tc>
          <w:tcPr>
            <w:tcW w:w="1497" w:type="dxa"/>
          </w:tcPr>
          <w:p w14:paraId="589F2320" w14:textId="77777777" w:rsidR="007F1ED1" w:rsidRPr="00120BC8" w:rsidRDefault="007F1ED1" w:rsidP="00654D21">
            <w:pPr>
              <w:pStyle w:val="TableParagraph"/>
              <w:keepNext/>
              <w:keepLines/>
              <w:adjustRightInd w:val="0"/>
              <w:snapToGrid w:val="0"/>
              <w:spacing w:line="233" w:lineRule="auto"/>
              <w:rPr>
                <w:sz w:val="20"/>
                <w:szCs w:val="20"/>
                <w:lang w:val="fr-FR"/>
              </w:rPr>
            </w:pPr>
            <w:r w:rsidRPr="00120BC8">
              <w:rPr>
                <w:sz w:val="20"/>
                <w:szCs w:val="20"/>
                <w:lang w:val="fr-FR"/>
              </w:rPr>
              <w:t>Infections et infestations</w:t>
            </w:r>
          </w:p>
        </w:tc>
        <w:tc>
          <w:tcPr>
            <w:tcW w:w="1620" w:type="dxa"/>
          </w:tcPr>
          <w:p w14:paraId="6C136933" w14:textId="77777777" w:rsidR="007F1ED1" w:rsidRPr="00120BC8" w:rsidRDefault="007F1ED1" w:rsidP="00654D21">
            <w:pPr>
              <w:pStyle w:val="TableParagraph"/>
              <w:keepNext/>
              <w:keepLines/>
              <w:adjustRightInd w:val="0"/>
              <w:snapToGrid w:val="0"/>
              <w:spacing w:line="233" w:lineRule="auto"/>
              <w:rPr>
                <w:sz w:val="20"/>
                <w:szCs w:val="20"/>
                <w:lang w:val="fr-FR"/>
              </w:rPr>
            </w:pPr>
          </w:p>
        </w:tc>
        <w:tc>
          <w:tcPr>
            <w:tcW w:w="1620" w:type="dxa"/>
          </w:tcPr>
          <w:p w14:paraId="06D752B9" w14:textId="7017CAF8" w:rsidR="007F1ED1" w:rsidRPr="009246E1" w:rsidRDefault="007F1ED1" w:rsidP="00654D21">
            <w:pPr>
              <w:pStyle w:val="TableParagraph"/>
              <w:keepNext/>
              <w:keepLines/>
              <w:adjustRightInd w:val="0"/>
              <w:snapToGrid w:val="0"/>
              <w:spacing w:line="233" w:lineRule="auto"/>
              <w:rPr>
                <w:sz w:val="20"/>
                <w:szCs w:val="20"/>
                <w:lang w:val="fr-FR"/>
              </w:rPr>
            </w:pPr>
            <w:r w:rsidRPr="009246E1">
              <w:rPr>
                <w:sz w:val="20"/>
                <w:szCs w:val="20"/>
                <w:lang w:val="fr-FR"/>
              </w:rPr>
              <w:t xml:space="preserve">Sepsis, </w:t>
            </w:r>
            <w:r w:rsidR="0057468F" w:rsidRPr="009246E1">
              <w:rPr>
                <w:sz w:val="20"/>
                <w:szCs w:val="20"/>
                <w:lang w:val="fr-FR"/>
              </w:rPr>
              <w:t>a</w:t>
            </w:r>
            <w:r w:rsidRPr="009246E1">
              <w:rPr>
                <w:sz w:val="20"/>
                <w:szCs w:val="20"/>
                <w:lang w:val="fr-FR"/>
              </w:rPr>
              <w:t>bcès</w:t>
            </w:r>
            <w:r w:rsidRPr="009246E1">
              <w:rPr>
                <w:sz w:val="20"/>
                <w:szCs w:val="20"/>
                <w:vertAlign w:val="superscript"/>
                <w:lang w:val="fr-FR"/>
              </w:rPr>
              <w:t>b,d</w:t>
            </w:r>
            <w:r w:rsidRPr="009246E1">
              <w:rPr>
                <w:sz w:val="20"/>
                <w:szCs w:val="20"/>
                <w:lang w:val="fr-FR"/>
              </w:rPr>
              <w:t xml:space="preserve">, </w:t>
            </w:r>
            <w:r w:rsidR="00224CFF" w:rsidRPr="009246E1">
              <w:rPr>
                <w:sz w:val="20"/>
                <w:szCs w:val="20"/>
                <w:lang w:val="fr-FR"/>
              </w:rPr>
              <w:t>c</w:t>
            </w:r>
            <w:r w:rsidRPr="009246E1">
              <w:rPr>
                <w:sz w:val="20"/>
                <w:szCs w:val="20"/>
                <w:lang w:val="fr-FR"/>
              </w:rPr>
              <w:t xml:space="preserve">ellulite, </w:t>
            </w:r>
            <w:r w:rsidR="00224CFF" w:rsidRPr="009246E1">
              <w:rPr>
                <w:sz w:val="20"/>
                <w:szCs w:val="20"/>
                <w:lang w:val="fr-FR"/>
              </w:rPr>
              <w:t>i</w:t>
            </w:r>
            <w:r w:rsidRPr="009246E1">
              <w:rPr>
                <w:sz w:val="20"/>
                <w:szCs w:val="20"/>
                <w:lang w:val="fr-FR"/>
              </w:rPr>
              <w:t xml:space="preserve">nfection, </w:t>
            </w:r>
            <w:r w:rsidR="00224CFF" w:rsidRPr="009246E1">
              <w:rPr>
                <w:sz w:val="20"/>
                <w:szCs w:val="20"/>
                <w:lang w:val="fr-FR"/>
              </w:rPr>
              <w:t>i</w:t>
            </w:r>
            <w:r w:rsidRPr="009246E1">
              <w:rPr>
                <w:sz w:val="20"/>
                <w:szCs w:val="20"/>
                <w:lang w:val="fr-FR"/>
              </w:rPr>
              <w:t>nfection</w:t>
            </w:r>
            <w:r w:rsidR="004C34A7" w:rsidRPr="009246E1">
              <w:rPr>
                <w:sz w:val="20"/>
                <w:szCs w:val="20"/>
                <w:lang w:val="fr-FR"/>
              </w:rPr>
              <w:t xml:space="preserve"> </w:t>
            </w:r>
            <w:r w:rsidRPr="009246E1">
              <w:rPr>
                <w:sz w:val="20"/>
                <w:szCs w:val="20"/>
                <w:lang w:val="fr-FR"/>
              </w:rPr>
              <w:t>urinaire</w:t>
            </w:r>
          </w:p>
        </w:tc>
        <w:tc>
          <w:tcPr>
            <w:tcW w:w="901" w:type="dxa"/>
          </w:tcPr>
          <w:p w14:paraId="0D8D4466" w14:textId="77777777" w:rsidR="007F1ED1" w:rsidRPr="009246E1" w:rsidRDefault="007F1ED1" w:rsidP="00654D21">
            <w:pPr>
              <w:pStyle w:val="TableParagraph"/>
              <w:keepNext/>
              <w:keepLines/>
              <w:adjustRightInd w:val="0"/>
              <w:snapToGrid w:val="0"/>
              <w:spacing w:line="233" w:lineRule="auto"/>
              <w:rPr>
                <w:sz w:val="20"/>
                <w:szCs w:val="20"/>
                <w:lang w:val="fr-FR"/>
              </w:rPr>
            </w:pPr>
          </w:p>
        </w:tc>
        <w:tc>
          <w:tcPr>
            <w:tcW w:w="1312" w:type="dxa"/>
          </w:tcPr>
          <w:p w14:paraId="7F85B193" w14:textId="77777777" w:rsidR="007F1ED1" w:rsidRPr="00120BC8" w:rsidRDefault="007F1ED1" w:rsidP="00654D21">
            <w:pPr>
              <w:pStyle w:val="TableParagraph"/>
              <w:keepNext/>
              <w:keepLines/>
              <w:adjustRightInd w:val="0"/>
              <w:snapToGrid w:val="0"/>
              <w:spacing w:line="233" w:lineRule="auto"/>
              <w:rPr>
                <w:sz w:val="20"/>
                <w:szCs w:val="20"/>
                <w:lang w:val="fr-FR"/>
              </w:rPr>
            </w:pPr>
            <w:r w:rsidRPr="00120BC8">
              <w:rPr>
                <w:sz w:val="20"/>
                <w:szCs w:val="20"/>
                <w:lang w:val="fr-FR"/>
              </w:rPr>
              <w:t>Fasciite nécrosante</w:t>
            </w:r>
            <w:r w:rsidRPr="00120BC8">
              <w:rPr>
                <w:sz w:val="20"/>
                <w:szCs w:val="20"/>
                <w:vertAlign w:val="superscript"/>
                <w:lang w:val="fr-FR"/>
              </w:rPr>
              <w:t>a</w:t>
            </w:r>
          </w:p>
        </w:tc>
        <w:tc>
          <w:tcPr>
            <w:tcW w:w="1388" w:type="dxa"/>
          </w:tcPr>
          <w:p w14:paraId="46FA6144" w14:textId="77777777" w:rsidR="007F1ED1" w:rsidRPr="00120BC8" w:rsidRDefault="007F1ED1" w:rsidP="00654D21">
            <w:pPr>
              <w:pStyle w:val="TableParagraph"/>
              <w:keepNext/>
              <w:keepLines/>
              <w:adjustRightInd w:val="0"/>
              <w:snapToGrid w:val="0"/>
              <w:spacing w:line="233" w:lineRule="auto"/>
              <w:rPr>
                <w:sz w:val="20"/>
                <w:szCs w:val="20"/>
                <w:lang w:val="fr-FR"/>
              </w:rPr>
            </w:pPr>
          </w:p>
        </w:tc>
        <w:tc>
          <w:tcPr>
            <w:tcW w:w="1370" w:type="dxa"/>
          </w:tcPr>
          <w:p w14:paraId="0E725A21" w14:textId="77777777" w:rsidR="007F1ED1" w:rsidRPr="00120BC8" w:rsidRDefault="007F1ED1" w:rsidP="00654D21">
            <w:pPr>
              <w:pStyle w:val="TableParagraph"/>
              <w:keepNext/>
              <w:keepLines/>
              <w:adjustRightInd w:val="0"/>
              <w:snapToGrid w:val="0"/>
              <w:spacing w:line="233" w:lineRule="auto"/>
              <w:rPr>
                <w:sz w:val="20"/>
                <w:szCs w:val="20"/>
                <w:lang w:val="fr-FR"/>
              </w:rPr>
            </w:pPr>
          </w:p>
        </w:tc>
      </w:tr>
      <w:tr w:rsidR="000D614A" w:rsidRPr="00120BC8" w14:paraId="14B1CD60" w14:textId="77777777" w:rsidTr="00654D21">
        <w:trPr>
          <w:cantSplit/>
        </w:trPr>
        <w:tc>
          <w:tcPr>
            <w:tcW w:w="1497" w:type="dxa"/>
          </w:tcPr>
          <w:p w14:paraId="784BECE4"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Affections hématologiques et du système lymphatique</w:t>
            </w:r>
          </w:p>
        </w:tc>
        <w:tc>
          <w:tcPr>
            <w:tcW w:w="1620" w:type="dxa"/>
          </w:tcPr>
          <w:p w14:paraId="13CBEB9B" w14:textId="5916B763"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 xml:space="preserve">Neutropénie fébrile, </w:t>
            </w:r>
            <w:r w:rsidR="00224CFF">
              <w:rPr>
                <w:sz w:val="20"/>
                <w:szCs w:val="20"/>
                <w:lang w:val="fr-FR"/>
              </w:rPr>
              <w:t>l</w:t>
            </w:r>
            <w:r w:rsidRPr="00120BC8">
              <w:rPr>
                <w:sz w:val="20"/>
                <w:szCs w:val="20"/>
                <w:lang w:val="fr-FR"/>
              </w:rPr>
              <w:t xml:space="preserve">eucopénie, </w:t>
            </w:r>
            <w:r w:rsidR="00224CFF">
              <w:rPr>
                <w:sz w:val="20"/>
                <w:szCs w:val="20"/>
                <w:lang w:val="fr-FR"/>
              </w:rPr>
              <w:t>n</w:t>
            </w:r>
            <w:r w:rsidRPr="00120BC8">
              <w:rPr>
                <w:sz w:val="20"/>
                <w:szCs w:val="20"/>
                <w:lang w:val="fr-FR"/>
              </w:rPr>
              <w:t>eutropénie</w:t>
            </w:r>
            <w:r w:rsidRPr="00120BC8">
              <w:rPr>
                <w:sz w:val="20"/>
                <w:szCs w:val="20"/>
                <w:vertAlign w:val="superscript"/>
                <w:lang w:val="fr-FR"/>
              </w:rPr>
              <w:t>b</w:t>
            </w:r>
            <w:r w:rsidRPr="00120BC8">
              <w:rPr>
                <w:sz w:val="20"/>
                <w:szCs w:val="20"/>
                <w:lang w:val="fr-FR"/>
              </w:rPr>
              <w:t xml:space="preserve">, </w:t>
            </w:r>
            <w:r w:rsidR="00224CFF">
              <w:rPr>
                <w:sz w:val="20"/>
                <w:szCs w:val="20"/>
                <w:lang w:val="fr-FR"/>
              </w:rPr>
              <w:t>t</w:t>
            </w:r>
            <w:r w:rsidRPr="00120BC8">
              <w:rPr>
                <w:sz w:val="20"/>
                <w:szCs w:val="20"/>
                <w:lang w:val="fr-FR"/>
              </w:rPr>
              <w:t>hrombocytop</w:t>
            </w:r>
          </w:p>
          <w:p w14:paraId="111A47B1"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énie</w:t>
            </w:r>
          </w:p>
        </w:tc>
        <w:tc>
          <w:tcPr>
            <w:tcW w:w="1620" w:type="dxa"/>
          </w:tcPr>
          <w:p w14:paraId="383D157D" w14:textId="57862C4D"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 xml:space="preserve">Anémie, </w:t>
            </w:r>
            <w:r w:rsidR="00224CFF">
              <w:rPr>
                <w:sz w:val="20"/>
                <w:szCs w:val="20"/>
                <w:lang w:val="fr-FR"/>
              </w:rPr>
              <w:t>l</w:t>
            </w:r>
            <w:r w:rsidRPr="00120BC8">
              <w:rPr>
                <w:sz w:val="20"/>
                <w:szCs w:val="20"/>
                <w:lang w:val="fr-FR"/>
              </w:rPr>
              <w:t>ymphopénie</w:t>
            </w:r>
          </w:p>
        </w:tc>
        <w:tc>
          <w:tcPr>
            <w:tcW w:w="901" w:type="dxa"/>
          </w:tcPr>
          <w:p w14:paraId="1A6E1B21" w14:textId="77777777" w:rsidR="007F1ED1" w:rsidRPr="00120BC8" w:rsidRDefault="007F1ED1" w:rsidP="00654D21">
            <w:pPr>
              <w:pStyle w:val="TableParagraph"/>
              <w:adjustRightInd w:val="0"/>
              <w:snapToGrid w:val="0"/>
              <w:spacing w:line="233" w:lineRule="auto"/>
              <w:rPr>
                <w:sz w:val="20"/>
                <w:szCs w:val="20"/>
                <w:lang w:val="fr-FR"/>
              </w:rPr>
            </w:pPr>
          </w:p>
        </w:tc>
        <w:tc>
          <w:tcPr>
            <w:tcW w:w="1312" w:type="dxa"/>
          </w:tcPr>
          <w:p w14:paraId="0D1375BE" w14:textId="77777777" w:rsidR="007F1ED1" w:rsidRPr="00120BC8" w:rsidRDefault="007F1ED1" w:rsidP="00654D21">
            <w:pPr>
              <w:pStyle w:val="TableParagraph"/>
              <w:adjustRightInd w:val="0"/>
              <w:snapToGrid w:val="0"/>
              <w:spacing w:line="233" w:lineRule="auto"/>
              <w:rPr>
                <w:sz w:val="20"/>
                <w:szCs w:val="20"/>
                <w:lang w:val="fr-FR"/>
              </w:rPr>
            </w:pPr>
          </w:p>
        </w:tc>
        <w:tc>
          <w:tcPr>
            <w:tcW w:w="1388" w:type="dxa"/>
          </w:tcPr>
          <w:p w14:paraId="3E98A8B4" w14:textId="77777777" w:rsidR="007F1ED1" w:rsidRPr="00120BC8" w:rsidRDefault="007F1ED1" w:rsidP="00654D21">
            <w:pPr>
              <w:pStyle w:val="TableParagraph"/>
              <w:adjustRightInd w:val="0"/>
              <w:snapToGrid w:val="0"/>
              <w:spacing w:line="233" w:lineRule="auto"/>
              <w:rPr>
                <w:sz w:val="20"/>
                <w:szCs w:val="20"/>
                <w:lang w:val="fr-FR"/>
              </w:rPr>
            </w:pPr>
          </w:p>
        </w:tc>
        <w:tc>
          <w:tcPr>
            <w:tcW w:w="1370" w:type="dxa"/>
          </w:tcPr>
          <w:p w14:paraId="018CE174" w14:textId="77777777" w:rsidR="007F1ED1" w:rsidRPr="00120BC8" w:rsidRDefault="007F1ED1" w:rsidP="00654D21">
            <w:pPr>
              <w:pStyle w:val="TableParagraph"/>
              <w:adjustRightInd w:val="0"/>
              <w:snapToGrid w:val="0"/>
              <w:spacing w:line="233" w:lineRule="auto"/>
              <w:rPr>
                <w:sz w:val="20"/>
                <w:szCs w:val="20"/>
                <w:lang w:val="fr-FR"/>
              </w:rPr>
            </w:pPr>
          </w:p>
        </w:tc>
      </w:tr>
      <w:tr w:rsidR="000D614A" w:rsidRPr="00EB4800" w14:paraId="7D5E5755" w14:textId="77777777" w:rsidTr="00654D21">
        <w:trPr>
          <w:cantSplit/>
        </w:trPr>
        <w:tc>
          <w:tcPr>
            <w:tcW w:w="1497" w:type="dxa"/>
          </w:tcPr>
          <w:p w14:paraId="04209221"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Affections du système immunitaire</w:t>
            </w:r>
          </w:p>
        </w:tc>
        <w:tc>
          <w:tcPr>
            <w:tcW w:w="1620" w:type="dxa"/>
          </w:tcPr>
          <w:p w14:paraId="7092A815" w14:textId="77777777" w:rsidR="007F1ED1" w:rsidRPr="00120BC8" w:rsidRDefault="007F1ED1" w:rsidP="00654D21">
            <w:pPr>
              <w:pStyle w:val="TableParagraph"/>
              <w:adjustRightInd w:val="0"/>
              <w:snapToGrid w:val="0"/>
              <w:spacing w:line="233" w:lineRule="auto"/>
              <w:rPr>
                <w:sz w:val="20"/>
                <w:szCs w:val="20"/>
                <w:lang w:val="fr-FR"/>
              </w:rPr>
            </w:pPr>
          </w:p>
        </w:tc>
        <w:tc>
          <w:tcPr>
            <w:tcW w:w="1620" w:type="dxa"/>
          </w:tcPr>
          <w:p w14:paraId="454716A4" w14:textId="67D80358"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 xml:space="preserve">Hypersensibilité, réactions liées à la perfusion </w:t>
            </w:r>
            <w:r w:rsidRPr="00120BC8">
              <w:rPr>
                <w:sz w:val="20"/>
                <w:szCs w:val="20"/>
                <w:vertAlign w:val="superscript"/>
                <w:lang w:val="fr-FR"/>
              </w:rPr>
              <w:t>a,b,d</w:t>
            </w:r>
          </w:p>
        </w:tc>
        <w:tc>
          <w:tcPr>
            <w:tcW w:w="901" w:type="dxa"/>
          </w:tcPr>
          <w:p w14:paraId="533C6E1D" w14:textId="77777777" w:rsidR="007F1ED1" w:rsidRPr="00120BC8" w:rsidRDefault="007F1ED1" w:rsidP="00654D21">
            <w:pPr>
              <w:pStyle w:val="TableParagraph"/>
              <w:adjustRightInd w:val="0"/>
              <w:snapToGrid w:val="0"/>
              <w:spacing w:line="233" w:lineRule="auto"/>
              <w:rPr>
                <w:sz w:val="20"/>
                <w:szCs w:val="20"/>
                <w:lang w:val="fr-FR"/>
              </w:rPr>
            </w:pPr>
          </w:p>
        </w:tc>
        <w:tc>
          <w:tcPr>
            <w:tcW w:w="1312" w:type="dxa"/>
          </w:tcPr>
          <w:p w14:paraId="505934E3" w14:textId="21C9EC62" w:rsidR="007F1ED1" w:rsidRPr="00120BC8" w:rsidRDefault="006A2D64" w:rsidP="006A2D64">
            <w:pPr>
              <w:pStyle w:val="TableParagraph"/>
              <w:adjustRightInd w:val="0"/>
              <w:snapToGrid w:val="0"/>
              <w:spacing w:line="233" w:lineRule="auto"/>
              <w:rPr>
                <w:sz w:val="20"/>
                <w:szCs w:val="20"/>
                <w:lang w:val="fr-FR"/>
              </w:rPr>
            </w:pPr>
            <w:r w:rsidRPr="006A2D64">
              <w:rPr>
                <w:sz w:val="20"/>
                <w:szCs w:val="20"/>
                <w:lang w:val="fr-FR"/>
              </w:rPr>
              <w:t>Choc</w:t>
            </w:r>
            <w:r>
              <w:rPr>
                <w:sz w:val="20"/>
                <w:szCs w:val="20"/>
                <w:lang w:val="fr-FR"/>
              </w:rPr>
              <w:t xml:space="preserve"> </w:t>
            </w:r>
            <w:r w:rsidRPr="006A2D64">
              <w:rPr>
                <w:sz w:val="20"/>
                <w:szCs w:val="20"/>
                <w:lang w:val="fr-FR"/>
              </w:rPr>
              <w:t>anaphylactique</w:t>
            </w:r>
          </w:p>
        </w:tc>
        <w:tc>
          <w:tcPr>
            <w:tcW w:w="1388" w:type="dxa"/>
          </w:tcPr>
          <w:p w14:paraId="094EC6F4" w14:textId="77777777" w:rsidR="007F1ED1" w:rsidRPr="00120BC8" w:rsidRDefault="007F1ED1" w:rsidP="00654D21">
            <w:pPr>
              <w:pStyle w:val="TableParagraph"/>
              <w:adjustRightInd w:val="0"/>
              <w:snapToGrid w:val="0"/>
              <w:spacing w:line="233" w:lineRule="auto"/>
              <w:rPr>
                <w:sz w:val="20"/>
                <w:szCs w:val="20"/>
                <w:lang w:val="fr-FR"/>
              </w:rPr>
            </w:pPr>
          </w:p>
        </w:tc>
        <w:tc>
          <w:tcPr>
            <w:tcW w:w="1370" w:type="dxa"/>
          </w:tcPr>
          <w:p w14:paraId="2E3333FE" w14:textId="77777777" w:rsidR="007F1ED1" w:rsidRPr="00120BC8" w:rsidRDefault="007F1ED1" w:rsidP="00654D21">
            <w:pPr>
              <w:pStyle w:val="TableParagraph"/>
              <w:adjustRightInd w:val="0"/>
              <w:snapToGrid w:val="0"/>
              <w:spacing w:line="233" w:lineRule="auto"/>
              <w:rPr>
                <w:sz w:val="20"/>
                <w:szCs w:val="20"/>
                <w:lang w:val="fr-FR"/>
              </w:rPr>
            </w:pPr>
          </w:p>
        </w:tc>
      </w:tr>
      <w:tr w:rsidR="000D614A" w:rsidRPr="00120BC8" w14:paraId="06285E25" w14:textId="77777777" w:rsidTr="00654D21">
        <w:trPr>
          <w:cantSplit/>
        </w:trPr>
        <w:tc>
          <w:tcPr>
            <w:tcW w:w="1497" w:type="dxa"/>
          </w:tcPr>
          <w:p w14:paraId="274963B2"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Troubles du métabolisme</w:t>
            </w:r>
          </w:p>
          <w:p w14:paraId="45827B68"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et de la nutrition</w:t>
            </w:r>
          </w:p>
        </w:tc>
        <w:tc>
          <w:tcPr>
            <w:tcW w:w="1620" w:type="dxa"/>
          </w:tcPr>
          <w:p w14:paraId="39C51328" w14:textId="2EF8846E"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 xml:space="preserve">Anorexie, </w:t>
            </w:r>
            <w:r w:rsidR="00224CFF">
              <w:rPr>
                <w:sz w:val="20"/>
                <w:szCs w:val="20"/>
                <w:lang w:val="fr-FR"/>
              </w:rPr>
              <w:t>h</w:t>
            </w:r>
            <w:r w:rsidRPr="00120BC8">
              <w:rPr>
                <w:sz w:val="20"/>
                <w:szCs w:val="20"/>
                <w:lang w:val="fr-FR"/>
              </w:rPr>
              <w:t xml:space="preserve">ypomagnésémie, </w:t>
            </w:r>
            <w:r w:rsidR="00224CFF">
              <w:rPr>
                <w:sz w:val="20"/>
                <w:szCs w:val="20"/>
                <w:lang w:val="fr-FR"/>
              </w:rPr>
              <w:t>h</w:t>
            </w:r>
            <w:r w:rsidRPr="00120BC8">
              <w:rPr>
                <w:sz w:val="20"/>
                <w:szCs w:val="20"/>
                <w:lang w:val="fr-FR"/>
              </w:rPr>
              <w:t>yponatrémie</w:t>
            </w:r>
          </w:p>
        </w:tc>
        <w:tc>
          <w:tcPr>
            <w:tcW w:w="1620" w:type="dxa"/>
          </w:tcPr>
          <w:p w14:paraId="587CBF38"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Déshydratation</w:t>
            </w:r>
          </w:p>
        </w:tc>
        <w:tc>
          <w:tcPr>
            <w:tcW w:w="901" w:type="dxa"/>
          </w:tcPr>
          <w:p w14:paraId="44C0B171" w14:textId="77777777" w:rsidR="007F1ED1" w:rsidRPr="00120BC8" w:rsidRDefault="007F1ED1" w:rsidP="00654D21">
            <w:pPr>
              <w:pStyle w:val="TableParagraph"/>
              <w:adjustRightInd w:val="0"/>
              <w:snapToGrid w:val="0"/>
              <w:spacing w:line="233" w:lineRule="auto"/>
              <w:rPr>
                <w:sz w:val="20"/>
                <w:szCs w:val="20"/>
                <w:lang w:val="fr-FR"/>
              </w:rPr>
            </w:pPr>
          </w:p>
        </w:tc>
        <w:tc>
          <w:tcPr>
            <w:tcW w:w="1312" w:type="dxa"/>
          </w:tcPr>
          <w:p w14:paraId="2F641DAF" w14:textId="77777777" w:rsidR="007F1ED1" w:rsidRPr="00120BC8" w:rsidRDefault="007F1ED1" w:rsidP="00654D21">
            <w:pPr>
              <w:pStyle w:val="TableParagraph"/>
              <w:adjustRightInd w:val="0"/>
              <w:snapToGrid w:val="0"/>
              <w:spacing w:line="233" w:lineRule="auto"/>
              <w:rPr>
                <w:sz w:val="20"/>
                <w:szCs w:val="20"/>
                <w:lang w:val="fr-FR"/>
              </w:rPr>
            </w:pPr>
          </w:p>
        </w:tc>
        <w:tc>
          <w:tcPr>
            <w:tcW w:w="1388" w:type="dxa"/>
          </w:tcPr>
          <w:p w14:paraId="2ED3900D" w14:textId="77777777" w:rsidR="007F1ED1" w:rsidRPr="00120BC8" w:rsidRDefault="007F1ED1" w:rsidP="00654D21">
            <w:pPr>
              <w:pStyle w:val="TableParagraph"/>
              <w:adjustRightInd w:val="0"/>
              <w:snapToGrid w:val="0"/>
              <w:spacing w:line="233" w:lineRule="auto"/>
              <w:rPr>
                <w:sz w:val="20"/>
                <w:szCs w:val="20"/>
                <w:lang w:val="fr-FR"/>
              </w:rPr>
            </w:pPr>
          </w:p>
        </w:tc>
        <w:tc>
          <w:tcPr>
            <w:tcW w:w="1370" w:type="dxa"/>
          </w:tcPr>
          <w:p w14:paraId="054A1586" w14:textId="77777777" w:rsidR="007F1ED1" w:rsidRPr="00120BC8" w:rsidRDefault="007F1ED1" w:rsidP="00654D21">
            <w:pPr>
              <w:pStyle w:val="TableParagraph"/>
              <w:adjustRightInd w:val="0"/>
              <w:snapToGrid w:val="0"/>
              <w:spacing w:line="233" w:lineRule="auto"/>
              <w:rPr>
                <w:sz w:val="20"/>
                <w:szCs w:val="20"/>
                <w:lang w:val="fr-FR"/>
              </w:rPr>
            </w:pPr>
          </w:p>
        </w:tc>
      </w:tr>
      <w:tr w:rsidR="000D614A" w:rsidRPr="00120BC8" w14:paraId="6CDBFF86" w14:textId="77777777" w:rsidTr="00654D21">
        <w:trPr>
          <w:cantSplit/>
        </w:trPr>
        <w:tc>
          <w:tcPr>
            <w:tcW w:w="1497" w:type="dxa"/>
          </w:tcPr>
          <w:p w14:paraId="2A31463B"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Affections du système nerveux</w:t>
            </w:r>
          </w:p>
        </w:tc>
        <w:tc>
          <w:tcPr>
            <w:tcW w:w="1620" w:type="dxa"/>
          </w:tcPr>
          <w:p w14:paraId="3F60087F" w14:textId="2566F642"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Neuropathie sensorielle périphérique</w:t>
            </w:r>
            <w:r w:rsidRPr="00120BC8">
              <w:rPr>
                <w:sz w:val="20"/>
                <w:szCs w:val="20"/>
                <w:vertAlign w:val="superscript"/>
                <w:lang w:val="fr-FR"/>
              </w:rPr>
              <w:t>b</w:t>
            </w:r>
            <w:r w:rsidRPr="00120BC8">
              <w:rPr>
                <w:sz w:val="20"/>
                <w:szCs w:val="20"/>
                <w:lang w:val="fr-FR"/>
              </w:rPr>
              <w:t xml:space="preserve">, </w:t>
            </w:r>
            <w:r w:rsidR="00224CFF">
              <w:rPr>
                <w:sz w:val="20"/>
                <w:szCs w:val="20"/>
                <w:lang w:val="fr-FR"/>
              </w:rPr>
              <w:t>d</w:t>
            </w:r>
            <w:r w:rsidRPr="00120BC8">
              <w:rPr>
                <w:sz w:val="20"/>
                <w:szCs w:val="20"/>
                <w:lang w:val="fr-FR"/>
              </w:rPr>
              <w:t xml:space="preserve">ysarthrie, </w:t>
            </w:r>
            <w:r w:rsidR="00224CFF">
              <w:rPr>
                <w:sz w:val="20"/>
                <w:szCs w:val="20"/>
                <w:lang w:val="fr-FR"/>
              </w:rPr>
              <w:t>c</w:t>
            </w:r>
            <w:r w:rsidRPr="00120BC8">
              <w:rPr>
                <w:sz w:val="20"/>
                <w:szCs w:val="20"/>
                <w:lang w:val="fr-FR"/>
              </w:rPr>
              <w:t>éphalées,</w:t>
            </w:r>
          </w:p>
          <w:p w14:paraId="6232B96A" w14:textId="7A0217D7" w:rsidR="007F1ED1" w:rsidRPr="00120BC8" w:rsidRDefault="00224CFF" w:rsidP="00654D21">
            <w:pPr>
              <w:pStyle w:val="TableParagraph"/>
              <w:adjustRightInd w:val="0"/>
              <w:snapToGrid w:val="0"/>
              <w:spacing w:line="233" w:lineRule="auto"/>
              <w:rPr>
                <w:sz w:val="20"/>
                <w:szCs w:val="20"/>
                <w:lang w:val="fr-FR"/>
              </w:rPr>
            </w:pPr>
            <w:r>
              <w:rPr>
                <w:sz w:val="20"/>
                <w:szCs w:val="20"/>
                <w:lang w:val="fr-FR"/>
              </w:rPr>
              <w:t>d</w:t>
            </w:r>
            <w:r w:rsidR="007F1ED1" w:rsidRPr="00120BC8">
              <w:rPr>
                <w:sz w:val="20"/>
                <w:szCs w:val="20"/>
                <w:lang w:val="fr-FR"/>
              </w:rPr>
              <w:t>ysgueusie</w:t>
            </w:r>
          </w:p>
        </w:tc>
        <w:tc>
          <w:tcPr>
            <w:tcW w:w="1620" w:type="dxa"/>
          </w:tcPr>
          <w:p w14:paraId="4F000A13" w14:textId="3160C4D8"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 xml:space="preserve">Accident vasculaire cérébral, </w:t>
            </w:r>
            <w:r w:rsidR="00224CFF">
              <w:rPr>
                <w:sz w:val="20"/>
                <w:szCs w:val="20"/>
                <w:lang w:val="fr-FR"/>
              </w:rPr>
              <w:t>s</w:t>
            </w:r>
            <w:r w:rsidRPr="00120BC8">
              <w:rPr>
                <w:sz w:val="20"/>
                <w:szCs w:val="20"/>
                <w:lang w:val="fr-FR"/>
              </w:rPr>
              <w:t xml:space="preserve">yncope, </w:t>
            </w:r>
            <w:r w:rsidR="00224CFF">
              <w:rPr>
                <w:sz w:val="20"/>
                <w:szCs w:val="20"/>
                <w:lang w:val="fr-FR"/>
              </w:rPr>
              <w:t>s</w:t>
            </w:r>
            <w:r w:rsidRPr="00120BC8">
              <w:rPr>
                <w:sz w:val="20"/>
                <w:szCs w:val="20"/>
                <w:lang w:val="fr-FR"/>
              </w:rPr>
              <w:t>omnolence</w:t>
            </w:r>
          </w:p>
        </w:tc>
        <w:tc>
          <w:tcPr>
            <w:tcW w:w="901" w:type="dxa"/>
          </w:tcPr>
          <w:p w14:paraId="4F8F4A53" w14:textId="77777777" w:rsidR="007F1ED1" w:rsidRPr="00120BC8" w:rsidRDefault="007F1ED1" w:rsidP="00654D21">
            <w:pPr>
              <w:pStyle w:val="TableParagraph"/>
              <w:adjustRightInd w:val="0"/>
              <w:snapToGrid w:val="0"/>
              <w:spacing w:line="233" w:lineRule="auto"/>
              <w:rPr>
                <w:sz w:val="20"/>
                <w:szCs w:val="20"/>
                <w:lang w:val="fr-FR"/>
              </w:rPr>
            </w:pPr>
          </w:p>
        </w:tc>
        <w:tc>
          <w:tcPr>
            <w:tcW w:w="1312" w:type="dxa"/>
          </w:tcPr>
          <w:p w14:paraId="472340AC"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Syndrome d’encéphalopa thie postérieure réversible</w:t>
            </w:r>
            <w:r w:rsidRPr="00120BC8">
              <w:rPr>
                <w:sz w:val="20"/>
                <w:szCs w:val="20"/>
                <w:vertAlign w:val="superscript"/>
                <w:lang w:val="fr-FR"/>
              </w:rPr>
              <w:t>a,b,d</w:t>
            </w:r>
          </w:p>
        </w:tc>
        <w:tc>
          <w:tcPr>
            <w:tcW w:w="1388" w:type="dxa"/>
          </w:tcPr>
          <w:p w14:paraId="2E74DD41"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Encéphalopath ie hypertensive</w:t>
            </w:r>
            <w:r w:rsidRPr="00120BC8">
              <w:rPr>
                <w:sz w:val="20"/>
                <w:szCs w:val="20"/>
                <w:vertAlign w:val="superscript"/>
                <w:lang w:val="fr-FR"/>
              </w:rPr>
              <w:t>a</w:t>
            </w:r>
          </w:p>
        </w:tc>
        <w:tc>
          <w:tcPr>
            <w:tcW w:w="1370" w:type="dxa"/>
          </w:tcPr>
          <w:p w14:paraId="5458C720" w14:textId="77777777" w:rsidR="007F1ED1" w:rsidRPr="00120BC8" w:rsidRDefault="007F1ED1" w:rsidP="00654D21">
            <w:pPr>
              <w:pStyle w:val="TableParagraph"/>
              <w:adjustRightInd w:val="0"/>
              <w:snapToGrid w:val="0"/>
              <w:spacing w:line="233" w:lineRule="auto"/>
              <w:rPr>
                <w:sz w:val="20"/>
                <w:szCs w:val="20"/>
                <w:lang w:val="fr-FR"/>
              </w:rPr>
            </w:pPr>
          </w:p>
        </w:tc>
      </w:tr>
      <w:tr w:rsidR="000D614A" w:rsidRPr="00BF2036" w14:paraId="04F0E5DB" w14:textId="77777777" w:rsidTr="00654D21">
        <w:trPr>
          <w:cantSplit/>
        </w:trPr>
        <w:tc>
          <w:tcPr>
            <w:tcW w:w="1497" w:type="dxa"/>
          </w:tcPr>
          <w:p w14:paraId="4EE69CE8"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Affections oculaires</w:t>
            </w:r>
          </w:p>
        </w:tc>
        <w:tc>
          <w:tcPr>
            <w:tcW w:w="1620" w:type="dxa"/>
          </w:tcPr>
          <w:p w14:paraId="001E5969" w14:textId="686C53CE"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 xml:space="preserve">Affection oculaire, </w:t>
            </w:r>
            <w:r w:rsidR="00224CFF">
              <w:rPr>
                <w:sz w:val="20"/>
                <w:szCs w:val="20"/>
                <w:lang w:val="fr-FR"/>
              </w:rPr>
              <w:t>a</w:t>
            </w:r>
            <w:r w:rsidRPr="00120BC8">
              <w:rPr>
                <w:sz w:val="20"/>
                <w:szCs w:val="20"/>
                <w:lang w:val="fr-FR"/>
              </w:rPr>
              <w:t>ugmentation</w:t>
            </w:r>
          </w:p>
          <w:p w14:paraId="2758BE8E"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du larmoiement</w:t>
            </w:r>
          </w:p>
        </w:tc>
        <w:tc>
          <w:tcPr>
            <w:tcW w:w="1620" w:type="dxa"/>
          </w:tcPr>
          <w:p w14:paraId="129303EA" w14:textId="77777777" w:rsidR="007F1ED1" w:rsidRPr="00120BC8" w:rsidRDefault="007F1ED1" w:rsidP="00654D21">
            <w:pPr>
              <w:pStyle w:val="TableParagraph"/>
              <w:adjustRightInd w:val="0"/>
              <w:snapToGrid w:val="0"/>
              <w:spacing w:line="233" w:lineRule="auto"/>
              <w:rPr>
                <w:sz w:val="20"/>
                <w:szCs w:val="20"/>
                <w:lang w:val="fr-FR"/>
              </w:rPr>
            </w:pPr>
          </w:p>
        </w:tc>
        <w:tc>
          <w:tcPr>
            <w:tcW w:w="901" w:type="dxa"/>
          </w:tcPr>
          <w:p w14:paraId="2D09DDF5" w14:textId="77777777" w:rsidR="007F1ED1" w:rsidRPr="00120BC8" w:rsidRDefault="007F1ED1" w:rsidP="00654D21">
            <w:pPr>
              <w:pStyle w:val="TableParagraph"/>
              <w:adjustRightInd w:val="0"/>
              <w:snapToGrid w:val="0"/>
              <w:spacing w:line="233" w:lineRule="auto"/>
              <w:rPr>
                <w:sz w:val="20"/>
                <w:szCs w:val="20"/>
                <w:lang w:val="fr-FR"/>
              </w:rPr>
            </w:pPr>
          </w:p>
        </w:tc>
        <w:tc>
          <w:tcPr>
            <w:tcW w:w="1312" w:type="dxa"/>
          </w:tcPr>
          <w:p w14:paraId="6E94D173" w14:textId="77777777" w:rsidR="007F1ED1" w:rsidRPr="00120BC8" w:rsidRDefault="007F1ED1" w:rsidP="00654D21">
            <w:pPr>
              <w:pStyle w:val="TableParagraph"/>
              <w:adjustRightInd w:val="0"/>
              <w:snapToGrid w:val="0"/>
              <w:spacing w:line="233" w:lineRule="auto"/>
              <w:rPr>
                <w:sz w:val="20"/>
                <w:szCs w:val="20"/>
                <w:lang w:val="fr-FR"/>
              </w:rPr>
            </w:pPr>
          </w:p>
        </w:tc>
        <w:tc>
          <w:tcPr>
            <w:tcW w:w="1388" w:type="dxa"/>
          </w:tcPr>
          <w:p w14:paraId="5E3413A0" w14:textId="77777777" w:rsidR="007F1ED1" w:rsidRPr="00120BC8" w:rsidRDefault="007F1ED1" w:rsidP="00654D21">
            <w:pPr>
              <w:pStyle w:val="TableParagraph"/>
              <w:adjustRightInd w:val="0"/>
              <w:snapToGrid w:val="0"/>
              <w:spacing w:line="233" w:lineRule="auto"/>
              <w:rPr>
                <w:sz w:val="20"/>
                <w:szCs w:val="20"/>
                <w:lang w:val="fr-FR"/>
              </w:rPr>
            </w:pPr>
          </w:p>
        </w:tc>
        <w:tc>
          <w:tcPr>
            <w:tcW w:w="1370" w:type="dxa"/>
          </w:tcPr>
          <w:p w14:paraId="0EE1BBDE" w14:textId="77777777" w:rsidR="007F1ED1" w:rsidRPr="00120BC8" w:rsidRDefault="007F1ED1" w:rsidP="00654D21">
            <w:pPr>
              <w:pStyle w:val="TableParagraph"/>
              <w:adjustRightInd w:val="0"/>
              <w:snapToGrid w:val="0"/>
              <w:spacing w:line="233" w:lineRule="auto"/>
              <w:rPr>
                <w:sz w:val="20"/>
                <w:szCs w:val="20"/>
                <w:lang w:val="fr-FR"/>
              </w:rPr>
            </w:pPr>
          </w:p>
        </w:tc>
      </w:tr>
      <w:tr w:rsidR="000D614A" w:rsidRPr="000D7348" w14:paraId="528AF495" w14:textId="77777777" w:rsidTr="00654D21">
        <w:trPr>
          <w:cantSplit/>
        </w:trPr>
        <w:tc>
          <w:tcPr>
            <w:tcW w:w="1497" w:type="dxa"/>
          </w:tcPr>
          <w:p w14:paraId="28AEAA7F"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Affections</w:t>
            </w:r>
          </w:p>
          <w:p w14:paraId="4FCF9CDB"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cardiaques</w:t>
            </w:r>
          </w:p>
        </w:tc>
        <w:tc>
          <w:tcPr>
            <w:tcW w:w="1620" w:type="dxa"/>
          </w:tcPr>
          <w:p w14:paraId="6AC16BC7" w14:textId="77777777" w:rsidR="007F1ED1" w:rsidRPr="00120BC8" w:rsidRDefault="007F1ED1" w:rsidP="00654D21">
            <w:pPr>
              <w:pStyle w:val="TableParagraph"/>
              <w:adjustRightInd w:val="0"/>
              <w:snapToGrid w:val="0"/>
              <w:spacing w:line="233" w:lineRule="auto"/>
              <w:rPr>
                <w:sz w:val="20"/>
                <w:szCs w:val="20"/>
                <w:lang w:val="fr-FR"/>
              </w:rPr>
            </w:pPr>
          </w:p>
        </w:tc>
        <w:tc>
          <w:tcPr>
            <w:tcW w:w="1620" w:type="dxa"/>
          </w:tcPr>
          <w:p w14:paraId="1950928D"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Insuffisance</w:t>
            </w:r>
          </w:p>
          <w:p w14:paraId="4312FC38" w14:textId="1ED7EEAA"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cardiaque congestive</w:t>
            </w:r>
            <w:r w:rsidRPr="00120BC8">
              <w:rPr>
                <w:sz w:val="20"/>
                <w:szCs w:val="20"/>
                <w:vertAlign w:val="superscript"/>
                <w:lang w:val="fr-FR"/>
              </w:rPr>
              <w:t>b,d</w:t>
            </w:r>
            <w:r w:rsidRPr="00120BC8">
              <w:rPr>
                <w:sz w:val="20"/>
                <w:szCs w:val="20"/>
                <w:lang w:val="fr-FR"/>
              </w:rPr>
              <w:t xml:space="preserve">, </w:t>
            </w:r>
            <w:r w:rsidR="00224CFF">
              <w:rPr>
                <w:sz w:val="20"/>
                <w:szCs w:val="20"/>
                <w:lang w:val="fr-FR"/>
              </w:rPr>
              <w:t>t</w:t>
            </w:r>
            <w:r w:rsidRPr="00120BC8">
              <w:rPr>
                <w:sz w:val="20"/>
                <w:szCs w:val="20"/>
                <w:lang w:val="fr-FR"/>
              </w:rPr>
              <w:t>achycardie</w:t>
            </w:r>
          </w:p>
          <w:p w14:paraId="4A62D7BF"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supraventriculaire</w:t>
            </w:r>
          </w:p>
        </w:tc>
        <w:tc>
          <w:tcPr>
            <w:tcW w:w="901" w:type="dxa"/>
          </w:tcPr>
          <w:p w14:paraId="4CFB8756" w14:textId="77777777" w:rsidR="007F1ED1" w:rsidRPr="00120BC8" w:rsidRDefault="007F1ED1" w:rsidP="00654D21">
            <w:pPr>
              <w:pStyle w:val="TableParagraph"/>
              <w:adjustRightInd w:val="0"/>
              <w:snapToGrid w:val="0"/>
              <w:spacing w:line="233" w:lineRule="auto"/>
              <w:rPr>
                <w:sz w:val="20"/>
                <w:szCs w:val="20"/>
                <w:lang w:val="fr-FR"/>
              </w:rPr>
            </w:pPr>
          </w:p>
        </w:tc>
        <w:tc>
          <w:tcPr>
            <w:tcW w:w="1312" w:type="dxa"/>
          </w:tcPr>
          <w:p w14:paraId="6883DCFC" w14:textId="77777777" w:rsidR="007F1ED1" w:rsidRPr="00120BC8" w:rsidRDefault="007F1ED1" w:rsidP="00654D21">
            <w:pPr>
              <w:pStyle w:val="TableParagraph"/>
              <w:adjustRightInd w:val="0"/>
              <w:snapToGrid w:val="0"/>
              <w:spacing w:line="233" w:lineRule="auto"/>
              <w:rPr>
                <w:sz w:val="20"/>
                <w:szCs w:val="20"/>
                <w:lang w:val="fr-FR"/>
              </w:rPr>
            </w:pPr>
          </w:p>
        </w:tc>
        <w:tc>
          <w:tcPr>
            <w:tcW w:w="1388" w:type="dxa"/>
          </w:tcPr>
          <w:p w14:paraId="25C19B39" w14:textId="77777777" w:rsidR="007F1ED1" w:rsidRPr="00120BC8" w:rsidRDefault="007F1ED1" w:rsidP="00654D21">
            <w:pPr>
              <w:pStyle w:val="TableParagraph"/>
              <w:adjustRightInd w:val="0"/>
              <w:snapToGrid w:val="0"/>
              <w:spacing w:line="233" w:lineRule="auto"/>
              <w:rPr>
                <w:sz w:val="20"/>
                <w:szCs w:val="20"/>
                <w:lang w:val="fr-FR"/>
              </w:rPr>
            </w:pPr>
          </w:p>
        </w:tc>
        <w:tc>
          <w:tcPr>
            <w:tcW w:w="1370" w:type="dxa"/>
          </w:tcPr>
          <w:p w14:paraId="0F6C8DDC" w14:textId="77777777" w:rsidR="007F1ED1" w:rsidRPr="00120BC8" w:rsidRDefault="007F1ED1" w:rsidP="00654D21">
            <w:pPr>
              <w:pStyle w:val="TableParagraph"/>
              <w:adjustRightInd w:val="0"/>
              <w:snapToGrid w:val="0"/>
              <w:spacing w:line="233" w:lineRule="auto"/>
              <w:rPr>
                <w:sz w:val="20"/>
                <w:szCs w:val="20"/>
                <w:lang w:val="fr-FR"/>
              </w:rPr>
            </w:pPr>
          </w:p>
        </w:tc>
      </w:tr>
      <w:tr w:rsidR="000D614A" w:rsidRPr="00120BC8" w14:paraId="54EE0A24" w14:textId="77777777" w:rsidTr="00654D21">
        <w:trPr>
          <w:cantSplit/>
        </w:trPr>
        <w:tc>
          <w:tcPr>
            <w:tcW w:w="1497" w:type="dxa"/>
          </w:tcPr>
          <w:p w14:paraId="37D5D2CB"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Affections vasculaires</w:t>
            </w:r>
          </w:p>
        </w:tc>
        <w:tc>
          <w:tcPr>
            <w:tcW w:w="1620" w:type="dxa"/>
          </w:tcPr>
          <w:p w14:paraId="45C90D64" w14:textId="4CEF4BA5" w:rsidR="007F1ED1" w:rsidRPr="00F9256D" w:rsidRDefault="007F1ED1" w:rsidP="00654D21">
            <w:pPr>
              <w:pStyle w:val="TableParagraph"/>
              <w:adjustRightInd w:val="0"/>
              <w:snapToGrid w:val="0"/>
              <w:spacing w:line="233" w:lineRule="auto"/>
              <w:rPr>
                <w:sz w:val="20"/>
                <w:szCs w:val="20"/>
                <w:lang w:val="de-DE"/>
              </w:rPr>
            </w:pPr>
            <w:r w:rsidRPr="00F9256D">
              <w:rPr>
                <w:sz w:val="20"/>
                <w:szCs w:val="20"/>
                <w:lang w:val="de-DE"/>
              </w:rPr>
              <w:t>Hypertension</w:t>
            </w:r>
            <w:r w:rsidRPr="00F9256D">
              <w:rPr>
                <w:sz w:val="20"/>
                <w:szCs w:val="20"/>
                <w:vertAlign w:val="superscript"/>
                <w:lang w:val="de-DE"/>
              </w:rPr>
              <w:t>b,d</w:t>
            </w:r>
            <w:r w:rsidRPr="00F9256D">
              <w:rPr>
                <w:position w:val="-5"/>
                <w:sz w:val="20"/>
                <w:szCs w:val="20"/>
                <w:lang w:val="de-DE"/>
              </w:rPr>
              <w:t>,</w:t>
            </w:r>
          </w:p>
          <w:p w14:paraId="4D1387AD" w14:textId="5CEBA7A7" w:rsidR="007F1ED1" w:rsidRPr="00F9256D" w:rsidRDefault="00224CFF" w:rsidP="00654D21">
            <w:pPr>
              <w:pStyle w:val="TableParagraph"/>
              <w:adjustRightInd w:val="0"/>
              <w:snapToGrid w:val="0"/>
              <w:spacing w:line="233" w:lineRule="auto"/>
              <w:rPr>
                <w:sz w:val="20"/>
                <w:szCs w:val="20"/>
                <w:lang w:val="de-DE"/>
              </w:rPr>
            </w:pPr>
            <w:r w:rsidRPr="00F9256D">
              <w:rPr>
                <w:sz w:val="20"/>
                <w:szCs w:val="20"/>
                <w:lang w:val="de-DE"/>
              </w:rPr>
              <w:t>t</w:t>
            </w:r>
            <w:r w:rsidR="007F1ED1" w:rsidRPr="00F9256D">
              <w:rPr>
                <w:sz w:val="20"/>
                <w:szCs w:val="20"/>
                <w:lang w:val="de-DE"/>
              </w:rPr>
              <w:t>hromboembo lie (veineuse)</w:t>
            </w:r>
            <w:r w:rsidR="007F1ED1" w:rsidRPr="00F9256D">
              <w:rPr>
                <w:sz w:val="20"/>
                <w:szCs w:val="20"/>
                <w:vertAlign w:val="superscript"/>
                <w:lang w:val="de-DE"/>
              </w:rPr>
              <w:t>b,d</w:t>
            </w:r>
          </w:p>
        </w:tc>
        <w:tc>
          <w:tcPr>
            <w:tcW w:w="1620" w:type="dxa"/>
          </w:tcPr>
          <w:p w14:paraId="0148C33B" w14:textId="22596A89" w:rsidR="007F1ED1" w:rsidRPr="00F9256D" w:rsidRDefault="007F1ED1" w:rsidP="00654D21">
            <w:pPr>
              <w:pStyle w:val="TableParagraph"/>
              <w:adjustRightInd w:val="0"/>
              <w:snapToGrid w:val="0"/>
              <w:spacing w:line="233" w:lineRule="auto"/>
              <w:rPr>
                <w:sz w:val="20"/>
                <w:szCs w:val="20"/>
                <w:lang w:val="de-DE"/>
              </w:rPr>
            </w:pPr>
            <w:r w:rsidRPr="00F9256D">
              <w:rPr>
                <w:sz w:val="20"/>
                <w:szCs w:val="20"/>
                <w:lang w:val="de-DE"/>
              </w:rPr>
              <w:t>Thromboembolie (artérielle)</w:t>
            </w:r>
            <w:r w:rsidRPr="00F9256D">
              <w:rPr>
                <w:sz w:val="20"/>
                <w:szCs w:val="20"/>
                <w:vertAlign w:val="superscript"/>
                <w:lang w:val="de-DE"/>
              </w:rPr>
              <w:t>b,d</w:t>
            </w:r>
            <w:r w:rsidRPr="00F9256D">
              <w:rPr>
                <w:sz w:val="20"/>
                <w:szCs w:val="20"/>
                <w:lang w:val="de-DE"/>
              </w:rPr>
              <w:t xml:space="preserve">, </w:t>
            </w:r>
            <w:r w:rsidR="00224CFF" w:rsidRPr="00F9256D">
              <w:rPr>
                <w:sz w:val="20"/>
                <w:szCs w:val="20"/>
                <w:lang w:val="de-DE"/>
              </w:rPr>
              <w:t>h</w:t>
            </w:r>
            <w:r w:rsidRPr="00F9256D">
              <w:rPr>
                <w:sz w:val="20"/>
                <w:szCs w:val="20"/>
                <w:lang w:val="de-DE"/>
              </w:rPr>
              <w:t>émorragie</w:t>
            </w:r>
            <w:r w:rsidRPr="00F9256D">
              <w:rPr>
                <w:sz w:val="20"/>
                <w:szCs w:val="20"/>
                <w:vertAlign w:val="superscript"/>
                <w:lang w:val="de-DE"/>
              </w:rPr>
              <w:t>b,d</w:t>
            </w:r>
            <w:r w:rsidRPr="00F9256D">
              <w:rPr>
                <w:sz w:val="20"/>
                <w:szCs w:val="20"/>
                <w:lang w:val="de-DE"/>
              </w:rPr>
              <w:t xml:space="preserve">, </w:t>
            </w:r>
            <w:r w:rsidR="00224CFF" w:rsidRPr="00F9256D">
              <w:rPr>
                <w:sz w:val="20"/>
                <w:szCs w:val="20"/>
                <w:lang w:val="de-DE"/>
              </w:rPr>
              <w:t>t</w:t>
            </w:r>
            <w:r w:rsidRPr="00F9256D">
              <w:rPr>
                <w:sz w:val="20"/>
                <w:szCs w:val="20"/>
                <w:lang w:val="de-DE"/>
              </w:rPr>
              <w:t>hrombose</w:t>
            </w:r>
          </w:p>
          <w:p w14:paraId="5F765791"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veineuse profonde</w:t>
            </w:r>
          </w:p>
        </w:tc>
        <w:tc>
          <w:tcPr>
            <w:tcW w:w="901" w:type="dxa"/>
          </w:tcPr>
          <w:p w14:paraId="5A0A4B2A" w14:textId="77777777" w:rsidR="007F1ED1" w:rsidRPr="00120BC8" w:rsidRDefault="007F1ED1" w:rsidP="00654D21">
            <w:pPr>
              <w:pStyle w:val="TableParagraph"/>
              <w:adjustRightInd w:val="0"/>
              <w:snapToGrid w:val="0"/>
              <w:spacing w:line="233" w:lineRule="auto"/>
              <w:rPr>
                <w:sz w:val="20"/>
                <w:szCs w:val="20"/>
                <w:lang w:val="fr-FR"/>
              </w:rPr>
            </w:pPr>
          </w:p>
        </w:tc>
        <w:tc>
          <w:tcPr>
            <w:tcW w:w="1312" w:type="dxa"/>
          </w:tcPr>
          <w:p w14:paraId="57F2685E" w14:textId="77777777" w:rsidR="007F1ED1" w:rsidRPr="00120BC8" w:rsidRDefault="007F1ED1" w:rsidP="00654D21">
            <w:pPr>
              <w:pStyle w:val="TableParagraph"/>
              <w:adjustRightInd w:val="0"/>
              <w:snapToGrid w:val="0"/>
              <w:spacing w:line="233" w:lineRule="auto"/>
              <w:rPr>
                <w:sz w:val="20"/>
                <w:szCs w:val="20"/>
                <w:lang w:val="fr-FR"/>
              </w:rPr>
            </w:pPr>
          </w:p>
        </w:tc>
        <w:tc>
          <w:tcPr>
            <w:tcW w:w="1388" w:type="dxa"/>
          </w:tcPr>
          <w:p w14:paraId="099ABD63" w14:textId="77777777" w:rsidR="007F1ED1" w:rsidRPr="00120BC8" w:rsidRDefault="007F1ED1" w:rsidP="00654D21">
            <w:pPr>
              <w:pStyle w:val="TableParagraph"/>
              <w:adjustRightInd w:val="0"/>
              <w:snapToGrid w:val="0"/>
              <w:spacing w:line="233" w:lineRule="auto"/>
              <w:rPr>
                <w:sz w:val="20"/>
                <w:szCs w:val="20"/>
                <w:lang w:val="fr-FR"/>
              </w:rPr>
            </w:pPr>
          </w:p>
        </w:tc>
        <w:tc>
          <w:tcPr>
            <w:tcW w:w="1370" w:type="dxa"/>
          </w:tcPr>
          <w:p w14:paraId="10602D46" w14:textId="5B58C7BC"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Microangiopat hie thrombotique rénale</w:t>
            </w:r>
            <w:r w:rsidRPr="00120BC8">
              <w:rPr>
                <w:sz w:val="20"/>
                <w:szCs w:val="20"/>
                <w:vertAlign w:val="superscript"/>
                <w:lang w:val="fr-FR"/>
              </w:rPr>
              <w:t>a,b</w:t>
            </w:r>
            <w:r w:rsidRPr="00120BC8">
              <w:rPr>
                <w:sz w:val="20"/>
                <w:szCs w:val="20"/>
                <w:lang w:val="fr-FR"/>
              </w:rPr>
              <w:t xml:space="preserve">, </w:t>
            </w:r>
            <w:r w:rsidR="0025322F">
              <w:rPr>
                <w:sz w:val="20"/>
                <w:szCs w:val="20"/>
                <w:lang w:val="fr-FR"/>
              </w:rPr>
              <w:t>a</w:t>
            </w:r>
            <w:r w:rsidRPr="00120BC8">
              <w:rPr>
                <w:sz w:val="20"/>
                <w:szCs w:val="20"/>
                <w:lang w:val="fr-FR"/>
              </w:rPr>
              <w:t>névrismes et</w:t>
            </w:r>
          </w:p>
          <w:p w14:paraId="54B593A5"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dissections artérielles</w:t>
            </w:r>
          </w:p>
        </w:tc>
      </w:tr>
      <w:tr w:rsidR="000D614A" w:rsidRPr="000D7348" w14:paraId="3B8AAC1E" w14:textId="77777777" w:rsidTr="00654D21">
        <w:trPr>
          <w:cantSplit/>
        </w:trPr>
        <w:tc>
          <w:tcPr>
            <w:tcW w:w="1497" w:type="dxa"/>
          </w:tcPr>
          <w:p w14:paraId="4B07E1D1"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Affections respiratoires, thoraciques et médiastinales</w:t>
            </w:r>
          </w:p>
        </w:tc>
        <w:tc>
          <w:tcPr>
            <w:tcW w:w="1620" w:type="dxa"/>
          </w:tcPr>
          <w:p w14:paraId="086EE77F" w14:textId="2F6B024B"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 xml:space="preserve">Dyspnée, </w:t>
            </w:r>
            <w:r w:rsidR="00224CFF">
              <w:rPr>
                <w:sz w:val="20"/>
                <w:szCs w:val="20"/>
                <w:lang w:val="fr-FR"/>
              </w:rPr>
              <w:t>r</w:t>
            </w:r>
            <w:r w:rsidRPr="00120BC8">
              <w:rPr>
                <w:sz w:val="20"/>
                <w:szCs w:val="20"/>
                <w:lang w:val="fr-FR"/>
              </w:rPr>
              <w:t xml:space="preserve">hinite, </w:t>
            </w:r>
            <w:r w:rsidR="00D20EFA">
              <w:rPr>
                <w:sz w:val="20"/>
                <w:szCs w:val="20"/>
                <w:lang w:val="fr-FR"/>
              </w:rPr>
              <w:t>é</w:t>
            </w:r>
            <w:r w:rsidRPr="00120BC8">
              <w:rPr>
                <w:sz w:val="20"/>
                <w:szCs w:val="20"/>
                <w:lang w:val="fr-FR"/>
              </w:rPr>
              <w:t xml:space="preserve">pistaxis, </w:t>
            </w:r>
            <w:r w:rsidR="00224CFF">
              <w:rPr>
                <w:sz w:val="20"/>
                <w:szCs w:val="20"/>
                <w:lang w:val="fr-FR"/>
              </w:rPr>
              <w:t>t</w:t>
            </w:r>
            <w:r w:rsidRPr="00120BC8">
              <w:rPr>
                <w:sz w:val="20"/>
                <w:szCs w:val="20"/>
                <w:lang w:val="fr-FR"/>
              </w:rPr>
              <w:t>oux</w:t>
            </w:r>
          </w:p>
        </w:tc>
        <w:tc>
          <w:tcPr>
            <w:tcW w:w="1620" w:type="dxa"/>
          </w:tcPr>
          <w:p w14:paraId="21B39B13" w14:textId="3F826D1F"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 xml:space="preserve">Hémorragie pulmonaire/ </w:t>
            </w:r>
            <w:r w:rsidR="00224CFF">
              <w:rPr>
                <w:sz w:val="20"/>
                <w:szCs w:val="20"/>
                <w:lang w:val="fr-FR"/>
              </w:rPr>
              <w:t>h</w:t>
            </w:r>
            <w:r w:rsidRPr="00120BC8">
              <w:rPr>
                <w:sz w:val="20"/>
                <w:szCs w:val="20"/>
                <w:lang w:val="fr-FR"/>
              </w:rPr>
              <w:t>émoptysie</w:t>
            </w:r>
            <w:r w:rsidRPr="00120BC8">
              <w:rPr>
                <w:sz w:val="20"/>
                <w:szCs w:val="20"/>
                <w:vertAlign w:val="superscript"/>
                <w:lang w:val="fr-FR"/>
              </w:rPr>
              <w:t>b,d</w:t>
            </w:r>
            <w:r w:rsidRPr="00120BC8">
              <w:rPr>
                <w:sz w:val="20"/>
                <w:szCs w:val="20"/>
                <w:lang w:val="fr-FR"/>
              </w:rPr>
              <w:t xml:space="preserve">, </w:t>
            </w:r>
            <w:r w:rsidR="00224CFF">
              <w:rPr>
                <w:sz w:val="20"/>
                <w:szCs w:val="20"/>
                <w:lang w:val="fr-FR"/>
              </w:rPr>
              <w:t>e</w:t>
            </w:r>
            <w:r w:rsidRPr="00120BC8">
              <w:rPr>
                <w:sz w:val="20"/>
                <w:szCs w:val="20"/>
                <w:lang w:val="fr-FR"/>
              </w:rPr>
              <w:t>mbolie pulmonaire,</w:t>
            </w:r>
          </w:p>
          <w:p w14:paraId="0250FAA1" w14:textId="04518D2E" w:rsidR="007F1ED1" w:rsidRPr="00120BC8" w:rsidRDefault="00224CFF" w:rsidP="00654D21">
            <w:pPr>
              <w:pStyle w:val="TableParagraph"/>
              <w:adjustRightInd w:val="0"/>
              <w:snapToGrid w:val="0"/>
              <w:spacing w:line="233" w:lineRule="auto"/>
              <w:rPr>
                <w:sz w:val="20"/>
                <w:szCs w:val="20"/>
                <w:lang w:val="fr-FR"/>
              </w:rPr>
            </w:pPr>
            <w:r>
              <w:rPr>
                <w:sz w:val="20"/>
                <w:szCs w:val="20"/>
                <w:lang w:val="fr-FR"/>
              </w:rPr>
              <w:t>h</w:t>
            </w:r>
            <w:r w:rsidR="007F1ED1" w:rsidRPr="00120BC8">
              <w:rPr>
                <w:sz w:val="20"/>
                <w:szCs w:val="20"/>
                <w:lang w:val="fr-FR"/>
              </w:rPr>
              <w:t xml:space="preserve">ypoxie, </w:t>
            </w:r>
            <w:r>
              <w:rPr>
                <w:sz w:val="20"/>
                <w:szCs w:val="20"/>
                <w:lang w:val="fr-FR"/>
              </w:rPr>
              <w:t>d</w:t>
            </w:r>
            <w:r w:rsidR="007F1ED1" w:rsidRPr="00120BC8">
              <w:rPr>
                <w:sz w:val="20"/>
                <w:szCs w:val="20"/>
                <w:lang w:val="fr-FR"/>
              </w:rPr>
              <w:t>ysphonie</w:t>
            </w:r>
            <w:r w:rsidR="007F1ED1" w:rsidRPr="00120BC8">
              <w:rPr>
                <w:sz w:val="20"/>
                <w:szCs w:val="20"/>
                <w:vertAlign w:val="superscript"/>
                <w:lang w:val="fr-FR"/>
              </w:rPr>
              <w:t>a</w:t>
            </w:r>
          </w:p>
        </w:tc>
        <w:tc>
          <w:tcPr>
            <w:tcW w:w="901" w:type="dxa"/>
          </w:tcPr>
          <w:p w14:paraId="77AB93FA" w14:textId="77777777" w:rsidR="007F1ED1" w:rsidRPr="00120BC8" w:rsidRDefault="007F1ED1" w:rsidP="00654D21">
            <w:pPr>
              <w:pStyle w:val="TableParagraph"/>
              <w:adjustRightInd w:val="0"/>
              <w:snapToGrid w:val="0"/>
              <w:spacing w:line="233" w:lineRule="auto"/>
              <w:rPr>
                <w:sz w:val="20"/>
                <w:szCs w:val="20"/>
                <w:lang w:val="fr-FR"/>
              </w:rPr>
            </w:pPr>
          </w:p>
        </w:tc>
        <w:tc>
          <w:tcPr>
            <w:tcW w:w="1312" w:type="dxa"/>
          </w:tcPr>
          <w:p w14:paraId="0C58E572" w14:textId="77777777" w:rsidR="007F1ED1" w:rsidRPr="00120BC8" w:rsidRDefault="007F1ED1" w:rsidP="00654D21">
            <w:pPr>
              <w:pStyle w:val="TableParagraph"/>
              <w:adjustRightInd w:val="0"/>
              <w:snapToGrid w:val="0"/>
              <w:spacing w:line="233" w:lineRule="auto"/>
              <w:rPr>
                <w:sz w:val="20"/>
                <w:szCs w:val="20"/>
                <w:lang w:val="fr-FR"/>
              </w:rPr>
            </w:pPr>
          </w:p>
        </w:tc>
        <w:tc>
          <w:tcPr>
            <w:tcW w:w="1388" w:type="dxa"/>
          </w:tcPr>
          <w:p w14:paraId="49670820" w14:textId="77777777" w:rsidR="007F1ED1" w:rsidRPr="00120BC8" w:rsidRDefault="007F1ED1" w:rsidP="00654D21">
            <w:pPr>
              <w:pStyle w:val="TableParagraph"/>
              <w:adjustRightInd w:val="0"/>
              <w:snapToGrid w:val="0"/>
              <w:spacing w:line="233" w:lineRule="auto"/>
              <w:rPr>
                <w:sz w:val="20"/>
                <w:szCs w:val="20"/>
                <w:lang w:val="fr-FR"/>
              </w:rPr>
            </w:pPr>
          </w:p>
        </w:tc>
        <w:tc>
          <w:tcPr>
            <w:tcW w:w="1370" w:type="dxa"/>
          </w:tcPr>
          <w:p w14:paraId="10AF98EE" w14:textId="47A1DFA6"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Hypertension pulmonaire</w:t>
            </w:r>
            <w:r w:rsidRPr="00120BC8">
              <w:rPr>
                <w:sz w:val="20"/>
                <w:szCs w:val="20"/>
                <w:vertAlign w:val="superscript"/>
                <w:lang w:val="fr-FR"/>
              </w:rPr>
              <w:t>a</w:t>
            </w:r>
            <w:r w:rsidRPr="00120BC8">
              <w:rPr>
                <w:sz w:val="20"/>
                <w:szCs w:val="20"/>
                <w:lang w:val="fr-FR"/>
              </w:rPr>
              <w:t xml:space="preserve">, </w:t>
            </w:r>
            <w:r w:rsidR="0025322F">
              <w:rPr>
                <w:sz w:val="20"/>
                <w:szCs w:val="20"/>
                <w:lang w:val="fr-FR"/>
              </w:rPr>
              <w:t>p</w:t>
            </w:r>
            <w:r w:rsidRPr="00120BC8">
              <w:rPr>
                <w:sz w:val="20"/>
                <w:szCs w:val="20"/>
                <w:lang w:val="fr-FR"/>
              </w:rPr>
              <w:t>erforation de la cloison nasale</w:t>
            </w:r>
            <w:r w:rsidRPr="00120BC8">
              <w:rPr>
                <w:sz w:val="20"/>
                <w:szCs w:val="20"/>
                <w:vertAlign w:val="superscript"/>
                <w:lang w:val="fr-FR"/>
              </w:rPr>
              <w:t>a</w:t>
            </w:r>
          </w:p>
        </w:tc>
      </w:tr>
      <w:tr w:rsidR="000D614A" w:rsidRPr="00120BC8" w14:paraId="0FDE71EC" w14:textId="77777777" w:rsidTr="00654D21">
        <w:trPr>
          <w:cantSplit/>
        </w:trPr>
        <w:tc>
          <w:tcPr>
            <w:tcW w:w="1497" w:type="dxa"/>
          </w:tcPr>
          <w:p w14:paraId="51F9C394"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Affections gastro- intestinales</w:t>
            </w:r>
          </w:p>
        </w:tc>
        <w:tc>
          <w:tcPr>
            <w:tcW w:w="1620" w:type="dxa"/>
          </w:tcPr>
          <w:p w14:paraId="6A12654E" w14:textId="77824F62"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 xml:space="preserve">Rectorragie, </w:t>
            </w:r>
            <w:r w:rsidR="00224CFF">
              <w:rPr>
                <w:sz w:val="20"/>
                <w:szCs w:val="20"/>
                <w:lang w:val="fr-FR"/>
              </w:rPr>
              <w:t>s</w:t>
            </w:r>
            <w:r w:rsidRPr="00120BC8">
              <w:rPr>
                <w:sz w:val="20"/>
                <w:szCs w:val="20"/>
                <w:lang w:val="fr-FR"/>
              </w:rPr>
              <w:t xml:space="preserve">tomatite, </w:t>
            </w:r>
            <w:r w:rsidR="00224CFF">
              <w:rPr>
                <w:sz w:val="20"/>
                <w:szCs w:val="20"/>
                <w:lang w:val="fr-FR"/>
              </w:rPr>
              <w:t>c</w:t>
            </w:r>
            <w:r w:rsidRPr="00120BC8">
              <w:rPr>
                <w:sz w:val="20"/>
                <w:szCs w:val="20"/>
                <w:lang w:val="fr-FR"/>
              </w:rPr>
              <w:t xml:space="preserve">onstipation, </w:t>
            </w:r>
            <w:r w:rsidR="00224CFF">
              <w:rPr>
                <w:sz w:val="20"/>
                <w:szCs w:val="20"/>
                <w:lang w:val="fr-FR"/>
              </w:rPr>
              <w:t>d</w:t>
            </w:r>
            <w:r w:rsidRPr="00120BC8">
              <w:rPr>
                <w:sz w:val="20"/>
                <w:szCs w:val="20"/>
                <w:lang w:val="fr-FR"/>
              </w:rPr>
              <w:t xml:space="preserve">iarrhée, </w:t>
            </w:r>
            <w:r w:rsidR="00224CFF">
              <w:rPr>
                <w:sz w:val="20"/>
                <w:szCs w:val="20"/>
                <w:lang w:val="fr-FR"/>
              </w:rPr>
              <w:t>n</w:t>
            </w:r>
            <w:r w:rsidRPr="00120BC8">
              <w:rPr>
                <w:sz w:val="20"/>
                <w:szCs w:val="20"/>
                <w:lang w:val="fr-FR"/>
              </w:rPr>
              <w:t xml:space="preserve">ausées, </w:t>
            </w:r>
            <w:r w:rsidR="00224CFF">
              <w:rPr>
                <w:sz w:val="20"/>
                <w:szCs w:val="20"/>
                <w:lang w:val="fr-FR"/>
              </w:rPr>
              <w:t>v</w:t>
            </w:r>
            <w:r w:rsidRPr="00120BC8">
              <w:rPr>
                <w:sz w:val="20"/>
                <w:szCs w:val="20"/>
                <w:lang w:val="fr-FR"/>
              </w:rPr>
              <w:t>omissements,</w:t>
            </w:r>
          </w:p>
          <w:p w14:paraId="5EC54CDB" w14:textId="5D2C53D1" w:rsidR="007F1ED1" w:rsidRPr="00120BC8" w:rsidRDefault="00224CFF" w:rsidP="00654D21">
            <w:pPr>
              <w:pStyle w:val="TableParagraph"/>
              <w:adjustRightInd w:val="0"/>
              <w:snapToGrid w:val="0"/>
              <w:spacing w:line="233" w:lineRule="auto"/>
              <w:rPr>
                <w:sz w:val="20"/>
                <w:szCs w:val="20"/>
                <w:lang w:val="fr-FR"/>
              </w:rPr>
            </w:pPr>
            <w:r>
              <w:rPr>
                <w:sz w:val="20"/>
                <w:szCs w:val="20"/>
                <w:lang w:val="fr-FR"/>
              </w:rPr>
              <w:t>d</w:t>
            </w:r>
            <w:r w:rsidR="007F1ED1" w:rsidRPr="00120BC8">
              <w:rPr>
                <w:sz w:val="20"/>
                <w:szCs w:val="20"/>
                <w:lang w:val="fr-FR"/>
              </w:rPr>
              <w:t>ouleur abdominale</w:t>
            </w:r>
          </w:p>
        </w:tc>
        <w:tc>
          <w:tcPr>
            <w:tcW w:w="1620" w:type="dxa"/>
          </w:tcPr>
          <w:p w14:paraId="0BDCDA68" w14:textId="47ADDAF6" w:rsidR="007F1ED1" w:rsidRPr="00F9256D" w:rsidRDefault="007F1ED1" w:rsidP="00654D21">
            <w:pPr>
              <w:pStyle w:val="TableParagraph"/>
              <w:adjustRightInd w:val="0"/>
              <w:snapToGrid w:val="0"/>
              <w:spacing w:line="233" w:lineRule="auto"/>
              <w:rPr>
                <w:b/>
                <w:sz w:val="20"/>
                <w:szCs w:val="20"/>
                <w:lang w:val="it-IT"/>
              </w:rPr>
            </w:pPr>
            <w:r w:rsidRPr="00F9256D">
              <w:rPr>
                <w:sz w:val="20"/>
                <w:szCs w:val="20"/>
                <w:lang w:val="it-IT"/>
              </w:rPr>
              <w:t>Perforation gastro- intestinale</w:t>
            </w:r>
            <w:r w:rsidRPr="00F9256D">
              <w:rPr>
                <w:sz w:val="20"/>
                <w:szCs w:val="20"/>
                <w:vertAlign w:val="superscript"/>
                <w:lang w:val="it-IT"/>
              </w:rPr>
              <w:t>b,d</w:t>
            </w:r>
            <w:r w:rsidRPr="00F9256D">
              <w:rPr>
                <w:sz w:val="20"/>
                <w:szCs w:val="20"/>
                <w:lang w:val="it-IT"/>
              </w:rPr>
              <w:t xml:space="preserve">, </w:t>
            </w:r>
            <w:r w:rsidR="00224CFF" w:rsidRPr="00F9256D">
              <w:rPr>
                <w:sz w:val="20"/>
                <w:szCs w:val="20"/>
                <w:lang w:val="it-IT"/>
              </w:rPr>
              <w:t>p</w:t>
            </w:r>
            <w:r w:rsidRPr="00F9256D">
              <w:rPr>
                <w:sz w:val="20"/>
                <w:szCs w:val="20"/>
                <w:lang w:val="it-IT"/>
              </w:rPr>
              <w:t xml:space="preserve">erforation intestinale, </w:t>
            </w:r>
            <w:r w:rsidR="00224CFF" w:rsidRPr="00F9256D">
              <w:rPr>
                <w:sz w:val="20"/>
                <w:szCs w:val="20"/>
                <w:lang w:val="it-IT"/>
              </w:rPr>
              <w:t>i</w:t>
            </w:r>
            <w:r w:rsidRPr="00F9256D">
              <w:rPr>
                <w:sz w:val="20"/>
                <w:szCs w:val="20"/>
                <w:lang w:val="it-IT"/>
              </w:rPr>
              <w:t xml:space="preserve">léus, </w:t>
            </w:r>
            <w:r w:rsidR="00224CFF" w:rsidRPr="00F9256D">
              <w:rPr>
                <w:sz w:val="20"/>
                <w:szCs w:val="20"/>
                <w:lang w:val="it-IT"/>
              </w:rPr>
              <w:t>o</w:t>
            </w:r>
            <w:r w:rsidRPr="00F9256D">
              <w:rPr>
                <w:sz w:val="20"/>
                <w:szCs w:val="20"/>
                <w:lang w:val="it-IT"/>
              </w:rPr>
              <w:t>cclusion intestinale,</w:t>
            </w:r>
          </w:p>
          <w:p w14:paraId="32B37B55" w14:textId="24C347CC" w:rsidR="007F1ED1" w:rsidRPr="00120BC8" w:rsidRDefault="00224CFF" w:rsidP="00654D21">
            <w:pPr>
              <w:pStyle w:val="TableParagraph"/>
              <w:adjustRightInd w:val="0"/>
              <w:snapToGrid w:val="0"/>
              <w:spacing w:line="233" w:lineRule="auto"/>
              <w:rPr>
                <w:sz w:val="20"/>
                <w:szCs w:val="20"/>
                <w:lang w:val="fr-FR"/>
              </w:rPr>
            </w:pPr>
            <w:r>
              <w:rPr>
                <w:sz w:val="20"/>
                <w:szCs w:val="20"/>
                <w:lang w:val="fr-FR"/>
              </w:rPr>
              <w:t>f</w:t>
            </w:r>
            <w:r w:rsidR="007F1ED1" w:rsidRPr="00120BC8">
              <w:rPr>
                <w:sz w:val="20"/>
                <w:szCs w:val="20"/>
                <w:lang w:val="fr-FR"/>
              </w:rPr>
              <w:t>istules recto- vaginales</w:t>
            </w:r>
            <w:r w:rsidR="007F1ED1" w:rsidRPr="00120BC8">
              <w:rPr>
                <w:sz w:val="20"/>
                <w:szCs w:val="20"/>
                <w:vertAlign w:val="superscript"/>
                <w:lang w:val="fr-FR"/>
              </w:rPr>
              <w:t>d,e</w:t>
            </w:r>
            <w:r w:rsidR="007F1ED1" w:rsidRPr="00120BC8">
              <w:rPr>
                <w:sz w:val="20"/>
                <w:szCs w:val="20"/>
                <w:lang w:val="fr-FR"/>
              </w:rPr>
              <w:t xml:space="preserve">, </w:t>
            </w:r>
            <w:r>
              <w:rPr>
                <w:sz w:val="20"/>
                <w:szCs w:val="20"/>
                <w:lang w:val="fr-FR"/>
              </w:rPr>
              <w:t>t</w:t>
            </w:r>
            <w:r w:rsidR="007F1ED1" w:rsidRPr="00120BC8">
              <w:rPr>
                <w:sz w:val="20"/>
                <w:szCs w:val="20"/>
                <w:lang w:val="fr-FR"/>
              </w:rPr>
              <w:t>roubles gastro-</w:t>
            </w:r>
          </w:p>
          <w:p w14:paraId="2A8F4485" w14:textId="72A63273"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 xml:space="preserve">intestinaux, </w:t>
            </w:r>
            <w:r w:rsidR="00224CFF">
              <w:rPr>
                <w:sz w:val="20"/>
                <w:szCs w:val="20"/>
                <w:lang w:val="fr-FR"/>
              </w:rPr>
              <w:t>p</w:t>
            </w:r>
            <w:r w:rsidRPr="00120BC8">
              <w:rPr>
                <w:sz w:val="20"/>
                <w:szCs w:val="20"/>
                <w:lang w:val="fr-FR"/>
              </w:rPr>
              <w:t>roctalgie</w:t>
            </w:r>
          </w:p>
        </w:tc>
        <w:tc>
          <w:tcPr>
            <w:tcW w:w="901" w:type="dxa"/>
          </w:tcPr>
          <w:p w14:paraId="55447795" w14:textId="77777777" w:rsidR="007F1ED1" w:rsidRPr="00120BC8" w:rsidRDefault="007F1ED1" w:rsidP="00654D21">
            <w:pPr>
              <w:pStyle w:val="TableParagraph"/>
              <w:adjustRightInd w:val="0"/>
              <w:snapToGrid w:val="0"/>
              <w:spacing w:line="233" w:lineRule="auto"/>
              <w:rPr>
                <w:sz w:val="20"/>
                <w:szCs w:val="20"/>
                <w:lang w:val="fr-FR"/>
              </w:rPr>
            </w:pPr>
          </w:p>
        </w:tc>
        <w:tc>
          <w:tcPr>
            <w:tcW w:w="1312" w:type="dxa"/>
          </w:tcPr>
          <w:p w14:paraId="3EAC8418" w14:textId="77777777" w:rsidR="007F1ED1" w:rsidRPr="00120BC8" w:rsidRDefault="007F1ED1" w:rsidP="00654D21">
            <w:pPr>
              <w:pStyle w:val="TableParagraph"/>
              <w:adjustRightInd w:val="0"/>
              <w:snapToGrid w:val="0"/>
              <w:spacing w:line="233" w:lineRule="auto"/>
              <w:rPr>
                <w:sz w:val="20"/>
                <w:szCs w:val="20"/>
                <w:lang w:val="fr-FR"/>
              </w:rPr>
            </w:pPr>
          </w:p>
        </w:tc>
        <w:tc>
          <w:tcPr>
            <w:tcW w:w="1388" w:type="dxa"/>
          </w:tcPr>
          <w:p w14:paraId="7B5454F2" w14:textId="77777777" w:rsidR="007F1ED1" w:rsidRPr="00120BC8" w:rsidRDefault="007F1ED1" w:rsidP="00654D21">
            <w:pPr>
              <w:pStyle w:val="TableParagraph"/>
              <w:adjustRightInd w:val="0"/>
              <w:snapToGrid w:val="0"/>
              <w:spacing w:line="233" w:lineRule="auto"/>
              <w:rPr>
                <w:sz w:val="20"/>
                <w:szCs w:val="20"/>
                <w:lang w:val="fr-FR"/>
              </w:rPr>
            </w:pPr>
          </w:p>
        </w:tc>
        <w:tc>
          <w:tcPr>
            <w:tcW w:w="1370" w:type="dxa"/>
          </w:tcPr>
          <w:p w14:paraId="6D4BCC03" w14:textId="77777777" w:rsidR="007F1ED1" w:rsidRPr="00120BC8" w:rsidRDefault="007F1ED1" w:rsidP="00654D21">
            <w:pPr>
              <w:pStyle w:val="TableParagraph"/>
              <w:adjustRightInd w:val="0"/>
              <w:snapToGrid w:val="0"/>
              <w:spacing w:line="233" w:lineRule="auto"/>
              <w:rPr>
                <w:sz w:val="20"/>
                <w:szCs w:val="20"/>
                <w:lang w:val="fr-FR"/>
              </w:rPr>
            </w:pPr>
            <w:r w:rsidRPr="00120BC8">
              <w:rPr>
                <w:sz w:val="20"/>
                <w:szCs w:val="20"/>
                <w:lang w:val="fr-FR"/>
              </w:rPr>
              <w:t>Ulcère gastro- intestinal</w:t>
            </w:r>
            <w:r w:rsidRPr="00120BC8">
              <w:rPr>
                <w:sz w:val="20"/>
                <w:szCs w:val="20"/>
                <w:vertAlign w:val="superscript"/>
                <w:lang w:val="fr-FR"/>
              </w:rPr>
              <w:t>a</w:t>
            </w:r>
          </w:p>
        </w:tc>
      </w:tr>
      <w:tr w:rsidR="000D614A" w:rsidRPr="00BF2036" w14:paraId="16239FBD" w14:textId="77777777" w:rsidTr="00654D21">
        <w:trPr>
          <w:cantSplit/>
        </w:trPr>
        <w:tc>
          <w:tcPr>
            <w:tcW w:w="1497" w:type="dxa"/>
          </w:tcPr>
          <w:p w14:paraId="63C534B0"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Affections hépatobiliaires</w:t>
            </w:r>
          </w:p>
        </w:tc>
        <w:tc>
          <w:tcPr>
            <w:tcW w:w="1620" w:type="dxa"/>
          </w:tcPr>
          <w:p w14:paraId="1F83287E" w14:textId="77777777" w:rsidR="007F1ED1" w:rsidRPr="00120BC8" w:rsidRDefault="007F1ED1" w:rsidP="00654D21">
            <w:pPr>
              <w:pStyle w:val="TableParagraph"/>
              <w:adjustRightInd w:val="0"/>
              <w:snapToGrid w:val="0"/>
              <w:rPr>
                <w:sz w:val="20"/>
                <w:szCs w:val="20"/>
                <w:lang w:val="fr-FR"/>
              </w:rPr>
            </w:pPr>
          </w:p>
        </w:tc>
        <w:tc>
          <w:tcPr>
            <w:tcW w:w="1620" w:type="dxa"/>
          </w:tcPr>
          <w:p w14:paraId="05B53A7A" w14:textId="77777777" w:rsidR="007F1ED1" w:rsidRPr="00120BC8" w:rsidRDefault="007F1ED1" w:rsidP="00654D21">
            <w:pPr>
              <w:pStyle w:val="TableParagraph"/>
              <w:adjustRightInd w:val="0"/>
              <w:snapToGrid w:val="0"/>
              <w:rPr>
                <w:sz w:val="20"/>
                <w:szCs w:val="20"/>
                <w:lang w:val="fr-FR"/>
              </w:rPr>
            </w:pPr>
          </w:p>
        </w:tc>
        <w:tc>
          <w:tcPr>
            <w:tcW w:w="901" w:type="dxa"/>
          </w:tcPr>
          <w:p w14:paraId="1490FF7D" w14:textId="77777777" w:rsidR="007F1ED1" w:rsidRPr="00120BC8" w:rsidRDefault="007F1ED1" w:rsidP="00654D21">
            <w:pPr>
              <w:pStyle w:val="TableParagraph"/>
              <w:adjustRightInd w:val="0"/>
              <w:snapToGrid w:val="0"/>
              <w:rPr>
                <w:sz w:val="20"/>
                <w:szCs w:val="20"/>
                <w:lang w:val="fr-FR"/>
              </w:rPr>
            </w:pPr>
          </w:p>
        </w:tc>
        <w:tc>
          <w:tcPr>
            <w:tcW w:w="1312" w:type="dxa"/>
          </w:tcPr>
          <w:p w14:paraId="19A6157C" w14:textId="77777777" w:rsidR="007F1ED1" w:rsidRPr="00120BC8" w:rsidRDefault="007F1ED1" w:rsidP="00654D21">
            <w:pPr>
              <w:pStyle w:val="TableParagraph"/>
              <w:adjustRightInd w:val="0"/>
              <w:snapToGrid w:val="0"/>
              <w:rPr>
                <w:sz w:val="20"/>
                <w:szCs w:val="20"/>
                <w:lang w:val="fr-FR"/>
              </w:rPr>
            </w:pPr>
          </w:p>
        </w:tc>
        <w:tc>
          <w:tcPr>
            <w:tcW w:w="1388" w:type="dxa"/>
          </w:tcPr>
          <w:p w14:paraId="1392FCEF" w14:textId="77777777" w:rsidR="007F1ED1" w:rsidRPr="00120BC8" w:rsidRDefault="007F1ED1" w:rsidP="00654D21">
            <w:pPr>
              <w:pStyle w:val="TableParagraph"/>
              <w:adjustRightInd w:val="0"/>
              <w:snapToGrid w:val="0"/>
              <w:rPr>
                <w:sz w:val="20"/>
                <w:szCs w:val="20"/>
                <w:lang w:val="fr-FR"/>
              </w:rPr>
            </w:pPr>
          </w:p>
        </w:tc>
        <w:tc>
          <w:tcPr>
            <w:tcW w:w="1370" w:type="dxa"/>
          </w:tcPr>
          <w:p w14:paraId="08FE09DC"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Perforation de la vésicule</w:t>
            </w:r>
          </w:p>
          <w:p w14:paraId="14CCF6C5"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biliaire</w:t>
            </w:r>
            <w:r w:rsidRPr="00120BC8">
              <w:rPr>
                <w:sz w:val="20"/>
                <w:szCs w:val="20"/>
                <w:vertAlign w:val="superscript"/>
                <w:lang w:val="fr-FR"/>
              </w:rPr>
              <w:t>a,b</w:t>
            </w:r>
          </w:p>
        </w:tc>
      </w:tr>
      <w:tr w:rsidR="000D614A" w:rsidRPr="000D7348" w14:paraId="15E054A1" w14:textId="77777777" w:rsidTr="00654D21">
        <w:trPr>
          <w:cantSplit/>
        </w:trPr>
        <w:tc>
          <w:tcPr>
            <w:tcW w:w="1497" w:type="dxa"/>
          </w:tcPr>
          <w:p w14:paraId="6FB3C3AA"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lastRenderedPageBreak/>
              <w:t>Affections de la peau et du tissu sous- cutané</w:t>
            </w:r>
          </w:p>
        </w:tc>
        <w:tc>
          <w:tcPr>
            <w:tcW w:w="1620" w:type="dxa"/>
          </w:tcPr>
          <w:p w14:paraId="5E663ED3" w14:textId="56C619FF" w:rsidR="007F1ED1" w:rsidRPr="00120BC8" w:rsidRDefault="007F1ED1" w:rsidP="00654D21">
            <w:pPr>
              <w:pStyle w:val="TableParagraph"/>
              <w:adjustRightInd w:val="0"/>
              <w:snapToGrid w:val="0"/>
              <w:rPr>
                <w:sz w:val="20"/>
                <w:szCs w:val="20"/>
                <w:lang w:val="fr-FR"/>
              </w:rPr>
            </w:pPr>
            <w:r w:rsidRPr="00120BC8">
              <w:rPr>
                <w:sz w:val="20"/>
                <w:szCs w:val="20"/>
                <w:lang w:val="fr-FR"/>
              </w:rPr>
              <w:t>Complications de la cicatrisation des plaies</w:t>
            </w:r>
            <w:r w:rsidRPr="00120BC8">
              <w:rPr>
                <w:sz w:val="20"/>
                <w:szCs w:val="20"/>
                <w:vertAlign w:val="superscript"/>
                <w:lang w:val="fr-FR"/>
              </w:rPr>
              <w:t>b,d</w:t>
            </w:r>
            <w:r w:rsidRPr="00F9256D">
              <w:rPr>
                <w:sz w:val="20"/>
                <w:szCs w:val="20"/>
                <w:lang w:val="fr-FR"/>
              </w:rPr>
              <w:t>,</w:t>
            </w:r>
            <w:r w:rsidRPr="00120BC8">
              <w:rPr>
                <w:sz w:val="20"/>
                <w:szCs w:val="20"/>
                <w:lang w:val="fr-FR"/>
              </w:rPr>
              <w:t xml:space="preserve"> </w:t>
            </w:r>
            <w:r w:rsidR="0025322F">
              <w:rPr>
                <w:sz w:val="20"/>
                <w:szCs w:val="20"/>
                <w:lang w:val="fr-FR"/>
              </w:rPr>
              <w:t>d</w:t>
            </w:r>
            <w:r w:rsidRPr="00120BC8">
              <w:rPr>
                <w:sz w:val="20"/>
                <w:szCs w:val="20"/>
                <w:lang w:val="fr-FR"/>
              </w:rPr>
              <w:t xml:space="preserve">ermatite exfoliante, </w:t>
            </w:r>
            <w:r w:rsidR="0025322F">
              <w:rPr>
                <w:sz w:val="20"/>
                <w:szCs w:val="20"/>
                <w:lang w:val="fr-FR"/>
              </w:rPr>
              <w:t>s</w:t>
            </w:r>
            <w:r w:rsidRPr="00120BC8">
              <w:rPr>
                <w:sz w:val="20"/>
                <w:szCs w:val="20"/>
                <w:lang w:val="fr-FR"/>
              </w:rPr>
              <w:t xml:space="preserve">écheresse cutanée, </w:t>
            </w:r>
            <w:r w:rsidR="0025322F">
              <w:rPr>
                <w:sz w:val="20"/>
                <w:szCs w:val="20"/>
                <w:lang w:val="fr-FR"/>
              </w:rPr>
              <w:t>d</w:t>
            </w:r>
            <w:r w:rsidRPr="00120BC8">
              <w:rPr>
                <w:sz w:val="20"/>
                <w:szCs w:val="20"/>
                <w:lang w:val="fr-FR"/>
              </w:rPr>
              <w:t>écoloration</w:t>
            </w:r>
          </w:p>
          <w:p w14:paraId="13851E6A"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de la peau</w:t>
            </w:r>
          </w:p>
        </w:tc>
        <w:tc>
          <w:tcPr>
            <w:tcW w:w="1620" w:type="dxa"/>
          </w:tcPr>
          <w:p w14:paraId="74EC8259" w14:textId="01B46508" w:rsidR="007F1ED1" w:rsidRPr="00120BC8" w:rsidRDefault="007F1ED1" w:rsidP="00654D21">
            <w:pPr>
              <w:pStyle w:val="TableParagraph"/>
              <w:adjustRightInd w:val="0"/>
              <w:snapToGrid w:val="0"/>
              <w:rPr>
                <w:sz w:val="20"/>
                <w:szCs w:val="20"/>
                <w:lang w:val="fr-FR"/>
              </w:rPr>
            </w:pPr>
            <w:r w:rsidRPr="00120BC8">
              <w:rPr>
                <w:sz w:val="20"/>
                <w:szCs w:val="20"/>
                <w:lang w:val="fr-FR"/>
              </w:rPr>
              <w:t>Syndrome d’érythrodyses thésie palmo- plantaire</w:t>
            </w:r>
          </w:p>
        </w:tc>
        <w:tc>
          <w:tcPr>
            <w:tcW w:w="901" w:type="dxa"/>
          </w:tcPr>
          <w:p w14:paraId="3051993A" w14:textId="77777777" w:rsidR="007F1ED1" w:rsidRPr="00120BC8" w:rsidRDefault="007F1ED1" w:rsidP="00654D21">
            <w:pPr>
              <w:pStyle w:val="TableParagraph"/>
              <w:adjustRightInd w:val="0"/>
              <w:snapToGrid w:val="0"/>
              <w:rPr>
                <w:sz w:val="20"/>
                <w:szCs w:val="20"/>
                <w:lang w:val="fr-FR"/>
              </w:rPr>
            </w:pPr>
          </w:p>
        </w:tc>
        <w:tc>
          <w:tcPr>
            <w:tcW w:w="1312" w:type="dxa"/>
          </w:tcPr>
          <w:p w14:paraId="45701A84" w14:textId="77777777" w:rsidR="007F1ED1" w:rsidRPr="00120BC8" w:rsidRDefault="007F1ED1" w:rsidP="00654D21">
            <w:pPr>
              <w:pStyle w:val="TableParagraph"/>
              <w:adjustRightInd w:val="0"/>
              <w:snapToGrid w:val="0"/>
              <w:rPr>
                <w:sz w:val="20"/>
                <w:szCs w:val="20"/>
                <w:lang w:val="fr-FR"/>
              </w:rPr>
            </w:pPr>
          </w:p>
        </w:tc>
        <w:tc>
          <w:tcPr>
            <w:tcW w:w="1388" w:type="dxa"/>
          </w:tcPr>
          <w:p w14:paraId="78B608A0" w14:textId="77777777" w:rsidR="007F1ED1" w:rsidRPr="00120BC8" w:rsidRDefault="007F1ED1" w:rsidP="00654D21">
            <w:pPr>
              <w:pStyle w:val="TableParagraph"/>
              <w:adjustRightInd w:val="0"/>
              <w:snapToGrid w:val="0"/>
              <w:rPr>
                <w:sz w:val="20"/>
                <w:szCs w:val="20"/>
                <w:lang w:val="fr-FR"/>
              </w:rPr>
            </w:pPr>
          </w:p>
        </w:tc>
        <w:tc>
          <w:tcPr>
            <w:tcW w:w="1370" w:type="dxa"/>
          </w:tcPr>
          <w:p w14:paraId="7A75D7AF" w14:textId="77777777" w:rsidR="007F1ED1" w:rsidRPr="00120BC8" w:rsidRDefault="007F1ED1" w:rsidP="00654D21">
            <w:pPr>
              <w:pStyle w:val="TableParagraph"/>
              <w:adjustRightInd w:val="0"/>
              <w:snapToGrid w:val="0"/>
              <w:rPr>
                <w:sz w:val="20"/>
                <w:szCs w:val="20"/>
                <w:lang w:val="fr-FR"/>
              </w:rPr>
            </w:pPr>
          </w:p>
        </w:tc>
      </w:tr>
      <w:tr w:rsidR="000D614A" w:rsidRPr="00120BC8" w14:paraId="68702EB0" w14:textId="77777777" w:rsidTr="00654D21">
        <w:trPr>
          <w:cantSplit/>
        </w:trPr>
        <w:tc>
          <w:tcPr>
            <w:tcW w:w="1497" w:type="dxa"/>
          </w:tcPr>
          <w:p w14:paraId="5A1B684C"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Affections musculo- squelettiques et systémiques</w:t>
            </w:r>
          </w:p>
        </w:tc>
        <w:tc>
          <w:tcPr>
            <w:tcW w:w="1620" w:type="dxa"/>
          </w:tcPr>
          <w:p w14:paraId="687D1435" w14:textId="08E029AD" w:rsidR="007F1ED1" w:rsidRPr="00120BC8" w:rsidRDefault="007F1ED1" w:rsidP="00654D21">
            <w:pPr>
              <w:pStyle w:val="TableParagraph"/>
              <w:adjustRightInd w:val="0"/>
              <w:snapToGrid w:val="0"/>
              <w:rPr>
                <w:sz w:val="20"/>
                <w:szCs w:val="20"/>
                <w:lang w:val="fr-FR"/>
              </w:rPr>
            </w:pPr>
            <w:r w:rsidRPr="00120BC8">
              <w:rPr>
                <w:sz w:val="20"/>
                <w:szCs w:val="20"/>
                <w:lang w:val="fr-FR"/>
              </w:rPr>
              <w:t xml:space="preserve">Arthralgie, </w:t>
            </w:r>
            <w:r w:rsidR="0025322F">
              <w:rPr>
                <w:sz w:val="20"/>
                <w:szCs w:val="20"/>
                <w:lang w:val="fr-FR"/>
              </w:rPr>
              <w:t>m</w:t>
            </w:r>
            <w:r w:rsidRPr="00120BC8">
              <w:rPr>
                <w:sz w:val="20"/>
                <w:szCs w:val="20"/>
                <w:lang w:val="fr-FR"/>
              </w:rPr>
              <w:t>yalgie</w:t>
            </w:r>
          </w:p>
        </w:tc>
        <w:tc>
          <w:tcPr>
            <w:tcW w:w="1620" w:type="dxa"/>
          </w:tcPr>
          <w:p w14:paraId="217D24F9" w14:textId="40EA358A" w:rsidR="007F1ED1" w:rsidRPr="00120BC8" w:rsidRDefault="007F1ED1" w:rsidP="00654D21">
            <w:pPr>
              <w:pStyle w:val="TableParagraph"/>
              <w:adjustRightInd w:val="0"/>
              <w:snapToGrid w:val="0"/>
              <w:rPr>
                <w:sz w:val="20"/>
                <w:szCs w:val="20"/>
                <w:lang w:val="fr-FR"/>
              </w:rPr>
            </w:pPr>
            <w:r w:rsidRPr="00120BC8">
              <w:rPr>
                <w:sz w:val="20"/>
                <w:szCs w:val="20"/>
                <w:lang w:val="fr-FR"/>
              </w:rPr>
              <w:t>Fistule</w:t>
            </w:r>
            <w:r w:rsidRPr="00120BC8">
              <w:rPr>
                <w:sz w:val="20"/>
                <w:szCs w:val="20"/>
                <w:vertAlign w:val="superscript"/>
                <w:lang w:val="fr-FR"/>
              </w:rPr>
              <w:t>b,d</w:t>
            </w:r>
            <w:r w:rsidRPr="00120BC8">
              <w:rPr>
                <w:sz w:val="20"/>
                <w:szCs w:val="20"/>
                <w:lang w:val="fr-FR"/>
              </w:rPr>
              <w:t xml:space="preserve">, </w:t>
            </w:r>
            <w:r w:rsidR="0025322F">
              <w:rPr>
                <w:sz w:val="20"/>
                <w:szCs w:val="20"/>
                <w:lang w:val="fr-FR"/>
              </w:rPr>
              <w:t>f</w:t>
            </w:r>
            <w:r w:rsidRPr="00120BC8">
              <w:rPr>
                <w:sz w:val="20"/>
                <w:szCs w:val="20"/>
                <w:lang w:val="fr-FR"/>
              </w:rPr>
              <w:t xml:space="preserve">aiblesse musculaire, </w:t>
            </w:r>
            <w:r w:rsidR="0025322F">
              <w:rPr>
                <w:sz w:val="20"/>
                <w:szCs w:val="20"/>
                <w:lang w:val="fr-FR"/>
              </w:rPr>
              <w:t>d</w:t>
            </w:r>
            <w:r w:rsidRPr="00120BC8">
              <w:rPr>
                <w:sz w:val="20"/>
                <w:szCs w:val="20"/>
                <w:lang w:val="fr-FR"/>
              </w:rPr>
              <w:t>orsalgie</w:t>
            </w:r>
          </w:p>
        </w:tc>
        <w:tc>
          <w:tcPr>
            <w:tcW w:w="901" w:type="dxa"/>
          </w:tcPr>
          <w:p w14:paraId="590037A0" w14:textId="77777777" w:rsidR="007F1ED1" w:rsidRPr="00120BC8" w:rsidRDefault="007F1ED1" w:rsidP="00654D21">
            <w:pPr>
              <w:pStyle w:val="TableParagraph"/>
              <w:adjustRightInd w:val="0"/>
              <w:snapToGrid w:val="0"/>
              <w:rPr>
                <w:sz w:val="20"/>
                <w:szCs w:val="20"/>
                <w:lang w:val="fr-FR"/>
              </w:rPr>
            </w:pPr>
          </w:p>
        </w:tc>
        <w:tc>
          <w:tcPr>
            <w:tcW w:w="1312" w:type="dxa"/>
          </w:tcPr>
          <w:p w14:paraId="7862E6CA" w14:textId="77777777" w:rsidR="007F1ED1" w:rsidRPr="00120BC8" w:rsidRDefault="007F1ED1" w:rsidP="00654D21">
            <w:pPr>
              <w:pStyle w:val="TableParagraph"/>
              <w:adjustRightInd w:val="0"/>
              <w:snapToGrid w:val="0"/>
              <w:rPr>
                <w:sz w:val="20"/>
                <w:szCs w:val="20"/>
                <w:lang w:val="fr-FR"/>
              </w:rPr>
            </w:pPr>
          </w:p>
        </w:tc>
        <w:tc>
          <w:tcPr>
            <w:tcW w:w="1388" w:type="dxa"/>
          </w:tcPr>
          <w:p w14:paraId="053CC248" w14:textId="77777777" w:rsidR="007F1ED1" w:rsidRPr="00120BC8" w:rsidRDefault="007F1ED1" w:rsidP="00654D21">
            <w:pPr>
              <w:pStyle w:val="TableParagraph"/>
              <w:adjustRightInd w:val="0"/>
              <w:snapToGrid w:val="0"/>
              <w:rPr>
                <w:sz w:val="20"/>
                <w:szCs w:val="20"/>
                <w:lang w:val="fr-FR"/>
              </w:rPr>
            </w:pPr>
          </w:p>
        </w:tc>
        <w:tc>
          <w:tcPr>
            <w:tcW w:w="1370" w:type="dxa"/>
          </w:tcPr>
          <w:p w14:paraId="06F5F10B" w14:textId="5DD619F6" w:rsidR="007F1ED1" w:rsidRPr="00120BC8" w:rsidRDefault="007F1ED1" w:rsidP="00654D21">
            <w:pPr>
              <w:pStyle w:val="TableParagraph"/>
              <w:adjustRightInd w:val="0"/>
              <w:snapToGrid w:val="0"/>
              <w:rPr>
                <w:sz w:val="20"/>
                <w:szCs w:val="20"/>
                <w:lang w:val="fr-FR"/>
              </w:rPr>
            </w:pPr>
            <w:r w:rsidRPr="00120BC8">
              <w:rPr>
                <w:sz w:val="20"/>
                <w:szCs w:val="20"/>
                <w:lang w:val="fr-FR"/>
              </w:rPr>
              <w:t>Ostéonécrose de la mâchoire</w:t>
            </w:r>
            <w:r w:rsidRPr="00120BC8">
              <w:rPr>
                <w:sz w:val="20"/>
                <w:szCs w:val="20"/>
                <w:vertAlign w:val="superscript"/>
                <w:lang w:val="fr-FR"/>
              </w:rPr>
              <w:t>a,b</w:t>
            </w:r>
            <w:r w:rsidR="0025322F">
              <w:rPr>
                <w:sz w:val="20"/>
                <w:szCs w:val="20"/>
                <w:lang w:val="fr-FR"/>
              </w:rPr>
              <w:t>, o</w:t>
            </w:r>
            <w:r w:rsidRPr="00120BC8">
              <w:rPr>
                <w:sz w:val="20"/>
                <w:szCs w:val="20"/>
                <w:lang w:val="fr-FR"/>
              </w:rPr>
              <w:t>stéonécrose</w:t>
            </w:r>
          </w:p>
          <w:p w14:paraId="242CDEE8"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non- mandibulaire</w:t>
            </w:r>
            <w:r w:rsidRPr="00120BC8">
              <w:rPr>
                <w:sz w:val="20"/>
                <w:szCs w:val="20"/>
                <w:vertAlign w:val="superscript"/>
                <w:lang w:val="fr-FR"/>
              </w:rPr>
              <w:t>a,f</w:t>
            </w:r>
          </w:p>
        </w:tc>
      </w:tr>
      <w:tr w:rsidR="000D614A" w:rsidRPr="00120BC8" w14:paraId="40EFD8DA" w14:textId="77777777" w:rsidTr="00654D21">
        <w:trPr>
          <w:cantSplit/>
        </w:trPr>
        <w:tc>
          <w:tcPr>
            <w:tcW w:w="1497" w:type="dxa"/>
          </w:tcPr>
          <w:p w14:paraId="48D5ED07"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Affections du rein et des</w:t>
            </w:r>
          </w:p>
          <w:p w14:paraId="51F2FC02"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voies urinaires</w:t>
            </w:r>
          </w:p>
        </w:tc>
        <w:tc>
          <w:tcPr>
            <w:tcW w:w="1620" w:type="dxa"/>
          </w:tcPr>
          <w:p w14:paraId="71BACA17"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 xml:space="preserve">Protéinurie </w:t>
            </w:r>
            <w:r w:rsidRPr="00120BC8">
              <w:rPr>
                <w:sz w:val="20"/>
                <w:szCs w:val="20"/>
                <w:vertAlign w:val="superscript"/>
                <w:lang w:val="fr-FR"/>
              </w:rPr>
              <w:t>b,d</w:t>
            </w:r>
          </w:p>
        </w:tc>
        <w:tc>
          <w:tcPr>
            <w:tcW w:w="1620" w:type="dxa"/>
          </w:tcPr>
          <w:p w14:paraId="25E7CDBE" w14:textId="77777777" w:rsidR="007F1ED1" w:rsidRPr="00120BC8" w:rsidRDefault="007F1ED1" w:rsidP="00654D21">
            <w:pPr>
              <w:pStyle w:val="TableParagraph"/>
              <w:adjustRightInd w:val="0"/>
              <w:snapToGrid w:val="0"/>
              <w:rPr>
                <w:sz w:val="20"/>
                <w:szCs w:val="20"/>
                <w:lang w:val="fr-FR"/>
              </w:rPr>
            </w:pPr>
          </w:p>
        </w:tc>
        <w:tc>
          <w:tcPr>
            <w:tcW w:w="901" w:type="dxa"/>
          </w:tcPr>
          <w:p w14:paraId="48CCAF64" w14:textId="77777777" w:rsidR="007F1ED1" w:rsidRPr="00120BC8" w:rsidRDefault="007F1ED1" w:rsidP="00654D21">
            <w:pPr>
              <w:pStyle w:val="TableParagraph"/>
              <w:adjustRightInd w:val="0"/>
              <w:snapToGrid w:val="0"/>
              <w:rPr>
                <w:sz w:val="20"/>
                <w:szCs w:val="20"/>
                <w:lang w:val="fr-FR"/>
              </w:rPr>
            </w:pPr>
          </w:p>
        </w:tc>
        <w:tc>
          <w:tcPr>
            <w:tcW w:w="1312" w:type="dxa"/>
          </w:tcPr>
          <w:p w14:paraId="6F716019" w14:textId="77777777" w:rsidR="007F1ED1" w:rsidRPr="00120BC8" w:rsidRDefault="007F1ED1" w:rsidP="00654D21">
            <w:pPr>
              <w:pStyle w:val="TableParagraph"/>
              <w:adjustRightInd w:val="0"/>
              <w:snapToGrid w:val="0"/>
              <w:rPr>
                <w:sz w:val="20"/>
                <w:szCs w:val="20"/>
                <w:lang w:val="fr-FR"/>
              </w:rPr>
            </w:pPr>
          </w:p>
        </w:tc>
        <w:tc>
          <w:tcPr>
            <w:tcW w:w="1388" w:type="dxa"/>
          </w:tcPr>
          <w:p w14:paraId="6B8097F0" w14:textId="77777777" w:rsidR="007F1ED1" w:rsidRPr="00120BC8" w:rsidRDefault="007F1ED1" w:rsidP="00654D21">
            <w:pPr>
              <w:pStyle w:val="TableParagraph"/>
              <w:adjustRightInd w:val="0"/>
              <w:snapToGrid w:val="0"/>
              <w:rPr>
                <w:sz w:val="20"/>
                <w:szCs w:val="20"/>
                <w:lang w:val="fr-FR"/>
              </w:rPr>
            </w:pPr>
          </w:p>
        </w:tc>
        <w:tc>
          <w:tcPr>
            <w:tcW w:w="1370" w:type="dxa"/>
          </w:tcPr>
          <w:p w14:paraId="3F51D1F1" w14:textId="77777777" w:rsidR="007F1ED1" w:rsidRPr="00120BC8" w:rsidRDefault="007F1ED1" w:rsidP="00654D21">
            <w:pPr>
              <w:pStyle w:val="TableParagraph"/>
              <w:adjustRightInd w:val="0"/>
              <w:snapToGrid w:val="0"/>
              <w:rPr>
                <w:sz w:val="20"/>
                <w:szCs w:val="20"/>
                <w:lang w:val="fr-FR"/>
              </w:rPr>
            </w:pPr>
          </w:p>
        </w:tc>
      </w:tr>
      <w:tr w:rsidR="000D614A" w:rsidRPr="00120BC8" w14:paraId="375C9579" w14:textId="77777777" w:rsidTr="00654D21">
        <w:trPr>
          <w:cantSplit/>
        </w:trPr>
        <w:tc>
          <w:tcPr>
            <w:tcW w:w="1497" w:type="dxa"/>
          </w:tcPr>
          <w:p w14:paraId="4C5EF5EA"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Affections des organes de reproduction</w:t>
            </w:r>
          </w:p>
          <w:p w14:paraId="720D0039"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et du sein</w:t>
            </w:r>
          </w:p>
        </w:tc>
        <w:tc>
          <w:tcPr>
            <w:tcW w:w="1620" w:type="dxa"/>
          </w:tcPr>
          <w:p w14:paraId="77CE9253"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Insuffisance ovarienne</w:t>
            </w:r>
            <w:r w:rsidRPr="00120BC8">
              <w:rPr>
                <w:sz w:val="20"/>
                <w:szCs w:val="20"/>
                <w:vertAlign w:val="superscript"/>
                <w:lang w:val="fr-FR"/>
              </w:rPr>
              <w:t>b,c,d</w:t>
            </w:r>
          </w:p>
        </w:tc>
        <w:tc>
          <w:tcPr>
            <w:tcW w:w="1620" w:type="dxa"/>
          </w:tcPr>
          <w:p w14:paraId="4AD071AA"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Douleur pelvienne</w:t>
            </w:r>
          </w:p>
        </w:tc>
        <w:tc>
          <w:tcPr>
            <w:tcW w:w="901" w:type="dxa"/>
          </w:tcPr>
          <w:p w14:paraId="39A555CF" w14:textId="77777777" w:rsidR="007F1ED1" w:rsidRPr="00120BC8" w:rsidRDefault="007F1ED1" w:rsidP="00654D21">
            <w:pPr>
              <w:pStyle w:val="TableParagraph"/>
              <w:adjustRightInd w:val="0"/>
              <w:snapToGrid w:val="0"/>
              <w:rPr>
                <w:sz w:val="20"/>
                <w:szCs w:val="20"/>
                <w:lang w:val="fr-FR"/>
              </w:rPr>
            </w:pPr>
          </w:p>
        </w:tc>
        <w:tc>
          <w:tcPr>
            <w:tcW w:w="1312" w:type="dxa"/>
          </w:tcPr>
          <w:p w14:paraId="16D9B1E1" w14:textId="77777777" w:rsidR="007F1ED1" w:rsidRPr="00120BC8" w:rsidRDefault="007F1ED1" w:rsidP="00654D21">
            <w:pPr>
              <w:pStyle w:val="TableParagraph"/>
              <w:adjustRightInd w:val="0"/>
              <w:snapToGrid w:val="0"/>
              <w:rPr>
                <w:sz w:val="20"/>
                <w:szCs w:val="20"/>
                <w:lang w:val="fr-FR"/>
              </w:rPr>
            </w:pPr>
          </w:p>
        </w:tc>
        <w:tc>
          <w:tcPr>
            <w:tcW w:w="1388" w:type="dxa"/>
          </w:tcPr>
          <w:p w14:paraId="3889C9BF" w14:textId="77777777" w:rsidR="007F1ED1" w:rsidRPr="00120BC8" w:rsidRDefault="007F1ED1" w:rsidP="00654D21">
            <w:pPr>
              <w:pStyle w:val="TableParagraph"/>
              <w:adjustRightInd w:val="0"/>
              <w:snapToGrid w:val="0"/>
              <w:rPr>
                <w:sz w:val="20"/>
                <w:szCs w:val="20"/>
                <w:lang w:val="fr-FR"/>
              </w:rPr>
            </w:pPr>
          </w:p>
        </w:tc>
        <w:tc>
          <w:tcPr>
            <w:tcW w:w="1370" w:type="dxa"/>
          </w:tcPr>
          <w:p w14:paraId="190D8965" w14:textId="77777777" w:rsidR="007F1ED1" w:rsidRPr="00120BC8" w:rsidRDefault="007F1ED1" w:rsidP="00654D21">
            <w:pPr>
              <w:pStyle w:val="TableParagraph"/>
              <w:adjustRightInd w:val="0"/>
              <w:snapToGrid w:val="0"/>
              <w:rPr>
                <w:sz w:val="20"/>
                <w:szCs w:val="20"/>
                <w:lang w:val="fr-FR"/>
              </w:rPr>
            </w:pPr>
          </w:p>
        </w:tc>
      </w:tr>
      <w:tr w:rsidR="000D614A" w:rsidRPr="00120BC8" w14:paraId="02F1807B" w14:textId="77777777" w:rsidTr="00654D21">
        <w:trPr>
          <w:cantSplit/>
        </w:trPr>
        <w:tc>
          <w:tcPr>
            <w:tcW w:w="1497" w:type="dxa"/>
          </w:tcPr>
          <w:p w14:paraId="75DF1C1E"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Affections congénitales,</w:t>
            </w:r>
          </w:p>
          <w:p w14:paraId="0B46B0F3"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familiales et génétiques</w:t>
            </w:r>
          </w:p>
        </w:tc>
        <w:tc>
          <w:tcPr>
            <w:tcW w:w="1620" w:type="dxa"/>
          </w:tcPr>
          <w:p w14:paraId="31FF0C1B" w14:textId="77777777" w:rsidR="007F1ED1" w:rsidRPr="00120BC8" w:rsidRDefault="007F1ED1" w:rsidP="00654D21">
            <w:pPr>
              <w:pStyle w:val="TableParagraph"/>
              <w:adjustRightInd w:val="0"/>
              <w:snapToGrid w:val="0"/>
              <w:rPr>
                <w:sz w:val="20"/>
                <w:szCs w:val="20"/>
                <w:lang w:val="fr-FR"/>
              </w:rPr>
            </w:pPr>
          </w:p>
        </w:tc>
        <w:tc>
          <w:tcPr>
            <w:tcW w:w="1620" w:type="dxa"/>
          </w:tcPr>
          <w:p w14:paraId="208039A2" w14:textId="77777777" w:rsidR="007F1ED1" w:rsidRPr="00120BC8" w:rsidRDefault="007F1ED1" w:rsidP="00654D21">
            <w:pPr>
              <w:pStyle w:val="TableParagraph"/>
              <w:adjustRightInd w:val="0"/>
              <w:snapToGrid w:val="0"/>
              <w:rPr>
                <w:sz w:val="20"/>
                <w:szCs w:val="20"/>
                <w:lang w:val="fr-FR"/>
              </w:rPr>
            </w:pPr>
          </w:p>
        </w:tc>
        <w:tc>
          <w:tcPr>
            <w:tcW w:w="901" w:type="dxa"/>
          </w:tcPr>
          <w:p w14:paraId="722FBCD0" w14:textId="77777777" w:rsidR="007F1ED1" w:rsidRPr="00120BC8" w:rsidRDefault="007F1ED1" w:rsidP="00654D21">
            <w:pPr>
              <w:pStyle w:val="TableParagraph"/>
              <w:adjustRightInd w:val="0"/>
              <w:snapToGrid w:val="0"/>
              <w:rPr>
                <w:sz w:val="20"/>
                <w:szCs w:val="20"/>
                <w:lang w:val="fr-FR"/>
              </w:rPr>
            </w:pPr>
          </w:p>
        </w:tc>
        <w:tc>
          <w:tcPr>
            <w:tcW w:w="1312" w:type="dxa"/>
          </w:tcPr>
          <w:p w14:paraId="2C6B63E9" w14:textId="77777777" w:rsidR="007F1ED1" w:rsidRPr="00120BC8" w:rsidRDefault="007F1ED1" w:rsidP="00654D21">
            <w:pPr>
              <w:pStyle w:val="TableParagraph"/>
              <w:adjustRightInd w:val="0"/>
              <w:snapToGrid w:val="0"/>
              <w:rPr>
                <w:sz w:val="20"/>
                <w:szCs w:val="20"/>
                <w:lang w:val="fr-FR"/>
              </w:rPr>
            </w:pPr>
          </w:p>
        </w:tc>
        <w:tc>
          <w:tcPr>
            <w:tcW w:w="1388" w:type="dxa"/>
          </w:tcPr>
          <w:p w14:paraId="2EE4AE4C" w14:textId="77777777" w:rsidR="007F1ED1" w:rsidRPr="00120BC8" w:rsidRDefault="007F1ED1" w:rsidP="00654D21">
            <w:pPr>
              <w:pStyle w:val="TableParagraph"/>
              <w:adjustRightInd w:val="0"/>
              <w:snapToGrid w:val="0"/>
              <w:rPr>
                <w:sz w:val="20"/>
                <w:szCs w:val="20"/>
                <w:lang w:val="fr-FR"/>
              </w:rPr>
            </w:pPr>
          </w:p>
        </w:tc>
        <w:tc>
          <w:tcPr>
            <w:tcW w:w="1370" w:type="dxa"/>
          </w:tcPr>
          <w:p w14:paraId="15FF6C7C"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 xml:space="preserve">Anomalies fœtales </w:t>
            </w:r>
            <w:r w:rsidRPr="00120BC8">
              <w:rPr>
                <w:sz w:val="20"/>
                <w:szCs w:val="20"/>
                <w:vertAlign w:val="superscript"/>
                <w:lang w:val="fr-FR"/>
              </w:rPr>
              <w:t>a,b</w:t>
            </w:r>
          </w:p>
        </w:tc>
      </w:tr>
      <w:tr w:rsidR="000D614A" w:rsidRPr="00120BC8" w14:paraId="054909DC" w14:textId="77777777" w:rsidTr="00654D21">
        <w:trPr>
          <w:cantSplit/>
        </w:trPr>
        <w:tc>
          <w:tcPr>
            <w:tcW w:w="1497" w:type="dxa"/>
          </w:tcPr>
          <w:p w14:paraId="05DAA157"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Troubles</w:t>
            </w:r>
          </w:p>
          <w:p w14:paraId="2F6C31FE"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généraux et anomalies au site d’administration</w:t>
            </w:r>
          </w:p>
        </w:tc>
        <w:tc>
          <w:tcPr>
            <w:tcW w:w="1620" w:type="dxa"/>
          </w:tcPr>
          <w:p w14:paraId="64C6AE42"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Asthénie,</w:t>
            </w:r>
          </w:p>
          <w:p w14:paraId="3518187E" w14:textId="47AF9AC6" w:rsidR="007F1ED1" w:rsidRPr="00120BC8" w:rsidRDefault="0025322F" w:rsidP="00654D21">
            <w:pPr>
              <w:pStyle w:val="TableParagraph"/>
              <w:adjustRightInd w:val="0"/>
              <w:snapToGrid w:val="0"/>
              <w:rPr>
                <w:sz w:val="20"/>
                <w:szCs w:val="20"/>
                <w:lang w:val="fr-FR"/>
              </w:rPr>
            </w:pPr>
            <w:r>
              <w:rPr>
                <w:sz w:val="20"/>
                <w:szCs w:val="20"/>
                <w:lang w:val="fr-FR"/>
              </w:rPr>
              <w:t>f</w:t>
            </w:r>
            <w:r w:rsidR="007F1ED1" w:rsidRPr="00120BC8">
              <w:rPr>
                <w:sz w:val="20"/>
                <w:szCs w:val="20"/>
                <w:lang w:val="fr-FR"/>
              </w:rPr>
              <w:t xml:space="preserve">atigue, </w:t>
            </w:r>
            <w:r>
              <w:rPr>
                <w:sz w:val="20"/>
                <w:szCs w:val="20"/>
                <w:lang w:val="fr-FR"/>
              </w:rPr>
              <w:t>f</w:t>
            </w:r>
            <w:r w:rsidR="007F1ED1" w:rsidRPr="00120BC8">
              <w:rPr>
                <w:sz w:val="20"/>
                <w:szCs w:val="20"/>
                <w:lang w:val="fr-FR"/>
              </w:rPr>
              <w:t xml:space="preserve">ièvre, </w:t>
            </w:r>
            <w:r>
              <w:rPr>
                <w:sz w:val="20"/>
                <w:szCs w:val="20"/>
                <w:lang w:val="fr-FR"/>
              </w:rPr>
              <w:t>d</w:t>
            </w:r>
            <w:r w:rsidR="007F1ED1" w:rsidRPr="00120BC8">
              <w:rPr>
                <w:sz w:val="20"/>
                <w:szCs w:val="20"/>
                <w:lang w:val="fr-FR"/>
              </w:rPr>
              <w:t xml:space="preserve">ouleur, </w:t>
            </w:r>
            <w:r>
              <w:rPr>
                <w:sz w:val="20"/>
                <w:szCs w:val="20"/>
                <w:lang w:val="fr-FR"/>
              </w:rPr>
              <w:t>i</w:t>
            </w:r>
            <w:r w:rsidR="007F1ED1" w:rsidRPr="00120BC8">
              <w:rPr>
                <w:sz w:val="20"/>
                <w:szCs w:val="20"/>
                <w:lang w:val="fr-FR"/>
              </w:rPr>
              <w:t>nflammation</w:t>
            </w:r>
          </w:p>
          <w:p w14:paraId="78707B54"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des muqueuses</w:t>
            </w:r>
          </w:p>
        </w:tc>
        <w:tc>
          <w:tcPr>
            <w:tcW w:w="1620" w:type="dxa"/>
          </w:tcPr>
          <w:p w14:paraId="0E383264"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Léthargie</w:t>
            </w:r>
          </w:p>
        </w:tc>
        <w:tc>
          <w:tcPr>
            <w:tcW w:w="901" w:type="dxa"/>
          </w:tcPr>
          <w:p w14:paraId="1CF1D6F6" w14:textId="77777777" w:rsidR="007F1ED1" w:rsidRPr="00120BC8" w:rsidRDefault="007F1ED1" w:rsidP="00654D21">
            <w:pPr>
              <w:pStyle w:val="TableParagraph"/>
              <w:adjustRightInd w:val="0"/>
              <w:snapToGrid w:val="0"/>
              <w:rPr>
                <w:sz w:val="20"/>
                <w:szCs w:val="20"/>
                <w:lang w:val="fr-FR"/>
              </w:rPr>
            </w:pPr>
          </w:p>
        </w:tc>
        <w:tc>
          <w:tcPr>
            <w:tcW w:w="1312" w:type="dxa"/>
          </w:tcPr>
          <w:p w14:paraId="04D04A6D" w14:textId="77777777" w:rsidR="007F1ED1" w:rsidRPr="00120BC8" w:rsidRDefault="007F1ED1" w:rsidP="00654D21">
            <w:pPr>
              <w:pStyle w:val="TableParagraph"/>
              <w:adjustRightInd w:val="0"/>
              <w:snapToGrid w:val="0"/>
              <w:rPr>
                <w:sz w:val="20"/>
                <w:szCs w:val="20"/>
                <w:lang w:val="fr-FR"/>
              </w:rPr>
            </w:pPr>
          </w:p>
        </w:tc>
        <w:tc>
          <w:tcPr>
            <w:tcW w:w="1388" w:type="dxa"/>
          </w:tcPr>
          <w:p w14:paraId="45C3EDC5" w14:textId="77777777" w:rsidR="007F1ED1" w:rsidRPr="00120BC8" w:rsidRDefault="007F1ED1" w:rsidP="00654D21">
            <w:pPr>
              <w:pStyle w:val="TableParagraph"/>
              <w:adjustRightInd w:val="0"/>
              <w:snapToGrid w:val="0"/>
              <w:rPr>
                <w:sz w:val="20"/>
                <w:szCs w:val="20"/>
                <w:lang w:val="fr-FR"/>
              </w:rPr>
            </w:pPr>
          </w:p>
        </w:tc>
        <w:tc>
          <w:tcPr>
            <w:tcW w:w="1370" w:type="dxa"/>
          </w:tcPr>
          <w:p w14:paraId="088584EC" w14:textId="77777777" w:rsidR="007F1ED1" w:rsidRPr="00120BC8" w:rsidRDefault="007F1ED1" w:rsidP="00654D21">
            <w:pPr>
              <w:pStyle w:val="TableParagraph"/>
              <w:adjustRightInd w:val="0"/>
              <w:snapToGrid w:val="0"/>
              <w:rPr>
                <w:sz w:val="20"/>
                <w:szCs w:val="20"/>
                <w:lang w:val="fr-FR"/>
              </w:rPr>
            </w:pPr>
          </w:p>
        </w:tc>
      </w:tr>
      <w:tr w:rsidR="000D614A" w:rsidRPr="00120BC8" w14:paraId="1DA242DA" w14:textId="77777777" w:rsidTr="00654D21">
        <w:trPr>
          <w:cantSplit/>
        </w:trPr>
        <w:tc>
          <w:tcPr>
            <w:tcW w:w="1497" w:type="dxa"/>
          </w:tcPr>
          <w:p w14:paraId="5E0BF245"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Investigations</w:t>
            </w:r>
          </w:p>
        </w:tc>
        <w:tc>
          <w:tcPr>
            <w:tcW w:w="1620" w:type="dxa"/>
          </w:tcPr>
          <w:p w14:paraId="0B5A277F" w14:textId="77777777" w:rsidR="007F1ED1" w:rsidRPr="00120BC8" w:rsidRDefault="007F1ED1" w:rsidP="00654D21">
            <w:pPr>
              <w:pStyle w:val="TableParagraph"/>
              <w:adjustRightInd w:val="0"/>
              <w:snapToGrid w:val="0"/>
              <w:rPr>
                <w:sz w:val="20"/>
                <w:szCs w:val="20"/>
                <w:lang w:val="fr-FR"/>
              </w:rPr>
            </w:pPr>
            <w:r w:rsidRPr="00120BC8">
              <w:rPr>
                <w:sz w:val="20"/>
                <w:szCs w:val="20"/>
                <w:lang w:val="fr-FR"/>
              </w:rPr>
              <w:t>Perte de poids</w:t>
            </w:r>
          </w:p>
        </w:tc>
        <w:tc>
          <w:tcPr>
            <w:tcW w:w="1620" w:type="dxa"/>
          </w:tcPr>
          <w:p w14:paraId="1CA9F23B" w14:textId="77777777" w:rsidR="007F1ED1" w:rsidRPr="00120BC8" w:rsidRDefault="007F1ED1" w:rsidP="00654D21">
            <w:pPr>
              <w:pStyle w:val="TableParagraph"/>
              <w:adjustRightInd w:val="0"/>
              <w:snapToGrid w:val="0"/>
              <w:rPr>
                <w:sz w:val="20"/>
                <w:szCs w:val="20"/>
                <w:lang w:val="fr-FR"/>
              </w:rPr>
            </w:pPr>
          </w:p>
        </w:tc>
        <w:tc>
          <w:tcPr>
            <w:tcW w:w="901" w:type="dxa"/>
          </w:tcPr>
          <w:p w14:paraId="3EBE72A9" w14:textId="77777777" w:rsidR="007F1ED1" w:rsidRPr="00120BC8" w:rsidRDefault="007F1ED1" w:rsidP="00654D21">
            <w:pPr>
              <w:pStyle w:val="TableParagraph"/>
              <w:adjustRightInd w:val="0"/>
              <w:snapToGrid w:val="0"/>
              <w:rPr>
                <w:sz w:val="20"/>
                <w:szCs w:val="20"/>
                <w:lang w:val="fr-FR"/>
              </w:rPr>
            </w:pPr>
          </w:p>
        </w:tc>
        <w:tc>
          <w:tcPr>
            <w:tcW w:w="1312" w:type="dxa"/>
          </w:tcPr>
          <w:p w14:paraId="2B41A433" w14:textId="77777777" w:rsidR="007F1ED1" w:rsidRPr="00120BC8" w:rsidRDefault="007F1ED1" w:rsidP="00654D21">
            <w:pPr>
              <w:pStyle w:val="TableParagraph"/>
              <w:adjustRightInd w:val="0"/>
              <w:snapToGrid w:val="0"/>
              <w:rPr>
                <w:sz w:val="20"/>
                <w:szCs w:val="20"/>
                <w:lang w:val="fr-FR"/>
              </w:rPr>
            </w:pPr>
          </w:p>
        </w:tc>
        <w:tc>
          <w:tcPr>
            <w:tcW w:w="1388" w:type="dxa"/>
          </w:tcPr>
          <w:p w14:paraId="1044F419" w14:textId="77777777" w:rsidR="007F1ED1" w:rsidRPr="00120BC8" w:rsidRDefault="007F1ED1" w:rsidP="00654D21">
            <w:pPr>
              <w:pStyle w:val="TableParagraph"/>
              <w:adjustRightInd w:val="0"/>
              <w:snapToGrid w:val="0"/>
              <w:rPr>
                <w:sz w:val="20"/>
                <w:szCs w:val="20"/>
                <w:lang w:val="fr-FR"/>
              </w:rPr>
            </w:pPr>
          </w:p>
        </w:tc>
        <w:tc>
          <w:tcPr>
            <w:tcW w:w="1370" w:type="dxa"/>
          </w:tcPr>
          <w:p w14:paraId="40552611" w14:textId="77777777" w:rsidR="007F1ED1" w:rsidRPr="00120BC8" w:rsidRDefault="007F1ED1" w:rsidP="00654D21">
            <w:pPr>
              <w:pStyle w:val="TableParagraph"/>
              <w:adjustRightInd w:val="0"/>
              <w:snapToGrid w:val="0"/>
              <w:rPr>
                <w:sz w:val="20"/>
                <w:szCs w:val="20"/>
                <w:lang w:val="fr-FR"/>
              </w:rPr>
            </w:pPr>
          </w:p>
        </w:tc>
      </w:tr>
    </w:tbl>
    <w:p w14:paraId="74EB7584" w14:textId="77777777" w:rsidR="004401F0" w:rsidRPr="00D400F6" w:rsidRDefault="00DF3C4F" w:rsidP="00BD4C7C">
      <w:pPr>
        <w:adjustRightInd w:val="0"/>
        <w:snapToGrid w:val="0"/>
        <w:rPr>
          <w:sz w:val="18"/>
          <w:szCs w:val="18"/>
          <w:lang w:val="fr-FR"/>
        </w:rPr>
      </w:pPr>
      <w:r w:rsidRPr="00D400F6">
        <w:rPr>
          <w:sz w:val="18"/>
          <w:szCs w:val="18"/>
          <w:lang w:val="fr-FR"/>
        </w:rPr>
        <w:t>Lorsque les événements ont été notifiés à la fois en tant qu’effets indésirables de tout grade et de grade 3-5 dans les essais cliniques, la fréquence la plus élevée observée chez les patients a été rapportée. Les données ne sont pas ajustées pour les différentes durées de traitement.</w:t>
      </w:r>
    </w:p>
    <w:p w14:paraId="08083E5F" w14:textId="77777777" w:rsidR="004401F0" w:rsidRPr="00D400F6" w:rsidRDefault="004401F0" w:rsidP="00BD4C7C">
      <w:pPr>
        <w:pStyle w:val="a3"/>
        <w:adjustRightInd w:val="0"/>
        <w:snapToGrid w:val="0"/>
        <w:rPr>
          <w:sz w:val="18"/>
          <w:szCs w:val="18"/>
          <w:lang w:val="fr-FR"/>
        </w:rPr>
      </w:pPr>
    </w:p>
    <w:p w14:paraId="3F4D67E7" w14:textId="77777777" w:rsidR="004401F0" w:rsidRPr="00D400F6" w:rsidRDefault="00DF3C4F" w:rsidP="00BD4C7C">
      <w:pPr>
        <w:adjustRightInd w:val="0"/>
        <w:snapToGrid w:val="0"/>
        <w:rPr>
          <w:sz w:val="18"/>
          <w:szCs w:val="18"/>
          <w:lang w:val="fr-FR"/>
        </w:rPr>
      </w:pPr>
      <w:r w:rsidRPr="00D400F6">
        <w:rPr>
          <w:sz w:val="18"/>
          <w:szCs w:val="18"/>
          <w:vertAlign w:val="superscript"/>
          <w:lang w:val="fr-FR"/>
        </w:rPr>
        <w:t>a</w:t>
      </w:r>
      <w:r w:rsidRPr="00D400F6">
        <w:rPr>
          <w:sz w:val="18"/>
          <w:szCs w:val="18"/>
          <w:lang w:val="fr-FR"/>
        </w:rPr>
        <w:t xml:space="preserve"> Pour plus d’informations merci de vous référer au tableau 3 "Effets indésirables rapportés depuis la commercialisation".</w:t>
      </w:r>
    </w:p>
    <w:p w14:paraId="1797D4E6" w14:textId="19B3EF3D" w:rsidR="004401F0" w:rsidRPr="00D400F6" w:rsidRDefault="00DF3C4F" w:rsidP="00BD4C7C">
      <w:pPr>
        <w:adjustRightInd w:val="0"/>
        <w:snapToGrid w:val="0"/>
        <w:rPr>
          <w:sz w:val="18"/>
          <w:szCs w:val="18"/>
          <w:lang w:val="fr-FR"/>
        </w:rPr>
      </w:pPr>
      <w:r w:rsidRPr="00D400F6">
        <w:rPr>
          <w:sz w:val="18"/>
          <w:szCs w:val="18"/>
          <w:vertAlign w:val="superscript"/>
          <w:lang w:val="fr-FR"/>
        </w:rPr>
        <w:t>b</w:t>
      </w:r>
      <w:r w:rsidRPr="00D400F6">
        <w:rPr>
          <w:sz w:val="18"/>
          <w:szCs w:val="18"/>
          <w:lang w:val="fr-FR"/>
        </w:rPr>
        <w:t xml:space="preserve"> Les termes représentent des groupes d’évènements indésirables décrivant un concept médical plutôt qu’une condition particulière ou terme privilégié MedDRA (Medical Dictionnay for Regulatory Activities). Ce groupe de termes médicaux peut impliquer la même physiopathologie sous-jacente (ex</w:t>
      </w:r>
      <w:r w:rsidR="00765A43">
        <w:rPr>
          <w:sz w:val="18"/>
          <w:szCs w:val="18"/>
          <w:lang w:val="fr-FR"/>
        </w:rPr>
        <w:t xml:space="preserve"> : </w:t>
      </w:r>
      <w:r w:rsidRPr="00D400F6">
        <w:rPr>
          <w:sz w:val="18"/>
          <w:szCs w:val="18"/>
          <w:lang w:val="fr-FR"/>
        </w:rPr>
        <w:t>les effets thromboemboliques artériels incluent les accidents vasculaires cérébraux, les infarctus du myocarde, les accidents ischémiques transitoires et les autres effets thromboemboliques artériels).</w:t>
      </w:r>
    </w:p>
    <w:p w14:paraId="36CF3613" w14:textId="77777777" w:rsidR="004401F0" w:rsidRPr="00D400F6" w:rsidRDefault="00DF3C4F" w:rsidP="00BD4C7C">
      <w:pPr>
        <w:adjustRightInd w:val="0"/>
        <w:snapToGrid w:val="0"/>
        <w:rPr>
          <w:sz w:val="18"/>
          <w:szCs w:val="18"/>
          <w:lang w:val="fr-FR"/>
        </w:rPr>
      </w:pPr>
      <w:r w:rsidRPr="00D400F6">
        <w:rPr>
          <w:sz w:val="18"/>
          <w:szCs w:val="18"/>
          <w:vertAlign w:val="superscript"/>
          <w:lang w:val="fr-FR"/>
        </w:rPr>
        <w:t>c</w:t>
      </w:r>
      <w:r w:rsidRPr="00D400F6">
        <w:rPr>
          <w:sz w:val="18"/>
          <w:szCs w:val="18"/>
          <w:lang w:val="fr-FR"/>
        </w:rPr>
        <w:t xml:space="preserve"> Basé sur une sous-étude de l’essai NSABP C-08 avec 295 patients.</w:t>
      </w:r>
    </w:p>
    <w:p w14:paraId="465A4B6C" w14:textId="08672D7E" w:rsidR="004401F0" w:rsidRPr="00D400F6" w:rsidRDefault="00DF3C4F" w:rsidP="00BD4C7C">
      <w:pPr>
        <w:adjustRightInd w:val="0"/>
        <w:snapToGrid w:val="0"/>
        <w:rPr>
          <w:sz w:val="18"/>
          <w:szCs w:val="18"/>
          <w:lang w:val="fr-FR"/>
        </w:rPr>
      </w:pPr>
      <w:r w:rsidRPr="00D400F6">
        <w:rPr>
          <w:sz w:val="18"/>
          <w:szCs w:val="18"/>
          <w:vertAlign w:val="superscript"/>
          <w:lang w:val="fr-FR"/>
        </w:rPr>
        <w:t>d</w:t>
      </w:r>
      <w:r w:rsidRPr="00D400F6">
        <w:rPr>
          <w:sz w:val="18"/>
          <w:szCs w:val="18"/>
          <w:lang w:val="fr-FR"/>
        </w:rPr>
        <w:t xml:space="preserve"> Pour des informations supplémentaires se reporter ci-dessous à la section </w:t>
      </w:r>
      <w:r w:rsidR="00836442">
        <w:rPr>
          <w:sz w:val="18"/>
          <w:szCs w:val="18"/>
          <w:lang w:val="fr-FR"/>
        </w:rPr>
        <w:t>« </w:t>
      </w:r>
      <w:r w:rsidRPr="00D400F6">
        <w:rPr>
          <w:sz w:val="18"/>
          <w:szCs w:val="18"/>
          <w:lang w:val="fr-FR"/>
        </w:rPr>
        <w:t>Informations supplémentaires sur certains des effets indésirables graves</w:t>
      </w:r>
      <w:r w:rsidR="00836442">
        <w:rPr>
          <w:sz w:val="18"/>
          <w:szCs w:val="18"/>
          <w:lang w:val="fr-FR"/>
        </w:rPr>
        <w:t> »</w:t>
      </w:r>
      <w:r w:rsidRPr="00D400F6">
        <w:rPr>
          <w:sz w:val="18"/>
          <w:szCs w:val="18"/>
          <w:lang w:val="fr-FR"/>
        </w:rPr>
        <w:t>.</w:t>
      </w:r>
    </w:p>
    <w:p w14:paraId="110C43E1" w14:textId="77777777" w:rsidR="004401F0" w:rsidRPr="00D400F6" w:rsidRDefault="00DF3C4F" w:rsidP="00BD4C7C">
      <w:pPr>
        <w:adjustRightInd w:val="0"/>
        <w:snapToGrid w:val="0"/>
        <w:rPr>
          <w:sz w:val="18"/>
          <w:szCs w:val="18"/>
          <w:lang w:val="fr-FR"/>
        </w:rPr>
      </w:pPr>
      <w:r w:rsidRPr="00D400F6">
        <w:rPr>
          <w:sz w:val="18"/>
          <w:szCs w:val="18"/>
          <w:vertAlign w:val="superscript"/>
          <w:lang w:val="fr-FR"/>
        </w:rPr>
        <w:t>e</w:t>
      </w:r>
      <w:r w:rsidRPr="00D400F6">
        <w:rPr>
          <w:sz w:val="18"/>
          <w:szCs w:val="18"/>
          <w:lang w:val="fr-FR"/>
        </w:rPr>
        <w:t xml:space="preserve"> Les fistules recto-vaginales sont les plus fréquentes dans la catégorie des fistules GI-vaginales.</w:t>
      </w:r>
    </w:p>
    <w:p w14:paraId="1E94D9D2" w14:textId="77777777" w:rsidR="004401F0" w:rsidRPr="00D400F6" w:rsidRDefault="00DF3C4F" w:rsidP="00BD4C7C">
      <w:pPr>
        <w:adjustRightInd w:val="0"/>
        <w:snapToGrid w:val="0"/>
        <w:rPr>
          <w:sz w:val="18"/>
          <w:szCs w:val="18"/>
          <w:lang w:val="fr-FR"/>
        </w:rPr>
      </w:pPr>
      <w:r w:rsidRPr="00D400F6">
        <w:rPr>
          <w:sz w:val="18"/>
          <w:szCs w:val="18"/>
          <w:vertAlign w:val="superscript"/>
          <w:lang w:val="fr-FR"/>
        </w:rPr>
        <w:t>f</w:t>
      </w:r>
      <w:r w:rsidRPr="00D400F6">
        <w:rPr>
          <w:sz w:val="18"/>
          <w:szCs w:val="18"/>
          <w:lang w:val="fr-FR"/>
        </w:rPr>
        <w:t xml:space="preserve"> Observé uniquement dans la population pédiatrique.</w:t>
      </w:r>
    </w:p>
    <w:p w14:paraId="4F7500EA" w14:textId="77777777" w:rsidR="004401F0" w:rsidRPr="00DA7718" w:rsidRDefault="004401F0" w:rsidP="00BD4C7C">
      <w:pPr>
        <w:pStyle w:val="a3"/>
        <w:adjustRightInd w:val="0"/>
        <w:snapToGrid w:val="0"/>
        <w:rPr>
          <w:sz w:val="20"/>
          <w:lang w:val="fr-FR"/>
        </w:rPr>
      </w:pPr>
    </w:p>
    <w:p w14:paraId="56B0F09E" w14:textId="77777777" w:rsidR="004401F0" w:rsidRPr="00E13189" w:rsidRDefault="00DF3C4F" w:rsidP="00E13189">
      <w:pPr>
        <w:keepNext/>
        <w:keepLines/>
        <w:ind w:left="1276" w:hanging="1276"/>
        <w:rPr>
          <w:b/>
          <w:bCs/>
          <w:lang w:val="fr-FR"/>
        </w:rPr>
      </w:pPr>
      <w:r w:rsidRPr="00E13189">
        <w:rPr>
          <w:b/>
          <w:bCs/>
          <w:lang w:val="fr-FR"/>
        </w:rPr>
        <w:lastRenderedPageBreak/>
        <w:t xml:space="preserve">Tableau 2: </w:t>
      </w:r>
      <w:r w:rsidRPr="00E13189">
        <w:rPr>
          <w:b/>
          <w:bCs/>
          <w:lang w:val="fr-FR"/>
        </w:rPr>
        <w:tab/>
        <w:t>Effets indésirables graves selon leur fréquence</w:t>
      </w:r>
    </w:p>
    <w:p w14:paraId="5D0BAE8B" w14:textId="77777777" w:rsidR="00DF3C4F" w:rsidRPr="00E13189" w:rsidRDefault="00DF3C4F" w:rsidP="00E13189">
      <w:pPr>
        <w:keepNext/>
        <w:keepLines/>
        <w:rPr>
          <w:b/>
          <w:bCs/>
          <w:lang w:val="fr-FR"/>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478"/>
        <w:gridCol w:w="1774"/>
        <w:gridCol w:w="1596"/>
        <w:gridCol w:w="884"/>
        <w:gridCol w:w="800"/>
        <w:gridCol w:w="800"/>
        <w:gridCol w:w="1690"/>
      </w:tblGrid>
      <w:tr w:rsidR="007F1ED1" w:rsidRPr="006E0C0B" w14:paraId="6221593D" w14:textId="77777777" w:rsidTr="001B66E2">
        <w:trPr>
          <w:cantSplit/>
          <w:tblHeader/>
        </w:trPr>
        <w:tc>
          <w:tcPr>
            <w:tcW w:w="1478" w:type="dxa"/>
          </w:tcPr>
          <w:p w14:paraId="2433FFD6" w14:textId="77777777" w:rsidR="007F1ED1" w:rsidRPr="006E0C0B" w:rsidRDefault="007F1ED1" w:rsidP="00AC582F">
            <w:pPr>
              <w:pStyle w:val="TableParagraph"/>
              <w:keepNext/>
              <w:keepLines/>
              <w:adjustRightInd w:val="0"/>
              <w:snapToGrid w:val="0"/>
              <w:rPr>
                <w:b/>
                <w:bCs/>
                <w:sz w:val="20"/>
                <w:szCs w:val="20"/>
                <w:lang w:val="fr-FR"/>
              </w:rPr>
            </w:pPr>
            <w:r w:rsidRPr="006E0C0B">
              <w:rPr>
                <w:b/>
                <w:bCs/>
                <w:sz w:val="20"/>
                <w:szCs w:val="20"/>
                <w:lang w:val="fr-FR"/>
              </w:rPr>
              <w:t>Système organe Classe</w:t>
            </w:r>
          </w:p>
        </w:tc>
        <w:tc>
          <w:tcPr>
            <w:tcW w:w="1774" w:type="dxa"/>
          </w:tcPr>
          <w:p w14:paraId="79EA7973" w14:textId="77777777" w:rsidR="007F1ED1" w:rsidRPr="006E0C0B" w:rsidRDefault="007F1ED1" w:rsidP="00AC582F">
            <w:pPr>
              <w:pStyle w:val="TableParagraph"/>
              <w:keepNext/>
              <w:keepLines/>
              <w:adjustRightInd w:val="0"/>
              <w:snapToGrid w:val="0"/>
              <w:rPr>
                <w:b/>
                <w:bCs/>
                <w:sz w:val="20"/>
                <w:szCs w:val="20"/>
                <w:lang w:val="fr-FR"/>
              </w:rPr>
            </w:pPr>
            <w:r w:rsidRPr="006E0C0B">
              <w:rPr>
                <w:b/>
                <w:bCs/>
                <w:sz w:val="20"/>
                <w:szCs w:val="20"/>
                <w:lang w:val="fr-FR"/>
              </w:rPr>
              <w:t>Très fréquent</w:t>
            </w:r>
          </w:p>
        </w:tc>
        <w:tc>
          <w:tcPr>
            <w:tcW w:w="1596" w:type="dxa"/>
          </w:tcPr>
          <w:p w14:paraId="33422046" w14:textId="77777777" w:rsidR="007F1ED1" w:rsidRPr="006E0C0B" w:rsidRDefault="007F1ED1" w:rsidP="00AC582F">
            <w:pPr>
              <w:pStyle w:val="TableParagraph"/>
              <w:keepNext/>
              <w:keepLines/>
              <w:adjustRightInd w:val="0"/>
              <w:snapToGrid w:val="0"/>
              <w:rPr>
                <w:b/>
                <w:bCs/>
                <w:sz w:val="20"/>
                <w:szCs w:val="20"/>
                <w:lang w:val="fr-FR"/>
              </w:rPr>
            </w:pPr>
            <w:r w:rsidRPr="006E0C0B">
              <w:rPr>
                <w:b/>
                <w:bCs/>
                <w:sz w:val="20"/>
                <w:szCs w:val="20"/>
                <w:lang w:val="fr-FR"/>
              </w:rPr>
              <w:t>Fréquent</w:t>
            </w:r>
          </w:p>
        </w:tc>
        <w:tc>
          <w:tcPr>
            <w:tcW w:w="884" w:type="dxa"/>
          </w:tcPr>
          <w:p w14:paraId="0ADCDBB3" w14:textId="26C2B2F4" w:rsidR="007F1ED1" w:rsidRPr="006E0C0B" w:rsidRDefault="007F1ED1" w:rsidP="00AC582F">
            <w:pPr>
              <w:pStyle w:val="TableParagraph"/>
              <w:keepNext/>
              <w:keepLines/>
              <w:adjustRightInd w:val="0"/>
              <w:snapToGrid w:val="0"/>
              <w:rPr>
                <w:b/>
                <w:bCs/>
                <w:sz w:val="20"/>
                <w:szCs w:val="20"/>
                <w:lang w:val="fr-FR"/>
              </w:rPr>
            </w:pPr>
            <w:r w:rsidRPr="006E0C0B">
              <w:rPr>
                <w:b/>
                <w:bCs/>
                <w:sz w:val="20"/>
                <w:szCs w:val="20"/>
                <w:lang w:val="fr-FR"/>
              </w:rPr>
              <w:t>Peu fréquent</w:t>
            </w:r>
          </w:p>
        </w:tc>
        <w:tc>
          <w:tcPr>
            <w:tcW w:w="800" w:type="dxa"/>
          </w:tcPr>
          <w:p w14:paraId="55E51354" w14:textId="77777777" w:rsidR="007F1ED1" w:rsidRPr="006E0C0B" w:rsidRDefault="007F1ED1" w:rsidP="00AC582F">
            <w:pPr>
              <w:pStyle w:val="TableParagraph"/>
              <w:keepNext/>
              <w:keepLines/>
              <w:adjustRightInd w:val="0"/>
              <w:snapToGrid w:val="0"/>
              <w:rPr>
                <w:b/>
                <w:bCs/>
                <w:sz w:val="20"/>
                <w:szCs w:val="20"/>
                <w:lang w:val="fr-FR"/>
              </w:rPr>
            </w:pPr>
            <w:r w:rsidRPr="006E0C0B">
              <w:rPr>
                <w:b/>
                <w:bCs/>
                <w:sz w:val="20"/>
                <w:szCs w:val="20"/>
                <w:lang w:val="fr-FR"/>
              </w:rPr>
              <w:t>Rare</w:t>
            </w:r>
          </w:p>
        </w:tc>
        <w:tc>
          <w:tcPr>
            <w:tcW w:w="800" w:type="dxa"/>
          </w:tcPr>
          <w:p w14:paraId="50236B49" w14:textId="75ECCAAF" w:rsidR="007F1ED1" w:rsidRPr="006E0C0B" w:rsidRDefault="007F1ED1" w:rsidP="00AC582F">
            <w:pPr>
              <w:pStyle w:val="TableParagraph"/>
              <w:keepNext/>
              <w:keepLines/>
              <w:adjustRightInd w:val="0"/>
              <w:snapToGrid w:val="0"/>
              <w:rPr>
                <w:b/>
                <w:bCs/>
                <w:sz w:val="20"/>
                <w:szCs w:val="20"/>
                <w:lang w:val="fr-FR"/>
              </w:rPr>
            </w:pPr>
            <w:r w:rsidRPr="006E0C0B">
              <w:rPr>
                <w:b/>
                <w:bCs/>
                <w:sz w:val="20"/>
                <w:szCs w:val="20"/>
                <w:lang w:val="fr-FR"/>
              </w:rPr>
              <w:t>Très rare</w:t>
            </w:r>
          </w:p>
        </w:tc>
        <w:tc>
          <w:tcPr>
            <w:tcW w:w="1690" w:type="dxa"/>
          </w:tcPr>
          <w:p w14:paraId="79D7AD54" w14:textId="77777777" w:rsidR="007F1ED1" w:rsidRPr="006E0C0B" w:rsidRDefault="007F1ED1" w:rsidP="00AC582F">
            <w:pPr>
              <w:pStyle w:val="TableParagraph"/>
              <w:keepNext/>
              <w:keepLines/>
              <w:adjustRightInd w:val="0"/>
              <w:snapToGrid w:val="0"/>
              <w:rPr>
                <w:b/>
                <w:bCs/>
                <w:sz w:val="20"/>
                <w:szCs w:val="20"/>
                <w:lang w:val="fr-FR"/>
              </w:rPr>
            </w:pPr>
            <w:r w:rsidRPr="006E0C0B">
              <w:rPr>
                <w:b/>
                <w:bCs/>
                <w:sz w:val="20"/>
                <w:szCs w:val="20"/>
                <w:lang w:val="fr-FR"/>
              </w:rPr>
              <w:t>Fréquence indéterminée</w:t>
            </w:r>
          </w:p>
        </w:tc>
      </w:tr>
      <w:tr w:rsidR="006E0C0B" w:rsidRPr="006E0C0B" w14:paraId="305784C6" w14:textId="77777777" w:rsidTr="001B66E2">
        <w:trPr>
          <w:cantSplit/>
          <w:trHeight w:val="1430"/>
        </w:trPr>
        <w:tc>
          <w:tcPr>
            <w:tcW w:w="1478" w:type="dxa"/>
          </w:tcPr>
          <w:p w14:paraId="34695E64" w14:textId="77777777" w:rsidR="006E0C0B" w:rsidRPr="006E0C0B" w:rsidRDefault="006E0C0B" w:rsidP="00654D21">
            <w:pPr>
              <w:pStyle w:val="TableParagraph"/>
              <w:keepNext/>
              <w:keepLines/>
              <w:adjustRightInd w:val="0"/>
              <w:snapToGrid w:val="0"/>
              <w:rPr>
                <w:sz w:val="20"/>
                <w:szCs w:val="20"/>
                <w:lang w:val="fr-FR"/>
              </w:rPr>
            </w:pPr>
            <w:r w:rsidRPr="006E0C0B">
              <w:rPr>
                <w:sz w:val="20"/>
                <w:szCs w:val="20"/>
                <w:lang w:val="fr-FR"/>
              </w:rPr>
              <w:t>Infections et</w:t>
            </w:r>
          </w:p>
          <w:p w14:paraId="4956E504" w14:textId="77777777" w:rsidR="006E0C0B" w:rsidRPr="006E0C0B" w:rsidRDefault="006E0C0B" w:rsidP="00654D21">
            <w:pPr>
              <w:pStyle w:val="TableParagraph"/>
              <w:keepNext/>
              <w:keepLines/>
              <w:adjustRightInd w:val="0"/>
              <w:snapToGrid w:val="0"/>
              <w:rPr>
                <w:sz w:val="20"/>
                <w:szCs w:val="20"/>
                <w:lang w:val="fr-FR"/>
              </w:rPr>
            </w:pPr>
            <w:r w:rsidRPr="006E0C0B">
              <w:rPr>
                <w:sz w:val="20"/>
                <w:szCs w:val="20"/>
                <w:lang w:val="fr-FR"/>
              </w:rPr>
              <w:t>infestations</w:t>
            </w:r>
          </w:p>
        </w:tc>
        <w:tc>
          <w:tcPr>
            <w:tcW w:w="1774" w:type="dxa"/>
          </w:tcPr>
          <w:p w14:paraId="259C9742" w14:textId="77777777" w:rsidR="006E0C0B" w:rsidRPr="006E0C0B" w:rsidRDefault="006E0C0B" w:rsidP="00654D21">
            <w:pPr>
              <w:pStyle w:val="TableParagraph"/>
              <w:keepNext/>
              <w:keepLines/>
              <w:adjustRightInd w:val="0"/>
              <w:snapToGrid w:val="0"/>
              <w:rPr>
                <w:sz w:val="20"/>
                <w:szCs w:val="20"/>
                <w:lang w:val="fr-FR"/>
              </w:rPr>
            </w:pPr>
          </w:p>
        </w:tc>
        <w:tc>
          <w:tcPr>
            <w:tcW w:w="1596" w:type="dxa"/>
          </w:tcPr>
          <w:p w14:paraId="0363796D" w14:textId="77777777" w:rsidR="006E0C0B" w:rsidRPr="00F014C7" w:rsidRDefault="006E0C0B" w:rsidP="00654D21">
            <w:pPr>
              <w:pStyle w:val="TableParagraph"/>
              <w:keepNext/>
              <w:keepLines/>
              <w:adjustRightInd w:val="0"/>
              <w:snapToGrid w:val="0"/>
              <w:rPr>
                <w:sz w:val="20"/>
                <w:szCs w:val="20"/>
                <w:lang w:val="fr-FR"/>
              </w:rPr>
            </w:pPr>
            <w:r w:rsidRPr="00F014C7">
              <w:rPr>
                <w:sz w:val="20"/>
                <w:szCs w:val="20"/>
                <w:lang w:val="fr-FR"/>
              </w:rPr>
              <w:t>Sepsis,</w:t>
            </w:r>
          </w:p>
          <w:p w14:paraId="1A35F1CA" w14:textId="36D17705" w:rsidR="006E0C0B" w:rsidRPr="00F014C7" w:rsidRDefault="0025322F" w:rsidP="00654D21">
            <w:pPr>
              <w:pStyle w:val="TableParagraph"/>
              <w:keepNext/>
              <w:keepLines/>
              <w:adjustRightInd w:val="0"/>
              <w:snapToGrid w:val="0"/>
              <w:rPr>
                <w:sz w:val="20"/>
                <w:szCs w:val="20"/>
                <w:lang w:val="fr-FR"/>
              </w:rPr>
            </w:pPr>
            <w:r w:rsidRPr="00F014C7">
              <w:rPr>
                <w:sz w:val="20"/>
                <w:szCs w:val="20"/>
                <w:lang w:val="fr-FR"/>
              </w:rPr>
              <w:t>c</w:t>
            </w:r>
            <w:r w:rsidR="006E0C0B" w:rsidRPr="00F014C7">
              <w:rPr>
                <w:sz w:val="20"/>
                <w:szCs w:val="20"/>
                <w:lang w:val="fr-FR"/>
              </w:rPr>
              <w:t>ellulite,</w:t>
            </w:r>
          </w:p>
          <w:p w14:paraId="228985C9" w14:textId="1CCFD389" w:rsidR="006E0C0B" w:rsidRPr="00F014C7" w:rsidRDefault="0025322F" w:rsidP="00654D21">
            <w:pPr>
              <w:pStyle w:val="TableParagraph"/>
              <w:keepNext/>
              <w:keepLines/>
              <w:adjustRightInd w:val="0"/>
              <w:snapToGrid w:val="0"/>
              <w:rPr>
                <w:sz w:val="20"/>
                <w:szCs w:val="20"/>
                <w:lang w:val="fr-FR"/>
              </w:rPr>
            </w:pPr>
            <w:r w:rsidRPr="00F014C7">
              <w:rPr>
                <w:sz w:val="20"/>
                <w:szCs w:val="20"/>
                <w:lang w:val="fr-FR"/>
              </w:rPr>
              <w:t>a</w:t>
            </w:r>
            <w:r w:rsidR="006E0C0B" w:rsidRPr="00F014C7">
              <w:rPr>
                <w:sz w:val="20"/>
                <w:szCs w:val="20"/>
                <w:lang w:val="fr-FR"/>
              </w:rPr>
              <w:t>bcès</w:t>
            </w:r>
            <w:r w:rsidR="006E0C0B" w:rsidRPr="00F014C7">
              <w:rPr>
                <w:sz w:val="20"/>
                <w:szCs w:val="20"/>
                <w:vertAlign w:val="superscript"/>
                <w:lang w:val="fr-FR"/>
              </w:rPr>
              <w:t>a,b</w:t>
            </w:r>
            <w:r w:rsidR="006E0C0B" w:rsidRPr="00F014C7">
              <w:rPr>
                <w:sz w:val="20"/>
                <w:szCs w:val="20"/>
                <w:lang w:val="fr-FR"/>
              </w:rPr>
              <w:t>,</w:t>
            </w:r>
          </w:p>
          <w:p w14:paraId="10DE3ABA" w14:textId="6BF2E4A4" w:rsidR="006E0C0B" w:rsidRPr="00F014C7" w:rsidRDefault="0025322F" w:rsidP="00654D21">
            <w:pPr>
              <w:pStyle w:val="TableParagraph"/>
              <w:keepNext/>
              <w:keepLines/>
              <w:adjustRightInd w:val="0"/>
              <w:snapToGrid w:val="0"/>
              <w:rPr>
                <w:sz w:val="20"/>
                <w:szCs w:val="20"/>
                <w:lang w:val="fr-FR"/>
              </w:rPr>
            </w:pPr>
            <w:r w:rsidRPr="00F014C7">
              <w:rPr>
                <w:sz w:val="20"/>
                <w:szCs w:val="20"/>
                <w:lang w:val="fr-FR"/>
              </w:rPr>
              <w:t>i</w:t>
            </w:r>
            <w:r w:rsidR="006E0C0B" w:rsidRPr="00F014C7">
              <w:rPr>
                <w:sz w:val="20"/>
                <w:szCs w:val="20"/>
                <w:lang w:val="fr-FR"/>
              </w:rPr>
              <w:t>nfection,</w:t>
            </w:r>
          </w:p>
          <w:p w14:paraId="387FA8B8" w14:textId="603A586B" w:rsidR="006E0C0B" w:rsidRPr="000D7348" w:rsidRDefault="0025322F" w:rsidP="00654D21">
            <w:pPr>
              <w:pStyle w:val="TableParagraph"/>
              <w:keepNext/>
              <w:keepLines/>
              <w:adjustRightInd w:val="0"/>
              <w:snapToGrid w:val="0"/>
              <w:rPr>
                <w:sz w:val="20"/>
                <w:szCs w:val="20"/>
                <w:lang w:val="fr-CA"/>
              </w:rPr>
            </w:pPr>
            <w:r w:rsidRPr="000D7348">
              <w:rPr>
                <w:sz w:val="20"/>
                <w:szCs w:val="20"/>
                <w:lang w:val="fr-CA"/>
              </w:rPr>
              <w:t>i</w:t>
            </w:r>
            <w:r w:rsidR="006E0C0B" w:rsidRPr="000D7348">
              <w:rPr>
                <w:sz w:val="20"/>
                <w:szCs w:val="20"/>
                <w:lang w:val="fr-CA"/>
              </w:rPr>
              <w:t>nfection</w:t>
            </w:r>
          </w:p>
          <w:p w14:paraId="147868B2" w14:textId="77777777" w:rsidR="006E0C0B" w:rsidRPr="006E0C0B" w:rsidRDefault="006E0C0B" w:rsidP="00654D21">
            <w:pPr>
              <w:pStyle w:val="TableParagraph"/>
              <w:keepNext/>
              <w:keepLines/>
              <w:adjustRightInd w:val="0"/>
              <w:snapToGrid w:val="0"/>
              <w:rPr>
                <w:sz w:val="20"/>
                <w:szCs w:val="20"/>
                <w:lang w:val="fr-FR"/>
              </w:rPr>
            </w:pPr>
            <w:r w:rsidRPr="006E0C0B">
              <w:rPr>
                <w:sz w:val="20"/>
                <w:szCs w:val="20"/>
                <w:lang w:val="fr-FR"/>
              </w:rPr>
              <w:t>urinaire</w:t>
            </w:r>
          </w:p>
        </w:tc>
        <w:tc>
          <w:tcPr>
            <w:tcW w:w="884" w:type="dxa"/>
          </w:tcPr>
          <w:p w14:paraId="6A5543F0" w14:textId="77777777" w:rsidR="006E0C0B" w:rsidRPr="006E0C0B" w:rsidRDefault="006E0C0B" w:rsidP="00654D21">
            <w:pPr>
              <w:pStyle w:val="TableParagraph"/>
              <w:keepNext/>
              <w:keepLines/>
              <w:adjustRightInd w:val="0"/>
              <w:snapToGrid w:val="0"/>
              <w:rPr>
                <w:sz w:val="20"/>
                <w:szCs w:val="20"/>
                <w:lang w:val="fr-FR"/>
              </w:rPr>
            </w:pPr>
          </w:p>
        </w:tc>
        <w:tc>
          <w:tcPr>
            <w:tcW w:w="800" w:type="dxa"/>
          </w:tcPr>
          <w:p w14:paraId="641C2EC5" w14:textId="77777777" w:rsidR="006E0C0B" w:rsidRPr="006E0C0B" w:rsidRDefault="006E0C0B" w:rsidP="00654D21">
            <w:pPr>
              <w:pStyle w:val="TableParagraph"/>
              <w:keepNext/>
              <w:keepLines/>
              <w:adjustRightInd w:val="0"/>
              <w:snapToGrid w:val="0"/>
              <w:rPr>
                <w:sz w:val="20"/>
                <w:szCs w:val="20"/>
                <w:lang w:val="fr-FR"/>
              </w:rPr>
            </w:pPr>
          </w:p>
        </w:tc>
        <w:tc>
          <w:tcPr>
            <w:tcW w:w="800" w:type="dxa"/>
          </w:tcPr>
          <w:p w14:paraId="283B1A94" w14:textId="77777777" w:rsidR="006E0C0B" w:rsidRPr="006E0C0B" w:rsidRDefault="006E0C0B" w:rsidP="00654D21">
            <w:pPr>
              <w:pStyle w:val="TableParagraph"/>
              <w:keepNext/>
              <w:keepLines/>
              <w:adjustRightInd w:val="0"/>
              <w:snapToGrid w:val="0"/>
              <w:rPr>
                <w:sz w:val="20"/>
                <w:szCs w:val="20"/>
                <w:lang w:val="fr-FR"/>
              </w:rPr>
            </w:pPr>
          </w:p>
        </w:tc>
        <w:tc>
          <w:tcPr>
            <w:tcW w:w="1690" w:type="dxa"/>
          </w:tcPr>
          <w:p w14:paraId="7E775F87" w14:textId="77777777" w:rsidR="006E0C0B" w:rsidRPr="006E0C0B" w:rsidRDefault="006E0C0B" w:rsidP="00654D21">
            <w:pPr>
              <w:pStyle w:val="TableParagraph"/>
              <w:keepNext/>
              <w:keepLines/>
              <w:adjustRightInd w:val="0"/>
              <w:snapToGrid w:val="0"/>
              <w:rPr>
                <w:sz w:val="20"/>
                <w:szCs w:val="20"/>
                <w:lang w:val="fr-FR"/>
              </w:rPr>
            </w:pPr>
            <w:r w:rsidRPr="006E0C0B">
              <w:rPr>
                <w:sz w:val="20"/>
                <w:szCs w:val="20"/>
                <w:lang w:val="fr-FR"/>
              </w:rPr>
              <w:t>Fasciite</w:t>
            </w:r>
          </w:p>
          <w:p w14:paraId="4498ADFC" w14:textId="77777777" w:rsidR="006E0C0B" w:rsidRPr="006E0C0B" w:rsidRDefault="006E0C0B" w:rsidP="00654D21">
            <w:pPr>
              <w:pStyle w:val="TableParagraph"/>
              <w:keepNext/>
              <w:keepLines/>
              <w:adjustRightInd w:val="0"/>
              <w:snapToGrid w:val="0"/>
              <w:rPr>
                <w:sz w:val="20"/>
                <w:szCs w:val="20"/>
                <w:lang w:val="fr-FR"/>
              </w:rPr>
            </w:pPr>
            <w:r w:rsidRPr="006E0C0B">
              <w:rPr>
                <w:sz w:val="20"/>
                <w:szCs w:val="20"/>
                <w:lang w:val="fr-FR"/>
              </w:rPr>
              <w:t>nécrosante</w:t>
            </w:r>
            <w:r w:rsidRPr="006E0C0B">
              <w:rPr>
                <w:sz w:val="20"/>
                <w:szCs w:val="20"/>
                <w:vertAlign w:val="superscript"/>
                <w:lang w:val="fr-FR"/>
              </w:rPr>
              <w:t>c</w:t>
            </w:r>
          </w:p>
        </w:tc>
      </w:tr>
      <w:tr w:rsidR="006E0C0B" w:rsidRPr="006E0C0B" w14:paraId="5C241F52" w14:textId="77777777" w:rsidTr="001B66E2">
        <w:trPr>
          <w:cantSplit/>
          <w:trHeight w:val="1169"/>
        </w:trPr>
        <w:tc>
          <w:tcPr>
            <w:tcW w:w="1478" w:type="dxa"/>
          </w:tcPr>
          <w:p w14:paraId="288D6CCF" w14:textId="77777777" w:rsidR="006E0C0B" w:rsidRPr="006E0C0B" w:rsidRDefault="006E0C0B" w:rsidP="00654D21">
            <w:pPr>
              <w:pStyle w:val="TableParagraph"/>
              <w:keepNext/>
              <w:keepLines/>
              <w:adjustRightInd w:val="0"/>
              <w:snapToGrid w:val="0"/>
              <w:rPr>
                <w:sz w:val="20"/>
                <w:szCs w:val="20"/>
                <w:lang w:val="fr-FR"/>
              </w:rPr>
            </w:pPr>
            <w:r w:rsidRPr="006E0C0B">
              <w:rPr>
                <w:sz w:val="20"/>
                <w:szCs w:val="20"/>
                <w:lang w:val="fr-FR"/>
              </w:rPr>
              <w:t>Affections</w:t>
            </w:r>
          </w:p>
          <w:p w14:paraId="5494029C" w14:textId="77777777" w:rsidR="006E0C0B" w:rsidRPr="006E0C0B" w:rsidRDefault="006E0C0B" w:rsidP="00654D21">
            <w:pPr>
              <w:pStyle w:val="TableParagraph"/>
              <w:keepNext/>
              <w:keepLines/>
              <w:adjustRightInd w:val="0"/>
              <w:snapToGrid w:val="0"/>
              <w:rPr>
                <w:sz w:val="20"/>
                <w:szCs w:val="20"/>
                <w:lang w:val="fr-FR"/>
              </w:rPr>
            </w:pPr>
            <w:r w:rsidRPr="006E0C0B">
              <w:rPr>
                <w:sz w:val="20"/>
                <w:szCs w:val="20"/>
                <w:lang w:val="fr-FR"/>
              </w:rPr>
              <w:t>hématologiques et du</w:t>
            </w:r>
          </w:p>
          <w:p w14:paraId="4D350A77" w14:textId="77777777" w:rsidR="006E0C0B" w:rsidRPr="006E0C0B" w:rsidRDefault="006E0C0B" w:rsidP="00654D21">
            <w:pPr>
              <w:pStyle w:val="TableParagraph"/>
              <w:keepNext/>
              <w:keepLines/>
              <w:adjustRightInd w:val="0"/>
              <w:snapToGrid w:val="0"/>
              <w:rPr>
                <w:sz w:val="20"/>
                <w:szCs w:val="20"/>
                <w:lang w:val="fr-FR"/>
              </w:rPr>
            </w:pPr>
            <w:r w:rsidRPr="006E0C0B">
              <w:rPr>
                <w:sz w:val="20"/>
                <w:szCs w:val="20"/>
                <w:lang w:val="fr-FR"/>
              </w:rPr>
              <w:t>système</w:t>
            </w:r>
          </w:p>
          <w:p w14:paraId="06DF515F" w14:textId="77777777" w:rsidR="006E0C0B" w:rsidRPr="006E0C0B" w:rsidRDefault="006E0C0B" w:rsidP="00654D21">
            <w:pPr>
              <w:pStyle w:val="TableParagraph"/>
              <w:keepNext/>
              <w:keepLines/>
              <w:adjustRightInd w:val="0"/>
              <w:snapToGrid w:val="0"/>
              <w:rPr>
                <w:sz w:val="20"/>
                <w:szCs w:val="20"/>
                <w:lang w:val="fr-FR"/>
              </w:rPr>
            </w:pPr>
            <w:r w:rsidRPr="006E0C0B">
              <w:rPr>
                <w:sz w:val="20"/>
                <w:szCs w:val="20"/>
                <w:lang w:val="fr-FR"/>
              </w:rPr>
              <w:t>lymphatique</w:t>
            </w:r>
          </w:p>
        </w:tc>
        <w:tc>
          <w:tcPr>
            <w:tcW w:w="1774" w:type="dxa"/>
          </w:tcPr>
          <w:p w14:paraId="404170B2" w14:textId="77777777" w:rsidR="006E0C0B" w:rsidRPr="006E0C0B" w:rsidRDefault="006E0C0B" w:rsidP="00654D21">
            <w:pPr>
              <w:pStyle w:val="TableParagraph"/>
              <w:keepNext/>
              <w:keepLines/>
              <w:adjustRightInd w:val="0"/>
              <w:snapToGrid w:val="0"/>
              <w:rPr>
                <w:sz w:val="20"/>
                <w:szCs w:val="20"/>
                <w:lang w:val="fr-FR"/>
              </w:rPr>
            </w:pPr>
            <w:r w:rsidRPr="006E0C0B">
              <w:rPr>
                <w:sz w:val="20"/>
                <w:szCs w:val="20"/>
                <w:lang w:val="fr-FR"/>
              </w:rPr>
              <w:t>Neutropénie</w:t>
            </w:r>
          </w:p>
          <w:p w14:paraId="298D2592" w14:textId="77777777" w:rsidR="006E0C0B" w:rsidRPr="006E0C0B" w:rsidRDefault="006E0C0B" w:rsidP="00654D21">
            <w:pPr>
              <w:pStyle w:val="TableParagraph"/>
              <w:keepNext/>
              <w:keepLines/>
              <w:adjustRightInd w:val="0"/>
              <w:snapToGrid w:val="0"/>
              <w:rPr>
                <w:sz w:val="20"/>
                <w:szCs w:val="20"/>
                <w:lang w:val="fr-FR"/>
              </w:rPr>
            </w:pPr>
            <w:r w:rsidRPr="006E0C0B">
              <w:rPr>
                <w:sz w:val="20"/>
                <w:szCs w:val="20"/>
                <w:lang w:val="fr-FR"/>
              </w:rPr>
              <w:t>fébrile,</w:t>
            </w:r>
          </w:p>
          <w:p w14:paraId="26E721C4" w14:textId="395EEFFE" w:rsidR="006E0C0B" w:rsidRPr="006E0C0B" w:rsidRDefault="0025322F" w:rsidP="00654D21">
            <w:pPr>
              <w:pStyle w:val="TableParagraph"/>
              <w:keepNext/>
              <w:keepLines/>
              <w:adjustRightInd w:val="0"/>
              <w:snapToGrid w:val="0"/>
              <w:rPr>
                <w:sz w:val="20"/>
                <w:szCs w:val="20"/>
                <w:lang w:val="fr-FR"/>
              </w:rPr>
            </w:pPr>
            <w:r>
              <w:rPr>
                <w:sz w:val="20"/>
                <w:szCs w:val="20"/>
                <w:lang w:val="fr-FR"/>
              </w:rPr>
              <w:t>l</w:t>
            </w:r>
            <w:r w:rsidR="006E0C0B" w:rsidRPr="006E0C0B">
              <w:rPr>
                <w:sz w:val="20"/>
                <w:szCs w:val="20"/>
                <w:lang w:val="fr-FR"/>
              </w:rPr>
              <w:t>eucopénie,</w:t>
            </w:r>
          </w:p>
          <w:p w14:paraId="0C0719DF" w14:textId="0A29A510" w:rsidR="006E0C0B" w:rsidRPr="006E0C0B" w:rsidRDefault="0025322F" w:rsidP="00654D21">
            <w:pPr>
              <w:pStyle w:val="TableParagraph"/>
              <w:keepNext/>
              <w:keepLines/>
              <w:adjustRightInd w:val="0"/>
              <w:snapToGrid w:val="0"/>
              <w:rPr>
                <w:sz w:val="20"/>
                <w:szCs w:val="20"/>
                <w:lang w:val="fr-FR"/>
              </w:rPr>
            </w:pPr>
            <w:r>
              <w:rPr>
                <w:sz w:val="20"/>
                <w:szCs w:val="20"/>
                <w:lang w:val="fr-FR"/>
              </w:rPr>
              <w:t>n</w:t>
            </w:r>
            <w:r w:rsidR="006E0C0B" w:rsidRPr="006E0C0B">
              <w:rPr>
                <w:sz w:val="20"/>
                <w:szCs w:val="20"/>
                <w:lang w:val="fr-FR"/>
              </w:rPr>
              <w:t>eutropénie</w:t>
            </w:r>
            <w:r w:rsidR="006E0C0B" w:rsidRPr="006E0C0B">
              <w:rPr>
                <w:sz w:val="20"/>
                <w:szCs w:val="20"/>
                <w:vertAlign w:val="superscript"/>
                <w:lang w:val="fr-FR"/>
              </w:rPr>
              <w:t>a</w:t>
            </w:r>
            <w:r w:rsidR="006E0C0B" w:rsidRPr="006E0C0B">
              <w:rPr>
                <w:sz w:val="20"/>
                <w:szCs w:val="20"/>
                <w:lang w:val="fr-FR"/>
              </w:rPr>
              <w:t>,</w:t>
            </w:r>
          </w:p>
          <w:p w14:paraId="0778464C" w14:textId="7AAE1CB8" w:rsidR="006E0C0B" w:rsidRPr="006E0C0B" w:rsidRDefault="0025322F" w:rsidP="00654D21">
            <w:pPr>
              <w:pStyle w:val="TableParagraph"/>
              <w:keepNext/>
              <w:keepLines/>
              <w:adjustRightInd w:val="0"/>
              <w:snapToGrid w:val="0"/>
              <w:rPr>
                <w:sz w:val="20"/>
                <w:szCs w:val="20"/>
                <w:lang w:val="fr-FR"/>
              </w:rPr>
            </w:pPr>
            <w:r>
              <w:rPr>
                <w:sz w:val="20"/>
                <w:szCs w:val="20"/>
                <w:lang w:val="fr-FR"/>
              </w:rPr>
              <w:t>t</w:t>
            </w:r>
            <w:r w:rsidR="006E0C0B" w:rsidRPr="006E0C0B">
              <w:rPr>
                <w:sz w:val="20"/>
                <w:szCs w:val="20"/>
                <w:lang w:val="fr-FR"/>
              </w:rPr>
              <w:t>hrombocytopénie</w:t>
            </w:r>
          </w:p>
        </w:tc>
        <w:tc>
          <w:tcPr>
            <w:tcW w:w="1596" w:type="dxa"/>
          </w:tcPr>
          <w:p w14:paraId="2C2D939F" w14:textId="77777777" w:rsidR="006E0C0B" w:rsidRPr="006E0C0B" w:rsidRDefault="006E0C0B" w:rsidP="00654D21">
            <w:pPr>
              <w:pStyle w:val="TableParagraph"/>
              <w:keepNext/>
              <w:keepLines/>
              <w:adjustRightInd w:val="0"/>
              <w:snapToGrid w:val="0"/>
              <w:rPr>
                <w:sz w:val="20"/>
                <w:szCs w:val="20"/>
                <w:lang w:val="fr-FR"/>
              </w:rPr>
            </w:pPr>
            <w:r w:rsidRPr="006E0C0B">
              <w:rPr>
                <w:sz w:val="20"/>
                <w:szCs w:val="20"/>
                <w:lang w:val="fr-FR"/>
              </w:rPr>
              <w:t>Anémie,</w:t>
            </w:r>
          </w:p>
          <w:p w14:paraId="6B851593" w14:textId="0490AABF" w:rsidR="006E0C0B" w:rsidRPr="006E0C0B" w:rsidRDefault="0025322F" w:rsidP="00654D21">
            <w:pPr>
              <w:pStyle w:val="TableParagraph"/>
              <w:keepNext/>
              <w:keepLines/>
              <w:adjustRightInd w:val="0"/>
              <w:snapToGrid w:val="0"/>
              <w:rPr>
                <w:sz w:val="20"/>
                <w:szCs w:val="20"/>
                <w:lang w:val="fr-FR"/>
              </w:rPr>
            </w:pPr>
            <w:r>
              <w:rPr>
                <w:sz w:val="20"/>
                <w:szCs w:val="20"/>
                <w:lang w:val="fr-FR"/>
              </w:rPr>
              <w:t>l</w:t>
            </w:r>
            <w:r w:rsidR="006E0C0B" w:rsidRPr="006E0C0B">
              <w:rPr>
                <w:sz w:val="20"/>
                <w:szCs w:val="20"/>
                <w:lang w:val="fr-FR"/>
              </w:rPr>
              <w:t>ymphopénie</w:t>
            </w:r>
          </w:p>
        </w:tc>
        <w:tc>
          <w:tcPr>
            <w:tcW w:w="884" w:type="dxa"/>
          </w:tcPr>
          <w:p w14:paraId="6B9987EF" w14:textId="77777777" w:rsidR="006E0C0B" w:rsidRPr="006E0C0B" w:rsidRDefault="006E0C0B" w:rsidP="00654D21">
            <w:pPr>
              <w:pStyle w:val="TableParagraph"/>
              <w:keepNext/>
              <w:keepLines/>
              <w:adjustRightInd w:val="0"/>
              <w:snapToGrid w:val="0"/>
              <w:rPr>
                <w:sz w:val="20"/>
                <w:szCs w:val="20"/>
                <w:lang w:val="fr-FR"/>
              </w:rPr>
            </w:pPr>
          </w:p>
        </w:tc>
        <w:tc>
          <w:tcPr>
            <w:tcW w:w="800" w:type="dxa"/>
          </w:tcPr>
          <w:p w14:paraId="7C00CC70" w14:textId="77777777" w:rsidR="006E0C0B" w:rsidRPr="006E0C0B" w:rsidRDefault="006E0C0B" w:rsidP="00654D21">
            <w:pPr>
              <w:pStyle w:val="TableParagraph"/>
              <w:keepNext/>
              <w:keepLines/>
              <w:adjustRightInd w:val="0"/>
              <w:snapToGrid w:val="0"/>
              <w:rPr>
                <w:sz w:val="20"/>
                <w:szCs w:val="20"/>
                <w:lang w:val="fr-FR"/>
              </w:rPr>
            </w:pPr>
          </w:p>
        </w:tc>
        <w:tc>
          <w:tcPr>
            <w:tcW w:w="800" w:type="dxa"/>
          </w:tcPr>
          <w:p w14:paraId="45AFE531" w14:textId="77777777" w:rsidR="006E0C0B" w:rsidRPr="006E0C0B" w:rsidRDefault="006E0C0B" w:rsidP="00654D21">
            <w:pPr>
              <w:pStyle w:val="TableParagraph"/>
              <w:keepNext/>
              <w:keepLines/>
              <w:adjustRightInd w:val="0"/>
              <w:snapToGrid w:val="0"/>
              <w:rPr>
                <w:sz w:val="20"/>
                <w:szCs w:val="20"/>
                <w:lang w:val="fr-FR"/>
              </w:rPr>
            </w:pPr>
          </w:p>
        </w:tc>
        <w:tc>
          <w:tcPr>
            <w:tcW w:w="1690" w:type="dxa"/>
          </w:tcPr>
          <w:p w14:paraId="07F85010" w14:textId="77777777" w:rsidR="006E0C0B" w:rsidRPr="006E0C0B" w:rsidRDefault="006E0C0B" w:rsidP="00654D21">
            <w:pPr>
              <w:pStyle w:val="TableParagraph"/>
              <w:keepNext/>
              <w:keepLines/>
              <w:adjustRightInd w:val="0"/>
              <w:snapToGrid w:val="0"/>
              <w:rPr>
                <w:sz w:val="20"/>
                <w:szCs w:val="20"/>
                <w:lang w:val="fr-FR"/>
              </w:rPr>
            </w:pPr>
          </w:p>
        </w:tc>
      </w:tr>
      <w:tr w:rsidR="001B66E2" w:rsidRPr="00EB4800" w14:paraId="3AC73294" w14:textId="77777777" w:rsidTr="001B66E2">
        <w:trPr>
          <w:cantSplit/>
        </w:trPr>
        <w:tc>
          <w:tcPr>
            <w:tcW w:w="1478" w:type="dxa"/>
          </w:tcPr>
          <w:p w14:paraId="70D27EC1" w14:textId="77777777" w:rsidR="001B66E2" w:rsidRPr="006E0C0B" w:rsidRDefault="001B66E2" w:rsidP="001B66E2">
            <w:pPr>
              <w:pStyle w:val="TableParagraph"/>
              <w:keepNext/>
              <w:keepLines/>
              <w:adjustRightInd w:val="0"/>
              <w:snapToGrid w:val="0"/>
              <w:rPr>
                <w:sz w:val="20"/>
                <w:szCs w:val="20"/>
                <w:lang w:val="fr-FR"/>
              </w:rPr>
            </w:pPr>
            <w:r w:rsidRPr="006E0C0B">
              <w:rPr>
                <w:sz w:val="20"/>
                <w:szCs w:val="20"/>
                <w:lang w:val="fr-FR"/>
              </w:rPr>
              <w:t>Affections du système immunitaire</w:t>
            </w:r>
          </w:p>
        </w:tc>
        <w:tc>
          <w:tcPr>
            <w:tcW w:w="1774" w:type="dxa"/>
          </w:tcPr>
          <w:p w14:paraId="56559684" w14:textId="77777777" w:rsidR="001B66E2" w:rsidRPr="006E0C0B" w:rsidRDefault="001B66E2" w:rsidP="001B66E2">
            <w:pPr>
              <w:pStyle w:val="TableParagraph"/>
              <w:keepNext/>
              <w:keepLines/>
              <w:adjustRightInd w:val="0"/>
              <w:snapToGrid w:val="0"/>
              <w:rPr>
                <w:sz w:val="20"/>
                <w:szCs w:val="20"/>
                <w:lang w:val="fr-FR"/>
              </w:rPr>
            </w:pPr>
          </w:p>
        </w:tc>
        <w:tc>
          <w:tcPr>
            <w:tcW w:w="1596" w:type="dxa"/>
          </w:tcPr>
          <w:p w14:paraId="49C9ED71" w14:textId="77777777" w:rsidR="001B66E2" w:rsidRPr="006E0C0B" w:rsidRDefault="001B66E2" w:rsidP="001B66E2">
            <w:pPr>
              <w:pStyle w:val="TableParagraph"/>
              <w:keepNext/>
              <w:keepLines/>
              <w:adjustRightInd w:val="0"/>
              <w:snapToGrid w:val="0"/>
              <w:rPr>
                <w:sz w:val="20"/>
                <w:szCs w:val="20"/>
                <w:lang w:val="fr-FR"/>
              </w:rPr>
            </w:pPr>
            <w:r w:rsidRPr="006E0C0B">
              <w:rPr>
                <w:sz w:val="20"/>
                <w:szCs w:val="20"/>
                <w:lang w:val="fr-FR"/>
              </w:rPr>
              <w:t>Hypersensibilité, réactions</w:t>
            </w:r>
          </w:p>
          <w:p w14:paraId="2C7C2F14" w14:textId="62A6E1E3" w:rsidR="001B66E2" w:rsidRPr="006E0C0B" w:rsidRDefault="001B66E2" w:rsidP="001B66E2">
            <w:pPr>
              <w:pStyle w:val="TableParagraph"/>
              <w:keepNext/>
              <w:keepLines/>
              <w:adjustRightInd w:val="0"/>
              <w:snapToGrid w:val="0"/>
              <w:rPr>
                <w:sz w:val="20"/>
                <w:szCs w:val="20"/>
                <w:lang w:val="fr-FR"/>
              </w:rPr>
            </w:pPr>
            <w:r w:rsidRPr="006E0C0B">
              <w:rPr>
                <w:sz w:val="20"/>
                <w:szCs w:val="20"/>
                <w:lang w:val="fr-FR"/>
              </w:rPr>
              <w:t>liées à la perfusion</w:t>
            </w:r>
            <w:r w:rsidRPr="006E0C0B">
              <w:rPr>
                <w:sz w:val="20"/>
                <w:szCs w:val="20"/>
                <w:vertAlign w:val="superscript"/>
                <w:lang w:val="fr-FR"/>
              </w:rPr>
              <w:t>a,b,c</w:t>
            </w:r>
          </w:p>
        </w:tc>
        <w:tc>
          <w:tcPr>
            <w:tcW w:w="884" w:type="dxa"/>
          </w:tcPr>
          <w:p w14:paraId="3326E609" w14:textId="77777777" w:rsidR="001B66E2" w:rsidRPr="006E0C0B" w:rsidRDefault="001B66E2" w:rsidP="001B66E2">
            <w:pPr>
              <w:pStyle w:val="TableParagraph"/>
              <w:keepNext/>
              <w:keepLines/>
              <w:adjustRightInd w:val="0"/>
              <w:snapToGrid w:val="0"/>
              <w:rPr>
                <w:sz w:val="20"/>
                <w:szCs w:val="20"/>
                <w:lang w:val="fr-FR"/>
              </w:rPr>
            </w:pPr>
          </w:p>
        </w:tc>
        <w:tc>
          <w:tcPr>
            <w:tcW w:w="800" w:type="dxa"/>
          </w:tcPr>
          <w:p w14:paraId="7653C3F4" w14:textId="219A324B" w:rsidR="001B66E2" w:rsidRPr="006E0C0B" w:rsidRDefault="001B66E2" w:rsidP="001B66E2">
            <w:pPr>
              <w:pStyle w:val="TableParagraph"/>
              <w:keepNext/>
              <w:keepLines/>
              <w:adjustRightInd w:val="0"/>
              <w:snapToGrid w:val="0"/>
              <w:rPr>
                <w:sz w:val="20"/>
                <w:szCs w:val="20"/>
                <w:lang w:val="fr-FR"/>
              </w:rPr>
            </w:pPr>
            <w:r>
              <w:rPr>
                <w:sz w:val="20"/>
                <w:szCs w:val="20"/>
                <w:lang w:val="fr-FR"/>
              </w:rPr>
              <w:t>Ch</w:t>
            </w:r>
            <w:r w:rsidR="00A91584">
              <w:rPr>
                <w:sz w:val="20"/>
                <w:szCs w:val="20"/>
                <w:lang w:val="fr-FR"/>
              </w:rPr>
              <w:t>oc</w:t>
            </w:r>
            <w:r>
              <w:rPr>
                <w:sz w:val="20"/>
                <w:szCs w:val="20"/>
                <w:lang w:val="fr-FR"/>
              </w:rPr>
              <w:t xml:space="preserve"> </w:t>
            </w:r>
            <w:r w:rsidRPr="006A2D64">
              <w:rPr>
                <w:sz w:val="20"/>
                <w:szCs w:val="20"/>
                <w:lang w:val="fr-FR"/>
              </w:rPr>
              <w:t>anaphylactique</w:t>
            </w:r>
          </w:p>
        </w:tc>
        <w:tc>
          <w:tcPr>
            <w:tcW w:w="800" w:type="dxa"/>
          </w:tcPr>
          <w:p w14:paraId="06915BEF" w14:textId="77777777" w:rsidR="001B66E2" w:rsidRPr="006E0C0B" w:rsidRDefault="001B66E2" w:rsidP="001B66E2">
            <w:pPr>
              <w:pStyle w:val="TableParagraph"/>
              <w:keepNext/>
              <w:keepLines/>
              <w:adjustRightInd w:val="0"/>
              <w:snapToGrid w:val="0"/>
              <w:rPr>
                <w:sz w:val="20"/>
                <w:szCs w:val="20"/>
                <w:lang w:val="fr-FR"/>
              </w:rPr>
            </w:pPr>
          </w:p>
        </w:tc>
        <w:tc>
          <w:tcPr>
            <w:tcW w:w="1690" w:type="dxa"/>
          </w:tcPr>
          <w:p w14:paraId="0C15C8DB" w14:textId="0B48894F" w:rsidR="001B66E2" w:rsidRPr="006E0C0B" w:rsidRDefault="001B66E2" w:rsidP="001B66E2">
            <w:pPr>
              <w:pStyle w:val="TableParagraph"/>
              <w:keepNext/>
              <w:keepLines/>
              <w:adjustRightInd w:val="0"/>
              <w:snapToGrid w:val="0"/>
              <w:rPr>
                <w:sz w:val="20"/>
                <w:szCs w:val="20"/>
                <w:lang w:val="fr-FR"/>
              </w:rPr>
            </w:pPr>
          </w:p>
        </w:tc>
      </w:tr>
      <w:tr w:rsidR="001B66E2" w:rsidRPr="006E0C0B" w14:paraId="753C39DF" w14:textId="77777777" w:rsidTr="001B66E2">
        <w:trPr>
          <w:cantSplit/>
          <w:trHeight w:val="908"/>
        </w:trPr>
        <w:tc>
          <w:tcPr>
            <w:tcW w:w="1478" w:type="dxa"/>
          </w:tcPr>
          <w:p w14:paraId="06EC3A60" w14:textId="77777777" w:rsidR="001B66E2" w:rsidRPr="006E0C0B" w:rsidRDefault="001B66E2" w:rsidP="001B66E2">
            <w:pPr>
              <w:pStyle w:val="TableParagraph"/>
              <w:keepNext/>
              <w:keepLines/>
              <w:adjustRightInd w:val="0"/>
              <w:snapToGrid w:val="0"/>
              <w:rPr>
                <w:sz w:val="20"/>
                <w:szCs w:val="20"/>
                <w:lang w:val="fr-FR"/>
              </w:rPr>
            </w:pPr>
            <w:r w:rsidRPr="006E0C0B">
              <w:rPr>
                <w:sz w:val="20"/>
                <w:szCs w:val="20"/>
                <w:lang w:val="fr-FR"/>
              </w:rPr>
              <w:t>Troubles du</w:t>
            </w:r>
          </w:p>
          <w:p w14:paraId="2F8829DA" w14:textId="77777777" w:rsidR="001B66E2" w:rsidRPr="006E0C0B" w:rsidRDefault="001B66E2" w:rsidP="001B66E2">
            <w:pPr>
              <w:pStyle w:val="TableParagraph"/>
              <w:keepNext/>
              <w:keepLines/>
              <w:adjustRightInd w:val="0"/>
              <w:snapToGrid w:val="0"/>
              <w:rPr>
                <w:sz w:val="20"/>
                <w:szCs w:val="20"/>
                <w:lang w:val="fr-FR"/>
              </w:rPr>
            </w:pPr>
            <w:r w:rsidRPr="006E0C0B">
              <w:rPr>
                <w:sz w:val="20"/>
                <w:szCs w:val="20"/>
                <w:lang w:val="fr-FR"/>
              </w:rPr>
              <w:t>métabolisme</w:t>
            </w:r>
          </w:p>
          <w:p w14:paraId="15BA53C9" w14:textId="77777777" w:rsidR="001B66E2" w:rsidRPr="006E0C0B" w:rsidRDefault="001B66E2" w:rsidP="001B66E2">
            <w:pPr>
              <w:pStyle w:val="TableParagraph"/>
              <w:keepNext/>
              <w:keepLines/>
              <w:adjustRightInd w:val="0"/>
              <w:snapToGrid w:val="0"/>
              <w:rPr>
                <w:sz w:val="20"/>
                <w:szCs w:val="20"/>
                <w:lang w:val="fr-FR"/>
              </w:rPr>
            </w:pPr>
            <w:r w:rsidRPr="006E0C0B">
              <w:rPr>
                <w:sz w:val="20"/>
                <w:szCs w:val="20"/>
                <w:lang w:val="fr-FR"/>
              </w:rPr>
              <w:t>et de la</w:t>
            </w:r>
          </w:p>
          <w:p w14:paraId="282CF35A" w14:textId="77777777" w:rsidR="001B66E2" w:rsidRPr="006E0C0B" w:rsidRDefault="001B66E2" w:rsidP="001B66E2">
            <w:pPr>
              <w:pStyle w:val="TableParagraph"/>
              <w:keepNext/>
              <w:keepLines/>
              <w:adjustRightInd w:val="0"/>
              <w:snapToGrid w:val="0"/>
              <w:rPr>
                <w:sz w:val="20"/>
                <w:szCs w:val="20"/>
                <w:lang w:val="fr-FR"/>
              </w:rPr>
            </w:pPr>
            <w:r w:rsidRPr="006E0C0B">
              <w:rPr>
                <w:sz w:val="20"/>
                <w:szCs w:val="20"/>
                <w:lang w:val="fr-FR"/>
              </w:rPr>
              <w:t>nutrition</w:t>
            </w:r>
          </w:p>
        </w:tc>
        <w:tc>
          <w:tcPr>
            <w:tcW w:w="1774" w:type="dxa"/>
          </w:tcPr>
          <w:p w14:paraId="5F809969" w14:textId="77777777" w:rsidR="001B66E2" w:rsidRPr="006E0C0B" w:rsidRDefault="001B66E2" w:rsidP="001B66E2">
            <w:pPr>
              <w:pStyle w:val="TableParagraph"/>
              <w:keepNext/>
              <w:keepLines/>
              <w:adjustRightInd w:val="0"/>
              <w:snapToGrid w:val="0"/>
              <w:rPr>
                <w:sz w:val="20"/>
                <w:szCs w:val="20"/>
                <w:lang w:val="fr-FR"/>
              </w:rPr>
            </w:pPr>
          </w:p>
        </w:tc>
        <w:tc>
          <w:tcPr>
            <w:tcW w:w="1596" w:type="dxa"/>
          </w:tcPr>
          <w:p w14:paraId="638A498D" w14:textId="77777777" w:rsidR="001B66E2" w:rsidRPr="006E0C0B" w:rsidRDefault="001B66E2" w:rsidP="001B66E2">
            <w:pPr>
              <w:pStyle w:val="TableParagraph"/>
              <w:keepNext/>
              <w:keepLines/>
              <w:adjustRightInd w:val="0"/>
              <w:snapToGrid w:val="0"/>
              <w:rPr>
                <w:sz w:val="20"/>
                <w:szCs w:val="20"/>
                <w:lang w:val="fr-FR"/>
              </w:rPr>
            </w:pPr>
            <w:r w:rsidRPr="006E0C0B">
              <w:rPr>
                <w:sz w:val="20"/>
                <w:szCs w:val="20"/>
                <w:lang w:val="fr-FR"/>
              </w:rPr>
              <w:t>Déshydratation,</w:t>
            </w:r>
          </w:p>
          <w:p w14:paraId="4B34A274" w14:textId="3CF30414" w:rsidR="001B66E2" w:rsidRPr="006E0C0B" w:rsidRDefault="001B66E2" w:rsidP="001B66E2">
            <w:pPr>
              <w:pStyle w:val="TableParagraph"/>
              <w:keepNext/>
              <w:keepLines/>
              <w:adjustRightInd w:val="0"/>
              <w:snapToGrid w:val="0"/>
              <w:rPr>
                <w:sz w:val="20"/>
                <w:szCs w:val="20"/>
                <w:lang w:val="fr-FR"/>
              </w:rPr>
            </w:pPr>
            <w:r>
              <w:rPr>
                <w:sz w:val="20"/>
                <w:szCs w:val="20"/>
                <w:lang w:val="fr-FR"/>
              </w:rPr>
              <w:t>h</w:t>
            </w:r>
            <w:r w:rsidRPr="006E0C0B">
              <w:rPr>
                <w:sz w:val="20"/>
                <w:szCs w:val="20"/>
                <w:lang w:val="fr-FR"/>
              </w:rPr>
              <w:t>yponatrémie</w:t>
            </w:r>
          </w:p>
        </w:tc>
        <w:tc>
          <w:tcPr>
            <w:tcW w:w="884" w:type="dxa"/>
          </w:tcPr>
          <w:p w14:paraId="3D491C20" w14:textId="77777777" w:rsidR="001B66E2" w:rsidRPr="006E0C0B" w:rsidRDefault="001B66E2" w:rsidP="001B66E2">
            <w:pPr>
              <w:pStyle w:val="TableParagraph"/>
              <w:keepNext/>
              <w:keepLines/>
              <w:adjustRightInd w:val="0"/>
              <w:snapToGrid w:val="0"/>
              <w:rPr>
                <w:sz w:val="20"/>
                <w:szCs w:val="20"/>
                <w:lang w:val="fr-FR"/>
              </w:rPr>
            </w:pPr>
          </w:p>
        </w:tc>
        <w:tc>
          <w:tcPr>
            <w:tcW w:w="800" w:type="dxa"/>
          </w:tcPr>
          <w:p w14:paraId="38C8C540" w14:textId="77777777" w:rsidR="001B66E2" w:rsidRPr="006E0C0B" w:rsidRDefault="001B66E2" w:rsidP="001B66E2">
            <w:pPr>
              <w:pStyle w:val="TableParagraph"/>
              <w:keepNext/>
              <w:keepLines/>
              <w:adjustRightInd w:val="0"/>
              <w:snapToGrid w:val="0"/>
              <w:rPr>
                <w:sz w:val="20"/>
                <w:szCs w:val="20"/>
                <w:lang w:val="fr-FR"/>
              </w:rPr>
            </w:pPr>
          </w:p>
        </w:tc>
        <w:tc>
          <w:tcPr>
            <w:tcW w:w="800" w:type="dxa"/>
          </w:tcPr>
          <w:p w14:paraId="094408FC" w14:textId="77777777" w:rsidR="001B66E2" w:rsidRPr="006E0C0B" w:rsidRDefault="001B66E2" w:rsidP="001B66E2">
            <w:pPr>
              <w:pStyle w:val="TableParagraph"/>
              <w:keepNext/>
              <w:keepLines/>
              <w:adjustRightInd w:val="0"/>
              <w:snapToGrid w:val="0"/>
              <w:rPr>
                <w:sz w:val="20"/>
                <w:szCs w:val="20"/>
                <w:lang w:val="fr-FR"/>
              </w:rPr>
            </w:pPr>
          </w:p>
        </w:tc>
        <w:tc>
          <w:tcPr>
            <w:tcW w:w="1690" w:type="dxa"/>
          </w:tcPr>
          <w:p w14:paraId="12197222" w14:textId="77777777" w:rsidR="001B66E2" w:rsidRPr="006E0C0B" w:rsidRDefault="001B66E2" w:rsidP="001B66E2">
            <w:pPr>
              <w:pStyle w:val="TableParagraph"/>
              <w:keepNext/>
              <w:keepLines/>
              <w:adjustRightInd w:val="0"/>
              <w:snapToGrid w:val="0"/>
              <w:rPr>
                <w:sz w:val="20"/>
                <w:szCs w:val="20"/>
                <w:lang w:val="fr-FR"/>
              </w:rPr>
            </w:pPr>
          </w:p>
        </w:tc>
      </w:tr>
      <w:tr w:rsidR="001B66E2" w:rsidRPr="000D7348" w14:paraId="1FF39EDE" w14:textId="77777777" w:rsidTr="001B66E2">
        <w:trPr>
          <w:cantSplit/>
        </w:trPr>
        <w:tc>
          <w:tcPr>
            <w:tcW w:w="1478" w:type="dxa"/>
          </w:tcPr>
          <w:p w14:paraId="228510B5"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Affections du système nerveux</w:t>
            </w:r>
          </w:p>
        </w:tc>
        <w:tc>
          <w:tcPr>
            <w:tcW w:w="1774" w:type="dxa"/>
          </w:tcPr>
          <w:p w14:paraId="65DEAA6C"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Neuropathie sensorielle périphérique</w:t>
            </w:r>
            <w:r w:rsidRPr="006E0C0B">
              <w:rPr>
                <w:sz w:val="20"/>
                <w:szCs w:val="20"/>
                <w:vertAlign w:val="superscript"/>
                <w:lang w:val="fr-FR"/>
              </w:rPr>
              <w:t>a</w:t>
            </w:r>
          </w:p>
        </w:tc>
        <w:tc>
          <w:tcPr>
            <w:tcW w:w="1596" w:type="dxa"/>
          </w:tcPr>
          <w:p w14:paraId="2A3CD3B1" w14:textId="1A9A1E80" w:rsidR="001B66E2" w:rsidRPr="006E0C0B" w:rsidRDefault="001B66E2" w:rsidP="001B66E2">
            <w:pPr>
              <w:pStyle w:val="TableParagraph"/>
              <w:adjustRightInd w:val="0"/>
              <w:snapToGrid w:val="0"/>
              <w:rPr>
                <w:sz w:val="20"/>
                <w:szCs w:val="20"/>
                <w:lang w:val="fr-FR"/>
              </w:rPr>
            </w:pPr>
            <w:r w:rsidRPr="006E0C0B">
              <w:rPr>
                <w:sz w:val="20"/>
                <w:szCs w:val="20"/>
                <w:lang w:val="fr-FR"/>
              </w:rPr>
              <w:t xml:space="preserve">Accident vasculaire cérébral, </w:t>
            </w:r>
            <w:r>
              <w:rPr>
                <w:sz w:val="20"/>
                <w:szCs w:val="20"/>
                <w:lang w:val="fr-FR"/>
              </w:rPr>
              <w:t>s</w:t>
            </w:r>
            <w:r w:rsidRPr="006E0C0B">
              <w:rPr>
                <w:sz w:val="20"/>
                <w:szCs w:val="20"/>
                <w:lang w:val="fr-FR"/>
              </w:rPr>
              <w:t xml:space="preserve">yncope, </w:t>
            </w:r>
            <w:r>
              <w:rPr>
                <w:sz w:val="20"/>
                <w:szCs w:val="20"/>
                <w:lang w:val="fr-FR"/>
              </w:rPr>
              <w:t>s</w:t>
            </w:r>
            <w:r w:rsidRPr="006E0C0B">
              <w:rPr>
                <w:sz w:val="20"/>
                <w:szCs w:val="20"/>
                <w:lang w:val="fr-FR"/>
              </w:rPr>
              <w:t xml:space="preserve">omnolence, </w:t>
            </w:r>
            <w:r>
              <w:rPr>
                <w:sz w:val="20"/>
                <w:szCs w:val="20"/>
                <w:lang w:val="fr-FR"/>
              </w:rPr>
              <w:t>c</w:t>
            </w:r>
            <w:r w:rsidRPr="006E0C0B">
              <w:rPr>
                <w:sz w:val="20"/>
                <w:szCs w:val="20"/>
                <w:lang w:val="fr-FR"/>
              </w:rPr>
              <w:t>éphalées</w:t>
            </w:r>
          </w:p>
        </w:tc>
        <w:tc>
          <w:tcPr>
            <w:tcW w:w="884" w:type="dxa"/>
          </w:tcPr>
          <w:p w14:paraId="7A91FAB3" w14:textId="77777777" w:rsidR="001B66E2" w:rsidRPr="006E0C0B" w:rsidRDefault="001B66E2" w:rsidP="001B66E2">
            <w:pPr>
              <w:pStyle w:val="TableParagraph"/>
              <w:adjustRightInd w:val="0"/>
              <w:snapToGrid w:val="0"/>
              <w:rPr>
                <w:sz w:val="20"/>
                <w:szCs w:val="20"/>
                <w:lang w:val="fr-FR"/>
              </w:rPr>
            </w:pPr>
          </w:p>
        </w:tc>
        <w:tc>
          <w:tcPr>
            <w:tcW w:w="800" w:type="dxa"/>
          </w:tcPr>
          <w:p w14:paraId="4D4B9738" w14:textId="77777777" w:rsidR="001B66E2" w:rsidRPr="006E0C0B" w:rsidRDefault="001B66E2" w:rsidP="001B66E2">
            <w:pPr>
              <w:pStyle w:val="TableParagraph"/>
              <w:adjustRightInd w:val="0"/>
              <w:snapToGrid w:val="0"/>
              <w:rPr>
                <w:sz w:val="20"/>
                <w:szCs w:val="20"/>
                <w:lang w:val="fr-FR"/>
              </w:rPr>
            </w:pPr>
          </w:p>
        </w:tc>
        <w:tc>
          <w:tcPr>
            <w:tcW w:w="800" w:type="dxa"/>
          </w:tcPr>
          <w:p w14:paraId="67F5124A" w14:textId="77777777" w:rsidR="001B66E2" w:rsidRPr="006E0C0B" w:rsidRDefault="001B66E2" w:rsidP="001B66E2">
            <w:pPr>
              <w:pStyle w:val="TableParagraph"/>
              <w:adjustRightInd w:val="0"/>
              <w:snapToGrid w:val="0"/>
              <w:rPr>
                <w:sz w:val="20"/>
                <w:szCs w:val="20"/>
                <w:lang w:val="fr-FR"/>
              </w:rPr>
            </w:pPr>
          </w:p>
        </w:tc>
        <w:tc>
          <w:tcPr>
            <w:tcW w:w="1690" w:type="dxa"/>
          </w:tcPr>
          <w:p w14:paraId="7C9FF7D5" w14:textId="2590CF78" w:rsidR="001B66E2" w:rsidRPr="006E0C0B" w:rsidRDefault="001B66E2" w:rsidP="001B66E2">
            <w:pPr>
              <w:pStyle w:val="TableParagraph"/>
              <w:adjustRightInd w:val="0"/>
              <w:snapToGrid w:val="0"/>
              <w:rPr>
                <w:sz w:val="20"/>
                <w:szCs w:val="20"/>
                <w:lang w:val="fr-FR"/>
              </w:rPr>
            </w:pPr>
            <w:r w:rsidRPr="006E0C0B">
              <w:rPr>
                <w:sz w:val="20"/>
                <w:szCs w:val="20"/>
                <w:lang w:val="fr-FR"/>
              </w:rPr>
              <w:t>Syndrome d’encéphalopathie postérieure réversible</w:t>
            </w:r>
            <w:r w:rsidRPr="006E0C0B">
              <w:rPr>
                <w:sz w:val="20"/>
                <w:szCs w:val="20"/>
                <w:vertAlign w:val="superscript"/>
                <w:lang w:val="fr-FR"/>
              </w:rPr>
              <w:t>a,b,c</w:t>
            </w:r>
            <w:r w:rsidRPr="006E0C0B">
              <w:rPr>
                <w:sz w:val="20"/>
                <w:szCs w:val="20"/>
                <w:lang w:val="fr-FR"/>
              </w:rPr>
              <w:t xml:space="preserve">, </w:t>
            </w:r>
            <w:r>
              <w:rPr>
                <w:sz w:val="20"/>
                <w:szCs w:val="20"/>
                <w:lang w:val="fr-FR"/>
              </w:rPr>
              <w:t>e</w:t>
            </w:r>
            <w:r w:rsidRPr="006E0C0B">
              <w:rPr>
                <w:sz w:val="20"/>
                <w:szCs w:val="20"/>
                <w:lang w:val="fr-FR"/>
              </w:rPr>
              <w:t>ncéphalopathie hypertensive</w:t>
            </w:r>
            <w:r w:rsidRPr="006E0C0B">
              <w:rPr>
                <w:sz w:val="20"/>
                <w:szCs w:val="20"/>
                <w:vertAlign w:val="superscript"/>
                <w:lang w:val="fr-FR"/>
              </w:rPr>
              <w:t>c</w:t>
            </w:r>
          </w:p>
        </w:tc>
      </w:tr>
      <w:tr w:rsidR="001B66E2" w:rsidRPr="000D7348" w14:paraId="4AB6DE76" w14:textId="77777777" w:rsidTr="001B66E2">
        <w:trPr>
          <w:cantSplit/>
        </w:trPr>
        <w:tc>
          <w:tcPr>
            <w:tcW w:w="1478" w:type="dxa"/>
          </w:tcPr>
          <w:p w14:paraId="6022611F"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Affections cardiaques</w:t>
            </w:r>
          </w:p>
        </w:tc>
        <w:tc>
          <w:tcPr>
            <w:tcW w:w="1774" w:type="dxa"/>
          </w:tcPr>
          <w:p w14:paraId="21F4BE20" w14:textId="77777777" w:rsidR="001B66E2" w:rsidRPr="006E0C0B" w:rsidRDefault="001B66E2" w:rsidP="001B66E2">
            <w:pPr>
              <w:pStyle w:val="TableParagraph"/>
              <w:adjustRightInd w:val="0"/>
              <w:snapToGrid w:val="0"/>
              <w:rPr>
                <w:sz w:val="20"/>
                <w:szCs w:val="20"/>
                <w:lang w:val="fr-FR"/>
              </w:rPr>
            </w:pPr>
          </w:p>
        </w:tc>
        <w:tc>
          <w:tcPr>
            <w:tcW w:w="1596" w:type="dxa"/>
          </w:tcPr>
          <w:p w14:paraId="452E9FA0" w14:textId="3F74068F" w:rsidR="001B66E2" w:rsidRPr="006E0C0B" w:rsidRDefault="001B66E2" w:rsidP="001B66E2">
            <w:pPr>
              <w:pStyle w:val="TableParagraph"/>
              <w:adjustRightInd w:val="0"/>
              <w:snapToGrid w:val="0"/>
              <w:rPr>
                <w:sz w:val="20"/>
                <w:szCs w:val="20"/>
                <w:lang w:val="fr-FR"/>
              </w:rPr>
            </w:pPr>
            <w:r w:rsidRPr="006E0C0B">
              <w:rPr>
                <w:sz w:val="20"/>
                <w:szCs w:val="20"/>
                <w:lang w:val="fr-FR"/>
              </w:rPr>
              <w:t>Insuffisance cardiaque congestive</w:t>
            </w:r>
            <w:r w:rsidRPr="006E0C0B">
              <w:rPr>
                <w:sz w:val="20"/>
                <w:szCs w:val="20"/>
                <w:vertAlign w:val="superscript"/>
                <w:lang w:val="fr-FR"/>
              </w:rPr>
              <w:t>a,b</w:t>
            </w:r>
            <w:r w:rsidRPr="006E0C0B">
              <w:rPr>
                <w:sz w:val="20"/>
                <w:szCs w:val="20"/>
                <w:lang w:val="fr-FR"/>
              </w:rPr>
              <w:t xml:space="preserve">, </w:t>
            </w:r>
            <w:r>
              <w:rPr>
                <w:sz w:val="20"/>
                <w:szCs w:val="20"/>
                <w:lang w:val="fr-FR"/>
              </w:rPr>
              <w:t>t</w:t>
            </w:r>
            <w:r w:rsidRPr="006E0C0B">
              <w:rPr>
                <w:sz w:val="20"/>
                <w:szCs w:val="20"/>
                <w:lang w:val="fr-FR"/>
              </w:rPr>
              <w:t>achycardie</w:t>
            </w:r>
          </w:p>
          <w:p w14:paraId="28AE9A56"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supraventriculaire</w:t>
            </w:r>
          </w:p>
        </w:tc>
        <w:tc>
          <w:tcPr>
            <w:tcW w:w="884" w:type="dxa"/>
          </w:tcPr>
          <w:p w14:paraId="4D63AD95" w14:textId="77777777" w:rsidR="001B66E2" w:rsidRPr="006E0C0B" w:rsidRDefault="001B66E2" w:rsidP="001B66E2">
            <w:pPr>
              <w:pStyle w:val="TableParagraph"/>
              <w:adjustRightInd w:val="0"/>
              <w:snapToGrid w:val="0"/>
              <w:rPr>
                <w:sz w:val="20"/>
                <w:szCs w:val="20"/>
                <w:lang w:val="fr-FR"/>
              </w:rPr>
            </w:pPr>
          </w:p>
        </w:tc>
        <w:tc>
          <w:tcPr>
            <w:tcW w:w="800" w:type="dxa"/>
          </w:tcPr>
          <w:p w14:paraId="04070CE4" w14:textId="77777777" w:rsidR="001B66E2" w:rsidRPr="006E0C0B" w:rsidRDefault="001B66E2" w:rsidP="001B66E2">
            <w:pPr>
              <w:pStyle w:val="TableParagraph"/>
              <w:adjustRightInd w:val="0"/>
              <w:snapToGrid w:val="0"/>
              <w:rPr>
                <w:sz w:val="20"/>
                <w:szCs w:val="20"/>
                <w:lang w:val="fr-FR"/>
              </w:rPr>
            </w:pPr>
          </w:p>
        </w:tc>
        <w:tc>
          <w:tcPr>
            <w:tcW w:w="800" w:type="dxa"/>
          </w:tcPr>
          <w:p w14:paraId="1D863F8D" w14:textId="77777777" w:rsidR="001B66E2" w:rsidRPr="006E0C0B" w:rsidRDefault="001B66E2" w:rsidP="001B66E2">
            <w:pPr>
              <w:pStyle w:val="TableParagraph"/>
              <w:adjustRightInd w:val="0"/>
              <w:snapToGrid w:val="0"/>
              <w:rPr>
                <w:sz w:val="20"/>
                <w:szCs w:val="20"/>
                <w:lang w:val="fr-FR"/>
              </w:rPr>
            </w:pPr>
          </w:p>
        </w:tc>
        <w:tc>
          <w:tcPr>
            <w:tcW w:w="1690" w:type="dxa"/>
          </w:tcPr>
          <w:p w14:paraId="4240CAF5" w14:textId="77777777" w:rsidR="001B66E2" w:rsidRPr="006E0C0B" w:rsidRDefault="001B66E2" w:rsidP="001B66E2">
            <w:pPr>
              <w:pStyle w:val="TableParagraph"/>
              <w:adjustRightInd w:val="0"/>
              <w:snapToGrid w:val="0"/>
              <w:rPr>
                <w:sz w:val="20"/>
                <w:szCs w:val="20"/>
                <w:lang w:val="fr-FR"/>
              </w:rPr>
            </w:pPr>
          </w:p>
        </w:tc>
      </w:tr>
      <w:tr w:rsidR="001B66E2" w:rsidRPr="000D7348" w14:paraId="12021338" w14:textId="77777777" w:rsidTr="001B66E2">
        <w:trPr>
          <w:cantSplit/>
        </w:trPr>
        <w:tc>
          <w:tcPr>
            <w:tcW w:w="1478" w:type="dxa"/>
          </w:tcPr>
          <w:p w14:paraId="64813D51"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Affections vasculaires</w:t>
            </w:r>
          </w:p>
        </w:tc>
        <w:tc>
          <w:tcPr>
            <w:tcW w:w="1774" w:type="dxa"/>
          </w:tcPr>
          <w:p w14:paraId="006B82AC" w14:textId="3B52B56E" w:rsidR="001B66E2" w:rsidRPr="006156E3" w:rsidRDefault="001B66E2" w:rsidP="001B66E2">
            <w:pPr>
              <w:pStyle w:val="TableParagraph"/>
              <w:adjustRightInd w:val="0"/>
              <w:snapToGrid w:val="0"/>
              <w:rPr>
                <w:sz w:val="20"/>
                <w:szCs w:val="20"/>
                <w:vertAlign w:val="superscript"/>
                <w:lang w:val="fr-FR"/>
              </w:rPr>
            </w:pPr>
            <w:r w:rsidRPr="006E0C0B">
              <w:rPr>
                <w:sz w:val="20"/>
                <w:szCs w:val="20"/>
                <w:lang w:val="fr-FR"/>
              </w:rPr>
              <w:t>Hypertension</w:t>
            </w:r>
            <w:r w:rsidRPr="006E0C0B">
              <w:rPr>
                <w:sz w:val="20"/>
                <w:szCs w:val="20"/>
                <w:vertAlign w:val="superscript"/>
                <w:lang w:val="fr-FR"/>
              </w:rPr>
              <w:t>a,</w:t>
            </w:r>
            <w:r w:rsidRPr="006156E3">
              <w:rPr>
                <w:sz w:val="20"/>
                <w:szCs w:val="20"/>
                <w:vertAlign w:val="superscript"/>
                <w:lang w:val="fr-FR"/>
              </w:rPr>
              <w:t>b</w:t>
            </w:r>
          </w:p>
        </w:tc>
        <w:tc>
          <w:tcPr>
            <w:tcW w:w="1596" w:type="dxa"/>
          </w:tcPr>
          <w:p w14:paraId="3780A4AD" w14:textId="251ED219" w:rsidR="001B66E2" w:rsidRPr="006E0C0B" w:rsidRDefault="001B66E2" w:rsidP="001B66E2">
            <w:pPr>
              <w:pStyle w:val="TableParagraph"/>
              <w:adjustRightInd w:val="0"/>
              <w:snapToGrid w:val="0"/>
              <w:rPr>
                <w:sz w:val="20"/>
                <w:szCs w:val="20"/>
                <w:lang w:val="fr-FR"/>
              </w:rPr>
            </w:pPr>
            <w:r w:rsidRPr="006E0C0B">
              <w:rPr>
                <w:sz w:val="20"/>
                <w:szCs w:val="20"/>
                <w:lang w:val="fr-FR"/>
              </w:rPr>
              <w:t>Thromboembolie (artérielle)</w:t>
            </w:r>
            <w:r w:rsidRPr="006E0C0B">
              <w:rPr>
                <w:sz w:val="20"/>
                <w:szCs w:val="20"/>
                <w:vertAlign w:val="superscript"/>
                <w:lang w:val="fr-FR"/>
              </w:rPr>
              <w:t>a,b</w:t>
            </w:r>
            <w:r w:rsidRPr="006E0C0B">
              <w:rPr>
                <w:sz w:val="20"/>
                <w:szCs w:val="20"/>
                <w:lang w:val="fr-FR"/>
              </w:rPr>
              <w:t xml:space="preserve">, </w:t>
            </w:r>
            <w:r>
              <w:rPr>
                <w:sz w:val="20"/>
                <w:szCs w:val="20"/>
                <w:lang w:val="fr-FR"/>
              </w:rPr>
              <w:t>h</w:t>
            </w:r>
            <w:r w:rsidRPr="006E0C0B">
              <w:rPr>
                <w:sz w:val="20"/>
                <w:szCs w:val="20"/>
                <w:lang w:val="fr-FR"/>
              </w:rPr>
              <w:t>émorragie</w:t>
            </w:r>
            <w:r w:rsidRPr="006E0C0B">
              <w:rPr>
                <w:sz w:val="20"/>
                <w:szCs w:val="20"/>
                <w:vertAlign w:val="superscript"/>
                <w:lang w:val="fr-FR"/>
              </w:rPr>
              <w:t>a,b</w:t>
            </w:r>
            <w:r w:rsidRPr="006E0C0B">
              <w:rPr>
                <w:sz w:val="20"/>
                <w:szCs w:val="20"/>
                <w:lang w:val="fr-FR"/>
              </w:rPr>
              <w:t xml:space="preserve">, </w:t>
            </w:r>
            <w:r>
              <w:rPr>
                <w:sz w:val="20"/>
                <w:szCs w:val="20"/>
                <w:lang w:val="fr-FR"/>
              </w:rPr>
              <w:t>t</w:t>
            </w:r>
            <w:r w:rsidRPr="006E0C0B">
              <w:rPr>
                <w:sz w:val="20"/>
                <w:szCs w:val="20"/>
                <w:lang w:val="fr-FR"/>
              </w:rPr>
              <w:t>hromboembolie (veineuse)</w:t>
            </w:r>
            <w:r w:rsidRPr="006E0C0B">
              <w:rPr>
                <w:sz w:val="20"/>
                <w:szCs w:val="20"/>
                <w:vertAlign w:val="superscript"/>
                <w:lang w:val="fr-FR"/>
              </w:rPr>
              <w:t>a,b</w:t>
            </w:r>
            <w:r>
              <w:rPr>
                <w:sz w:val="20"/>
                <w:szCs w:val="20"/>
                <w:lang w:val="fr-FR"/>
              </w:rPr>
              <w:t>, t</w:t>
            </w:r>
            <w:r w:rsidRPr="006E0C0B">
              <w:rPr>
                <w:sz w:val="20"/>
                <w:szCs w:val="20"/>
                <w:lang w:val="fr-FR"/>
              </w:rPr>
              <w:t>hrombose</w:t>
            </w:r>
          </w:p>
          <w:p w14:paraId="5D3A506C"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veineuse profonde</w:t>
            </w:r>
          </w:p>
        </w:tc>
        <w:tc>
          <w:tcPr>
            <w:tcW w:w="884" w:type="dxa"/>
          </w:tcPr>
          <w:p w14:paraId="212C20CB" w14:textId="77777777" w:rsidR="001B66E2" w:rsidRPr="006E0C0B" w:rsidRDefault="001B66E2" w:rsidP="001B66E2">
            <w:pPr>
              <w:pStyle w:val="TableParagraph"/>
              <w:adjustRightInd w:val="0"/>
              <w:snapToGrid w:val="0"/>
              <w:rPr>
                <w:sz w:val="20"/>
                <w:szCs w:val="20"/>
                <w:lang w:val="fr-FR"/>
              </w:rPr>
            </w:pPr>
          </w:p>
        </w:tc>
        <w:tc>
          <w:tcPr>
            <w:tcW w:w="800" w:type="dxa"/>
          </w:tcPr>
          <w:p w14:paraId="34F2D241" w14:textId="77777777" w:rsidR="001B66E2" w:rsidRPr="006E0C0B" w:rsidRDefault="001B66E2" w:rsidP="001B66E2">
            <w:pPr>
              <w:pStyle w:val="TableParagraph"/>
              <w:adjustRightInd w:val="0"/>
              <w:snapToGrid w:val="0"/>
              <w:rPr>
                <w:sz w:val="20"/>
                <w:szCs w:val="20"/>
                <w:lang w:val="fr-FR"/>
              </w:rPr>
            </w:pPr>
          </w:p>
        </w:tc>
        <w:tc>
          <w:tcPr>
            <w:tcW w:w="800" w:type="dxa"/>
          </w:tcPr>
          <w:p w14:paraId="6278DE87" w14:textId="77777777" w:rsidR="001B66E2" w:rsidRPr="006E0C0B" w:rsidRDefault="001B66E2" w:rsidP="001B66E2">
            <w:pPr>
              <w:pStyle w:val="TableParagraph"/>
              <w:adjustRightInd w:val="0"/>
              <w:snapToGrid w:val="0"/>
              <w:rPr>
                <w:sz w:val="20"/>
                <w:szCs w:val="20"/>
                <w:lang w:val="fr-FR"/>
              </w:rPr>
            </w:pPr>
          </w:p>
        </w:tc>
        <w:tc>
          <w:tcPr>
            <w:tcW w:w="1690" w:type="dxa"/>
          </w:tcPr>
          <w:p w14:paraId="51FDD5DB" w14:textId="78C85A43" w:rsidR="001B66E2" w:rsidRPr="006E0C0B" w:rsidRDefault="001B66E2" w:rsidP="001B66E2">
            <w:pPr>
              <w:pStyle w:val="TableParagraph"/>
              <w:adjustRightInd w:val="0"/>
              <w:snapToGrid w:val="0"/>
              <w:rPr>
                <w:sz w:val="20"/>
                <w:szCs w:val="20"/>
                <w:lang w:val="fr-FR"/>
              </w:rPr>
            </w:pPr>
            <w:r w:rsidRPr="006E0C0B">
              <w:rPr>
                <w:sz w:val="20"/>
                <w:szCs w:val="20"/>
                <w:lang w:val="fr-FR"/>
              </w:rPr>
              <w:t>Microangiopathie thrombotique rénale</w:t>
            </w:r>
            <w:r w:rsidRPr="006E0C0B">
              <w:rPr>
                <w:sz w:val="20"/>
                <w:szCs w:val="20"/>
                <w:vertAlign w:val="superscript"/>
                <w:lang w:val="fr-FR"/>
              </w:rPr>
              <w:t>b,c</w:t>
            </w:r>
            <w:r w:rsidRPr="006E0C0B">
              <w:rPr>
                <w:sz w:val="20"/>
                <w:szCs w:val="20"/>
                <w:lang w:val="fr-FR"/>
              </w:rPr>
              <w:t xml:space="preserve">, </w:t>
            </w:r>
            <w:r>
              <w:rPr>
                <w:sz w:val="20"/>
                <w:szCs w:val="20"/>
                <w:lang w:val="fr-FR"/>
              </w:rPr>
              <w:t>a</w:t>
            </w:r>
            <w:r w:rsidRPr="006E0C0B">
              <w:rPr>
                <w:sz w:val="20"/>
                <w:szCs w:val="20"/>
                <w:lang w:val="fr-FR"/>
              </w:rPr>
              <w:t>névrismes et dissections artérielles</w:t>
            </w:r>
          </w:p>
        </w:tc>
      </w:tr>
      <w:tr w:rsidR="001B66E2" w:rsidRPr="000D7348" w14:paraId="49889BE4" w14:textId="77777777" w:rsidTr="001B66E2">
        <w:trPr>
          <w:cantSplit/>
        </w:trPr>
        <w:tc>
          <w:tcPr>
            <w:tcW w:w="1478" w:type="dxa"/>
          </w:tcPr>
          <w:p w14:paraId="74A80AF4"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Affections respiratoires, thoraciques et médiastinales</w:t>
            </w:r>
          </w:p>
        </w:tc>
        <w:tc>
          <w:tcPr>
            <w:tcW w:w="1774" w:type="dxa"/>
          </w:tcPr>
          <w:p w14:paraId="6DB93B02" w14:textId="77777777" w:rsidR="001B66E2" w:rsidRPr="006E0C0B" w:rsidRDefault="001B66E2" w:rsidP="001B66E2">
            <w:pPr>
              <w:pStyle w:val="TableParagraph"/>
              <w:adjustRightInd w:val="0"/>
              <w:snapToGrid w:val="0"/>
              <w:rPr>
                <w:sz w:val="20"/>
                <w:szCs w:val="20"/>
                <w:lang w:val="fr-FR"/>
              </w:rPr>
            </w:pPr>
          </w:p>
        </w:tc>
        <w:tc>
          <w:tcPr>
            <w:tcW w:w="1596" w:type="dxa"/>
          </w:tcPr>
          <w:p w14:paraId="7619AC0B" w14:textId="302A77B0" w:rsidR="001B66E2" w:rsidRPr="00F9256D" w:rsidRDefault="001B66E2" w:rsidP="001B66E2">
            <w:pPr>
              <w:pStyle w:val="TableParagraph"/>
              <w:adjustRightInd w:val="0"/>
              <w:snapToGrid w:val="0"/>
              <w:rPr>
                <w:sz w:val="20"/>
                <w:szCs w:val="20"/>
                <w:lang w:val="pt-BR"/>
              </w:rPr>
            </w:pPr>
            <w:r w:rsidRPr="00F9256D">
              <w:rPr>
                <w:sz w:val="20"/>
                <w:szCs w:val="20"/>
                <w:lang w:val="pt-BR"/>
              </w:rPr>
              <w:t>Hémorragie pulmonaire/ hémoptysie</w:t>
            </w:r>
            <w:r w:rsidRPr="00F9256D">
              <w:rPr>
                <w:sz w:val="20"/>
                <w:szCs w:val="20"/>
                <w:vertAlign w:val="superscript"/>
                <w:lang w:val="pt-BR"/>
              </w:rPr>
              <w:t>a,b</w:t>
            </w:r>
            <w:r w:rsidRPr="00F9256D">
              <w:rPr>
                <w:sz w:val="20"/>
                <w:szCs w:val="20"/>
                <w:lang w:val="pt-BR"/>
              </w:rPr>
              <w:t>, embolie pulmonaire, épistaxis,</w:t>
            </w:r>
          </w:p>
          <w:p w14:paraId="51EA06A0" w14:textId="3D4F7C45" w:rsidR="001B66E2" w:rsidRPr="006E0C0B" w:rsidRDefault="001B66E2" w:rsidP="001B66E2">
            <w:pPr>
              <w:pStyle w:val="TableParagraph"/>
              <w:adjustRightInd w:val="0"/>
              <w:snapToGrid w:val="0"/>
              <w:rPr>
                <w:sz w:val="20"/>
                <w:szCs w:val="20"/>
                <w:lang w:val="fr-FR"/>
              </w:rPr>
            </w:pPr>
            <w:r>
              <w:rPr>
                <w:sz w:val="20"/>
                <w:szCs w:val="20"/>
                <w:lang w:val="fr-FR"/>
              </w:rPr>
              <w:t>d</w:t>
            </w:r>
            <w:r w:rsidRPr="006E0C0B">
              <w:rPr>
                <w:sz w:val="20"/>
                <w:szCs w:val="20"/>
                <w:lang w:val="fr-FR"/>
              </w:rPr>
              <w:t xml:space="preserve">yspnée, </w:t>
            </w:r>
            <w:r>
              <w:rPr>
                <w:sz w:val="20"/>
                <w:szCs w:val="20"/>
                <w:lang w:val="fr-FR"/>
              </w:rPr>
              <w:t>h</w:t>
            </w:r>
            <w:r w:rsidRPr="006E0C0B">
              <w:rPr>
                <w:sz w:val="20"/>
                <w:szCs w:val="20"/>
                <w:lang w:val="fr-FR"/>
              </w:rPr>
              <w:t>ypoxie</w:t>
            </w:r>
          </w:p>
        </w:tc>
        <w:tc>
          <w:tcPr>
            <w:tcW w:w="884" w:type="dxa"/>
          </w:tcPr>
          <w:p w14:paraId="1A0CFFDE" w14:textId="77777777" w:rsidR="001B66E2" w:rsidRPr="006E0C0B" w:rsidRDefault="001B66E2" w:rsidP="001B66E2">
            <w:pPr>
              <w:pStyle w:val="TableParagraph"/>
              <w:adjustRightInd w:val="0"/>
              <w:snapToGrid w:val="0"/>
              <w:rPr>
                <w:sz w:val="20"/>
                <w:szCs w:val="20"/>
                <w:lang w:val="fr-FR"/>
              </w:rPr>
            </w:pPr>
          </w:p>
        </w:tc>
        <w:tc>
          <w:tcPr>
            <w:tcW w:w="800" w:type="dxa"/>
          </w:tcPr>
          <w:p w14:paraId="7FC0B605" w14:textId="77777777" w:rsidR="001B66E2" w:rsidRPr="006E0C0B" w:rsidRDefault="001B66E2" w:rsidP="001B66E2">
            <w:pPr>
              <w:pStyle w:val="TableParagraph"/>
              <w:adjustRightInd w:val="0"/>
              <w:snapToGrid w:val="0"/>
              <w:rPr>
                <w:sz w:val="20"/>
                <w:szCs w:val="20"/>
                <w:lang w:val="fr-FR"/>
              </w:rPr>
            </w:pPr>
          </w:p>
        </w:tc>
        <w:tc>
          <w:tcPr>
            <w:tcW w:w="800" w:type="dxa"/>
          </w:tcPr>
          <w:p w14:paraId="1F13DDDF" w14:textId="77777777" w:rsidR="001B66E2" w:rsidRPr="006E0C0B" w:rsidRDefault="001B66E2" w:rsidP="001B66E2">
            <w:pPr>
              <w:pStyle w:val="TableParagraph"/>
              <w:adjustRightInd w:val="0"/>
              <w:snapToGrid w:val="0"/>
              <w:rPr>
                <w:sz w:val="20"/>
                <w:szCs w:val="20"/>
                <w:lang w:val="fr-FR"/>
              </w:rPr>
            </w:pPr>
          </w:p>
        </w:tc>
        <w:tc>
          <w:tcPr>
            <w:tcW w:w="1690" w:type="dxa"/>
          </w:tcPr>
          <w:p w14:paraId="583377D2" w14:textId="2D5F374A" w:rsidR="001B66E2" w:rsidRPr="006E0C0B" w:rsidRDefault="001B66E2" w:rsidP="001B66E2">
            <w:pPr>
              <w:pStyle w:val="TableParagraph"/>
              <w:adjustRightInd w:val="0"/>
              <w:snapToGrid w:val="0"/>
              <w:rPr>
                <w:sz w:val="20"/>
                <w:szCs w:val="20"/>
                <w:lang w:val="fr-FR"/>
              </w:rPr>
            </w:pPr>
            <w:r w:rsidRPr="006E0C0B">
              <w:rPr>
                <w:sz w:val="20"/>
                <w:szCs w:val="20"/>
                <w:lang w:val="fr-FR"/>
              </w:rPr>
              <w:t>Hypertension pulmonaire</w:t>
            </w:r>
            <w:r w:rsidRPr="006E0C0B">
              <w:rPr>
                <w:sz w:val="20"/>
                <w:szCs w:val="20"/>
                <w:vertAlign w:val="superscript"/>
                <w:lang w:val="fr-FR"/>
              </w:rPr>
              <w:t>c</w:t>
            </w:r>
            <w:r w:rsidRPr="006E0C0B">
              <w:rPr>
                <w:sz w:val="20"/>
                <w:szCs w:val="20"/>
                <w:lang w:val="fr-FR"/>
              </w:rPr>
              <w:t xml:space="preserve">, </w:t>
            </w:r>
            <w:r>
              <w:rPr>
                <w:sz w:val="20"/>
                <w:szCs w:val="20"/>
                <w:lang w:val="fr-FR"/>
              </w:rPr>
              <w:t>p</w:t>
            </w:r>
            <w:r w:rsidRPr="006E0C0B">
              <w:rPr>
                <w:sz w:val="20"/>
                <w:szCs w:val="20"/>
                <w:lang w:val="fr-FR"/>
              </w:rPr>
              <w:t>erforation de la cloison nasale</w:t>
            </w:r>
            <w:r w:rsidRPr="006E0C0B">
              <w:rPr>
                <w:sz w:val="20"/>
                <w:szCs w:val="20"/>
                <w:vertAlign w:val="superscript"/>
                <w:lang w:val="fr-FR"/>
              </w:rPr>
              <w:t>c</w:t>
            </w:r>
          </w:p>
        </w:tc>
      </w:tr>
      <w:tr w:rsidR="001B66E2" w:rsidRPr="00FB537A" w14:paraId="3757D5F4" w14:textId="77777777" w:rsidTr="001B66E2">
        <w:trPr>
          <w:cantSplit/>
        </w:trPr>
        <w:tc>
          <w:tcPr>
            <w:tcW w:w="1478" w:type="dxa"/>
          </w:tcPr>
          <w:p w14:paraId="18D14330"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Affections gastro- intestinales</w:t>
            </w:r>
          </w:p>
        </w:tc>
        <w:tc>
          <w:tcPr>
            <w:tcW w:w="1774" w:type="dxa"/>
          </w:tcPr>
          <w:p w14:paraId="2F0B353F" w14:textId="7009A13A" w:rsidR="001B66E2" w:rsidRPr="006E0C0B" w:rsidRDefault="001B66E2" w:rsidP="001B66E2">
            <w:pPr>
              <w:pStyle w:val="TableParagraph"/>
              <w:adjustRightInd w:val="0"/>
              <w:snapToGrid w:val="0"/>
              <w:rPr>
                <w:sz w:val="20"/>
                <w:szCs w:val="20"/>
                <w:lang w:val="fr-FR"/>
              </w:rPr>
            </w:pPr>
            <w:r w:rsidRPr="006E0C0B">
              <w:rPr>
                <w:sz w:val="20"/>
                <w:szCs w:val="20"/>
                <w:lang w:val="fr-FR"/>
              </w:rPr>
              <w:t xml:space="preserve">Diarrhée, </w:t>
            </w:r>
            <w:r>
              <w:rPr>
                <w:sz w:val="20"/>
                <w:szCs w:val="20"/>
                <w:lang w:val="fr-FR"/>
              </w:rPr>
              <w:t>n</w:t>
            </w:r>
            <w:r w:rsidRPr="006E0C0B">
              <w:rPr>
                <w:sz w:val="20"/>
                <w:szCs w:val="20"/>
                <w:lang w:val="fr-FR"/>
              </w:rPr>
              <w:t xml:space="preserve">ausées, </w:t>
            </w:r>
            <w:r>
              <w:rPr>
                <w:sz w:val="20"/>
                <w:szCs w:val="20"/>
                <w:lang w:val="fr-FR"/>
              </w:rPr>
              <w:t>v</w:t>
            </w:r>
            <w:r w:rsidRPr="006E0C0B">
              <w:rPr>
                <w:sz w:val="20"/>
                <w:szCs w:val="20"/>
                <w:lang w:val="fr-FR"/>
              </w:rPr>
              <w:t>omissements,</w:t>
            </w:r>
          </w:p>
          <w:p w14:paraId="5C067D30" w14:textId="3C7B2CED" w:rsidR="001B66E2" w:rsidRPr="006E0C0B" w:rsidRDefault="001B66E2" w:rsidP="001B66E2">
            <w:pPr>
              <w:pStyle w:val="TableParagraph"/>
              <w:adjustRightInd w:val="0"/>
              <w:snapToGrid w:val="0"/>
              <w:rPr>
                <w:sz w:val="20"/>
                <w:szCs w:val="20"/>
                <w:lang w:val="fr-FR"/>
              </w:rPr>
            </w:pPr>
            <w:r>
              <w:rPr>
                <w:sz w:val="20"/>
                <w:szCs w:val="20"/>
                <w:lang w:val="fr-FR"/>
              </w:rPr>
              <w:t>d</w:t>
            </w:r>
            <w:r w:rsidRPr="006E0C0B">
              <w:rPr>
                <w:sz w:val="20"/>
                <w:szCs w:val="20"/>
                <w:lang w:val="fr-FR"/>
              </w:rPr>
              <w:t>ouleur abdominale</w:t>
            </w:r>
          </w:p>
        </w:tc>
        <w:tc>
          <w:tcPr>
            <w:tcW w:w="1596" w:type="dxa"/>
          </w:tcPr>
          <w:p w14:paraId="7FFD8954" w14:textId="18406B69" w:rsidR="001B66E2" w:rsidRPr="006E0C0B" w:rsidRDefault="001B66E2" w:rsidP="001B66E2">
            <w:pPr>
              <w:pStyle w:val="TableParagraph"/>
              <w:adjustRightInd w:val="0"/>
              <w:snapToGrid w:val="0"/>
              <w:rPr>
                <w:sz w:val="20"/>
                <w:szCs w:val="20"/>
                <w:lang w:val="fr-FR"/>
              </w:rPr>
            </w:pPr>
            <w:r w:rsidRPr="006E0C0B">
              <w:rPr>
                <w:sz w:val="20"/>
                <w:szCs w:val="20"/>
                <w:lang w:val="fr-FR"/>
              </w:rPr>
              <w:t xml:space="preserve">Perforation intestinale, </w:t>
            </w:r>
            <w:r>
              <w:rPr>
                <w:sz w:val="20"/>
                <w:szCs w:val="20"/>
                <w:lang w:val="fr-FR"/>
              </w:rPr>
              <w:t>i</w:t>
            </w:r>
            <w:r w:rsidRPr="006E0C0B">
              <w:rPr>
                <w:sz w:val="20"/>
                <w:szCs w:val="20"/>
                <w:lang w:val="fr-FR"/>
              </w:rPr>
              <w:t xml:space="preserve">léus, </w:t>
            </w:r>
            <w:r>
              <w:rPr>
                <w:sz w:val="20"/>
                <w:szCs w:val="20"/>
                <w:lang w:val="fr-FR"/>
              </w:rPr>
              <w:t>o</w:t>
            </w:r>
            <w:r w:rsidRPr="006E0C0B">
              <w:rPr>
                <w:sz w:val="20"/>
                <w:szCs w:val="20"/>
                <w:lang w:val="fr-FR"/>
              </w:rPr>
              <w:t xml:space="preserve">cclusion intestinale, </w:t>
            </w:r>
            <w:r>
              <w:rPr>
                <w:sz w:val="20"/>
                <w:szCs w:val="20"/>
                <w:lang w:val="fr-FR"/>
              </w:rPr>
              <w:t>f</w:t>
            </w:r>
            <w:r w:rsidRPr="006E0C0B">
              <w:rPr>
                <w:sz w:val="20"/>
                <w:szCs w:val="20"/>
                <w:lang w:val="fr-FR"/>
              </w:rPr>
              <w:t>istules recto- vaginales</w:t>
            </w:r>
            <w:r w:rsidRPr="006E0C0B">
              <w:rPr>
                <w:sz w:val="20"/>
                <w:szCs w:val="20"/>
                <w:vertAlign w:val="superscript"/>
                <w:lang w:val="fr-FR"/>
              </w:rPr>
              <w:t>c,d</w:t>
            </w:r>
            <w:r w:rsidRPr="006E0C0B">
              <w:rPr>
                <w:sz w:val="20"/>
                <w:szCs w:val="20"/>
                <w:lang w:val="fr-FR"/>
              </w:rPr>
              <w:t xml:space="preserve">, </w:t>
            </w:r>
            <w:r>
              <w:rPr>
                <w:sz w:val="20"/>
                <w:szCs w:val="20"/>
                <w:lang w:val="fr-FR"/>
              </w:rPr>
              <w:t>t</w:t>
            </w:r>
            <w:r w:rsidRPr="006E0C0B">
              <w:rPr>
                <w:sz w:val="20"/>
                <w:szCs w:val="20"/>
                <w:lang w:val="fr-FR"/>
              </w:rPr>
              <w:t>roubles gastro- intestinaux,</w:t>
            </w:r>
          </w:p>
          <w:p w14:paraId="3C8A5520" w14:textId="1CC22D36" w:rsidR="001B66E2" w:rsidRPr="006E0C0B" w:rsidRDefault="001B66E2" w:rsidP="001B66E2">
            <w:pPr>
              <w:pStyle w:val="TableParagraph"/>
              <w:adjustRightInd w:val="0"/>
              <w:snapToGrid w:val="0"/>
              <w:rPr>
                <w:sz w:val="20"/>
                <w:szCs w:val="20"/>
                <w:lang w:val="fr-FR"/>
              </w:rPr>
            </w:pPr>
            <w:r>
              <w:rPr>
                <w:sz w:val="20"/>
                <w:szCs w:val="20"/>
                <w:lang w:val="fr-FR"/>
              </w:rPr>
              <w:t>s</w:t>
            </w:r>
            <w:r w:rsidRPr="006E0C0B">
              <w:rPr>
                <w:sz w:val="20"/>
                <w:szCs w:val="20"/>
                <w:lang w:val="fr-FR"/>
              </w:rPr>
              <w:t xml:space="preserve">tomatite, </w:t>
            </w:r>
            <w:r>
              <w:rPr>
                <w:sz w:val="20"/>
                <w:szCs w:val="20"/>
                <w:lang w:val="fr-FR"/>
              </w:rPr>
              <w:t>p</w:t>
            </w:r>
            <w:r w:rsidRPr="006E0C0B">
              <w:rPr>
                <w:sz w:val="20"/>
                <w:szCs w:val="20"/>
                <w:lang w:val="fr-FR"/>
              </w:rPr>
              <w:t>roctalgie</w:t>
            </w:r>
          </w:p>
        </w:tc>
        <w:tc>
          <w:tcPr>
            <w:tcW w:w="884" w:type="dxa"/>
          </w:tcPr>
          <w:p w14:paraId="21F07EF9" w14:textId="77777777" w:rsidR="001B66E2" w:rsidRPr="006E0C0B" w:rsidRDefault="001B66E2" w:rsidP="001B66E2">
            <w:pPr>
              <w:pStyle w:val="TableParagraph"/>
              <w:adjustRightInd w:val="0"/>
              <w:snapToGrid w:val="0"/>
              <w:rPr>
                <w:sz w:val="20"/>
                <w:szCs w:val="20"/>
                <w:lang w:val="fr-FR"/>
              </w:rPr>
            </w:pPr>
          </w:p>
        </w:tc>
        <w:tc>
          <w:tcPr>
            <w:tcW w:w="800" w:type="dxa"/>
          </w:tcPr>
          <w:p w14:paraId="2243E1D6" w14:textId="77777777" w:rsidR="001B66E2" w:rsidRPr="006E0C0B" w:rsidRDefault="001B66E2" w:rsidP="001B66E2">
            <w:pPr>
              <w:pStyle w:val="TableParagraph"/>
              <w:adjustRightInd w:val="0"/>
              <w:snapToGrid w:val="0"/>
              <w:rPr>
                <w:sz w:val="20"/>
                <w:szCs w:val="20"/>
                <w:lang w:val="fr-FR"/>
              </w:rPr>
            </w:pPr>
          </w:p>
        </w:tc>
        <w:tc>
          <w:tcPr>
            <w:tcW w:w="800" w:type="dxa"/>
          </w:tcPr>
          <w:p w14:paraId="213B9E3E" w14:textId="77777777" w:rsidR="001B66E2" w:rsidRPr="006E0C0B" w:rsidRDefault="001B66E2" w:rsidP="001B66E2">
            <w:pPr>
              <w:pStyle w:val="TableParagraph"/>
              <w:adjustRightInd w:val="0"/>
              <w:snapToGrid w:val="0"/>
              <w:rPr>
                <w:sz w:val="20"/>
                <w:szCs w:val="20"/>
                <w:lang w:val="fr-FR"/>
              </w:rPr>
            </w:pPr>
          </w:p>
        </w:tc>
        <w:tc>
          <w:tcPr>
            <w:tcW w:w="1690" w:type="dxa"/>
          </w:tcPr>
          <w:p w14:paraId="07327FA7" w14:textId="0B6B7303" w:rsidR="001B66E2" w:rsidRPr="006E0C0B" w:rsidRDefault="001B66E2" w:rsidP="001B66E2">
            <w:pPr>
              <w:pStyle w:val="TableParagraph"/>
              <w:adjustRightInd w:val="0"/>
              <w:snapToGrid w:val="0"/>
              <w:rPr>
                <w:sz w:val="20"/>
                <w:szCs w:val="20"/>
                <w:lang w:val="fr-FR"/>
              </w:rPr>
            </w:pPr>
            <w:r w:rsidRPr="006E0C0B">
              <w:rPr>
                <w:sz w:val="20"/>
                <w:szCs w:val="20"/>
                <w:lang w:val="fr-FR"/>
              </w:rPr>
              <w:t>Perforation gastro- intestinale</w:t>
            </w:r>
            <w:r w:rsidRPr="006E0C0B">
              <w:rPr>
                <w:sz w:val="20"/>
                <w:szCs w:val="20"/>
                <w:vertAlign w:val="superscript"/>
                <w:lang w:val="fr-FR"/>
              </w:rPr>
              <w:t>a,b</w:t>
            </w:r>
            <w:r w:rsidRPr="006E0C0B">
              <w:rPr>
                <w:sz w:val="20"/>
                <w:szCs w:val="20"/>
                <w:lang w:val="fr-FR"/>
              </w:rPr>
              <w:t xml:space="preserve">, </w:t>
            </w:r>
            <w:r>
              <w:rPr>
                <w:sz w:val="20"/>
                <w:szCs w:val="20"/>
                <w:lang w:val="fr-FR"/>
              </w:rPr>
              <w:t>u</w:t>
            </w:r>
            <w:r w:rsidRPr="006E0C0B">
              <w:rPr>
                <w:sz w:val="20"/>
                <w:szCs w:val="20"/>
                <w:lang w:val="fr-FR"/>
              </w:rPr>
              <w:t>lcère gastro- intestinal</w:t>
            </w:r>
            <w:r w:rsidRPr="006E0C0B">
              <w:rPr>
                <w:sz w:val="20"/>
                <w:szCs w:val="20"/>
                <w:vertAlign w:val="superscript"/>
                <w:lang w:val="fr-FR"/>
              </w:rPr>
              <w:t>c</w:t>
            </w:r>
            <w:r w:rsidRPr="006E0C0B">
              <w:rPr>
                <w:sz w:val="20"/>
                <w:szCs w:val="20"/>
                <w:lang w:val="fr-FR"/>
              </w:rPr>
              <w:t xml:space="preserve">, </w:t>
            </w:r>
            <w:r>
              <w:rPr>
                <w:sz w:val="20"/>
                <w:szCs w:val="20"/>
                <w:lang w:val="fr-FR"/>
              </w:rPr>
              <w:t>h</w:t>
            </w:r>
            <w:r w:rsidRPr="006E0C0B">
              <w:rPr>
                <w:sz w:val="20"/>
                <w:szCs w:val="20"/>
                <w:lang w:val="fr-FR"/>
              </w:rPr>
              <w:t>émorragie rectale</w:t>
            </w:r>
          </w:p>
        </w:tc>
      </w:tr>
      <w:tr w:rsidR="001B66E2" w:rsidRPr="00BF2036" w14:paraId="063D9A1B" w14:textId="77777777" w:rsidTr="001B66E2">
        <w:trPr>
          <w:cantSplit/>
        </w:trPr>
        <w:tc>
          <w:tcPr>
            <w:tcW w:w="1478" w:type="dxa"/>
          </w:tcPr>
          <w:p w14:paraId="3FB7B287"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Affections hépatobiliaires</w:t>
            </w:r>
          </w:p>
        </w:tc>
        <w:tc>
          <w:tcPr>
            <w:tcW w:w="1774" w:type="dxa"/>
          </w:tcPr>
          <w:p w14:paraId="0548CA6D" w14:textId="77777777" w:rsidR="001B66E2" w:rsidRPr="006E0C0B" w:rsidRDefault="001B66E2" w:rsidP="001B66E2">
            <w:pPr>
              <w:pStyle w:val="TableParagraph"/>
              <w:adjustRightInd w:val="0"/>
              <w:snapToGrid w:val="0"/>
              <w:rPr>
                <w:sz w:val="20"/>
                <w:szCs w:val="20"/>
                <w:lang w:val="fr-FR"/>
              </w:rPr>
            </w:pPr>
          </w:p>
        </w:tc>
        <w:tc>
          <w:tcPr>
            <w:tcW w:w="1596" w:type="dxa"/>
          </w:tcPr>
          <w:p w14:paraId="548A61DB" w14:textId="77777777" w:rsidR="001B66E2" w:rsidRPr="006E0C0B" w:rsidRDefault="001B66E2" w:rsidP="001B66E2">
            <w:pPr>
              <w:pStyle w:val="TableParagraph"/>
              <w:adjustRightInd w:val="0"/>
              <w:snapToGrid w:val="0"/>
              <w:rPr>
                <w:sz w:val="20"/>
                <w:szCs w:val="20"/>
                <w:lang w:val="fr-FR"/>
              </w:rPr>
            </w:pPr>
          </w:p>
        </w:tc>
        <w:tc>
          <w:tcPr>
            <w:tcW w:w="884" w:type="dxa"/>
          </w:tcPr>
          <w:p w14:paraId="5BD8F97B" w14:textId="77777777" w:rsidR="001B66E2" w:rsidRPr="006E0C0B" w:rsidRDefault="001B66E2" w:rsidP="001B66E2">
            <w:pPr>
              <w:pStyle w:val="TableParagraph"/>
              <w:adjustRightInd w:val="0"/>
              <w:snapToGrid w:val="0"/>
              <w:rPr>
                <w:sz w:val="20"/>
                <w:szCs w:val="20"/>
                <w:lang w:val="fr-FR"/>
              </w:rPr>
            </w:pPr>
          </w:p>
        </w:tc>
        <w:tc>
          <w:tcPr>
            <w:tcW w:w="800" w:type="dxa"/>
          </w:tcPr>
          <w:p w14:paraId="2DE7C53E" w14:textId="77777777" w:rsidR="001B66E2" w:rsidRPr="006E0C0B" w:rsidRDefault="001B66E2" w:rsidP="001B66E2">
            <w:pPr>
              <w:pStyle w:val="TableParagraph"/>
              <w:adjustRightInd w:val="0"/>
              <w:snapToGrid w:val="0"/>
              <w:rPr>
                <w:sz w:val="20"/>
                <w:szCs w:val="20"/>
                <w:lang w:val="fr-FR"/>
              </w:rPr>
            </w:pPr>
          </w:p>
        </w:tc>
        <w:tc>
          <w:tcPr>
            <w:tcW w:w="800" w:type="dxa"/>
          </w:tcPr>
          <w:p w14:paraId="2F86A208" w14:textId="77777777" w:rsidR="001B66E2" w:rsidRPr="006E0C0B" w:rsidRDefault="001B66E2" w:rsidP="001B66E2">
            <w:pPr>
              <w:pStyle w:val="TableParagraph"/>
              <w:adjustRightInd w:val="0"/>
              <w:snapToGrid w:val="0"/>
              <w:rPr>
                <w:sz w:val="20"/>
                <w:szCs w:val="20"/>
                <w:lang w:val="fr-FR"/>
              </w:rPr>
            </w:pPr>
          </w:p>
        </w:tc>
        <w:tc>
          <w:tcPr>
            <w:tcW w:w="1690" w:type="dxa"/>
          </w:tcPr>
          <w:p w14:paraId="5B02E3D2"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Perforation de la vésicule</w:t>
            </w:r>
          </w:p>
          <w:p w14:paraId="18EAE41B"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biliaire</w:t>
            </w:r>
            <w:r w:rsidRPr="006E0C0B">
              <w:rPr>
                <w:sz w:val="20"/>
                <w:szCs w:val="20"/>
                <w:vertAlign w:val="superscript"/>
                <w:lang w:val="fr-FR"/>
              </w:rPr>
              <w:t>b,c</w:t>
            </w:r>
          </w:p>
        </w:tc>
      </w:tr>
      <w:tr w:rsidR="001B66E2" w:rsidRPr="006E0C0B" w14:paraId="14A74696" w14:textId="77777777" w:rsidTr="001B66E2">
        <w:trPr>
          <w:cantSplit/>
        </w:trPr>
        <w:tc>
          <w:tcPr>
            <w:tcW w:w="1478" w:type="dxa"/>
          </w:tcPr>
          <w:p w14:paraId="044DBD6D"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lastRenderedPageBreak/>
              <w:t>Affections de la peau et du tissu sous- cutané</w:t>
            </w:r>
          </w:p>
        </w:tc>
        <w:tc>
          <w:tcPr>
            <w:tcW w:w="1774" w:type="dxa"/>
          </w:tcPr>
          <w:p w14:paraId="3568BA3E" w14:textId="77777777" w:rsidR="001B66E2" w:rsidRPr="006E0C0B" w:rsidRDefault="001B66E2" w:rsidP="001B66E2">
            <w:pPr>
              <w:pStyle w:val="TableParagraph"/>
              <w:adjustRightInd w:val="0"/>
              <w:snapToGrid w:val="0"/>
              <w:rPr>
                <w:sz w:val="20"/>
                <w:szCs w:val="20"/>
                <w:lang w:val="fr-FR"/>
              </w:rPr>
            </w:pPr>
          </w:p>
        </w:tc>
        <w:tc>
          <w:tcPr>
            <w:tcW w:w="1596" w:type="dxa"/>
          </w:tcPr>
          <w:p w14:paraId="0DBDA67B" w14:textId="34280219" w:rsidR="001B66E2" w:rsidRPr="006E0C0B" w:rsidRDefault="001B66E2" w:rsidP="001B66E2">
            <w:pPr>
              <w:pStyle w:val="TableParagraph"/>
              <w:adjustRightInd w:val="0"/>
              <w:snapToGrid w:val="0"/>
              <w:rPr>
                <w:sz w:val="20"/>
                <w:szCs w:val="20"/>
                <w:lang w:val="fr-FR"/>
              </w:rPr>
            </w:pPr>
            <w:r w:rsidRPr="006E0C0B">
              <w:rPr>
                <w:sz w:val="20"/>
                <w:szCs w:val="20"/>
                <w:lang w:val="fr-FR"/>
              </w:rPr>
              <w:t>Complications de la cicatrisation des plaies</w:t>
            </w:r>
            <w:r w:rsidRPr="006E0C0B">
              <w:rPr>
                <w:sz w:val="20"/>
                <w:szCs w:val="20"/>
                <w:vertAlign w:val="superscript"/>
                <w:lang w:val="fr-FR"/>
              </w:rPr>
              <w:t>a,b</w:t>
            </w:r>
            <w:r w:rsidRPr="006E0C0B">
              <w:rPr>
                <w:sz w:val="20"/>
                <w:szCs w:val="20"/>
                <w:lang w:val="fr-FR"/>
              </w:rPr>
              <w:t xml:space="preserve">, </w:t>
            </w:r>
            <w:r>
              <w:rPr>
                <w:sz w:val="20"/>
                <w:szCs w:val="20"/>
                <w:lang w:val="fr-FR"/>
              </w:rPr>
              <w:t>s</w:t>
            </w:r>
            <w:r w:rsidRPr="006E0C0B">
              <w:rPr>
                <w:sz w:val="20"/>
                <w:szCs w:val="20"/>
                <w:lang w:val="fr-FR"/>
              </w:rPr>
              <w:t>yndrome d’erythrodyses</w:t>
            </w:r>
          </w:p>
          <w:p w14:paraId="3FA87AE0"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thésie palmo- plantaire</w:t>
            </w:r>
          </w:p>
        </w:tc>
        <w:tc>
          <w:tcPr>
            <w:tcW w:w="884" w:type="dxa"/>
          </w:tcPr>
          <w:p w14:paraId="3D7EB413" w14:textId="77777777" w:rsidR="001B66E2" w:rsidRPr="006E0C0B" w:rsidRDefault="001B66E2" w:rsidP="001B66E2">
            <w:pPr>
              <w:pStyle w:val="TableParagraph"/>
              <w:adjustRightInd w:val="0"/>
              <w:snapToGrid w:val="0"/>
              <w:rPr>
                <w:sz w:val="20"/>
                <w:szCs w:val="20"/>
                <w:lang w:val="fr-FR"/>
              </w:rPr>
            </w:pPr>
          </w:p>
        </w:tc>
        <w:tc>
          <w:tcPr>
            <w:tcW w:w="800" w:type="dxa"/>
          </w:tcPr>
          <w:p w14:paraId="40CF086E" w14:textId="77777777" w:rsidR="001B66E2" w:rsidRPr="006E0C0B" w:rsidRDefault="001B66E2" w:rsidP="001B66E2">
            <w:pPr>
              <w:pStyle w:val="TableParagraph"/>
              <w:adjustRightInd w:val="0"/>
              <w:snapToGrid w:val="0"/>
              <w:rPr>
                <w:sz w:val="20"/>
                <w:szCs w:val="20"/>
                <w:lang w:val="fr-FR"/>
              </w:rPr>
            </w:pPr>
          </w:p>
        </w:tc>
        <w:tc>
          <w:tcPr>
            <w:tcW w:w="800" w:type="dxa"/>
          </w:tcPr>
          <w:p w14:paraId="61834165" w14:textId="77777777" w:rsidR="001B66E2" w:rsidRPr="006E0C0B" w:rsidRDefault="001B66E2" w:rsidP="001B66E2">
            <w:pPr>
              <w:pStyle w:val="TableParagraph"/>
              <w:adjustRightInd w:val="0"/>
              <w:snapToGrid w:val="0"/>
              <w:rPr>
                <w:sz w:val="20"/>
                <w:szCs w:val="20"/>
                <w:lang w:val="fr-FR"/>
              </w:rPr>
            </w:pPr>
          </w:p>
        </w:tc>
        <w:tc>
          <w:tcPr>
            <w:tcW w:w="1690" w:type="dxa"/>
          </w:tcPr>
          <w:p w14:paraId="0370ACF1" w14:textId="77777777" w:rsidR="001B66E2" w:rsidRPr="006E0C0B" w:rsidRDefault="001B66E2" w:rsidP="001B66E2">
            <w:pPr>
              <w:pStyle w:val="TableParagraph"/>
              <w:adjustRightInd w:val="0"/>
              <w:snapToGrid w:val="0"/>
              <w:rPr>
                <w:sz w:val="20"/>
                <w:szCs w:val="20"/>
                <w:lang w:val="fr-FR"/>
              </w:rPr>
            </w:pPr>
          </w:p>
        </w:tc>
      </w:tr>
      <w:tr w:rsidR="001B66E2" w:rsidRPr="000D7348" w14:paraId="2C56285D" w14:textId="77777777" w:rsidTr="001B66E2">
        <w:trPr>
          <w:cantSplit/>
        </w:trPr>
        <w:tc>
          <w:tcPr>
            <w:tcW w:w="1478" w:type="dxa"/>
          </w:tcPr>
          <w:p w14:paraId="704BA256"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Affections musculo- squelettiques et systémiques</w:t>
            </w:r>
          </w:p>
        </w:tc>
        <w:tc>
          <w:tcPr>
            <w:tcW w:w="1774" w:type="dxa"/>
          </w:tcPr>
          <w:p w14:paraId="209F9FC6" w14:textId="77777777" w:rsidR="001B66E2" w:rsidRPr="006E0C0B" w:rsidRDefault="001B66E2" w:rsidP="001B66E2">
            <w:pPr>
              <w:pStyle w:val="TableParagraph"/>
              <w:adjustRightInd w:val="0"/>
              <w:snapToGrid w:val="0"/>
              <w:rPr>
                <w:sz w:val="20"/>
                <w:szCs w:val="20"/>
                <w:lang w:val="fr-FR"/>
              </w:rPr>
            </w:pPr>
          </w:p>
        </w:tc>
        <w:tc>
          <w:tcPr>
            <w:tcW w:w="1596" w:type="dxa"/>
          </w:tcPr>
          <w:p w14:paraId="26C14360" w14:textId="2EBEFF11" w:rsidR="001B66E2" w:rsidRPr="006E0C0B" w:rsidRDefault="001B66E2" w:rsidP="001B66E2">
            <w:pPr>
              <w:pStyle w:val="TableParagraph"/>
              <w:adjustRightInd w:val="0"/>
              <w:snapToGrid w:val="0"/>
              <w:rPr>
                <w:sz w:val="20"/>
                <w:szCs w:val="20"/>
                <w:lang w:val="fr-FR"/>
              </w:rPr>
            </w:pPr>
            <w:r w:rsidRPr="006E0C0B">
              <w:rPr>
                <w:sz w:val="20"/>
                <w:szCs w:val="20"/>
                <w:lang w:val="fr-FR"/>
              </w:rPr>
              <w:t>Fistule</w:t>
            </w:r>
            <w:r w:rsidRPr="006E0C0B">
              <w:rPr>
                <w:sz w:val="20"/>
                <w:szCs w:val="20"/>
                <w:vertAlign w:val="superscript"/>
                <w:lang w:val="fr-FR"/>
              </w:rPr>
              <w:t>a,b</w:t>
            </w:r>
            <w:r w:rsidRPr="006E0C0B">
              <w:rPr>
                <w:sz w:val="20"/>
                <w:szCs w:val="20"/>
                <w:lang w:val="fr-FR"/>
              </w:rPr>
              <w:t xml:space="preserve">, </w:t>
            </w:r>
            <w:r>
              <w:rPr>
                <w:sz w:val="20"/>
                <w:szCs w:val="20"/>
                <w:lang w:val="fr-FR"/>
              </w:rPr>
              <w:t>m</w:t>
            </w:r>
            <w:r w:rsidRPr="006E0C0B">
              <w:rPr>
                <w:sz w:val="20"/>
                <w:szCs w:val="20"/>
                <w:lang w:val="fr-FR"/>
              </w:rPr>
              <w:t xml:space="preserve">yalgie, </w:t>
            </w:r>
            <w:r>
              <w:rPr>
                <w:sz w:val="20"/>
                <w:szCs w:val="20"/>
                <w:lang w:val="fr-FR"/>
              </w:rPr>
              <w:t>a</w:t>
            </w:r>
            <w:r w:rsidRPr="006E0C0B">
              <w:rPr>
                <w:sz w:val="20"/>
                <w:szCs w:val="20"/>
                <w:lang w:val="fr-FR"/>
              </w:rPr>
              <w:t xml:space="preserve">rthralgie, </w:t>
            </w:r>
            <w:r>
              <w:rPr>
                <w:sz w:val="20"/>
                <w:szCs w:val="20"/>
                <w:lang w:val="fr-FR"/>
              </w:rPr>
              <w:t>f</w:t>
            </w:r>
            <w:r w:rsidRPr="006E0C0B">
              <w:rPr>
                <w:sz w:val="20"/>
                <w:szCs w:val="20"/>
                <w:lang w:val="fr-FR"/>
              </w:rPr>
              <w:t>aiblesse</w:t>
            </w:r>
          </w:p>
          <w:p w14:paraId="5F42888C" w14:textId="704BFC0D" w:rsidR="001B66E2" w:rsidRPr="006E0C0B" w:rsidRDefault="001B66E2" w:rsidP="001B66E2">
            <w:pPr>
              <w:pStyle w:val="TableParagraph"/>
              <w:adjustRightInd w:val="0"/>
              <w:snapToGrid w:val="0"/>
              <w:rPr>
                <w:sz w:val="20"/>
                <w:szCs w:val="20"/>
                <w:lang w:val="fr-FR"/>
              </w:rPr>
            </w:pPr>
            <w:r w:rsidRPr="006E0C0B">
              <w:rPr>
                <w:sz w:val="20"/>
                <w:szCs w:val="20"/>
                <w:lang w:val="fr-FR"/>
              </w:rPr>
              <w:t xml:space="preserve">musculaire, </w:t>
            </w:r>
            <w:r>
              <w:rPr>
                <w:sz w:val="20"/>
                <w:szCs w:val="20"/>
                <w:lang w:val="fr-FR"/>
              </w:rPr>
              <w:t>d</w:t>
            </w:r>
            <w:r w:rsidRPr="006E0C0B">
              <w:rPr>
                <w:sz w:val="20"/>
                <w:szCs w:val="20"/>
                <w:lang w:val="fr-FR"/>
              </w:rPr>
              <w:t>orsalgie</w:t>
            </w:r>
          </w:p>
        </w:tc>
        <w:tc>
          <w:tcPr>
            <w:tcW w:w="884" w:type="dxa"/>
          </w:tcPr>
          <w:p w14:paraId="167D586D" w14:textId="77777777" w:rsidR="001B66E2" w:rsidRPr="006E0C0B" w:rsidRDefault="001B66E2" w:rsidP="001B66E2">
            <w:pPr>
              <w:pStyle w:val="TableParagraph"/>
              <w:adjustRightInd w:val="0"/>
              <w:snapToGrid w:val="0"/>
              <w:rPr>
                <w:sz w:val="20"/>
                <w:szCs w:val="20"/>
                <w:lang w:val="fr-FR"/>
              </w:rPr>
            </w:pPr>
          </w:p>
        </w:tc>
        <w:tc>
          <w:tcPr>
            <w:tcW w:w="800" w:type="dxa"/>
          </w:tcPr>
          <w:p w14:paraId="61B600D9" w14:textId="77777777" w:rsidR="001B66E2" w:rsidRPr="006E0C0B" w:rsidRDefault="001B66E2" w:rsidP="001B66E2">
            <w:pPr>
              <w:pStyle w:val="TableParagraph"/>
              <w:adjustRightInd w:val="0"/>
              <w:snapToGrid w:val="0"/>
              <w:rPr>
                <w:sz w:val="20"/>
                <w:szCs w:val="20"/>
                <w:lang w:val="fr-FR"/>
              </w:rPr>
            </w:pPr>
          </w:p>
        </w:tc>
        <w:tc>
          <w:tcPr>
            <w:tcW w:w="800" w:type="dxa"/>
          </w:tcPr>
          <w:p w14:paraId="1E4B67F7" w14:textId="77777777" w:rsidR="001B66E2" w:rsidRPr="006E0C0B" w:rsidRDefault="001B66E2" w:rsidP="001B66E2">
            <w:pPr>
              <w:pStyle w:val="TableParagraph"/>
              <w:adjustRightInd w:val="0"/>
              <w:snapToGrid w:val="0"/>
              <w:rPr>
                <w:sz w:val="20"/>
                <w:szCs w:val="20"/>
                <w:lang w:val="fr-FR"/>
              </w:rPr>
            </w:pPr>
          </w:p>
        </w:tc>
        <w:tc>
          <w:tcPr>
            <w:tcW w:w="1690" w:type="dxa"/>
          </w:tcPr>
          <w:p w14:paraId="4DE02E1F"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Ostéonécrose de la mâchoire</w:t>
            </w:r>
            <w:r w:rsidRPr="006E0C0B">
              <w:rPr>
                <w:sz w:val="20"/>
                <w:szCs w:val="20"/>
                <w:vertAlign w:val="superscript"/>
                <w:lang w:val="fr-FR"/>
              </w:rPr>
              <w:t>b,c</w:t>
            </w:r>
          </w:p>
        </w:tc>
      </w:tr>
      <w:tr w:rsidR="001B66E2" w:rsidRPr="006E0C0B" w14:paraId="661817A9" w14:textId="77777777" w:rsidTr="001B66E2">
        <w:trPr>
          <w:cantSplit/>
        </w:trPr>
        <w:tc>
          <w:tcPr>
            <w:tcW w:w="1478" w:type="dxa"/>
          </w:tcPr>
          <w:p w14:paraId="00574E1B"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Affections du rein et des</w:t>
            </w:r>
          </w:p>
          <w:p w14:paraId="305C1EE0"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voies urinaires</w:t>
            </w:r>
          </w:p>
        </w:tc>
        <w:tc>
          <w:tcPr>
            <w:tcW w:w="1774" w:type="dxa"/>
          </w:tcPr>
          <w:p w14:paraId="591952A3" w14:textId="77777777" w:rsidR="001B66E2" w:rsidRPr="006E0C0B" w:rsidRDefault="001B66E2" w:rsidP="001B66E2">
            <w:pPr>
              <w:pStyle w:val="TableParagraph"/>
              <w:adjustRightInd w:val="0"/>
              <w:snapToGrid w:val="0"/>
              <w:rPr>
                <w:sz w:val="20"/>
                <w:szCs w:val="20"/>
                <w:lang w:val="fr-FR"/>
              </w:rPr>
            </w:pPr>
          </w:p>
        </w:tc>
        <w:tc>
          <w:tcPr>
            <w:tcW w:w="1596" w:type="dxa"/>
          </w:tcPr>
          <w:p w14:paraId="3B842895"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Protéinurie</w:t>
            </w:r>
            <w:r w:rsidRPr="006E0C0B">
              <w:rPr>
                <w:sz w:val="20"/>
                <w:szCs w:val="20"/>
                <w:vertAlign w:val="superscript"/>
                <w:lang w:val="fr-FR"/>
              </w:rPr>
              <w:t>a,b,</w:t>
            </w:r>
          </w:p>
        </w:tc>
        <w:tc>
          <w:tcPr>
            <w:tcW w:w="884" w:type="dxa"/>
          </w:tcPr>
          <w:p w14:paraId="5815AF26" w14:textId="77777777" w:rsidR="001B66E2" w:rsidRPr="006E0C0B" w:rsidRDefault="001B66E2" w:rsidP="001B66E2">
            <w:pPr>
              <w:pStyle w:val="TableParagraph"/>
              <w:adjustRightInd w:val="0"/>
              <w:snapToGrid w:val="0"/>
              <w:rPr>
                <w:sz w:val="20"/>
                <w:szCs w:val="20"/>
                <w:lang w:val="fr-FR"/>
              </w:rPr>
            </w:pPr>
          </w:p>
        </w:tc>
        <w:tc>
          <w:tcPr>
            <w:tcW w:w="800" w:type="dxa"/>
          </w:tcPr>
          <w:p w14:paraId="52ED2889" w14:textId="77777777" w:rsidR="001B66E2" w:rsidRPr="006E0C0B" w:rsidRDefault="001B66E2" w:rsidP="001B66E2">
            <w:pPr>
              <w:pStyle w:val="TableParagraph"/>
              <w:adjustRightInd w:val="0"/>
              <w:snapToGrid w:val="0"/>
              <w:rPr>
                <w:sz w:val="20"/>
                <w:szCs w:val="20"/>
                <w:lang w:val="fr-FR"/>
              </w:rPr>
            </w:pPr>
          </w:p>
        </w:tc>
        <w:tc>
          <w:tcPr>
            <w:tcW w:w="800" w:type="dxa"/>
          </w:tcPr>
          <w:p w14:paraId="6F38E08A" w14:textId="77777777" w:rsidR="001B66E2" w:rsidRPr="006E0C0B" w:rsidRDefault="001B66E2" w:rsidP="001B66E2">
            <w:pPr>
              <w:pStyle w:val="TableParagraph"/>
              <w:adjustRightInd w:val="0"/>
              <w:snapToGrid w:val="0"/>
              <w:rPr>
                <w:sz w:val="20"/>
                <w:szCs w:val="20"/>
                <w:lang w:val="fr-FR"/>
              </w:rPr>
            </w:pPr>
          </w:p>
        </w:tc>
        <w:tc>
          <w:tcPr>
            <w:tcW w:w="1690" w:type="dxa"/>
          </w:tcPr>
          <w:p w14:paraId="740B06FD" w14:textId="77777777" w:rsidR="001B66E2" w:rsidRPr="006E0C0B" w:rsidRDefault="001B66E2" w:rsidP="001B66E2">
            <w:pPr>
              <w:pStyle w:val="TableParagraph"/>
              <w:adjustRightInd w:val="0"/>
              <w:snapToGrid w:val="0"/>
              <w:rPr>
                <w:sz w:val="20"/>
                <w:szCs w:val="20"/>
                <w:lang w:val="fr-FR"/>
              </w:rPr>
            </w:pPr>
          </w:p>
        </w:tc>
      </w:tr>
      <w:tr w:rsidR="001B66E2" w:rsidRPr="006E0C0B" w14:paraId="2B686DC8" w14:textId="77777777" w:rsidTr="001B66E2">
        <w:trPr>
          <w:cantSplit/>
        </w:trPr>
        <w:tc>
          <w:tcPr>
            <w:tcW w:w="1478" w:type="dxa"/>
          </w:tcPr>
          <w:p w14:paraId="4550A30F"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Affections des organes de</w:t>
            </w:r>
          </w:p>
          <w:p w14:paraId="418C492C"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reproduction et du sein</w:t>
            </w:r>
          </w:p>
        </w:tc>
        <w:tc>
          <w:tcPr>
            <w:tcW w:w="1774" w:type="dxa"/>
          </w:tcPr>
          <w:p w14:paraId="3DDFE4D7" w14:textId="77777777" w:rsidR="001B66E2" w:rsidRPr="006E0C0B" w:rsidRDefault="001B66E2" w:rsidP="001B66E2">
            <w:pPr>
              <w:pStyle w:val="TableParagraph"/>
              <w:adjustRightInd w:val="0"/>
              <w:snapToGrid w:val="0"/>
              <w:rPr>
                <w:sz w:val="20"/>
                <w:szCs w:val="20"/>
                <w:lang w:val="fr-FR"/>
              </w:rPr>
            </w:pPr>
          </w:p>
        </w:tc>
        <w:tc>
          <w:tcPr>
            <w:tcW w:w="1596" w:type="dxa"/>
          </w:tcPr>
          <w:p w14:paraId="515AED5D"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Douleur pelvienne</w:t>
            </w:r>
          </w:p>
        </w:tc>
        <w:tc>
          <w:tcPr>
            <w:tcW w:w="884" w:type="dxa"/>
          </w:tcPr>
          <w:p w14:paraId="2850D9C9" w14:textId="77777777" w:rsidR="001B66E2" w:rsidRPr="006E0C0B" w:rsidRDefault="001B66E2" w:rsidP="001B66E2">
            <w:pPr>
              <w:pStyle w:val="TableParagraph"/>
              <w:adjustRightInd w:val="0"/>
              <w:snapToGrid w:val="0"/>
              <w:rPr>
                <w:sz w:val="20"/>
                <w:szCs w:val="20"/>
                <w:lang w:val="fr-FR"/>
              </w:rPr>
            </w:pPr>
          </w:p>
        </w:tc>
        <w:tc>
          <w:tcPr>
            <w:tcW w:w="800" w:type="dxa"/>
          </w:tcPr>
          <w:p w14:paraId="40BFB50F" w14:textId="77777777" w:rsidR="001B66E2" w:rsidRPr="006E0C0B" w:rsidRDefault="001B66E2" w:rsidP="001B66E2">
            <w:pPr>
              <w:pStyle w:val="TableParagraph"/>
              <w:adjustRightInd w:val="0"/>
              <w:snapToGrid w:val="0"/>
              <w:rPr>
                <w:sz w:val="20"/>
                <w:szCs w:val="20"/>
                <w:lang w:val="fr-FR"/>
              </w:rPr>
            </w:pPr>
          </w:p>
        </w:tc>
        <w:tc>
          <w:tcPr>
            <w:tcW w:w="800" w:type="dxa"/>
          </w:tcPr>
          <w:p w14:paraId="1591CD67" w14:textId="77777777" w:rsidR="001B66E2" w:rsidRPr="006E0C0B" w:rsidRDefault="001B66E2" w:rsidP="001B66E2">
            <w:pPr>
              <w:pStyle w:val="TableParagraph"/>
              <w:adjustRightInd w:val="0"/>
              <w:snapToGrid w:val="0"/>
              <w:rPr>
                <w:sz w:val="20"/>
                <w:szCs w:val="20"/>
                <w:lang w:val="fr-FR"/>
              </w:rPr>
            </w:pPr>
          </w:p>
        </w:tc>
        <w:tc>
          <w:tcPr>
            <w:tcW w:w="1690" w:type="dxa"/>
          </w:tcPr>
          <w:p w14:paraId="1581B0CD"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Insuffisance ovarienne</w:t>
            </w:r>
            <w:r w:rsidRPr="006E0C0B">
              <w:rPr>
                <w:sz w:val="20"/>
                <w:szCs w:val="20"/>
                <w:vertAlign w:val="superscript"/>
                <w:lang w:val="fr-FR"/>
              </w:rPr>
              <w:t>a,b</w:t>
            </w:r>
          </w:p>
        </w:tc>
      </w:tr>
      <w:tr w:rsidR="001B66E2" w:rsidRPr="006E0C0B" w14:paraId="5912130B" w14:textId="77777777" w:rsidTr="001B66E2">
        <w:trPr>
          <w:cantSplit/>
        </w:trPr>
        <w:tc>
          <w:tcPr>
            <w:tcW w:w="1478" w:type="dxa"/>
          </w:tcPr>
          <w:p w14:paraId="60486C2B"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Affections</w:t>
            </w:r>
          </w:p>
          <w:p w14:paraId="556A97A5"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congénitales,</w:t>
            </w:r>
          </w:p>
          <w:p w14:paraId="75486F9A"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familiales et génétiques</w:t>
            </w:r>
          </w:p>
        </w:tc>
        <w:tc>
          <w:tcPr>
            <w:tcW w:w="1774" w:type="dxa"/>
          </w:tcPr>
          <w:p w14:paraId="76EE5EE7" w14:textId="77777777" w:rsidR="001B66E2" w:rsidRPr="006E0C0B" w:rsidRDefault="001B66E2" w:rsidP="001B66E2">
            <w:pPr>
              <w:pStyle w:val="TableParagraph"/>
              <w:adjustRightInd w:val="0"/>
              <w:snapToGrid w:val="0"/>
              <w:rPr>
                <w:sz w:val="20"/>
                <w:szCs w:val="20"/>
                <w:lang w:val="fr-FR"/>
              </w:rPr>
            </w:pPr>
          </w:p>
        </w:tc>
        <w:tc>
          <w:tcPr>
            <w:tcW w:w="1596" w:type="dxa"/>
          </w:tcPr>
          <w:p w14:paraId="31BBBCC7" w14:textId="77777777" w:rsidR="001B66E2" w:rsidRPr="006E0C0B" w:rsidRDefault="001B66E2" w:rsidP="001B66E2">
            <w:pPr>
              <w:pStyle w:val="TableParagraph"/>
              <w:adjustRightInd w:val="0"/>
              <w:snapToGrid w:val="0"/>
              <w:rPr>
                <w:sz w:val="20"/>
                <w:szCs w:val="20"/>
                <w:lang w:val="fr-FR"/>
              </w:rPr>
            </w:pPr>
          </w:p>
        </w:tc>
        <w:tc>
          <w:tcPr>
            <w:tcW w:w="884" w:type="dxa"/>
          </w:tcPr>
          <w:p w14:paraId="0A45F7B0" w14:textId="77777777" w:rsidR="001B66E2" w:rsidRPr="006E0C0B" w:rsidRDefault="001B66E2" w:rsidP="001B66E2">
            <w:pPr>
              <w:pStyle w:val="TableParagraph"/>
              <w:adjustRightInd w:val="0"/>
              <w:snapToGrid w:val="0"/>
              <w:rPr>
                <w:sz w:val="20"/>
                <w:szCs w:val="20"/>
                <w:lang w:val="fr-FR"/>
              </w:rPr>
            </w:pPr>
          </w:p>
        </w:tc>
        <w:tc>
          <w:tcPr>
            <w:tcW w:w="800" w:type="dxa"/>
          </w:tcPr>
          <w:p w14:paraId="393BC2CD" w14:textId="77777777" w:rsidR="001B66E2" w:rsidRPr="006E0C0B" w:rsidRDefault="001B66E2" w:rsidP="001B66E2">
            <w:pPr>
              <w:pStyle w:val="TableParagraph"/>
              <w:adjustRightInd w:val="0"/>
              <w:snapToGrid w:val="0"/>
              <w:rPr>
                <w:sz w:val="20"/>
                <w:szCs w:val="20"/>
                <w:lang w:val="fr-FR"/>
              </w:rPr>
            </w:pPr>
          </w:p>
        </w:tc>
        <w:tc>
          <w:tcPr>
            <w:tcW w:w="800" w:type="dxa"/>
          </w:tcPr>
          <w:p w14:paraId="44ACFE3A" w14:textId="77777777" w:rsidR="001B66E2" w:rsidRPr="006E0C0B" w:rsidRDefault="001B66E2" w:rsidP="001B66E2">
            <w:pPr>
              <w:pStyle w:val="TableParagraph"/>
              <w:adjustRightInd w:val="0"/>
              <w:snapToGrid w:val="0"/>
              <w:rPr>
                <w:sz w:val="20"/>
                <w:szCs w:val="20"/>
                <w:lang w:val="fr-FR"/>
              </w:rPr>
            </w:pPr>
          </w:p>
        </w:tc>
        <w:tc>
          <w:tcPr>
            <w:tcW w:w="1690" w:type="dxa"/>
          </w:tcPr>
          <w:p w14:paraId="3BA1C30C"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Anomalies</w:t>
            </w:r>
          </w:p>
          <w:p w14:paraId="47C4843E"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fœtales</w:t>
            </w:r>
            <w:r w:rsidRPr="006E0C0B">
              <w:rPr>
                <w:sz w:val="20"/>
                <w:szCs w:val="20"/>
                <w:vertAlign w:val="superscript"/>
                <w:lang w:val="fr-FR"/>
              </w:rPr>
              <w:t>a,c</w:t>
            </w:r>
          </w:p>
        </w:tc>
      </w:tr>
      <w:tr w:rsidR="001B66E2" w:rsidRPr="006E0C0B" w14:paraId="308BD345" w14:textId="77777777" w:rsidTr="001B66E2">
        <w:trPr>
          <w:cantSplit/>
        </w:trPr>
        <w:tc>
          <w:tcPr>
            <w:tcW w:w="1478" w:type="dxa"/>
          </w:tcPr>
          <w:p w14:paraId="257162A4" w14:textId="77777777" w:rsidR="001B66E2" w:rsidRPr="006E0C0B" w:rsidRDefault="001B66E2" w:rsidP="001B66E2">
            <w:pPr>
              <w:pStyle w:val="TableParagraph"/>
              <w:adjustRightInd w:val="0"/>
              <w:snapToGrid w:val="0"/>
              <w:rPr>
                <w:sz w:val="20"/>
                <w:szCs w:val="20"/>
                <w:lang w:val="fr-FR"/>
              </w:rPr>
            </w:pPr>
            <w:r w:rsidRPr="006E0C0B">
              <w:rPr>
                <w:sz w:val="20"/>
                <w:szCs w:val="20"/>
                <w:lang w:val="fr-FR"/>
              </w:rPr>
              <w:t>Troubles généraux et anomalies au site d’administration</w:t>
            </w:r>
          </w:p>
        </w:tc>
        <w:tc>
          <w:tcPr>
            <w:tcW w:w="1774" w:type="dxa"/>
          </w:tcPr>
          <w:p w14:paraId="09E1F8A9" w14:textId="2E116680" w:rsidR="001B66E2" w:rsidRPr="006E0C0B" w:rsidRDefault="001B66E2" w:rsidP="001B66E2">
            <w:pPr>
              <w:pStyle w:val="TableParagraph"/>
              <w:adjustRightInd w:val="0"/>
              <w:snapToGrid w:val="0"/>
              <w:rPr>
                <w:sz w:val="20"/>
                <w:szCs w:val="20"/>
                <w:lang w:val="fr-FR"/>
              </w:rPr>
            </w:pPr>
            <w:r w:rsidRPr="006E0C0B">
              <w:rPr>
                <w:sz w:val="20"/>
                <w:szCs w:val="20"/>
                <w:lang w:val="fr-FR"/>
              </w:rPr>
              <w:t xml:space="preserve">Asthénie, </w:t>
            </w:r>
            <w:r>
              <w:rPr>
                <w:sz w:val="20"/>
                <w:szCs w:val="20"/>
                <w:lang w:val="fr-FR"/>
              </w:rPr>
              <w:t>f</w:t>
            </w:r>
            <w:r w:rsidRPr="006E0C0B">
              <w:rPr>
                <w:sz w:val="20"/>
                <w:szCs w:val="20"/>
                <w:lang w:val="fr-FR"/>
              </w:rPr>
              <w:t>atigue</w:t>
            </w:r>
          </w:p>
        </w:tc>
        <w:tc>
          <w:tcPr>
            <w:tcW w:w="1596" w:type="dxa"/>
          </w:tcPr>
          <w:p w14:paraId="3D0D1F05" w14:textId="52713578" w:rsidR="001B66E2" w:rsidRPr="006E0C0B" w:rsidRDefault="001B66E2" w:rsidP="001B66E2">
            <w:pPr>
              <w:pStyle w:val="TableParagraph"/>
              <w:adjustRightInd w:val="0"/>
              <w:snapToGrid w:val="0"/>
              <w:rPr>
                <w:sz w:val="20"/>
                <w:szCs w:val="20"/>
                <w:lang w:val="fr-FR"/>
              </w:rPr>
            </w:pPr>
            <w:r w:rsidRPr="006E0C0B">
              <w:rPr>
                <w:sz w:val="20"/>
                <w:szCs w:val="20"/>
                <w:lang w:val="fr-FR"/>
              </w:rPr>
              <w:t xml:space="preserve">Douleur, </w:t>
            </w:r>
            <w:r>
              <w:rPr>
                <w:sz w:val="20"/>
                <w:szCs w:val="20"/>
                <w:lang w:val="fr-FR"/>
              </w:rPr>
              <w:t>l</w:t>
            </w:r>
            <w:r w:rsidRPr="006E0C0B">
              <w:rPr>
                <w:sz w:val="20"/>
                <w:szCs w:val="20"/>
                <w:lang w:val="fr-FR"/>
              </w:rPr>
              <w:t xml:space="preserve">éthargie, </w:t>
            </w:r>
            <w:r>
              <w:rPr>
                <w:sz w:val="20"/>
                <w:szCs w:val="20"/>
                <w:lang w:val="fr-FR"/>
              </w:rPr>
              <w:t>i</w:t>
            </w:r>
            <w:r w:rsidRPr="006E0C0B">
              <w:rPr>
                <w:sz w:val="20"/>
                <w:szCs w:val="20"/>
                <w:lang w:val="fr-FR"/>
              </w:rPr>
              <w:t>nflammation muqueuse</w:t>
            </w:r>
          </w:p>
        </w:tc>
        <w:tc>
          <w:tcPr>
            <w:tcW w:w="884" w:type="dxa"/>
          </w:tcPr>
          <w:p w14:paraId="3B6BE26D" w14:textId="77777777" w:rsidR="001B66E2" w:rsidRPr="006E0C0B" w:rsidRDefault="001B66E2" w:rsidP="001B66E2">
            <w:pPr>
              <w:pStyle w:val="TableParagraph"/>
              <w:adjustRightInd w:val="0"/>
              <w:snapToGrid w:val="0"/>
              <w:rPr>
                <w:sz w:val="20"/>
                <w:szCs w:val="20"/>
                <w:lang w:val="fr-FR"/>
              </w:rPr>
            </w:pPr>
          </w:p>
        </w:tc>
        <w:tc>
          <w:tcPr>
            <w:tcW w:w="800" w:type="dxa"/>
          </w:tcPr>
          <w:p w14:paraId="34DA40BF" w14:textId="77777777" w:rsidR="001B66E2" w:rsidRPr="006E0C0B" w:rsidRDefault="001B66E2" w:rsidP="001B66E2">
            <w:pPr>
              <w:pStyle w:val="TableParagraph"/>
              <w:adjustRightInd w:val="0"/>
              <w:snapToGrid w:val="0"/>
              <w:rPr>
                <w:sz w:val="20"/>
                <w:szCs w:val="20"/>
                <w:lang w:val="fr-FR"/>
              </w:rPr>
            </w:pPr>
          </w:p>
        </w:tc>
        <w:tc>
          <w:tcPr>
            <w:tcW w:w="800" w:type="dxa"/>
          </w:tcPr>
          <w:p w14:paraId="33F2AE5D" w14:textId="77777777" w:rsidR="001B66E2" w:rsidRPr="006E0C0B" w:rsidRDefault="001B66E2" w:rsidP="001B66E2">
            <w:pPr>
              <w:pStyle w:val="TableParagraph"/>
              <w:adjustRightInd w:val="0"/>
              <w:snapToGrid w:val="0"/>
              <w:rPr>
                <w:sz w:val="20"/>
                <w:szCs w:val="20"/>
                <w:lang w:val="fr-FR"/>
              </w:rPr>
            </w:pPr>
          </w:p>
        </w:tc>
        <w:tc>
          <w:tcPr>
            <w:tcW w:w="1690" w:type="dxa"/>
          </w:tcPr>
          <w:p w14:paraId="0017EA80" w14:textId="77777777" w:rsidR="001B66E2" w:rsidRPr="006E0C0B" w:rsidRDefault="001B66E2" w:rsidP="001B66E2">
            <w:pPr>
              <w:pStyle w:val="TableParagraph"/>
              <w:adjustRightInd w:val="0"/>
              <w:snapToGrid w:val="0"/>
              <w:rPr>
                <w:sz w:val="20"/>
                <w:szCs w:val="20"/>
                <w:lang w:val="fr-FR"/>
              </w:rPr>
            </w:pPr>
          </w:p>
        </w:tc>
      </w:tr>
    </w:tbl>
    <w:p w14:paraId="7F34BC54" w14:textId="77777777" w:rsidR="004401F0" w:rsidRPr="006E0C0B" w:rsidRDefault="00DF3C4F" w:rsidP="00BD4C7C">
      <w:pPr>
        <w:adjustRightInd w:val="0"/>
        <w:snapToGrid w:val="0"/>
        <w:rPr>
          <w:sz w:val="18"/>
          <w:szCs w:val="18"/>
          <w:lang w:val="fr-FR"/>
        </w:rPr>
      </w:pPr>
      <w:r w:rsidRPr="006E0C0B">
        <w:rPr>
          <w:sz w:val="18"/>
          <w:szCs w:val="18"/>
          <w:lang w:val="fr-FR"/>
        </w:rPr>
        <w:t>Le tableau 2 présente la fréquence des effets indésirable graves. Les effets indésirables graves sont considérés en tant que tel, lorsque qu’une différence d’au moins 2% est observée par rapport au groupe témoin pour les effets de grade 3-5 NCI-CTCAE dans les études cliniques. Le tableau 2 inclus également les effets indésirables considérés comme cliniquement significatifs ou graves par le titulaire de l’AMM.</w:t>
      </w:r>
    </w:p>
    <w:p w14:paraId="2529EE2F" w14:textId="77777777" w:rsidR="004401F0" w:rsidRPr="006E0C0B" w:rsidRDefault="00DF3C4F" w:rsidP="00BD4C7C">
      <w:pPr>
        <w:adjustRightInd w:val="0"/>
        <w:snapToGrid w:val="0"/>
        <w:rPr>
          <w:sz w:val="18"/>
          <w:szCs w:val="18"/>
          <w:lang w:val="fr-FR"/>
        </w:rPr>
      </w:pPr>
      <w:r w:rsidRPr="006E0C0B">
        <w:rPr>
          <w:sz w:val="18"/>
          <w:szCs w:val="18"/>
          <w:lang w:val="fr-FR"/>
        </w:rPr>
        <w:t>Ces effets indésirables, cliniquement significatifs, ont été rapportés dans les essais cliniques mais les effets de grade 3-5 n’ont pas atteint le seuil d’une différence d’au moins 2% par rapport au groupe témoin. Le tableau 2 inclut également les effets indésirables cliniquement significatifs, observés depuis la commercialisation uniquement. Par conséquent, la fréquence et le grade NCI-CTCAE n’est pas connu. Ces effets cliniquement significatifs ont ainsi été inclus dans la colonne « fréquence indéterminée » du tableau 2.</w:t>
      </w:r>
    </w:p>
    <w:p w14:paraId="54A34ABA" w14:textId="58226445" w:rsidR="004401F0" w:rsidRPr="006E0C0B" w:rsidRDefault="00DF3C4F" w:rsidP="00BD4C7C">
      <w:pPr>
        <w:adjustRightInd w:val="0"/>
        <w:snapToGrid w:val="0"/>
        <w:rPr>
          <w:sz w:val="18"/>
          <w:szCs w:val="18"/>
          <w:lang w:val="fr-FR"/>
        </w:rPr>
      </w:pPr>
      <w:r w:rsidRPr="006E0C0B">
        <w:rPr>
          <w:sz w:val="18"/>
          <w:szCs w:val="18"/>
          <w:vertAlign w:val="superscript"/>
          <w:lang w:val="fr-FR"/>
        </w:rPr>
        <w:t>a</w:t>
      </w:r>
      <w:r w:rsidRPr="006E0C0B">
        <w:rPr>
          <w:sz w:val="18"/>
          <w:szCs w:val="18"/>
          <w:lang w:val="fr-FR"/>
        </w:rPr>
        <w:t xml:space="preserve"> Les termes représentent des groupes d’évènements indésirables décrivant un concept médical plutôt qu’une condition particulière ou terme privilégié MedDRA (Medical Dictionnay for Regulatory Activities). Ce groupe de termes médicaux peut impliquer la même physiopathologie sous-jacente (ex</w:t>
      </w:r>
      <w:r w:rsidR="00765A43">
        <w:rPr>
          <w:sz w:val="18"/>
          <w:szCs w:val="18"/>
          <w:lang w:val="fr-FR"/>
        </w:rPr>
        <w:t xml:space="preserve"> : </w:t>
      </w:r>
      <w:r w:rsidRPr="006E0C0B">
        <w:rPr>
          <w:sz w:val="18"/>
          <w:szCs w:val="18"/>
          <w:lang w:val="fr-FR"/>
        </w:rPr>
        <w:t>les effets thromboemboliques artériels incluent les accidents vasculaires cérébraux, les infarctus du myocarde, les accidents ischémiques transitoires et les autres effets thromboemboliques artériels).</w:t>
      </w:r>
    </w:p>
    <w:p w14:paraId="1776B09E" w14:textId="19146CFD" w:rsidR="004401F0" w:rsidRPr="006E0C0B" w:rsidRDefault="00DF3C4F" w:rsidP="00BD4C7C">
      <w:pPr>
        <w:adjustRightInd w:val="0"/>
        <w:snapToGrid w:val="0"/>
        <w:rPr>
          <w:sz w:val="18"/>
          <w:szCs w:val="18"/>
          <w:lang w:val="fr-FR"/>
        </w:rPr>
      </w:pPr>
      <w:r w:rsidRPr="006E0C0B">
        <w:rPr>
          <w:sz w:val="18"/>
          <w:szCs w:val="18"/>
          <w:vertAlign w:val="superscript"/>
          <w:lang w:val="fr-FR"/>
        </w:rPr>
        <w:t>b</w:t>
      </w:r>
      <w:r w:rsidRPr="006E0C0B">
        <w:rPr>
          <w:sz w:val="18"/>
          <w:szCs w:val="18"/>
          <w:lang w:val="fr-FR"/>
        </w:rPr>
        <w:t xml:space="preserve"> Pour des informations supplémentaires se reporter ci-dessous à la section </w:t>
      </w:r>
      <w:r w:rsidR="008F60BB">
        <w:rPr>
          <w:sz w:val="18"/>
          <w:szCs w:val="18"/>
          <w:lang w:val="fr-FR"/>
        </w:rPr>
        <w:t>« </w:t>
      </w:r>
      <w:r w:rsidRPr="006E0C0B">
        <w:rPr>
          <w:sz w:val="18"/>
          <w:szCs w:val="18"/>
          <w:lang w:val="fr-FR"/>
        </w:rPr>
        <w:t>Informations supplémentaires sur certains des effets indésirables graves</w:t>
      </w:r>
      <w:r w:rsidR="008F60BB">
        <w:rPr>
          <w:sz w:val="18"/>
          <w:szCs w:val="18"/>
          <w:lang w:val="fr-FR"/>
        </w:rPr>
        <w:t> »</w:t>
      </w:r>
      <w:r w:rsidRPr="006E0C0B">
        <w:rPr>
          <w:sz w:val="18"/>
          <w:szCs w:val="18"/>
          <w:lang w:val="fr-FR"/>
        </w:rPr>
        <w:t>.</w:t>
      </w:r>
    </w:p>
    <w:p w14:paraId="3F625838" w14:textId="3FA5D68A" w:rsidR="004401F0" w:rsidRPr="00654D21" w:rsidRDefault="00DF3C4F" w:rsidP="00BD4C7C">
      <w:pPr>
        <w:adjustRightInd w:val="0"/>
        <w:snapToGrid w:val="0"/>
        <w:rPr>
          <w:spacing w:val="-2"/>
          <w:sz w:val="18"/>
          <w:szCs w:val="18"/>
          <w:lang w:val="fr-FR"/>
        </w:rPr>
      </w:pPr>
      <w:r w:rsidRPr="00654D21">
        <w:rPr>
          <w:spacing w:val="-2"/>
          <w:sz w:val="18"/>
          <w:szCs w:val="18"/>
          <w:vertAlign w:val="superscript"/>
          <w:lang w:val="fr-FR"/>
        </w:rPr>
        <w:t>c</w:t>
      </w:r>
      <w:r w:rsidRPr="00654D21">
        <w:rPr>
          <w:spacing w:val="-2"/>
          <w:sz w:val="18"/>
          <w:szCs w:val="18"/>
          <w:lang w:val="fr-FR"/>
        </w:rPr>
        <w:t xml:space="preserve"> Pour des informations complémentaires, se reporter au tableau 3 « Effets indésirables rapportés depuis la </w:t>
      </w:r>
      <w:r w:rsidR="00C8389B" w:rsidRPr="00654D21">
        <w:rPr>
          <w:spacing w:val="-2"/>
          <w:sz w:val="18"/>
          <w:szCs w:val="18"/>
          <w:lang w:val="fr-FR"/>
        </w:rPr>
        <w:t>commercialisation </w:t>
      </w:r>
      <w:r w:rsidRPr="00654D21">
        <w:rPr>
          <w:spacing w:val="-2"/>
          <w:sz w:val="18"/>
          <w:szCs w:val="18"/>
          <w:lang w:val="fr-FR"/>
        </w:rPr>
        <w:t>».</w:t>
      </w:r>
    </w:p>
    <w:p w14:paraId="3ADF2660" w14:textId="77777777" w:rsidR="004401F0" w:rsidRPr="006E0C0B" w:rsidRDefault="00DF3C4F" w:rsidP="00BD4C7C">
      <w:pPr>
        <w:adjustRightInd w:val="0"/>
        <w:snapToGrid w:val="0"/>
        <w:rPr>
          <w:sz w:val="18"/>
          <w:szCs w:val="18"/>
          <w:lang w:val="fr-FR"/>
        </w:rPr>
      </w:pPr>
      <w:r w:rsidRPr="006E0C0B">
        <w:rPr>
          <w:sz w:val="18"/>
          <w:szCs w:val="18"/>
          <w:vertAlign w:val="superscript"/>
          <w:lang w:val="fr-FR"/>
        </w:rPr>
        <w:t>d</w:t>
      </w:r>
      <w:r w:rsidRPr="006E0C0B">
        <w:rPr>
          <w:sz w:val="18"/>
          <w:szCs w:val="18"/>
          <w:lang w:val="fr-FR"/>
        </w:rPr>
        <w:t xml:space="preserve"> Les fistules recto-vaginales sont les plus fréquentes dans la catégorie des fistules GI-vaginales.</w:t>
      </w:r>
    </w:p>
    <w:p w14:paraId="1DCFF609" w14:textId="77777777" w:rsidR="004401F0" w:rsidRPr="007C119A" w:rsidRDefault="004401F0" w:rsidP="00BD4C7C">
      <w:pPr>
        <w:pStyle w:val="a3"/>
        <w:adjustRightInd w:val="0"/>
        <w:snapToGrid w:val="0"/>
        <w:rPr>
          <w:lang w:val="fr-FR"/>
        </w:rPr>
      </w:pPr>
    </w:p>
    <w:p w14:paraId="4E1E83D9" w14:textId="77777777" w:rsidR="004401F0" w:rsidRPr="00DA7718" w:rsidRDefault="00DF3C4F" w:rsidP="00BD4C7C">
      <w:pPr>
        <w:pStyle w:val="a3"/>
        <w:adjustRightInd w:val="0"/>
        <w:snapToGrid w:val="0"/>
        <w:rPr>
          <w:lang w:val="fr-FR"/>
        </w:rPr>
      </w:pPr>
      <w:r w:rsidRPr="00DA7718">
        <w:rPr>
          <w:u w:val="single"/>
          <w:lang w:val="fr-FR"/>
        </w:rPr>
        <w:t>Description de certains des effets indésirables graves :</w:t>
      </w:r>
    </w:p>
    <w:p w14:paraId="03B4E7BD" w14:textId="77777777" w:rsidR="004401F0" w:rsidRPr="003F4D24" w:rsidRDefault="004401F0" w:rsidP="00BD4C7C">
      <w:pPr>
        <w:pStyle w:val="a3"/>
        <w:adjustRightInd w:val="0"/>
        <w:snapToGrid w:val="0"/>
        <w:rPr>
          <w:lang w:val="fr-FR"/>
        </w:rPr>
      </w:pPr>
    </w:p>
    <w:p w14:paraId="4E2AF136" w14:textId="77777777" w:rsidR="004401F0" w:rsidRPr="00DA7718" w:rsidRDefault="00DF3C4F" w:rsidP="00BD4C7C">
      <w:pPr>
        <w:adjustRightInd w:val="0"/>
        <w:snapToGrid w:val="0"/>
        <w:rPr>
          <w:lang w:val="fr-FR"/>
        </w:rPr>
      </w:pPr>
      <w:r w:rsidRPr="00F9256D">
        <w:rPr>
          <w:i/>
          <w:u w:val="single"/>
          <w:lang w:val="fr-FR"/>
        </w:rPr>
        <w:t>Perforations gastro-intestinales (GI) et fistules</w:t>
      </w:r>
      <w:r w:rsidRPr="00DA7718">
        <w:rPr>
          <w:i/>
          <w:lang w:val="fr-FR"/>
        </w:rPr>
        <w:t xml:space="preserve"> </w:t>
      </w:r>
      <w:r w:rsidRPr="00DA7718">
        <w:rPr>
          <w:lang w:val="fr-FR"/>
        </w:rPr>
        <w:t>(voir rubrique 4.4) :</w:t>
      </w:r>
    </w:p>
    <w:p w14:paraId="60747D41" w14:textId="5824418D" w:rsidR="004401F0" w:rsidRPr="00DA7718" w:rsidRDefault="008F60BB" w:rsidP="00BD4C7C">
      <w:pPr>
        <w:pStyle w:val="a3"/>
        <w:adjustRightInd w:val="0"/>
        <w:snapToGrid w:val="0"/>
        <w:rPr>
          <w:lang w:val="fr-FR"/>
        </w:rPr>
      </w:pPr>
      <w:r>
        <w:rPr>
          <w:lang w:val="fr-FR"/>
        </w:rPr>
        <w:t>Le bevacizumab</w:t>
      </w:r>
      <w:r w:rsidRPr="00DA7718">
        <w:rPr>
          <w:lang w:val="fr-FR"/>
        </w:rPr>
        <w:t xml:space="preserve"> </w:t>
      </w:r>
      <w:r w:rsidR="00DF3C4F" w:rsidRPr="00DA7718">
        <w:rPr>
          <w:lang w:val="fr-FR"/>
        </w:rPr>
        <w:t>a été associé à des cas graves de perforations gastro-intestinales.</w:t>
      </w:r>
    </w:p>
    <w:p w14:paraId="6FF6223E" w14:textId="77777777" w:rsidR="004401F0" w:rsidRPr="007C119A" w:rsidRDefault="004401F0" w:rsidP="00BD4C7C">
      <w:pPr>
        <w:pStyle w:val="a3"/>
        <w:adjustRightInd w:val="0"/>
        <w:snapToGrid w:val="0"/>
        <w:rPr>
          <w:lang w:val="fr-FR"/>
        </w:rPr>
      </w:pPr>
    </w:p>
    <w:p w14:paraId="508C997C" w14:textId="65485718" w:rsidR="004401F0" w:rsidRPr="00DA7718" w:rsidRDefault="00DF3C4F" w:rsidP="00BD4C7C">
      <w:pPr>
        <w:pStyle w:val="a3"/>
        <w:adjustRightInd w:val="0"/>
        <w:snapToGrid w:val="0"/>
        <w:rPr>
          <w:lang w:val="fr-FR"/>
        </w:rPr>
      </w:pPr>
      <w:r w:rsidRPr="00DA7718">
        <w:rPr>
          <w:lang w:val="fr-FR"/>
        </w:rPr>
        <w:t>Des perforations gastro-intestinales ont été rapportées dans les études cliniques avec une incidence inférieure à 1</w:t>
      </w:r>
      <w:r w:rsidR="00AF3AAA">
        <w:rPr>
          <w:lang w:val="fr-FR"/>
        </w:rPr>
        <w:t xml:space="preserve"> % </w:t>
      </w:r>
      <w:r w:rsidRPr="00DA7718">
        <w:rPr>
          <w:lang w:val="fr-FR"/>
        </w:rPr>
        <w:t xml:space="preserve">ou le </w:t>
      </w:r>
      <w:r w:rsidR="00D20EFA">
        <w:rPr>
          <w:lang w:val="fr-FR"/>
        </w:rPr>
        <w:t>CBNPC</w:t>
      </w:r>
      <w:r w:rsidRPr="00DA7718">
        <w:rPr>
          <w:lang w:val="fr-FR"/>
        </w:rPr>
        <w:t xml:space="preserve"> non épidermoïde, jusqu’à 1,3% dans le cancer du sein métastatique, jusqu’à 2,0</w:t>
      </w:r>
      <w:r w:rsidR="00AF3AAA">
        <w:rPr>
          <w:lang w:val="fr-FR"/>
        </w:rPr>
        <w:t xml:space="preserve"> % </w:t>
      </w:r>
      <w:r w:rsidRPr="00DA7718">
        <w:rPr>
          <w:lang w:val="fr-FR"/>
        </w:rPr>
        <w:t xml:space="preserve">dans le </w:t>
      </w:r>
      <w:r w:rsidR="00D20EFA">
        <w:rPr>
          <w:lang w:val="fr-FR"/>
        </w:rPr>
        <w:t>CRm</w:t>
      </w:r>
      <w:r w:rsidRPr="00DA7718">
        <w:rPr>
          <w:lang w:val="fr-FR"/>
        </w:rPr>
        <w:t xml:space="preserve"> ou dans le cancer de l’ovaire et jusqu’à 2,7% (comprenant des fistules gastro-intestinales et des abcès) dans le cancer colorectal métastatique. Au cours d’un essai clinique avec des patientes atteintes d’un cancer du col de l’utérus persistant, en rechute ou métastatique (étude GOG-0240), des perforations GI (tous grades confondus) ont été rapportées chez 3,2</w:t>
      </w:r>
      <w:r w:rsidR="00AF3AAA">
        <w:rPr>
          <w:lang w:val="fr-FR"/>
        </w:rPr>
        <w:t xml:space="preserve"> % </w:t>
      </w:r>
      <w:r w:rsidRPr="00DA7718">
        <w:rPr>
          <w:lang w:val="fr-FR"/>
        </w:rPr>
        <w:t>des patientes, qui avaient toutes un antécédent de radiothérapie pelvienne.</w:t>
      </w:r>
    </w:p>
    <w:p w14:paraId="3CE918B7" w14:textId="77777777" w:rsidR="004401F0" w:rsidRPr="007C119A" w:rsidRDefault="004401F0" w:rsidP="00BD4C7C">
      <w:pPr>
        <w:pStyle w:val="a3"/>
        <w:adjustRightInd w:val="0"/>
        <w:snapToGrid w:val="0"/>
        <w:rPr>
          <w:lang w:val="fr-FR"/>
        </w:rPr>
      </w:pPr>
    </w:p>
    <w:p w14:paraId="5566092F" w14:textId="77777777" w:rsidR="004401F0" w:rsidRPr="00DA7718" w:rsidRDefault="00DF3C4F" w:rsidP="00BD4C7C">
      <w:pPr>
        <w:pStyle w:val="a3"/>
        <w:adjustRightInd w:val="0"/>
        <w:snapToGrid w:val="0"/>
        <w:rPr>
          <w:lang w:val="fr-FR"/>
        </w:rPr>
      </w:pPr>
      <w:r w:rsidRPr="00DA7718">
        <w:rPr>
          <w:lang w:val="fr-FR"/>
        </w:rPr>
        <w:lastRenderedPageBreak/>
        <w:t>La survenue de ces évènements variait en nature et en sévérité, allant de la présence d’air libre observée à la radiographie abdominale sans préparation (ASP), avec résolution spontanée sans traitement, à la perforation intestinale avec abcès abdominal et issue fatale. Dans certains cas, une inflammation intra abdominale sous-jacente était présente, en raison d’un ulcère gastrique, d’une nécrose tumorale, d’une diverticulite ou d’une colite associée à une chimiothérapie.</w:t>
      </w:r>
    </w:p>
    <w:p w14:paraId="467B2EB5" w14:textId="77777777" w:rsidR="004401F0" w:rsidRPr="007C119A" w:rsidRDefault="004401F0" w:rsidP="00BD4C7C">
      <w:pPr>
        <w:pStyle w:val="a3"/>
        <w:adjustRightInd w:val="0"/>
        <w:snapToGrid w:val="0"/>
        <w:rPr>
          <w:lang w:val="fr-FR"/>
        </w:rPr>
      </w:pPr>
    </w:p>
    <w:p w14:paraId="7EBBBF66" w14:textId="3672A56B" w:rsidR="004401F0" w:rsidRPr="00DA7718" w:rsidRDefault="00DF3C4F" w:rsidP="00BD4C7C">
      <w:pPr>
        <w:pStyle w:val="a3"/>
        <w:adjustRightInd w:val="0"/>
        <w:snapToGrid w:val="0"/>
        <w:rPr>
          <w:lang w:val="fr-FR"/>
        </w:rPr>
      </w:pPr>
      <w:r w:rsidRPr="00DA7718">
        <w:rPr>
          <w:lang w:val="fr-FR"/>
        </w:rPr>
        <w:t>Dans environ un tiers des cas de perforations gastro-intestinales graves, l’évolution a été fatale, ce qui représente entre 0,2 et 1</w:t>
      </w:r>
      <w:r w:rsidR="00AF3AAA">
        <w:rPr>
          <w:lang w:val="fr-FR"/>
        </w:rPr>
        <w:t xml:space="preserve"> % </w:t>
      </w:r>
      <w:r w:rsidRPr="00DA7718">
        <w:rPr>
          <w:lang w:val="fr-FR"/>
        </w:rPr>
        <w:t xml:space="preserve">de l’ensemble des patients traités par </w:t>
      </w:r>
      <w:r w:rsidR="008F60BB">
        <w:rPr>
          <w:lang w:val="fr-FR"/>
        </w:rPr>
        <w:t>bevacizumab</w:t>
      </w:r>
      <w:r w:rsidRPr="00DA7718">
        <w:rPr>
          <w:lang w:val="fr-FR"/>
        </w:rPr>
        <w:t>.</w:t>
      </w:r>
    </w:p>
    <w:p w14:paraId="03AAB09B" w14:textId="77777777" w:rsidR="00BD4C7C" w:rsidRPr="00DA7718" w:rsidRDefault="00BD4C7C" w:rsidP="00BD4C7C">
      <w:pPr>
        <w:adjustRightInd w:val="0"/>
        <w:snapToGrid w:val="0"/>
        <w:rPr>
          <w:lang w:val="fr-FR"/>
        </w:rPr>
      </w:pPr>
    </w:p>
    <w:p w14:paraId="4645EA39" w14:textId="3A2F7F82" w:rsidR="004401F0" w:rsidRPr="00DA7718" w:rsidRDefault="00DF3C4F" w:rsidP="00BD4C7C">
      <w:pPr>
        <w:pStyle w:val="a3"/>
        <w:adjustRightInd w:val="0"/>
        <w:snapToGrid w:val="0"/>
        <w:jc w:val="both"/>
        <w:rPr>
          <w:lang w:val="fr-FR"/>
        </w:rPr>
      </w:pPr>
      <w:r w:rsidRPr="00DA7718">
        <w:rPr>
          <w:lang w:val="fr-FR"/>
        </w:rPr>
        <w:t xml:space="preserve">Au cours des essais cliniques </w:t>
      </w:r>
      <w:r w:rsidR="00B8111C">
        <w:rPr>
          <w:lang w:val="fr-FR"/>
        </w:rPr>
        <w:t>sur le</w:t>
      </w:r>
      <w:r w:rsidR="008F60BB">
        <w:rPr>
          <w:lang w:val="fr-FR"/>
        </w:rPr>
        <w:t xml:space="preserve"> bevacizumab</w:t>
      </w:r>
      <w:r w:rsidRPr="00DA7718">
        <w:rPr>
          <w:lang w:val="fr-FR"/>
        </w:rPr>
        <w:t>, des fistules gastro-intestinales (tous grades confondus) ont été rapportées chez jusqu’à 2</w:t>
      </w:r>
      <w:r w:rsidR="00AF3AAA">
        <w:rPr>
          <w:lang w:val="fr-FR"/>
        </w:rPr>
        <w:t xml:space="preserve"> % </w:t>
      </w:r>
      <w:r w:rsidRPr="00DA7718">
        <w:rPr>
          <w:lang w:val="fr-FR"/>
        </w:rPr>
        <w:t>des patients traités pour cancer colorectal métastatique et pour cancer de l’ovaire. Cette fréquence était moindre chez les patients traités pour d’autres types de cancer.</w:t>
      </w:r>
    </w:p>
    <w:p w14:paraId="0337643A" w14:textId="77777777" w:rsidR="004401F0" w:rsidRPr="00DA7718" w:rsidRDefault="004401F0" w:rsidP="00BD4C7C">
      <w:pPr>
        <w:pStyle w:val="a3"/>
        <w:adjustRightInd w:val="0"/>
        <w:snapToGrid w:val="0"/>
        <w:rPr>
          <w:lang w:val="fr-FR"/>
        </w:rPr>
      </w:pPr>
    </w:p>
    <w:p w14:paraId="7F0CBE89" w14:textId="77777777" w:rsidR="004401F0" w:rsidRPr="00F9256D" w:rsidRDefault="00DF3C4F" w:rsidP="00BD4C7C">
      <w:pPr>
        <w:adjustRightInd w:val="0"/>
        <w:snapToGrid w:val="0"/>
        <w:rPr>
          <w:i/>
          <w:u w:val="single"/>
          <w:lang w:val="fr-FR"/>
        </w:rPr>
      </w:pPr>
      <w:r w:rsidRPr="00F9256D">
        <w:rPr>
          <w:i/>
          <w:u w:val="single"/>
          <w:lang w:val="fr-FR"/>
        </w:rPr>
        <w:t>Fistule GI-vaginales dans l’étude GOG-0240</w:t>
      </w:r>
    </w:p>
    <w:p w14:paraId="26F69A30" w14:textId="28DEA0C7" w:rsidR="004401F0" w:rsidRPr="00DA7718" w:rsidRDefault="00DF3C4F" w:rsidP="00BD4C7C">
      <w:pPr>
        <w:pStyle w:val="a3"/>
        <w:adjustRightInd w:val="0"/>
        <w:snapToGrid w:val="0"/>
        <w:rPr>
          <w:lang w:val="fr-FR"/>
        </w:rPr>
      </w:pPr>
      <w:r w:rsidRPr="00DA7718">
        <w:rPr>
          <w:lang w:val="fr-FR"/>
        </w:rPr>
        <w:t>Dans un essai incluant des patientes atteintes d’un cancer du col de l’utérus persistant, en rechute ou métastatique, la survenue de fistules GI-vaginales a été de 8,3</w:t>
      </w:r>
      <w:r w:rsidR="00AF3AAA">
        <w:rPr>
          <w:lang w:val="fr-FR"/>
        </w:rPr>
        <w:t xml:space="preserve"> % </w:t>
      </w:r>
      <w:r w:rsidRPr="00DA7718">
        <w:rPr>
          <w:lang w:val="fr-FR"/>
        </w:rPr>
        <w:t xml:space="preserve">chez les patientes traitées par </w:t>
      </w:r>
      <w:r w:rsidR="00B8111C">
        <w:rPr>
          <w:lang w:val="fr-FR"/>
        </w:rPr>
        <w:t>bevacizumab</w:t>
      </w:r>
      <w:r w:rsidR="00B8111C" w:rsidRPr="00DA7718">
        <w:rPr>
          <w:lang w:val="fr-FR"/>
        </w:rPr>
        <w:t xml:space="preserve"> </w:t>
      </w:r>
      <w:r w:rsidRPr="00DA7718">
        <w:rPr>
          <w:lang w:val="fr-FR"/>
        </w:rPr>
        <w:t>et de 0,9</w:t>
      </w:r>
      <w:r w:rsidR="00AF3AAA">
        <w:rPr>
          <w:lang w:val="fr-FR"/>
        </w:rPr>
        <w:t xml:space="preserve"> % </w:t>
      </w:r>
      <w:r w:rsidRPr="00DA7718">
        <w:rPr>
          <w:lang w:val="fr-FR"/>
        </w:rPr>
        <w:t>chez les patientes témoins</w:t>
      </w:r>
      <w:r w:rsidR="00881CB8">
        <w:rPr>
          <w:lang w:val="fr-FR"/>
        </w:rPr>
        <w:t xml:space="preserve"> ; </w:t>
      </w:r>
      <w:r w:rsidRPr="00DA7718">
        <w:rPr>
          <w:lang w:val="fr-FR"/>
        </w:rPr>
        <w:t xml:space="preserve">toutes ayant un antécédent de radiothérapie pelvienne. La fréquence d’apparition des fistules GI-vaginales dans le groupe traité par </w:t>
      </w:r>
      <w:bookmarkStart w:id="1" w:name="_Hlk103028951"/>
      <w:r w:rsidR="00B8111C">
        <w:rPr>
          <w:lang w:val="fr-FR"/>
        </w:rPr>
        <w:t>bevacizumab</w:t>
      </w:r>
      <w:bookmarkEnd w:id="1"/>
      <w:r w:rsidR="00B8111C" w:rsidRPr="00DA7718">
        <w:rPr>
          <w:lang w:val="fr-FR"/>
        </w:rPr>
        <w:t xml:space="preserve"> </w:t>
      </w:r>
      <w:r w:rsidRPr="00DA7718">
        <w:rPr>
          <w:lang w:val="fr-FR"/>
        </w:rPr>
        <w:t xml:space="preserve">+ chimiothérapie a été plus élevée chez les patientes présentant une récidive du cancer dans la zone pré-irradiée (16,7%) en comparaison aux patientes n’ayant pas reçu de radiothérapie préalable et/ou ne présentant pas de récidive du cancer de la zone pré-irradiée (3,6%). Les fréquences correspondantes dans le groupe témoin recevant une chimiothérapie seule ont été respectivement de 1,1% vs. 0,8%. </w:t>
      </w:r>
      <w:r w:rsidR="00602AC3" w:rsidRPr="00DA7718">
        <w:rPr>
          <w:lang w:val="fr-FR"/>
        </w:rPr>
        <w:t>Les</w:t>
      </w:r>
      <w:r w:rsidR="00602AC3">
        <w:rPr>
          <w:lang w:val="fr-FR"/>
        </w:rPr>
        <w:t> </w:t>
      </w:r>
      <w:r w:rsidRPr="00DA7718">
        <w:rPr>
          <w:lang w:val="fr-FR"/>
        </w:rPr>
        <w:t>patientes qui ont développé des fistules GI-vaginales présentaient également des occlusions intestinales qui nécessitaient une intervention chirurgicale telle que des stomies de dérivation.</w:t>
      </w:r>
    </w:p>
    <w:p w14:paraId="5D85FD20" w14:textId="77777777" w:rsidR="004401F0" w:rsidRPr="007C119A" w:rsidRDefault="004401F0" w:rsidP="00BD4C7C">
      <w:pPr>
        <w:pStyle w:val="a3"/>
        <w:adjustRightInd w:val="0"/>
        <w:snapToGrid w:val="0"/>
        <w:rPr>
          <w:lang w:val="fr-FR"/>
        </w:rPr>
      </w:pPr>
    </w:p>
    <w:p w14:paraId="784C9EB8" w14:textId="3BC38DF2" w:rsidR="004401F0" w:rsidRPr="00DA7718" w:rsidRDefault="00DF3C4F" w:rsidP="00BD4C7C">
      <w:pPr>
        <w:adjustRightInd w:val="0"/>
        <w:snapToGrid w:val="0"/>
        <w:rPr>
          <w:lang w:val="fr-FR"/>
        </w:rPr>
      </w:pPr>
      <w:r w:rsidRPr="00F9256D">
        <w:rPr>
          <w:i/>
          <w:u w:val="single"/>
          <w:lang w:val="fr-FR"/>
        </w:rPr>
        <w:t>Fistule non</w:t>
      </w:r>
      <w:r w:rsidR="00775F05" w:rsidRPr="00F9256D">
        <w:rPr>
          <w:i/>
          <w:u w:val="single"/>
          <w:lang w:val="fr-FR"/>
        </w:rPr>
        <w:t>-</w:t>
      </w:r>
      <w:r w:rsidRPr="00F9256D">
        <w:rPr>
          <w:i/>
          <w:u w:val="single"/>
          <w:lang w:val="fr-FR"/>
        </w:rPr>
        <w:t>GI</w:t>
      </w:r>
      <w:r w:rsidRPr="00DA7718">
        <w:rPr>
          <w:i/>
          <w:lang w:val="fr-FR"/>
        </w:rPr>
        <w:t xml:space="preserve"> </w:t>
      </w:r>
      <w:r w:rsidRPr="00DA7718">
        <w:rPr>
          <w:lang w:val="fr-FR"/>
        </w:rPr>
        <w:t>(voir rubrique 4.4)</w:t>
      </w:r>
      <w:r w:rsidR="00775F05">
        <w:rPr>
          <w:lang w:val="fr-FR"/>
        </w:rPr>
        <w:t> </w:t>
      </w:r>
      <w:r w:rsidRPr="00DA7718">
        <w:rPr>
          <w:lang w:val="fr-FR"/>
        </w:rPr>
        <w:t>:</w:t>
      </w:r>
    </w:p>
    <w:p w14:paraId="2E7200D7" w14:textId="7FCABA38" w:rsidR="004401F0" w:rsidRPr="00DA7718" w:rsidRDefault="00DF3C4F" w:rsidP="00BD4C7C">
      <w:pPr>
        <w:pStyle w:val="a3"/>
        <w:adjustRightInd w:val="0"/>
        <w:snapToGrid w:val="0"/>
        <w:rPr>
          <w:lang w:val="fr-FR"/>
        </w:rPr>
      </w:pPr>
      <w:r w:rsidRPr="00DA7718">
        <w:rPr>
          <w:lang w:val="fr-FR"/>
        </w:rPr>
        <w:t>L’utilisation d</w:t>
      </w:r>
      <w:r w:rsidR="00B8111C">
        <w:rPr>
          <w:lang w:val="fr-FR"/>
        </w:rPr>
        <w:t>u bevacizumab</w:t>
      </w:r>
      <w:r w:rsidRPr="00DA7718">
        <w:rPr>
          <w:lang w:val="fr-FR"/>
        </w:rPr>
        <w:t xml:space="preserve"> a été associée à la survenue de cas graves de fistule dont certains ont conduit au décès.</w:t>
      </w:r>
    </w:p>
    <w:p w14:paraId="669705A7" w14:textId="77777777" w:rsidR="004401F0" w:rsidRPr="007C119A" w:rsidRDefault="004401F0" w:rsidP="00BD4C7C">
      <w:pPr>
        <w:pStyle w:val="a3"/>
        <w:adjustRightInd w:val="0"/>
        <w:snapToGrid w:val="0"/>
        <w:rPr>
          <w:lang w:val="fr-FR"/>
        </w:rPr>
      </w:pPr>
    </w:p>
    <w:p w14:paraId="4AC0D7CC" w14:textId="3160E710" w:rsidR="004401F0" w:rsidRPr="00DA7718" w:rsidRDefault="00DF3C4F" w:rsidP="00BD4C7C">
      <w:pPr>
        <w:pStyle w:val="a3"/>
        <w:adjustRightInd w:val="0"/>
        <w:snapToGrid w:val="0"/>
        <w:rPr>
          <w:lang w:val="fr-FR"/>
        </w:rPr>
      </w:pPr>
      <w:r w:rsidRPr="00DA7718">
        <w:rPr>
          <w:lang w:val="fr-FR"/>
        </w:rPr>
        <w:t>Au cours d’un essai clinique avec des patientes atteintes d’un cancer du col de l’utérus persistant, en rechute ou métastatique (étude GOG-0240), il a été rapporté qu</w:t>
      </w:r>
      <w:r w:rsidR="00EB4800">
        <w:rPr>
          <w:lang w:val="fr-FR"/>
        </w:rPr>
        <w:t xml:space="preserve">e </w:t>
      </w:r>
      <w:r w:rsidRPr="00DA7718">
        <w:rPr>
          <w:lang w:val="fr-FR"/>
        </w:rPr>
        <w:t>1,8</w:t>
      </w:r>
      <w:r w:rsidR="00AF3AAA">
        <w:rPr>
          <w:lang w:val="fr-FR"/>
        </w:rPr>
        <w:t xml:space="preserve"> % </w:t>
      </w:r>
      <w:r w:rsidRPr="00DA7718">
        <w:rPr>
          <w:lang w:val="fr-FR"/>
        </w:rPr>
        <w:t xml:space="preserve">des patientes traitées par </w:t>
      </w:r>
      <w:bookmarkStart w:id="2" w:name="_Hlk103029492"/>
      <w:r w:rsidR="00B8111C">
        <w:rPr>
          <w:lang w:val="fr-FR"/>
        </w:rPr>
        <w:t>bevacizumab</w:t>
      </w:r>
      <w:bookmarkEnd w:id="2"/>
      <w:r w:rsidRPr="00DA7718">
        <w:rPr>
          <w:lang w:val="fr-FR"/>
        </w:rPr>
        <w:t xml:space="preserve"> et 1,4 % des patientes témoins ont présenté des fistules non gastro-intestinales, vaginales, vésicales ou des voies génitales féminines.</w:t>
      </w:r>
    </w:p>
    <w:p w14:paraId="632377D0" w14:textId="77777777" w:rsidR="004401F0" w:rsidRPr="00DA7718" w:rsidRDefault="004401F0" w:rsidP="00BD4C7C">
      <w:pPr>
        <w:pStyle w:val="a3"/>
        <w:adjustRightInd w:val="0"/>
        <w:snapToGrid w:val="0"/>
        <w:rPr>
          <w:lang w:val="fr-FR"/>
        </w:rPr>
      </w:pPr>
    </w:p>
    <w:p w14:paraId="62B84412" w14:textId="5D7BC584" w:rsidR="004401F0" w:rsidRPr="00DA7718" w:rsidRDefault="00DF3C4F" w:rsidP="00BD4C7C">
      <w:pPr>
        <w:pStyle w:val="a3"/>
        <w:adjustRightInd w:val="0"/>
        <w:snapToGrid w:val="0"/>
        <w:rPr>
          <w:lang w:val="fr-FR"/>
        </w:rPr>
      </w:pPr>
      <w:r w:rsidRPr="00DA7718">
        <w:rPr>
          <w:lang w:val="fr-FR"/>
        </w:rPr>
        <w:t>Des fistules, touchant d’autres parties du corps que le tractus gastro-intestinal (ex.</w:t>
      </w:r>
      <w:r w:rsidR="00775F05">
        <w:rPr>
          <w:lang w:val="fr-FR"/>
        </w:rPr>
        <w:t> </w:t>
      </w:r>
      <w:r w:rsidR="00765A43">
        <w:rPr>
          <w:lang w:val="fr-FR"/>
        </w:rPr>
        <w:t xml:space="preserve">: </w:t>
      </w:r>
      <w:r w:rsidRPr="00DA7718">
        <w:rPr>
          <w:lang w:val="fr-FR"/>
        </w:rPr>
        <w:t>fistule broncho pleurale ou biliaire) ont été peu fréquemment (≥ 0,1</w:t>
      </w:r>
      <w:r w:rsidR="00AF3AAA">
        <w:rPr>
          <w:lang w:val="fr-FR"/>
        </w:rPr>
        <w:t xml:space="preserve"> % </w:t>
      </w:r>
      <w:r w:rsidRPr="00DA7718">
        <w:rPr>
          <w:lang w:val="fr-FR"/>
        </w:rPr>
        <w:t>à &lt; 1 %) rapportées, dans diverses indications. Des fistules ont été également rapportées après la commercialisation</w:t>
      </w:r>
      <w:r w:rsidR="00775F05">
        <w:rPr>
          <w:lang w:val="fr-FR"/>
        </w:rPr>
        <w:t>.</w:t>
      </w:r>
    </w:p>
    <w:p w14:paraId="52185AC1" w14:textId="77777777" w:rsidR="004401F0" w:rsidRPr="007C119A" w:rsidRDefault="004401F0" w:rsidP="00BD4C7C">
      <w:pPr>
        <w:pStyle w:val="a3"/>
        <w:adjustRightInd w:val="0"/>
        <w:snapToGrid w:val="0"/>
        <w:rPr>
          <w:lang w:val="fr-FR"/>
        </w:rPr>
      </w:pPr>
    </w:p>
    <w:p w14:paraId="0B5E6D64" w14:textId="4832181D" w:rsidR="004401F0" w:rsidRPr="00DA7718" w:rsidRDefault="00DF3C4F" w:rsidP="00BD4C7C">
      <w:pPr>
        <w:pStyle w:val="a3"/>
        <w:adjustRightInd w:val="0"/>
        <w:snapToGrid w:val="0"/>
        <w:rPr>
          <w:lang w:val="fr-FR"/>
        </w:rPr>
      </w:pPr>
      <w:r w:rsidRPr="00DA7718">
        <w:rPr>
          <w:lang w:val="fr-FR"/>
        </w:rPr>
        <w:t xml:space="preserve">Ces effets ont été rapportés à des périodes diverses du traitement allant d’une semaine à plus de 1 an après l’initiation du traitement par </w:t>
      </w:r>
      <w:r w:rsidR="00B8111C">
        <w:rPr>
          <w:lang w:val="fr-FR"/>
        </w:rPr>
        <w:t>bevacizumab</w:t>
      </w:r>
      <w:r w:rsidRPr="00DA7718">
        <w:rPr>
          <w:lang w:val="fr-FR"/>
        </w:rPr>
        <w:t>, la majorité des effets apparaissant dans les 6 premiers mois de traitement.</w:t>
      </w:r>
    </w:p>
    <w:p w14:paraId="40974F8C" w14:textId="77777777" w:rsidR="004401F0" w:rsidRPr="00DA7718" w:rsidRDefault="004401F0" w:rsidP="00BD4C7C">
      <w:pPr>
        <w:pStyle w:val="a3"/>
        <w:adjustRightInd w:val="0"/>
        <w:snapToGrid w:val="0"/>
        <w:rPr>
          <w:lang w:val="fr-FR"/>
        </w:rPr>
      </w:pPr>
    </w:p>
    <w:p w14:paraId="07D38CDF" w14:textId="77777777" w:rsidR="004401F0" w:rsidRPr="00DA7718" w:rsidRDefault="00DF3C4F" w:rsidP="00BD4C7C">
      <w:pPr>
        <w:adjustRightInd w:val="0"/>
        <w:snapToGrid w:val="0"/>
        <w:rPr>
          <w:lang w:val="fr-FR"/>
        </w:rPr>
      </w:pPr>
      <w:r w:rsidRPr="00F9256D">
        <w:rPr>
          <w:i/>
          <w:u w:val="single"/>
          <w:lang w:val="fr-FR"/>
        </w:rPr>
        <w:t>Cicatrisation des plaies</w:t>
      </w:r>
      <w:r w:rsidRPr="00DA7718">
        <w:rPr>
          <w:i/>
          <w:lang w:val="fr-FR"/>
        </w:rPr>
        <w:t xml:space="preserve"> </w:t>
      </w:r>
      <w:r w:rsidRPr="00DA7718">
        <w:rPr>
          <w:lang w:val="fr-FR"/>
        </w:rPr>
        <w:t>(voir rubrique 4.4)</w:t>
      </w:r>
    </w:p>
    <w:p w14:paraId="59D006C6" w14:textId="44D3DBEA" w:rsidR="004401F0" w:rsidRPr="00DA7718" w:rsidRDefault="00B8111C" w:rsidP="00BD4C7C">
      <w:pPr>
        <w:pStyle w:val="a3"/>
        <w:adjustRightInd w:val="0"/>
        <w:snapToGrid w:val="0"/>
        <w:rPr>
          <w:lang w:val="fr-FR"/>
        </w:rPr>
      </w:pPr>
      <w:r>
        <w:rPr>
          <w:lang w:val="fr-FR"/>
        </w:rPr>
        <w:t>Le bevacizumab</w:t>
      </w:r>
      <w:r w:rsidRPr="00DA7718">
        <w:rPr>
          <w:lang w:val="fr-FR"/>
        </w:rPr>
        <w:t xml:space="preserve"> </w:t>
      </w:r>
      <w:r w:rsidR="00DF3C4F" w:rsidRPr="00DA7718">
        <w:rPr>
          <w:lang w:val="fr-FR"/>
        </w:rPr>
        <w:t>pouvant altérer la cicatrisation des plaies, les patients qui avaient subi une intervention chirurgicale majeure dans les 28 derniers jours étaient exclus de la participation aux études cliniques de phase III.</w:t>
      </w:r>
    </w:p>
    <w:p w14:paraId="1CA0C9E0" w14:textId="77777777" w:rsidR="004401F0" w:rsidRPr="00DA7718" w:rsidRDefault="004401F0" w:rsidP="00BD4C7C">
      <w:pPr>
        <w:pStyle w:val="a3"/>
        <w:adjustRightInd w:val="0"/>
        <w:snapToGrid w:val="0"/>
        <w:rPr>
          <w:lang w:val="fr-FR"/>
        </w:rPr>
      </w:pPr>
    </w:p>
    <w:p w14:paraId="5F6D5816" w14:textId="1160E8EF" w:rsidR="004401F0" w:rsidRPr="00DA7718" w:rsidRDefault="00DF3C4F" w:rsidP="00BD4C7C">
      <w:pPr>
        <w:pStyle w:val="a3"/>
        <w:adjustRightInd w:val="0"/>
        <w:snapToGrid w:val="0"/>
        <w:rPr>
          <w:lang w:val="fr-FR"/>
        </w:rPr>
      </w:pPr>
      <w:r w:rsidRPr="00DA7718">
        <w:rPr>
          <w:lang w:val="fr-FR"/>
        </w:rPr>
        <w:t xml:space="preserve">Au cours des essais cliniques dans le cancer colorectal métastatique, il n’a pas été observé d’augmentation du risque hémorragique post-opératoire ou de complications de la cicatrisation des plaies, chez les patients ayant subi une intervention chirurgicale majeure 28 à 60 jours avant l’initiation du traitement par </w:t>
      </w:r>
      <w:r w:rsidR="00B8111C">
        <w:rPr>
          <w:lang w:val="fr-FR"/>
        </w:rPr>
        <w:t>bevacizumab</w:t>
      </w:r>
      <w:r w:rsidRPr="00DA7718">
        <w:rPr>
          <w:lang w:val="fr-FR"/>
        </w:rPr>
        <w:t xml:space="preserve">. Une augmentation de l’incidence des saignements post- opératoires ou des complications de la cicatrisation des plaies a été observée dans les 60 jours suivant une intervention chirurgicale majeure chez les patients traités par </w:t>
      </w:r>
      <w:r w:rsidR="00B8111C">
        <w:rPr>
          <w:lang w:val="fr-FR"/>
        </w:rPr>
        <w:t>bevacizumab</w:t>
      </w:r>
      <w:r w:rsidRPr="00DA7718">
        <w:rPr>
          <w:lang w:val="fr-FR"/>
        </w:rPr>
        <w:t xml:space="preserve"> au moment de l’intervention chirurgicale. L’incidence variait de 10</w:t>
      </w:r>
      <w:r w:rsidR="00AF3AAA">
        <w:rPr>
          <w:lang w:val="fr-FR"/>
        </w:rPr>
        <w:t xml:space="preserve"> % </w:t>
      </w:r>
      <w:r w:rsidRPr="00DA7718">
        <w:rPr>
          <w:lang w:val="fr-FR"/>
        </w:rPr>
        <w:t>(4/40) à 20</w:t>
      </w:r>
      <w:r w:rsidR="00AF3AAA">
        <w:rPr>
          <w:lang w:val="fr-FR"/>
        </w:rPr>
        <w:t xml:space="preserve"> % </w:t>
      </w:r>
      <w:r w:rsidRPr="00DA7718">
        <w:rPr>
          <w:lang w:val="fr-FR"/>
        </w:rPr>
        <w:t>(3/15).</w:t>
      </w:r>
    </w:p>
    <w:p w14:paraId="00D9294D" w14:textId="77777777" w:rsidR="004401F0" w:rsidRPr="007C119A" w:rsidRDefault="004401F0" w:rsidP="00BD4C7C">
      <w:pPr>
        <w:pStyle w:val="a3"/>
        <w:adjustRightInd w:val="0"/>
        <w:snapToGrid w:val="0"/>
        <w:rPr>
          <w:lang w:val="fr-FR"/>
        </w:rPr>
      </w:pPr>
    </w:p>
    <w:p w14:paraId="26121244" w14:textId="77777777" w:rsidR="004401F0" w:rsidRPr="00DA7718" w:rsidRDefault="00DF3C4F" w:rsidP="00654D21">
      <w:pPr>
        <w:pStyle w:val="a3"/>
        <w:keepLines/>
        <w:adjustRightInd w:val="0"/>
        <w:snapToGrid w:val="0"/>
        <w:rPr>
          <w:lang w:val="fr-FR"/>
        </w:rPr>
      </w:pPr>
      <w:r w:rsidRPr="00DA7718">
        <w:rPr>
          <w:lang w:val="fr-FR"/>
        </w:rPr>
        <w:t>Des complications graves de la cicatrisation des plaies, incluant des complications anastomotiques, ont été rapportées, dont certaines d’issue fatale.</w:t>
      </w:r>
    </w:p>
    <w:p w14:paraId="1E538363" w14:textId="77777777" w:rsidR="004401F0" w:rsidRPr="007C119A" w:rsidRDefault="004401F0" w:rsidP="00BD4C7C">
      <w:pPr>
        <w:pStyle w:val="a3"/>
        <w:adjustRightInd w:val="0"/>
        <w:snapToGrid w:val="0"/>
        <w:rPr>
          <w:lang w:val="fr-FR"/>
        </w:rPr>
      </w:pPr>
    </w:p>
    <w:p w14:paraId="04E4334A" w14:textId="4F676337" w:rsidR="004401F0" w:rsidRPr="00DA7718" w:rsidRDefault="00DF3C4F" w:rsidP="00BD4C7C">
      <w:pPr>
        <w:pStyle w:val="a3"/>
        <w:adjustRightInd w:val="0"/>
        <w:snapToGrid w:val="0"/>
        <w:rPr>
          <w:lang w:val="fr-FR"/>
        </w:rPr>
      </w:pPr>
      <w:r w:rsidRPr="00DA7718">
        <w:rPr>
          <w:lang w:val="fr-FR"/>
        </w:rPr>
        <w:t>Au cours des essais cliniques dans le cancer du sein métastatique ou en rechute locale, des complications de la cicatrisation des plaies de Grade 3-5 ont été observées avec une incidence allant jusqu’à 1,1</w:t>
      </w:r>
      <w:r w:rsidR="00AF3AAA">
        <w:rPr>
          <w:lang w:val="fr-FR"/>
        </w:rPr>
        <w:t xml:space="preserve"> % </w:t>
      </w:r>
      <w:r w:rsidRPr="00DA7718">
        <w:rPr>
          <w:lang w:val="fr-FR"/>
        </w:rPr>
        <w:t xml:space="preserve">des patients traités par </w:t>
      </w:r>
      <w:r w:rsidR="00B8111C">
        <w:rPr>
          <w:lang w:val="fr-FR"/>
        </w:rPr>
        <w:t>bevacizumab</w:t>
      </w:r>
      <w:r w:rsidRPr="00DA7718">
        <w:rPr>
          <w:lang w:val="fr-FR"/>
        </w:rPr>
        <w:t xml:space="preserve"> comparé à un maximum de 0,9</w:t>
      </w:r>
      <w:r w:rsidR="00AF3AAA">
        <w:rPr>
          <w:lang w:val="fr-FR"/>
        </w:rPr>
        <w:t xml:space="preserve"> % </w:t>
      </w:r>
      <w:r w:rsidRPr="00DA7718">
        <w:rPr>
          <w:lang w:val="fr-FR"/>
        </w:rPr>
        <w:t>des patients dans les bras contrôle (NCI-CTCAE v.3).</w:t>
      </w:r>
    </w:p>
    <w:p w14:paraId="41905033" w14:textId="77777777" w:rsidR="004401F0" w:rsidRPr="00DA7718" w:rsidRDefault="004401F0" w:rsidP="00BD4C7C">
      <w:pPr>
        <w:pStyle w:val="a3"/>
        <w:adjustRightInd w:val="0"/>
        <w:snapToGrid w:val="0"/>
        <w:rPr>
          <w:lang w:val="fr-FR"/>
        </w:rPr>
      </w:pPr>
    </w:p>
    <w:p w14:paraId="58617A19" w14:textId="1D3597F2" w:rsidR="004401F0" w:rsidRPr="00DA7718" w:rsidRDefault="00DF3C4F" w:rsidP="00BD4C7C">
      <w:pPr>
        <w:pStyle w:val="a3"/>
        <w:adjustRightInd w:val="0"/>
        <w:snapToGrid w:val="0"/>
        <w:rPr>
          <w:lang w:val="fr-FR"/>
        </w:rPr>
      </w:pPr>
      <w:r w:rsidRPr="00DA7718">
        <w:rPr>
          <w:lang w:val="fr-FR"/>
        </w:rPr>
        <w:t>Au cours des essais cliniques dans le cancer de l’ovaire, des complications de la cicatrisation des plaies de Grade 3-5 ont été observées avec une incidence allant jusqu’à 1,8</w:t>
      </w:r>
      <w:r w:rsidR="00AF3AAA">
        <w:rPr>
          <w:lang w:val="fr-FR"/>
        </w:rPr>
        <w:t xml:space="preserve"> % </w:t>
      </w:r>
      <w:r w:rsidRPr="00DA7718">
        <w:rPr>
          <w:lang w:val="fr-FR"/>
        </w:rPr>
        <w:t>des patientes dans le bras bevacizumab par rapport à 0,1</w:t>
      </w:r>
      <w:r w:rsidR="00AF3AAA">
        <w:rPr>
          <w:lang w:val="fr-FR"/>
        </w:rPr>
        <w:t xml:space="preserve"> % </w:t>
      </w:r>
      <w:r w:rsidRPr="00DA7718">
        <w:rPr>
          <w:lang w:val="fr-FR"/>
        </w:rPr>
        <w:t>des patientes dans le bras contrôle (NCI-CTCAE v.3).</w:t>
      </w:r>
    </w:p>
    <w:p w14:paraId="2E95F0D7" w14:textId="77777777" w:rsidR="00BD4C7C" w:rsidRPr="00DA7718" w:rsidRDefault="00BD4C7C" w:rsidP="00BD4C7C">
      <w:pPr>
        <w:adjustRightInd w:val="0"/>
        <w:snapToGrid w:val="0"/>
        <w:rPr>
          <w:lang w:val="fr-FR"/>
        </w:rPr>
      </w:pPr>
    </w:p>
    <w:p w14:paraId="49454730" w14:textId="77777777" w:rsidR="004401F0" w:rsidRPr="00DA7718" w:rsidRDefault="00DF3C4F" w:rsidP="00BD4C7C">
      <w:pPr>
        <w:adjustRightInd w:val="0"/>
        <w:snapToGrid w:val="0"/>
        <w:rPr>
          <w:lang w:val="fr-FR"/>
        </w:rPr>
      </w:pPr>
      <w:r w:rsidRPr="00F9256D">
        <w:rPr>
          <w:i/>
          <w:u w:val="single"/>
          <w:lang w:val="fr-FR"/>
        </w:rPr>
        <w:t>Hypertension artérielle</w:t>
      </w:r>
      <w:r w:rsidRPr="00DA7718">
        <w:rPr>
          <w:i/>
          <w:lang w:val="fr-FR"/>
        </w:rPr>
        <w:t xml:space="preserve"> </w:t>
      </w:r>
      <w:r w:rsidRPr="00DA7718">
        <w:rPr>
          <w:lang w:val="fr-FR"/>
        </w:rPr>
        <w:t>(voir rubrique 4.4)</w:t>
      </w:r>
    </w:p>
    <w:p w14:paraId="01C8E98A" w14:textId="0D868643" w:rsidR="004401F0" w:rsidRPr="00DA7718" w:rsidRDefault="00DF3C4F" w:rsidP="00BD4C7C">
      <w:pPr>
        <w:pStyle w:val="a3"/>
        <w:adjustRightInd w:val="0"/>
        <w:snapToGrid w:val="0"/>
        <w:rPr>
          <w:lang w:val="fr-FR"/>
        </w:rPr>
      </w:pPr>
      <w:r w:rsidRPr="00DA7718">
        <w:rPr>
          <w:lang w:val="fr-FR"/>
        </w:rPr>
        <w:t>Dans les études cliniques, à l’exception de l’étude JO25567, l’incidence globale de l’hypertension artérielle (tous grades) allait jusqu’à 42,1</w:t>
      </w:r>
      <w:r w:rsidR="00AF3AAA">
        <w:rPr>
          <w:lang w:val="fr-FR"/>
        </w:rPr>
        <w:t xml:space="preserve"> % </w:t>
      </w:r>
      <w:r w:rsidRPr="00DA7718">
        <w:rPr>
          <w:lang w:val="fr-FR"/>
        </w:rPr>
        <w:t xml:space="preserve">dans les bras contenant </w:t>
      </w:r>
      <w:r w:rsidR="00197D8C">
        <w:rPr>
          <w:lang w:val="fr-FR"/>
        </w:rPr>
        <w:t>le bevacizumab</w:t>
      </w:r>
      <w:r w:rsidRPr="00DA7718">
        <w:rPr>
          <w:lang w:val="fr-FR"/>
        </w:rPr>
        <w:t xml:space="preserve"> comparé à une incidence globale allant jusqu’à 14</w:t>
      </w:r>
      <w:r w:rsidR="00AF3AAA">
        <w:rPr>
          <w:lang w:val="fr-FR"/>
        </w:rPr>
        <w:t xml:space="preserve"> % </w:t>
      </w:r>
      <w:r w:rsidRPr="00DA7718">
        <w:rPr>
          <w:lang w:val="fr-FR"/>
        </w:rPr>
        <w:t>dans les bras contrôle. L’incidence globale d’hypertension artérielle de Grade 3 et 4 (NCI-CTC) a varié de 0,4</w:t>
      </w:r>
      <w:r w:rsidR="00AF3AAA">
        <w:rPr>
          <w:lang w:val="fr-FR"/>
        </w:rPr>
        <w:t xml:space="preserve"> % </w:t>
      </w:r>
      <w:r w:rsidRPr="00DA7718">
        <w:rPr>
          <w:lang w:val="fr-FR"/>
        </w:rPr>
        <w:t>à 17,9</w:t>
      </w:r>
      <w:r w:rsidR="00AF3AAA">
        <w:rPr>
          <w:lang w:val="fr-FR"/>
        </w:rPr>
        <w:t xml:space="preserve"> % </w:t>
      </w:r>
      <w:r w:rsidRPr="00DA7718">
        <w:rPr>
          <w:lang w:val="fr-FR"/>
        </w:rPr>
        <w:t xml:space="preserve">chez les patients recevant </w:t>
      </w:r>
      <w:r w:rsidR="00197D8C">
        <w:rPr>
          <w:lang w:val="fr-FR"/>
        </w:rPr>
        <w:t>le bevacizumab</w:t>
      </w:r>
      <w:r w:rsidRPr="00DA7718">
        <w:rPr>
          <w:lang w:val="fr-FR"/>
        </w:rPr>
        <w:t>. Une hypertension artérielle de Grade 4 (crise hypertensive) est survenue jusqu’à 1,0</w:t>
      </w:r>
      <w:r w:rsidR="00AF3AAA">
        <w:rPr>
          <w:lang w:val="fr-FR"/>
        </w:rPr>
        <w:t xml:space="preserve"> % </w:t>
      </w:r>
      <w:r w:rsidRPr="00DA7718">
        <w:rPr>
          <w:lang w:val="fr-FR"/>
        </w:rPr>
        <w:t xml:space="preserve">des patients traités par </w:t>
      </w:r>
      <w:r w:rsidR="00197D8C">
        <w:rPr>
          <w:lang w:val="fr-FR"/>
        </w:rPr>
        <w:t>bevacizumab</w:t>
      </w:r>
      <w:r w:rsidRPr="00DA7718">
        <w:rPr>
          <w:lang w:val="fr-FR"/>
        </w:rPr>
        <w:t xml:space="preserve"> + chimiothérapie comparé à une incidence jusqu’à 0,2</w:t>
      </w:r>
      <w:r w:rsidR="00AF3AAA">
        <w:rPr>
          <w:lang w:val="fr-FR"/>
        </w:rPr>
        <w:t xml:space="preserve"> % </w:t>
      </w:r>
      <w:r w:rsidRPr="00DA7718">
        <w:rPr>
          <w:lang w:val="fr-FR"/>
        </w:rPr>
        <w:t>des patients traités par la même chimiothérapie seule.</w:t>
      </w:r>
    </w:p>
    <w:p w14:paraId="13B3F23B" w14:textId="77777777" w:rsidR="004401F0" w:rsidRPr="007C119A" w:rsidRDefault="004401F0" w:rsidP="00BD4C7C">
      <w:pPr>
        <w:pStyle w:val="a3"/>
        <w:adjustRightInd w:val="0"/>
        <w:snapToGrid w:val="0"/>
        <w:rPr>
          <w:lang w:val="fr-FR"/>
        </w:rPr>
      </w:pPr>
    </w:p>
    <w:p w14:paraId="79608385" w14:textId="3A3297CF" w:rsidR="004401F0" w:rsidRPr="00DA7718" w:rsidRDefault="00DF3C4F" w:rsidP="00BD4C7C">
      <w:pPr>
        <w:pStyle w:val="a3"/>
        <w:adjustRightInd w:val="0"/>
        <w:snapToGrid w:val="0"/>
        <w:rPr>
          <w:lang w:val="fr-FR"/>
        </w:rPr>
      </w:pPr>
      <w:r w:rsidRPr="00DA7718">
        <w:rPr>
          <w:lang w:val="fr-FR"/>
        </w:rPr>
        <w:t xml:space="preserve">Dans l’étude JO25567, une hypertension tous grades confondus a été observée chez 77,3% des patients ayant reçu </w:t>
      </w:r>
      <w:r w:rsidR="00197D8C">
        <w:rPr>
          <w:lang w:val="fr-FR"/>
        </w:rPr>
        <w:t>le bevacizumab</w:t>
      </w:r>
      <w:r w:rsidR="00197D8C" w:rsidRPr="00DA7718">
        <w:rPr>
          <w:lang w:val="fr-FR"/>
        </w:rPr>
        <w:t xml:space="preserve"> </w:t>
      </w:r>
      <w:r w:rsidRPr="00DA7718">
        <w:rPr>
          <w:lang w:val="fr-FR"/>
        </w:rPr>
        <w:t xml:space="preserve">en association à l’erlotinib, en traitement de première ligne pour un CBNPC non épidermoïde présentant des mutations activatrices de l’EGFR, comparé à 14,3% chez les patients traités par l’erlotinib seul. Une hypertension de grade 3 a été observée chez 60% des patients traités par </w:t>
      </w:r>
      <w:r w:rsidR="00197D8C">
        <w:rPr>
          <w:lang w:val="fr-FR"/>
        </w:rPr>
        <w:t>bevacizumab</w:t>
      </w:r>
      <w:r w:rsidRPr="00DA7718">
        <w:rPr>
          <w:lang w:val="fr-FR"/>
        </w:rPr>
        <w:t xml:space="preserve"> en association à l’erlotinib, comparé à 11,7% chez les patients traités par l’erlotinib seul. Aucun événement d’hypertension de grade 4-5 n’a été observé.</w:t>
      </w:r>
    </w:p>
    <w:p w14:paraId="06A27E1B" w14:textId="77777777" w:rsidR="004401F0" w:rsidRPr="00DA7718" w:rsidRDefault="004401F0" w:rsidP="00BD4C7C">
      <w:pPr>
        <w:pStyle w:val="a3"/>
        <w:adjustRightInd w:val="0"/>
        <w:snapToGrid w:val="0"/>
        <w:rPr>
          <w:lang w:val="fr-FR"/>
        </w:rPr>
      </w:pPr>
    </w:p>
    <w:p w14:paraId="22CC7DCB" w14:textId="41F6AB0E" w:rsidR="004401F0" w:rsidRPr="00DA7718" w:rsidRDefault="00DF3C4F" w:rsidP="00BD4C7C">
      <w:pPr>
        <w:pStyle w:val="a3"/>
        <w:adjustRightInd w:val="0"/>
        <w:snapToGrid w:val="0"/>
        <w:rPr>
          <w:lang w:val="fr-FR"/>
        </w:rPr>
      </w:pPr>
      <w:r w:rsidRPr="00DA7718">
        <w:rPr>
          <w:lang w:val="fr-FR"/>
        </w:rPr>
        <w:t xml:space="preserve">L’hypertension artérielle a généralement été bien contrôlée avec des anti-hypertenseurs oraux comme des inhibiteurs de l’enzyme de conversion de l’angiotensine, des diurétiques et des inhibiteurs calciques. Elle a rarement conduit à un arrêt du traitement par </w:t>
      </w:r>
      <w:r w:rsidR="00197D8C">
        <w:rPr>
          <w:lang w:val="fr-FR"/>
        </w:rPr>
        <w:t>bevacizumab</w:t>
      </w:r>
      <w:r w:rsidRPr="00DA7718">
        <w:rPr>
          <w:lang w:val="fr-FR"/>
        </w:rPr>
        <w:t xml:space="preserve"> ou à une hospitalisation.</w:t>
      </w:r>
    </w:p>
    <w:p w14:paraId="1A02A020" w14:textId="77777777" w:rsidR="004401F0" w:rsidRPr="00DA7718" w:rsidRDefault="004401F0" w:rsidP="00BD4C7C">
      <w:pPr>
        <w:pStyle w:val="a3"/>
        <w:adjustRightInd w:val="0"/>
        <w:snapToGrid w:val="0"/>
        <w:rPr>
          <w:lang w:val="fr-FR"/>
        </w:rPr>
      </w:pPr>
    </w:p>
    <w:p w14:paraId="71C5BB1F" w14:textId="77777777" w:rsidR="004401F0" w:rsidRPr="00DA7718" w:rsidRDefault="00DF3C4F" w:rsidP="00BD4C7C">
      <w:pPr>
        <w:pStyle w:val="a3"/>
        <w:adjustRightInd w:val="0"/>
        <w:snapToGrid w:val="0"/>
        <w:rPr>
          <w:lang w:val="fr-FR"/>
        </w:rPr>
      </w:pPr>
      <w:r w:rsidRPr="00DA7718">
        <w:rPr>
          <w:lang w:val="fr-FR"/>
        </w:rPr>
        <w:t>De très rares cas d’encéphalopathie hypertensive ont été rapportés, dont certains ont été fatals.</w:t>
      </w:r>
    </w:p>
    <w:p w14:paraId="49A889C0" w14:textId="77777777" w:rsidR="004401F0" w:rsidRPr="007C119A" w:rsidRDefault="004401F0" w:rsidP="00BD4C7C">
      <w:pPr>
        <w:pStyle w:val="a3"/>
        <w:adjustRightInd w:val="0"/>
        <w:snapToGrid w:val="0"/>
        <w:rPr>
          <w:lang w:val="fr-FR"/>
        </w:rPr>
      </w:pPr>
    </w:p>
    <w:p w14:paraId="61B95D65" w14:textId="2F0CFD2C" w:rsidR="004401F0" w:rsidRPr="00DA7718" w:rsidRDefault="00DF3C4F" w:rsidP="00BD4C7C">
      <w:pPr>
        <w:pStyle w:val="a3"/>
        <w:adjustRightInd w:val="0"/>
        <w:snapToGrid w:val="0"/>
        <w:rPr>
          <w:lang w:val="fr-FR"/>
        </w:rPr>
      </w:pPr>
      <w:r w:rsidRPr="00DA7718">
        <w:rPr>
          <w:lang w:val="fr-FR"/>
        </w:rPr>
        <w:t xml:space="preserve">Il n’y a pas eu de corrélation entre le risque d’hypertension artérielle lié à l’utilisation </w:t>
      </w:r>
      <w:r w:rsidR="00197D8C">
        <w:rPr>
          <w:lang w:val="fr-FR"/>
        </w:rPr>
        <w:t>du bevacizumab</w:t>
      </w:r>
      <w:r w:rsidR="00197D8C" w:rsidRPr="00DA7718">
        <w:rPr>
          <w:lang w:val="fr-FR"/>
        </w:rPr>
        <w:t xml:space="preserve"> </w:t>
      </w:r>
      <w:r w:rsidRPr="00DA7718">
        <w:rPr>
          <w:lang w:val="fr-FR"/>
        </w:rPr>
        <w:t>et les caractéristiques des patients à l’inclusion, une maladie sous-jacente ou un traitement concomitant.</w:t>
      </w:r>
    </w:p>
    <w:p w14:paraId="1F40D2F2" w14:textId="77777777" w:rsidR="004401F0" w:rsidRPr="007C119A" w:rsidRDefault="004401F0" w:rsidP="00BD4C7C">
      <w:pPr>
        <w:pStyle w:val="a3"/>
        <w:adjustRightInd w:val="0"/>
        <w:snapToGrid w:val="0"/>
        <w:rPr>
          <w:lang w:val="fr-FR"/>
        </w:rPr>
      </w:pPr>
    </w:p>
    <w:p w14:paraId="14E94CEF" w14:textId="77777777" w:rsidR="004401F0" w:rsidRPr="00DA7718" w:rsidRDefault="00DF3C4F" w:rsidP="00BD4C7C">
      <w:pPr>
        <w:adjustRightInd w:val="0"/>
        <w:snapToGrid w:val="0"/>
        <w:rPr>
          <w:lang w:val="fr-FR"/>
        </w:rPr>
      </w:pPr>
      <w:r w:rsidRPr="00F9256D">
        <w:rPr>
          <w:i/>
          <w:u w:val="single"/>
          <w:lang w:val="fr-FR"/>
        </w:rPr>
        <w:t>Syndrome d’encéphalopathie postérieure réversible</w:t>
      </w:r>
      <w:r w:rsidRPr="00DA7718">
        <w:rPr>
          <w:i/>
          <w:lang w:val="fr-FR"/>
        </w:rPr>
        <w:t xml:space="preserve"> (SEPR) </w:t>
      </w:r>
      <w:r w:rsidRPr="00DA7718">
        <w:rPr>
          <w:lang w:val="fr-FR"/>
        </w:rPr>
        <w:t>(voir rubrique 4.4)</w:t>
      </w:r>
    </w:p>
    <w:p w14:paraId="55391715" w14:textId="20594698" w:rsidR="004401F0" w:rsidRPr="00DA7718" w:rsidRDefault="00DF3C4F" w:rsidP="00BD4C7C">
      <w:pPr>
        <w:pStyle w:val="a3"/>
        <w:adjustRightInd w:val="0"/>
        <w:snapToGrid w:val="0"/>
        <w:rPr>
          <w:lang w:val="fr-FR"/>
        </w:rPr>
      </w:pPr>
      <w:r w:rsidRPr="00DA7718">
        <w:rPr>
          <w:lang w:val="fr-FR"/>
        </w:rPr>
        <w:t xml:space="preserve">Il a été rarement rapporté que des patients traités par </w:t>
      </w:r>
      <w:r w:rsidR="00197D8C">
        <w:rPr>
          <w:lang w:val="fr-FR"/>
        </w:rPr>
        <w:t>bevacizumab</w:t>
      </w:r>
      <w:r w:rsidRPr="00DA7718">
        <w:rPr>
          <w:lang w:val="fr-FR"/>
        </w:rPr>
        <w:t xml:space="preserve"> développent des signes et symptômes compatibles avec un SEPR, un trouble neurologique rare. Sa survenue peut inclure des attaques, céphalées, état mental altéré, troubles de la vision, cécité corticale, avec ou sans hypertension associée. Le tableau clinique d’un SEPR est souvent non spécifique et par conséquent le diagnostic de SEPR requiert une confirmation par imagerie cérébrale, de préférence une IRM.</w:t>
      </w:r>
    </w:p>
    <w:p w14:paraId="0A376B8E" w14:textId="77777777" w:rsidR="004401F0" w:rsidRPr="007C119A" w:rsidRDefault="004401F0" w:rsidP="00BD4C7C">
      <w:pPr>
        <w:pStyle w:val="a3"/>
        <w:adjustRightInd w:val="0"/>
        <w:snapToGrid w:val="0"/>
        <w:rPr>
          <w:lang w:val="fr-FR"/>
        </w:rPr>
      </w:pPr>
    </w:p>
    <w:p w14:paraId="0B25E1C8" w14:textId="113F53C3" w:rsidR="004401F0" w:rsidRPr="00DA7718" w:rsidRDefault="00DF3C4F" w:rsidP="00BD4C7C">
      <w:pPr>
        <w:pStyle w:val="a3"/>
        <w:adjustRightInd w:val="0"/>
        <w:snapToGrid w:val="0"/>
        <w:rPr>
          <w:lang w:val="fr-FR"/>
        </w:rPr>
      </w:pPr>
      <w:r w:rsidRPr="00DA7718">
        <w:rPr>
          <w:lang w:val="fr-FR"/>
        </w:rPr>
        <w:t xml:space="preserve">Chez les patients qui développent un SEPR, outre l’arrêt </w:t>
      </w:r>
      <w:r w:rsidR="00775F05" w:rsidRPr="00F9256D">
        <w:rPr>
          <w:lang w:val="fr-FR"/>
        </w:rPr>
        <w:t>du bevacizumab</w:t>
      </w:r>
      <w:r w:rsidRPr="00DA7718">
        <w:rPr>
          <w:lang w:val="fr-FR"/>
        </w:rPr>
        <w:t>, une reconnaissance précoce des symptômes avec un traitement rapide des symptômes spécifiques, incluant le contrôle de l’hypertension (si associé à une hypertension artérielle sévère non contrôlée), est recommandée. Les symptômes, habituellement, se dissipent ou s’améliorent dans les jours suivant l’arrêt du traitement, bien que certains patients ont développé quelques séquelles neurologiques. Les conséquences en terme</w:t>
      </w:r>
      <w:r w:rsidR="00675F7E">
        <w:rPr>
          <w:lang w:val="fr-FR"/>
        </w:rPr>
        <w:t>s</w:t>
      </w:r>
      <w:r w:rsidRPr="00DA7718">
        <w:rPr>
          <w:lang w:val="fr-FR"/>
        </w:rPr>
        <w:t xml:space="preserve"> de tolérance d’une reprise du traitement par </w:t>
      </w:r>
      <w:r w:rsidR="00197D8C">
        <w:rPr>
          <w:lang w:val="fr-FR"/>
        </w:rPr>
        <w:t>bevacizumab</w:t>
      </w:r>
      <w:r w:rsidRPr="00DA7718">
        <w:rPr>
          <w:lang w:val="fr-FR"/>
        </w:rPr>
        <w:t xml:space="preserve"> chez les patients ayant préalablement développé un SEPR ne sont pas connues.</w:t>
      </w:r>
    </w:p>
    <w:p w14:paraId="47537C2A" w14:textId="77777777" w:rsidR="004401F0" w:rsidRPr="00675F7E" w:rsidRDefault="004401F0" w:rsidP="00BD4C7C">
      <w:pPr>
        <w:pStyle w:val="a3"/>
        <w:adjustRightInd w:val="0"/>
        <w:snapToGrid w:val="0"/>
        <w:rPr>
          <w:lang w:val="fr-FR"/>
        </w:rPr>
      </w:pPr>
    </w:p>
    <w:p w14:paraId="68CF2E2C" w14:textId="77777777" w:rsidR="004401F0" w:rsidRPr="00DA7718" w:rsidRDefault="00DF3C4F" w:rsidP="00BD4C7C">
      <w:pPr>
        <w:pStyle w:val="a3"/>
        <w:adjustRightInd w:val="0"/>
        <w:snapToGrid w:val="0"/>
        <w:rPr>
          <w:lang w:val="fr-FR"/>
        </w:rPr>
      </w:pPr>
      <w:r w:rsidRPr="00DA7718">
        <w:rPr>
          <w:lang w:val="fr-FR"/>
        </w:rPr>
        <w:t>Au cours des essais cliniques, 8 cas de SEPR ont été rapportés. Deux des huit cas n’avaient pas eu de confirmation radiologique par IRM.</w:t>
      </w:r>
    </w:p>
    <w:p w14:paraId="6F2B42CC" w14:textId="77777777" w:rsidR="004401F0" w:rsidRPr="00DA7718" w:rsidRDefault="004401F0" w:rsidP="00BD4C7C">
      <w:pPr>
        <w:pStyle w:val="a3"/>
        <w:adjustRightInd w:val="0"/>
        <w:snapToGrid w:val="0"/>
        <w:rPr>
          <w:lang w:val="fr-FR"/>
        </w:rPr>
      </w:pPr>
    </w:p>
    <w:p w14:paraId="69AE6CC4" w14:textId="77777777" w:rsidR="004401F0" w:rsidRPr="00DA7718" w:rsidRDefault="00DF3C4F" w:rsidP="00654D21">
      <w:pPr>
        <w:keepNext/>
        <w:keepLines/>
        <w:adjustRightInd w:val="0"/>
        <w:snapToGrid w:val="0"/>
        <w:rPr>
          <w:lang w:val="fr-FR"/>
        </w:rPr>
      </w:pPr>
      <w:r w:rsidRPr="00F9256D">
        <w:rPr>
          <w:i/>
          <w:u w:val="single"/>
          <w:lang w:val="fr-FR"/>
        </w:rPr>
        <w:lastRenderedPageBreak/>
        <w:t xml:space="preserve">Protéinurie </w:t>
      </w:r>
      <w:r w:rsidRPr="00DA7718">
        <w:rPr>
          <w:lang w:val="fr-FR"/>
        </w:rPr>
        <w:t>(voir rubrique 4.4)</w:t>
      </w:r>
    </w:p>
    <w:p w14:paraId="638F8154" w14:textId="0C4D42FA" w:rsidR="004401F0" w:rsidRPr="00DA7718" w:rsidRDefault="00DF3C4F" w:rsidP="00654D21">
      <w:pPr>
        <w:pStyle w:val="a3"/>
        <w:keepNext/>
        <w:keepLines/>
        <w:adjustRightInd w:val="0"/>
        <w:snapToGrid w:val="0"/>
        <w:rPr>
          <w:lang w:val="fr-FR"/>
        </w:rPr>
      </w:pPr>
      <w:r w:rsidRPr="00DA7718">
        <w:rPr>
          <w:lang w:val="fr-FR"/>
        </w:rPr>
        <w:t>Dans les essais cliniques, une protéinurie a été rapportée chez 0,7 à 54,7</w:t>
      </w:r>
      <w:r w:rsidR="00AF3AAA">
        <w:rPr>
          <w:lang w:val="fr-FR"/>
        </w:rPr>
        <w:t xml:space="preserve"> % </w:t>
      </w:r>
      <w:r w:rsidRPr="00DA7718">
        <w:rPr>
          <w:lang w:val="fr-FR"/>
        </w:rPr>
        <w:t xml:space="preserve">des patients traités par </w:t>
      </w:r>
      <w:r w:rsidR="00197D8C">
        <w:rPr>
          <w:lang w:val="fr-FR"/>
        </w:rPr>
        <w:t>bevacizumab</w:t>
      </w:r>
      <w:r w:rsidRPr="00DA7718">
        <w:rPr>
          <w:lang w:val="fr-FR"/>
        </w:rPr>
        <w:t>.</w:t>
      </w:r>
    </w:p>
    <w:p w14:paraId="13616376" w14:textId="77777777" w:rsidR="004401F0" w:rsidRPr="00DA7718" w:rsidRDefault="004401F0" w:rsidP="00BD4C7C">
      <w:pPr>
        <w:pStyle w:val="a3"/>
        <w:adjustRightInd w:val="0"/>
        <w:snapToGrid w:val="0"/>
        <w:rPr>
          <w:lang w:val="fr-FR"/>
        </w:rPr>
      </w:pPr>
    </w:p>
    <w:p w14:paraId="745F7E11" w14:textId="667EB24D" w:rsidR="004401F0" w:rsidRPr="00DA7718" w:rsidRDefault="00DF3C4F" w:rsidP="00602AC3">
      <w:pPr>
        <w:pStyle w:val="a3"/>
        <w:adjustRightInd w:val="0"/>
        <w:snapToGrid w:val="0"/>
        <w:rPr>
          <w:lang w:val="fr-FR"/>
        </w:rPr>
      </w:pPr>
      <w:r w:rsidRPr="00DA7718">
        <w:rPr>
          <w:lang w:val="fr-FR"/>
        </w:rPr>
        <w:t>La protéinurie a varié en termes de sévérité, de cliniquement asymptomatique, transitoire, à l’état de traces jusqu’à un syndrome néphrotique, cette protéinurie étant de grade 1 dans la majorité des cas (NCI-CTCAE v.3). Une protéinurie de Grade 3 a été rapportée chez jusqu’à 10,9%des patients traités. Une protéinurie de Grade 4 (syndrome néphrotique) a été observée jusqu'à 1,4</w:t>
      </w:r>
      <w:r w:rsidR="00AF3AAA">
        <w:rPr>
          <w:lang w:val="fr-FR"/>
        </w:rPr>
        <w:t xml:space="preserve"> % </w:t>
      </w:r>
      <w:r w:rsidRPr="00DA7718">
        <w:rPr>
          <w:lang w:val="fr-FR"/>
        </w:rPr>
        <w:t xml:space="preserve">des patients traités. Une recherche de protéinurie est donc recommandée avant l’instauration du traitement par </w:t>
      </w:r>
      <w:r w:rsidR="00F05208">
        <w:rPr>
          <w:lang w:val="fr-FR"/>
        </w:rPr>
        <w:t>Vegzelma</w:t>
      </w:r>
      <w:r w:rsidRPr="00DA7718">
        <w:rPr>
          <w:lang w:val="fr-FR"/>
        </w:rPr>
        <w:t>.</w:t>
      </w:r>
      <w:r w:rsidR="00602AC3">
        <w:rPr>
          <w:lang w:val="fr-FR"/>
        </w:rPr>
        <w:t xml:space="preserve"> </w:t>
      </w:r>
      <w:r w:rsidRPr="00DA7718">
        <w:rPr>
          <w:lang w:val="fr-FR"/>
        </w:rPr>
        <w:t xml:space="preserve">Dans la plupart des études cliniques, une protéinurie ≥ 2 g/24 h a conduit à suspendre le traitement par </w:t>
      </w:r>
      <w:r w:rsidR="00197D8C">
        <w:rPr>
          <w:lang w:val="fr-FR"/>
        </w:rPr>
        <w:t>bevacizumab</w:t>
      </w:r>
      <w:r w:rsidR="00197D8C" w:rsidRPr="00DA7718">
        <w:rPr>
          <w:lang w:val="fr-FR"/>
        </w:rPr>
        <w:t xml:space="preserve"> </w:t>
      </w:r>
      <w:r w:rsidRPr="00DA7718">
        <w:rPr>
          <w:lang w:val="fr-FR"/>
        </w:rPr>
        <w:t>jusqu’au retour à des valeurs &lt; 2 g/24 h.</w:t>
      </w:r>
    </w:p>
    <w:p w14:paraId="0E744232" w14:textId="77777777" w:rsidR="00BD4C7C" w:rsidRPr="00DA7718" w:rsidRDefault="00BD4C7C" w:rsidP="00BD4C7C">
      <w:pPr>
        <w:adjustRightInd w:val="0"/>
        <w:snapToGrid w:val="0"/>
        <w:rPr>
          <w:lang w:val="fr-FR"/>
        </w:rPr>
      </w:pPr>
    </w:p>
    <w:p w14:paraId="1D1C40EC" w14:textId="77777777" w:rsidR="004401F0" w:rsidRPr="00DA7718" w:rsidRDefault="00DF3C4F" w:rsidP="00BD4C7C">
      <w:pPr>
        <w:adjustRightInd w:val="0"/>
        <w:snapToGrid w:val="0"/>
        <w:rPr>
          <w:i/>
          <w:lang w:val="fr-FR"/>
        </w:rPr>
      </w:pPr>
      <w:r w:rsidRPr="00F9256D">
        <w:rPr>
          <w:i/>
          <w:u w:val="single"/>
          <w:lang w:val="fr-FR"/>
        </w:rPr>
        <w:t>Hémorragies</w:t>
      </w:r>
      <w:r w:rsidRPr="00DA7718">
        <w:rPr>
          <w:i/>
          <w:lang w:val="fr-FR"/>
        </w:rPr>
        <w:t xml:space="preserve"> </w:t>
      </w:r>
      <w:r w:rsidRPr="00DA7718">
        <w:rPr>
          <w:lang w:val="fr-FR"/>
        </w:rPr>
        <w:t xml:space="preserve">(voir rubrique 4.4) </w:t>
      </w:r>
      <w:r w:rsidRPr="00DA7718">
        <w:rPr>
          <w:i/>
          <w:lang w:val="fr-FR"/>
        </w:rPr>
        <w:t>:</w:t>
      </w:r>
    </w:p>
    <w:p w14:paraId="5FF35F85" w14:textId="392CC881" w:rsidR="004401F0" w:rsidRPr="00DA7718" w:rsidRDefault="00DF3C4F" w:rsidP="00BD4C7C">
      <w:pPr>
        <w:pStyle w:val="a3"/>
        <w:adjustRightInd w:val="0"/>
        <w:snapToGrid w:val="0"/>
        <w:rPr>
          <w:lang w:val="fr-FR"/>
        </w:rPr>
      </w:pPr>
      <w:r w:rsidRPr="00DA7718">
        <w:rPr>
          <w:lang w:val="fr-FR"/>
        </w:rPr>
        <w:t>Dans les essais cliniques, toutes indications confondues, l’incidence globale des effets hémorragiques de Grade 3-5 selon les critères NCI-CTCAE v.3 a été de 0,4 à 6,9</w:t>
      </w:r>
      <w:r w:rsidR="00AF3AAA">
        <w:rPr>
          <w:lang w:val="fr-FR"/>
        </w:rPr>
        <w:t xml:space="preserve"> % </w:t>
      </w:r>
      <w:r w:rsidRPr="00DA7718">
        <w:rPr>
          <w:lang w:val="fr-FR"/>
        </w:rPr>
        <w:t xml:space="preserve">des patients traités par </w:t>
      </w:r>
      <w:r w:rsidR="00197D8C">
        <w:rPr>
          <w:lang w:val="fr-FR"/>
        </w:rPr>
        <w:t>bevacizumab</w:t>
      </w:r>
      <w:r w:rsidRPr="00DA7718">
        <w:rPr>
          <w:lang w:val="fr-FR"/>
        </w:rPr>
        <w:t xml:space="preserve"> comparé à un maximum de 4,5</w:t>
      </w:r>
      <w:r w:rsidR="00AF3AAA">
        <w:rPr>
          <w:lang w:val="fr-FR"/>
        </w:rPr>
        <w:t xml:space="preserve"> % </w:t>
      </w:r>
      <w:r w:rsidRPr="00DA7718">
        <w:rPr>
          <w:lang w:val="fr-FR"/>
        </w:rPr>
        <w:t>dans le groupe témoin sous chimiothérapie.</w:t>
      </w:r>
    </w:p>
    <w:p w14:paraId="16A45D97" w14:textId="77777777" w:rsidR="004401F0" w:rsidRPr="007C119A" w:rsidRDefault="004401F0" w:rsidP="00BD4C7C">
      <w:pPr>
        <w:pStyle w:val="a3"/>
        <w:adjustRightInd w:val="0"/>
        <w:snapToGrid w:val="0"/>
        <w:rPr>
          <w:lang w:val="fr-FR"/>
        </w:rPr>
      </w:pPr>
    </w:p>
    <w:p w14:paraId="3AA72F64" w14:textId="50DDA156" w:rsidR="004401F0" w:rsidRPr="00DA7718" w:rsidRDefault="00DF3C4F" w:rsidP="00BD4C7C">
      <w:pPr>
        <w:pStyle w:val="a3"/>
        <w:adjustRightInd w:val="0"/>
        <w:snapToGrid w:val="0"/>
        <w:rPr>
          <w:lang w:val="fr-FR"/>
        </w:rPr>
      </w:pPr>
      <w:r w:rsidRPr="00DA7718">
        <w:rPr>
          <w:lang w:val="fr-FR"/>
        </w:rPr>
        <w:t>Au cours d’un essai clinique avec des patientes atteintes d’un cancer du col de l’utérus persistant, en rechute ou métastatique (étude GOG-0240), des effets hémorragiques de Grade 3-5 ont été rapportés chez jusqu’à 8,3</w:t>
      </w:r>
      <w:r w:rsidR="00AF3AAA">
        <w:rPr>
          <w:lang w:val="fr-FR"/>
        </w:rPr>
        <w:t xml:space="preserve"> % </w:t>
      </w:r>
      <w:r w:rsidRPr="00DA7718">
        <w:rPr>
          <w:lang w:val="fr-FR"/>
        </w:rPr>
        <w:t xml:space="preserve">des patientes traitées par </w:t>
      </w:r>
      <w:r w:rsidR="00197D8C">
        <w:rPr>
          <w:lang w:val="fr-FR"/>
        </w:rPr>
        <w:t>bevacizumab</w:t>
      </w:r>
      <w:r w:rsidRPr="00DA7718">
        <w:rPr>
          <w:lang w:val="fr-FR"/>
        </w:rPr>
        <w:t xml:space="preserve"> en association au paclitaxel et au topotécan en comparaison chez jusqu’à 4,6</w:t>
      </w:r>
      <w:r w:rsidR="00AF3AAA">
        <w:rPr>
          <w:lang w:val="fr-FR"/>
        </w:rPr>
        <w:t xml:space="preserve"> % </w:t>
      </w:r>
      <w:r w:rsidRPr="00DA7718">
        <w:rPr>
          <w:lang w:val="fr-FR"/>
        </w:rPr>
        <w:t>des patientes traitées avec le paclitaxel et le topotécan.</w:t>
      </w:r>
    </w:p>
    <w:p w14:paraId="3AD1D862" w14:textId="77777777" w:rsidR="004401F0" w:rsidRPr="00DA7718" w:rsidRDefault="004401F0" w:rsidP="00BD4C7C">
      <w:pPr>
        <w:pStyle w:val="a3"/>
        <w:adjustRightInd w:val="0"/>
        <w:snapToGrid w:val="0"/>
        <w:rPr>
          <w:lang w:val="fr-FR"/>
        </w:rPr>
      </w:pPr>
    </w:p>
    <w:p w14:paraId="1F670544" w14:textId="77777777" w:rsidR="004401F0" w:rsidRPr="00DA7718" w:rsidRDefault="00DF3C4F" w:rsidP="00BD4C7C">
      <w:pPr>
        <w:pStyle w:val="a3"/>
        <w:adjustRightInd w:val="0"/>
        <w:snapToGrid w:val="0"/>
        <w:rPr>
          <w:lang w:val="fr-FR"/>
        </w:rPr>
      </w:pPr>
      <w:r w:rsidRPr="00DA7718">
        <w:rPr>
          <w:lang w:val="fr-FR"/>
        </w:rPr>
        <w:t>Les effets hémorragiques qui ont été observés au cours des essais cliniques étaient essentiellement des hémorragies associées à la tumeur (voir ci-dessous) et des saignements cutanéo-muqueux mineurs</w:t>
      </w:r>
    </w:p>
    <w:p w14:paraId="4E41B720" w14:textId="618339A1" w:rsidR="004401F0" w:rsidRPr="00DA7718" w:rsidRDefault="00DF3C4F" w:rsidP="00BD4C7C">
      <w:pPr>
        <w:pStyle w:val="a3"/>
        <w:adjustRightInd w:val="0"/>
        <w:snapToGrid w:val="0"/>
        <w:rPr>
          <w:lang w:val="fr-FR"/>
        </w:rPr>
      </w:pPr>
      <w:r w:rsidRPr="00DA7718">
        <w:rPr>
          <w:lang w:val="fr-FR"/>
        </w:rPr>
        <w:t>(ex</w:t>
      </w:r>
      <w:r w:rsidR="00765A43">
        <w:rPr>
          <w:lang w:val="fr-FR"/>
        </w:rPr>
        <w:t xml:space="preserve"> : </w:t>
      </w:r>
      <w:r w:rsidRPr="00DA7718">
        <w:rPr>
          <w:lang w:val="fr-FR"/>
        </w:rPr>
        <w:t>épistaxis).</w:t>
      </w:r>
    </w:p>
    <w:p w14:paraId="4A1B3405" w14:textId="77777777" w:rsidR="004401F0" w:rsidRPr="00DA7718" w:rsidRDefault="004401F0" w:rsidP="00BD4C7C">
      <w:pPr>
        <w:pStyle w:val="a3"/>
        <w:adjustRightInd w:val="0"/>
        <w:snapToGrid w:val="0"/>
        <w:rPr>
          <w:lang w:val="fr-FR"/>
        </w:rPr>
      </w:pPr>
    </w:p>
    <w:p w14:paraId="10A78527" w14:textId="77777777" w:rsidR="004401F0" w:rsidRPr="00DA7718" w:rsidRDefault="00DF3C4F" w:rsidP="00BD4C7C">
      <w:pPr>
        <w:adjustRightInd w:val="0"/>
        <w:snapToGrid w:val="0"/>
        <w:rPr>
          <w:lang w:val="fr-FR"/>
        </w:rPr>
      </w:pPr>
      <w:r w:rsidRPr="00F9256D">
        <w:rPr>
          <w:i/>
          <w:u w:val="single"/>
          <w:lang w:val="fr-FR"/>
        </w:rPr>
        <w:t>Hémorragie associée à la tumeur</w:t>
      </w:r>
      <w:r w:rsidRPr="00DA7718">
        <w:rPr>
          <w:i/>
          <w:lang w:val="fr-FR"/>
        </w:rPr>
        <w:t xml:space="preserve"> </w:t>
      </w:r>
      <w:r w:rsidRPr="00DA7718">
        <w:rPr>
          <w:lang w:val="fr-FR"/>
        </w:rPr>
        <w:t>(voir rubrique 4.4) :</w:t>
      </w:r>
    </w:p>
    <w:p w14:paraId="05ABDAC6" w14:textId="22D5ED2D" w:rsidR="004401F0" w:rsidRPr="00DA7718" w:rsidRDefault="00DF3C4F" w:rsidP="00BD4C7C">
      <w:pPr>
        <w:pStyle w:val="a3"/>
        <w:adjustRightInd w:val="0"/>
        <w:snapToGrid w:val="0"/>
        <w:rPr>
          <w:lang w:val="fr-FR"/>
        </w:rPr>
      </w:pPr>
      <w:r w:rsidRPr="00DA7718">
        <w:rPr>
          <w:lang w:val="fr-FR"/>
        </w:rPr>
        <w:t xml:space="preserve">Des hémorragies pulmonaires/hémoptysies majeures ou massives ont été observées principalement dans les études menées chez des patients atteints d’un CBNPC. Les facteurs de risque possibles incluent les histologies de type épidermoïde, un traitement par produit antirhumatismal/anti-inflammatoire, un traitement anticoagulant, une radiothérapie préalable, un traitement par </w:t>
      </w:r>
      <w:r w:rsidR="00377E49">
        <w:rPr>
          <w:lang w:val="fr-FR"/>
        </w:rPr>
        <w:t>bevacizumab</w:t>
      </w:r>
      <w:r w:rsidRPr="00DA7718">
        <w:rPr>
          <w:lang w:val="fr-FR"/>
        </w:rPr>
        <w:t xml:space="preserve">, des antécédents d’athérosclérose, une localisation centrale de la tumeur et une cavitation de la tumeur avant ou au cours du traitement. Les seules variables ayant été corrélées de façon statistiquement significative à ces hémorragies ont été le traitement par </w:t>
      </w:r>
      <w:r w:rsidR="00377E49">
        <w:rPr>
          <w:lang w:val="fr-FR"/>
        </w:rPr>
        <w:t>bevacizumab</w:t>
      </w:r>
      <w:r w:rsidRPr="00DA7718">
        <w:rPr>
          <w:lang w:val="fr-FR"/>
        </w:rPr>
        <w:t xml:space="preserve"> et l’histologie de type épidermoïde. Les patients atteints d’un CBNPC d’histologie épidermoïde connue ou mixte à prédominance épidermoïde, ont été exclus des études de phase III ultérieures, alors que les patients atteints d’une tumeur de type histologique inconnu étaient inclus.</w:t>
      </w:r>
    </w:p>
    <w:p w14:paraId="2CF49AD9" w14:textId="77777777" w:rsidR="004401F0" w:rsidRPr="007C119A" w:rsidRDefault="004401F0" w:rsidP="00BD4C7C">
      <w:pPr>
        <w:pStyle w:val="a3"/>
        <w:adjustRightInd w:val="0"/>
        <w:snapToGrid w:val="0"/>
        <w:rPr>
          <w:lang w:val="fr-FR"/>
        </w:rPr>
      </w:pPr>
    </w:p>
    <w:p w14:paraId="3EE54429" w14:textId="5C3496B0" w:rsidR="004401F0" w:rsidRPr="00DA7718" w:rsidRDefault="00DF3C4F" w:rsidP="00BD4C7C">
      <w:pPr>
        <w:pStyle w:val="a3"/>
        <w:adjustRightInd w:val="0"/>
        <w:snapToGrid w:val="0"/>
        <w:rPr>
          <w:lang w:val="fr-FR"/>
        </w:rPr>
      </w:pPr>
      <w:r w:rsidRPr="00DA7718">
        <w:rPr>
          <w:lang w:val="fr-FR"/>
        </w:rPr>
        <w:t>Chez les patients atteints de CBNPC, à l’exclusion de ceux ayant une histologie épidermoïde prédominante, les effets indésirables de tous grades ont été observés avec une fréquence allant jusqu’à 9,3</w:t>
      </w:r>
      <w:r w:rsidR="00AF3AAA">
        <w:rPr>
          <w:lang w:val="fr-FR"/>
        </w:rPr>
        <w:t xml:space="preserve"> % </w:t>
      </w:r>
      <w:r w:rsidRPr="00DA7718">
        <w:rPr>
          <w:lang w:val="fr-FR"/>
        </w:rPr>
        <w:t xml:space="preserve">chez les patients traités par </w:t>
      </w:r>
      <w:r w:rsidR="00377E49">
        <w:rPr>
          <w:lang w:val="fr-FR"/>
        </w:rPr>
        <w:t>bevacizumab</w:t>
      </w:r>
      <w:r w:rsidRPr="00DA7718">
        <w:rPr>
          <w:lang w:val="fr-FR"/>
        </w:rPr>
        <w:t xml:space="preserve"> plus chimiothérapie, comparé à jusqu’à 5</w:t>
      </w:r>
      <w:r w:rsidR="00AF3AAA">
        <w:rPr>
          <w:lang w:val="fr-FR"/>
        </w:rPr>
        <w:t xml:space="preserve"> % </w:t>
      </w:r>
      <w:r w:rsidRPr="00DA7718">
        <w:rPr>
          <w:lang w:val="fr-FR"/>
        </w:rPr>
        <w:t>chez les patients traités par chimiothérapie seule. Les effets de Grade 3-5 ont été observés jusqu’à 2,3</w:t>
      </w:r>
      <w:r w:rsidR="00AF3AAA">
        <w:rPr>
          <w:lang w:val="fr-FR"/>
        </w:rPr>
        <w:t xml:space="preserve"> % </w:t>
      </w:r>
      <w:r w:rsidRPr="00DA7718">
        <w:rPr>
          <w:lang w:val="fr-FR"/>
        </w:rPr>
        <w:t xml:space="preserve">des patients traités par </w:t>
      </w:r>
      <w:r w:rsidR="00377E49">
        <w:rPr>
          <w:lang w:val="fr-FR"/>
        </w:rPr>
        <w:t>bevacizumab</w:t>
      </w:r>
      <w:r w:rsidRPr="00DA7718">
        <w:rPr>
          <w:lang w:val="fr-FR"/>
        </w:rPr>
        <w:t xml:space="preserve"> plus chimiothérapie comparés à &lt; 1</w:t>
      </w:r>
      <w:r w:rsidR="00AF3AAA">
        <w:rPr>
          <w:lang w:val="fr-FR"/>
        </w:rPr>
        <w:t xml:space="preserve"> % </w:t>
      </w:r>
      <w:r w:rsidRPr="00DA7718">
        <w:rPr>
          <w:lang w:val="fr-FR"/>
        </w:rPr>
        <w:t>chez ceux traités par chimiothérapie seule (NCI-CTCAE v.3). Des hémorragies pulmonaires/hémoptysies majeures ou massives peuvent survenir de manière soudaine</w:t>
      </w:r>
      <w:r w:rsidR="00765A43">
        <w:rPr>
          <w:lang w:val="fr-FR"/>
        </w:rPr>
        <w:t xml:space="preserve"> : </w:t>
      </w:r>
      <w:r w:rsidRPr="00DA7718">
        <w:rPr>
          <w:lang w:val="fr-FR"/>
        </w:rPr>
        <w:t>jusqu’à deux tiers des hémorragies pulmonaires graves ont été fatales.</w:t>
      </w:r>
    </w:p>
    <w:p w14:paraId="7C749DC0" w14:textId="77777777" w:rsidR="004401F0" w:rsidRPr="00DA7718" w:rsidRDefault="004401F0" w:rsidP="00BD4C7C">
      <w:pPr>
        <w:pStyle w:val="a3"/>
        <w:adjustRightInd w:val="0"/>
        <w:snapToGrid w:val="0"/>
        <w:rPr>
          <w:lang w:val="fr-FR"/>
        </w:rPr>
      </w:pPr>
    </w:p>
    <w:p w14:paraId="20D4CC2F" w14:textId="77777777" w:rsidR="004401F0" w:rsidRPr="00DA7718" w:rsidRDefault="00DF3C4F" w:rsidP="00BD4C7C">
      <w:pPr>
        <w:pStyle w:val="a3"/>
        <w:adjustRightInd w:val="0"/>
        <w:snapToGrid w:val="0"/>
        <w:rPr>
          <w:lang w:val="fr-FR"/>
        </w:rPr>
      </w:pPr>
      <w:r w:rsidRPr="00DA7718">
        <w:rPr>
          <w:lang w:val="fr-FR"/>
        </w:rPr>
        <w:t>Des cas d’hémorragie gastro-intestinale, notamment rectorragies et méléna, ont été rapportés chez des patients atteints d'un cancer colorectal et ont été considérés comme des hémorragies associées à la tumeur.</w:t>
      </w:r>
    </w:p>
    <w:p w14:paraId="1EA9DD40" w14:textId="77777777" w:rsidR="004401F0" w:rsidRPr="00DA7718" w:rsidRDefault="004401F0" w:rsidP="00BD4C7C">
      <w:pPr>
        <w:pStyle w:val="a3"/>
        <w:adjustRightInd w:val="0"/>
        <w:snapToGrid w:val="0"/>
        <w:rPr>
          <w:lang w:val="fr-FR"/>
        </w:rPr>
      </w:pPr>
    </w:p>
    <w:p w14:paraId="7599A03C" w14:textId="77777777" w:rsidR="004401F0" w:rsidRPr="00DA7718" w:rsidRDefault="00DF3C4F" w:rsidP="00BD4C7C">
      <w:pPr>
        <w:pStyle w:val="a3"/>
        <w:adjustRightInd w:val="0"/>
        <w:snapToGrid w:val="0"/>
        <w:jc w:val="both"/>
        <w:rPr>
          <w:lang w:val="fr-FR"/>
        </w:rPr>
      </w:pPr>
      <w:r w:rsidRPr="00DA7718">
        <w:rPr>
          <w:lang w:val="fr-FR"/>
        </w:rPr>
        <w:t>Une hémorragie associée à la tumeur (y compris des cas d’hémorragies du système nerveux central (SNC) chez des patients atteints de métastases du SNC) a également été observée dans de rares cas, dans d’autres types de tumeurs et dans d’autres localisations (voir rubrique 4.4).</w:t>
      </w:r>
    </w:p>
    <w:p w14:paraId="21A522A6" w14:textId="77777777" w:rsidR="004401F0" w:rsidRPr="00DA7718" w:rsidRDefault="004401F0" w:rsidP="00BD4C7C">
      <w:pPr>
        <w:pStyle w:val="a3"/>
        <w:adjustRightInd w:val="0"/>
        <w:snapToGrid w:val="0"/>
        <w:rPr>
          <w:lang w:val="fr-FR"/>
        </w:rPr>
      </w:pPr>
    </w:p>
    <w:p w14:paraId="572EEFBA" w14:textId="77777777" w:rsidR="004401F0" w:rsidRPr="00DA7718" w:rsidRDefault="00DF3C4F" w:rsidP="00654D21">
      <w:pPr>
        <w:pStyle w:val="a3"/>
        <w:keepLines/>
        <w:adjustRightInd w:val="0"/>
        <w:snapToGrid w:val="0"/>
        <w:rPr>
          <w:lang w:val="fr-FR"/>
        </w:rPr>
      </w:pPr>
      <w:r w:rsidRPr="00DA7718">
        <w:rPr>
          <w:lang w:val="fr-FR"/>
        </w:rPr>
        <w:lastRenderedPageBreak/>
        <w:t>L’incidence des hémorragies du SNC chez les patients traités par bevacizumab et présentant des métastases non traitées du SNC n’a pas été évaluée de manière prospective au cours d’études cliniques randomisées. Dans une analyse exploratoire rétrospective, portant sur les résultats finaux de 13 études cliniques randomisées menées dans différents types de tumeurs, 3 patients sur 91 (3,3 %), traités par bevacizumab et atteints de métastases cérébrales ont présenté une hémorragie du SNC (toutes de Grade 4), comparé à 1 patient (Grade 5) sur 96 (1 %), non traité par bevacizumab. Dans deux études ultérieures menées chez des patients présentant des métastases cérébrales traitées (incluant environ 800 patients), au moment de l’analyse intermédiaire de tolérance, 1 patient sur 83 (1,2 %), traité par bevacizumab, a présenté une hémorragie du SNC de Grade 2 (NCI-CTCAE v.3).</w:t>
      </w:r>
    </w:p>
    <w:p w14:paraId="3EAF9FF7" w14:textId="13EE1051" w:rsidR="004401F0" w:rsidRPr="00DA7718" w:rsidRDefault="00DF3C4F" w:rsidP="00BD4C7C">
      <w:pPr>
        <w:pStyle w:val="a3"/>
        <w:adjustRightInd w:val="0"/>
        <w:snapToGrid w:val="0"/>
        <w:rPr>
          <w:lang w:val="fr-FR"/>
        </w:rPr>
      </w:pPr>
      <w:r w:rsidRPr="00DA7718">
        <w:rPr>
          <w:lang w:val="fr-FR"/>
        </w:rPr>
        <w:t>Dans tous les essais cliniques, une hémorragie cutanéo-muqueuse a été observée jusqu’à 50</w:t>
      </w:r>
      <w:r w:rsidR="00AF3AAA">
        <w:rPr>
          <w:lang w:val="fr-FR"/>
        </w:rPr>
        <w:t xml:space="preserve"> % </w:t>
      </w:r>
      <w:r w:rsidRPr="00DA7718">
        <w:rPr>
          <w:lang w:val="fr-FR"/>
        </w:rPr>
        <w:t xml:space="preserve">des patients traités par </w:t>
      </w:r>
      <w:r w:rsidR="00377E49">
        <w:rPr>
          <w:lang w:val="fr-FR"/>
        </w:rPr>
        <w:t>bevacizumab</w:t>
      </w:r>
      <w:r w:rsidRPr="00DA7718">
        <w:rPr>
          <w:lang w:val="fr-FR"/>
        </w:rPr>
        <w:t xml:space="preserve">. Il s’agissait la plupart du temps d’épistaxis de Grade 1 selon les critères du NCI-CTCAE v.3 d’une durée de moins de 5 minutes, disparaissant sans traitement et qui ne justifiaient pas de modifications du traitement par </w:t>
      </w:r>
      <w:r w:rsidR="00377E49">
        <w:rPr>
          <w:lang w:val="fr-FR"/>
        </w:rPr>
        <w:t>bevacizumab</w:t>
      </w:r>
      <w:r w:rsidRPr="00DA7718">
        <w:rPr>
          <w:lang w:val="fr-FR"/>
        </w:rPr>
        <w:t>. Les données cliniques de pharmacovigilance suggèrent que l’incidence des hémorragies cutanéo-muqueuses (ex</w:t>
      </w:r>
      <w:r w:rsidR="00765A43">
        <w:rPr>
          <w:lang w:val="fr-FR"/>
        </w:rPr>
        <w:t xml:space="preserve"> : </w:t>
      </w:r>
      <w:r w:rsidRPr="00DA7718">
        <w:rPr>
          <w:lang w:val="fr-FR"/>
        </w:rPr>
        <w:t>épistaxis) serait dose dépendante.</w:t>
      </w:r>
    </w:p>
    <w:p w14:paraId="7298A80F" w14:textId="77777777" w:rsidR="00BD4C7C" w:rsidRPr="00DA7718" w:rsidRDefault="00BD4C7C" w:rsidP="00BD4C7C">
      <w:pPr>
        <w:adjustRightInd w:val="0"/>
        <w:snapToGrid w:val="0"/>
        <w:rPr>
          <w:lang w:val="fr-FR"/>
        </w:rPr>
      </w:pPr>
    </w:p>
    <w:p w14:paraId="657445C7" w14:textId="77777777" w:rsidR="004401F0" w:rsidRPr="00DA7718" w:rsidRDefault="00DF3C4F" w:rsidP="00BD4C7C">
      <w:pPr>
        <w:pStyle w:val="a3"/>
        <w:adjustRightInd w:val="0"/>
        <w:snapToGrid w:val="0"/>
        <w:rPr>
          <w:lang w:val="fr-FR"/>
        </w:rPr>
      </w:pPr>
      <w:r w:rsidRPr="00DA7718">
        <w:rPr>
          <w:lang w:val="fr-FR"/>
        </w:rPr>
        <w:t>Des effets moins fréquents à type de saignements mineurs cutanéo-muqueux ont également été rapportés dans d’autres localisations telles que des saignements gingivaux ou vaginaux.</w:t>
      </w:r>
    </w:p>
    <w:p w14:paraId="38A5C6B9" w14:textId="77777777" w:rsidR="004401F0" w:rsidRPr="00DA7718" w:rsidRDefault="004401F0" w:rsidP="00BD4C7C">
      <w:pPr>
        <w:pStyle w:val="a3"/>
        <w:adjustRightInd w:val="0"/>
        <w:snapToGrid w:val="0"/>
        <w:rPr>
          <w:lang w:val="fr-FR"/>
        </w:rPr>
      </w:pPr>
    </w:p>
    <w:p w14:paraId="4AC58278" w14:textId="77777777" w:rsidR="004401F0" w:rsidRPr="00DA7718" w:rsidRDefault="00DF3C4F" w:rsidP="00BD4C7C">
      <w:pPr>
        <w:adjustRightInd w:val="0"/>
        <w:snapToGrid w:val="0"/>
        <w:rPr>
          <w:lang w:val="fr-FR"/>
        </w:rPr>
      </w:pPr>
      <w:r w:rsidRPr="00F9256D">
        <w:rPr>
          <w:i/>
          <w:u w:val="single"/>
          <w:lang w:val="fr-FR"/>
        </w:rPr>
        <w:t>Thromboembolies</w:t>
      </w:r>
      <w:r w:rsidRPr="00DA7718">
        <w:rPr>
          <w:i/>
          <w:lang w:val="fr-FR"/>
        </w:rPr>
        <w:t xml:space="preserve"> </w:t>
      </w:r>
      <w:r w:rsidRPr="00DA7718">
        <w:rPr>
          <w:lang w:val="fr-FR"/>
        </w:rPr>
        <w:t>(voir rubrique 4.4) :</w:t>
      </w:r>
    </w:p>
    <w:p w14:paraId="162B1894" w14:textId="77777777" w:rsidR="004401F0" w:rsidRPr="007C119A" w:rsidRDefault="004401F0" w:rsidP="00BD4C7C">
      <w:pPr>
        <w:pStyle w:val="a3"/>
        <w:adjustRightInd w:val="0"/>
        <w:snapToGrid w:val="0"/>
        <w:rPr>
          <w:lang w:val="fr-FR"/>
        </w:rPr>
      </w:pPr>
    </w:p>
    <w:p w14:paraId="0791A3A8" w14:textId="77777777" w:rsidR="00675F7E" w:rsidRDefault="00DF3C4F" w:rsidP="00BD4C7C">
      <w:pPr>
        <w:pStyle w:val="a3"/>
        <w:adjustRightInd w:val="0"/>
        <w:snapToGrid w:val="0"/>
        <w:rPr>
          <w:i/>
          <w:lang w:val="fr-FR"/>
        </w:rPr>
      </w:pPr>
      <w:r w:rsidRPr="00DA7718">
        <w:rPr>
          <w:i/>
          <w:lang w:val="fr-FR"/>
        </w:rPr>
        <w:t>Thromboembolies artérielles</w:t>
      </w:r>
    </w:p>
    <w:p w14:paraId="0E5A9739" w14:textId="6E2C3020" w:rsidR="004401F0" w:rsidRPr="00DA7718" w:rsidRDefault="00DF3C4F" w:rsidP="00BD4C7C">
      <w:pPr>
        <w:pStyle w:val="a3"/>
        <w:adjustRightInd w:val="0"/>
        <w:snapToGrid w:val="0"/>
        <w:rPr>
          <w:lang w:val="fr-FR"/>
        </w:rPr>
      </w:pPr>
      <w:r w:rsidRPr="00DA7718">
        <w:rPr>
          <w:lang w:val="fr-FR"/>
        </w:rPr>
        <w:t xml:space="preserve">Une augmentation de l’incidence des effets thromboemboliques artériels a été observée chez les patients traités par </w:t>
      </w:r>
      <w:r w:rsidR="0033604E">
        <w:rPr>
          <w:lang w:val="fr-FR"/>
        </w:rPr>
        <w:t>bevacizumab</w:t>
      </w:r>
      <w:r w:rsidRPr="00DA7718">
        <w:rPr>
          <w:lang w:val="fr-FR"/>
        </w:rPr>
        <w:t>, toutes indications confondues, incluant les accidents vasculaires cérébraux, les infarctus du myocarde, les accidents ischémiques transitoires et les autres effets thromboemboliques artériels.</w:t>
      </w:r>
    </w:p>
    <w:p w14:paraId="446814B0" w14:textId="77777777" w:rsidR="004401F0" w:rsidRPr="00DA7718" w:rsidRDefault="004401F0" w:rsidP="00BD4C7C">
      <w:pPr>
        <w:pStyle w:val="a3"/>
        <w:adjustRightInd w:val="0"/>
        <w:snapToGrid w:val="0"/>
        <w:rPr>
          <w:lang w:val="fr-FR"/>
        </w:rPr>
      </w:pPr>
    </w:p>
    <w:p w14:paraId="67EE7981" w14:textId="717F2410" w:rsidR="004401F0" w:rsidRPr="00DA7718" w:rsidRDefault="00DF3C4F" w:rsidP="00D5561A">
      <w:pPr>
        <w:pStyle w:val="a3"/>
        <w:adjustRightInd w:val="0"/>
        <w:snapToGrid w:val="0"/>
        <w:rPr>
          <w:lang w:val="fr-FR"/>
        </w:rPr>
      </w:pPr>
      <w:r w:rsidRPr="00DA7718">
        <w:rPr>
          <w:lang w:val="fr-FR"/>
        </w:rPr>
        <w:t>Dans des essais cliniques, l’incidence globale des effets thromboemboliques artériels allait jusqu’à 3,</w:t>
      </w:r>
      <w:r w:rsidR="00602AC3" w:rsidRPr="00DA7718">
        <w:rPr>
          <w:lang w:val="fr-FR"/>
        </w:rPr>
        <w:t>8</w:t>
      </w:r>
      <w:r w:rsidR="00AF3AAA">
        <w:rPr>
          <w:lang w:val="fr-FR"/>
        </w:rPr>
        <w:t xml:space="preserve"> % </w:t>
      </w:r>
      <w:r w:rsidRPr="00DA7718">
        <w:rPr>
          <w:lang w:val="fr-FR"/>
        </w:rPr>
        <w:t xml:space="preserve">dans les groupes contenant </w:t>
      </w:r>
      <w:r w:rsidR="00377E49">
        <w:rPr>
          <w:lang w:val="fr-FR"/>
        </w:rPr>
        <w:t>le bevacizumab</w:t>
      </w:r>
      <w:r w:rsidRPr="00DA7718">
        <w:rPr>
          <w:lang w:val="fr-FR"/>
        </w:rPr>
        <w:t xml:space="preserve"> comparé à 2,1</w:t>
      </w:r>
      <w:r w:rsidR="00AF3AAA">
        <w:rPr>
          <w:lang w:val="fr-FR"/>
        </w:rPr>
        <w:t xml:space="preserve"> % </w:t>
      </w:r>
      <w:r w:rsidRPr="00DA7718">
        <w:rPr>
          <w:lang w:val="fr-FR"/>
        </w:rPr>
        <w:t>maximum dans les groupes témoins avec chimiothérapie. L'issue de ces évènements a été fatale chez 0,8</w:t>
      </w:r>
      <w:r w:rsidR="00AF3AAA">
        <w:rPr>
          <w:lang w:val="fr-FR"/>
        </w:rPr>
        <w:t xml:space="preserve"> % </w:t>
      </w:r>
      <w:r w:rsidRPr="00DA7718">
        <w:rPr>
          <w:lang w:val="fr-FR"/>
        </w:rPr>
        <w:t xml:space="preserve">des patients recevant </w:t>
      </w:r>
      <w:r w:rsidR="00377E49">
        <w:rPr>
          <w:lang w:val="fr-FR"/>
        </w:rPr>
        <w:t xml:space="preserve">le bevacizumab </w:t>
      </w:r>
      <w:r w:rsidRPr="00DA7718">
        <w:rPr>
          <w:lang w:val="fr-FR"/>
        </w:rPr>
        <w:t>comparé à 0,5</w:t>
      </w:r>
      <w:r w:rsidR="00AF3AAA">
        <w:rPr>
          <w:lang w:val="fr-FR"/>
        </w:rPr>
        <w:t xml:space="preserve"> % </w:t>
      </w:r>
      <w:r w:rsidRPr="00DA7718">
        <w:rPr>
          <w:lang w:val="fr-FR"/>
        </w:rPr>
        <w:t>de ceux recevant une chimiothérapie seule. Les accidents vasculaires cérébraux (dont les accidents ischémiques transitoires) ont été rapportés jusqu’à 2,7</w:t>
      </w:r>
      <w:r w:rsidR="00AF3AAA">
        <w:rPr>
          <w:lang w:val="fr-FR"/>
        </w:rPr>
        <w:t xml:space="preserve"> % </w:t>
      </w:r>
      <w:r w:rsidRPr="00DA7718">
        <w:rPr>
          <w:lang w:val="fr-FR"/>
        </w:rPr>
        <w:t xml:space="preserve">des patients traités par </w:t>
      </w:r>
      <w:r w:rsidR="00377E49">
        <w:rPr>
          <w:lang w:val="fr-FR"/>
        </w:rPr>
        <w:t>bevacizumab</w:t>
      </w:r>
      <w:r w:rsidRPr="00DA7718">
        <w:rPr>
          <w:lang w:val="fr-FR"/>
        </w:rPr>
        <w:t xml:space="preserve"> associé à une chimiothérapie comparé à jusqu’à 0,5</w:t>
      </w:r>
      <w:r w:rsidR="00AF3AAA">
        <w:rPr>
          <w:lang w:val="fr-FR"/>
        </w:rPr>
        <w:t xml:space="preserve"> % </w:t>
      </w:r>
      <w:r w:rsidRPr="00DA7718">
        <w:rPr>
          <w:lang w:val="fr-FR"/>
        </w:rPr>
        <w:t>des patients traités par une chimiothérapie seule. Des infarctus du myocarde ont été rapportés chez jusqu’à 1,4</w:t>
      </w:r>
      <w:r w:rsidR="00AF3AAA">
        <w:rPr>
          <w:lang w:val="fr-FR"/>
        </w:rPr>
        <w:t xml:space="preserve"> % </w:t>
      </w:r>
      <w:r w:rsidRPr="00DA7718">
        <w:rPr>
          <w:lang w:val="fr-FR"/>
        </w:rPr>
        <w:t xml:space="preserve">des patients traités par </w:t>
      </w:r>
      <w:r w:rsidR="00377E49">
        <w:rPr>
          <w:lang w:val="fr-FR"/>
        </w:rPr>
        <w:t>bevacizumab</w:t>
      </w:r>
      <w:r w:rsidRPr="00DA7718">
        <w:rPr>
          <w:lang w:val="fr-FR"/>
        </w:rPr>
        <w:t xml:space="preserve"> associé à une chimiothérapie comparé à jusqu’à 0,7</w:t>
      </w:r>
      <w:r w:rsidR="00AF3AAA">
        <w:rPr>
          <w:lang w:val="fr-FR"/>
        </w:rPr>
        <w:t xml:space="preserve"> % </w:t>
      </w:r>
      <w:r w:rsidRPr="00DA7718">
        <w:rPr>
          <w:lang w:val="fr-FR"/>
        </w:rPr>
        <w:t>des patients traités par une chimiothérapie seule.</w:t>
      </w:r>
    </w:p>
    <w:p w14:paraId="42B83456" w14:textId="77777777" w:rsidR="004401F0" w:rsidRPr="00DA7718" w:rsidRDefault="004401F0" w:rsidP="00BD4C7C">
      <w:pPr>
        <w:pStyle w:val="a3"/>
        <w:adjustRightInd w:val="0"/>
        <w:snapToGrid w:val="0"/>
        <w:rPr>
          <w:lang w:val="fr-FR"/>
        </w:rPr>
      </w:pPr>
    </w:p>
    <w:p w14:paraId="2FBCA55A" w14:textId="01D36934" w:rsidR="004401F0" w:rsidRPr="00DA7718" w:rsidRDefault="00DF3C4F" w:rsidP="00BD4C7C">
      <w:pPr>
        <w:pStyle w:val="a3"/>
        <w:adjustRightInd w:val="0"/>
        <w:snapToGrid w:val="0"/>
        <w:rPr>
          <w:lang w:val="fr-FR"/>
        </w:rPr>
      </w:pPr>
      <w:r w:rsidRPr="00DA7718">
        <w:rPr>
          <w:lang w:val="fr-FR"/>
        </w:rPr>
        <w:t xml:space="preserve">Les patients atteints d'un cancer colorectal chez lesquels un traitement par irinotécan n’était pas indiqué ont été inclus dans l’essai clinique AVF2192g, évaluant </w:t>
      </w:r>
      <w:r w:rsidR="00377E49">
        <w:rPr>
          <w:lang w:val="fr-FR"/>
        </w:rPr>
        <w:t>le bevacizumab</w:t>
      </w:r>
      <w:r w:rsidR="00377E49" w:rsidRPr="00DA7718">
        <w:rPr>
          <w:lang w:val="fr-FR"/>
        </w:rPr>
        <w:t xml:space="preserve"> </w:t>
      </w:r>
      <w:r w:rsidRPr="00DA7718">
        <w:rPr>
          <w:lang w:val="fr-FR"/>
        </w:rPr>
        <w:t>en association au 5- fluorouracile en bolus/acide folinique. Dans cette étude, des effets thromboemboliques artériels ont été observés chez 11</w:t>
      </w:r>
      <w:r w:rsidR="00AF3AAA">
        <w:rPr>
          <w:lang w:val="fr-FR"/>
        </w:rPr>
        <w:t xml:space="preserve"> % </w:t>
      </w:r>
      <w:r w:rsidRPr="00DA7718">
        <w:rPr>
          <w:lang w:val="fr-FR"/>
        </w:rPr>
        <w:t xml:space="preserve">(11/100) des patients du groupe </w:t>
      </w:r>
      <w:r w:rsidR="00675F7E" w:rsidRPr="00675F7E">
        <w:rPr>
          <w:lang w:val="fr-FR"/>
        </w:rPr>
        <w:t>bevacizumab</w:t>
      </w:r>
      <w:r w:rsidRPr="00DA7718">
        <w:rPr>
          <w:lang w:val="fr-FR"/>
        </w:rPr>
        <w:t xml:space="preserve"> comparé à 5,8</w:t>
      </w:r>
      <w:r w:rsidR="00AF3AAA">
        <w:rPr>
          <w:lang w:val="fr-FR"/>
        </w:rPr>
        <w:t xml:space="preserve"> % </w:t>
      </w:r>
      <w:r w:rsidRPr="00DA7718">
        <w:rPr>
          <w:lang w:val="fr-FR"/>
        </w:rPr>
        <w:t>(6/104) des patients du groupe chimiothérapie seule.</w:t>
      </w:r>
    </w:p>
    <w:p w14:paraId="73204CED" w14:textId="77777777" w:rsidR="004401F0" w:rsidRPr="007C119A" w:rsidRDefault="004401F0" w:rsidP="00BD4C7C">
      <w:pPr>
        <w:pStyle w:val="a3"/>
        <w:adjustRightInd w:val="0"/>
        <w:snapToGrid w:val="0"/>
        <w:rPr>
          <w:lang w:val="fr-FR"/>
        </w:rPr>
      </w:pPr>
    </w:p>
    <w:p w14:paraId="3B735512" w14:textId="77777777" w:rsidR="00675F7E" w:rsidRDefault="00DF3C4F" w:rsidP="00BD4C7C">
      <w:pPr>
        <w:pStyle w:val="a3"/>
        <w:adjustRightInd w:val="0"/>
        <w:snapToGrid w:val="0"/>
        <w:rPr>
          <w:i/>
          <w:lang w:val="fr-FR"/>
        </w:rPr>
      </w:pPr>
      <w:r w:rsidRPr="00DA7718">
        <w:rPr>
          <w:i/>
          <w:lang w:val="fr-FR"/>
        </w:rPr>
        <w:t>Thromboembolies veineuses</w:t>
      </w:r>
    </w:p>
    <w:p w14:paraId="39341B21" w14:textId="26779428" w:rsidR="004401F0" w:rsidRPr="00DA7718" w:rsidRDefault="00765A43" w:rsidP="00BD4C7C">
      <w:pPr>
        <w:pStyle w:val="a3"/>
        <w:adjustRightInd w:val="0"/>
        <w:snapToGrid w:val="0"/>
        <w:rPr>
          <w:lang w:val="fr-FR"/>
        </w:rPr>
      </w:pPr>
      <w:r>
        <w:rPr>
          <w:i/>
          <w:lang w:val="fr-FR"/>
        </w:rPr>
        <w:t xml:space="preserve"> </w:t>
      </w:r>
      <w:r w:rsidR="00DF3C4F" w:rsidRPr="00DA7718">
        <w:rPr>
          <w:lang w:val="fr-FR"/>
        </w:rPr>
        <w:t xml:space="preserve">L’incidence des effets thromboemboliques veineux lors des essais cliniques a été comparable entre les patients recevant </w:t>
      </w:r>
      <w:r w:rsidR="00377E49">
        <w:rPr>
          <w:lang w:val="fr-FR"/>
        </w:rPr>
        <w:t>le bevacizumab</w:t>
      </w:r>
      <w:r w:rsidR="00377E49" w:rsidRPr="00DA7718">
        <w:rPr>
          <w:lang w:val="fr-FR"/>
        </w:rPr>
        <w:t xml:space="preserve"> </w:t>
      </w:r>
      <w:r w:rsidR="00DF3C4F" w:rsidRPr="00DA7718">
        <w:rPr>
          <w:lang w:val="fr-FR"/>
        </w:rPr>
        <w:t>en association à une chimiothérapie et ceux du groupe témoin recevant la même chimiothérapie seule. Ces effets ont inclus des cas de thrombose veineuse profonde, d'embolie pulmonaire et de thrombophlébite.</w:t>
      </w:r>
    </w:p>
    <w:p w14:paraId="1F01A4B8" w14:textId="77777777" w:rsidR="004401F0" w:rsidRPr="007C119A" w:rsidRDefault="004401F0" w:rsidP="00BD4C7C">
      <w:pPr>
        <w:pStyle w:val="a3"/>
        <w:adjustRightInd w:val="0"/>
        <w:snapToGrid w:val="0"/>
        <w:rPr>
          <w:lang w:val="fr-FR"/>
        </w:rPr>
      </w:pPr>
    </w:p>
    <w:p w14:paraId="1D18F79E" w14:textId="468997A9" w:rsidR="004401F0" w:rsidRPr="00DA7718" w:rsidRDefault="00DF3C4F" w:rsidP="00BD4C7C">
      <w:pPr>
        <w:pStyle w:val="a3"/>
        <w:adjustRightInd w:val="0"/>
        <w:snapToGrid w:val="0"/>
        <w:rPr>
          <w:lang w:val="fr-FR"/>
        </w:rPr>
      </w:pPr>
      <w:r w:rsidRPr="00DA7718">
        <w:rPr>
          <w:lang w:val="fr-FR"/>
        </w:rPr>
        <w:t>Au cours des essais cliniques toutes indications confondues, l’incidence globale des effets thromboemboliques veineux était de 2,8</w:t>
      </w:r>
      <w:r w:rsidR="00AF3AAA">
        <w:rPr>
          <w:lang w:val="fr-FR"/>
        </w:rPr>
        <w:t xml:space="preserve"> % </w:t>
      </w:r>
      <w:r w:rsidRPr="00DA7718">
        <w:rPr>
          <w:lang w:val="fr-FR"/>
        </w:rPr>
        <w:t>à 17,3</w:t>
      </w:r>
      <w:r w:rsidR="00AF3AAA">
        <w:rPr>
          <w:lang w:val="fr-FR"/>
        </w:rPr>
        <w:t xml:space="preserve"> % </w:t>
      </w:r>
      <w:r w:rsidRPr="00DA7718">
        <w:rPr>
          <w:lang w:val="fr-FR"/>
        </w:rPr>
        <w:t xml:space="preserve">des patients traités par </w:t>
      </w:r>
      <w:r w:rsidR="00377E49">
        <w:rPr>
          <w:lang w:val="fr-FR"/>
        </w:rPr>
        <w:t>bevacizumab</w:t>
      </w:r>
      <w:r w:rsidRPr="00DA7718">
        <w:rPr>
          <w:lang w:val="fr-FR"/>
        </w:rPr>
        <w:t xml:space="preserve"> comparé à 3,2</w:t>
      </w:r>
      <w:r w:rsidR="00AF3AAA">
        <w:rPr>
          <w:lang w:val="fr-FR"/>
        </w:rPr>
        <w:t xml:space="preserve"> % </w:t>
      </w:r>
      <w:r w:rsidRPr="00DA7718">
        <w:rPr>
          <w:lang w:val="fr-FR"/>
        </w:rPr>
        <w:t>à 15,6</w:t>
      </w:r>
      <w:r w:rsidR="00AF3AAA">
        <w:rPr>
          <w:lang w:val="fr-FR"/>
        </w:rPr>
        <w:t xml:space="preserve"> % </w:t>
      </w:r>
      <w:r w:rsidRPr="00DA7718">
        <w:rPr>
          <w:lang w:val="fr-FR"/>
        </w:rPr>
        <w:t>des patients des groupes témoins.</w:t>
      </w:r>
    </w:p>
    <w:p w14:paraId="61E03AE5" w14:textId="77777777" w:rsidR="004401F0" w:rsidRPr="00DA7718" w:rsidRDefault="004401F0" w:rsidP="00BD4C7C">
      <w:pPr>
        <w:pStyle w:val="a3"/>
        <w:adjustRightInd w:val="0"/>
        <w:snapToGrid w:val="0"/>
        <w:rPr>
          <w:lang w:val="fr-FR"/>
        </w:rPr>
      </w:pPr>
    </w:p>
    <w:p w14:paraId="72403C81" w14:textId="3FA9740D" w:rsidR="004401F0" w:rsidRPr="00DA7718" w:rsidRDefault="00DF3C4F" w:rsidP="00BD4C7C">
      <w:pPr>
        <w:pStyle w:val="a3"/>
        <w:adjustRightInd w:val="0"/>
        <w:snapToGrid w:val="0"/>
        <w:rPr>
          <w:lang w:val="fr-FR"/>
        </w:rPr>
      </w:pPr>
      <w:r w:rsidRPr="00DA7718">
        <w:rPr>
          <w:lang w:val="fr-FR"/>
        </w:rPr>
        <w:t>Des effets thromboemboliques veineux de Grade 3-5 (NCI-CTCAE v.3) ont été rapportés chez jusqu’à 7,8</w:t>
      </w:r>
      <w:r w:rsidR="00AF3AAA">
        <w:rPr>
          <w:lang w:val="fr-FR"/>
        </w:rPr>
        <w:t xml:space="preserve"> % </w:t>
      </w:r>
      <w:r w:rsidRPr="00DA7718">
        <w:rPr>
          <w:lang w:val="fr-FR"/>
        </w:rPr>
        <w:t>des patients traités par chimiothérapie plus bevacizumab, contre jusqu’à 4,9</w:t>
      </w:r>
      <w:r w:rsidR="00AF3AAA">
        <w:rPr>
          <w:lang w:val="fr-FR"/>
        </w:rPr>
        <w:t xml:space="preserve"> % </w:t>
      </w:r>
      <w:r w:rsidRPr="00DA7718">
        <w:rPr>
          <w:lang w:val="fr-FR"/>
        </w:rPr>
        <w:t>des patients traités par chimiothérapie seule (dans toutes les indications, excepté pour le cancer du col de l’utérus persistant, en rechute ou métastatique).</w:t>
      </w:r>
    </w:p>
    <w:p w14:paraId="255E0E7C" w14:textId="77777777" w:rsidR="004401F0" w:rsidRPr="00DA7718" w:rsidRDefault="004401F0" w:rsidP="00BD4C7C">
      <w:pPr>
        <w:pStyle w:val="a3"/>
        <w:adjustRightInd w:val="0"/>
        <w:snapToGrid w:val="0"/>
        <w:rPr>
          <w:lang w:val="fr-FR"/>
        </w:rPr>
      </w:pPr>
    </w:p>
    <w:p w14:paraId="245E7AFF" w14:textId="3C6F1653" w:rsidR="004401F0" w:rsidRPr="00DA7718" w:rsidRDefault="00DF3C4F" w:rsidP="00654D21">
      <w:pPr>
        <w:pStyle w:val="a3"/>
        <w:keepLines/>
        <w:adjustRightInd w:val="0"/>
        <w:snapToGrid w:val="0"/>
        <w:rPr>
          <w:lang w:val="fr-FR"/>
        </w:rPr>
      </w:pPr>
      <w:r w:rsidRPr="00DA7718">
        <w:rPr>
          <w:lang w:val="fr-FR"/>
        </w:rPr>
        <w:t xml:space="preserve">Au cours d’un essai clinique avec des patientes atteintes d’un cancer du col de l’utérus persistant, </w:t>
      </w:r>
      <w:r w:rsidR="000D6E98" w:rsidRPr="00DA7718">
        <w:rPr>
          <w:lang w:val="fr-FR"/>
        </w:rPr>
        <w:t>en</w:t>
      </w:r>
      <w:r w:rsidR="000D6E98">
        <w:rPr>
          <w:lang w:val="fr-FR"/>
        </w:rPr>
        <w:t> </w:t>
      </w:r>
      <w:r w:rsidRPr="00DA7718">
        <w:rPr>
          <w:lang w:val="fr-FR"/>
        </w:rPr>
        <w:t xml:space="preserve">rechute ou métastatique (étude GOG-0240), des évènements thromboemboliques veineux de </w:t>
      </w:r>
      <w:r w:rsidR="000D6E98" w:rsidRPr="00DA7718">
        <w:rPr>
          <w:lang w:val="fr-FR"/>
        </w:rPr>
        <w:t>Grade</w:t>
      </w:r>
      <w:r w:rsidR="000D6E98">
        <w:rPr>
          <w:lang w:val="fr-FR"/>
        </w:rPr>
        <w:t> </w:t>
      </w:r>
      <w:r w:rsidRPr="00DA7718">
        <w:rPr>
          <w:lang w:val="fr-FR"/>
        </w:rPr>
        <w:t>3-5 ont été rapportés chez jusqu’à 15,6</w:t>
      </w:r>
      <w:r w:rsidR="00AF3AAA">
        <w:rPr>
          <w:lang w:val="fr-FR"/>
        </w:rPr>
        <w:t xml:space="preserve"> % </w:t>
      </w:r>
      <w:r w:rsidRPr="00DA7718">
        <w:rPr>
          <w:lang w:val="fr-FR"/>
        </w:rPr>
        <w:t xml:space="preserve">des patientes traitées par </w:t>
      </w:r>
      <w:r w:rsidR="00377E49">
        <w:rPr>
          <w:lang w:val="fr-FR"/>
        </w:rPr>
        <w:t>bevacizumab</w:t>
      </w:r>
      <w:r w:rsidRPr="00DA7718">
        <w:rPr>
          <w:lang w:val="fr-FR"/>
        </w:rPr>
        <w:t xml:space="preserve"> en association au paclitaxel et au cisplatine, en comparaison chez jusqu’à 7,0</w:t>
      </w:r>
      <w:r w:rsidR="00AF3AAA">
        <w:rPr>
          <w:lang w:val="fr-FR"/>
        </w:rPr>
        <w:t xml:space="preserve"> % </w:t>
      </w:r>
      <w:r w:rsidRPr="00DA7718">
        <w:rPr>
          <w:lang w:val="fr-FR"/>
        </w:rPr>
        <w:t>des patientes traitées avec le paclitaxel et le cisplatine.</w:t>
      </w:r>
    </w:p>
    <w:p w14:paraId="57A15B35" w14:textId="77777777" w:rsidR="004401F0" w:rsidRPr="007C119A" w:rsidRDefault="004401F0" w:rsidP="00BD4C7C">
      <w:pPr>
        <w:pStyle w:val="a3"/>
        <w:adjustRightInd w:val="0"/>
        <w:snapToGrid w:val="0"/>
        <w:rPr>
          <w:lang w:val="fr-FR"/>
        </w:rPr>
      </w:pPr>
    </w:p>
    <w:p w14:paraId="6434E089" w14:textId="0CB830D8" w:rsidR="004401F0" w:rsidRPr="00DA7718" w:rsidRDefault="00DF3C4F" w:rsidP="00BD4C7C">
      <w:pPr>
        <w:pStyle w:val="a3"/>
        <w:adjustRightInd w:val="0"/>
        <w:snapToGrid w:val="0"/>
        <w:rPr>
          <w:lang w:val="fr-FR"/>
        </w:rPr>
      </w:pPr>
      <w:r w:rsidRPr="00DA7718">
        <w:rPr>
          <w:lang w:val="fr-FR"/>
        </w:rPr>
        <w:t xml:space="preserve">Les patients ayant des antécédents d’effets thromboemboliques veineux peuvent être exposés à un risque plus élevé de récidive s'ils reçoivent </w:t>
      </w:r>
      <w:r w:rsidR="00377E49">
        <w:rPr>
          <w:lang w:val="fr-FR"/>
        </w:rPr>
        <w:t>le bevacizumab</w:t>
      </w:r>
      <w:r w:rsidR="00377E49" w:rsidRPr="00DA7718">
        <w:rPr>
          <w:lang w:val="fr-FR"/>
        </w:rPr>
        <w:t xml:space="preserve"> </w:t>
      </w:r>
      <w:r w:rsidRPr="00DA7718">
        <w:rPr>
          <w:lang w:val="fr-FR"/>
        </w:rPr>
        <w:t>en association à une chimiothérapie comparé à la chimiothérapie seule.</w:t>
      </w:r>
    </w:p>
    <w:p w14:paraId="5B96D144" w14:textId="77777777" w:rsidR="004401F0" w:rsidRPr="00DA7718" w:rsidRDefault="004401F0" w:rsidP="00BD4C7C">
      <w:pPr>
        <w:pStyle w:val="a3"/>
        <w:adjustRightInd w:val="0"/>
        <w:snapToGrid w:val="0"/>
        <w:rPr>
          <w:lang w:val="fr-FR"/>
        </w:rPr>
      </w:pPr>
    </w:p>
    <w:p w14:paraId="43E71451" w14:textId="77777777" w:rsidR="004401F0" w:rsidRPr="00F9256D" w:rsidRDefault="00DF3C4F" w:rsidP="00BD4C7C">
      <w:pPr>
        <w:adjustRightInd w:val="0"/>
        <w:snapToGrid w:val="0"/>
        <w:rPr>
          <w:i/>
          <w:u w:val="single"/>
          <w:lang w:val="fr-FR"/>
        </w:rPr>
      </w:pPr>
      <w:r w:rsidRPr="00F9256D">
        <w:rPr>
          <w:i/>
          <w:u w:val="single"/>
          <w:lang w:val="fr-FR"/>
        </w:rPr>
        <w:t>Insuffisance cardiaque congestive (ICC)</w:t>
      </w:r>
    </w:p>
    <w:p w14:paraId="7C425E06" w14:textId="24AC56E1" w:rsidR="004401F0" w:rsidRPr="00DA7718" w:rsidRDefault="00DF3C4F" w:rsidP="00BD4C7C">
      <w:pPr>
        <w:pStyle w:val="a3"/>
        <w:adjustRightInd w:val="0"/>
        <w:snapToGrid w:val="0"/>
        <w:rPr>
          <w:lang w:val="fr-FR"/>
        </w:rPr>
      </w:pPr>
      <w:r w:rsidRPr="00DA7718">
        <w:rPr>
          <w:lang w:val="fr-FR"/>
        </w:rPr>
        <w:t xml:space="preserve">Dans les essais cliniques conduits avec </w:t>
      </w:r>
      <w:r w:rsidR="00377E49">
        <w:rPr>
          <w:lang w:val="fr-FR"/>
        </w:rPr>
        <w:t>le bevacizumab</w:t>
      </w:r>
      <w:r w:rsidRPr="00DA7718">
        <w:rPr>
          <w:lang w:val="fr-FR"/>
        </w:rPr>
        <w:t xml:space="preserve">, une ICC </w:t>
      </w:r>
      <w:r w:rsidR="007F735F" w:rsidRPr="00DA7718">
        <w:rPr>
          <w:lang w:val="fr-FR"/>
        </w:rPr>
        <w:t>a</w:t>
      </w:r>
      <w:r w:rsidR="007F735F">
        <w:rPr>
          <w:lang w:val="fr-FR"/>
        </w:rPr>
        <w:t> </w:t>
      </w:r>
      <w:r w:rsidRPr="00DA7718">
        <w:rPr>
          <w:lang w:val="fr-FR"/>
        </w:rPr>
        <w:t>été observée, dans toutes les indications étudiées à ce jour, mais principalement chez des patientes atteintes d’un cancer du sein métastatique. Dans quatre études de phase III (AVF2119g, E2100, BO17708 et AVF3694g) dans le cancer du sein métastatique, une ICC de Grade 3 (NCI-CTCAE v.3) ou plus a été rapportée chez un maximum de 3,5</w:t>
      </w:r>
      <w:r w:rsidR="00AF3AAA">
        <w:rPr>
          <w:lang w:val="fr-FR"/>
        </w:rPr>
        <w:t xml:space="preserve"> % </w:t>
      </w:r>
      <w:r w:rsidRPr="00DA7718">
        <w:rPr>
          <w:lang w:val="fr-FR"/>
        </w:rPr>
        <w:t xml:space="preserve">des patients traités par </w:t>
      </w:r>
      <w:r w:rsidR="00377E49">
        <w:rPr>
          <w:lang w:val="fr-FR"/>
        </w:rPr>
        <w:t>bevacizumab</w:t>
      </w:r>
      <w:r w:rsidRPr="00DA7718">
        <w:rPr>
          <w:lang w:val="fr-FR"/>
        </w:rPr>
        <w:t xml:space="preserve"> en association à</w:t>
      </w:r>
      <w:r w:rsidR="00D5561A">
        <w:rPr>
          <w:lang w:val="fr-FR"/>
        </w:rPr>
        <w:t xml:space="preserve"> </w:t>
      </w:r>
      <w:r w:rsidRPr="00DA7718">
        <w:rPr>
          <w:lang w:val="fr-FR"/>
        </w:rPr>
        <w:t>une chimiothérapie comparé à un maximum de 0,9</w:t>
      </w:r>
      <w:r w:rsidR="00AF3AAA">
        <w:rPr>
          <w:lang w:val="fr-FR"/>
        </w:rPr>
        <w:t xml:space="preserve"> % </w:t>
      </w:r>
      <w:r w:rsidRPr="00DA7718">
        <w:rPr>
          <w:lang w:val="fr-FR"/>
        </w:rPr>
        <w:t>dans les groupes témoins. Dans l’étude AVF3694g, chez les patients traités en concomitant par des anthracyclines en association au bevacizumab, les incidences d’ICC de grade 3 ou plus, dans les groupes avec bevacizumab et dans les groupes témoin, étaient similaires à celles observées dans les autres études conduites dans le cancer du sein métastatique</w:t>
      </w:r>
      <w:r w:rsidR="00765A43">
        <w:rPr>
          <w:lang w:val="fr-FR"/>
        </w:rPr>
        <w:t xml:space="preserve"> : </w:t>
      </w:r>
      <w:r w:rsidRPr="00DA7718">
        <w:rPr>
          <w:lang w:val="fr-FR"/>
        </w:rPr>
        <w:t xml:space="preserve">2,9% dans le groupe anthracycline + bevacizumab et 0% dans le groupe anthracycline + placebo. De plus, dans l’étude AVF3694g, les incidences d’ICC de tout grade étaient similaires entre le groupe anthracycline + </w:t>
      </w:r>
      <w:r w:rsidR="00377E49">
        <w:rPr>
          <w:lang w:val="fr-FR"/>
        </w:rPr>
        <w:t>bevacizumab</w:t>
      </w:r>
      <w:r w:rsidRPr="00DA7718">
        <w:rPr>
          <w:lang w:val="fr-FR"/>
        </w:rPr>
        <w:t xml:space="preserve"> (6,2%) et le groupe anthracycline + placebo (6,0%).</w:t>
      </w:r>
    </w:p>
    <w:p w14:paraId="191DF72E" w14:textId="77777777" w:rsidR="004401F0" w:rsidRPr="00DA7718" w:rsidRDefault="004401F0" w:rsidP="00BD4C7C">
      <w:pPr>
        <w:pStyle w:val="a3"/>
        <w:adjustRightInd w:val="0"/>
        <w:snapToGrid w:val="0"/>
        <w:rPr>
          <w:lang w:val="fr-FR"/>
        </w:rPr>
      </w:pPr>
    </w:p>
    <w:p w14:paraId="2DA061E0" w14:textId="77777777" w:rsidR="004401F0" w:rsidRPr="00DA7718" w:rsidRDefault="00DF3C4F" w:rsidP="00BD4C7C">
      <w:pPr>
        <w:pStyle w:val="a3"/>
        <w:adjustRightInd w:val="0"/>
        <w:snapToGrid w:val="0"/>
        <w:rPr>
          <w:lang w:val="fr-FR"/>
        </w:rPr>
      </w:pPr>
      <w:r w:rsidRPr="00DA7718">
        <w:rPr>
          <w:lang w:val="fr-FR"/>
        </w:rPr>
        <w:t>La plupart des patients ayant développé une ICC au cours des études cliniques conduites dans le cancer du sein métastatique ont bénéficié d’une amélioration de leurs symptômes et/ou de la fonction ventriculaire gauche suite à un traitement médical approprié.</w:t>
      </w:r>
    </w:p>
    <w:p w14:paraId="7CD790C2" w14:textId="77777777" w:rsidR="004401F0" w:rsidRPr="007C119A" w:rsidRDefault="004401F0" w:rsidP="00BD4C7C">
      <w:pPr>
        <w:pStyle w:val="a3"/>
        <w:adjustRightInd w:val="0"/>
        <w:snapToGrid w:val="0"/>
        <w:rPr>
          <w:lang w:val="fr-FR"/>
        </w:rPr>
      </w:pPr>
    </w:p>
    <w:p w14:paraId="74D96021" w14:textId="7D65D867" w:rsidR="004401F0" w:rsidRPr="00DA7718" w:rsidRDefault="00DF3C4F" w:rsidP="00BD4C7C">
      <w:pPr>
        <w:pStyle w:val="a3"/>
        <w:adjustRightInd w:val="0"/>
        <w:snapToGrid w:val="0"/>
        <w:jc w:val="both"/>
        <w:rPr>
          <w:lang w:val="fr-FR"/>
        </w:rPr>
      </w:pPr>
      <w:r w:rsidRPr="00DA7718">
        <w:rPr>
          <w:lang w:val="fr-FR"/>
        </w:rPr>
        <w:t xml:space="preserve">Dans la majorité des études avec </w:t>
      </w:r>
      <w:r w:rsidR="00377E49">
        <w:rPr>
          <w:lang w:val="fr-FR"/>
        </w:rPr>
        <w:t>le bevacizumab</w:t>
      </w:r>
      <w:r w:rsidRPr="00DA7718">
        <w:rPr>
          <w:lang w:val="fr-FR"/>
        </w:rPr>
        <w:t>, les patients ayant une ICC préexistante (grades II à IV de la classification du New York Heart Association (NYHA)) étaient exclus. De ce fait, aucune information n’est disponible quant au risque de manifestations d’ICC dans cette population.</w:t>
      </w:r>
    </w:p>
    <w:p w14:paraId="5249C35B" w14:textId="77777777" w:rsidR="004401F0" w:rsidRPr="00DA7718" w:rsidRDefault="004401F0" w:rsidP="00BD4C7C">
      <w:pPr>
        <w:pStyle w:val="a3"/>
        <w:adjustRightInd w:val="0"/>
        <w:snapToGrid w:val="0"/>
        <w:rPr>
          <w:lang w:val="fr-FR"/>
        </w:rPr>
      </w:pPr>
    </w:p>
    <w:p w14:paraId="72D84D27" w14:textId="77777777" w:rsidR="004401F0" w:rsidRPr="00DA7718" w:rsidRDefault="00DF3C4F" w:rsidP="00BD4C7C">
      <w:pPr>
        <w:pStyle w:val="a3"/>
        <w:adjustRightInd w:val="0"/>
        <w:snapToGrid w:val="0"/>
        <w:rPr>
          <w:lang w:val="fr-FR"/>
        </w:rPr>
      </w:pPr>
      <w:r w:rsidRPr="00DA7718">
        <w:rPr>
          <w:lang w:val="fr-FR"/>
        </w:rPr>
        <w:t>Des antécédents de traitement par anthracycline et/ou de radiothérapie de la paroi thoracique gauche peuvent être des facteurs de risque de survenue d’une ICC.</w:t>
      </w:r>
    </w:p>
    <w:p w14:paraId="6F14BBDD" w14:textId="77777777" w:rsidR="004401F0" w:rsidRPr="007C119A" w:rsidRDefault="004401F0" w:rsidP="00BD4C7C">
      <w:pPr>
        <w:pStyle w:val="a3"/>
        <w:adjustRightInd w:val="0"/>
        <w:snapToGrid w:val="0"/>
        <w:rPr>
          <w:lang w:val="fr-FR"/>
        </w:rPr>
      </w:pPr>
    </w:p>
    <w:p w14:paraId="0978004E" w14:textId="77777777" w:rsidR="004401F0" w:rsidRPr="00DA7718" w:rsidRDefault="00DF3C4F" w:rsidP="00BD4C7C">
      <w:pPr>
        <w:pStyle w:val="a3"/>
        <w:adjustRightInd w:val="0"/>
        <w:snapToGrid w:val="0"/>
        <w:rPr>
          <w:lang w:val="fr-FR"/>
        </w:rPr>
      </w:pPr>
      <w:r w:rsidRPr="00DA7718">
        <w:rPr>
          <w:lang w:val="fr-FR"/>
        </w:rPr>
        <w:t>Une augmentation de l’incidence d’ICC a été observée dans un essai clinique chez des patients atteints d’un lymphome diffus à grandes cellules B recevant du bevacizumab en association à une dose cumulative de doxorubicine supérieure à 300</w:t>
      </w:r>
      <w:r w:rsidR="00DA7718" w:rsidRPr="00DA7718">
        <w:rPr>
          <w:lang w:val="fr-FR"/>
        </w:rPr>
        <w:t> mg</w:t>
      </w:r>
      <w:r w:rsidRPr="00DA7718">
        <w:rPr>
          <w:lang w:val="fr-FR"/>
        </w:rPr>
        <w:t>/m². Cette étude clinique de phase III comparait l’association rituximab/cyclophosphamide/doxorubicine/vincristine/prednisone (R-CHOP) avec bevacizumab à R-CHOP sans bevacizumab. Alors que l’incidence d’ICC était, dans les deux bras, au- dessus de celle observée précédemment pour le traitement par doxorubicine, le taux était supérieur dans le bras R-CHOP plus bevacizumab. Ces résultats suggèrent qu’un suivi clinique rapproché comprenant des évaluations cardiaques appropriées doit être considéré chez des patients exposés à des doses cumulées de doxorubicine supérieures à 300</w:t>
      </w:r>
      <w:r w:rsidR="00DA7718" w:rsidRPr="00DA7718">
        <w:rPr>
          <w:lang w:val="fr-FR"/>
        </w:rPr>
        <w:t> mg</w:t>
      </w:r>
      <w:r w:rsidRPr="00DA7718">
        <w:rPr>
          <w:lang w:val="fr-FR"/>
        </w:rPr>
        <w:t>/m², lorsque associée au bevacizumab.</w:t>
      </w:r>
    </w:p>
    <w:p w14:paraId="5BB05CEB" w14:textId="77777777" w:rsidR="004401F0" w:rsidRPr="007C119A" w:rsidRDefault="004401F0" w:rsidP="00BD4C7C">
      <w:pPr>
        <w:pStyle w:val="a3"/>
        <w:adjustRightInd w:val="0"/>
        <w:snapToGrid w:val="0"/>
        <w:rPr>
          <w:lang w:val="fr-FR"/>
        </w:rPr>
      </w:pPr>
    </w:p>
    <w:p w14:paraId="17E98023" w14:textId="4C0110F9" w:rsidR="004401F0" w:rsidRPr="00DA7718" w:rsidRDefault="00DF3C4F" w:rsidP="00BD4C7C">
      <w:pPr>
        <w:adjustRightInd w:val="0"/>
        <w:snapToGrid w:val="0"/>
        <w:rPr>
          <w:lang w:val="fr-FR"/>
        </w:rPr>
      </w:pPr>
      <w:r w:rsidRPr="00F9256D">
        <w:rPr>
          <w:i/>
          <w:u w:val="single"/>
          <w:lang w:val="fr-FR"/>
        </w:rPr>
        <w:t>Réactions d’hypersensibilité</w:t>
      </w:r>
      <w:r w:rsidR="0002598E">
        <w:rPr>
          <w:i/>
          <w:u w:val="single"/>
          <w:lang w:val="fr-FR"/>
        </w:rPr>
        <w:t xml:space="preserve"> </w:t>
      </w:r>
      <w:r w:rsidR="0002598E" w:rsidRPr="0002598E">
        <w:rPr>
          <w:i/>
          <w:u w:val="single"/>
          <w:lang w:val="fr-FR"/>
        </w:rPr>
        <w:t>(dont le choc anaphylactique)</w:t>
      </w:r>
      <w:r w:rsidRPr="00F9256D">
        <w:rPr>
          <w:i/>
          <w:u w:val="single"/>
          <w:lang w:val="fr-FR"/>
        </w:rPr>
        <w:t xml:space="preserve"> / réactions liées à la perfusion</w:t>
      </w:r>
      <w:r w:rsidRPr="00DA7718">
        <w:rPr>
          <w:i/>
          <w:lang w:val="fr-FR"/>
        </w:rPr>
        <w:t xml:space="preserve"> </w:t>
      </w:r>
      <w:r w:rsidRPr="00DA7718">
        <w:rPr>
          <w:lang w:val="fr-FR"/>
        </w:rPr>
        <w:t xml:space="preserve">(voir rubrique 4.4 et ci-dessous </w:t>
      </w:r>
      <w:r w:rsidRPr="00DA7718">
        <w:rPr>
          <w:i/>
          <w:lang w:val="fr-FR"/>
        </w:rPr>
        <w:t>expérience depuis la commercialisation</w:t>
      </w:r>
      <w:r w:rsidRPr="00DA7718">
        <w:rPr>
          <w:lang w:val="fr-FR"/>
        </w:rPr>
        <w:t>)</w:t>
      </w:r>
    </w:p>
    <w:p w14:paraId="73E56D3E" w14:textId="7A812F28" w:rsidR="004401F0" w:rsidRPr="00DA7718" w:rsidRDefault="00DF3C4F" w:rsidP="00BD4C7C">
      <w:pPr>
        <w:pStyle w:val="a3"/>
        <w:adjustRightInd w:val="0"/>
        <w:snapToGrid w:val="0"/>
        <w:rPr>
          <w:lang w:val="fr-FR"/>
        </w:rPr>
      </w:pPr>
      <w:r w:rsidRPr="00DA7718">
        <w:rPr>
          <w:lang w:val="fr-FR"/>
        </w:rPr>
        <w:t xml:space="preserve">Lors de certains essais cliniques, des réactions anaphylactiques et de type anaphylactoïdes ont été plus fréquemment rapportées chez les patients recevant </w:t>
      </w:r>
      <w:r w:rsidR="00377E49">
        <w:rPr>
          <w:lang w:val="fr-FR"/>
        </w:rPr>
        <w:t>le bevacizumab</w:t>
      </w:r>
      <w:r w:rsidR="00377E49" w:rsidRPr="00DA7718">
        <w:rPr>
          <w:lang w:val="fr-FR"/>
        </w:rPr>
        <w:t xml:space="preserve"> </w:t>
      </w:r>
      <w:r w:rsidRPr="00DA7718">
        <w:rPr>
          <w:lang w:val="fr-FR"/>
        </w:rPr>
        <w:t xml:space="preserve">en association à une chimiothérapie que chez ceux traités uniquement par chimiothérapie. L’incidence de ces réactions a été fréquente (jusqu’à 5% de patients traités par bevacizumab) au cours de certains essais cliniques menés avec </w:t>
      </w:r>
      <w:r w:rsidR="00377E49">
        <w:rPr>
          <w:lang w:val="fr-FR"/>
        </w:rPr>
        <w:t>le bevacizumab</w:t>
      </w:r>
      <w:r w:rsidRPr="00DA7718">
        <w:rPr>
          <w:lang w:val="fr-FR"/>
        </w:rPr>
        <w:t>.</w:t>
      </w:r>
    </w:p>
    <w:p w14:paraId="439CDC02" w14:textId="77777777" w:rsidR="004401F0" w:rsidRPr="007C119A" w:rsidRDefault="004401F0" w:rsidP="00BD4C7C">
      <w:pPr>
        <w:pStyle w:val="a3"/>
        <w:adjustRightInd w:val="0"/>
        <w:snapToGrid w:val="0"/>
        <w:rPr>
          <w:lang w:val="fr-FR"/>
        </w:rPr>
      </w:pPr>
    </w:p>
    <w:p w14:paraId="73B1158F" w14:textId="77777777" w:rsidR="004401F0" w:rsidRPr="00F9256D" w:rsidRDefault="00DF3C4F" w:rsidP="00654D21">
      <w:pPr>
        <w:keepNext/>
        <w:keepLines/>
        <w:adjustRightInd w:val="0"/>
        <w:snapToGrid w:val="0"/>
        <w:rPr>
          <w:i/>
          <w:u w:val="single"/>
          <w:lang w:val="fr-FR"/>
        </w:rPr>
      </w:pPr>
      <w:r w:rsidRPr="00F9256D">
        <w:rPr>
          <w:i/>
          <w:u w:val="single"/>
          <w:lang w:val="fr-FR"/>
        </w:rPr>
        <w:lastRenderedPageBreak/>
        <w:t>Infections</w:t>
      </w:r>
    </w:p>
    <w:p w14:paraId="6B95112C" w14:textId="604501B6" w:rsidR="004401F0" w:rsidRPr="00DA7718" w:rsidRDefault="00DF3C4F" w:rsidP="00654D21">
      <w:pPr>
        <w:pStyle w:val="a3"/>
        <w:keepNext/>
        <w:keepLines/>
        <w:adjustRightInd w:val="0"/>
        <w:snapToGrid w:val="0"/>
        <w:rPr>
          <w:lang w:val="fr-FR"/>
        </w:rPr>
      </w:pPr>
      <w:r w:rsidRPr="00DA7718">
        <w:rPr>
          <w:lang w:val="fr-FR"/>
        </w:rPr>
        <w:t>Au cours d’un essai clinique avec des patientes atteintes d’un cancer du col de l’utérus persistant, en rechute ou métastatique (étude GOG-0240), des infections de Grade 3-5 ont été rapportés chez jusqu’à 24</w:t>
      </w:r>
      <w:r w:rsidR="00AF3AAA">
        <w:rPr>
          <w:lang w:val="fr-FR"/>
        </w:rPr>
        <w:t xml:space="preserve"> % </w:t>
      </w:r>
      <w:r w:rsidRPr="00DA7718">
        <w:rPr>
          <w:lang w:val="fr-FR"/>
        </w:rPr>
        <w:t xml:space="preserve">des patientes traitées par </w:t>
      </w:r>
      <w:r w:rsidR="00377E49">
        <w:rPr>
          <w:lang w:val="fr-FR"/>
        </w:rPr>
        <w:t>bevacizumab</w:t>
      </w:r>
      <w:r w:rsidRPr="00DA7718">
        <w:rPr>
          <w:lang w:val="fr-FR"/>
        </w:rPr>
        <w:t xml:space="preserve"> en association au paclitaxel et au topotécan en comparaison chez jusqu’à 13</w:t>
      </w:r>
      <w:r w:rsidR="00AF3AAA">
        <w:rPr>
          <w:lang w:val="fr-FR"/>
        </w:rPr>
        <w:t xml:space="preserve"> % </w:t>
      </w:r>
      <w:r w:rsidRPr="00DA7718">
        <w:rPr>
          <w:lang w:val="fr-FR"/>
        </w:rPr>
        <w:t>des patientes traitées avec le paclitaxel et le topotécan.</w:t>
      </w:r>
    </w:p>
    <w:p w14:paraId="50C0B97F" w14:textId="77777777" w:rsidR="004401F0" w:rsidRPr="00DA7718" w:rsidRDefault="004401F0" w:rsidP="00BD4C7C">
      <w:pPr>
        <w:pStyle w:val="a3"/>
        <w:adjustRightInd w:val="0"/>
        <w:snapToGrid w:val="0"/>
        <w:rPr>
          <w:lang w:val="fr-FR"/>
        </w:rPr>
      </w:pPr>
    </w:p>
    <w:p w14:paraId="0C99285D" w14:textId="77777777" w:rsidR="004401F0" w:rsidRPr="00DA7718" w:rsidRDefault="00DF3C4F" w:rsidP="00BD4C7C">
      <w:pPr>
        <w:adjustRightInd w:val="0"/>
        <w:snapToGrid w:val="0"/>
        <w:rPr>
          <w:lang w:val="fr-FR"/>
        </w:rPr>
      </w:pPr>
      <w:r w:rsidRPr="00F9256D">
        <w:rPr>
          <w:i/>
          <w:u w:val="single"/>
          <w:lang w:val="fr-FR"/>
        </w:rPr>
        <w:t>Insuffisance ovarienne / Fertilité</w:t>
      </w:r>
      <w:r w:rsidRPr="00DA7718">
        <w:rPr>
          <w:i/>
          <w:lang w:val="fr-FR"/>
        </w:rPr>
        <w:t xml:space="preserve"> </w:t>
      </w:r>
      <w:r w:rsidRPr="00DA7718">
        <w:rPr>
          <w:lang w:val="fr-FR"/>
        </w:rPr>
        <w:t>(voir rubriques 4.4 et 4.6)</w:t>
      </w:r>
    </w:p>
    <w:p w14:paraId="6AAE287C" w14:textId="525F89B1" w:rsidR="004401F0" w:rsidRPr="00DA7718" w:rsidRDefault="00DF3C4F" w:rsidP="00BD4C7C">
      <w:pPr>
        <w:pStyle w:val="a3"/>
        <w:adjustRightInd w:val="0"/>
        <w:snapToGrid w:val="0"/>
        <w:rPr>
          <w:lang w:val="fr-FR"/>
        </w:rPr>
      </w:pPr>
      <w:r w:rsidRPr="00DA7718">
        <w:rPr>
          <w:lang w:val="fr-FR"/>
        </w:rPr>
        <w:t xml:space="preserve">Dans l’étude NSABP C-08, un essai de phase III avec </w:t>
      </w:r>
      <w:r w:rsidR="00CF24ED">
        <w:rPr>
          <w:lang w:val="fr-FR"/>
        </w:rPr>
        <w:t xml:space="preserve">le </w:t>
      </w:r>
      <w:r w:rsidR="00377E49">
        <w:rPr>
          <w:lang w:val="fr-FR"/>
        </w:rPr>
        <w:t>bevacizumab</w:t>
      </w:r>
      <w:r w:rsidRPr="00DA7718">
        <w:rPr>
          <w:lang w:val="fr-FR"/>
        </w:rPr>
        <w:t xml:space="preserve"> utilisé en traitement adjuvant chez des patients atteints d’un cancer du côlon, l’incidence des nouveaux cas d’insuffisance ovarienne, définie par une aménorrhée de 3 mois ou plus, un taux de FSH ≥ 30 mUI/mL et un test de grossesse </w:t>
      </w:r>
      <w:r w:rsidR="00F8130A">
        <w:rPr>
          <w:lang w:val="fr-FR"/>
        </w:rPr>
        <w:br/>
      </w:r>
      <w:r w:rsidRPr="00DA7718">
        <w:rPr>
          <w:lang w:val="fr-FR"/>
        </w:rPr>
        <w:t>β-HCG négatif, a été évalué chez 295 femmes non ménopausées. Des nouveaux cas d’insuffisance ovarienne ont été rapportés chez 2,6% des patients dans le groupe mFOLFOX-6 comparé à 39% dans le groupe mFOLFOX-6 + bevacizumab. Après arrêt du traitement par le bevacizumab, la fonction ovarienne s’est rétablie chez 86,2% des femmes évaluables. Les effets à long terme d’un traitement par bevacizumab sur la fertilité ne sont à ce jour pas connus.</w:t>
      </w:r>
    </w:p>
    <w:p w14:paraId="36541FCC" w14:textId="77777777" w:rsidR="00BD4C7C" w:rsidRPr="00DA7718" w:rsidRDefault="00BD4C7C" w:rsidP="00BD4C7C">
      <w:pPr>
        <w:adjustRightInd w:val="0"/>
        <w:snapToGrid w:val="0"/>
        <w:rPr>
          <w:lang w:val="fr-FR"/>
        </w:rPr>
      </w:pPr>
    </w:p>
    <w:p w14:paraId="5454AD86" w14:textId="77777777" w:rsidR="004401F0" w:rsidRPr="00F9256D" w:rsidRDefault="00DF3C4F" w:rsidP="00BD4C7C">
      <w:pPr>
        <w:adjustRightInd w:val="0"/>
        <w:snapToGrid w:val="0"/>
        <w:rPr>
          <w:i/>
          <w:u w:val="single"/>
          <w:lang w:val="fr-FR"/>
        </w:rPr>
      </w:pPr>
      <w:r w:rsidRPr="00F9256D">
        <w:rPr>
          <w:i/>
          <w:u w:val="single"/>
          <w:lang w:val="fr-FR"/>
        </w:rPr>
        <w:t>Anomalies des paramètres biologiques</w:t>
      </w:r>
    </w:p>
    <w:p w14:paraId="4F91D468" w14:textId="258B1887" w:rsidR="004401F0" w:rsidRPr="00DA7718" w:rsidRDefault="00DF3C4F" w:rsidP="00BD4C7C">
      <w:pPr>
        <w:pStyle w:val="a3"/>
        <w:adjustRightInd w:val="0"/>
        <w:snapToGrid w:val="0"/>
        <w:rPr>
          <w:lang w:val="fr-FR"/>
        </w:rPr>
      </w:pPr>
      <w:r w:rsidRPr="00DA7718">
        <w:rPr>
          <w:lang w:val="fr-FR"/>
        </w:rPr>
        <w:t xml:space="preserve">Une diminution du nombre de neutrophiles, une diminution du nombre de globules blancs et la présence d’une protéinurie peuvent être associées à un traitement par </w:t>
      </w:r>
      <w:r w:rsidR="00F05208">
        <w:rPr>
          <w:lang w:val="fr-FR"/>
        </w:rPr>
        <w:t>Vegzelma</w:t>
      </w:r>
      <w:r w:rsidRPr="00DA7718">
        <w:rPr>
          <w:lang w:val="fr-FR"/>
        </w:rPr>
        <w:t>.</w:t>
      </w:r>
    </w:p>
    <w:p w14:paraId="288E74BF" w14:textId="77777777" w:rsidR="004401F0" w:rsidRPr="00DA7718" w:rsidRDefault="004401F0" w:rsidP="00BD4C7C">
      <w:pPr>
        <w:pStyle w:val="a3"/>
        <w:adjustRightInd w:val="0"/>
        <w:snapToGrid w:val="0"/>
        <w:rPr>
          <w:lang w:val="fr-FR"/>
        </w:rPr>
      </w:pPr>
    </w:p>
    <w:p w14:paraId="7C218A7E" w14:textId="364656DB" w:rsidR="004401F0" w:rsidRPr="00DA7718" w:rsidRDefault="00DF3C4F" w:rsidP="00BD4C7C">
      <w:pPr>
        <w:pStyle w:val="a3"/>
        <w:adjustRightInd w:val="0"/>
        <w:snapToGrid w:val="0"/>
        <w:rPr>
          <w:lang w:val="fr-FR"/>
        </w:rPr>
      </w:pPr>
      <w:r w:rsidRPr="00DA7718">
        <w:rPr>
          <w:lang w:val="fr-FR"/>
        </w:rPr>
        <w:t xml:space="preserve">Dans les études cliniques, les anomalies des paramètres biologiques de Grade 3 et 4 (NCI-CTCAE v.3) suivantes sont survenues chez les patients traités par </w:t>
      </w:r>
      <w:r w:rsidR="00CF24ED">
        <w:rPr>
          <w:lang w:val="fr-FR"/>
        </w:rPr>
        <w:t>bevacizumab</w:t>
      </w:r>
      <w:r w:rsidR="00CF24ED" w:rsidRPr="00DA7718">
        <w:rPr>
          <w:lang w:val="fr-FR"/>
        </w:rPr>
        <w:t xml:space="preserve"> </w:t>
      </w:r>
      <w:r w:rsidRPr="00DA7718">
        <w:rPr>
          <w:lang w:val="fr-FR"/>
        </w:rPr>
        <w:t>avec au minimum 2% de différence comparé à ceux des groupes témoins</w:t>
      </w:r>
      <w:r w:rsidR="00765A43">
        <w:rPr>
          <w:lang w:val="fr-FR"/>
        </w:rPr>
        <w:t xml:space="preserve"> : </w:t>
      </w:r>
      <w:r w:rsidRPr="00DA7718">
        <w:rPr>
          <w:lang w:val="fr-FR"/>
        </w:rPr>
        <w:t>hyperglycémie, diminution de l’hémoglobine, hypokaliémie, hyponatrémie, diminution du nombre de globules blancs, augmentation de l’INR.</w:t>
      </w:r>
    </w:p>
    <w:p w14:paraId="2DCAEC13" w14:textId="77777777" w:rsidR="004401F0" w:rsidRPr="007C119A" w:rsidRDefault="004401F0" w:rsidP="00BD4C7C">
      <w:pPr>
        <w:pStyle w:val="a3"/>
        <w:adjustRightInd w:val="0"/>
        <w:snapToGrid w:val="0"/>
        <w:rPr>
          <w:lang w:val="fr-FR"/>
        </w:rPr>
      </w:pPr>
    </w:p>
    <w:p w14:paraId="5CCF68BF" w14:textId="76F4FDEA" w:rsidR="004401F0" w:rsidRPr="00DA7718" w:rsidRDefault="00DF3C4F" w:rsidP="00BD4C7C">
      <w:pPr>
        <w:pStyle w:val="a3"/>
        <w:adjustRightInd w:val="0"/>
        <w:snapToGrid w:val="0"/>
        <w:rPr>
          <w:lang w:val="fr-FR"/>
        </w:rPr>
      </w:pPr>
      <w:r w:rsidRPr="00DA7718">
        <w:rPr>
          <w:lang w:val="fr-FR"/>
        </w:rPr>
        <w:t xml:space="preserve">Des essais cliniques ont montré que des augmentations transitoires de taux de créatinine sérique (allant de 1,5 à 1,9 fois le taux de référence), que ce soit avec ou sans protéinurie, sont associées à l’utilisation </w:t>
      </w:r>
      <w:r w:rsidR="00CF24ED">
        <w:rPr>
          <w:lang w:val="fr-FR"/>
        </w:rPr>
        <w:t>du bevacizumab</w:t>
      </w:r>
      <w:r w:rsidRPr="00DA7718">
        <w:rPr>
          <w:lang w:val="fr-FR"/>
        </w:rPr>
        <w:t xml:space="preserve">. L’augmentation observée de taux de créatinine sérique n’était pas associée à une incidence plus élevée de manifestations cliniques d’insuffisance rénale chez des patients traités par </w:t>
      </w:r>
      <w:r w:rsidR="00CF24ED">
        <w:rPr>
          <w:lang w:val="fr-FR"/>
        </w:rPr>
        <w:t>bevacizumab</w:t>
      </w:r>
      <w:r w:rsidRPr="00DA7718">
        <w:rPr>
          <w:lang w:val="fr-FR"/>
        </w:rPr>
        <w:t>.</w:t>
      </w:r>
    </w:p>
    <w:p w14:paraId="1BF24B0B" w14:textId="77777777" w:rsidR="004401F0" w:rsidRPr="00DA7718" w:rsidRDefault="004401F0" w:rsidP="00BD4C7C">
      <w:pPr>
        <w:pStyle w:val="a3"/>
        <w:adjustRightInd w:val="0"/>
        <w:snapToGrid w:val="0"/>
        <w:rPr>
          <w:lang w:val="fr-FR"/>
        </w:rPr>
      </w:pPr>
    </w:p>
    <w:p w14:paraId="3935AECD" w14:textId="77777777" w:rsidR="004401F0" w:rsidRPr="00DA7718" w:rsidRDefault="00DF3C4F" w:rsidP="00BD4C7C">
      <w:pPr>
        <w:pStyle w:val="a3"/>
        <w:adjustRightInd w:val="0"/>
        <w:snapToGrid w:val="0"/>
        <w:rPr>
          <w:lang w:val="fr-FR"/>
        </w:rPr>
      </w:pPr>
      <w:r w:rsidRPr="00DA7718">
        <w:rPr>
          <w:u w:val="single"/>
          <w:lang w:val="fr-FR"/>
        </w:rPr>
        <w:t>Autres populations particulières</w:t>
      </w:r>
    </w:p>
    <w:p w14:paraId="5B7FC517" w14:textId="77777777" w:rsidR="004401F0" w:rsidRPr="003F4D24" w:rsidRDefault="004401F0" w:rsidP="00BD4C7C">
      <w:pPr>
        <w:pStyle w:val="a3"/>
        <w:adjustRightInd w:val="0"/>
        <w:snapToGrid w:val="0"/>
        <w:rPr>
          <w:lang w:val="fr-FR"/>
        </w:rPr>
      </w:pPr>
    </w:p>
    <w:p w14:paraId="4FB8DC4B" w14:textId="77777777" w:rsidR="004401F0" w:rsidRPr="00F9256D" w:rsidRDefault="00DF3C4F" w:rsidP="00BD4C7C">
      <w:pPr>
        <w:adjustRightInd w:val="0"/>
        <w:snapToGrid w:val="0"/>
        <w:rPr>
          <w:i/>
          <w:u w:val="single"/>
          <w:lang w:val="fr-FR"/>
        </w:rPr>
      </w:pPr>
      <w:r w:rsidRPr="00F9256D">
        <w:rPr>
          <w:i/>
          <w:u w:val="single"/>
          <w:lang w:val="fr-FR"/>
        </w:rPr>
        <w:t>Patients âgés</w:t>
      </w:r>
    </w:p>
    <w:p w14:paraId="40492C72" w14:textId="7A730303" w:rsidR="004401F0" w:rsidRDefault="00DF3C4F" w:rsidP="00BD4C7C">
      <w:pPr>
        <w:pStyle w:val="a3"/>
        <w:adjustRightInd w:val="0"/>
        <w:snapToGrid w:val="0"/>
        <w:rPr>
          <w:lang w:val="fr-FR"/>
        </w:rPr>
      </w:pPr>
      <w:r w:rsidRPr="00DA7718">
        <w:rPr>
          <w:lang w:val="fr-FR"/>
        </w:rPr>
        <w:t xml:space="preserve">Dans les essais cliniques randomisés, un âge &gt; 65 ans était associé à un risque accru de développement d’effets thromboemboliques artériels incluant les accidents vasculaires cérébraux, les accidents ischémiques transitoires et les infarctus du myocarde. Les autres effets indésirables observés avec une fréquence accrue, au cours d’un traitement par </w:t>
      </w:r>
      <w:r w:rsidR="00CF24ED">
        <w:rPr>
          <w:lang w:val="fr-FR"/>
        </w:rPr>
        <w:t>bevacizumab</w:t>
      </w:r>
      <w:r w:rsidRPr="00DA7718">
        <w:rPr>
          <w:lang w:val="fr-FR"/>
        </w:rPr>
        <w:t>, chez les patients &gt; 65 ans par rapport à un âge ≤ 65 ans étaient des leucopénies et des thrombopénies de Grade 3-4 (NCI-CTCAE v.3), des neutropénies de tous grades, des diarrhées, des nausées, des céphalées et une fatigue (voir rubriques</w:t>
      </w:r>
      <w:r w:rsidR="00B261C8">
        <w:rPr>
          <w:lang w:val="fr-FR"/>
        </w:rPr>
        <w:t xml:space="preserve"> </w:t>
      </w:r>
      <w:r w:rsidRPr="00DA7718">
        <w:rPr>
          <w:lang w:val="fr-FR"/>
        </w:rPr>
        <w:t xml:space="preserve">4.4 et 4.8 dans </w:t>
      </w:r>
      <w:r w:rsidRPr="00DA7718">
        <w:rPr>
          <w:i/>
          <w:lang w:val="fr-FR"/>
        </w:rPr>
        <w:t>Thromboembolies</w:t>
      </w:r>
      <w:r w:rsidRPr="00DA7718">
        <w:rPr>
          <w:lang w:val="fr-FR"/>
        </w:rPr>
        <w:t>). Dans un essai clinique, l’incidence de l’hypertension artérielle de grade ≥ 3 a été deux fois plus élevée chez les patients &gt; 65 ans que chez des groupes d’âge plus jeune (&lt; 65 ans). Dans une étude chez des patientes atteintes d’un cancer de l’ovaire en récidive, résistant aux sels de platine, une alopécie, une inflammation des muqueuses, une neuropathie sensitive périphérique, une protéinurie et une hypertension ont également été rapportées et sont survenues à une fréquence d’au moins 5% supérieure dans le bras CT + BV pour les patientes ≥ 65 ans, traitées par bevacizumab, comparée aux patientes &lt; 65 ans, traitées par bevacizumab.</w:t>
      </w:r>
    </w:p>
    <w:p w14:paraId="0B3AA62A" w14:textId="77777777" w:rsidR="00754BAA" w:rsidRPr="00DA7718" w:rsidRDefault="00754BAA" w:rsidP="00BD4C7C">
      <w:pPr>
        <w:pStyle w:val="a3"/>
        <w:adjustRightInd w:val="0"/>
        <w:snapToGrid w:val="0"/>
        <w:rPr>
          <w:lang w:val="fr-FR"/>
        </w:rPr>
      </w:pPr>
    </w:p>
    <w:p w14:paraId="523ADB25" w14:textId="1261B4F8" w:rsidR="004401F0" w:rsidRPr="00DA7718" w:rsidRDefault="00DF3C4F" w:rsidP="00BD4C7C">
      <w:pPr>
        <w:pStyle w:val="a3"/>
        <w:adjustRightInd w:val="0"/>
        <w:snapToGrid w:val="0"/>
        <w:rPr>
          <w:lang w:val="fr-FR"/>
        </w:rPr>
      </w:pPr>
      <w:r w:rsidRPr="00DA7718">
        <w:rPr>
          <w:lang w:val="fr-FR"/>
        </w:rPr>
        <w:t>Aucune augmentation de l’incidence des autres effets, dont les perforations gastro-intestinales, les complications de la cicatrisation des plaies, l’</w:t>
      </w:r>
      <w:r w:rsidR="0033604E">
        <w:rPr>
          <w:lang w:val="fr-FR"/>
        </w:rPr>
        <w:t>ICC</w:t>
      </w:r>
      <w:r w:rsidRPr="00DA7718">
        <w:rPr>
          <w:lang w:val="fr-FR"/>
        </w:rPr>
        <w:t xml:space="preserve"> et les hémorragies, n’a été observée chez les patients âgés (&gt; 65 ans) par rapport à ceux ≤ 65 ans traités par </w:t>
      </w:r>
      <w:r w:rsidR="00CF24ED">
        <w:rPr>
          <w:lang w:val="fr-FR"/>
        </w:rPr>
        <w:t>bevacizumab</w:t>
      </w:r>
      <w:r w:rsidRPr="00DA7718">
        <w:rPr>
          <w:lang w:val="fr-FR"/>
        </w:rPr>
        <w:t>.</w:t>
      </w:r>
    </w:p>
    <w:p w14:paraId="36F60118" w14:textId="77777777" w:rsidR="004401F0" w:rsidRPr="007C119A" w:rsidRDefault="004401F0" w:rsidP="00BD4C7C">
      <w:pPr>
        <w:pStyle w:val="a3"/>
        <w:adjustRightInd w:val="0"/>
        <w:snapToGrid w:val="0"/>
        <w:rPr>
          <w:lang w:val="fr-FR"/>
        </w:rPr>
      </w:pPr>
    </w:p>
    <w:p w14:paraId="1694C9B7" w14:textId="77777777" w:rsidR="004401F0" w:rsidRPr="00F9256D" w:rsidRDefault="00DF3C4F" w:rsidP="00BD4C7C">
      <w:pPr>
        <w:adjustRightInd w:val="0"/>
        <w:snapToGrid w:val="0"/>
        <w:rPr>
          <w:i/>
          <w:u w:val="single"/>
          <w:lang w:val="fr-FR"/>
        </w:rPr>
      </w:pPr>
      <w:r w:rsidRPr="00F9256D">
        <w:rPr>
          <w:i/>
          <w:u w:val="single"/>
          <w:lang w:val="fr-FR"/>
        </w:rPr>
        <w:t>Population pédiatrique</w:t>
      </w:r>
    </w:p>
    <w:p w14:paraId="650B3CB5" w14:textId="49685B46" w:rsidR="004401F0" w:rsidRPr="00DA7718" w:rsidRDefault="00DF3C4F" w:rsidP="00BD4C7C">
      <w:pPr>
        <w:pStyle w:val="a3"/>
        <w:adjustRightInd w:val="0"/>
        <w:snapToGrid w:val="0"/>
        <w:rPr>
          <w:lang w:val="fr-FR"/>
        </w:rPr>
      </w:pPr>
      <w:r w:rsidRPr="00DA7718">
        <w:rPr>
          <w:lang w:val="fr-FR"/>
        </w:rPr>
        <w:t xml:space="preserve">La tolérance et l’efficacité </w:t>
      </w:r>
      <w:r w:rsidR="00CF24ED">
        <w:rPr>
          <w:lang w:val="fr-FR"/>
        </w:rPr>
        <w:t>du bevacizumab</w:t>
      </w:r>
      <w:r w:rsidR="00CF24ED" w:rsidRPr="00DA7718">
        <w:rPr>
          <w:lang w:val="fr-FR"/>
        </w:rPr>
        <w:t xml:space="preserve"> </w:t>
      </w:r>
      <w:r w:rsidRPr="00DA7718">
        <w:rPr>
          <w:lang w:val="fr-FR"/>
        </w:rPr>
        <w:t>chez les enfants âgés de moins de 18 ans n’</w:t>
      </w:r>
      <w:r w:rsidR="00DD4CA9">
        <w:rPr>
          <w:lang w:val="fr-FR"/>
        </w:rPr>
        <w:t>ont</w:t>
      </w:r>
      <w:r w:rsidRPr="00DA7718">
        <w:rPr>
          <w:lang w:val="fr-FR"/>
        </w:rPr>
        <w:t xml:space="preserve"> pas été établie</w:t>
      </w:r>
      <w:r w:rsidR="00DD4CA9">
        <w:rPr>
          <w:lang w:val="fr-FR"/>
        </w:rPr>
        <w:t>s</w:t>
      </w:r>
      <w:r w:rsidRPr="00DA7718">
        <w:rPr>
          <w:lang w:val="fr-FR"/>
        </w:rPr>
        <w:t>.</w:t>
      </w:r>
    </w:p>
    <w:p w14:paraId="7B24D3AD" w14:textId="77777777" w:rsidR="004401F0" w:rsidRPr="00DA7718" w:rsidRDefault="004401F0" w:rsidP="00BD4C7C">
      <w:pPr>
        <w:pStyle w:val="a3"/>
        <w:adjustRightInd w:val="0"/>
        <w:snapToGrid w:val="0"/>
        <w:rPr>
          <w:lang w:val="fr-FR"/>
        </w:rPr>
      </w:pPr>
    </w:p>
    <w:p w14:paraId="4ED99194" w14:textId="38A6CA4B" w:rsidR="004401F0" w:rsidRPr="00DA7718" w:rsidRDefault="00DF3C4F" w:rsidP="00654D21">
      <w:pPr>
        <w:pStyle w:val="a3"/>
        <w:keepLines/>
        <w:adjustRightInd w:val="0"/>
        <w:snapToGrid w:val="0"/>
        <w:rPr>
          <w:lang w:val="fr-FR"/>
        </w:rPr>
      </w:pPr>
      <w:r w:rsidRPr="00DA7718">
        <w:rPr>
          <w:lang w:val="fr-FR"/>
        </w:rPr>
        <w:lastRenderedPageBreak/>
        <w:t xml:space="preserve">Dans l’étude BO25041 étudiant l’adjonction </w:t>
      </w:r>
      <w:r w:rsidR="00CF24ED">
        <w:rPr>
          <w:lang w:val="fr-FR"/>
        </w:rPr>
        <w:t>du bevacizumab</w:t>
      </w:r>
      <w:r w:rsidR="00CF24ED" w:rsidRPr="00DA7718">
        <w:rPr>
          <w:lang w:val="fr-FR"/>
        </w:rPr>
        <w:t xml:space="preserve"> </w:t>
      </w:r>
      <w:r w:rsidRPr="00DA7718">
        <w:rPr>
          <w:lang w:val="fr-FR"/>
        </w:rPr>
        <w:t xml:space="preserve">à la radiothérapie postopératoire en association concomitante au témozolomide en adjuvant, chez des patients pédiatriques atteints d’un gliome de haut grade sus-tentoriel, sous-tentoriel cérébelleux ou pédonculaire nouvellement diagnostiqué, le profil de tolérance était comparable à celui observé chez les adultes traités par </w:t>
      </w:r>
      <w:r w:rsidR="00CF24ED">
        <w:rPr>
          <w:lang w:val="fr-FR"/>
        </w:rPr>
        <w:t>bevacizumab</w:t>
      </w:r>
      <w:r w:rsidRPr="00DA7718">
        <w:rPr>
          <w:lang w:val="fr-FR"/>
        </w:rPr>
        <w:t xml:space="preserve"> dans d’autres types tumoraux.</w:t>
      </w:r>
    </w:p>
    <w:p w14:paraId="0BB2ACD1" w14:textId="77777777" w:rsidR="004401F0" w:rsidRPr="007C119A" w:rsidRDefault="004401F0" w:rsidP="00BD4C7C">
      <w:pPr>
        <w:pStyle w:val="a3"/>
        <w:adjustRightInd w:val="0"/>
        <w:snapToGrid w:val="0"/>
        <w:rPr>
          <w:lang w:val="fr-FR"/>
        </w:rPr>
      </w:pPr>
    </w:p>
    <w:p w14:paraId="609C7D6E" w14:textId="27082FEA" w:rsidR="004401F0" w:rsidRPr="00DA7718" w:rsidRDefault="00DF3C4F" w:rsidP="00654D21">
      <w:pPr>
        <w:pStyle w:val="a3"/>
        <w:adjustRightInd w:val="0"/>
        <w:snapToGrid w:val="0"/>
        <w:rPr>
          <w:lang w:val="fr-FR"/>
        </w:rPr>
      </w:pPr>
      <w:r w:rsidRPr="00DA7718">
        <w:rPr>
          <w:lang w:val="fr-FR"/>
        </w:rPr>
        <w:t xml:space="preserve">Dans l’étude BO20924 </w:t>
      </w:r>
      <w:r w:rsidR="0060278E">
        <w:rPr>
          <w:lang w:val="fr-FR"/>
        </w:rPr>
        <w:t>du</w:t>
      </w:r>
      <w:r w:rsidR="00CF24ED">
        <w:rPr>
          <w:lang w:val="fr-FR"/>
        </w:rPr>
        <w:t xml:space="preserve"> bevacizumab</w:t>
      </w:r>
      <w:r w:rsidR="00CF24ED" w:rsidRPr="00DA7718">
        <w:rPr>
          <w:lang w:val="fr-FR"/>
        </w:rPr>
        <w:t xml:space="preserve"> </w:t>
      </w:r>
      <w:r w:rsidRPr="00DA7718">
        <w:rPr>
          <w:lang w:val="fr-FR"/>
        </w:rPr>
        <w:t xml:space="preserve">associé au traitement de référence dans le rhabdomyosarcome et le sarcome des tissus mous non-rhabdomyosarcome métastatiques, le profil de tolérance </w:t>
      </w:r>
      <w:r w:rsidR="0060278E">
        <w:rPr>
          <w:lang w:val="fr-FR"/>
        </w:rPr>
        <w:t>du bevacizumab</w:t>
      </w:r>
      <w:r w:rsidR="0060278E" w:rsidRPr="00DA7718">
        <w:rPr>
          <w:lang w:val="fr-FR"/>
        </w:rPr>
        <w:t xml:space="preserve"> </w:t>
      </w:r>
      <w:r w:rsidRPr="00DA7718">
        <w:rPr>
          <w:lang w:val="fr-FR"/>
        </w:rPr>
        <w:t xml:space="preserve">chez les enfants traités était comparable à celui observé chez les adultes traités par </w:t>
      </w:r>
      <w:r w:rsidR="0060278E">
        <w:rPr>
          <w:lang w:val="fr-FR"/>
        </w:rPr>
        <w:t>bevacizumab</w:t>
      </w:r>
      <w:r w:rsidRPr="00DA7718">
        <w:rPr>
          <w:lang w:val="fr-FR"/>
        </w:rPr>
        <w:t>.</w:t>
      </w:r>
    </w:p>
    <w:p w14:paraId="6E84C4F1" w14:textId="77777777" w:rsidR="004401F0" w:rsidRPr="00DA7718" w:rsidRDefault="004401F0" w:rsidP="00BD4C7C">
      <w:pPr>
        <w:pStyle w:val="a3"/>
        <w:adjustRightInd w:val="0"/>
        <w:snapToGrid w:val="0"/>
        <w:rPr>
          <w:lang w:val="fr-FR"/>
        </w:rPr>
      </w:pPr>
    </w:p>
    <w:p w14:paraId="76844589" w14:textId="6438C3BD" w:rsidR="004401F0" w:rsidRPr="00DA7718" w:rsidRDefault="00F05208" w:rsidP="00BD4C7C">
      <w:pPr>
        <w:pStyle w:val="a3"/>
        <w:adjustRightInd w:val="0"/>
        <w:snapToGrid w:val="0"/>
        <w:rPr>
          <w:lang w:val="fr-FR"/>
        </w:rPr>
      </w:pPr>
      <w:r>
        <w:rPr>
          <w:lang w:val="fr-FR"/>
        </w:rPr>
        <w:t>Vegzelma</w:t>
      </w:r>
      <w:r w:rsidR="0060278E" w:rsidRPr="00DA7718">
        <w:rPr>
          <w:lang w:val="fr-FR"/>
        </w:rPr>
        <w:t xml:space="preserve"> </w:t>
      </w:r>
      <w:r w:rsidR="00DF3C4F" w:rsidRPr="00DA7718">
        <w:rPr>
          <w:lang w:val="fr-FR"/>
        </w:rPr>
        <w:t xml:space="preserve">n’est pas autorisé chez les patients de moins de 18 ans. Dans les rapports publiés dans la littérature, des cas d’ostéonécrose non-mandibulaire ont été observés chez les patients de moins de </w:t>
      </w:r>
      <w:r w:rsidR="00A37E33" w:rsidRPr="00DA7718">
        <w:rPr>
          <w:lang w:val="fr-FR"/>
        </w:rPr>
        <w:t>18</w:t>
      </w:r>
      <w:r w:rsidR="00A37E33">
        <w:rPr>
          <w:lang w:val="fr-FR"/>
        </w:rPr>
        <w:t> </w:t>
      </w:r>
      <w:r w:rsidR="00DF3C4F" w:rsidRPr="00DA7718">
        <w:rPr>
          <w:lang w:val="fr-FR"/>
        </w:rPr>
        <w:t xml:space="preserve">ans, traités par </w:t>
      </w:r>
      <w:r w:rsidR="0060278E">
        <w:rPr>
          <w:lang w:val="fr-FR"/>
        </w:rPr>
        <w:t>bevacizumab</w:t>
      </w:r>
      <w:r w:rsidR="00DF3C4F" w:rsidRPr="00DA7718">
        <w:rPr>
          <w:lang w:val="fr-FR"/>
        </w:rPr>
        <w:t>.</w:t>
      </w:r>
    </w:p>
    <w:p w14:paraId="4B6C9FDD" w14:textId="77777777" w:rsidR="00BD4C7C" w:rsidRPr="00DA7718" w:rsidRDefault="00BD4C7C" w:rsidP="00BD4C7C">
      <w:pPr>
        <w:adjustRightInd w:val="0"/>
        <w:snapToGrid w:val="0"/>
        <w:rPr>
          <w:lang w:val="fr-FR"/>
        </w:rPr>
      </w:pPr>
    </w:p>
    <w:p w14:paraId="213DCE4F" w14:textId="77777777" w:rsidR="004401F0" w:rsidRPr="00DA7718" w:rsidRDefault="00DF3C4F" w:rsidP="00BD4C7C">
      <w:pPr>
        <w:pStyle w:val="a3"/>
        <w:adjustRightInd w:val="0"/>
        <w:snapToGrid w:val="0"/>
        <w:rPr>
          <w:lang w:val="fr-FR"/>
        </w:rPr>
      </w:pPr>
      <w:r w:rsidRPr="00DA7718">
        <w:rPr>
          <w:u w:val="single"/>
          <w:lang w:val="fr-FR"/>
        </w:rPr>
        <w:t>Expérience depuis la commercialisation</w:t>
      </w:r>
      <w:r w:rsidRPr="00DA7718">
        <w:rPr>
          <w:lang w:val="fr-FR"/>
        </w:rPr>
        <w:t xml:space="preserve"> :</w:t>
      </w:r>
    </w:p>
    <w:p w14:paraId="5B206B30" w14:textId="77777777" w:rsidR="004401F0" w:rsidRPr="003F4D24" w:rsidRDefault="004401F0" w:rsidP="00BD4C7C">
      <w:pPr>
        <w:pStyle w:val="a3"/>
        <w:adjustRightInd w:val="0"/>
        <w:snapToGrid w:val="0"/>
        <w:rPr>
          <w:lang w:val="fr-FR"/>
        </w:rPr>
      </w:pPr>
    </w:p>
    <w:p w14:paraId="05BCFD03" w14:textId="77777777" w:rsidR="004401F0" w:rsidRPr="00E13189" w:rsidRDefault="00DF3C4F" w:rsidP="00E13189">
      <w:pPr>
        <w:ind w:left="1276" w:hanging="1276"/>
        <w:rPr>
          <w:b/>
          <w:bCs/>
          <w:lang w:val="fr-FR"/>
        </w:rPr>
      </w:pPr>
      <w:r w:rsidRPr="00E13189">
        <w:rPr>
          <w:b/>
          <w:bCs/>
          <w:lang w:val="fr-FR"/>
        </w:rPr>
        <w:t>Tableau 3 :</w:t>
      </w:r>
      <w:r w:rsidR="00D5561A" w:rsidRPr="00E13189">
        <w:rPr>
          <w:b/>
          <w:bCs/>
          <w:lang w:val="fr-FR"/>
        </w:rPr>
        <w:tab/>
      </w:r>
      <w:r w:rsidRPr="00E13189">
        <w:rPr>
          <w:b/>
          <w:bCs/>
          <w:lang w:val="fr-FR"/>
        </w:rPr>
        <w:t>Effets indésirables rapportés depuis la commercialisation</w:t>
      </w:r>
    </w:p>
    <w:p w14:paraId="3E431722" w14:textId="77777777" w:rsidR="004401F0" w:rsidRPr="00DA7718" w:rsidRDefault="004401F0" w:rsidP="00BD4C7C">
      <w:pPr>
        <w:pStyle w:val="a3"/>
        <w:adjustRightInd w:val="0"/>
        <w:snapToGrid w:val="0"/>
        <w:rPr>
          <w:b/>
          <w:lang w:val="fr-FR"/>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7"/>
        <w:gridCol w:w="6697"/>
      </w:tblGrid>
      <w:tr w:rsidR="004401F0" w:rsidRPr="00FD0816" w14:paraId="5F4475E9" w14:textId="77777777" w:rsidTr="00FD0816">
        <w:trPr>
          <w:cantSplit/>
          <w:tblHeader/>
        </w:trPr>
        <w:tc>
          <w:tcPr>
            <w:tcW w:w="2280" w:type="dxa"/>
          </w:tcPr>
          <w:p w14:paraId="2EDB5249" w14:textId="77777777" w:rsidR="004401F0" w:rsidRPr="00FD0816" w:rsidRDefault="00DF3C4F" w:rsidP="00FD0816">
            <w:pPr>
              <w:pStyle w:val="TableParagraph"/>
              <w:adjustRightInd w:val="0"/>
              <w:snapToGrid w:val="0"/>
              <w:jc w:val="center"/>
              <w:rPr>
                <w:b/>
                <w:bCs/>
                <w:i/>
                <w:sz w:val="20"/>
                <w:szCs w:val="20"/>
                <w:lang w:val="fr-FR"/>
              </w:rPr>
            </w:pPr>
            <w:r w:rsidRPr="00FD0816">
              <w:rPr>
                <w:b/>
                <w:bCs/>
                <w:i/>
                <w:sz w:val="20"/>
                <w:szCs w:val="20"/>
                <w:lang w:val="fr-FR"/>
              </w:rPr>
              <w:t>Système organe-classe (SOC)</w:t>
            </w:r>
          </w:p>
        </w:tc>
        <w:tc>
          <w:tcPr>
            <w:tcW w:w="6480" w:type="dxa"/>
          </w:tcPr>
          <w:p w14:paraId="2EF099AE" w14:textId="77777777" w:rsidR="004401F0" w:rsidRPr="00FD0816" w:rsidRDefault="00DF3C4F" w:rsidP="00FD0816">
            <w:pPr>
              <w:pStyle w:val="TableParagraph"/>
              <w:adjustRightInd w:val="0"/>
              <w:snapToGrid w:val="0"/>
              <w:jc w:val="center"/>
              <w:rPr>
                <w:b/>
                <w:bCs/>
                <w:i/>
                <w:sz w:val="20"/>
                <w:szCs w:val="20"/>
                <w:lang w:val="fr-FR"/>
              </w:rPr>
            </w:pPr>
            <w:r w:rsidRPr="00FD0816">
              <w:rPr>
                <w:b/>
                <w:bCs/>
                <w:i/>
                <w:sz w:val="20"/>
                <w:szCs w:val="20"/>
                <w:lang w:val="fr-FR"/>
              </w:rPr>
              <w:t>Effets (fréquence*)</w:t>
            </w:r>
          </w:p>
        </w:tc>
      </w:tr>
      <w:tr w:rsidR="004401F0" w:rsidRPr="000D7348" w14:paraId="45ED6C89" w14:textId="77777777" w:rsidTr="00E91DB9">
        <w:trPr>
          <w:cantSplit/>
        </w:trPr>
        <w:tc>
          <w:tcPr>
            <w:tcW w:w="2280" w:type="dxa"/>
            <w:tcBorders>
              <w:bottom w:val="single" w:sz="8" w:space="0" w:color="000000"/>
            </w:tcBorders>
          </w:tcPr>
          <w:p w14:paraId="606C5358" w14:textId="43825A5B" w:rsidR="004401F0" w:rsidRPr="00FD0816" w:rsidRDefault="00DF3C4F" w:rsidP="00FD0816">
            <w:pPr>
              <w:pStyle w:val="TableParagraph"/>
              <w:adjustRightInd w:val="0"/>
              <w:snapToGrid w:val="0"/>
              <w:jc w:val="center"/>
              <w:rPr>
                <w:i/>
                <w:sz w:val="20"/>
                <w:szCs w:val="20"/>
                <w:lang w:val="fr-FR"/>
              </w:rPr>
            </w:pPr>
            <w:r w:rsidRPr="00FD0816">
              <w:rPr>
                <w:i/>
                <w:sz w:val="20"/>
                <w:szCs w:val="20"/>
                <w:lang w:val="fr-FR"/>
              </w:rPr>
              <w:t xml:space="preserve">Infections et </w:t>
            </w:r>
            <w:r w:rsidR="0033604E">
              <w:rPr>
                <w:i/>
                <w:sz w:val="20"/>
                <w:szCs w:val="20"/>
                <w:lang w:val="fr-FR"/>
              </w:rPr>
              <w:t>i</w:t>
            </w:r>
            <w:r w:rsidRPr="00FD0816">
              <w:rPr>
                <w:i/>
                <w:sz w:val="20"/>
                <w:szCs w:val="20"/>
                <w:lang w:val="fr-FR"/>
              </w:rPr>
              <w:t>nfestations</w:t>
            </w:r>
          </w:p>
        </w:tc>
        <w:tc>
          <w:tcPr>
            <w:tcW w:w="6480" w:type="dxa"/>
            <w:tcBorders>
              <w:bottom w:val="single" w:sz="8" w:space="0" w:color="000000"/>
            </w:tcBorders>
          </w:tcPr>
          <w:p w14:paraId="36C63FCB"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Fasciite nécrosante, généralement secondaire à des complications de la cicatrisation des plaies, à une perforation gastro-intestinale ou à une</w:t>
            </w:r>
          </w:p>
          <w:p w14:paraId="6E8A2D01"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formation de fistules (rare) (voir également rubrique 4.4).</w:t>
            </w:r>
          </w:p>
        </w:tc>
      </w:tr>
      <w:tr w:rsidR="004401F0" w:rsidRPr="000D7348" w14:paraId="07E36B8F" w14:textId="77777777" w:rsidTr="00E91DB9">
        <w:trPr>
          <w:cantSplit/>
        </w:trPr>
        <w:tc>
          <w:tcPr>
            <w:tcW w:w="2280" w:type="dxa"/>
            <w:tcBorders>
              <w:bottom w:val="single" w:sz="4" w:space="0" w:color="auto"/>
            </w:tcBorders>
          </w:tcPr>
          <w:p w14:paraId="40699046" w14:textId="77777777" w:rsidR="004401F0" w:rsidRPr="00FD0816" w:rsidRDefault="00DF3C4F" w:rsidP="00FD0816">
            <w:pPr>
              <w:pStyle w:val="TableParagraph"/>
              <w:adjustRightInd w:val="0"/>
              <w:snapToGrid w:val="0"/>
              <w:jc w:val="center"/>
              <w:rPr>
                <w:i/>
                <w:sz w:val="20"/>
                <w:szCs w:val="20"/>
                <w:lang w:val="fr-FR"/>
              </w:rPr>
            </w:pPr>
            <w:r w:rsidRPr="00FD0816">
              <w:rPr>
                <w:i/>
                <w:sz w:val="20"/>
                <w:szCs w:val="20"/>
                <w:lang w:val="fr-FR"/>
              </w:rPr>
              <w:t>Affections du système immunitaire</w:t>
            </w:r>
          </w:p>
        </w:tc>
        <w:tc>
          <w:tcPr>
            <w:tcW w:w="6480" w:type="dxa"/>
            <w:tcBorders>
              <w:bottom w:val="single" w:sz="4" w:space="0" w:color="auto"/>
            </w:tcBorders>
          </w:tcPr>
          <w:p w14:paraId="675EAA56" w14:textId="047A6873" w:rsidR="004401F0" w:rsidRDefault="00DF3C4F" w:rsidP="00FD0816">
            <w:pPr>
              <w:pStyle w:val="TableParagraph"/>
              <w:adjustRightInd w:val="0"/>
              <w:snapToGrid w:val="0"/>
              <w:rPr>
                <w:sz w:val="20"/>
                <w:szCs w:val="20"/>
                <w:lang w:val="fr-FR"/>
              </w:rPr>
            </w:pPr>
            <w:r w:rsidRPr="00FD0816">
              <w:rPr>
                <w:sz w:val="20"/>
                <w:szCs w:val="20"/>
                <w:lang w:val="fr-FR"/>
              </w:rPr>
              <w:t>Réactions d’hypersensibilité et réactions liées à la perfusion (</w:t>
            </w:r>
            <w:r w:rsidR="00AA0D65" w:rsidRPr="00AA0D65">
              <w:rPr>
                <w:sz w:val="20"/>
                <w:szCs w:val="20"/>
                <w:lang w:val="fr-FR"/>
              </w:rPr>
              <w:t>fréquentes</w:t>
            </w:r>
            <w:r w:rsidRPr="00FD0816">
              <w:rPr>
                <w:sz w:val="20"/>
                <w:szCs w:val="20"/>
                <w:lang w:val="fr-FR"/>
              </w:rPr>
              <w:t>), éventuellement associées aux manifestations suivantes</w:t>
            </w:r>
            <w:r w:rsidR="00765A43">
              <w:rPr>
                <w:sz w:val="20"/>
                <w:szCs w:val="20"/>
                <w:lang w:val="fr-FR"/>
              </w:rPr>
              <w:t xml:space="preserve"> : </w:t>
            </w:r>
            <w:r w:rsidRPr="00FD0816">
              <w:rPr>
                <w:sz w:val="20"/>
                <w:szCs w:val="20"/>
                <w:lang w:val="fr-FR"/>
              </w:rPr>
              <w:t xml:space="preserve">dyspnée/difficultés respiratoires, bouffées vasomotrices/érythème/éruption, hypotension ou hypertension, désaturation de l’oxygène, douleurs thoraciques, frissons et nausées/ vomissements (voir également rubriques 4.4 et ci-dessus </w:t>
            </w:r>
            <w:r w:rsidRPr="00FD0816">
              <w:rPr>
                <w:i/>
                <w:sz w:val="20"/>
                <w:szCs w:val="20"/>
                <w:lang w:val="fr-FR"/>
              </w:rPr>
              <w:t>Réactions</w:t>
            </w:r>
            <w:r w:rsidR="008D07B4">
              <w:rPr>
                <w:i/>
                <w:sz w:val="20"/>
                <w:szCs w:val="20"/>
                <w:lang w:val="fr-FR"/>
              </w:rPr>
              <w:t xml:space="preserve"> </w:t>
            </w:r>
            <w:r w:rsidRPr="00FD0816">
              <w:rPr>
                <w:i/>
                <w:sz w:val="20"/>
                <w:szCs w:val="20"/>
                <w:lang w:val="fr-FR"/>
              </w:rPr>
              <w:t>d’hypersensibilité</w:t>
            </w:r>
            <w:r w:rsidR="008709FB">
              <w:rPr>
                <w:rFonts w:eastAsia="맑은 고딕" w:hint="eastAsia"/>
                <w:i/>
                <w:sz w:val="20"/>
                <w:szCs w:val="20"/>
                <w:lang w:val="fr-FR" w:eastAsia="ko-KR"/>
              </w:rPr>
              <w:t xml:space="preserve"> </w:t>
            </w:r>
            <w:r w:rsidR="008709FB" w:rsidRPr="008709FB">
              <w:rPr>
                <w:i/>
                <w:sz w:val="20"/>
                <w:szCs w:val="20"/>
                <w:lang w:val="fr-FR"/>
              </w:rPr>
              <w:t>(dont le choc anaphylactique)</w:t>
            </w:r>
            <w:r w:rsidRPr="00FD0816">
              <w:rPr>
                <w:i/>
                <w:sz w:val="20"/>
                <w:szCs w:val="20"/>
                <w:lang w:val="fr-FR"/>
              </w:rPr>
              <w:t xml:space="preserve"> / réactions liées à la perfusion)</w:t>
            </w:r>
            <w:r w:rsidRPr="00FD0816">
              <w:rPr>
                <w:sz w:val="20"/>
                <w:szCs w:val="20"/>
                <w:lang w:val="fr-FR"/>
              </w:rPr>
              <w:t>.</w:t>
            </w:r>
          </w:p>
          <w:p w14:paraId="28F3D2CD" w14:textId="77777777" w:rsidR="006A2D64" w:rsidRDefault="006A2D64" w:rsidP="00FD0816">
            <w:pPr>
              <w:pStyle w:val="TableParagraph"/>
              <w:adjustRightInd w:val="0"/>
              <w:snapToGrid w:val="0"/>
              <w:rPr>
                <w:sz w:val="20"/>
                <w:szCs w:val="20"/>
                <w:lang w:val="fr-FR"/>
              </w:rPr>
            </w:pPr>
          </w:p>
          <w:p w14:paraId="588BD7D2" w14:textId="55BFD415" w:rsidR="006A2D64" w:rsidRPr="00FD0816" w:rsidRDefault="006A2D64" w:rsidP="00FD0816">
            <w:pPr>
              <w:pStyle w:val="TableParagraph"/>
              <w:adjustRightInd w:val="0"/>
              <w:snapToGrid w:val="0"/>
              <w:rPr>
                <w:sz w:val="20"/>
                <w:szCs w:val="20"/>
                <w:lang w:val="fr-FR"/>
              </w:rPr>
            </w:pPr>
            <w:r w:rsidRPr="006A2D64">
              <w:rPr>
                <w:sz w:val="20"/>
                <w:szCs w:val="20"/>
                <w:lang w:val="fr-FR"/>
              </w:rPr>
              <w:t>Choc anaphylactique (rare) (voir également rubrique 4.4)</w:t>
            </w:r>
          </w:p>
        </w:tc>
      </w:tr>
      <w:tr w:rsidR="004401F0" w:rsidRPr="000D7348" w14:paraId="4C199B64" w14:textId="77777777" w:rsidTr="00E91DB9">
        <w:trPr>
          <w:cantSplit/>
        </w:trPr>
        <w:tc>
          <w:tcPr>
            <w:tcW w:w="2280" w:type="dxa"/>
            <w:tcBorders>
              <w:top w:val="single" w:sz="4" w:space="0" w:color="auto"/>
            </w:tcBorders>
          </w:tcPr>
          <w:p w14:paraId="3AA1FF60" w14:textId="77777777" w:rsidR="004401F0" w:rsidRPr="00FD0816" w:rsidRDefault="00DF3C4F" w:rsidP="00FD0816">
            <w:pPr>
              <w:pStyle w:val="TableParagraph"/>
              <w:adjustRightInd w:val="0"/>
              <w:snapToGrid w:val="0"/>
              <w:jc w:val="center"/>
              <w:rPr>
                <w:i/>
                <w:sz w:val="20"/>
                <w:szCs w:val="20"/>
                <w:lang w:val="fr-FR"/>
              </w:rPr>
            </w:pPr>
            <w:r w:rsidRPr="00FD0816">
              <w:rPr>
                <w:i/>
                <w:sz w:val="20"/>
                <w:szCs w:val="20"/>
                <w:lang w:val="fr-FR"/>
              </w:rPr>
              <w:t>Affections du système nerveux</w:t>
            </w:r>
          </w:p>
        </w:tc>
        <w:tc>
          <w:tcPr>
            <w:tcW w:w="6480" w:type="dxa"/>
            <w:tcBorders>
              <w:top w:val="single" w:sz="4" w:space="0" w:color="auto"/>
            </w:tcBorders>
          </w:tcPr>
          <w:p w14:paraId="73CEE914" w14:textId="77777777" w:rsidR="004401F0" w:rsidRDefault="00DF3C4F" w:rsidP="00FD0816">
            <w:pPr>
              <w:pStyle w:val="TableParagraph"/>
              <w:adjustRightInd w:val="0"/>
              <w:snapToGrid w:val="0"/>
              <w:rPr>
                <w:sz w:val="20"/>
                <w:szCs w:val="20"/>
                <w:lang w:val="fr-FR"/>
              </w:rPr>
            </w:pPr>
            <w:r w:rsidRPr="00FD0816">
              <w:rPr>
                <w:sz w:val="20"/>
                <w:szCs w:val="20"/>
                <w:lang w:val="fr-FR"/>
              </w:rPr>
              <w:t xml:space="preserve">Encéphalopathie hypertensive (très rare) (voir également rubrique 4.4 et </w:t>
            </w:r>
            <w:r w:rsidRPr="00FD0816">
              <w:rPr>
                <w:i/>
                <w:sz w:val="20"/>
                <w:szCs w:val="20"/>
                <w:lang w:val="fr-FR"/>
              </w:rPr>
              <w:t xml:space="preserve">Hypertension </w:t>
            </w:r>
            <w:r w:rsidRPr="00FD0816">
              <w:rPr>
                <w:sz w:val="20"/>
                <w:szCs w:val="20"/>
                <w:lang w:val="fr-FR"/>
              </w:rPr>
              <w:t>rubrique 4.8)</w:t>
            </w:r>
          </w:p>
          <w:p w14:paraId="63D090FC" w14:textId="77777777" w:rsidR="00FD0816" w:rsidRPr="00FD0816" w:rsidRDefault="00FD0816" w:rsidP="00FD0816">
            <w:pPr>
              <w:pStyle w:val="TableParagraph"/>
              <w:adjustRightInd w:val="0"/>
              <w:snapToGrid w:val="0"/>
              <w:rPr>
                <w:sz w:val="20"/>
                <w:szCs w:val="20"/>
                <w:lang w:val="fr-FR"/>
              </w:rPr>
            </w:pPr>
          </w:p>
          <w:p w14:paraId="535702F7"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Syndrome d’encéphalopathie postérieure réversible (SEPR) (rare) (voir rubrique 4.4)</w:t>
            </w:r>
          </w:p>
        </w:tc>
      </w:tr>
      <w:tr w:rsidR="004401F0" w:rsidRPr="000D7348" w14:paraId="3EA13BCB" w14:textId="77777777" w:rsidTr="00FD0816">
        <w:trPr>
          <w:cantSplit/>
        </w:trPr>
        <w:tc>
          <w:tcPr>
            <w:tcW w:w="2280" w:type="dxa"/>
          </w:tcPr>
          <w:p w14:paraId="0D6B271E" w14:textId="77777777" w:rsidR="004401F0" w:rsidRPr="00FD0816" w:rsidRDefault="00DF3C4F" w:rsidP="00FD0816">
            <w:pPr>
              <w:pStyle w:val="TableParagraph"/>
              <w:adjustRightInd w:val="0"/>
              <w:snapToGrid w:val="0"/>
              <w:jc w:val="center"/>
              <w:rPr>
                <w:i/>
                <w:sz w:val="20"/>
                <w:szCs w:val="20"/>
                <w:lang w:val="fr-FR"/>
              </w:rPr>
            </w:pPr>
            <w:r w:rsidRPr="00FD0816">
              <w:rPr>
                <w:i/>
                <w:sz w:val="20"/>
                <w:szCs w:val="20"/>
                <w:lang w:val="fr-FR"/>
              </w:rPr>
              <w:t>Affections vasculaires</w:t>
            </w:r>
          </w:p>
        </w:tc>
        <w:tc>
          <w:tcPr>
            <w:tcW w:w="6480" w:type="dxa"/>
          </w:tcPr>
          <w:p w14:paraId="62C870EE"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 xml:space="preserve">Microangiopathie thrombotique rénale, qui pourrait se manifester cliniquement par une protéinurie (non connue) avec ou sans l’utilisation concomitante du sunitinib. Pour plus d’informations sur la protéinurie voir rubrique 4.4 et </w:t>
            </w:r>
            <w:r w:rsidRPr="00FD0816">
              <w:rPr>
                <w:i/>
                <w:sz w:val="20"/>
                <w:szCs w:val="20"/>
                <w:lang w:val="fr-FR"/>
              </w:rPr>
              <w:t xml:space="preserve">Protéinurie </w:t>
            </w:r>
            <w:r w:rsidRPr="00FD0816">
              <w:rPr>
                <w:sz w:val="20"/>
                <w:szCs w:val="20"/>
                <w:lang w:val="fr-FR"/>
              </w:rPr>
              <w:t>rubrique 4.8</w:t>
            </w:r>
          </w:p>
        </w:tc>
      </w:tr>
      <w:tr w:rsidR="004401F0" w:rsidRPr="000D7348" w14:paraId="1C4A0EF0" w14:textId="77777777" w:rsidTr="00B40553">
        <w:trPr>
          <w:cantSplit/>
        </w:trPr>
        <w:tc>
          <w:tcPr>
            <w:tcW w:w="2280" w:type="dxa"/>
            <w:tcBorders>
              <w:bottom w:val="single" w:sz="4" w:space="0" w:color="auto"/>
            </w:tcBorders>
          </w:tcPr>
          <w:p w14:paraId="4A7FB2B6" w14:textId="77777777" w:rsidR="004401F0" w:rsidRPr="00FD0816" w:rsidRDefault="00DF3C4F" w:rsidP="00FD0816">
            <w:pPr>
              <w:pStyle w:val="TableParagraph"/>
              <w:adjustRightInd w:val="0"/>
              <w:snapToGrid w:val="0"/>
              <w:jc w:val="center"/>
              <w:rPr>
                <w:i/>
                <w:sz w:val="20"/>
                <w:szCs w:val="20"/>
                <w:lang w:val="fr-FR"/>
              </w:rPr>
            </w:pPr>
            <w:r w:rsidRPr="00FD0816">
              <w:rPr>
                <w:i/>
                <w:sz w:val="20"/>
                <w:szCs w:val="20"/>
                <w:lang w:val="fr-FR"/>
              </w:rPr>
              <w:t>Affections respiratoires, thoraciques et médiastinales</w:t>
            </w:r>
          </w:p>
        </w:tc>
        <w:tc>
          <w:tcPr>
            <w:tcW w:w="6480" w:type="dxa"/>
            <w:tcBorders>
              <w:bottom w:val="single" w:sz="4" w:space="0" w:color="auto"/>
            </w:tcBorders>
          </w:tcPr>
          <w:p w14:paraId="1FF7D366" w14:textId="77777777" w:rsidR="00903E44" w:rsidRDefault="00DF3C4F" w:rsidP="00FD0816">
            <w:pPr>
              <w:pStyle w:val="TableParagraph"/>
              <w:adjustRightInd w:val="0"/>
              <w:snapToGrid w:val="0"/>
              <w:rPr>
                <w:sz w:val="20"/>
                <w:szCs w:val="20"/>
                <w:lang w:val="fr-FR"/>
              </w:rPr>
            </w:pPr>
            <w:r w:rsidRPr="00FD0816">
              <w:rPr>
                <w:sz w:val="20"/>
                <w:szCs w:val="20"/>
                <w:lang w:val="fr-FR"/>
              </w:rPr>
              <w:t xml:space="preserve">Perforation de la cloison nasale (non connue) </w:t>
            </w:r>
          </w:p>
          <w:p w14:paraId="0175BD63" w14:textId="7AD12B4C" w:rsidR="00903E44" w:rsidRDefault="0033604E" w:rsidP="00FD0816">
            <w:pPr>
              <w:pStyle w:val="TableParagraph"/>
              <w:adjustRightInd w:val="0"/>
              <w:snapToGrid w:val="0"/>
              <w:rPr>
                <w:sz w:val="20"/>
                <w:szCs w:val="20"/>
                <w:lang w:val="fr-FR"/>
              </w:rPr>
            </w:pPr>
            <w:r>
              <w:rPr>
                <w:sz w:val="20"/>
                <w:szCs w:val="20"/>
                <w:lang w:val="fr-FR"/>
              </w:rPr>
              <w:t>h</w:t>
            </w:r>
            <w:r w:rsidR="00DF3C4F" w:rsidRPr="00FD0816">
              <w:rPr>
                <w:sz w:val="20"/>
                <w:szCs w:val="20"/>
                <w:lang w:val="fr-FR"/>
              </w:rPr>
              <w:t xml:space="preserve">ypertension pulmonaire (non connue) </w:t>
            </w:r>
          </w:p>
          <w:p w14:paraId="1CEF1D77" w14:textId="4577056F" w:rsidR="004401F0" w:rsidRPr="00FD0816" w:rsidRDefault="0033604E" w:rsidP="00FD0816">
            <w:pPr>
              <w:pStyle w:val="TableParagraph"/>
              <w:adjustRightInd w:val="0"/>
              <w:snapToGrid w:val="0"/>
              <w:rPr>
                <w:sz w:val="20"/>
                <w:szCs w:val="20"/>
                <w:lang w:val="fr-FR"/>
              </w:rPr>
            </w:pPr>
            <w:r>
              <w:rPr>
                <w:sz w:val="20"/>
                <w:szCs w:val="20"/>
                <w:lang w:val="fr-FR"/>
              </w:rPr>
              <w:t>d</w:t>
            </w:r>
            <w:r w:rsidR="00DF3C4F" w:rsidRPr="00FD0816">
              <w:rPr>
                <w:sz w:val="20"/>
                <w:szCs w:val="20"/>
                <w:lang w:val="fr-FR"/>
              </w:rPr>
              <w:t>ysphonie (fréquent)</w:t>
            </w:r>
          </w:p>
        </w:tc>
      </w:tr>
      <w:tr w:rsidR="004401F0" w:rsidRPr="000D7348" w14:paraId="7AD4E2CF" w14:textId="77777777" w:rsidTr="00B40553">
        <w:trPr>
          <w:cantSplit/>
        </w:trPr>
        <w:tc>
          <w:tcPr>
            <w:tcW w:w="2280" w:type="dxa"/>
            <w:tcBorders>
              <w:top w:val="single" w:sz="4" w:space="0" w:color="auto"/>
              <w:left w:val="single" w:sz="4" w:space="0" w:color="auto"/>
              <w:bottom w:val="single" w:sz="4" w:space="0" w:color="auto"/>
              <w:right w:val="single" w:sz="4" w:space="0" w:color="auto"/>
            </w:tcBorders>
          </w:tcPr>
          <w:p w14:paraId="602BCEB6" w14:textId="77777777" w:rsidR="004401F0" w:rsidRPr="00FD0816" w:rsidRDefault="00DF3C4F" w:rsidP="00FD0816">
            <w:pPr>
              <w:pStyle w:val="TableParagraph"/>
              <w:adjustRightInd w:val="0"/>
              <w:snapToGrid w:val="0"/>
              <w:jc w:val="center"/>
              <w:rPr>
                <w:i/>
                <w:sz w:val="20"/>
                <w:szCs w:val="20"/>
                <w:lang w:val="fr-FR"/>
              </w:rPr>
            </w:pPr>
            <w:r w:rsidRPr="00FD0816">
              <w:rPr>
                <w:i/>
                <w:sz w:val="20"/>
                <w:szCs w:val="20"/>
                <w:lang w:val="fr-FR"/>
              </w:rPr>
              <w:t>Affections gastro- intestinales</w:t>
            </w:r>
          </w:p>
        </w:tc>
        <w:tc>
          <w:tcPr>
            <w:tcW w:w="6480" w:type="dxa"/>
            <w:tcBorders>
              <w:top w:val="single" w:sz="4" w:space="0" w:color="auto"/>
              <w:left w:val="single" w:sz="4" w:space="0" w:color="auto"/>
              <w:bottom w:val="single" w:sz="4" w:space="0" w:color="auto"/>
              <w:right w:val="single" w:sz="4" w:space="0" w:color="auto"/>
            </w:tcBorders>
          </w:tcPr>
          <w:p w14:paraId="0BA6032F"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Ulcère gastro-intestinal (non connue)</w:t>
            </w:r>
          </w:p>
        </w:tc>
      </w:tr>
      <w:tr w:rsidR="004401F0" w:rsidRPr="000D7348" w14:paraId="6A28E31D" w14:textId="77777777" w:rsidTr="00B40553">
        <w:trPr>
          <w:cantSplit/>
        </w:trPr>
        <w:tc>
          <w:tcPr>
            <w:tcW w:w="2280" w:type="dxa"/>
            <w:tcBorders>
              <w:top w:val="single" w:sz="4" w:space="0" w:color="auto"/>
              <w:left w:val="single" w:sz="4" w:space="0" w:color="000000"/>
            </w:tcBorders>
          </w:tcPr>
          <w:p w14:paraId="540E1D01" w14:textId="77777777" w:rsidR="004401F0" w:rsidRPr="00FD0816" w:rsidRDefault="00DF3C4F" w:rsidP="00FD0816">
            <w:pPr>
              <w:pStyle w:val="TableParagraph"/>
              <w:adjustRightInd w:val="0"/>
              <w:snapToGrid w:val="0"/>
              <w:jc w:val="center"/>
              <w:rPr>
                <w:i/>
                <w:sz w:val="20"/>
                <w:szCs w:val="20"/>
                <w:lang w:val="fr-FR"/>
              </w:rPr>
            </w:pPr>
            <w:r w:rsidRPr="00FD0816">
              <w:rPr>
                <w:i/>
                <w:sz w:val="20"/>
                <w:szCs w:val="20"/>
                <w:lang w:val="fr-FR"/>
              </w:rPr>
              <w:t>Affections hépatobiliaires</w:t>
            </w:r>
          </w:p>
        </w:tc>
        <w:tc>
          <w:tcPr>
            <w:tcW w:w="6480" w:type="dxa"/>
            <w:tcBorders>
              <w:top w:val="single" w:sz="4" w:space="0" w:color="auto"/>
              <w:right w:val="single" w:sz="4" w:space="0" w:color="000000"/>
            </w:tcBorders>
          </w:tcPr>
          <w:p w14:paraId="3C7B884E"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Perforation de la vésicule biliaire (non connue)</w:t>
            </w:r>
          </w:p>
        </w:tc>
      </w:tr>
      <w:tr w:rsidR="004401F0" w:rsidRPr="000D7348" w14:paraId="065925BA" w14:textId="77777777" w:rsidTr="00FD0816">
        <w:trPr>
          <w:cantSplit/>
        </w:trPr>
        <w:tc>
          <w:tcPr>
            <w:tcW w:w="2280" w:type="dxa"/>
            <w:vMerge w:val="restart"/>
          </w:tcPr>
          <w:p w14:paraId="3D9DB404" w14:textId="77777777" w:rsidR="004401F0" w:rsidRPr="00FD0816" w:rsidRDefault="00DF3C4F" w:rsidP="00FD0816">
            <w:pPr>
              <w:pStyle w:val="TableParagraph"/>
              <w:adjustRightInd w:val="0"/>
              <w:snapToGrid w:val="0"/>
              <w:jc w:val="center"/>
              <w:rPr>
                <w:i/>
                <w:sz w:val="20"/>
                <w:szCs w:val="20"/>
                <w:lang w:val="fr-FR"/>
              </w:rPr>
            </w:pPr>
            <w:r w:rsidRPr="00FD0816">
              <w:rPr>
                <w:i/>
                <w:sz w:val="20"/>
                <w:szCs w:val="20"/>
                <w:lang w:val="fr-FR"/>
              </w:rPr>
              <w:t>Affections musculo- squelettiques et systémiques</w:t>
            </w:r>
          </w:p>
        </w:tc>
        <w:tc>
          <w:tcPr>
            <w:tcW w:w="6480" w:type="dxa"/>
          </w:tcPr>
          <w:p w14:paraId="660FC72E" w14:textId="479E1847" w:rsidR="004401F0" w:rsidRPr="00FD0816" w:rsidRDefault="00DF3C4F" w:rsidP="00FD0816">
            <w:pPr>
              <w:pStyle w:val="TableParagraph"/>
              <w:adjustRightInd w:val="0"/>
              <w:snapToGrid w:val="0"/>
              <w:rPr>
                <w:sz w:val="20"/>
                <w:szCs w:val="20"/>
                <w:lang w:val="fr-FR"/>
              </w:rPr>
            </w:pPr>
            <w:r w:rsidRPr="00FD0816">
              <w:rPr>
                <w:sz w:val="20"/>
                <w:szCs w:val="20"/>
                <w:lang w:val="fr-FR"/>
              </w:rPr>
              <w:t xml:space="preserve">Des cas d’ostéonécrose de la mâchoire ont été rapportés chez des patients traités avec </w:t>
            </w:r>
            <w:r w:rsidR="0060278E" w:rsidRPr="00654D21">
              <w:rPr>
                <w:sz w:val="20"/>
                <w:szCs w:val="20"/>
                <w:lang w:val="fr-FR"/>
              </w:rPr>
              <w:t>bevacizumab</w:t>
            </w:r>
            <w:r w:rsidRPr="00FD0816">
              <w:rPr>
                <w:sz w:val="20"/>
                <w:szCs w:val="20"/>
                <w:lang w:val="fr-FR"/>
              </w:rPr>
              <w:t>, présentant pour la plupart des facteurs de risque connus d’ostéonécrose de la mâchoire, en particulier une exposition aux bisphosphonates administrés par voie intraveineuse</w:t>
            </w:r>
            <w:r w:rsidR="00710110">
              <w:rPr>
                <w:sz w:val="20"/>
                <w:szCs w:val="20"/>
                <w:lang w:val="fr-FR"/>
              </w:rPr>
              <w:t xml:space="preserve"> </w:t>
            </w:r>
            <w:r w:rsidRPr="00FD0816">
              <w:rPr>
                <w:sz w:val="20"/>
                <w:szCs w:val="20"/>
                <w:lang w:val="fr-FR"/>
              </w:rPr>
              <w:t>et/ou un antécédent d’affection dentaire nécessitant une intervention dentaire invasive (voir également rubrique 4.4).</w:t>
            </w:r>
          </w:p>
        </w:tc>
      </w:tr>
      <w:tr w:rsidR="004401F0" w:rsidRPr="00FD0816" w14:paraId="0E39288F" w14:textId="77777777" w:rsidTr="00FD0816">
        <w:trPr>
          <w:cantSplit/>
        </w:trPr>
        <w:tc>
          <w:tcPr>
            <w:tcW w:w="2280" w:type="dxa"/>
            <w:vMerge/>
            <w:tcBorders>
              <w:top w:val="nil"/>
            </w:tcBorders>
          </w:tcPr>
          <w:p w14:paraId="25090745" w14:textId="77777777" w:rsidR="004401F0" w:rsidRPr="00FD0816" w:rsidRDefault="004401F0" w:rsidP="00FD0816">
            <w:pPr>
              <w:adjustRightInd w:val="0"/>
              <w:snapToGrid w:val="0"/>
              <w:jc w:val="center"/>
              <w:rPr>
                <w:sz w:val="20"/>
                <w:szCs w:val="20"/>
                <w:lang w:val="fr-FR"/>
              </w:rPr>
            </w:pPr>
          </w:p>
        </w:tc>
        <w:tc>
          <w:tcPr>
            <w:tcW w:w="6480" w:type="dxa"/>
          </w:tcPr>
          <w:p w14:paraId="6668AC78" w14:textId="171640E0" w:rsidR="004401F0" w:rsidRPr="00F9256D" w:rsidRDefault="00DF3C4F" w:rsidP="00FD0816">
            <w:pPr>
              <w:pStyle w:val="TableParagraph"/>
              <w:adjustRightInd w:val="0"/>
              <w:snapToGrid w:val="0"/>
              <w:rPr>
                <w:i/>
                <w:iCs/>
                <w:sz w:val="20"/>
                <w:szCs w:val="20"/>
                <w:u w:val="single"/>
                <w:lang w:val="fr-FR"/>
              </w:rPr>
            </w:pPr>
            <w:r w:rsidRPr="00FD0816">
              <w:rPr>
                <w:sz w:val="20"/>
                <w:szCs w:val="20"/>
                <w:lang w:val="fr-FR"/>
              </w:rPr>
              <w:t xml:space="preserve">Des cas d’ostéonécrose non-mandibulaire ont été observés chez des patients pédiatriques traités par </w:t>
            </w:r>
            <w:r w:rsidR="0060278E" w:rsidRPr="00654D21">
              <w:rPr>
                <w:sz w:val="20"/>
                <w:szCs w:val="20"/>
                <w:lang w:val="fr-FR"/>
              </w:rPr>
              <w:t>bevacizumab</w:t>
            </w:r>
            <w:r w:rsidRPr="00FD0816">
              <w:rPr>
                <w:sz w:val="20"/>
                <w:szCs w:val="20"/>
                <w:lang w:val="fr-FR"/>
              </w:rPr>
              <w:t xml:space="preserve"> (voir rubrique 4.8, </w:t>
            </w:r>
            <w:r w:rsidRPr="00F9256D">
              <w:rPr>
                <w:i/>
                <w:iCs/>
                <w:sz w:val="20"/>
                <w:szCs w:val="20"/>
                <w:u w:val="single"/>
                <w:lang w:val="fr-FR"/>
              </w:rPr>
              <w:t>population</w:t>
            </w:r>
          </w:p>
          <w:p w14:paraId="58AD5F98" w14:textId="77777777" w:rsidR="004401F0" w:rsidRPr="00FD0816" w:rsidRDefault="00DF3C4F" w:rsidP="00FD0816">
            <w:pPr>
              <w:pStyle w:val="TableParagraph"/>
              <w:adjustRightInd w:val="0"/>
              <w:snapToGrid w:val="0"/>
              <w:rPr>
                <w:sz w:val="20"/>
                <w:szCs w:val="20"/>
                <w:lang w:val="fr-FR"/>
              </w:rPr>
            </w:pPr>
            <w:r w:rsidRPr="00F9256D">
              <w:rPr>
                <w:i/>
                <w:iCs/>
                <w:sz w:val="20"/>
                <w:szCs w:val="20"/>
                <w:u w:val="single"/>
                <w:lang w:val="fr-FR"/>
              </w:rPr>
              <w:t>pédiatrique</w:t>
            </w:r>
            <w:r w:rsidRPr="00FD0816">
              <w:rPr>
                <w:sz w:val="20"/>
                <w:szCs w:val="20"/>
                <w:lang w:val="fr-FR"/>
              </w:rPr>
              <w:t>)</w:t>
            </w:r>
          </w:p>
        </w:tc>
      </w:tr>
      <w:tr w:rsidR="004401F0" w:rsidRPr="000D7348" w14:paraId="73B6740E" w14:textId="77777777" w:rsidTr="00FD0816">
        <w:trPr>
          <w:cantSplit/>
        </w:trPr>
        <w:tc>
          <w:tcPr>
            <w:tcW w:w="2280" w:type="dxa"/>
          </w:tcPr>
          <w:p w14:paraId="41D59D5D" w14:textId="77777777" w:rsidR="004401F0" w:rsidRPr="00FD0816" w:rsidRDefault="00DF3C4F" w:rsidP="00FD0816">
            <w:pPr>
              <w:pStyle w:val="TableParagraph"/>
              <w:adjustRightInd w:val="0"/>
              <w:snapToGrid w:val="0"/>
              <w:jc w:val="center"/>
              <w:rPr>
                <w:i/>
                <w:sz w:val="20"/>
                <w:szCs w:val="20"/>
                <w:lang w:val="fr-FR"/>
              </w:rPr>
            </w:pPr>
            <w:r w:rsidRPr="00FD0816">
              <w:rPr>
                <w:i/>
                <w:sz w:val="20"/>
                <w:szCs w:val="20"/>
                <w:lang w:val="fr-FR"/>
              </w:rPr>
              <w:t>Affections congénitales, familiales et génétiques</w:t>
            </w:r>
          </w:p>
        </w:tc>
        <w:tc>
          <w:tcPr>
            <w:tcW w:w="6480" w:type="dxa"/>
          </w:tcPr>
          <w:p w14:paraId="3B02C117"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Des cas d’anomalies fœtales chez des femmes traitées par bevacizumab seul ou en association à des chimiothérapies connues pour être embryotoxiques ont été observées (voir rubrique 4.6).</w:t>
            </w:r>
          </w:p>
        </w:tc>
      </w:tr>
    </w:tbl>
    <w:p w14:paraId="47E7095A" w14:textId="77777777" w:rsidR="004401F0" w:rsidRPr="00FD0816" w:rsidRDefault="00BD4C7C" w:rsidP="00B40553">
      <w:pPr>
        <w:adjustRightInd w:val="0"/>
        <w:snapToGrid w:val="0"/>
        <w:ind w:left="-90"/>
        <w:rPr>
          <w:sz w:val="18"/>
          <w:szCs w:val="18"/>
          <w:lang w:val="fr-FR"/>
        </w:rPr>
      </w:pPr>
      <w:r w:rsidRPr="00FD0816">
        <w:rPr>
          <w:sz w:val="18"/>
          <w:szCs w:val="18"/>
          <w:lang w:val="fr-FR"/>
        </w:rPr>
        <w:t>*</w:t>
      </w:r>
      <w:r w:rsidR="008F2CC6">
        <w:rPr>
          <w:sz w:val="18"/>
          <w:szCs w:val="18"/>
          <w:lang w:val="fr-FR"/>
        </w:rPr>
        <w:t xml:space="preserve"> </w:t>
      </w:r>
      <w:r w:rsidR="00DF3C4F" w:rsidRPr="00FD0816">
        <w:rPr>
          <w:sz w:val="18"/>
          <w:szCs w:val="18"/>
          <w:lang w:val="fr-FR"/>
        </w:rPr>
        <w:t>la fréquence, si spécifiée, est issue des données des études cliniques</w:t>
      </w:r>
    </w:p>
    <w:p w14:paraId="055EA6DA" w14:textId="77777777" w:rsidR="00BD4C7C" w:rsidRPr="00DA7718" w:rsidRDefault="00BD4C7C" w:rsidP="00BD4C7C">
      <w:pPr>
        <w:adjustRightInd w:val="0"/>
        <w:snapToGrid w:val="0"/>
        <w:rPr>
          <w:sz w:val="20"/>
          <w:lang w:val="fr-FR"/>
        </w:rPr>
      </w:pPr>
    </w:p>
    <w:p w14:paraId="1B33B4EA" w14:textId="77777777" w:rsidR="004401F0" w:rsidRPr="00DA7718" w:rsidRDefault="00DF3C4F" w:rsidP="00654D21">
      <w:pPr>
        <w:pStyle w:val="a3"/>
        <w:keepNext/>
        <w:keepLines/>
        <w:adjustRightInd w:val="0"/>
        <w:snapToGrid w:val="0"/>
        <w:rPr>
          <w:lang w:val="fr-FR"/>
        </w:rPr>
      </w:pPr>
      <w:r w:rsidRPr="00DA7718">
        <w:rPr>
          <w:u w:val="single"/>
          <w:lang w:val="fr-FR"/>
        </w:rPr>
        <w:t>Déclaration des effets indésirables suspectés</w:t>
      </w:r>
    </w:p>
    <w:p w14:paraId="29B045EF" w14:textId="77777777" w:rsidR="004401F0" w:rsidRPr="00DA7718" w:rsidRDefault="00DF3C4F" w:rsidP="00654D21">
      <w:pPr>
        <w:pStyle w:val="a3"/>
        <w:keepNext/>
        <w:keepLines/>
        <w:adjustRightInd w:val="0"/>
        <w:snapToGrid w:val="0"/>
        <w:rPr>
          <w:lang w:val="fr-FR"/>
        </w:rPr>
      </w:pPr>
      <w:r w:rsidRPr="00DA7718">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DA7718">
        <w:rPr>
          <w:color w:val="000000"/>
          <w:shd w:val="clear" w:color="auto" w:fill="C1C1C1"/>
          <w:lang w:val="fr-FR"/>
        </w:rPr>
        <w:t xml:space="preserve">le système national de déclaration – voir </w:t>
      </w:r>
      <w:hyperlink r:id="rId13">
        <w:r w:rsidRPr="00DA7718">
          <w:rPr>
            <w:color w:val="0000FF"/>
            <w:u w:val="single" w:color="0000FF"/>
            <w:shd w:val="clear" w:color="auto" w:fill="C1C1C1"/>
            <w:lang w:val="fr-FR"/>
          </w:rPr>
          <w:t>Annexe V</w:t>
        </w:r>
        <w:r w:rsidRPr="00DA7718">
          <w:rPr>
            <w:color w:val="000000"/>
            <w:lang w:val="fr-FR"/>
          </w:rPr>
          <w:t>.</w:t>
        </w:r>
      </w:hyperlink>
    </w:p>
    <w:p w14:paraId="6A779BE4" w14:textId="77777777" w:rsidR="004401F0" w:rsidRPr="003F4D24" w:rsidRDefault="004401F0" w:rsidP="00BD4C7C">
      <w:pPr>
        <w:pStyle w:val="a3"/>
        <w:adjustRightInd w:val="0"/>
        <w:snapToGrid w:val="0"/>
        <w:rPr>
          <w:lang w:val="fr-FR"/>
        </w:rPr>
      </w:pPr>
    </w:p>
    <w:p w14:paraId="09A47144" w14:textId="77777777" w:rsidR="004401F0" w:rsidRPr="00DA7718" w:rsidRDefault="00DF3C4F" w:rsidP="00BD4C7C">
      <w:pPr>
        <w:pStyle w:val="2"/>
        <w:adjustRightInd w:val="0"/>
        <w:snapToGrid w:val="0"/>
        <w:ind w:left="0"/>
        <w:rPr>
          <w:lang w:val="fr-FR"/>
        </w:rPr>
      </w:pPr>
      <w:r w:rsidRPr="00DA7718">
        <w:rPr>
          <w:lang w:val="fr-FR"/>
        </w:rPr>
        <w:t>4.9</w:t>
      </w:r>
      <w:r w:rsidRPr="00DA7718">
        <w:rPr>
          <w:lang w:val="fr-FR"/>
        </w:rPr>
        <w:tab/>
        <w:t>Surdosage</w:t>
      </w:r>
    </w:p>
    <w:p w14:paraId="049A05B7" w14:textId="77777777" w:rsidR="004401F0" w:rsidRPr="007C119A" w:rsidRDefault="004401F0" w:rsidP="00BD4C7C">
      <w:pPr>
        <w:pStyle w:val="a3"/>
        <w:adjustRightInd w:val="0"/>
        <w:snapToGrid w:val="0"/>
        <w:rPr>
          <w:b/>
          <w:lang w:val="fr-FR"/>
        </w:rPr>
      </w:pPr>
    </w:p>
    <w:p w14:paraId="23D9DFF3" w14:textId="77777777" w:rsidR="004401F0" w:rsidRPr="00DA7718" w:rsidRDefault="00DF3C4F" w:rsidP="00BD4C7C">
      <w:pPr>
        <w:pStyle w:val="a3"/>
        <w:adjustRightInd w:val="0"/>
        <w:snapToGrid w:val="0"/>
        <w:rPr>
          <w:lang w:val="fr-FR"/>
        </w:rPr>
      </w:pPr>
      <w:r w:rsidRPr="00DA7718">
        <w:rPr>
          <w:lang w:val="fr-FR"/>
        </w:rPr>
        <w:t>L’administration de la plus forte dose étudiée chez l’homme (20</w:t>
      </w:r>
      <w:r w:rsidR="00DA7718" w:rsidRPr="00DA7718">
        <w:rPr>
          <w:lang w:val="fr-FR"/>
        </w:rPr>
        <w:t> mg</w:t>
      </w:r>
      <w:r w:rsidRPr="00DA7718">
        <w:rPr>
          <w:lang w:val="fr-FR"/>
        </w:rPr>
        <w:t>/kg de poids corporel, voie intraveineuse, toutes les 2 semaines) s’est accompagnée d’une migraine sévère chez plusieurs patients.</w:t>
      </w:r>
    </w:p>
    <w:p w14:paraId="78713608" w14:textId="77777777" w:rsidR="004401F0" w:rsidRPr="00DB59CD" w:rsidRDefault="004401F0" w:rsidP="00BD4C7C">
      <w:pPr>
        <w:pStyle w:val="a3"/>
        <w:adjustRightInd w:val="0"/>
        <w:snapToGrid w:val="0"/>
        <w:rPr>
          <w:lang w:val="fr-FR"/>
        </w:rPr>
      </w:pPr>
    </w:p>
    <w:p w14:paraId="2A32B90F" w14:textId="77777777" w:rsidR="004401F0" w:rsidRPr="00DA7718" w:rsidRDefault="004401F0" w:rsidP="00BD4C7C">
      <w:pPr>
        <w:pStyle w:val="a3"/>
        <w:adjustRightInd w:val="0"/>
        <w:snapToGrid w:val="0"/>
        <w:rPr>
          <w:sz w:val="20"/>
          <w:lang w:val="fr-FR"/>
        </w:rPr>
      </w:pPr>
    </w:p>
    <w:p w14:paraId="76F23A81" w14:textId="77777777" w:rsidR="004401F0" w:rsidRPr="00DA7718" w:rsidRDefault="00BD4C7C" w:rsidP="00BD4C7C">
      <w:pPr>
        <w:pStyle w:val="1"/>
        <w:adjustRightInd w:val="0"/>
        <w:snapToGrid w:val="0"/>
        <w:spacing w:before="0"/>
        <w:ind w:left="0"/>
        <w:rPr>
          <w:lang w:val="fr-FR"/>
        </w:rPr>
      </w:pPr>
      <w:r w:rsidRPr="00DA7718">
        <w:rPr>
          <w:lang w:val="fr-FR"/>
        </w:rPr>
        <w:t>5.</w:t>
      </w:r>
      <w:r w:rsidRPr="00DA7718">
        <w:rPr>
          <w:lang w:val="fr-FR"/>
        </w:rPr>
        <w:tab/>
      </w:r>
      <w:r w:rsidR="00DF3C4F" w:rsidRPr="00DA7718">
        <w:rPr>
          <w:lang w:val="fr-FR"/>
        </w:rPr>
        <w:t>PROPRIETES PHARMACOLOGIQUES</w:t>
      </w:r>
    </w:p>
    <w:p w14:paraId="45BB60B2" w14:textId="77777777" w:rsidR="004401F0" w:rsidRPr="007C119A" w:rsidRDefault="004401F0" w:rsidP="00BD4C7C">
      <w:pPr>
        <w:pStyle w:val="a3"/>
        <w:adjustRightInd w:val="0"/>
        <w:snapToGrid w:val="0"/>
        <w:rPr>
          <w:b/>
          <w:lang w:val="fr-FR"/>
        </w:rPr>
      </w:pPr>
    </w:p>
    <w:p w14:paraId="407973FE" w14:textId="77777777" w:rsidR="004401F0" w:rsidRPr="00DA7718" w:rsidRDefault="00BD4C7C" w:rsidP="00BD4C7C">
      <w:pPr>
        <w:pStyle w:val="2"/>
        <w:adjustRightInd w:val="0"/>
        <w:snapToGrid w:val="0"/>
        <w:ind w:left="0"/>
        <w:rPr>
          <w:lang w:val="fr-FR"/>
        </w:rPr>
      </w:pPr>
      <w:r w:rsidRPr="00DA7718">
        <w:rPr>
          <w:lang w:val="fr-FR"/>
        </w:rPr>
        <w:t>5.1</w:t>
      </w:r>
      <w:r w:rsidRPr="00DA7718">
        <w:rPr>
          <w:lang w:val="fr-FR"/>
        </w:rPr>
        <w:tab/>
      </w:r>
      <w:r w:rsidR="00DF3C4F" w:rsidRPr="00DA7718">
        <w:rPr>
          <w:lang w:val="fr-FR"/>
        </w:rPr>
        <w:t>Propriétés pharmacodynamiques</w:t>
      </w:r>
    </w:p>
    <w:p w14:paraId="0E639D43" w14:textId="77777777" w:rsidR="004401F0" w:rsidRPr="00DA7718" w:rsidRDefault="004401F0" w:rsidP="00BD4C7C">
      <w:pPr>
        <w:pStyle w:val="a3"/>
        <w:adjustRightInd w:val="0"/>
        <w:snapToGrid w:val="0"/>
        <w:rPr>
          <w:b/>
          <w:lang w:val="fr-FR"/>
        </w:rPr>
      </w:pPr>
    </w:p>
    <w:p w14:paraId="1E94B97B" w14:textId="70BA1B8C" w:rsidR="004401F0" w:rsidRDefault="00DF3C4F" w:rsidP="00BD4C7C">
      <w:pPr>
        <w:pStyle w:val="a3"/>
        <w:adjustRightInd w:val="0"/>
        <w:snapToGrid w:val="0"/>
        <w:rPr>
          <w:lang w:val="fr-FR"/>
        </w:rPr>
      </w:pPr>
      <w:r w:rsidRPr="00DA7718">
        <w:rPr>
          <w:lang w:val="fr-FR"/>
        </w:rPr>
        <w:t>Classe pharmacothérapeutique</w:t>
      </w:r>
      <w:r w:rsidR="00765A43">
        <w:rPr>
          <w:lang w:val="fr-FR"/>
        </w:rPr>
        <w:t xml:space="preserve"> : </w:t>
      </w:r>
      <w:r w:rsidRPr="00DA7718">
        <w:rPr>
          <w:lang w:val="fr-FR"/>
        </w:rPr>
        <w:t>antinéoplasiques et immunomodulateurs; agents antinéoplasiques, anticorps monoclonaux</w:t>
      </w:r>
      <w:r w:rsidR="004517A0">
        <w:rPr>
          <w:rFonts w:eastAsia="맑은 고딕" w:hint="eastAsia"/>
          <w:lang w:val="fr-FR" w:eastAsia="ko-KR"/>
        </w:rPr>
        <w:t xml:space="preserve"> </w:t>
      </w:r>
      <w:r w:rsidR="004517A0" w:rsidRPr="00850855">
        <w:rPr>
          <w:lang w:val="fr-CA"/>
        </w:rPr>
        <w:t>et anticorps conjugués</w:t>
      </w:r>
      <w:r w:rsidRPr="00DA7718">
        <w:rPr>
          <w:lang w:val="fr-FR"/>
        </w:rPr>
        <w:t>, code ATC</w:t>
      </w:r>
      <w:r w:rsidR="00765A43">
        <w:rPr>
          <w:lang w:val="fr-FR"/>
        </w:rPr>
        <w:t xml:space="preserve"> : </w:t>
      </w:r>
      <w:r w:rsidR="00810450">
        <w:rPr>
          <w:lang w:val="fr-FR"/>
        </w:rPr>
        <w:t>L01FG01</w:t>
      </w:r>
    </w:p>
    <w:p w14:paraId="4A9C689E" w14:textId="77777777" w:rsidR="0060278E" w:rsidRDefault="0060278E" w:rsidP="00BD4C7C">
      <w:pPr>
        <w:pStyle w:val="a3"/>
        <w:adjustRightInd w:val="0"/>
        <w:snapToGrid w:val="0"/>
        <w:rPr>
          <w:lang w:val="fr-FR"/>
        </w:rPr>
      </w:pPr>
    </w:p>
    <w:p w14:paraId="6D66536E" w14:textId="0F41935B" w:rsidR="0060278E" w:rsidRPr="00DA7718" w:rsidRDefault="00F05208" w:rsidP="00BD4C7C">
      <w:pPr>
        <w:pStyle w:val="a3"/>
        <w:adjustRightInd w:val="0"/>
        <w:snapToGrid w:val="0"/>
        <w:rPr>
          <w:lang w:val="fr-FR"/>
        </w:rPr>
      </w:pPr>
      <w:r>
        <w:rPr>
          <w:lang w:val="fr-FR"/>
        </w:rPr>
        <w:t>Vegzelma</w:t>
      </w:r>
      <w:r w:rsidR="0060278E">
        <w:rPr>
          <w:lang w:val="fr-FR"/>
        </w:rPr>
        <w:t xml:space="preserve"> est un médicament biosimilaire. Des informations détaillées sont disponibles sur le site internet de l’Agence européenne des médicaments </w:t>
      </w:r>
      <w:bookmarkStart w:id="3" w:name="_Hlk183096313"/>
      <w:bookmarkStart w:id="4" w:name="_Hlk183097858"/>
      <w:r w:rsidR="003E0A60" w:rsidRPr="009E2922">
        <w:rPr>
          <w:snapToGrid w:val="0"/>
          <w:color w:val="0000FF"/>
          <w:lang w:val="de-DE"/>
        </w:rPr>
        <w:fldChar w:fldCharType="begin"/>
      </w:r>
      <w:r w:rsidR="003E0A60" w:rsidRPr="009E2922">
        <w:rPr>
          <w:snapToGrid w:val="0"/>
          <w:color w:val="0000FF"/>
          <w:lang w:val="de-DE"/>
        </w:rPr>
        <w:instrText>HYPERLINK "https://www.ema.europa.eu "</w:instrText>
      </w:r>
      <w:r w:rsidR="003E0A60" w:rsidRPr="009E2922">
        <w:rPr>
          <w:snapToGrid w:val="0"/>
          <w:color w:val="0000FF"/>
          <w:lang w:val="de-DE"/>
        </w:rPr>
      </w:r>
      <w:r w:rsidR="003E0A60" w:rsidRPr="009E2922">
        <w:rPr>
          <w:snapToGrid w:val="0"/>
          <w:color w:val="0000FF"/>
          <w:lang w:val="de-DE"/>
        </w:rPr>
        <w:fldChar w:fldCharType="separate"/>
      </w:r>
      <w:r w:rsidR="003E0A60" w:rsidRPr="009E2922">
        <w:rPr>
          <w:rStyle w:val="ac"/>
          <w:snapToGrid w:val="0"/>
          <w:lang w:val="de-DE"/>
        </w:rPr>
        <w:t>https://www.ema.europa.eu</w:t>
      </w:r>
      <w:r w:rsidR="003E0A60" w:rsidRPr="009E2922">
        <w:rPr>
          <w:snapToGrid w:val="0"/>
          <w:color w:val="0000FF"/>
          <w:lang w:val="de-DE"/>
        </w:rPr>
        <w:fldChar w:fldCharType="end"/>
      </w:r>
      <w:bookmarkEnd w:id="3"/>
      <w:bookmarkEnd w:id="4"/>
      <w:r w:rsidR="0060278E">
        <w:rPr>
          <w:lang w:val="fr-FR"/>
        </w:rPr>
        <w:t>.</w:t>
      </w:r>
    </w:p>
    <w:p w14:paraId="099BA198" w14:textId="77777777" w:rsidR="004401F0" w:rsidRPr="00DA7718" w:rsidRDefault="004401F0" w:rsidP="00BD4C7C">
      <w:pPr>
        <w:pStyle w:val="a3"/>
        <w:adjustRightInd w:val="0"/>
        <w:snapToGrid w:val="0"/>
        <w:rPr>
          <w:lang w:val="fr-FR"/>
        </w:rPr>
      </w:pPr>
    </w:p>
    <w:p w14:paraId="3292F6CC" w14:textId="77777777" w:rsidR="004401F0" w:rsidRPr="00DA7718" w:rsidRDefault="00DF3C4F" w:rsidP="00BD4C7C">
      <w:pPr>
        <w:pStyle w:val="a3"/>
        <w:adjustRightInd w:val="0"/>
        <w:snapToGrid w:val="0"/>
        <w:rPr>
          <w:lang w:val="fr-FR"/>
        </w:rPr>
      </w:pPr>
      <w:r w:rsidRPr="00DA7718">
        <w:rPr>
          <w:u w:val="single"/>
          <w:lang w:val="fr-FR"/>
        </w:rPr>
        <w:t>Mécanisme d’action</w:t>
      </w:r>
    </w:p>
    <w:p w14:paraId="4B12BAE3" w14:textId="5EBFD62D" w:rsidR="004401F0" w:rsidRPr="00DA7718" w:rsidRDefault="00DF3C4F" w:rsidP="00BD4C7C">
      <w:pPr>
        <w:pStyle w:val="a3"/>
        <w:adjustRightInd w:val="0"/>
        <w:snapToGrid w:val="0"/>
        <w:rPr>
          <w:lang w:val="fr-FR"/>
        </w:rPr>
      </w:pPr>
      <w:r w:rsidRPr="00DA7718">
        <w:rPr>
          <w:lang w:val="fr-FR"/>
        </w:rPr>
        <w:t>Le bevacizumab se lie au VEGF, facteur clé de la vasculogenèse et de l’angiogenèse, et inhibe de ce fait la liaison du VEGF à ses récepteurs, Flt-1 (VEGFR-1) et KDR (VEGFR-2), à la surface des cellules endothéliales. La neutralisation de l’activité biologique du VEGF fait régresser les vaisseaux tumoraux, normalise les vaisseaux tumoraux restants, et inhibe la formation de nouveaux vaisseaux tumoraux, inhibant ainsi la croissance tumorale.</w:t>
      </w:r>
    </w:p>
    <w:p w14:paraId="28987AF2" w14:textId="77777777" w:rsidR="004401F0" w:rsidRPr="00DA7718" w:rsidRDefault="004401F0" w:rsidP="00BD4C7C">
      <w:pPr>
        <w:pStyle w:val="a3"/>
        <w:adjustRightInd w:val="0"/>
        <w:snapToGrid w:val="0"/>
        <w:rPr>
          <w:lang w:val="fr-FR"/>
        </w:rPr>
      </w:pPr>
    </w:p>
    <w:p w14:paraId="7CB15FA4" w14:textId="77777777" w:rsidR="004401F0" w:rsidRPr="00DA7718" w:rsidRDefault="00DF3C4F" w:rsidP="00BD4C7C">
      <w:pPr>
        <w:pStyle w:val="a3"/>
        <w:adjustRightInd w:val="0"/>
        <w:snapToGrid w:val="0"/>
        <w:rPr>
          <w:lang w:val="fr-FR"/>
        </w:rPr>
      </w:pPr>
      <w:r w:rsidRPr="00DA7718">
        <w:rPr>
          <w:u w:val="single"/>
          <w:lang w:val="fr-FR"/>
        </w:rPr>
        <w:t>Effets pharmacodynamiques</w:t>
      </w:r>
    </w:p>
    <w:p w14:paraId="3BAF0C97" w14:textId="77777777" w:rsidR="004401F0" w:rsidRPr="00DA7718" w:rsidRDefault="00DF3C4F" w:rsidP="00BD4C7C">
      <w:pPr>
        <w:pStyle w:val="a3"/>
        <w:adjustRightInd w:val="0"/>
        <w:snapToGrid w:val="0"/>
        <w:rPr>
          <w:lang w:val="fr-FR"/>
        </w:rPr>
      </w:pPr>
      <w:r w:rsidRPr="00DA7718">
        <w:rPr>
          <w:lang w:val="fr-FR"/>
        </w:rPr>
        <w:t>L’administration de bevacizumab ou de son anticorps murin parent dans des modèles de cancers réalisés chez des souris nudes porteuses de xénogreffes a résulté en une importante activité antitumorale sur des cancers humains, dont les cancers du côlon, du sein, du pancréas et de la prostate. La progression de la maladie métastatique a été inhibée et la perméabilité microvasculaire réduite.</w:t>
      </w:r>
    </w:p>
    <w:p w14:paraId="4582D9FE" w14:textId="77777777" w:rsidR="004401F0" w:rsidRPr="00DA7718" w:rsidRDefault="004401F0" w:rsidP="00BD4C7C">
      <w:pPr>
        <w:pStyle w:val="a3"/>
        <w:adjustRightInd w:val="0"/>
        <w:snapToGrid w:val="0"/>
        <w:rPr>
          <w:lang w:val="fr-FR"/>
        </w:rPr>
      </w:pPr>
    </w:p>
    <w:p w14:paraId="47F1B6A5" w14:textId="77777777" w:rsidR="004401F0" w:rsidRPr="00654D21" w:rsidRDefault="00DF3C4F" w:rsidP="00BD4C7C">
      <w:pPr>
        <w:pStyle w:val="a3"/>
        <w:adjustRightInd w:val="0"/>
        <w:snapToGrid w:val="0"/>
        <w:rPr>
          <w:u w:val="single"/>
          <w:lang w:val="fr-FR"/>
        </w:rPr>
      </w:pPr>
      <w:r w:rsidRPr="00654D21">
        <w:rPr>
          <w:u w:val="single"/>
          <w:lang w:val="fr-FR"/>
        </w:rPr>
        <w:t>Efficacité clinique</w:t>
      </w:r>
    </w:p>
    <w:p w14:paraId="1EF8BBD3" w14:textId="77777777" w:rsidR="004401F0" w:rsidRPr="007C119A" w:rsidRDefault="004401F0" w:rsidP="00BD4C7C">
      <w:pPr>
        <w:pStyle w:val="a3"/>
        <w:adjustRightInd w:val="0"/>
        <w:snapToGrid w:val="0"/>
        <w:rPr>
          <w:lang w:val="fr-FR"/>
        </w:rPr>
      </w:pPr>
    </w:p>
    <w:p w14:paraId="474A4600" w14:textId="77777777" w:rsidR="004401F0" w:rsidRPr="00DA7718" w:rsidRDefault="00DF3C4F" w:rsidP="00BD4C7C">
      <w:pPr>
        <w:adjustRightInd w:val="0"/>
        <w:snapToGrid w:val="0"/>
        <w:rPr>
          <w:i/>
          <w:lang w:val="fr-FR"/>
        </w:rPr>
      </w:pPr>
      <w:r w:rsidRPr="00DA7718">
        <w:rPr>
          <w:i/>
          <w:u w:val="single"/>
          <w:lang w:val="fr-FR"/>
        </w:rPr>
        <w:t>Cancer colorectal métastatique (CCRm)</w:t>
      </w:r>
    </w:p>
    <w:p w14:paraId="076C3842" w14:textId="77777777" w:rsidR="004401F0" w:rsidRPr="003F4D24" w:rsidRDefault="004401F0" w:rsidP="00BD4C7C">
      <w:pPr>
        <w:pStyle w:val="a3"/>
        <w:adjustRightInd w:val="0"/>
        <w:snapToGrid w:val="0"/>
        <w:rPr>
          <w:i/>
          <w:lang w:val="fr-FR"/>
        </w:rPr>
      </w:pPr>
    </w:p>
    <w:p w14:paraId="5DB6EFAD" w14:textId="021852DD" w:rsidR="004401F0" w:rsidRPr="00DA7718" w:rsidRDefault="00DF3C4F" w:rsidP="00BD4C7C">
      <w:pPr>
        <w:pStyle w:val="a3"/>
        <w:adjustRightInd w:val="0"/>
        <w:snapToGrid w:val="0"/>
        <w:rPr>
          <w:lang w:val="fr-FR"/>
        </w:rPr>
      </w:pPr>
      <w:r w:rsidRPr="00DA7718">
        <w:rPr>
          <w:lang w:val="fr-FR"/>
        </w:rPr>
        <w:t>La tolérance et l’efficacité à la posologie recommandée (5</w:t>
      </w:r>
      <w:r w:rsidR="00DA7718" w:rsidRPr="00DA7718">
        <w:rPr>
          <w:lang w:val="fr-FR"/>
        </w:rPr>
        <w:t> mg</w:t>
      </w:r>
      <w:r w:rsidRPr="00DA7718">
        <w:rPr>
          <w:lang w:val="fr-FR"/>
        </w:rPr>
        <w:t xml:space="preserve">/kg de poids corporel toutes les deux semaines) dans le cancer colorectal métastatique ont été évaluées dans trois études cliniques randomisées, contrôlées, associant </w:t>
      </w:r>
      <w:r w:rsidR="00675F7E">
        <w:rPr>
          <w:lang w:val="fr-FR"/>
        </w:rPr>
        <w:t>le bevacizumab</w:t>
      </w:r>
      <w:r w:rsidRPr="00DA7718">
        <w:rPr>
          <w:lang w:val="fr-FR"/>
        </w:rPr>
        <w:t xml:space="preserve"> à une chimiothérapie de première ligne à base de fluoropyrimidine. </w:t>
      </w:r>
      <w:r w:rsidR="003714D4">
        <w:rPr>
          <w:lang w:val="fr-FR"/>
        </w:rPr>
        <w:t>Le bevacizumab</w:t>
      </w:r>
      <w:r w:rsidR="003714D4" w:rsidRPr="00DA7718">
        <w:rPr>
          <w:lang w:val="fr-FR"/>
        </w:rPr>
        <w:t xml:space="preserve"> </w:t>
      </w:r>
      <w:r w:rsidRPr="00DA7718">
        <w:rPr>
          <w:lang w:val="fr-FR"/>
        </w:rPr>
        <w:t>était associé à deux protocoles de chimiothérapie :</w:t>
      </w:r>
    </w:p>
    <w:p w14:paraId="4E15A66D" w14:textId="77777777" w:rsidR="004401F0" w:rsidRPr="00DA7718" w:rsidRDefault="004401F0" w:rsidP="00BD4C7C">
      <w:pPr>
        <w:pStyle w:val="a3"/>
        <w:adjustRightInd w:val="0"/>
        <w:snapToGrid w:val="0"/>
        <w:rPr>
          <w:sz w:val="32"/>
          <w:lang w:val="fr-FR"/>
        </w:rPr>
      </w:pPr>
    </w:p>
    <w:p w14:paraId="2F9E70A0" w14:textId="577EEFA9" w:rsidR="004401F0" w:rsidRPr="00DA7718" w:rsidRDefault="00BD4C7C" w:rsidP="008F2CC6">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AVF2107g</w:t>
      </w:r>
      <w:r w:rsidR="00765A43">
        <w:rPr>
          <w:lang w:val="fr-FR"/>
        </w:rPr>
        <w:t xml:space="preserve"> : </w:t>
      </w:r>
      <w:r w:rsidR="00DF3C4F" w:rsidRPr="00DA7718">
        <w:rPr>
          <w:lang w:val="fr-FR"/>
        </w:rPr>
        <w:t>Administration hebdomadaire d’irinotécan/5-fluorouracile en bolus/acide folinique (IFL) pendant 4 semaines consécutives par cycle, chaque cycle ayant une durée de 6 semaines (protocole Saltz).</w:t>
      </w:r>
    </w:p>
    <w:p w14:paraId="6C537979" w14:textId="4231BE43" w:rsidR="004401F0" w:rsidRPr="00DA7718" w:rsidRDefault="00BD4C7C" w:rsidP="008F2CC6">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AVF0780g</w:t>
      </w:r>
      <w:r w:rsidR="00765A43">
        <w:rPr>
          <w:lang w:val="fr-FR"/>
        </w:rPr>
        <w:t xml:space="preserve"> : </w:t>
      </w:r>
      <w:r w:rsidR="00DF3C4F" w:rsidRPr="00DA7718">
        <w:rPr>
          <w:lang w:val="fr-FR"/>
        </w:rPr>
        <w:t>Administration hebdomadaire de 5-fluorouracile en bolus/acide folinique</w:t>
      </w:r>
      <w:r w:rsidR="008F2CC6">
        <w:rPr>
          <w:lang w:val="fr-FR"/>
        </w:rPr>
        <w:t xml:space="preserve"> </w:t>
      </w:r>
      <w:r w:rsidR="00DF3C4F" w:rsidRPr="00DA7718">
        <w:rPr>
          <w:lang w:val="fr-FR"/>
        </w:rPr>
        <w:t>(5</w:t>
      </w:r>
      <w:r w:rsidR="009863C3">
        <w:rPr>
          <w:lang w:val="fr-FR"/>
        </w:rPr>
        <w:noBreakHyphen/>
      </w:r>
      <w:r w:rsidR="00DF3C4F" w:rsidRPr="00DA7718">
        <w:rPr>
          <w:lang w:val="fr-FR"/>
        </w:rPr>
        <w:t xml:space="preserve">FU/AF) pendant 6 semaines consécutives par cycle, chaque cycle ayant une durée de </w:t>
      </w:r>
      <w:r w:rsidR="009863C3" w:rsidRPr="00DA7718">
        <w:rPr>
          <w:lang w:val="fr-FR"/>
        </w:rPr>
        <w:t>8</w:t>
      </w:r>
      <w:r w:rsidR="009863C3">
        <w:rPr>
          <w:lang w:val="fr-FR"/>
        </w:rPr>
        <w:t> </w:t>
      </w:r>
      <w:r w:rsidR="00DF3C4F" w:rsidRPr="00DA7718">
        <w:rPr>
          <w:lang w:val="fr-FR"/>
        </w:rPr>
        <w:t>semaines (protocole Roswell Park).</w:t>
      </w:r>
    </w:p>
    <w:p w14:paraId="5967FE82" w14:textId="095CF772" w:rsidR="004401F0" w:rsidRPr="00DA7718" w:rsidRDefault="00BD4C7C" w:rsidP="008F2CC6">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AVF2192g</w:t>
      </w:r>
      <w:r w:rsidR="00765A43">
        <w:rPr>
          <w:lang w:val="fr-FR"/>
        </w:rPr>
        <w:t xml:space="preserve"> : </w:t>
      </w:r>
      <w:r w:rsidR="00DF3C4F" w:rsidRPr="00DA7718">
        <w:rPr>
          <w:lang w:val="fr-FR"/>
        </w:rPr>
        <w:t>Administration hebdomadaire de 5-FU/AF pendant 6 semaines consécutives par cycle, chaque cycle ayant une durée de 8 semaines (protocole Roswell Park) chez des patients pour lesquels un traitement de première ligne par irinotécan n’était pas indiqué de façon optimale.</w:t>
      </w:r>
    </w:p>
    <w:p w14:paraId="059B9C45" w14:textId="77777777" w:rsidR="004401F0" w:rsidRPr="007C119A" w:rsidRDefault="004401F0" w:rsidP="00BD4C7C">
      <w:pPr>
        <w:pStyle w:val="a3"/>
        <w:adjustRightInd w:val="0"/>
        <w:snapToGrid w:val="0"/>
        <w:rPr>
          <w:lang w:val="fr-FR"/>
        </w:rPr>
      </w:pPr>
    </w:p>
    <w:p w14:paraId="0992787A" w14:textId="25AD97A4" w:rsidR="00BD4C7C" w:rsidRPr="00DA7718" w:rsidRDefault="00DF3C4F" w:rsidP="00654D21">
      <w:pPr>
        <w:pStyle w:val="a3"/>
        <w:keepLines/>
        <w:adjustRightInd w:val="0"/>
        <w:snapToGrid w:val="0"/>
        <w:rPr>
          <w:lang w:val="fr-FR"/>
        </w:rPr>
      </w:pPr>
      <w:r w:rsidRPr="00DA7718">
        <w:rPr>
          <w:lang w:val="fr-FR"/>
        </w:rPr>
        <w:lastRenderedPageBreak/>
        <w:t>Trois études supplémentaires ont été conduites avec du bevacizumab chez des patients atteints d’un cancer colorectal métastatique</w:t>
      </w:r>
      <w:r w:rsidR="00765A43">
        <w:rPr>
          <w:lang w:val="fr-FR"/>
        </w:rPr>
        <w:t xml:space="preserve"> : </w:t>
      </w:r>
      <w:r w:rsidRPr="00DA7718">
        <w:rPr>
          <w:lang w:val="fr-FR"/>
        </w:rPr>
        <w:t>en traitement de première ligne (NO16966), de seconde ligne chez des patients n’ayant pas été traité au préalable avec du bevacizumab (E3200) et de seconde ligne chez des patients ayant été traités au préalable avec du bevacizumab en première ligne et chez lesquels la maladie a progressé (ML18147). Dans ces études, le bevacizumab a été administré en association au</w:t>
      </w:r>
      <w:r w:rsidR="009863C3">
        <w:rPr>
          <w:lang w:val="fr-FR"/>
        </w:rPr>
        <w:t xml:space="preserve"> </w:t>
      </w:r>
    </w:p>
    <w:p w14:paraId="53248E2D" w14:textId="77777777" w:rsidR="004401F0" w:rsidRPr="00DA7718" w:rsidRDefault="00DF3C4F" w:rsidP="00BD4C7C">
      <w:pPr>
        <w:pStyle w:val="a3"/>
        <w:adjustRightInd w:val="0"/>
        <w:snapToGrid w:val="0"/>
        <w:rPr>
          <w:lang w:val="fr-FR"/>
        </w:rPr>
      </w:pPr>
      <w:r w:rsidRPr="00DA7718">
        <w:rPr>
          <w:lang w:val="fr-FR"/>
        </w:rPr>
        <w:t>FOLFOX-4 (5FU/LV/oxaliplatine), au XELOX (capécitabine/oxaliplatine) et à une association de chimiothérapie à base de fluoropyrimidine/irinotécan ou de fluoropyrimidine/oxaliplatine aux posologies suivantes :</w:t>
      </w:r>
    </w:p>
    <w:p w14:paraId="3C6F347B" w14:textId="77777777" w:rsidR="004401F0" w:rsidRPr="007C119A" w:rsidRDefault="004401F0" w:rsidP="00BD4C7C">
      <w:pPr>
        <w:pStyle w:val="a3"/>
        <w:adjustRightInd w:val="0"/>
        <w:snapToGrid w:val="0"/>
        <w:rPr>
          <w:lang w:val="fr-FR"/>
        </w:rPr>
      </w:pPr>
    </w:p>
    <w:p w14:paraId="113D2E40" w14:textId="693573D5" w:rsidR="004401F0" w:rsidRPr="00DA7718" w:rsidRDefault="00BD4C7C" w:rsidP="00251D78">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NO16966</w:t>
      </w:r>
      <w:r w:rsidR="00765A43">
        <w:rPr>
          <w:lang w:val="fr-FR"/>
        </w:rPr>
        <w:t xml:space="preserve"> : </w:t>
      </w:r>
      <w:r w:rsidR="00112317">
        <w:rPr>
          <w:lang w:val="fr-FR"/>
        </w:rPr>
        <w:t>Bevacizumab</w:t>
      </w:r>
      <w:r w:rsidR="00112317" w:rsidRPr="00DA7718">
        <w:rPr>
          <w:lang w:val="fr-FR"/>
        </w:rPr>
        <w:t xml:space="preserve"> </w:t>
      </w:r>
      <w:r w:rsidR="00DF3C4F" w:rsidRPr="00DA7718">
        <w:rPr>
          <w:lang w:val="fr-FR"/>
        </w:rPr>
        <w:t>à la dose de 7,5</w:t>
      </w:r>
      <w:r w:rsidR="00DA7718" w:rsidRPr="00DA7718">
        <w:rPr>
          <w:lang w:val="fr-FR"/>
        </w:rPr>
        <w:t> mg</w:t>
      </w:r>
      <w:r w:rsidR="00DF3C4F" w:rsidRPr="00DA7718">
        <w:rPr>
          <w:lang w:val="fr-FR"/>
        </w:rPr>
        <w:t xml:space="preserve">/kg de poids corporel toutes les trois semaines </w:t>
      </w:r>
      <w:r w:rsidR="009863C3" w:rsidRPr="00DA7718">
        <w:rPr>
          <w:lang w:val="fr-FR"/>
        </w:rPr>
        <w:t>en</w:t>
      </w:r>
      <w:r w:rsidR="009863C3">
        <w:rPr>
          <w:lang w:val="fr-FR"/>
        </w:rPr>
        <w:t> </w:t>
      </w:r>
      <w:r w:rsidR="00DF3C4F" w:rsidRPr="00DA7718">
        <w:rPr>
          <w:lang w:val="fr-FR"/>
        </w:rPr>
        <w:t xml:space="preserve">association à la capécitabine par voie orale et à l’oxaliplatine (XELOX) par voie intraveineuse ou </w:t>
      </w:r>
      <w:r w:rsidR="0033604E">
        <w:rPr>
          <w:lang w:val="fr-FR"/>
        </w:rPr>
        <w:t>bevacizumab</w:t>
      </w:r>
      <w:r w:rsidR="0033604E" w:rsidRPr="00DA7718">
        <w:rPr>
          <w:lang w:val="fr-FR"/>
        </w:rPr>
        <w:t xml:space="preserve"> </w:t>
      </w:r>
      <w:r w:rsidR="00DF3C4F" w:rsidRPr="00DA7718">
        <w:rPr>
          <w:lang w:val="fr-FR"/>
        </w:rPr>
        <w:t>à la dose de 5</w:t>
      </w:r>
      <w:r w:rsidR="00DA7718" w:rsidRPr="00DA7718">
        <w:rPr>
          <w:lang w:val="fr-FR"/>
        </w:rPr>
        <w:t> mg</w:t>
      </w:r>
      <w:r w:rsidR="00DF3C4F" w:rsidRPr="00DA7718">
        <w:rPr>
          <w:lang w:val="fr-FR"/>
        </w:rPr>
        <w:t>/kg toutes les deux semaines en association à la leucovorine + 5- flurouracile en bolus, suivi de 5-fluorouracile en perfusion, associé à l’oxaliplatine par voie intraveineuse (FOLFOX-4).</w:t>
      </w:r>
    </w:p>
    <w:p w14:paraId="7323FF60" w14:textId="77777777" w:rsidR="004401F0" w:rsidRPr="00DA7718" w:rsidRDefault="004401F0" w:rsidP="00251D78">
      <w:pPr>
        <w:pStyle w:val="a3"/>
        <w:adjustRightInd w:val="0"/>
        <w:snapToGrid w:val="0"/>
        <w:ind w:left="567" w:hanging="567"/>
        <w:rPr>
          <w:lang w:val="fr-FR"/>
        </w:rPr>
      </w:pPr>
    </w:p>
    <w:p w14:paraId="4708F392" w14:textId="25AA2492" w:rsidR="004401F0" w:rsidRPr="00DA7718" w:rsidRDefault="00BD4C7C" w:rsidP="00251D78">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E3200</w:t>
      </w:r>
      <w:r w:rsidR="00765A43">
        <w:rPr>
          <w:lang w:val="fr-FR"/>
        </w:rPr>
        <w:t xml:space="preserve"> : </w:t>
      </w:r>
      <w:r w:rsidR="00112317">
        <w:rPr>
          <w:lang w:val="fr-FR"/>
        </w:rPr>
        <w:t>Bevacizumab</w:t>
      </w:r>
      <w:r w:rsidR="00112317" w:rsidRPr="00DA7718">
        <w:rPr>
          <w:lang w:val="fr-FR"/>
        </w:rPr>
        <w:t xml:space="preserve"> </w:t>
      </w:r>
      <w:r w:rsidR="00DF3C4F" w:rsidRPr="00DA7718">
        <w:rPr>
          <w:lang w:val="fr-FR"/>
        </w:rPr>
        <w:t>à la dose de 10</w:t>
      </w:r>
      <w:r w:rsidR="00DA7718" w:rsidRPr="00DA7718">
        <w:rPr>
          <w:lang w:val="fr-FR"/>
        </w:rPr>
        <w:t> mg</w:t>
      </w:r>
      <w:r w:rsidR="00DF3C4F" w:rsidRPr="00DA7718">
        <w:rPr>
          <w:lang w:val="fr-FR"/>
        </w:rPr>
        <w:t>/kg de poids corporel toutes les deux semaines en association à la leucovorine et au 5-fluorouracile en bolus, suivi du 5-flurorouracile en perfusion, associé à l’oxaliplatine par voie intraveineuse (FOLFOX-4) chez des patients naïfs de traitement par bevacizumab.</w:t>
      </w:r>
    </w:p>
    <w:p w14:paraId="3D74FEE2" w14:textId="77777777" w:rsidR="004401F0" w:rsidRPr="00DA7718" w:rsidRDefault="004401F0" w:rsidP="00251D78">
      <w:pPr>
        <w:pStyle w:val="a3"/>
        <w:adjustRightInd w:val="0"/>
        <w:snapToGrid w:val="0"/>
        <w:ind w:left="567" w:hanging="567"/>
        <w:rPr>
          <w:lang w:val="fr-FR"/>
        </w:rPr>
      </w:pPr>
    </w:p>
    <w:p w14:paraId="4C62EB95" w14:textId="0CFB185D" w:rsidR="004401F0" w:rsidRPr="00DA7718" w:rsidRDefault="00BD4C7C" w:rsidP="00251D78">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ML18147</w:t>
      </w:r>
      <w:r w:rsidR="00765A43">
        <w:rPr>
          <w:lang w:val="fr-FR"/>
        </w:rPr>
        <w:t xml:space="preserve"> : </w:t>
      </w:r>
      <w:r w:rsidR="00112317">
        <w:rPr>
          <w:lang w:val="fr-FR"/>
        </w:rPr>
        <w:t>Bevacizumab</w:t>
      </w:r>
      <w:r w:rsidR="00112317" w:rsidRPr="00DA7718">
        <w:rPr>
          <w:lang w:val="fr-FR"/>
        </w:rPr>
        <w:t xml:space="preserve"> </w:t>
      </w:r>
      <w:r w:rsidR="00DF3C4F" w:rsidRPr="00DA7718">
        <w:rPr>
          <w:lang w:val="fr-FR"/>
        </w:rPr>
        <w:t>à la dose de 5</w:t>
      </w:r>
      <w:r w:rsidR="00DA7718" w:rsidRPr="00DA7718">
        <w:rPr>
          <w:lang w:val="fr-FR"/>
        </w:rPr>
        <w:t> mg</w:t>
      </w:r>
      <w:r w:rsidR="00DF3C4F" w:rsidRPr="00DA7718">
        <w:rPr>
          <w:lang w:val="fr-FR"/>
        </w:rPr>
        <w:t xml:space="preserve">/kg de poids corporel toutes les deux semaines ou </w:t>
      </w:r>
      <w:r w:rsidR="0033604E">
        <w:rPr>
          <w:lang w:val="fr-FR"/>
        </w:rPr>
        <w:t xml:space="preserve">bevacizumab </w:t>
      </w:r>
      <w:r w:rsidR="00DF3C4F" w:rsidRPr="00DA7718">
        <w:rPr>
          <w:lang w:val="fr-FR"/>
        </w:rPr>
        <w:t>à la dose de 7,5</w:t>
      </w:r>
      <w:r w:rsidR="00DA7718" w:rsidRPr="00DA7718">
        <w:rPr>
          <w:lang w:val="fr-FR"/>
        </w:rPr>
        <w:t> mg</w:t>
      </w:r>
      <w:r w:rsidR="00DF3C4F" w:rsidRPr="00DA7718">
        <w:rPr>
          <w:lang w:val="fr-FR"/>
        </w:rPr>
        <w:t>/kg de poids corporel toutes les 3 semaines en association à une chimiothérapie à base de fluoropyrimidine/irinotécan ou de fluoropyrimidine/oxaliplatine chez des patients dont la maladie a progressé après une première ligne de traitement avec du bevacizumab. L’utilisation d’une chimiothérapie à base d’irinotécan ou d’oxaliplatine dépendait du traitement reçu en 1</w:t>
      </w:r>
      <w:r w:rsidR="00DF3C4F" w:rsidRPr="00DA7718">
        <w:rPr>
          <w:vertAlign w:val="superscript"/>
          <w:lang w:val="fr-FR"/>
        </w:rPr>
        <w:t>ère</w:t>
      </w:r>
      <w:r w:rsidR="00DF3C4F" w:rsidRPr="00DA7718">
        <w:rPr>
          <w:lang w:val="fr-FR"/>
        </w:rPr>
        <w:t xml:space="preserve"> ligne, respectivement soit une chimiothérapie à base d’oxaliplatine soit à base d’irinotécan.</w:t>
      </w:r>
    </w:p>
    <w:p w14:paraId="09F497E9" w14:textId="77777777" w:rsidR="004401F0" w:rsidRPr="007C119A" w:rsidRDefault="004401F0" w:rsidP="00BD4C7C">
      <w:pPr>
        <w:pStyle w:val="a3"/>
        <w:adjustRightInd w:val="0"/>
        <w:snapToGrid w:val="0"/>
        <w:rPr>
          <w:lang w:val="fr-FR"/>
        </w:rPr>
      </w:pPr>
    </w:p>
    <w:p w14:paraId="077484E3" w14:textId="77777777" w:rsidR="004401F0" w:rsidRPr="00DA7718" w:rsidRDefault="00DF3C4F" w:rsidP="00BD4C7C">
      <w:pPr>
        <w:adjustRightInd w:val="0"/>
        <w:snapToGrid w:val="0"/>
        <w:rPr>
          <w:lang w:val="fr-FR"/>
        </w:rPr>
      </w:pPr>
      <w:r w:rsidRPr="00DA7718">
        <w:rPr>
          <w:i/>
          <w:lang w:val="fr-FR"/>
        </w:rPr>
        <w:t xml:space="preserve">AVF2107g </w:t>
      </w:r>
      <w:r w:rsidRPr="00DA7718">
        <w:rPr>
          <w:lang w:val="fr-FR"/>
        </w:rPr>
        <w:t>:</w:t>
      </w:r>
    </w:p>
    <w:p w14:paraId="1C1AB7A2" w14:textId="71F4FAEF" w:rsidR="004401F0" w:rsidRPr="00DA7718" w:rsidRDefault="00DF3C4F" w:rsidP="00BD4C7C">
      <w:pPr>
        <w:pStyle w:val="a3"/>
        <w:adjustRightInd w:val="0"/>
        <w:snapToGrid w:val="0"/>
        <w:rPr>
          <w:lang w:val="fr-FR"/>
        </w:rPr>
      </w:pPr>
      <w:r w:rsidRPr="00DA7718">
        <w:rPr>
          <w:lang w:val="fr-FR"/>
        </w:rPr>
        <w:t xml:space="preserve">Il s’agissait d’une étude de phase III, randomisée, en double aveugle, contrôlée, évaluant </w:t>
      </w:r>
      <w:r w:rsidR="00112317">
        <w:rPr>
          <w:lang w:val="fr-FR"/>
        </w:rPr>
        <w:t>le bevacizumab</w:t>
      </w:r>
      <w:r w:rsidR="00112317" w:rsidRPr="00DA7718">
        <w:rPr>
          <w:lang w:val="fr-FR"/>
        </w:rPr>
        <w:t xml:space="preserve"> </w:t>
      </w:r>
      <w:r w:rsidRPr="00DA7718">
        <w:rPr>
          <w:lang w:val="fr-FR"/>
        </w:rPr>
        <w:t xml:space="preserve">en association à une chimiothérapie IFL en traitement de première ligne du cancer colorectal métastatique. Huit cent treize patients ont été randomisés pour recevoir soit IFL + placebo (groupe 1), soit IFL + </w:t>
      </w:r>
      <w:r w:rsidR="00112317">
        <w:rPr>
          <w:lang w:val="fr-FR"/>
        </w:rPr>
        <w:t>bevacizumab</w:t>
      </w:r>
      <w:r w:rsidRPr="00DA7718">
        <w:rPr>
          <w:lang w:val="fr-FR"/>
        </w:rPr>
        <w:t xml:space="preserve"> (5</w:t>
      </w:r>
      <w:r w:rsidR="00DA7718" w:rsidRPr="00DA7718">
        <w:rPr>
          <w:lang w:val="fr-FR"/>
        </w:rPr>
        <w:t> mg</w:t>
      </w:r>
      <w:r w:rsidRPr="00DA7718">
        <w:rPr>
          <w:lang w:val="fr-FR"/>
        </w:rPr>
        <w:t xml:space="preserve">/kg toutes les 2 semaines, groupe 2). Un troisième groupe de 110 patients a reçu une chimiothérapie 5-FU en bolus/AF + </w:t>
      </w:r>
      <w:r w:rsidR="00112317">
        <w:rPr>
          <w:lang w:val="fr-FR"/>
        </w:rPr>
        <w:t>bevacizumab</w:t>
      </w:r>
      <w:r w:rsidRPr="00DA7718">
        <w:rPr>
          <w:lang w:val="fr-FR"/>
        </w:rPr>
        <w:t xml:space="preserve"> (groupe 3). L’inclusion dans le groupe 3 a été interrompue, comme le prévoyait le protocole, lorsque la tolérance </w:t>
      </w:r>
      <w:r w:rsidR="00112317">
        <w:rPr>
          <w:lang w:val="fr-FR"/>
        </w:rPr>
        <w:t>du bevacizumab</w:t>
      </w:r>
      <w:r w:rsidR="00112317" w:rsidRPr="00DA7718">
        <w:rPr>
          <w:lang w:val="fr-FR"/>
        </w:rPr>
        <w:t xml:space="preserve"> </w:t>
      </w:r>
      <w:r w:rsidRPr="00DA7718">
        <w:rPr>
          <w:lang w:val="fr-FR"/>
        </w:rPr>
        <w:t>associé au schéma IFL a été établie et jugée acceptable. Tous les traitements ont été poursuivis jusqu’à progression de la maladie. L’âge moyen des patients était de 59,4 ans et l’indice de performance ECOG était de 0 chez 56,6 %, de 1 chez 43</w:t>
      </w:r>
      <w:r w:rsidR="00AF3AAA">
        <w:rPr>
          <w:lang w:val="fr-FR"/>
        </w:rPr>
        <w:t xml:space="preserve"> % </w:t>
      </w:r>
      <w:r w:rsidRPr="00DA7718">
        <w:rPr>
          <w:lang w:val="fr-FR"/>
        </w:rPr>
        <w:t>et de 2 chez 0,4</w:t>
      </w:r>
      <w:r w:rsidR="00AF3AAA">
        <w:rPr>
          <w:lang w:val="fr-FR"/>
        </w:rPr>
        <w:t xml:space="preserve"> % </w:t>
      </w:r>
      <w:r w:rsidRPr="00DA7718">
        <w:rPr>
          <w:lang w:val="fr-FR"/>
        </w:rPr>
        <w:t>des patients. 15,5</w:t>
      </w:r>
      <w:r w:rsidR="00AF3AAA">
        <w:rPr>
          <w:lang w:val="fr-FR"/>
        </w:rPr>
        <w:t xml:space="preserve"> % </w:t>
      </w:r>
      <w:r w:rsidRPr="00DA7718">
        <w:rPr>
          <w:lang w:val="fr-FR"/>
        </w:rPr>
        <w:t>des patients avaient reçu précédemment une radiothérapie et 28,4</w:t>
      </w:r>
      <w:r w:rsidR="00AF3AAA">
        <w:rPr>
          <w:lang w:val="fr-FR"/>
        </w:rPr>
        <w:t xml:space="preserve"> % </w:t>
      </w:r>
      <w:r w:rsidRPr="00DA7718">
        <w:rPr>
          <w:lang w:val="fr-FR"/>
        </w:rPr>
        <w:t>une chimiothérapie.</w:t>
      </w:r>
    </w:p>
    <w:p w14:paraId="48037A0C" w14:textId="77777777" w:rsidR="004401F0" w:rsidRPr="00DA7718" w:rsidRDefault="004401F0" w:rsidP="00BD4C7C">
      <w:pPr>
        <w:pStyle w:val="a3"/>
        <w:adjustRightInd w:val="0"/>
        <w:snapToGrid w:val="0"/>
        <w:rPr>
          <w:lang w:val="fr-FR"/>
        </w:rPr>
      </w:pPr>
    </w:p>
    <w:p w14:paraId="486E010A" w14:textId="47D49AEC" w:rsidR="004401F0" w:rsidRPr="00DA7718" w:rsidRDefault="00DF3C4F" w:rsidP="00BD4C7C">
      <w:pPr>
        <w:pStyle w:val="a3"/>
        <w:adjustRightInd w:val="0"/>
        <w:snapToGrid w:val="0"/>
        <w:rPr>
          <w:lang w:val="fr-FR"/>
        </w:rPr>
      </w:pPr>
      <w:r w:rsidRPr="00DA7718">
        <w:rPr>
          <w:lang w:val="fr-FR"/>
        </w:rPr>
        <w:t>Le critère principal d’efficacité de l’étude était l</w:t>
      </w:r>
      <w:r w:rsidR="00614220">
        <w:rPr>
          <w:lang w:val="fr-FR"/>
        </w:rPr>
        <w:t>’OS</w:t>
      </w:r>
      <w:r w:rsidRPr="00DA7718">
        <w:rPr>
          <w:lang w:val="fr-FR"/>
        </w:rPr>
        <w:t xml:space="preserve">. L’association </w:t>
      </w:r>
      <w:r w:rsidR="00112317">
        <w:rPr>
          <w:lang w:val="fr-FR"/>
        </w:rPr>
        <w:t>bevacizumab</w:t>
      </w:r>
      <w:r w:rsidRPr="00DA7718">
        <w:rPr>
          <w:lang w:val="fr-FR"/>
        </w:rPr>
        <w:t xml:space="preserve"> + IFL a conduit à une augmentation statistiquement significative de </w:t>
      </w:r>
      <w:r w:rsidR="00614220">
        <w:rPr>
          <w:lang w:val="fr-FR"/>
        </w:rPr>
        <w:t>l’OS</w:t>
      </w:r>
      <w:r w:rsidRPr="00DA7718">
        <w:rPr>
          <w:lang w:val="fr-FR"/>
        </w:rPr>
        <w:t xml:space="preserve">, de la </w:t>
      </w:r>
      <w:r w:rsidR="00803E4E">
        <w:rPr>
          <w:lang w:val="fr-FR"/>
        </w:rPr>
        <w:t>PFS</w:t>
      </w:r>
      <w:r w:rsidRPr="00DA7718">
        <w:rPr>
          <w:lang w:val="fr-FR"/>
        </w:rPr>
        <w:t xml:space="preserve"> et du taux de réponse globale (voir tableau 4). Le bénéfice clinique, évalué par </w:t>
      </w:r>
      <w:r w:rsidR="00614220">
        <w:rPr>
          <w:lang w:val="fr-FR"/>
        </w:rPr>
        <w:t>l’OS</w:t>
      </w:r>
      <w:r w:rsidRPr="00DA7718">
        <w:rPr>
          <w:lang w:val="fr-FR"/>
        </w:rPr>
        <w:t>, a été constaté dans toutes les sous populations de patients prédéfinies en fonction de l’âge, du sexe, de l’indice de performance, de la localisation de la tumeur primitive, du nombre d’organes atteints et de la durée de la maladie métastatique.</w:t>
      </w:r>
    </w:p>
    <w:p w14:paraId="3F2ABEF0" w14:textId="77777777" w:rsidR="004401F0" w:rsidRPr="007C119A" w:rsidRDefault="004401F0" w:rsidP="00BD4C7C">
      <w:pPr>
        <w:pStyle w:val="a3"/>
        <w:adjustRightInd w:val="0"/>
        <w:snapToGrid w:val="0"/>
        <w:rPr>
          <w:lang w:val="fr-FR"/>
        </w:rPr>
      </w:pPr>
    </w:p>
    <w:p w14:paraId="65EBE303" w14:textId="148C6E62" w:rsidR="004401F0" w:rsidRPr="00DA7718" w:rsidRDefault="00DF3C4F" w:rsidP="00E13189">
      <w:pPr>
        <w:pStyle w:val="a3"/>
        <w:adjustRightInd w:val="0"/>
        <w:snapToGrid w:val="0"/>
        <w:rPr>
          <w:lang w:val="fr-FR"/>
        </w:rPr>
      </w:pPr>
      <w:r w:rsidRPr="00DA7718">
        <w:rPr>
          <w:lang w:val="fr-FR"/>
        </w:rPr>
        <w:t xml:space="preserve">Les résultats d’efficacité </w:t>
      </w:r>
      <w:r w:rsidR="00112317">
        <w:rPr>
          <w:lang w:val="fr-FR"/>
        </w:rPr>
        <w:t>du bevacizumab</w:t>
      </w:r>
      <w:r w:rsidR="00112317" w:rsidRPr="00DA7718">
        <w:rPr>
          <w:lang w:val="fr-FR"/>
        </w:rPr>
        <w:t xml:space="preserve"> </w:t>
      </w:r>
      <w:r w:rsidRPr="00DA7718">
        <w:rPr>
          <w:lang w:val="fr-FR"/>
        </w:rPr>
        <w:t>en association à la chimiothérapie IFL sont présentés dans le tableau 4.</w:t>
      </w:r>
    </w:p>
    <w:p w14:paraId="2570E486" w14:textId="77777777" w:rsidR="00BD4C7C" w:rsidRPr="00DA7718" w:rsidRDefault="00BD4C7C" w:rsidP="00654D21">
      <w:pPr>
        <w:keepNext/>
        <w:keepLines/>
        <w:adjustRightInd w:val="0"/>
        <w:snapToGrid w:val="0"/>
        <w:rPr>
          <w:lang w:val="fr-FR"/>
        </w:rPr>
      </w:pPr>
    </w:p>
    <w:p w14:paraId="76FBBADF" w14:textId="6A735973" w:rsidR="004401F0" w:rsidRPr="00E13189" w:rsidRDefault="00DF3C4F" w:rsidP="00E13189">
      <w:pPr>
        <w:keepNext/>
        <w:keepLines/>
        <w:ind w:left="1276" w:hanging="1276"/>
        <w:rPr>
          <w:b/>
          <w:bCs/>
          <w:lang w:val="fr-FR"/>
        </w:rPr>
      </w:pPr>
      <w:r w:rsidRPr="00E13189">
        <w:rPr>
          <w:b/>
          <w:bCs/>
          <w:lang w:val="fr-FR"/>
        </w:rPr>
        <w:t>Tableau 4</w:t>
      </w:r>
      <w:r w:rsidRPr="00E13189">
        <w:rPr>
          <w:b/>
          <w:bCs/>
          <w:lang w:val="fr-FR"/>
        </w:rPr>
        <w:tab/>
        <w:t>Etude AVF2107g</w:t>
      </w:r>
      <w:r w:rsidR="00765A43" w:rsidRPr="00E13189">
        <w:rPr>
          <w:b/>
          <w:bCs/>
          <w:lang w:val="fr-FR"/>
        </w:rPr>
        <w:t xml:space="preserve"> : </w:t>
      </w:r>
      <w:r w:rsidRPr="00E13189">
        <w:rPr>
          <w:b/>
          <w:bCs/>
          <w:lang w:val="fr-FR"/>
        </w:rPr>
        <w:t>résultats d’efficacité</w:t>
      </w:r>
    </w:p>
    <w:p w14:paraId="323D072E" w14:textId="77777777" w:rsidR="004401F0" w:rsidRPr="00DA7718" w:rsidRDefault="004401F0" w:rsidP="00E13189">
      <w:pPr>
        <w:pStyle w:val="a3"/>
        <w:keepNext/>
        <w:keepLines/>
        <w:adjustRightInd w:val="0"/>
        <w:snapToGrid w:val="0"/>
        <w:rPr>
          <w:b/>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9"/>
        <w:gridCol w:w="2569"/>
        <w:gridCol w:w="2436"/>
      </w:tblGrid>
      <w:tr w:rsidR="004401F0" w:rsidRPr="00251D78" w14:paraId="762BD0A4" w14:textId="77777777" w:rsidTr="00251D78">
        <w:trPr>
          <w:cantSplit/>
          <w:tblHeader/>
        </w:trPr>
        <w:tc>
          <w:tcPr>
            <w:tcW w:w="4163" w:type="dxa"/>
            <w:vMerge w:val="restart"/>
          </w:tcPr>
          <w:p w14:paraId="6A494773" w14:textId="77777777" w:rsidR="004401F0" w:rsidRPr="00251D78" w:rsidRDefault="004401F0" w:rsidP="00654D21">
            <w:pPr>
              <w:pStyle w:val="TableParagraph"/>
              <w:keepNext/>
              <w:keepLines/>
              <w:adjustRightInd w:val="0"/>
              <w:snapToGrid w:val="0"/>
              <w:rPr>
                <w:sz w:val="20"/>
                <w:szCs w:val="20"/>
                <w:lang w:val="fr-FR"/>
              </w:rPr>
            </w:pPr>
          </w:p>
        </w:tc>
        <w:tc>
          <w:tcPr>
            <w:tcW w:w="5127" w:type="dxa"/>
            <w:gridSpan w:val="2"/>
          </w:tcPr>
          <w:p w14:paraId="1846FB85" w14:textId="77777777" w:rsidR="004401F0" w:rsidRPr="00251D78" w:rsidRDefault="00DF3C4F" w:rsidP="00654D21">
            <w:pPr>
              <w:pStyle w:val="TableParagraph"/>
              <w:keepNext/>
              <w:keepLines/>
              <w:adjustRightInd w:val="0"/>
              <w:snapToGrid w:val="0"/>
              <w:jc w:val="center"/>
              <w:rPr>
                <w:b/>
                <w:bCs/>
                <w:sz w:val="20"/>
                <w:szCs w:val="20"/>
                <w:lang w:val="fr-FR"/>
              </w:rPr>
            </w:pPr>
            <w:r w:rsidRPr="00251D78">
              <w:rPr>
                <w:b/>
                <w:bCs/>
                <w:sz w:val="20"/>
                <w:szCs w:val="20"/>
                <w:lang w:val="fr-FR"/>
              </w:rPr>
              <w:t>AVF2107g</w:t>
            </w:r>
          </w:p>
        </w:tc>
      </w:tr>
      <w:tr w:rsidR="004401F0" w:rsidRPr="00251D78" w14:paraId="170FBBA2" w14:textId="77777777" w:rsidTr="00251D78">
        <w:trPr>
          <w:cantSplit/>
          <w:tblHeader/>
        </w:trPr>
        <w:tc>
          <w:tcPr>
            <w:tcW w:w="4163" w:type="dxa"/>
            <w:vMerge/>
            <w:tcBorders>
              <w:top w:val="nil"/>
            </w:tcBorders>
          </w:tcPr>
          <w:p w14:paraId="09F00DAE" w14:textId="77777777" w:rsidR="004401F0" w:rsidRPr="00251D78" w:rsidRDefault="004401F0" w:rsidP="00654D21">
            <w:pPr>
              <w:keepNext/>
              <w:keepLines/>
              <w:adjustRightInd w:val="0"/>
              <w:snapToGrid w:val="0"/>
              <w:rPr>
                <w:sz w:val="20"/>
                <w:szCs w:val="20"/>
                <w:lang w:val="fr-FR"/>
              </w:rPr>
            </w:pPr>
          </w:p>
        </w:tc>
        <w:tc>
          <w:tcPr>
            <w:tcW w:w="2632" w:type="dxa"/>
          </w:tcPr>
          <w:p w14:paraId="5949877A" w14:textId="77777777" w:rsidR="004401F0" w:rsidRPr="00251D78" w:rsidRDefault="00DF3C4F" w:rsidP="00654D21">
            <w:pPr>
              <w:pStyle w:val="TableParagraph"/>
              <w:keepNext/>
              <w:keepLines/>
              <w:adjustRightInd w:val="0"/>
              <w:snapToGrid w:val="0"/>
              <w:jc w:val="center"/>
              <w:rPr>
                <w:b/>
                <w:bCs/>
                <w:sz w:val="20"/>
                <w:szCs w:val="20"/>
                <w:lang w:val="fr-FR"/>
              </w:rPr>
            </w:pPr>
            <w:r w:rsidRPr="00251D78">
              <w:rPr>
                <w:b/>
                <w:bCs/>
                <w:sz w:val="20"/>
                <w:szCs w:val="20"/>
                <w:lang w:val="fr-FR"/>
              </w:rPr>
              <w:t>Groupe 1</w:t>
            </w:r>
          </w:p>
          <w:p w14:paraId="74DF4728" w14:textId="77777777" w:rsidR="004401F0" w:rsidRPr="00251D78" w:rsidRDefault="00DF3C4F" w:rsidP="00654D21">
            <w:pPr>
              <w:pStyle w:val="TableParagraph"/>
              <w:keepNext/>
              <w:keepLines/>
              <w:adjustRightInd w:val="0"/>
              <w:snapToGrid w:val="0"/>
              <w:jc w:val="center"/>
              <w:rPr>
                <w:b/>
                <w:bCs/>
                <w:sz w:val="20"/>
                <w:szCs w:val="20"/>
                <w:lang w:val="fr-FR"/>
              </w:rPr>
            </w:pPr>
            <w:r w:rsidRPr="00251D78">
              <w:rPr>
                <w:b/>
                <w:bCs/>
                <w:sz w:val="20"/>
                <w:szCs w:val="20"/>
                <w:lang w:val="fr-FR"/>
              </w:rPr>
              <w:t xml:space="preserve">IFL </w:t>
            </w:r>
            <w:r w:rsidRPr="00251D78">
              <w:rPr>
                <w:rFonts w:ascii="Symbol" w:hAnsi="Symbol"/>
                <w:b/>
                <w:bCs/>
                <w:sz w:val="20"/>
                <w:szCs w:val="20"/>
                <w:lang w:val="fr-FR"/>
              </w:rPr>
              <w:t></w:t>
            </w:r>
            <w:r w:rsidRPr="00251D78">
              <w:rPr>
                <w:b/>
                <w:bCs/>
                <w:sz w:val="20"/>
                <w:szCs w:val="20"/>
                <w:lang w:val="fr-FR"/>
              </w:rPr>
              <w:t xml:space="preserve"> placebo</w:t>
            </w:r>
          </w:p>
        </w:tc>
        <w:tc>
          <w:tcPr>
            <w:tcW w:w="2495" w:type="dxa"/>
          </w:tcPr>
          <w:p w14:paraId="34B9C2B1" w14:textId="77777777" w:rsidR="004401F0" w:rsidRPr="00251D78" w:rsidRDefault="00DF3C4F" w:rsidP="00654D21">
            <w:pPr>
              <w:pStyle w:val="TableParagraph"/>
              <w:keepNext/>
              <w:keepLines/>
              <w:adjustRightInd w:val="0"/>
              <w:snapToGrid w:val="0"/>
              <w:jc w:val="center"/>
              <w:rPr>
                <w:b/>
                <w:bCs/>
                <w:sz w:val="20"/>
                <w:szCs w:val="20"/>
                <w:lang w:val="fr-FR"/>
              </w:rPr>
            </w:pPr>
            <w:r w:rsidRPr="00251D78">
              <w:rPr>
                <w:b/>
                <w:bCs/>
                <w:sz w:val="20"/>
                <w:szCs w:val="20"/>
                <w:lang w:val="fr-FR"/>
              </w:rPr>
              <w:t>Groupe 2</w:t>
            </w:r>
          </w:p>
          <w:p w14:paraId="556ECF33" w14:textId="14755309" w:rsidR="004401F0" w:rsidRPr="00251D78" w:rsidRDefault="00DF3C4F" w:rsidP="00654D21">
            <w:pPr>
              <w:pStyle w:val="TableParagraph"/>
              <w:keepNext/>
              <w:keepLines/>
              <w:adjustRightInd w:val="0"/>
              <w:snapToGrid w:val="0"/>
              <w:jc w:val="center"/>
              <w:rPr>
                <w:b/>
                <w:bCs/>
                <w:sz w:val="20"/>
                <w:szCs w:val="20"/>
                <w:lang w:val="fr-FR"/>
              </w:rPr>
            </w:pPr>
            <w:r w:rsidRPr="00251D78">
              <w:rPr>
                <w:b/>
                <w:bCs/>
                <w:sz w:val="20"/>
                <w:szCs w:val="20"/>
                <w:lang w:val="fr-FR"/>
              </w:rPr>
              <w:t xml:space="preserve">IFL </w:t>
            </w:r>
            <w:r w:rsidRPr="00251D78">
              <w:rPr>
                <w:rFonts w:ascii="Symbol" w:hAnsi="Symbol"/>
                <w:b/>
                <w:bCs/>
                <w:sz w:val="20"/>
                <w:szCs w:val="20"/>
                <w:lang w:val="fr-FR"/>
              </w:rPr>
              <w:t></w:t>
            </w:r>
            <w:r w:rsidRPr="00251D78">
              <w:rPr>
                <w:b/>
                <w:bCs/>
                <w:sz w:val="20"/>
                <w:szCs w:val="20"/>
                <w:lang w:val="fr-FR"/>
              </w:rPr>
              <w:t xml:space="preserve"> </w:t>
            </w:r>
            <w:r w:rsidR="00112317" w:rsidRPr="00654D21">
              <w:rPr>
                <w:b/>
                <w:sz w:val="20"/>
                <w:szCs w:val="20"/>
                <w:lang w:val="fr-FR"/>
              </w:rPr>
              <w:t>bevacizumab</w:t>
            </w:r>
            <w:r w:rsidRPr="00251D78">
              <w:rPr>
                <w:b/>
                <w:bCs/>
                <w:sz w:val="20"/>
                <w:szCs w:val="20"/>
                <w:vertAlign w:val="superscript"/>
                <w:lang w:val="fr-FR"/>
              </w:rPr>
              <w:t>a</w:t>
            </w:r>
          </w:p>
        </w:tc>
      </w:tr>
      <w:tr w:rsidR="004401F0" w:rsidRPr="00251D78" w14:paraId="7B542FFD" w14:textId="77777777" w:rsidTr="00251D78">
        <w:trPr>
          <w:cantSplit/>
        </w:trPr>
        <w:tc>
          <w:tcPr>
            <w:tcW w:w="4163" w:type="dxa"/>
          </w:tcPr>
          <w:p w14:paraId="519E031A" w14:textId="77777777" w:rsidR="004401F0" w:rsidRPr="00251D78" w:rsidRDefault="00DF3C4F" w:rsidP="00654D21">
            <w:pPr>
              <w:pStyle w:val="TableParagraph"/>
              <w:keepNext/>
              <w:keepLines/>
              <w:adjustRightInd w:val="0"/>
              <w:snapToGrid w:val="0"/>
              <w:rPr>
                <w:sz w:val="20"/>
                <w:szCs w:val="20"/>
                <w:lang w:val="fr-FR"/>
              </w:rPr>
            </w:pPr>
            <w:r w:rsidRPr="00251D78">
              <w:rPr>
                <w:sz w:val="20"/>
                <w:szCs w:val="20"/>
                <w:lang w:val="fr-FR"/>
              </w:rPr>
              <w:t>Nombre de patients</w:t>
            </w:r>
          </w:p>
        </w:tc>
        <w:tc>
          <w:tcPr>
            <w:tcW w:w="2632" w:type="dxa"/>
          </w:tcPr>
          <w:p w14:paraId="35E9E0B3" w14:textId="77777777" w:rsidR="004401F0" w:rsidRPr="00251D78" w:rsidRDefault="00DF3C4F" w:rsidP="00654D21">
            <w:pPr>
              <w:pStyle w:val="TableParagraph"/>
              <w:keepNext/>
              <w:keepLines/>
              <w:adjustRightInd w:val="0"/>
              <w:snapToGrid w:val="0"/>
              <w:jc w:val="center"/>
              <w:rPr>
                <w:sz w:val="20"/>
                <w:szCs w:val="20"/>
                <w:lang w:val="fr-FR"/>
              </w:rPr>
            </w:pPr>
            <w:r w:rsidRPr="00251D78">
              <w:rPr>
                <w:sz w:val="20"/>
                <w:szCs w:val="20"/>
                <w:lang w:val="fr-FR"/>
              </w:rPr>
              <w:t>411</w:t>
            </w:r>
          </w:p>
        </w:tc>
        <w:tc>
          <w:tcPr>
            <w:tcW w:w="2495" w:type="dxa"/>
          </w:tcPr>
          <w:p w14:paraId="685E0E37" w14:textId="77777777" w:rsidR="004401F0" w:rsidRPr="00251D78" w:rsidRDefault="00DF3C4F" w:rsidP="00654D21">
            <w:pPr>
              <w:pStyle w:val="TableParagraph"/>
              <w:keepNext/>
              <w:keepLines/>
              <w:adjustRightInd w:val="0"/>
              <w:snapToGrid w:val="0"/>
              <w:jc w:val="center"/>
              <w:rPr>
                <w:sz w:val="20"/>
                <w:szCs w:val="20"/>
                <w:lang w:val="fr-FR"/>
              </w:rPr>
            </w:pPr>
            <w:r w:rsidRPr="00251D78">
              <w:rPr>
                <w:sz w:val="20"/>
                <w:szCs w:val="20"/>
                <w:lang w:val="fr-FR"/>
              </w:rPr>
              <w:t>402</w:t>
            </w:r>
          </w:p>
        </w:tc>
      </w:tr>
      <w:tr w:rsidR="004401F0" w:rsidRPr="00251D78" w14:paraId="18688FAA" w14:textId="77777777" w:rsidTr="00251D78">
        <w:trPr>
          <w:cantSplit/>
        </w:trPr>
        <w:tc>
          <w:tcPr>
            <w:tcW w:w="9290" w:type="dxa"/>
            <w:gridSpan w:val="3"/>
          </w:tcPr>
          <w:p w14:paraId="67C1FF35" w14:textId="77777777" w:rsidR="004401F0" w:rsidRPr="00251D78" w:rsidRDefault="00DF3C4F" w:rsidP="00654D21">
            <w:pPr>
              <w:pStyle w:val="TableParagraph"/>
              <w:keepNext/>
              <w:keepLines/>
              <w:adjustRightInd w:val="0"/>
              <w:snapToGrid w:val="0"/>
              <w:rPr>
                <w:sz w:val="20"/>
                <w:szCs w:val="20"/>
                <w:lang w:val="fr-FR"/>
              </w:rPr>
            </w:pPr>
            <w:r w:rsidRPr="00251D78">
              <w:rPr>
                <w:sz w:val="20"/>
                <w:szCs w:val="20"/>
                <w:lang w:val="fr-FR"/>
              </w:rPr>
              <w:t>Survie globale</w:t>
            </w:r>
          </w:p>
        </w:tc>
      </w:tr>
      <w:tr w:rsidR="004401F0" w:rsidRPr="00251D78" w14:paraId="3A5D9D79" w14:textId="77777777" w:rsidTr="00251D78">
        <w:trPr>
          <w:cantSplit/>
        </w:trPr>
        <w:tc>
          <w:tcPr>
            <w:tcW w:w="4163" w:type="dxa"/>
          </w:tcPr>
          <w:p w14:paraId="7E5C2673" w14:textId="77777777" w:rsidR="004401F0" w:rsidRPr="00251D78" w:rsidRDefault="00DF3C4F" w:rsidP="00654D21">
            <w:pPr>
              <w:pStyle w:val="TableParagraph"/>
              <w:keepNext/>
              <w:keepLines/>
              <w:adjustRightInd w:val="0"/>
              <w:snapToGrid w:val="0"/>
              <w:ind w:firstLine="360"/>
              <w:rPr>
                <w:sz w:val="20"/>
                <w:szCs w:val="20"/>
                <w:lang w:val="fr-FR"/>
              </w:rPr>
            </w:pPr>
            <w:r w:rsidRPr="00251D78">
              <w:rPr>
                <w:sz w:val="20"/>
                <w:szCs w:val="20"/>
                <w:lang w:val="fr-FR"/>
              </w:rPr>
              <w:t>Temps médian (mois)</w:t>
            </w:r>
          </w:p>
        </w:tc>
        <w:tc>
          <w:tcPr>
            <w:tcW w:w="2632" w:type="dxa"/>
          </w:tcPr>
          <w:p w14:paraId="303C04BC" w14:textId="77777777" w:rsidR="004401F0" w:rsidRPr="00251D78" w:rsidRDefault="00DF3C4F" w:rsidP="00654D21">
            <w:pPr>
              <w:pStyle w:val="TableParagraph"/>
              <w:keepNext/>
              <w:keepLines/>
              <w:adjustRightInd w:val="0"/>
              <w:snapToGrid w:val="0"/>
              <w:jc w:val="center"/>
              <w:rPr>
                <w:sz w:val="20"/>
                <w:szCs w:val="20"/>
                <w:lang w:val="fr-FR"/>
              </w:rPr>
            </w:pPr>
            <w:r w:rsidRPr="00251D78">
              <w:rPr>
                <w:sz w:val="20"/>
                <w:szCs w:val="20"/>
                <w:lang w:val="fr-FR"/>
              </w:rPr>
              <w:t>15,6</w:t>
            </w:r>
          </w:p>
        </w:tc>
        <w:tc>
          <w:tcPr>
            <w:tcW w:w="2495" w:type="dxa"/>
          </w:tcPr>
          <w:p w14:paraId="098E7CFD" w14:textId="77777777" w:rsidR="004401F0" w:rsidRPr="00251D78" w:rsidRDefault="00DF3C4F" w:rsidP="00654D21">
            <w:pPr>
              <w:pStyle w:val="TableParagraph"/>
              <w:keepNext/>
              <w:keepLines/>
              <w:adjustRightInd w:val="0"/>
              <w:snapToGrid w:val="0"/>
              <w:jc w:val="center"/>
              <w:rPr>
                <w:sz w:val="20"/>
                <w:szCs w:val="20"/>
                <w:lang w:val="fr-FR"/>
              </w:rPr>
            </w:pPr>
            <w:r w:rsidRPr="00251D78">
              <w:rPr>
                <w:sz w:val="20"/>
                <w:szCs w:val="20"/>
                <w:lang w:val="fr-FR"/>
              </w:rPr>
              <w:t>20,3</w:t>
            </w:r>
          </w:p>
        </w:tc>
      </w:tr>
      <w:tr w:rsidR="004401F0" w:rsidRPr="00251D78" w14:paraId="7DECA9D9" w14:textId="77777777" w:rsidTr="00251D78">
        <w:trPr>
          <w:cantSplit/>
        </w:trPr>
        <w:tc>
          <w:tcPr>
            <w:tcW w:w="4163" w:type="dxa"/>
          </w:tcPr>
          <w:p w14:paraId="346F0133" w14:textId="77777777" w:rsidR="004401F0" w:rsidRPr="00251D78" w:rsidRDefault="00DF3C4F" w:rsidP="00654D21">
            <w:pPr>
              <w:pStyle w:val="TableParagraph"/>
              <w:keepNext/>
              <w:keepLines/>
              <w:adjustRightInd w:val="0"/>
              <w:snapToGrid w:val="0"/>
              <w:ind w:firstLine="360"/>
              <w:rPr>
                <w:sz w:val="20"/>
                <w:szCs w:val="20"/>
                <w:lang w:val="fr-FR"/>
              </w:rPr>
            </w:pPr>
            <w:r w:rsidRPr="00251D78">
              <w:rPr>
                <w:sz w:val="20"/>
                <w:szCs w:val="20"/>
                <w:lang w:val="fr-FR"/>
              </w:rPr>
              <w:t>IC 95 %</w:t>
            </w:r>
          </w:p>
        </w:tc>
        <w:tc>
          <w:tcPr>
            <w:tcW w:w="2632" w:type="dxa"/>
          </w:tcPr>
          <w:p w14:paraId="218DDDFE" w14:textId="77777777" w:rsidR="004401F0" w:rsidRPr="00251D78" w:rsidRDefault="00DF3C4F" w:rsidP="00654D21">
            <w:pPr>
              <w:pStyle w:val="TableParagraph"/>
              <w:keepNext/>
              <w:keepLines/>
              <w:adjustRightInd w:val="0"/>
              <w:snapToGrid w:val="0"/>
              <w:jc w:val="center"/>
              <w:rPr>
                <w:sz w:val="20"/>
                <w:szCs w:val="20"/>
                <w:lang w:val="fr-FR"/>
              </w:rPr>
            </w:pPr>
            <w:r w:rsidRPr="00251D78">
              <w:rPr>
                <w:sz w:val="20"/>
                <w:szCs w:val="20"/>
                <w:lang w:val="fr-FR"/>
              </w:rPr>
              <w:t>14,29 – 16,99</w:t>
            </w:r>
          </w:p>
        </w:tc>
        <w:tc>
          <w:tcPr>
            <w:tcW w:w="2495" w:type="dxa"/>
          </w:tcPr>
          <w:p w14:paraId="5A8A124B" w14:textId="77777777" w:rsidR="004401F0" w:rsidRPr="00251D78" w:rsidRDefault="00DF3C4F" w:rsidP="00654D21">
            <w:pPr>
              <w:pStyle w:val="TableParagraph"/>
              <w:keepNext/>
              <w:keepLines/>
              <w:adjustRightInd w:val="0"/>
              <w:snapToGrid w:val="0"/>
              <w:jc w:val="center"/>
              <w:rPr>
                <w:sz w:val="20"/>
                <w:szCs w:val="20"/>
                <w:lang w:val="fr-FR"/>
              </w:rPr>
            </w:pPr>
            <w:r w:rsidRPr="00251D78">
              <w:rPr>
                <w:sz w:val="20"/>
                <w:szCs w:val="20"/>
                <w:lang w:val="fr-FR"/>
              </w:rPr>
              <w:t>18,46 – 24,18</w:t>
            </w:r>
          </w:p>
        </w:tc>
      </w:tr>
      <w:tr w:rsidR="004401F0" w:rsidRPr="00251D78" w14:paraId="56DF63AB" w14:textId="77777777" w:rsidTr="00251D78">
        <w:trPr>
          <w:cantSplit/>
        </w:trPr>
        <w:tc>
          <w:tcPr>
            <w:tcW w:w="4163" w:type="dxa"/>
          </w:tcPr>
          <w:p w14:paraId="7B3CEB88" w14:textId="77777777" w:rsidR="004401F0" w:rsidRPr="00251D78" w:rsidRDefault="00DF3C4F" w:rsidP="00654D21">
            <w:pPr>
              <w:pStyle w:val="TableParagraph"/>
              <w:keepNext/>
              <w:keepLines/>
              <w:adjustRightInd w:val="0"/>
              <w:snapToGrid w:val="0"/>
              <w:ind w:firstLine="360"/>
              <w:rPr>
                <w:sz w:val="20"/>
                <w:szCs w:val="20"/>
                <w:lang w:val="fr-FR"/>
              </w:rPr>
            </w:pPr>
            <w:r w:rsidRPr="00251D78">
              <w:rPr>
                <w:sz w:val="20"/>
                <w:szCs w:val="20"/>
                <w:lang w:val="fr-FR"/>
              </w:rPr>
              <w:t>Risque relatif</w:t>
            </w:r>
            <w:r w:rsidRPr="00251D78">
              <w:rPr>
                <w:sz w:val="20"/>
                <w:szCs w:val="20"/>
                <w:vertAlign w:val="superscript"/>
                <w:lang w:val="fr-FR"/>
              </w:rPr>
              <w:t>b</w:t>
            </w:r>
          </w:p>
        </w:tc>
        <w:tc>
          <w:tcPr>
            <w:tcW w:w="5127" w:type="dxa"/>
            <w:gridSpan w:val="2"/>
          </w:tcPr>
          <w:p w14:paraId="6B24AA6D" w14:textId="77777777" w:rsidR="004401F0" w:rsidRPr="00251D78" w:rsidRDefault="00DF3C4F" w:rsidP="00654D21">
            <w:pPr>
              <w:pStyle w:val="TableParagraph"/>
              <w:keepNext/>
              <w:keepLines/>
              <w:adjustRightInd w:val="0"/>
              <w:snapToGrid w:val="0"/>
              <w:jc w:val="center"/>
              <w:rPr>
                <w:sz w:val="20"/>
                <w:szCs w:val="20"/>
                <w:lang w:val="fr-FR"/>
              </w:rPr>
            </w:pPr>
            <w:r w:rsidRPr="00251D78">
              <w:rPr>
                <w:sz w:val="20"/>
                <w:szCs w:val="20"/>
                <w:lang w:val="fr-FR"/>
              </w:rPr>
              <w:t>0,660</w:t>
            </w:r>
          </w:p>
          <w:p w14:paraId="78AB18B2" w14:textId="77777777" w:rsidR="004401F0" w:rsidRPr="00251D78" w:rsidRDefault="00DF3C4F" w:rsidP="00654D21">
            <w:pPr>
              <w:pStyle w:val="TableParagraph"/>
              <w:keepNext/>
              <w:keepLines/>
              <w:adjustRightInd w:val="0"/>
              <w:snapToGrid w:val="0"/>
              <w:jc w:val="center"/>
              <w:rPr>
                <w:sz w:val="20"/>
                <w:szCs w:val="20"/>
                <w:lang w:val="fr-FR"/>
              </w:rPr>
            </w:pPr>
            <w:r w:rsidRPr="00251D78">
              <w:rPr>
                <w:sz w:val="20"/>
                <w:szCs w:val="20"/>
                <w:lang w:val="fr-FR"/>
              </w:rPr>
              <w:t>(p = 0,00004)</w:t>
            </w:r>
          </w:p>
        </w:tc>
      </w:tr>
      <w:tr w:rsidR="004401F0" w:rsidRPr="00251D78" w14:paraId="2BF0E6CD" w14:textId="77777777" w:rsidTr="00251D78">
        <w:trPr>
          <w:cantSplit/>
        </w:trPr>
        <w:tc>
          <w:tcPr>
            <w:tcW w:w="9290" w:type="dxa"/>
            <w:gridSpan w:val="3"/>
          </w:tcPr>
          <w:p w14:paraId="52FF6C77" w14:textId="77777777" w:rsidR="004401F0" w:rsidRPr="00251D78" w:rsidRDefault="00DF3C4F" w:rsidP="00654D21">
            <w:pPr>
              <w:pStyle w:val="TableParagraph"/>
              <w:keepNext/>
              <w:keepLines/>
              <w:adjustRightInd w:val="0"/>
              <w:snapToGrid w:val="0"/>
              <w:rPr>
                <w:sz w:val="20"/>
                <w:szCs w:val="20"/>
                <w:lang w:val="fr-FR"/>
              </w:rPr>
            </w:pPr>
            <w:r w:rsidRPr="00251D78">
              <w:rPr>
                <w:sz w:val="20"/>
                <w:szCs w:val="20"/>
                <w:lang w:val="fr-FR"/>
              </w:rPr>
              <w:t>Survie sans progression</w:t>
            </w:r>
          </w:p>
        </w:tc>
      </w:tr>
      <w:tr w:rsidR="004401F0" w:rsidRPr="00251D78" w14:paraId="1008825D" w14:textId="77777777" w:rsidTr="00251D78">
        <w:trPr>
          <w:cantSplit/>
        </w:trPr>
        <w:tc>
          <w:tcPr>
            <w:tcW w:w="4163" w:type="dxa"/>
          </w:tcPr>
          <w:p w14:paraId="53D30A95" w14:textId="77777777" w:rsidR="004401F0" w:rsidRPr="00251D78" w:rsidRDefault="00DF3C4F" w:rsidP="00654D21">
            <w:pPr>
              <w:pStyle w:val="TableParagraph"/>
              <w:keepNext/>
              <w:keepLines/>
              <w:adjustRightInd w:val="0"/>
              <w:snapToGrid w:val="0"/>
              <w:ind w:firstLine="360"/>
              <w:rPr>
                <w:sz w:val="20"/>
                <w:szCs w:val="20"/>
                <w:lang w:val="fr-FR"/>
              </w:rPr>
            </w:pPr>
            <w:r w:rsidRPr="00251D78">
              <w:rPr>
                <w:sz w:val="20"/>
                <w:szCs w:val="20"/>
                <w:lang w:val="fr-FR"/>
              </w:rPr>
              <w:t>Temps médian (mois)</w:t>
            </w:r>
          </w:p>
        </w:tc>
        <w:tc>
          <w:tcPr>
            <w:tcW w:w="2632" w:type="dxa"/>
          </w:tcPr>
          <w:p w14:paraId="6249D43D" w14:textId="77777777" w:rsidR="004401F0" w:rsidRPr="00251D78" w:rsidRDefault="00DF3C4F" w:rsidP="00654D21">
            <w:pPr>
              <w:pStyle w:val="TableParagraph"/>
              <w:keepNext/>
              <w:keepLines/>
              <w:adjustRightInd w:val="0"/>
              <w:snapToGrid w:val="0"/>
              <w:jc w:val="center"/>
              <w:rPr>
                <w:sz w:val="20"/>
                <w:szCs w:val="20"/>
                <w:lang w:val="fr-FR"/>
              </w:rPr>
            </w:pPr>
            <w:r w:rsidRPr="00251D78">
              <w:rPr>
                <w:sz w:val="20"/>
                <w:szCs w:val="20"/>
                <w:lang w:val="fr-FR"/>
              </w:rPr>
              <w:t>6,2</w:t>
            </w:r>
          </w:p>
        </w:tc>
        <w:tc>
          <w:tcPr>
            <w:tcW w:w="2495" w:type="dxa"/>
          </w:tcPr>
          <w:p w14:paraId="45600765" w14:textId="77777777" w:rsidR="004401F0" w:rsidRPr="00251D78" w:rsidRDefault="00DF3C4F" w:rsidP="00654D21">
            <w:pPr>
              <w:pStyle w:val="TableParagraph"/>
              <w:keepNext/>
              <w:keepLines/>
              <w:adjustRightInd w:val="0"/>
              <w:snapToGrid w:val="0"/>
              <w:jc w:val="center"/>
              <w:rPr>
                <w:sz w:val="20"/>
                <w:szCs w:val="20"/>
                <w:lang w:val="fr-FR"/>
              </w:rPr>
            </w:pPr>
            <w:r w:rsidRPr="00251D78">
              <w:rPr>
                <w:sz w:val="20"/>
                <w:szCs w:val="20"/>
                <w:lang w:val="fr-FR"/>
              </w:rPr>
              <w:t>10,6</w:t>
            </w:r>
          </w:p>
        </w:tc>
      </w:tr>
      <w:tr w:rsidR="004401F0" w:rsidRPr="00251D78" w14:paraId="5178A045" w14:textId="77777777" w:rsidTr="00251D78">
        <w:trPr>
          <w:cantSplit/>
        </w:trPr>
        <w:tc>
          <w:tcPr>
            <w:tcW w:w="4163" w:type="dxa"/>
          </w:tcPr>
          <w:p w14:paraId="317DE701" w14:textId="77777777" w:rsidR="004401F0" w:rsidRPr="00251D78" w:rsidRDefault="00DF3C4F" w:rsidP="00654D21">
            <w:pPr>
              <w:pStyle w:val="TableParagraph"/>
              <w:keepNext/>
              <w:keepLines/>
              <w:adjustRightInd w:val="0"/>
              <w:snapToGrid w:val="0"/>
              <w:ind w:firstLine="360"/>
              <w:rPr>
                <w:sz w:val="20"/>
                <w:szCs w:val="20"/>
                <w:lang w:val="fr-FR"/>
              </w:rPr>
            </w:pPr>
            <w:r w:rsidRPr="00251D78">
              <w:rPr>
                <w:sz w:val="20"/>
                <w:szCs w:val="20"/>
                <w:lang w:val="fr-FR"/>
              </w:rPr>
              <w:t>Risque relatif</w:t>
            </w:r>
          </w:p>
        </w:tc>
        <w:tc>
          <w:tcPr>
            <w:tcW w:w="5127" w:type="dxa"/>
            <w:gridSpan w:val="2"/>
          </w:tcPr>
          <w:p w14:paraId="4613D433" w14:textId="77777777" w:rsidR="004401F0" w:rsidRPr="00251D78" w:rsidRDefault="00DF3C4F" w:rsidP="00654D21">
            <w:pPr>
              <w:pStyle w:val="TableParagraph"/>
              <w:keepNext/>
              <w:keepLines/>
              <w:adjustRightInd w:val="0"/>
              <w:snapToGrid w:val="0"/>
              <w:jc w:val="center"/>
              <w:rPr>
                <w:sz w:val="20"/>
                <w:szCs w:val="20"/>
                <w:lang w:val="fr-FR"/>
              </w:rPr>
            </w:pPr>
            <w:r w:rsidRPr="00251D78">
              <w:rPr>
                <w:sz w:val="20"/>
                <w:szCs w:val="20"/>
                <w:lang w:val="fr-FR"/>
              </w:rPr>
              <w:t>0,54</w:t>
            </w:r>
          </w:p>
          <w:p w14:paraId="01C08345" w14:textId="77777777" w:rsidR="004401F0" w:rsidRPr="00251D78" w:rsidRDefault="00DF3C4F" w:rsidP="00654D21">
            <w:pPr>
              <w:pStyle w:val="TableParagraph"/>
              <w:keepNext/>
              <w:keepLines/>
              <w:adjustRightInd w:val="0"/>
              <w:snapToGrid w:val="0"/>
              <w:jc w:val="center"/>
              <w:rPr>
                <w:sz w:val="20"/>
                <w:szCs w:val="20"/>
                <w:lang w:val="fr-FR"/>
              </w:rPr>
            </w:pPr>
            <w:r w:rsidRPr="00251D78">
              <w:rPr>
                <w:sz w:val="20"/>
                <w:szCs w:val="20"/>
                <w:lang w:val="fr-FR"/>
              </w:rPr>
              <w:t>(p &lt; 0,0001)</w:t>
            </w:r>
          </w:p>
        </w:tc>
      </w:tr>
      <w:tr w:rsidR="004401F0" w:rsidRPr="00251D78" w14:paraId="47D710DF" w14:textId="77777777" w:rsidTr="00251D78">
        <w:trPr>
          <w:cantSplit/>
        </w:trPr>
        <w:tc>
          <w:tcPr>
            <w:tcW w:w="9290" w:type="dxa"/>
            <w:gridSpan w:val="3"/>
          </w:tcPr>
          <w:p w14:paraId="1BA9455F" w14:textId="77777777" w:rsidR="004401F0" w:rsidRPr="00251D78" w:rsidRDefault="00DF3C4F" w:rsidP="00FD0816">
            <w:pPr>
              <w:pStyle w:val="TableParagraph"/>
              <w:adjustRightInd w:val="0"/>
              <w:snapToGrid w:val="0"/>
              <w:rPr>
                <w:sz w:val="20"/>
                <w:szCs w:val="20"/>
                <w:lang w:val="fr-FR"/>
              </w:rPr>
            </w:pPr>
            <w:r w:rsidRPr="00251D78">
              <w:rPr>
                <w:sz w:val="20"/>
                <w:szCs w:val="20"/>
                <w:lang w:val="fr-FR"/>
              </w:rPr>
              <w:t>Taux de réponse global</w:t>
            </w:r>
          </w:p>
        </w:tc>
      </w:tr>
      <w:tr w:rsidR="004401F0" w:rsidRPr="00251D78" w14:paraId="1B94427A" w14:textId="77777777" w:rsidTr="00251D78">
        <w:trPr>
          <w:cantSplit/>
        </w:trPr>
        <w:tc>
          <w:tcPr>
            <w:tcW w:w="4163" w:type="dxa"/>
          </w:tcPr>
          <w:p w14:paraId="20AF202B" w14:textId="77777777" w:rsidR="004401F0" w:rsidRPr="00251D78" w:rsidRDefault="00DF3C4F" w:rsidP="00B40553">
            <w:pPr>
              <w:pStyle w:val="TableParagraph"/>
              <w:adjustRightInd w:val="0"/>
              <w:snapToGrid w:val="0"/>
              <w:ind w:firstLine="360"/>
              <w:rPr>
                <w:sz w:val="20"/>
                <w:szCs w:val="20"/>
                <w:lang w:val="fr-FR"/>
              </w:rPr>
            </w:pPr>
            <w:r w:rsidRPr="00251D78">
              <w:rPr>
                <w:sz w:val="20"/>
                <w:szCs w:val="20"/>
                <w:lang w:val="fr-FR"/>
              </w:rPr>
              <w:t>Taux ( %)</w:t>
            </w:r>
          </w:p>
        </w:tc>
        <w:tc>
          <w:tcPr>
            <w:tcW w:w="2632" w:type="dxa"/>
          </w:tcPr>
          <w:p w14:paraId="7971CD56" w14:textId="77777777" w:rsidR="004401F0" w:rsidRPr="00251D78" w:rsidRDefault="00DF3C4F" w:rsidP="00251D78">
            <w:pPr>
              <w:pStyle w:val="TableParagraph"/>
              <w:adjustRightInd w:val="0"/>
              <w:snapToGrid w:val="0"/>
              <w:jc w:val="center"/>
              <w:rPr>
                <w:sz w:val="20"/>
                <w:szCs w:val="20"/>
                <w:lang w:val="fr-FR"/>
              </w:rPr>
            </w:pPr>
            <w:r w:rsidRPr="00251D78">
              <w:rPr>
                <w:sz w:val="20"/>
                <w:szCs w:val="20"/>
                <w:lang w:val="fr-FR"/>
              </w:rPr>
              <w:t>34,8</w:t>
            </w:r>
          </w:p>
        </w:tc>
        <w:tc>
          <w:tcPr>
            <w:tcW w:w="2495" w:type="dxa"/>
          </w:tcPr>
          <w:p w14:paraId="1DDF5388" w14:textId="77777777" w:rsidR="004401F0" w:rsidRPr="00251D78" w:rsidRDefault="00DF3C4F" w:rsidP="00251D78">
            <w:pPr>
              <w:pStyle w:val="TableParagraph"/>
              <w:adjustRightInd w:val="0"/>
              <w:snapToGrid w:val="0"/>
              <w:jc w:val="center"/>
              <w:rPr>
                <w:sz w:val="20"/>
                <w:szCs w:val="20"/>
                <w:lang w:val="fr-FR"/>
              </w:rPr>
            </w:pPr>
            <w:r w:rsidRPr="00251D78">
              <w:rPr>
                <w:sz w:val="20"/>
                <w:szCs w:val="20"/>
                <w:lang w:val="fr-FR"/>
              </w:rPr>
              <w:t>44,8</w:t>
            </w:r>
          </w:p>
        </w:tc>
      </w:tr>
      <w:tr w:rsidR="004401F0" w:rsidRPr="00251D78" w14:paraId="445C88DC" w14:textId="77777777" w:rsidTr="00251D78">
        <w:trPr>
          <w:cantSplit/>
        </w:trPr>
        <w:tc>
          <w:tcPr>
            <w:tcW w:w="4163" w:type="dxa"/>
          </w:tcPr>
          <w:p w14:paraId="21C71365" w14:textId="77777777" w:rsidR="004401F0" w:rsidRPr="00251D78" w:rsidRDefault="004401F0" w:rsidP="00FD0816">
            <w:pPr>
              <w:pStyle w:val="TableParagraph"/>
              <w:adjustRightInd w:val="0"/>
              <w:snapToGrid w:val="0"/>
              <w:rPr>
                <w:sz w:val="20"/>
                <w:szCs w:val="20"/>
                <w:lang w:val="fr-FR"/>
              </w:rPr>
            </w:pPr>
          </w:p>
        </w:tc>
        <w:tc>
          <w:tcPr>
            <w:tcW w:w="5127" w:type="dxa"/>
            <w:gridSpan w:val="2"/>
          </w:tcPr>
          <w:p w14:paraId="6D3FD1B2" w14:textId="77777777" w:rsidR="004401F0" w:rsidRPr="00251D78" w:rsidRDefault="00DF3C4F" w:rsidP="00251D78">
            <w:pPr>
              <w:pStyle w:val="TableParagraph"/>
              <w:adjustRightInd w:val="0"/>
              <w:snapToGrid w:val="0"/>
              <w:jc w:val="center"/>
              <w:rPr>
                <w:sz w:val="20"/>
                <w:szCs w:val="20"/>
                <w:lang w:val="fr-FR"/>
              </w:rPr>
            </w:pPr>
            <w:r w:rsidRPr="00251D78">
              <w:rPr>
                <w:sz w:val="20"/>
                <w:szCs w:val="20"/>
                <w:lang w:val="fr-FR"/>
              </w:rPr>
              <w:t>p = 0,0036</w:t>
            </w:r>
          </w:p>
        </w:tc>
      </w:tr>
    </w:tbl>
    <w:p w14:paraId="2CFB28AE" w14:textId="77777777" w:rsidR="00251D78" w:rsidRPr="00251D78" w:rsidRDefault="00251D78" w:rsidP="00251D78">
      <w:pPr>
        <w:pStyle w:val="TableParagraph"/>
        <w:adjustRightInd w:val="0"/>
        <w:snapToGrid w:val="0"/>
        <w:rPr>
          <w:sz w:val="18"/>
          <w:szCs w:val="18"/>
          <w:lang w:val="fr-FR"/>
        </w:rPr>
      </w:pPr>
      <w:r w:rsidRPr="00251D78">
        <w:rPr>
          <w:sz w:val="18"/>
          <w:szCs w:val="18"/>
          <w:vertAlign w:val="superscript"/>
          <w:lang w:val="fr-FR"/>
        </w:rPr>
        <w:t>a</w:t>
      </w:r>
      <w:r w:rsidRPr="00251D78">
        <w:rPr>
          <w:sz w:val="18"/>
          <w:szCs w:val="18"/>
          <w:lang w:val="fr-FR"/>
        </w:rPr>
        <w:t xml:space="preserve"> 5 mg/kg toutes les 2 semaines.</w:t>
      </w:r>
    </w:p>
    <w:p w14:paraId="3A545D00" w14:textId="77777777" w:rsidR="004401F0" w:rsidRPr="00251D78" w:rsidRDefault="00251D78" w:rsidP="00251D78">
      <w:pPr>
        <w:pStyle w:val="a3"/>
        <w:adjustRightInd w:val="0"/>
        <w:snapToGrid w:val="0"/>
        <w:rPr>
          <w:sz w:val="18"/>
          <w:szCs w:val="18"/>
          <w:lang w:val="fr-FR"/>
        </w:rPr>
      </w:pPr>
      <w:r w:rsidRPr="00251D78">
        <w:rPr>
          <w:sz w:val="18"/>
          <w:szCs w:val="18"/>
          <w:vertAlign w:val="superscript"/>
          <w:lang w:val="fr-FR"/>
        </w:rPr>
        <w:t>b</w:t>
      </w:r>
      <w:r w:rsidRPr="00251D78">
        <w:rPr>
          <w:sz w:val="18"/>
          <w:szCs w:val="18"/>
          <w:lang w:val="fr-FR"/>
        </w:rPr>
        <w:t xml:space="preserve"> Par rapport au groupe témoin.</w:t>
      </w:r>
    </w:p>
    <w:p w14:paraId="51808EE8" w14:textId="77777777" w:rsidR="00251D78" w:rsidRPr="00DA7718" w:rsidRDefault="00251D78" w:rsidP="00251D78">
      <w:pPr>
        <w:pStyle w:val="a3"/>
        <w:adjustRightInd w:val="0"/>
        <w:snapToGrid w:val="0"/>
        <w:rPr>
          <w:b/>
          <w:sz w:val="23"/>
          <w:lang w:val="fr-FR"/>
        </w:rPr>
      </w:pPr>
    </w:p>
    <w:p w14:paraId="4BF7462D" w14:textId="2C29C63C" w:rsidR="004401F0" w:rsidRPr="00DA7718" w:rsidRDefault="00DF3C4F" w:rsidP="00BD4C7C">
      <w:pPr>
        <w:pStyle w:val="a3"/>
        <w:adjustRightInd w:val="0"/>
        <w:snapToGrid w:val="0"/>
        <w:rPr>
          <w:lang w:val="fr-FR"/>
        </w:rPr>
      </w:pPr>
      <w:r w:rsidRPr="00DA7718">
        <w:rPr>
          <w:lang w:val="fr-FR"/>
        </w:rPr>
        <w:t xml:space="preserve">Chez les 110 patients randomisés dans le groupe 3 (5-FU/AF + </w:t>
      </w:r>
      <w:r w:rsidR="00112317">
        <w:rPr>
          <w:lang w:val="fr-FR"/>
        </w:rPr>
        <w:t>bevacizumab</w:t>
      </w:r>
      <w:r w:rsidRPr="00DA7718">
        <w:rPr>
          <w:lang w:val="fr-FR"/>
        </w:rPr>
        <w:t xml:space="preserve">) avant l’arrêt de ce bras, la médiane </w:t>
      </w:r>
      <w:r w:rsidR="00803E4E">
        <w:rPr>
          <w:lang w:val="fr-FR"/>
        </w:rPr>
        <w:t>d</w:t>
      </w:r>
      <w:r w:rsidR="000E3C8B">
        <w:rPr>
          <w:lang w:val="fr-FR"/>
        </w:rPr>
        <w:t>e l</w:t>
      </w:r>
      <w:r w:rsidR="00803E4E">
        <w:rPr>
          <w:lang w:val="fr-FR"/>
        </w:rPr>
        <w:t>’OS</w:t>
      </w:r>
      <w:r w:rsidRPr="00DA7718">
        <w:rPr>
          <w:lang w:val="fr-FR"/>
        </w:rPr>
        <w:t xml:space="preserve"> a été de 18,3 mois et la médiane de </w:t>
      </w:r>
      <w:r w:rsidR="00803E4E">
        <w:rPr>
          <w:lang w:val="fr-FR"/>
        </w:rPr>
        <w:t>PFS</w:t>
      </w:r>
      <w:r w:rsidRPr="00DA7718">
        <w:rPr>
          <w:lang w:val="fr-FR"/>
        </w:rPr>
        <w:t xml:space="preserve"> de 8,8 mois.</w:t>
      </w:r>
    </w:p>
    <w:p w14:paraId="684C1BC4" w14:textId="77777777" w:rsidR="004401F0" w:rsidRPr="00DA7718" w:rsidRDefault="004401F0" w:rsidP="00BD4C7C">
      <w:pPr>
        <w:pStyle w:val="a3"/>
        <w:adjustRightInd w:val="0"/>
        <w:snapToGrid w:val="0"/>
        <w:rPr>
          <w:lang w:val="fr-FR"/>
        </w:rPr>
      </w:pPr>
    </w:p>
    <w:p w14:paraId="4AD20BDD" w14:textId="77777777" w:rsidR="004401F0" w:rsidRPr="00DA7718" w:rsidRDefault="00DF3C4F" w:rsidP="00BD4C7C">
      <w:pPr>
        <w:adjustRightInd w:val="0"/>
        <w:snapToGrid w:val="0"/>
        <w:rPr>
          <w:i/>
          <w:lang w:val="fr-FR"/>
        </w:rPr>
      </w:pPr>
      <w:r w:rsidRPr="00DA7718">
        <w:rPr>
          <w:i/>
          <w:lang w:val="fr-FR"/>
        </w:rPr>
        <w:t>AVF2192g :</w:t>
      </w:r>
    </w:p>
    <w:p w14:paraId="771DF912" w14:textId="6BA5CAA8" w:rsidR="004401F0" w:rsidRPr="00DA7718" w:rsidRDefault="00DF3C4F" w:rsidP="00BD4C7C">
      <w:pPr>
        <w:pStyle w:val="a3"/>
        <w:adjustRightInd w:val="0"/>
        <w:snapToGrid w:val="0"/>
        <w:rPr>
          <w:lang w:val="fr-FR"/>
        </w:rPr>
      </w:pPr>
      <w:r w:rsidRPr="00DA7718">
        <w:rPr>
          <w:lang w:val="fr-FR"/>
        </w:rPr>
        <w:t xml:space="preserve">Cette étude clinique de phase II randomisée, contrôlée et en double aveugle évaluant l’efficacité et la tolérance </w:t>
      </w:r>
      <w:r w:rsidR="00112317">
        <w:rPr>
          <w:lang w:val="fr-FR"/>
        </w:rPr>
        <w:t>du bevacizumab</w:t>
      </w:r>
      <w:r w:rsidR="00112317" w:rsidRPr="00DA7718">
        <w:rPr>
          <w:lang w:val="fr-FR"/>
        </w:rPr>
        <w:t xml:space="preserve"> </w:t>
      </w:r>
      <w:r w:rsidRPr="00DA7718">
        <w:rPr>
          <w:lang w:val="fr-FR"/>
        </w:rPr>
        <w:t xml:space="preserve">en association à la chimiothérapie 5-FU/AF en traitement de première ligne du cancer colorectal métastatique chez des patients pour lesquels un traitement de première ligne par l’irinotécan n’était pas indiqué de façon optimale. Cent cinq patients ont été randomisés dans le groupe 5-FU/AF + placebo et 104 dans le groupe 5-FU/AF + </w:t>
      </w:r>
      <w:r w:rsidR="00112317">
        <w:rPr>
          <w:lang w:val="fr-FR"/>
        </w:rPr>
        <w:t>bevacizumab</w:t>
      </w:r>
      <w:r w:rsidRPr="00DA7718">
        <w:rPr>
          <w:lang w:val="fr-FR"/>
        </w:rPr>
        <w:t xml:space="preserve"> (5</w:t>
      </w:r>
      <w:r w:rsidR="00DA7718" w:rsidRPr="00DA7718">
        <w:rPr>
          <w:lang w:val="fr-FR"/>
        </w:rPr>
        <w:t> mg</w:t>
      </w:r>
      <w:r w:rsidRPr="00DA7718">
        <w:rPr>
          <w:lang w:val="fr-FR"/>
        </w:rPr>
        <w:t xml:space="preserve">/kg toutes les 2 semaines). Tous les traitements ont été poursuivis jusqu’à progression de la maladie. L’association </w:t>
      </w:r>
      <w:r w:rsidR="00112317">
        <w:rPr>
          <w:lang w:val="fr-FR"/>
        </w:rPr>
        <w:t>du bevacizumab</w:t>
      </w:r>
      <w:r w:rsidR="00112317" w:rsidRPr="00DA7718">
        <w:rPr>
          <w:lang w:val="fr-FR"/>
        </w:rPr>
        <w:t xml:space="preserve"> </w:t>
      </w:r>
      <w:r w:rsidRPr="00DA7718">
        <w:rPr>
          <w:lang w:val="fr-FR"/>
        </w:rPr>
        <w:t>(5</w:t>
      </w:r>
      <w:r w:rsidR="00DA7718" w:rsidRPr="00DA7718">
        <w:rPr>
          <w:lang w:val="fr-FR"/>
        </w:rPr>
        <w:t> mg</w:t>
      </w:r>
      <w:r w:rsidRPr="00DA7718">
        <w:rPr>
          <w:lang w:val="fr-FR"/>
        </w:rPr>
        <w:t xml:space="preserve">/kg toutes les 2 semaines) à la chimiothérapie 5-FU/AF a conduit à des taux de réponse objective plus élevés, à une prolongation significative de la </w:t>
      </w:r>
      <w:r w:rsidR="00803E4E">
        <w:rPr>
          <w:lang w:val="fr-FR"/>
        </w:rPr>
        <w:t>PFS</w:t>
      </w:r>
      <w:r w:rsidRPr="00DA7718">
        <w:rPr>
          <w:lang w:val="fr-FR"/>
        </w:rPr>
        <w:t xml:space="preserve"> et à une tendance à une survie plus longue comparé à la chimiothérapie 5-FU/AF seule.</w:t>
      </w:r>
    </w:p>
    <w:p w14:paraId="53E914EF" w14:textId="77777777" w:rsidR="004401F0" w:rsidRPr="007C119A" w:rsidRDefault="004401F0" w:rsidP="00BD4C7C">
      <w:pPr>
        <w:pStyle w:val="a3"/>
        <w:adjustRightInd w:val="0"/>
        <w:snapToGrid w:val="0"/>
        <w:rPr>
          <w:lang w:val="fr-FR"/>
        </w:rPr>
      </w:pPr>
    </w:p>
    <w:p w14:paraId="2FD4F628" w14:textId="77777777" w:rsidR="004401F0" w:rsidRPr="00DA7718" w:rsidRDefault="00DF3C4F" w:rsidP="00BD4C7C">
      <w:pPr>
        <w:adjustRightInd w:val="0"/>
        <w:snapToGrid w:val="0"/>
        <w:rPr>
          <w:i/>
          <w:lang w:val="fr-FR"/>
        </w:rPr>
      </w:pPr>
      <w:r w:rsidRPr="00DA7718">
        <w:rPr>
          <w:i/>
          <w:lang w:val="fr-FR"/>
        </w:rPr>
        <w:t>AVF0780g :</w:t>
      </w:r>
    </w:p>
    <w:p w14:paraId="0E8ECF6C" w14:textId="3F7A95F6" w:rsidR="004401F0" w:rsidRPr="00DA7718" w:rsidRDefault="00DF3C4F" w:rsidP="00BD4C7C">
      <w:pPr>
        <w:pStyle w:val="a3"/>
        <w:adjustRightInd w:val="0"/>
        <w:snapToGrid w:val="0"/>
        <w:rPr>
          <w:lang w:val="fr-FR"/>
        </w:rPr>
      </w:pPr>
      <w:r w:rsidRPr="00DA7718">
        <w:rPr>
          <w:lang w:val="fr-FR"/>
        </w:rPr>
        <w:t xml:space="preserve">Il s’agissait d’une étude clinique de phase II, randomisée, contrôlée, ouverte, évaluant </w:t>
      </w:r>
      <w:r w:rsidR="00112317">
        <w:rPr>
          <w:lang w:val="fr-FR"/>
        </w:rPr>
        <w:t>le bevacizumab</w:t>
      </w:r>
      <w:r w:rsidR="00112317" w:rsidRPr="00DA7718">
        <w:rPr>
          <w:lang w:val="fr-FR"/>
        </w:rPr>
        <w:t xml:space="preserve"> </w:t>
      </w:r>
      <w:r w:rsidRPr="00DA7718">
        <w:rPr>
          <w:lang w:val="fr-FR"/>
        </w:rPr>
        <w:t>en association à une chimiothérapie 5-FU/AF comme traitement de première ligne du cancer colorectal métastatique. L’âge médian était 64 ans. 19</w:t>
      </w:r>
      <w:r w:rsidR="00AF3AAA">
        <w:rPr>
          <w:lang w:val="fr-FR"/>
        </w:rPr>
        <w:t xml:space="preserve"> % </w:t>
      </w:r>
      <w:r w:rsidRPr="00DA7718">
        <w:rPr>
          <w:lang w:val="fr-FR"/>
        </w:rPr>
        <w:t>des patients avaient reçu précédemment une chimiothérapie et 14</w:t>
      </w:r>
      <w:r w:rsidR="00AF3AAA">
        <w:rPr>
          <w:lang w:val="fr-FR"/>
        </w:rPr>
        <w:t xml:space="preserve"> % </w:t>
      </w:r>
      <w:r w:rsidRPr="00DA7718">
        <w:rPr>
          <w:lang w:val="fr-FR"/>
        </w:rPr>
        <w:t xml:space="preserve">une radiothérapie. Soixante et onze patients ont été randomisés pour recevoir 5-FU en bolus/AF ou 5-FU en bolus/AF </w:t>
      </w:r>
      <w:r w:rsidRPr="00DA7718">
        <w:rPr>
          <w:rFonts w:ascii="Symbol" w:hAnsi="Symbol"/>
          <w:lang w:val="fr-FR"/>
        </w:rPr>
        <w:t></w:t>
      </w:r>
      <w:r w:rsidRPr="00DA7718">
        <w:rPr>
          <w:lang w:val="fr-FR"/>
        </w:rPr>
        <w:t xml:space="preserve"> </w:t>
      </w:r>
      <w:r w:rsidR="00112317">
        <w:rPr>
          <w:lang w:val="fr-FR"/>
        </w:rPr>
        <w:t>bevacizumab</w:t>
      </w:r>
      <w:r w:rsidRPr="00DA7718">
        <w:rPr>
          <w:lang w:val="fr-FR"/>
        </w:rPr>
        <w:t xml:space="preserve"> (5</w:t>
      </w:r>
      <w:r w:rsidR="00DA7718" w:rsidRPr="00DA7718">
        <w:rPr>
          <w:lang w:val="fr-FR"/>
        </w:rPr>
        <w:t> mg</w:t>
      </w:r>
      <w:r w:rsidRPr="00DA7718">
        <w:rPr>
          <w:lang w:val="fr-FR"/>
        </w:rPr>
        <w:t xml:space="preserve">/kg toutes les 2 semaines). Un troisième groupe de 33 patients a reçu 5-FU en bolus/AF </w:t>
      </w:r>
      <w:r w:rsidRPr="00DA7718">
        <w:rPr>
          <w:rFonts w:ascii="Symbol" w:hAnsi="Symbol"/>
          <w:lang w:val="fr-FR"/>
        </w:rPr>
        <w:t></w:t>
      </w:r>
      <w:r w:rsidRPr="00DA7718">
        <w:rPr>
          <w:lang w:val="fr-FR"/>
        </w:rPr>
        <w:t xml:space="preserve"> </w:t>
      </w:r>
      <w:r w:rsidR="00D83581">
        <w:rPr>
          <w:lang w:val="fr-FR"/>
        </w:rPr>
        <w:t>bevacizumab</w:t>
      </w:r>
      <w:r w:rsidRPr="00DA7718">
        <w:rPr>
          <w:lang w:val="fr-FR"/>
        </w:rPr>
        <w:t xml:space="preserve"> (10</w:t>
      </w:r>
      <w:r w:rsidR="00DA7718" w:rsidRPr="00DA7718">
        <w:rPr>
          <w:lang w:val="fr-FR"/>
        </w:rPr>
        <w:t> mg</w:t>
      </w:r>
      <w:r w:rsidRPr="00DA7718">
        <w:rPr>
          <w:lang w:val="fr-FR"/>
        </w:rPr>
        <w:t xml:space="preserve">/kg toutes les 2 semaines). Les patients ont été traités jusqu’à progression de la maladie. Les critères principaux de l’étude étaient le taux de réponse objective et la </w:t>
      </w:r>
      <w:r w:rsidR="0033604E">
        <w:rPr>
          <w:lang w:val="fr-FR"/>
        </w:rPr>
        <w:t>P</w:t>
      </w:r>
      <w:r w:rsidR="00803E4E">
        <w:rPr>
          <w:lang w:val="fr-FR"/>
        </w:rPr>
        <w:t>FS</w:t>
      </w:r>
      <w:r w:rsidRPr="00DA7718">
        <w:rPr>
          <w:lang w:val="fr-FR"/>
        </w:rPr>
        <w:t xml:space="preserve">. L’association </w:t>
      </w:r>
      <w:r w:rsidR="00D83581">
        <w:rPr>
          <w:lang w:val="fr-FR"/>
        </w:rPr>
        <w:t>du bevacizumab</w:t>
      </w:r>
      <w:r w:rsidR="003C5B61">
        <w:rPr>
          <w:lang w:val="fr-FR"/>
        </w:rPr>
        <w:t xml:space="preserve"> </w:t>
      </w:r>
      <w:r w:rsidRPr="00DA7718">
        <w:rPr>
          <w:lang w:val="fr-FR"/>
        </w:rPr>
        <w:t>(5</w:t>
      </w:r>
      <w:r w:rsidR="00DA7718" w:rsidRPr="00DA7718">
        <w:rPr>
          <w:lang w:val="fr-FR"/>
        </w:rPr>
        <w:t> mg</w:t>
      </w:r>
      <w:r w:rsidRPr="00DA7718">
        <w:rPr>
          <w:lang w:val="fr-FR"/>
        </w:rPr>
        <w:t xml:space="preserve">/kg toutes les deux semaines) à la chimiothérapie 5-FU/AF a conduit, par comparaison à la chimiothérapie 5-FU/AF seule, à l’augmentation du taux de réponse objective, à l’allongement de la </w:t>
      </w:r>
      <w:r w:rsidR="00803E4E">
        <w:rPr>
          <w:lang w:val="fr-FR"/>
        </w:rPr>
        <w:t>PFS</w:t>
      </w:r>
      <w:r w:rsidRPr="00DA7718">
        <w:rPr>
          <w:lang w:val="fr-FR"/>
        </w:rPr>
        <w:t>, ainsi qu’à une tendance à la prolongation de la survie (voir tableau 5). Ces résultats d’efficacité sont en adéquation avec ceux de l’étude AVF2107g.</w:t>
      </w:r>
    </w:p>
    <w:p w14:paraId="17B80933" w14:textId="77777777" w:rsidR="004401F0" w:rsidRPr="007C119A" w:rsidRDefault="004401F0" w:rsidP="00BD4C7C">
      <w:pPr>
        <w:pStyle w:val="a3"/>
        <w:adjustRightInd w:val="0"/>
        <w:snapToGrid w:val="0"/>
        <w:rPr>
          <w:lang w:val="fr-FR"/>
        </w:rPr>
      </w:pPr>
    </w:p>
    <w:p w14:paraId="0A45AE64" w14:textId="7395EEEF" w:rsidR="004401F0" w:rsidRPr="00DA7718" w:rsidRDefault="00DF3C4F" w:rsidP="00BD4C7C">
      <w:pPr>
        <w:pStyle w:val="a3"/>
        <w:adjustRightInd w:val="0"/>
        <w:snapToGrid w:val="0"/>
        <w:rPr>
          <w:lang w:val="fr-FR"/>
        </w:rPr>
      </w:pPr>
      <w:r w:rsidRPr="00DA7718">
        <w:rPr>
          <w:lang w:val="fr-FR"/>
        </w:rPr>
        <w:t xml:space="preserve">Les données d’efficacité des études AVF0780g et AVF2192g évaluant </w:t>
      </w:r>
      <w:r w:rsidR="00D83581">
        <w:rPr>
          <w:lang w:val="fr-FR"/>
        </w:rPr>
        <w:t>le bevacizumab</w:t>
      </w:r>
      <w:r w:rsidR="00D83581" w:rsidRPr="00DA7718">
        <w:rPr>
          <w:lang w:val="fr-FR"/>
        </w:rPr>
        <w:t xml:space="preserve"> </w:t>
      </w:r>
      <w:r w:rsidRPr="00DA7718">
        <w:rPr>
          <w:lang w:val="fr-FR"/>
        </w:rPr>
        <w:t>en association à la chimiothérapie 5-FU/AF sont résumées dans le tableau 5.</w:t>
      </w:r>
    </w:p>
    <w:p w14:paraId="2E3FE308" w14:textId="77777777" w:rsidR="00BD4C7C" w:rsidRPr="00DA7718" w:rsidRDefault="00BD4C7C" w:rsidP="00BD4C7C">
      <w:pPr>
        <w:adjustRightInd w:val="0"/>
        <w:snapToGrid w:val="0"/>
        <w:rPr>
          <w:lang w:val="fr-FR"/>
        </w:rPr>
      </w:pPr>
    </w:p>
    <w:p w14:paraId="63F5864A" w14:textId="77777777" w:rsidR="004401F0" w:rsidRPr="00E13189" w:rsidRDefault="00DF3C4F" w:rsidP="00E13189">
      <w:pPr>
        <w:keepNext/>
        <w:keepLines/>
        <w:ind w:left="1276" w:hanging="1276"/>
        <w:rPr>
          <w:b/>
          <w:bCs/>
          <w:lang w:val="fr-FR"/>
        </w:rPr>
      </w:pPr>
      <w:r w:rsidRPr="00E13189">
        <w:rPr>
          <w:b/>
          <w:bCs/>
          <w:lang w:val="fr-FR"/>
        </w:rPr>
        <w:lastRenderedPageBreak/>
        <w:t>Tableau 5</w:t>
      </w:r>
      <w:r w:rsidRPr="00E13189">
        <w:rPr>
          <w:b/>
          <w:bCs/>
          <w:lang w:val="fr-FR"/>
        </w:rPr>
        <w:tab/>
        <w:t>Résultats d’efficacité des études AVF0780g et AVF2192g</w:t>
      </w:r>
    </w:p>
    <w:p w14:paraId="5D2DC3A9" w14:textId="77777777" w:rsidR="004401F0" w:rsidRPr="00DA7718" w:rsidRDefault="004401F0" w:rsidP="00E13189">
      <w:pPr>
        <w:pStyle w:val="a3"/>
        <w:keepNext/>
        <w:keepLines/>
        <w:adjustRightInd w:val="0"/>
        <w:snapToGrid w:val="0"/>
        <w:rPr>
          <w:b/>
          <w:lang w:val="fr-FR"/>
        </w:rPr>
      </w:pPr>
    </w:p>
    <w:tbl>
      <w:tblPr>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542"/>
        <w:gridCol w:w="1279"/>
        <w:gridCol w:w="1346"/>
        <w:gridCol w:w="1332"/>
        <w:gridCol w:w="1276"/>
        <w:gridCol w:w="1336"/>
      </w:tblGrid>
      <w:tr w:rsidR="004401F0" w:rsidRPr="00FD0816" w14:paraId="5CCE13A5" w14:textId="77777777" w:rsidTr="00654D21">
        <w:trPr>
          <w:cantSplit/>
          <w:tblHeader/>
        </w:trPr>
        <w:tc>
          <w:tcPr>
            <w:tcW w:w="2579" w:type="dxa"/>
            <w:vMerge w:val="restart"/>
          </w:tcPr>
          <w:p w14:paraId="3FB8111F" w14:textId="77777777" w:rsidR="004401F0" w:rsidRPr="00FD0816" w:rsidRDefault="004401F0" w:rsidP="00FD0816">
            <w:pPr>
              <w:pStyle w:val="TableParagraph"/>
              <w:keepNext/>
              <w:keepLines/>
              <w:adjustRightInd w:val="0"/>
              <w:snapToGrid w:val="0"/>
              <w:rPr>
                <w:sz w:val="20"/>
                <w:szCs w:val="20"/>
                <w:lang w:val="fr-FR"/>
              </w:rPr>
            </w:pPr>
          </w:p>
        </w:tc>
        <w:tc>
          <w:tcPr>
            <w:tcW w:w="4012" w:type="dxa"/>
            <w:gridSpan w:val="3"/>
          </w:tcPr>
          <w:p w14:paraId="1375AD3A" w14:textId="77777777" w:rsidR="004401F0" w:rsidRPr="00FD0816" w:rsidRDefault="00DF3C4F" w:rsidP="00FD0816">
            <w:pPr>
              <w:pStyle w:val="TableParagraph"/>
              <w:keepNext/>
              <w:keepLines/>
              <w:adjustRightInd w:val="0"/>
              <w:snapToGrid w:val="0"/>
              <w:jc w:val="center"/>
              <w:rPr>
                <w:b/>
                <w:bCs/>
                <w:sz w:val="20"/>
                <w:szCs w:val="20"/>
                <w:lang w:val="fr-FR"/>
              </w:rPr>
            </w:pPr>
            <w:r w:rsidRPr="00FD0816">
              <w:rPr>
                <w:b/>
                <w:bCs/>
                <w:sz w:val="20"/>
                <w:szCs w:val="20"/>
                <w:lang w:val="fr-FR"/>
              </w:rPr>
              <w:t>AVF0780g</w:t>
            </w:r>
          </w:p>
        </w:tc>
        <w:tc>
          <w:tcPr>
            <w:tcW w:w="2647" w:type="dxa"/>
            <w:gridSpan w:val="2"/>
          </w:tcPr>
          <w:p w14:paraId="2483512E" w14:textId="77777777" w:rsidR="004401F0" w:rsidRPr="00FD0816" w:rsidRDefault="00DF3C4F" w:rsidP="00FD0816">
            <w:pPr>
              <w:pStyle w:val="TableParagraph"/>
              <w:keepNext/>
              <w:keepLines/>
              <w:adjustRightInd w:val="0"/>
              <w:snapToGrid w:val="0"/>
              <w:jc w:val="center"/>
              <w:rPr>
                <w:b/>
                <w:bCs/>
                <w:sz w:val="20"/>
                <w:szCs w:val="20"/>
                <w:lang w:val="fr-FR"/>
              </w:rPr>
            </w:pPr>
            <w:r w:rsidRPr="00FD0816">
              <w:rPr>
                <w:b/>
                <w:bCs/>
                <w:sz w:val="20"/>
                <w:szCs w:val="20"/>
                <w:lang w:val="fr-FR"/>
              </w:rPr>
              <w:t>AVF2192g</w:t>
            </w:r>
          </w:p>
        </w:tc>
      </w:tr>
      <w:tr w:rsidR="004401F0" w:rsidRPr="00FD0816" w14:paraId="68962364" w14:textId="77777777" w:rsidTr="00654D21">
        <w:trPr>
          <w:cantSplit/>
          <w:tblHeader/>
        </w:trPr>
        <w:tc>
          <w:tcPr>
            <w:tcW w:w="2579" w:type="dxa"/>
            <w:vMerge/>
            <w:tcBorders>
              <w:top w:val="nil"/>
            </w:tcBorders>
          </w:tcPr>
          <w:p w14:paraId="68D49B26" w14:textId="77777777" w:rsidR="004401F0" w:rsidRPr="00FD0816" w:rsidRDefault="004401F0" w:rsidP="00FD0816">
            <w:pPr>
              <w:keepNext/>
              <w:keepLines/>
              <w:adjustRightInd w:val="0"/>
              <w:snapToGrid w:val="0"/>
              <w:rPr>
                <w:sz w:val="20"/>
                <w:szCs w:val="20"/>
                <w:lang w:val="fr-FR"/>
              </w:rPr>
            </w:pPr>
          </w:p>
        </w:tc>
        <w:tc>
          <w:tcPr>
            <w:tcW w:w="1297" w:type="dxa"/>
          </w:tcPr>
          <w:p w14:paraId="3F50E476" w14:textId="77777777" w:rsidR="004401F0" w:rsidRPr="00FD0816" w:rsidRDefault="004401F0" w:rsidP="00FD0816">
            <w:pPr>
              <w:pStyle w:val="TableParagraph"/>
              <w:keepNext/>
              <w:keepLines/>
              <w:adjustRightInd w:val="0"/>
              <w:snapToGrid w:val="0"/>
              <w:jc w:val="center"/>
              <w:rPr>
                <w:b/>
                <w:bCs/>
                <w:sz w:val="20"/>
                <w:szCs w:val="20"/>
                <w:lang w:val="fr-FR"/>
              </w:rPr>
            </w:pPr>
          </w:p>
          <w:p w14:paraId="1D594CAD" w14:textId="77777777" w:rsidR="004401F0" w:rsidRPr="00FD0816" w:rsidRDefault="00DF3C4F" w:rsidP="00FD0816">
            <w:pPr>
              <w:pStyle w:val="TableParagraph"/>
              <w:keepNext/>
              <w:keepLines/>
              <w:adjustRightInd w:val="0"/>
              <w:snapToGrid w:val="0"/>
              <w:jc w:val="center"/>
              <w:rPr>
                <w:b/>
                <w:bCs/>
                <w:sz w:val="20"/>
                <w:szCs w:val="20"/>
                <w:lang w:val="fr-FR"/>
              </w:rPr>
            </w:pPr>
            <w:r w:rsidRPr="00FD0816">
              <w:rPr>
                <w:b/>
                <w:bCs/>
                <w:sz w:val="20"/>
                <w:szCs w:val="20"/>
                <w:lang w:val="fr-FR"/>
              </w:rPr>
              <w:t>5-FU/AF</w:t>
            </w:r>
          </w:p>
        </w:tc>
        <w:tc>
          <w:tcPr>
            <w:tcW w:w="1365" w:type="dxa"/>
          </w:tcPr>
          <w:p w14:paraId="05DF391B" w14:textId="77777777" w:rsidR="004401F0" w:rsidRPr="00FD0816" w:rsidRDefault="00DF3C4F" w:rsidP="00FD0816">
            <w:pPr>
              <w:pStyle w:val="TableParagraph"/>
              <w:keepNext/>
              <w:keepLines/>
              <w:adjustRightInd w:val="0"/>
              <w:snapToGrid w:val="0"/>
              <w:jc w:val="center"/>
              <w:rPr>
                <w:b/>
                <w:bCs/>
                <w:sz w:val="20"/>
                <w:szCs w:val="20"/>
                <w:lang w:val="fr-FR"/>
              </w:rPr>
            </w:pPr>
            <w:r w:rsidRPr="00FD0816">
              <w:rPr>
                <w:b/>
                <w:bCs/>
                <w:sz w:val="20"/>
                <w:szCs w:val="20"/>
                <w:lang w:val="fr-FR"/>
              </w:rPr>
              <w:t>5-FU/AF +</w:t>
            </w:r>
          </w:p>
          <w:p w14:paraId="5F9E7362" w14:textId="39FC3A3B" w:rsidR="004401F0" w:rsidRPr="00FD0816" w:rsidRDefault="00D83581" w:rsidP="00FD0816">
            <w:pPr>
              <w:pStyle w:val="TableParagraph"/>
              <w:keepNext/>
              <w:keepLines/>
              <w:adjustRightInd w:val="0"/>
              <w:snapToGrid w:val="0"/>
              <w:jc w:val="center"/>
              <w:rPr>
                <w:b/>
                <w:bCs/>
                <w:sz w:val="20"/>
                <w:szCs w:val="20"/>
                <w:lang w:val="fr-FR"/>
              </w:rPr>
            </w:pPr>
            <w:r>
              <w:rPr>
                <w:b/>
                <w:bCs/>
                <w:sz w:val="20"/>
                <w:szCs w:val="20"/>
                <w:lang w:val="fr-FR"/>
              </w:rPr>
              <w:t>bevacizumab</w:t>
            </w:r>
            <w:r w:rsidRPr="00FD0816">
              <w:rPr>
                <w:b/>
                <w:bCs/>
                <w:sz w:val="20"/>
                <w:szCs w:val="20"/>
                <w:vertAlign w:val="superscript"/>
                <w:lang w:val="fr-FR"/>
              </w:rPr>
              <w:t>a</w:t>
            </w:r>
          </w:p>
        </w:tc>
        <w:tc>
          <w:tcPr>
            <w:tcW w:w="1350" w:type="dxa"/>
          </w:tcPr>
          <w:p w14:paraId="5CBD67BE" w14:textId="77777777" w:rsidR="004401F0" w:rsidRPr="00FD0816" w:rsidRDefault="00DF3C4F" w:rsidP="00FD0816">
            <w:pPr>
              <w:pStyle w:val="TableParagraph"/>
              <w:keepNext/>
              <w:keepLines/>
              <w:adjustRightInd w:val="0"/>
              <w:snapToGrid w:val="0"/>
              <w:jc w:val="center"/>
              <w:rPr>
                <w:b/>
                <w:bCs/>
                <w:sz w:val="20"/>
                <w:szCs w:val="20"/>
                <w:lang w:val="fr-FR"/>
              </w:rPr>
            </w:pPr>
            <w:r w:rsidRPr="00FD0816">
              <w:rPr>
                <w:b/>
                <w:bCs/>
                <w:sz w:val="20"/>
                <w:szCs w:val="20"/>
                <w:lang w:val="fr-FR"/>
              </w:rPr>
              <w:t>5-FU/AF +</w:t>
            </w:r>
          </w:p>
          <w:p w14:paraId="6941C880" w14:textId="2C6259E4" w:rsidR="004401F0" w:rsidRPr="00FD0816" w:rsidRDefault="00D83581" w:rsidP="00FD0816">
            <w:pPr>
              <w:pStyle w:val="TableParagraph"/>
              <w:keepNext/>
              <w:keepLines/>
              <w:adjustRightInd w:val="0"/>
              <w:snapToGrid w:val="0"/>
              <w:jc w:val="center"/>
              <w:rPr>
                <w:b/>
                <w:bCs/>
                <w:sz w:val="20"/>
                <w:szCs w:val="20"/>
                <w:lang w:val="fr-FR"/>
              </w:rPr>
            </w:pPr>
            <w:r>
              <w:rPr>
                <w:b/>
                <w:bCs/>
                <w:sz w:val="20"/>
                <w:szCs w:val="20"/>
                <w:lang w:val="fr-FR"/>
              </w:rPr>
              <w:t>bevacizumab</w:t>
            </w:r>
            <w:r w:rsidRPr="00FD0816">
              <w:rPr>
                <w:b/>
                <w:bCs/>
                <w:sz w:val="20"/>
                <w:szCs w:val="20"/>
                <w:vertAlign w:val="superscript"/>
                <w:lang w:val="fr-FR"/>
              </w:rPr>
              <w:t>b</w:t>
            </w:r>
          </w:p>
        </w:tc>
        <w:tc>
          <w:tcPr>
            <w:tcW w:w="1293" w:type="dxa"/>
          </w:tcPr>
          <w:p w14:paraId="1BB5C698" w14:textId="77777777" w:rsidR="004401F0" w:rsidRPr="00FD0816" w:rsidRDefault="00DF3C4F" w:rsidP="00FD0816">
            <w:pPr>
              <w:pStyle w:val="TableParagraph"/>
              <w:keepNext/>
              <w:keepLines/>
              <w:adjustRightInd w:val="0"/>
              <w:snapToGrid w:val="0"/>
              <w:jc w:val="center"/>
              <w:rPr>
                <w:b/>
                <w:bCs/>
                <w:sz w:val="20"/>
                <w:szCs w:val="20"/>
                <w:lang w:val="fr-FR"/>
              </w:rPr>
            </w:pPr>
            <w:r w:rsidRPr="00FD0816">
              <w:rPr>
                <w:b/>
                <w:bCs/>
                <w:sz w:val="20"/>
                <w:szCs w:val="20"/>
                <w:lang w:val="fr-FR"/>
              </w:rPr>
              <w:t>5-FU/AF +</w:t>
            </w:r>
          </w:p>
          <w:p w14:paraId="279084DF" w14:textId="77777777" w:rsidR="004401F0" w:rsidRPr="00FD0816" w:rsidRDefault="00DF3C4F" w:rsidP="00FD0816">
            <w:pPr>
              <w:pStyle w:val="TableParagraph"/>
              <w:keepNext/>
              <w:keepLines/>
              <w:adjustRightInd w:val="0"/>
              <w:snapToGrid w:val="0"/>
              <w:jc w:val="center"/>
              <w:rPr>
                <w:b/>
                <w:bCs/>
                <w:sz w:val="20"/>
                <w:szCs w:val="20"/>
                <w:lang w:val="fr-FR"/>
              </w:rPr>
            </w:pPr>
            <w:r w:rsidRPr="00FD0816">
              <w:rPr>
                <w:b/>
                <w:bCs/>
                <w:sz w:val="20"/>
                <w:szCs w:val="20"/>
                <w:lang w:val="fr-FR"/>
              </w:rPr>
              <w:t>placebo</w:t>
            </w:r>
          </w:p>
        </w:tc>
        <w:tc>
          <w:tcPr>
            <w:tcW w:w="1354" w:type="dxa"/>
          </w:tcPr>
          <w:p w14:paraId="6E4615B5" w14:textId="77777777" w:rsidR="004401F0" w:rsidRPr="00FD0816" w:rsidRDefault="00DF3C4F" w:rsidP="00FD0816">
            <w:pPr>
              <w:pStyle w:val="TableParagraph"/>
              <w:keepNext/>
              <w:keepLines/>
              <w:adjustRightInd w:val="0"/>
              <w:snapToGrid w:val="0"/>
              <w:jc w:val="center"/>
              <w:rPr>
                <w:b/>
                <w:bCs/>
                <w:sz w:val="20"/>
                <w:szCs w:val="20"/>
                <w:lang w:val="fr-FR"/>
              </w:rPr>
            </w:pPr>
            <w:r w:rsidRPr="00FD0816">
              <w:rPr>
                <w:b/>
                <w:bCs/>
                <w:sz w:val="20"/>
                <w:szCs w:val="20"/>
                <w:lang w:val="fr-FR"/>
              </w:rPr>
              <w:t>5-FU/AF +</w:t>
            </w:r>
          </w:p>
          <w:p w14:paraId="11BBB186" w14:textId="541F4390" w:rsidR="004401F0" w:rsidRPr="00FD0816" w:rsidRDefault="00D83581" w:rsidP="00FD0816">
            <w:pPr>
              <w:pStyle w:val="TableParagraph"/>
              <w:keepNext/>
              <w:keepLines/>
              <w:adjustRightInd w:val="0"/>
              <w:snapToGrid w:val="0"/>
              <w:jc w:val="center"/>
              <w:rPr>
                <w:b/>
                <w:bCs/>
                <w:sz w:val="20"/>
                <w:szCs w:val="20"/>
                <w:lang w:val="fr-FR"/>
              </w:rPr>
            </w:pPr>
            <w:r>
              <w:rPr>
                <w:b/>
                <w:bCs/>
                <w:sz w:val="20"/>
                <w:szCs w:val="20"/>
                <w:lang w:val="fr-FR"/>
              </w:rPr>
              <w:t>bevacizumab</w:t>
            </w:r>
          </w:p>
        </w:tc>
      </w:tr>
      <w:tr w:rsidR="004401F0" w:rsidRPr="00FD0816" w14:paraId="70699913" w14:textId="77777777" w:rsidTr="00654D21">
        <w:trPr>
          <w:cantSplit/>
        </w:trPr>
        <w:tc>
          <w:tcPr>
            <w:tcW w:w="2579" w:type="dxa"/>
          </w:tcPr>
          <w:p w14:paraId="62D898A1" w14:textId="77777777" w:rsidR="004401F0" w:rsidRPr="00FD0816" w:rsidRDefault="00DF3C4F" w:rsidP="00FD0816">
            <w:pPr>
              <w:pStyle w:val="TableParagraph"/>
              <w:keepNext/>
              <w:keepLines/>
              <w:adjustRightInd w:val="0"/>
              <w:snapToGrid w:val="0"/>
              <w:rPr>
                <w:sz w:val="20"/>
                <w:szCs w:val="20"/>
                <w:lang w:val="fr-FR"/>
              </w:rPr>
            </w:pPr>
            <w:r w:rsidRPr="00FD0816">
              <w:rPr>
                <w:sz w:val="20"/>
                <w:szCs w:val="20"/>
                <w:lang w:val="fr-FR"/>
              </w:rPr>
              <w:t>Nombre de patients</w:t>
            </w:r>
          </w:p>
        </w:tc>
        <w:tc>
          <w:tcPr>
            <w:tcW w:w="1297" w:type="dxa"/>
          </w:tcPr>
          <w:p w14:paraId="2A644882" w14:textId="77777777" w:rsidR="004401F0" w:rsidRPr="00FD0816" w:rsidRDefault="00DF3C4F" w:rsidP="00FD0816">
            <w:pPr>
              <w:pStyle w:val="TableParagraph"/>
              <w:keepNext/>
              <w:keepLines/>
              <w:adjustRightInd w:val="0"/>
              <w:snapToGrid w:val="0"/>
              <w:jc w:val="center"/>
              <w:rPr>
                <w:sz w:val="20"/>
                <w:szCs w:val="20"/>
                <w:lang w:val="fr-FR"/>
              </w:rPr>
            </w:pPr>
            <w:r w:rsidRPr="00FD0816">
              <w:rPr>
                <w:sz w:val="20"/>
                <w:szCs w:val="20"/>
                <w:lang w:val="fr-FR"/>
              </w:rPr>
              <w:t>36</w:t>
            </w:r>
          </w:p>
        </w:tc>
        <w:tc>
          <w:tcPr>
            <w:tcW w:w="1365" w:type="dxa"/>
          </w:tcPr>
          <w:p w14:paraId="643E6BE8" w14:textId="77777777" w:rsidR="004401F0" w:rsidRPr="00FD0816" w:rsidRDefault="00DF3C4F" w:rsidP="00FD0816">
            <w:pPr>
              <w:pStyle w:val="TableParagraph"/>
              <w:keepNext/>
              <w:keepLines/>
              <w:adjustRightInd w:val="0"/>
              <w:snapToGrid w:val="0"/>
              <w:jc w:val="center"/>
              <w:rPr>
                <w:sz w:val="20"/>
                <w:szCs w:val="20"/>
                <w:lang w:val="fr-FR"/>
              </w:rPr>
            </w:pPr>
            <w:r w:rsidRPr="00FD0816">
              <w:rPr>
                <w:sz w:val="20"/>
                <w:szCs w:val="20"/>
                <w:lang w:val="fr-FR"/>
              </w:rPr>
              <w:t>35</w:t>
            </w:r>
          </w:p>
        </w:tc>
        <w:tc>
          <w:tcPr>
            <w:tcW w:w="1350" w:type="dxa"/>
          </w:tcPr>
          <w:p w14:paraId="49BE8477" w14:textId="77777777" w:rsidR="004401F0" w:rsidRPr="00FD0816" w:rsidRDefault="00DF3C4F" w:rsidP="00FD0816">
            <w:pPr>
              <w:pStyle w:val="TableParagraph"/>
              <w:keepNext/>
              <w:keepLines/>
              <w:adjustRightInd w:val="0"/>
              <w:snapToGrid w:val="0"/>
              <w:jc w:val="center"/>
              <w:rPr>
                <w:sz w:val="20"/>
                <w:szCs w:val="20"/>
                <w:lang w:val="fr-FR"/>
              </w:rPr>
            </w:pPr>
            <w:r w:rsidRPr="00FD0816">
              <w:rPr>
                <w:sz w:val="20"/>
                <w:szCs w:val="20"/>
                <w:lang w:val="fr-FR"/>
              </w:rPr>
              <w:t>33</w:t>
            </w:r>
          </w:p>
        </w:tc>
        <w:tc>
          <w:tcPr>
            <w:tcW w:w="1293" w:type="dxa"/>
          </w:tcPr>
          <w:p w14:paraId="2CEC9343" w14:textId="77777777" w:rsidR="004401F0" w:rsidRPr="00FD0816" w:rsidRDefault="00DF3C4F" w:rsidP="00FD0816">
            <w:pPr>
              <w:pStyle w:val="TableParagraph"/>
              <w:keepNext/>
              <w:keepLines/>
              <w:adjustRightInd w:val="0"/>
              <w:snapToGrid w:val="0"/>
              <w:jc w:val="center"/>
              <w:rPr>
                <w:sz w:val="20"/>
                <w:szCs w:val="20"/>
                <w:lang w:val="fr-FR"/>
              </w:rPr>
            </w:pPr>
            <w:r w:rsidRPr="00FD0816">
              <w:rPr>
                <w:sz w:val="20"/>
                <w:szCs w:val="20"/>
                <w:lang w:val="fr-FR"/>
              </w:rPr>
              <w:t>105</w:t>
            </w:r>
          </w:p>
        </w:tc>
        <w:tc>
          <w:tcPr>
            <w:tcW w:w="1354" w:type="dxa"/>
          </w:tcPr>
          <w:p w14:paraId="0ADA3681" w14:textId="77777777" w:rsidR="004401F0" w:rsidRPr="00FD0816" w:rsidRDefault="00DF3C4F" w:rsidP="00FD0816">
            <w:pPr>
              <w:pStyle w:val="TableParagraph"/>
              <w:keepNext/>
              <w:keepLines/>
              <w:adjustRightInd w:val="0"/>
              <w:snapToGrid w:val="0"/>
              <w:jc w:val="center"/>
              <w:rPr>
                <w:sz w:val="20"/>
                <w:szCs w:val="20"/>
                <w:lang w:val="fr-FR"/>
              </w:rPr>
            </w:pPr>
            <w:r w:rsidRPr="00FD0816">
              <w:rPr>
                <w:sz w:val="20"/>
                <w:szCs w:val="20"/>
                <w:lang w:val="fr-FR"/>
              </w:rPr>
              <w:t>104</w:t>
            </w:r>
          </w:p>
        </w:tc>
      </w:tr>
      <w:tr w:rsidR="004401F0" w:rsidRPr="00FD0816" w14:paraId="27D02B9D" w14:textId="77777777" w:rsidTr="00654D21">
        <w:trPr>
          <w:cantSplit/>
        </w:trPr>
        <w:tc>
          <w:tcPr>
            <w:tcW w:w="9238" w:type="dxa"/>
            <w:gridSpan w:val="6"/>
          </w:tcPr>
          <w:p w14:paraId="1E22602C"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Survie globale</w:t>
            </w:r>
          </w:p>
        </w:tc>
      </w:tr>
      <w:tr w:rsidR="004401F0" w:rsidRPr="00FD0816" w14:paraId="192D594E" w14:textId="77777777" w:rsidTr="00654D21">
        <w:trPr>
          <w:cantSplit/>
        </w:trPr>
        <w:tc>
          <w:tcPr>
            <w:tcW w:w="2579" w:type="dxa"/>
          </w:tcPr>
          <w:p w14:paraId="7825DF47" w14:textId="77777777" w:rsidR="004401F0" w:rsidRPr="00FD0816" w:rsidRDefault="00DF3C4F" w:rsidP="00B40553">
            <w:pPr>
              <w:pStyle w:val="TableParagraph"/>
              <w:adjustRightInd w:val="0"/>
              <w:snapToGrid w:val="0"/>
              <w:ind w:firstLine="360"/>
              <w:rPr>
                <w:sz w:val="20"/>
                <w:szCs w:val="20"/>
                <w:lang w:val="fr-FR"/>
              </w:rPr>
            </w:pPr>
            <w:r w:rsidRPr="00FD0816">
              <w:rPr>
                <w:sz w:val="20"/>
                <w:szCs w:val="20"/>
                <w:lang w:val="fr-FR"/>
              </w:rPr>
              <w:t>Temps médian (mois)</w:t>
            </w:r>
          </w:p>
        </w:tc>
        <w:tc>
          <w:tcPr>
            <w:tcW w:w="1297" w:type="dxa"/>
          </w:tcPr>
          <w:p w14:paraId="5FF39E4D"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13,6</w:t>
            </w:r>
          </w:p>
        </w:tc>
        <w:tc>
          <w:tcPr>
            <w:tcW w:w="1365" w:type="dxa"/>
          </w:tcPr>
          <w:p w14:paraId="200CE563"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17,7</w:t>
            </w:r>
          </w:p>
        </w:tc>
        <w:tc>
          <w:tcPr>
            <w:tcW w:w="1350" w:type="dxa"/>
          </w:tcPr>
          <w:p w14:paraId="29C8D2A5"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15,2</w:t>
            </w:r>
          </w:p>
        </w:tc>
        <w:tc>
          <w:tcPr>
            <w:tcW w:w="1293" w:type="dxa"/>
          </w:tcPr>
          <w:p w14:paraId="1845C8F4"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12,9</w:t>
            </w:r>
          </w:p>
        </w:tc>
        <w:tc>
          <w:tcPr>
            <w:tcW w:w="1354" w:type="dxa"/>
          </w:tcPr>
          <w:p w14:paraId="483AF748"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16,6</w:t>
            </w:r>
          </w:p>
        </w:tc>
      </w:tr>
      <w:tr w:rsidR="004401F0" w:rsidRPr="00FD0816" w14:paraId="5AB62B36" w14:textId="77777777" w:rsidTr="00654D21">
        <w:trPr>
          <w:cantSplit/>
        </w:trPr>
        <w:tc>
          <w:tcPr>
            <w:tcW w:w="2579" w:type="dxa"/>
          </w:tcPr>
          <w:p w14:paraId="7BC7B822" w14:textId="77777777" w:rsidR="004401F0" w:rsidRPr="00FD0816" w:rsidRDefault="00DF3C4F" w:rsidP="00B40553">
            <w:pPr>
              <w:pStyle w:val="TableParagraph"/>
              <w:adjustRightInd w:val="0"/>
              <w:snapToGrid w:val="0"/>
              <w:ind w:firstLine="360"/>
              <w:rPr>
                <w:sz w:val="20"/>
                <w:szCs w:val="20"/>
                <w:lang w:val="fr-FR"/>
              </w:rPr>
            </w:pPr>
            <w:r w:rsidRPr="00FD0816">
              <w:rPr>
                <w:sz w:val="20"/>
                <w:szCs w:val="20"/>
                <w:lang w:val="fr-FR"/>
              </w:rPr>
              <w:t>IC 95 %</w:t>
            </w:r>
          </w:p>
        </w:tc>
        <w:tc>
          <w:tcPr>
            <w:tcW w:w="1297" w:type="dxa"/>
          </w:tcPr>
          <w:p w14:paraId="37EFF666" w14:textId="77777777" w:rsidR="004401F0" w:rsidRPr="00FD0816" w:rsidRDefault="004401F0" w:rsidP="00FD0816">
            <w:pPr>
              <w:pStyle w:val="TableParagraph"/>
              <w:adjustRightInd w:val="0"/>
              <w:snapToGrid w:val="0"/>
              <w:jc w:val="center"/>
              <w:rPr>
                <w:sz w:val="20"/>
                <w:szCs w:val="20"/>
                <w:lang w:val="fr-FR"/>
              </w:rPr>
            </w:pPr>
          </w:p>
        </w:tc>
        <w:tc>
          <w:tcPr>
            <w:tcW w:w="1365" w:type="dxa"/>
          </w:tcPr>
          <w:p w14:paraId="0BCC7F40" w14:textId="77777777" w:rsidR="004401F0" w:rsidRPr="00FD0816" w:rsidRDefault="004401F0" w:rsidP="00FD0816">
            <w:pPr>
              <w:pStyle w:val="TableParagraph"/>
              <w:adjustRightInd w:val="0"/>
              <w:snapToGrid w:val="0"/>
              <w:jc w:val="center"/>
              <w:rPr>
                <w:sz w:val="20"/>
                <w:szCs w:val="20"/>
                <w:lang w:val="fr-FR"/>
              </w:rPr>
            </w:pPr>
          </w:p>
        </w:tc>
        <w:tc>
          <w:tcPr>
            <w:tcW w:w="1350" w:type="dxa"/>
          </w:tcPr>
          <w:p w14:paraId="3F3A65B5" w14:textId="77777777" w:rsidR="004401F0" w:rsidRPr="00FD0816" w:rsidRDefault="004401F0" w:rsidP="00FD0816">
            <w:pPr>
              <w:pStyle w:val="TableParagraph"/>
              <w:adjustRightInd w:val="0"/>
              <w:snapToGrid w:val="0"/>
              <w:jc w:val="center"/>
              <w:rPr>
                <w:sz w:val="20"/>
                <w:szCs w:val="20"/>
                <w:lang w:val="fr-FR"/>
              </w:rPr>
            </w:pPr>
          </w:p>
        </w:tc>
        <w:tc>
          <w:tcPr>
            <w:tcW w:w="1293" w:type="dxa"/>
          </w:tcPr>
          <w:p w14:paraId="060EC39E" w14:textId="4E6FCCF2" w:rsidR="004401F0" w:rsidRPr="00FD0816" w:rsidRDefault="00DF3C4F" w:rsidP="00C97E1F">
            <w:pPr>
              <w:pStyle w:val="TableParagraph"/>
              <w:adjustRightInd w:val="0"/>
              <w:snapToGrid w:val="0"/>
              <w:jc w:val="center"/>
              <w:rPr>
                <w:sz w:val="20"/>
                <w:szCs w:val="20"/>
                <w:lang w:val="fr-FR"/>
              </w:rPr>
            </w:pPr>
            <w:r w:rsidRPr="00FD0816">
              <w:rPr>
                <w:sz w:val="20"/>
                <w:szCs w:val="20"/>
                <w:lang w:val="fr-FR"/>
              </w:rPr>
              <w:t>10,35 -</w:t>
            </w:r>
            <w:r w:rsidR="00C97E1F">
              <w:rPr>
                <w:sz w:val="20"/>
                <w:szCs w:val="20"/>
                <w:lang w:val="fr-FR"/>
              </w:rPr>
              <w:t xml:space="preserve"> </w:t>
            </w:r>
            <w:r w:rsidRPr="00FD0816">
              <w:rPr>
                <w:sz w:val="20"/>
                <w:szCs w:val="20"/>
                <w:lang w:val="fr-FR"/>
              </w:rPr>
              <w:t>16,95</w:t>
            </w:r>
          </w:p>
        </w:tc>
        <w:tc>
          <w:tcPr>
            <w:tcW w:w="1354" w:type="dxa"/>
          </w:tcPr>
          <w:p w14:paraId="0033B512" w14:textId="17D82820" w:rsidR="004401F0" w:rsidRPr="00FD0816" w:rsidRDefault="00DF3C4F" w:rsidP="00C97E1F">
            <w:pPr>
              <w:pStyle w:val="TableParagraph"/>
              <w:adjustRightInd w:val="0"/>
              <w:snapToGrid w:val="0"/>
              <w:jc w:val="center"/>
              <w:rPr>
                <w:sz w:val="20"/>
                <w:szCs w:val="20"/>
                <w:lang w:val="fr-FR"/>
              </w:rPr>
            </w:pPr>
            <w:r w:rsidRPr="00FD0816">
              <w:rPr>
                <w:sz w:val="20"/>
                <w:szCs w:val="20"/>
                <w:lang w:val="fr-FR"/>
              </w:rPr>
              <w:t xml:space="preserve">13,63 </w:t>
            </w:r>
            <w:r w:rsidR="00C97E1F">
              <w:rPr>
                <w:sz w:val="20"/>
                <w:szCs w:val="20"/>
                <w:lang w:val="fr-FR"/>
              </w:rPr>
              <w:t xml:space="preserve">- </w:t>
            </w:r>
            <w:r w:rsidRPr="00FD0816">
              <w:rPr>
                <w:sz w:val="20"/>
                <w:szCs w:val="20"/>
                <w:lang w:val="fr-FR"/>
              </w:rPr>
              <w:t>19,32</w:t>
            </w:r>
          </w:p>
        </w:tc>
      </w:tr>
      <w:tr w:rsidR="004401F0" w:rsidRPr="00FD0816" w14:paraId="4D520881" w14:textId="77777777" w:rsidTr="00654D21">
        <w:trPr>
          <w:cantSplit/>
        </w:trPr>
        <w:tc>
          <w:tcPr>
            <w:tcW w:w="2579" w:type="dxa"/>
          </w:tcPr>
          <w:p w14:paraId="19A48EE3" w14:textId="77777777" w:rsidR="004401F0" w:rsidRPr="00FD0816" w:rsidRDefault="00DF3C4F" w:rsidP="00B40553">
            <w:pPr>
              <w:pStyle w:val="TableParagraph"/>
              <w:adjustRightInd w:val="0"/>
              <w:snapToGrid w:val="0"/>
              <w:ind w:firstLine="360"/>
              <w:rPr>
                <w:sz w:val="20"/>
                <w:szCs w:val="20"/>
                <w:lang w:val="fr-FR"/>
              </w:rPr>
            </w:pPr>
            <w:r w:rsidRPr="00FD0816">
              <w:rPr>
                <w:sz w:val="20"/>
                <w:szCs w:val="20"/>
                <w:lang w:val="fr-FR"/>
              </w:rPr>
              <w:t xml:space="preserve">Risque relatif </w:t>
            </w:r>
            <w:r w:rsidRPr="00FD0816">
              <w:rPr>
                <w:sz w:val="20"/>
                <w:szCs w:val="20"/>
                <w:vertAlign w:val="superscript"/>
                <w:lang w:val="fr-FR"/>
              </w:rPr>
              <w:t>c</w:t>
            </w:r>
          </w:p>
        </w:tc>
        <w:tc>
          <w:tcPr>
            <w:tcW w:w="1297" w:type="dxa"/>
          </w:tcPr>
          <w:p w14:paraId="590A5B47"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w:t>
            </w:r>
          </w:p>
        </w:tc>
        <w:tc>
          <w:tcPr>
            <w:tcW w:w="1365" w:type="dxa"/>
          </w:tcPr>
          <w:p w14:paraId="7D5C9133"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0,52</w:t>
            </w:r>
          </w:p>
        </w:tc>
        <w:tc>
          <w:tcPr>
            <w:tcW w:w="1350" w:type="dxa"/>
          </w:tcPr>
          <w:p w14:paraId="633B4CA2"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1,01</w:t>
            </w:r>
          </w:p>
        </w:tc>
        <w:tc>
          <w:tcPr>
            <w:tcW w:w="1293" w:type="dxa"/>
          </w:tcPr>
          <w:p w14:paraId="74F7CD79" w14:textId="77777777" w:rsidR="004401F0" w:rsidRPr="00FD0816" w:rsidRDefault="004401F0" w:rsidP="00FD0816">
            <w:pPr>
              <w:pStyle w:val="TableParagraph"/>
              <w:adjustRightInd w:val="0"/>
              <w:snapToGrid w:val="0"/>
              <w:jc w:val="center"/>
              <w:rPr>
                <w:sz w:val="20"/>
                <w:szCs w:val="20"/>
                <w:lang w:val="fr-FR"/>
              </w:rPr>
            </w:pPr>
          </w:p>
        </w:tc>
        <w:tc>
          <w:tcPr>
            <w:tcW w:w="1354" w:type="dxa"/>
          </w:tcPr>
          <w:p w14:paraId="61928700"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0,79</w:t>
            </w:r>
          </w:p>
        </w:tc>
      </w:tr>
      <w:tr w:rsidR="004401F0" w:rsidRPr="00FD0816" w14:paraId="62EBD370" w14:textId="77777777" w:rsidTr="00654D21">
        <w:trPr>
          <w:cantSplit/>
        </w:trPr>
        <w:tc>
          <w:tcPr>
            <w:tcW w:w="2579" w:type="dxa"/>
          </w:tcPr>
          <w:p w14:paraId="5F1D2037" w14:textId="77777777" w:rsidR="004401F0" w:rsidRPr="00FD0816" w:rsidRDefault="00DF3C4F" w:rsidP="00B40553">
            <w:pPr>
              <w:pStyle w:val="TableParagraph"/>
              <w:adjustRightInd w:val="0"/>
              <w:snapToGrid w:val="0"/>
              <w:ind w:firstLine="360"/>
              <w:rPr>
                <w:sz w:val="20"/>
                <w:szCs w:val="20"/>
                <w:lang w:val="fr-FR"/>
              </w:rPr>
            </w:pPr>
            <w:r w:rsidRPr="00FD0816">
              <w:rPr>
                <w:sz w:val="20"/>
                <w:szCs w:val="20"/>
                <w:lang w:val="fr-FR"/>
              </w:rPr>
              <w:t>p</w:t>
            </w:r>
          </w:p>
        </w:tc>
        <w:tc>
          <w:tcPr>
            <w:tcW w:w="1297" w:type="dxa"/>
          </w:tcPr>
          <w:p w14:paraId="7B69D8A3" w14:textId="77777777" w:rsidR="004401F0" w:rsidRPr="00FD0816" w:rsidRDefault="004401F0" w:rsidP="00FD0816">
            <w:pPr>
              <w:pStyle w:val="TableParagraph"/>
              <w:adjustRightInd w:val="0"/>
              <w:snapToGrid w:val="0"/>
              <w:jc w:val="center"/>
              <w:rPr>
                <w:sz w:val="20"/>
                <w:szCs w:val="20"/>
                <w:lang w:val="fr-FR"/>
              </w:rPr>
            </w:pPr>
          </w:p>
        </w:tc>
        <w:tc>
          <w:tcPr>
            <w:tcW w:w="1365" w:type="dxa"/>
          </w:tcPr>
          <w:p w14:paraId="26A8CC51"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0,073</w:t>
            </w:r>
          </w:p>
        </w:tc>
        <w:tc>
          <w:tcPr>
            <w:tcW w:w="1350" w:type="dxa"/>
          </w:tcPr>
          <w:p w14:paraId="34B316DE"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0,978</w:t>
            </w:r>
          </w:p>
        </w:tc>
        <w:tc>
          <w:tcPr>
            <w:tcW w:w="1293" w:type="dxa"/>
          </w:tcPr>
          <w:p w14:paraId="55811B83" w14:textId="77777777" w:rsidR="004401F0" w:rsidRPr="00FD0816" w:rsidRDefault="004401F0" w:rsidP="00FD0816">
            <w:pPr>
              <w:pStyle w:val="TableParagraph"/>
              <w:adjustRightInd w:val="0"/>
              <w:snapToGrid w:val="0"/>
              <w:jc w:val="center"/>
              <w:rPr>
                <w:sz w:val="20"/>
                <w:szCs w:val="20"/>
                <w:lang w:val="fr-FR"/>
              </w:rPr>
            </w:pPr>
          </w:p>
        </w:tc>
        <w:tc>
          <w:tcPr>
            <w:tcW w:w="1354" w:type="dxa"/>
          </w:tcPr>
          <w:p w14:paraId="55095AC3"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0,16</w:t>
            </w:r>
          </w:p>
        </w:tc>
      </w:tr>
      <w:tr w:rsidR="004401F0" w:rsidRPr="00FD0816" w14:paraId="1127EBF4" w14:textId="77777777" w:rsidTr="00654D21">
        <w:trPr>
          <w:cantSplit/>
        </w:trPr>
        <w:tc>
          <w:tcPr>
            <w:tcW w:w="9238" w:type="dxa"/>
            <w:gridSpan w:val="6"/>
          </w:tcPr>
          <w:p w14:paraId="0C1B5F69"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Survie sans progression</w:t>
            </w:r>
          </w:p>
        </w:tc>
      </w:tr>
      <w:tr w:rsidR="004401F0" w:rsidRPr="00FD0816" w14:paraId="4425E72A" w14:textId="77777777" w:rsidTr="00654D21">
        <w:trPr>
          <w:cantSplit/>
        </w:trPr>
        <w:tc>
          <w:tcPr>
            <w:tcW w:w="2579" w:type="dxa"/>
          </w:tcPr>
          <w:p w14:paraId="4393BAF2" w14:textId="77777777" w:rsidR="004401F0" w:rsidRPr="00FD0816" w:rsidRDefault="00DF3C4F" w:rsidP="00B40553">
            <w:pPr>
              <w:pStyle w:val="TableParagraph"/>
              <w:adjustRightInd w:val="0"/>
              <w:snapToGrid w:val="0"/>
              <w:ind w:firstLine="360"/>
              <w:rPr>
                <w:sz w:val="20"/>
                <w:szCs w:val="20"/>
                <w:lang w:val="fr-FR"/>
              </w:rPr>
            </w:pPr>
            <w:r w:rsidRPr="00FD0816">
              <w:rPr>
                <w:sz w:val="20"/>
                <w:szCs w:val="20"/>
                <w:lang w:val="fr-FR"/>
              </w:rPr>
              <w:t>Temps médian (mois)</w:t>
            </w:r>
          </w:p>
        </w:tc>
        <w:tc>
          <w:tcPr>
            <w:tcW w:w="1297" w:type="dxa"/>
          </w:tcPr>
          <w:p w14:paraId="15779E73"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5,2</w:t>
            </w:r>
          </w:p>
        </w:tc>
        <w:tc>
          <w:tcPr>
            <w:tcW w:w="1365" w:type="dxa"/>
          </w:tcPr>
          <w:p w14:paraId="29064EA9"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9,0</w:t>
            </w:r>
          </w:p>
        </w:tc>
        <w:tc>
          <w:tcPr>
            <w:tcW w:w="1350" w:type="dxa"/>
          </w:tcPr>
          <w:p w14:paraId="72047BAA"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7,2</w:t>
            </w:r>
          </w:p>
        </w:tc>
        <w:tc>
          <w:tcPr>
            <w:tcW w:w="1293" w:type="dxa"/>
          </w:tcPr>
          <w:p w14:paraId="31091388"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5,5</w:t>
            </w:r>
          </w:p>
        </w:tc>
        <w:tc>
          <w:tcPr>
            <w:tcW w:w="1354" w:type="dxa"/>
          </w:tcPr>
          <w:p w14:paraId="443F1C1A"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9,2</w:t>
            </w:r>
          </w:p>
        </w:tc>
      </w:tr>
      <w:tr w:rsidR="004401F0" w:rsidRPr="00FD0816" w14:paraId="439B3D03" w14:textId="77777777" w:rsidTr="00654D21">
        <w:trPr>
          <w:cantSplit/>
        </w:trPr>
        <w:tc>
          <w:tcPr>
            <w:tcW w:w="2579" w:type="dxa"/>
          </w:tcPr>
          <w:p w14:paraId="7D22084D" w14:textId="77777777" w:rsidR="004401F0" w:rsidRPr="00FD0816" w:rsidRDefault="00DF3C4F" w:rsidP="00B40553">
            <w:pPr>
              <w:pStyle w:val="TableParagraph"/>
              <w:adjustRightInd w:val="0"/>
              <w:snapToGrid w:val="0"/>
              <w:ind w:firstLine="360"/>
              <w:rPr>
                <w:sz w:val="20"/>
                <w:szCs w:val="20"/>
                <w:lang w:val="fr-FR"/>
              </w:rPr>
            </w:pPr>
            <w:r w:rsidRPr="00FD0816">
              <w:rPr>
                <w:sz w:val="20"/>
                <w:szCs w:val="20"/>
                <w:lang w:val="fr-FR"/>
              </w:rPr>
              <w:t>Risque relatif</w:t>
            </w:r>
          </w:p>
        </w:tc>
        <w:tc>
          <w:tcPr>
            <w:tcW w:w="1297" w:type="dxa"/>
          </w:tcPr>
          <w:p w14:paraId="1DA56E35" w14:textId="77777777" w:rsidR="004401F0" w:rsidRPr="00FD0816" w:rsidRDefault="004401F0" w:rsidP="00FD0816">
            <w:pPr>
              <w:pStyle w:val="TableParagraph"/>
              <w:adjustRightInd w:val="0"/>
              <w:snapToGrid w:val="0"/>
              <w:jc w:val="center"/>
              <w:rPr>
                <w:sz w:val="20"/>
                <w:szCs w:val="20"/>
                <w:lang w:val="fr-FR"/>
              </w:rPr>
            </w:pPr>
          </w:p>
        </w:tc>
        <w:tc>
          <w:tcPr>
            <w:tcW w:w="1365" w:type="dxa"/>
          </w:tcPr>
          <w:p w14:paraId="6E81A105"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0,44</w:t>
            </w:r>
          </w:p>
        </w:tc>
        <w:tc>
          <w:tcPr>
            <w:tcW w:w="1350" w:type="dxa"/>
          </w:tcPr>
          <w:p w14:paraId="7E0B3EBD"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0,69</w:t>
            </w:r>
          </w:p>
        </w:tc>
        <w:tc>
          <w:tcPr>
            <w:tcW w:w="1293" w:type="dxa"/>
          </w:tcPr>
          <w:p w14:paraId="1072D7AB" w14:textId="77777777" w:rsidR="004401F0" w:rsidRPr="00FD0816" w:rsidRDefault="004401F0" w:rsidP="00FD0816">
            <w:pPr>
              <w:pStyle w:val="TableParagraph"/>
              <w:adjustRightInd w:val="0"/>
              <w:snapToGrid w:val="0"/>
              <w:jc w:val="center"/>
              <w:rPr>
                <w:sz w:val="20"/>
                <w:szCs w:val="20"/>
                <w:lang w:val="fr-FR"/>
              </w:rPr>
            </w:pPr>
          </w:p>
        </w:tc>
        <w:tc>
          <w:tcPr>
            <w:tcW w:w="1354" w:type="dxa"/>
          </w:tcPr>
          <w:p w14:paraId="20C86A1A"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0,5</w:t>
            </w:r>
          </w:p>
        </w:tc>
      </w:tr>
      <w:tr w:rsidR="004401F0" w:rsidRPr="00FD0816" w14:paraId="4A64426E" w14:textId="77777777" w:rsidTr="00654D21">
        <w:trPr>
          <w:cantSplit/>
        </w:trPr>
        <w:tc>
          <w:tcPr>
            <w:tcW w:w="2579" w:type="dxa"/>
          </w:tcPr>
          <w:p w14:paraId="35808690" w14:textId="77777777" w:rsidR="004401F0" w:rsidRPr="00FD0816" w:rsidRDefault="00DF3C4F" w:rsidP="00B40553">
            <w:pPr>
              <w:pStyle w:val="TableParagraph"/>
              <w:adjustRightInd w:val="0"/>
              <w:snapToGrid w:val="0"/>
              <w:ind w:firstLine="360"/>
              <w:rPr>
                <w:sz w:val="20"/>
                <w:szCs w:val="20"/>
                <w:lang w:val="fr-FR"/>
              </w:rPr>
            </w:pPr>
            <w:r w:rsidRPr="00FD0816">
              <w:rPr>
                <w:sz w:val="20"/>
                <w:szCs w:val="20"/>
                <w:lang w:val="fr-FR"/>
              </w:rPr>
              <w:t>p</w:t>
            </w:r>
          </w:p>
        </w:tc>
        <w:tc>
          <w:tcPr>
            <w:tcW w:w="1297" w:type="dxa"/>
          </w:tcPr>
          <w:p w14:paraId="1EB7206D"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w:t>
            </w:r>
          </w:p>
        </w:tc>
        <w:tc>
          <w:tcPr>
            <w:tcW w:w="1365" w:type="dxa"/>
          </w:tcPr>
          <w:p w14:paraId="7263AE77"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0,0049</w:t>
            </w:r>
          </w:p>
        </w:tc>
        <w:tc>
          <w:tcPr>
            <w:tcW w:w="1350" w:type="dxa"/>
          </w:tcPr>
          <w:p w14:paraId="75290643"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0,217</w:t>
            </w:r>
          </w:p>
        </w:tc>
        <w:tc>
          <w:tcPr>
            <w:tcW w:w="1293" w:type="dxa"/>
          </w:tcPr>
          <w:p w14:paraId="41E21C12" w14:textId="77777777" w:rsidR="004401F0" w:rsidRPr="00FD0816" w:rsidRDefault="004401F0" w:rsidP="00FD0816">
            <w:pPr>
              <w:pStyle w:val="TableParagraph"/>
              <w:adjustRightInd w:val="0"/>
              <w:snapToGrid w:val="0"/>
              <w:jc w:val="center"/>
              <w:rPr>
                <w:sz w:val="20"/>
                <w:szCs w:val="20"/>
                <w:lang w:val="fr-FR"/>
              </w:rPr>
            </w:pPr>
          </w:p>
        </w:tc>
        <w:tc>
          <w:tcPr>
            <w:tcW w:w="1354" w:type="dxa"/>
          </w:tcPr>
          <w:p w14:paraId="1A5BAF64"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0,0002</w:t>
            </w:r>
          </w:p>
        </w:tc>
      </w:tr>
      <w:tr w:rsidR="004401F0" w:rsidRPr="00FD0816" w14:paraId="7A310529" w14:textId="77777777" w:rsidTr="00654D21">
        <w:trPr>
          <w:cantSplit/>
        </w:trPr>
        <w:tc>
          <w:tcPr>
            <w:tcW w:w="9238" w:type="dxa"/>
            <w:gridSpan w:val="6"/>
          </w:tcPr>
          <w:p w14:paraId="03554B29"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Réponse globale</w:t>
            </w:r>
          </w:p>
        </w:tc>
      </w:tr>
      <w:tr w:rsidR="004401F0" w:rsidRPr="00FD0816" w14:paraId="7F6E8129" w14:textId="77777777" w:rsidTr="00654D21">
        <w:trPr>
          <w:cantSplit/>
        </w:trPr>
        <w:tc>
          <w:tcPr>
            <w:tcW w:w="2579" w:type="dxa"/>
          </w:tcPr>
          <w:p w14:paraId="459FE89D" w14:textId="77777777" w:rsidR="004401F0" w:rsidRPr="00FD0816" w:rsidRDefault="00DF3C4F" w:rsidP="00B40553">
            <w:pPr>
              <w:pStyle w:val="TableParagraph"/>
              <w:adjustRightInd w:val="0"/>
              <w:snapToGrid w:val="0"/>
              <w:ind w:firstLine="360"/>
              <w:rPr>
                <w:sz w:val="20"/>
                <w:szCs w:val="20"/>
                <w:lang w:val="fr-FR"/>
              </w:rPr>
            </w:pPr>
            <w:r w:rsidRPr="00FD0816">
              <w:rPr>
                <w:sz w:val="20"/>
                <w:szCs w:val="20"/>
                <w:lang w:val="fr-FR"/>
              </w:rPr>
              <w:t>Taux ( %)</w:t>
            </w:r>
          </w:p>
        </w:tc>
        <w:tc>
          <w:tcPr>
            <w:tcW w:w="1297" w:type="dxa"/>
          </w:tcPr>
          <w:p w14:paraId="22AB9D0A"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16,7</w:t>
            </w:r>
          </w:p>
        </w:tc>
        <w:tc>
          <w:tcPr>
            <w:tcW w:w="1365" w:type="dxa"/>
          </w:tcPr>
          <w:p w14:paraId="2CB43F7B"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40,0</w:t>
            </w:r>
          </w:p>
        </w:tc>
        <w:tc>
          <w:tcPr>
            <w:tcW w:w="1350" w:type="dxa"/>
          </w:tcPr>
          <w:p w14:paraId="19F42A07"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24,2</w:t>
            </w:r>
          </w:p>
        </w:tc>
        <w:tc>
          <w:tcPr>
            <w:tcW w:w="1293" w:type="dxa"/>
          </w:tcPr>
          <w:p w14:paraId="46FD07F0"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15,2</w:t>
            </w:r>
          </w:p>
        </w:tc>
        <w:tc>
          <w:tcPr>
            <w:tcW w:w="1354" w:type="dxa"/>
          </w:tcPr>
          <w:p w14:paraId="74266145"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26</w:t>
            </w:r>
          </w:p>
        </w:tc>
      </w:tr>
      <w:tr w:rsidR="004401F0" w:rsidRPr="00FD0816" w14:paraId="210CA595" w14:textId="77777777" w:rsidTr="00654D21">
        <w:trPr>
          <w:cantSplit/>
        </w:trPr>
        <w:tc>
          <w:tcPr>
            <w:tcW w:w="2579" w:type="dxa"/>
          </w:tcPr>
          <w:p w14:paraId="4D5DEDB7" w14:textId="77777777" w:rsidR="004401F0" w:rsidRPr="00FD0816" w:rsidRDefault="00DF3C4F" w:rsidP="00B40553">
            <w:pPr>
              <w:pStyle w:val="TableParagraph"/>
              <w:adjustRightInd w:val="0"/>
              <w:snapToGrid w:val="0"/>
              <w:ind w:firstLine="360"/>
              <w:rPr>
                <w:sz w:val="20"/>
                <w:szCs w:val="20"/>
                <w:lang w:val="fr-FR"/>
              </w:rPr>
            </w:pPr>
            <w:r w:rsidRPr="00FD0816">
              <w:rPr>
                <w:sz w:val="20"/>
                <w:szCs w:val="20"/>
                <w:lang w:val="fr-FR"/>
              </w:rPr>
              <w:t>IC 95 %</w:t>
            </w:r>
          </w:p>
        </w:tc>
        <w:tc>
          <w:tcPr>
            <w:tcW w:w="1297" w:type="dxa"/>
          </w:tcPr>
          <w:p w14:paraId="27756E02"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7,0 - 33,5</w:t>
            </w:r>
          </w:p>
        </w:tc>
        <w:tc>
          <w:tcPr>
            <w:tcW w:w="1365" w:type="dxa"/>
          </w:tcPr>
          <w:p w14:paraId="5F0A051D"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24,4 - 57,8</w:t>
            </w:r>
          </w:p>
        </w:tc>
        <w:tc>
          <w:tcPr>
            <w:tcW w:w="1350" w:type="dxa"/>
          </w:tcPr>
          <w:p w14:paraId="1E7300D4" w14:textId="5A882273"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 xml:space="preserve">11,7 </w:t>
            </w:r>
            <w:r w:rsidR="00692924">
              <w:rPr>
                <w:sz w:val="20"/>
                <w:szCs w:val="20"/>
                <w:lang w:val="fr-FR"/>
              </w:rPr>
              <w:t>-</w:t>
            </w:r>
            <w:r w:rsidR="00692924" w:rsidRPr="00FD0816">
              <w:rPr>
                <w:sz w:val="20"/>
                <w:szCs w:val="20"/>
                <w:lang w:val="fr-FR"/>
              </w:rPr>
              <w:t xml:space="preserve"> </w:t>
            </w:r>
            <w:r w:rsidRPr="00FD0816">
              <w:rPr>
                <w:sz w:val="20"/>
                <w:szCs w:val="20"/>
                <w:lang w:val="fr-FR"/>
              </w:rPr>
              <w:t>42,6</w:t>
            </w:r>
          </w:p>
        </w:tc>
        <w:tc>
          <w:tcPr>
            <w:tcW w:w="1293" w:type="dxa"/>
          </w:tcPr>
          <w:p w14:paraId="3CF38FF2"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9,2 - 23,9</w:t>
            </w:r>
          </w:p>
        </w:tc>
        <w:tc>
          <w:tcPr>
            <w:tcW w:w="1354" w:type="dxa"/>
          </w:tcPr>
          <w:p w14:paraId="66E602F7"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18,1 - 35,6</w:t>
            </w:r>
          </w:p>
        </w:tc>
      </w:tr>
      <w:tr w:rsidR="004401F0" w:rsidRPr="00FD0816" w14:paraId="4EC1AEA7" w14:textId="77777777" w:rsidTr="00654D21">
        <w:trPr>
          <w:cantSplit/>
        </w:trPr>
        <w:tc>
          <w:tcPr>
            <w:tcW w:w="2579" w:type="dxa"/>
          </w:tcPr>
          <w:p w14:paraId="7D391586" w14:textId="77777777" w:rsidR="004401F0" w:rsidRPr="00FD0816" w:rsidRDefault="00DF3C4F" w:rsidP="00B40553">
            <w:pPr>
              <w:pStyle w:val="TableParagraph"/>
              <w:adjustRightInd w:val="0"/>
              <w:snapToGrid w:val="0"/>
              <w:ind w:firstLine="360"/>
              <w:rPr>
                <w:sz w:val="20"/>
                <w:szCs w:val="20"/>
                <w:lang w:val="fr-FR"/>
              </w:rPr>
            </w:pPr>
            <w:r w:rsidRPr="00FD0816">
              <w:rPr>
                <w:sz w:val="20"/>
                <w:szCs w:val="20"/>
                <w:lang w:val="fr-FR"/>
              </w:rPr>
              <w:t>p</w:t>
            </w:r>
          </w:p>
        </w:tc>
        <w:tc>
          <w:tcPr>
            <w:tcW w:w="1297" w:type="dxa"/>
          </w:tcPr>
          <w:p w14:paraId="11FBB210" w14:textId="77777777" w:rsidR="004401F0" w:rsidRPr="00FD0816" w:rsidRDefault="004401F0" w:rsidP="00FD0816">
            <w:pPr>
              <w:pStyle w:val="TableParagraph"/>
              <w:adjustRightInd w:val="0"/>
              <w:snapToGrid w:val="0"/>
              <w:jc w:val="center"/>
              <w:rPr>
                <w:sz w:val="20"/>
                <w:szCs w:val="20"/>
                <w:lang w:val="fr-FR"/>
              </w:rPr>
            </w:pPr>
          </w:p>
        </w:tc>
        <w:tc>
          <w:tcPr>
            <w:tcW w:w="1365" w:type="dxa"/>
          </w:tcPr>
          <w:p w14:paraId="7FEAD75E"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0,029</w:t>
            </w:r>
          </w:p>
        </w:tc>
        <w:tc>
          <w:tcPr>
            <w:tcW w:w="1350" w:type="dxa"/>
          </w:tcPr>
          <w:p w14:paraId="6F551CE5"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0,43</w:t>
            </w:r>
          </w:p>
        </w:tc>
        <w:tc>
          <w:tcPr>
            <w:tcW w:w="1293" w:type="dxa"/>
          </w:tcPr>
          <w:p w14:paraId="2F425ED3" w14:textId="77777777" w:rsidR="004401F0" w:rsidRPr="00FD0816" w:rsidRDefault="004401F0" w:rsidP="00FD0816">
            <w:pPr>
              <w:pStyle w:val="TableParagraph"/>
              <w:adjustRightInd w:val="0"/>
              <w:snapToGrid w:val="0"/>
              <w:jc w:val="center"/>
              <w:rPr>
                <w:sz w:val="20"/>
                <w:szCs w:val="20"/>
                <w:lang w:val="fr-FR"/>
              </w:rPr>
            </w:pPr>
          </w:p>
        </w:tc>
        <w:tc>
          <w:tcPr>
            <w:tcW w:w="1354" w:type="dxa"/>
          </w:tcPr>
          <w:p w14:paraId="203C9235"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0,055</w:t>
            </w:r>
          </w:p>
        </w:tc>
      </w:tr>
      <w:tr w:rsidR="004401F0" w:rsidRPr="00FD0816" w14:paraId="402562CF" w14:textId="77777777" w:rsidTr="00654D21">
        <w:trPr>
          <w:cantSplit/>
        </w:trPr>
        <w:tc>
          <w:tcPr>
            <w:tcW w:w="9238" w:type="dxa"/>
            <w:gridSpan w:val="6"/>
          </w:tcPr>
          <w:p w14:paraId="77562DBB"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Durée de réponse</w:t>
            </w:r>
          </w:p>
        </w:tc>
      </w:tr>
      <w:tr w:rsidR="004401F0" w:rsidRPr="00FD0816" w14:paraId="19AB642E" w14:textId="77777777" w:rsidTr="00654D21">
        <w:trPr>
          <w:cantSplit/>
        </w:trPr>
        <w:tc>
          <w:tcPr>
            <w:tcW w:w="2579" w:type="dxa"/>
          </w:tcPr>
          <w:p w14:paraId="754C6D0C" w14:textId="77777777" w:rsidR="004401F0" w:rsidRPr="00FD0816" w:rsidRDefault="00DF3C4F" w:rsidP="00B40553">
            <w:pPr>
              <w:pStyle w:val="TableParagraph"/>
              <w:adjustRightInd w:val="0"/>
              <w:snapToGrid w:val="0"/>
              <w:ind w:firstLine="360"/>
              <w:rPr>
                <w:sz w:val="20"/>
                <w:szCs w:val="20"/>
                <w:lang w:val="fr-FR"/>
              </w:rPr>
            </w:pPr>
            <w:r w:rsidRPr="00FD0816">
              <w:rPr>
                <w:sz w:val="20"/>
                <w:szCs w:val="20"/>
                <w:lang w:val="fr-FR"/>
              </w:rPr>
              <w:t>Temps médian (mois)</w:t>
            </w:r>
          </w:p>
        </w:tc>
        <w:tc>
          <w:tcPr>
            <w:tcW w:w="1297" w:type="dxa"/>
          </w:tcPr>
          <w:p w14:paraId="10005B00"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NA</w:t>
            </w:r>
          </w:p>
        </w:tc>
        <w:tc>
          <w:tcPr>
            <w:tcW w:w="1365" w:type="dxa"/>
          </w:tcPr>
          <w:p w14:paraId="78AFC95E"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9,3</w:t>
            </w:r>
          </w:p>
        </w:tc>
        <w:tc>
          <w:tcPr>
            <w:tcW w:w="1350" w:type="dxa"/>
          </w:tcPr>
          <w:p w14:paraId="0ACD0819"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5,0</w:t>
            </w:r>
          </w:p>
        </w:tc>
        <w:tc>
          <w:tcPr>
            <w:tcW w:w="1293" w:type="dxa"/>
          </w:tcPr>
          <w:p w14:paraId="76BC5EC0"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6,8</w:t>
            </w:r>
          </w:p>
        </w:tc>
        <w:tc>
          <w:tcPr>
            <w:tcW w:w="1354" w:type="dxa"/>
          </w:tcPr>
          <w:p w14:paraId="338BEA61"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9,2</w:t>
            </w:r>
          </w:p>
        </w:tc>
      </w:tr>
      <w:tr w:rsidR="004401F0" w:rsidRPr="00FD0816" w14:paraId="127488F9" w14:textId="77777777" w:rsidTr="00654D21">
        <w:trPr>
          <w:cantSplit/>
        </w:trPr>
        <w:tc>
          <w:tcPr>
            <w:tcW w:w="2579" w:type="dxa"/>
          </w:tcPr>
          <w:p w14:paraId="5F2F037D" w14:textId="77777777" w:rsidR="004401F0" w:rsidRPr="00FD0816" w:rsidRDefault="00DF3C4F" w:rsidP="00B40553">
            <w:pPr>
              <w:pStyle w:val="TableParagraph"/>
              <w:adjustRightInd w:val="0"/>
              <w:snapToGrid w:val="0"/>
              <w:ind w:firstLine="360"/>
              <w:rPr>
                <w:sz w:val="20"/>
                <w:szCs w:val="20"/>
                <w:lang w:val="fr-FR"/>
              </w:rPr>
            </w:pPr>
            <w:r w:rsidRPr="00FD0816">
              <w:rPr>
                <w:sz w:val="20"/>
                <w:szCs w:val="20"/>
                <w:lang w:val="fr-FR"/>
              </w:rPr>
              <w:t>25</w:t>
            </w:r>
            <w:r w:rsidRPr="00FD0816">
              <w:rPr>
                <w:sz w:val="20"/>
                <w:szCs w:val="20"/>
                <w:vertAlign w:val="superscript"/>
                <w:lang w:val="fr-FR"/>
              </w:rPr>
              <w:t>e</w:t>
            </w:r>
            <w:r w:rsidRPr="00FD0816">
              <w:rPr>
                <w:sz w:val="20"/>
                <w:szCs w:val="20"/>
                <w:lang w:val="fr-FR"/>
              </w:rPr>
              <w:t>–75</w:t>
            </w:r>
            <w:r w:rsidRPr="00FD0816">
              <w:rPr>
                <w:sz w:val="20"/>
                <w:szCs w:val="20"/>
                <w:vertAlign w:val="superscript"/>
                <w:lang w:val="fr-FR"/>
              </w:rPr>
              <w:t>e</w:t>
            </w:r>
            <w:r w:rsidRPr="00FD0816">
              <w:rPr>
                <w:sz w:val="20"/>
                <w:szCs w:val="20"/>
                <w:lang w:val="fr-FR"/>
              </w:rPr>
              <w:t xml:space="preserve"> percentile (mois)</w:t>
            </w:r>
          </w:p>
        </w:tc>
        <w:tc>
          <w:tcPr>
            <w:tcW w:w="1297" w:type="dxa"/>
          </w:tcPr>
          <w:p w14:paraId="29A5B6E4"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5,5 -NA</w:t>
            </w:r>
          </w:p>
        </w:tc>
        <w:tc>
          <w:tcPr>
            <w:tcW w:w="1365" w:type="dxa"/>
          </w:tcPr>
          <w:p w14:paraId="5566128E"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6,1 -NA</w:t>
            </w:r>
          </w:p>
        </w:tc>
        <w:tc>
          <w:tcPr>
            <w:tcW w:w="1350" w:type="dxa"/>
          </w:tcPr>
          <w:p w14:paraId="47E2C799" w14:textId="339E72EA"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 xml:space="preserve">3,8 </w:t>
            </w:r>
            <w:r w:rsidR="00692924">
              <w:rPr>
                <w:sz w:val="20"/>
                <w:szCs w:val="20"/>
                <w:lang w:val="fr-FR"/>
              </w:rPr>
              <w:t>-</w:t>
            </w:r>
            <w:r w:rsidR="00692924" w:rsidRPr="00FD0816">
              <w:rPr>
                <w:sz w:val="20"/>
                <w:szCs w:val="20"/>
                <w:lang w:val="fr-FR"/>
              </w:rPr>
              <w:t xml:space="preserve"> </w:t>
            </w:r>
            <w:r w:rsidRPr="00FD0816">
              <w:rPr>
                <w:sz w:val="20"/>
                <w:szCs w:val="20"/>
                <w:lang w:val="fr-FR"/>
              </w:rPr>
              <w:t>7,8</w:t>
            </w:r>
          </w:p>
        </w:tc>
        <w:tc>
          <w:tcPr>
            <w:tcW w:w="1293" w:type="dxa"/>
          </w:tcPr>
          <w:p w14:paraId="621015A4"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5,59 - 9,17</w:t>
            </w:r>
          </w:p>
        </w:tc>
        <w:tc>
          <w:tcPr>
            <w:tcW w:w="1354" w:type="dxa"/>
          </w:tcPr>
          <w:p w14:paraId="1E1B2559" w14:textId="77777777" w:rsidR="004401F0" w:rsidRPr="00FD0816" w:rsidRDefault="00DF3C4F" w:rsidP="00FD0816">
            <w:pPr>
              <w:pStyle w:val="TableParagraph"/>
              <w:adjustRightInd w:val="0"/>
              <w:snapToGrid w:val="0"/>
              <w:jc w:val="center"/>
              <w:rPr>
                <w:sz w:val="20"/>
                <w:szCs w:val="20"/>
                <w:lang w:val="fr-FR"/>
              </w:rPr>
            </w:pPr>
            <w:r w:rsidRPr="00FD0816">
              <w:rPr>
                <w:sz w:val="20"/>
                <w:szCs w:val="20"/>
                <w:lang w:val="fr-FR"/>
              </w:rPr>
              <w:t>5,88 - 13,01</w:t>
            </w:r>
          </w:p>
        </w:tc>
      </w:tr>
    </w:tbl>
    <w:p w14:paraId="1BB7706E" w14:textId="77777777" w:rsidR="00FD0816" w:rsidRDefault="00DF3C4F" w:rsidP="00BD4C7C">
      <w:pPr>
        <w:adjustRightInd w:val="0"/>
        <w:snapToGrid w:val="0"/>
        <w:rPr>
          <w:sz w:val="18"/>
          <w:szCs w:val="18"/>
          <w:lang w:val="fr-FR"/>
        </w:rPr>
      </w:pPr>
      <w:r w:rsidRPr="00FD0816">
        <w:rPr>
          <w:sz w:val="18"/>
          <w:szCs w:val="18"/>
          <w:vertAlign w:val="superscript"/>
          <w:lang w:val="fr-FR"/>
        </w:rPr>
        <w:t>a</w:t>
      </w:r>
      <w:r w:rsidRPr="00FD0816">
        <w:rPr>
          <w:sz w:val="18"/>
          <w:szCs w:val="18"/>
          <w:lang w:val="fr-FR"/>
        </w:rPr>
        <w:t xml:space="preserve"> 5</w:t>
      </w:r>
      <w:r w:rsidR="00DA7718" w:rsidRPr="00FD0816">
        <w:rPr>
          <w:sz w:val="18"/>
          <w:szCs w:val="18"/>
          <w:lang w:val="fr-FR"/>
        </w:rPr>
        <w:t> mg</w:t>
      </w:r>
      <w:r w:rsidRPr="00FD0816">
        <w:rPr>
          <w:sz w:val="18"/>
          <w:szCs w:val="18"/>
          <w:lang w:val="fr-FR"/>
        </w:rPr>
        <w:t xml:space="preserve">/kg toutes les 2 semaines </w:t>
      </w:r>
    </w:p>
    <w:p w14:paraId="6760F9BC" w14:textId="77777777" w:rsidR="00FD0816" w:rsidRDefault="00DF3C4F" w:rsidP="00BD4C7C">
      <w:pPr>
        <w:adjustRightInd w:val="0"/>
        <w:snapToGrid w:val="0"/>
        <w:rPr>
          <w:sz w:val="18"/>
          <w:szCs w:val="18"/>
          <w:lang w:val="fr-FR"/>
        </w:rPr>
      </w:pPr>
      <w:r w:rsidRPr="00FD0816">
        <w:rPr>
          <w:sz w:val="18"/>
          <w:szCs w:val="18"/>
          <w:vertAlign w:val="superscript"/>
          <w:lang w:val="fr-FR"/>
        </w:rPr>
        <w:t>b</w:t>
      </w:r>
      <w:r w:rsidRPr="00FD0816">
        <w:rPr>
          <w:sz w:val="18"/>
          <w:szCs w:val="18"/>
          <w:lang w:val="fr-FR"/>
        </w:rPr>
        <w:t xml:space="preserve"> 10</w:t>
      </w:r>
      <w:r w:rsidR="00DA7718" w:rsidRPr="00FD0816">
        <w:rPr>
          <w:sz w:val="18"/>
          <w:szCs w:val="18"/>
          <w:lang w:val="fr-FR"/>
        </w:rPr>
        <w:t> mg</w:t>
      </w:r>
      <w:r w:rsidRPr="00FD0816">
        <w:rPr>
          <w:sz w:val="18"/>
          <w:szCs w:val="18"/>
          <w:lang w:val="fr-FR"/>
        </w:rPr>
        <w:t xml:space="preserve">/kg toutes les 2 semaines </w:t>
      </w:r>
    </w:p>
    <w:p w14:paraId="0E598FF8" w14:textId="77777777" w:rsidR="00FD0816" w:rsidRDefault="00DF3C4F" w:rsidP="00BD4C7C">
      <w:pPr>
        <w:adjustRightInd w:val="0"/>
        <w:snapToGrid w:val="0"/>
        <w:rPr>
          <w:sz w:val="18"/>
          <w:szCs w:val="18"/>
          <w:lang w:val="fr-FR"/>
        </w:rPr>
      </w:pPr>
      <w:r w:rsidRPr="00FD0816">
        <w:rPr>
          <w:sz w:val="18"/>
          <w:szCs w:val="18"/>
          <w:vertAlign w:val="superscript"/>
          <w:lang w:val="fr-FR"/>
        </w:rPr>
        <w:t>c</w:t>
      </w:r>
      <w:r w:rsidRPr="00FD0816">
        <w:rPr>
          <w:sz w:val="18"/>
          <w:szCs w:val="18"/>
          <w:lang w:val="fr-FR"/>
        </w:rPr>
        <w:t xml:space="preserve"> Par rapport au groupe témoin </w:t>
      </w:r>
    </w:p>
    <w:p w14:paraId="1CF4DB70" w14:textId="77777777" w:rsidR="004401F0" w:rsidRPr="00FD0816" w:rsidRDefault="00DF3C4F" w:rsidP="00BD4C7C">
      <w:pPr>
        <w:adjustRightInd w:val="0"/>
        <w:snapToGrid w:val="0"/>
        <w:rPr>
          <w:sz w:val="18"/>
          <w:szCs w:val="18"/>
          <w:lang w:val="fr-FR"/>
        </w:rPr>
      </w:pPr>
      <w:r w:rsidRPr="00FD0816">
        <w:rPr>
          <w:sz w:val="18"/>
          <w:szCs w:val="18"/>
          <w:lang w:val="fr-FR"/>
        </w:rPr>
        <w:t xml:space="preserve">NA </w:t>
      </w:r>
      <w:r w:rsidRPr="00FD0816">
        <w:rPr>
          <w:rFonts w:ascii="Symbol" w:hAnsi="Symbol"/>
          <w:sz w:val="18"/>
          <w:szCs w:val="18"/>
          <w:lang w:val="fr-FR"/>
        </w:rPr>
        <w:t></w:t>
      </w:r>
      <w:r w:rsidRPr="00FD0816">
        <w:rPr>
          <w:sz w:val="18"/>
          <w:szCs w:val="18"/>
          <w:lang w:val="fr-FR"/>
        </w:rPr>
        <w:t xml:space="preserve"> non atteint</w:t>
      </w:r>
    </w:p>
    <w:p w14:paraId="78930FF5" w14:textId="77777777" w:rsidR="004401F0" w:rsidRPr="00DA7718" w:rsidRDefault="004401F0" w:rsidP="00BD4C7C">
      <w:pPr>
        <w:pStyle w:val="a3"/>
        <w:adjustRightInd w:val="0"/>
        <w:snapToGrid w:val="0"/>
        <w:rPr>
          <w:lang w:val="fr-FR"/>
        </w:rPr>
      </w:pPr>
    </w:p>
    <w:p w14:paraId="3CD813A7" w14:textId="77777777" w:rsidR="004401F0" w:rsidRPr="00DA7718" w:rsidRDefault="00DF3C4F" w:rsidP="00BD4C7C">
      <w:pPr>
        <w:adjustRightInd w:val="0"/>
        <w:snapToGrid w:val="0"/>
        <w:rPr>
          <w:i/>
          <w:lang w:val="fr-FR"/>
        </w:rPr>
      </w:pPr>
      <w:r w:rsidRPr="00DA7718">
        <w:rPr>
          <w:i/>
          <w:lang w:val="fr-FR"/>
        </w:rPr>
        <w:t>NO16966</w:t>
      </w:r>
    </w:p>
    <w:p w14:paraId="4876CC01" w14:textId="52CAF2E0" w:rsidR="004401F0" w:rsidRPr="00DA7718" w:rsidRDefault="00DF3C4F" w:rsidP="00BD4C7C">
      <w:pPr>
        <w:pStyle w:val="a3"/>
        <w:adjustRightInd w:val="0"/>
        <w:snapToGrid w:val="0"/>
        <w:rPr>
          <w:lang w:val="fr-FR"/>
        </w:rPr>
      </w:pPr>
      <w:r w:rsidRPr="00DA7718">
        <w:rPr>
          <w:lang w:val="fr-FR"/>
        </w:rPr>
        <w:t xml:space="preserve">Il s’agissait d’une étude de phase III randomisée, en double aveugle (pour le bevacizumab), évaluant </w:t>
      </w:r>
      <w:r w:rsidR="007C696A">
        <w:rPr>
          <w:lang w:val="fr-FR"/>
        </w:rPr>
        <w:t>le bevacizumab</w:t>
      </w:r>
      <w:r w:rsidR="007C696A" w:rsidRPr="00DA7718">
        <w:rPr>
          <w:lang w:val="fr-FR"/>
        </w:rPr>
        <w:t xml:space="preserve"> </w:t>
      </w:r>
      <w:r w:rsidRPr="00DA7718">
        <w:rPr>
          <w:lang w:val="fr-FR"/>
        </w:rPr>
        <w:t>à la dose de 7,5</w:t>
      </w:r>
      <w:r w:rsidR="00DA7718" w:rsidRPr="00DA7718">
        <w:rPr>
          <w:lang w:val="fr-FR"/>
        </w:rPr>
        <w:t> mg</w:t>
      </w:r>
      <w:r w:rsidRPr="00DA7718">
        <w:rPr>
          <w:lang w:val="fr-FR"/>
        </w:rPr>
        <w:t xml:space="preserve">/kg en association à la capécitabine orale et à l’oxaliplatine </w:t>
      </w:r>
      <w:r w:rsidR="00830625">
        <w:rPr>
          <w:lang w:val="fr-FR"/>
        </w:rPr>
        <w:t>par voie</w:t>
      </w:r>
      <w:r w:rsidR="003C5B61">
        <w:rPr>
          <w:lang w:val="fr-FR"/>
        </w:rPr>
        <w:t xml:space="preserve"> intraveineuse</w:t>
      </w:r>
      <w:r w:rsidRPr="00DA7718">
        <w:rPr>
          <w:lang w:val="fr-FR"/>
        </w:rPr>
        <w:t xml:space="preserve"> (XELOX), administré sur un schéma toutes les trois semaines ou </w:t>
      </w:r>
      <w:r w:rsidR="007C696A">
        <w:rPr>
          <w:lang w:val="fr-FR"/>
        </w:rPr>
        <w:t>le bevacizumab</w:t>
      </w:r>
      <w:r w:rsidRPr="00DA7718">
        <w:rPr>
          <w:lang w:val="fr-FR"/>
        </w:rPr>
        <w:t xml:space="preserve"> à la dose de 5</w:t>
      </w:r>
      <w:r w:rsidR="00DA7718" w:rsidRPr="00DA7718">
        <w:rPr>
          <w:lang w:val="fr-FR"/>
        </w:rPr>
        <w:t> mg</w:t>
      </w:r>
      <w:r w:rsidRPr="00DA7718">
        <w:rPr>
          <w:lang w:val="fr-FR"/>
        </w:rPr>
        <w:t xml:space="preserve">/kg en association à la leucovorine et au 5-fluorouracile en bolus, suivi du 5-fluorouracile en perfusion, associé à l’oxaliplatine </w:t>
      </w:r>
      <w:r w:rsidR="00830625">
        <w:rPr>
          <w:lang w:val="fr-FR"/>
        </w:rPr>
        <w:t>par voie</w:t>
      </w:r>
      <w:r w:rsidR="003C5B61">
        <w:rPr>
          <w:lang w:val="fr-FR"/>
        </w:rPr>
        <w:t xml:space="preserve"> intraveineuse</w:t>
      </w:r>
      <w:r w:rsidRPr="00DA7718">
        <w:rPr>
          <w:lang w:val="fr-FR"/>
        </w:rPr>
        <w:t xml:space="preserve"> (FOLFOX-4), administré sur un schéma toutes les deux semaines. L’étude comportait deux parties</w:t>
      </w:r>
      <w:r w:rsidR="00765A43">
        <w:rPr>
          <w:lang w:val="fr-FR"/>
        </w:rPr>
        <w:t xml:space="preserve"> : </w:t>
      </w:r>
      <w:r w:rsidRPr="00DA7718">
        <w:rPr>
          <w:lang w:val="fr-FR"/>
        </w:rPr>
        <w:t xml:space="preserve">une partie initiale (Partie I) au cours de laquelle les patients ont été randomisés, en ouvert, en deux bras de traitements différents (XELOX et FOLFOX-4) et une autre partie (Partie II) au cours de laquelle les patients ont été randomisés selon un plan factoriel 2x2 avec 4 bras de traitements (XELOX + placebo, FOLFOX-4 + placebo, XELOX + </w:t>
      </w:r>
      <w:r w:rsidR="007C696A">
        <w:rPr>
          <w:lang w:val="fr-FR"/>
        </w:rPr>
        <w:t>bevacizumab</w:t>
      </w:r>
      <w:r w:rsidRPr="00DA7718">
        <w:rPr>
          <w:lang w:val="fr-FR"/>
        </w:rPr>
        <w:t xml:space="preserve">, FOLFOX-4 + </w:t>
      </w:r>
      <w:r w:rsidR="007C696A">
        <w:rPr>
          <w:lang w:val="fr-FR"/>
        </w:rPr>
        <w:t>bevacizumab</w:t>
      </w:r>
      <w:r w:rsidRPr="00DA7718">
        <w:rPr>
          <w:lang w:val="fr-FR"/>
        </w:rPr>
        <w:t xml:space="preserve">). Dans la partie II, </w:t>
      </w:r>
      <w:r w:rsidR="007C696A">
        <w:rPr>
          <w:lang w:val="fr-FR"/>
        </w:rPr>
        <w:t xml:space="preserve">le bevacizumab </w:t>
      </w:r>
      <w:r w:rsidRPr="00DA7718">
        <w:rPr>
          <w:lang w:val="fr-FR"/>
        </w:rPr>
        <w:t>a été administré en double aveugle.</w:t>
      </w:r>
    </w:p>
    <w:p w14:paraId="107D1024" w14:textId="77777777" w:rsidR="004401F0" w:rsidRPr="007C119A" w:rsidRDefault="004401F0" w:rsidP="00BD4C7C">
      <w:pPr>
        <w:pStyle w:val="a3"/>
        <w:adjustRightInd w:val="0"/>
        <w:snapToGrid w:val="0"/>
        <w:rPr>
          <w:lang w:val="fr-FR"/>
        </w:rPr>
      </w:pPr>
    </w:p>
    <w:p w14:paraId="28E0FD63" w14:textId="77777777" w:rsidR="004401F0" w:rsidRPr="00DA7718" w:rsidRDefault="00DF3C4F" w:rsidP="00BD4C7C">
      <w:pPr>
        <w:pStyle w:val="a3"/>
        <w:adjustRightInd w:val="0"/>
        <w:snapToGrid w:val="0"/>
        <w:rPr>
          <w:lang w:val="fr-FR"/>
        </w:rPr>
      </w:pPr>
      <w:r w:rsidRPr="00DA7718">
        <w:rPr>
          <w:lang w:val="fr-FR"/>
        </w:rPr>
        <w:t>Dans la partie II de l’étude, environ 350 patients ont été randomisés dans chacun des quatre groupes.</w:t>
      </w:r>
    </w:p>
    <w:p w14:paraId="5A657D4E" w14:textId="77777777" w:rsidR="00BD4C7C" w:rsidRPr="00DA7718" w:rsidRDefault="00BD4C7C" w:rsidP="00BD4C7C">
      <w:pPr>
        <w:adjustRightInd w:val="0"/>
        <w:snapToGrid w:val="0"/>
        <w:rPr>
          <w:lang w:val="fr-FR"/>
        </w:rPr>
      </w:pPr>
    </w:p>
    <w:p w14:paraId="0284F7F9" w14:textId="77777777" w:rsidR="004401F0" w:rsidRPr="00E13189" w:rsidRDefault="00DF3C4F" w:rsidP="00E13189">
      <w:pPr>
        <w:ind w:left="1276" w:hanging="1276"/>
        <w:rPr>
          <w:b/>
          <w:bCs/>
          <w:lang w:val="fr-FR"/>
        </w:rPr>
      </w:pPr>
      <w:r w:rsidRPr="00E13189">
        <w:rPr>
          <w:b/>
          <w:bCs/>
          <w:lang w:val="fr-FR"/>
        </w:rPr>
        <w:t>Tableau 6</w:t>
      </w:r>
      <w:r w:rsidRPr="00E13189">
        <w:rPr>
          <w:b/>
          <w:bCs/>
          <w:lang w:val="fr-FR"/>
        </w:rPr>
        <w:tab/>
        <w:t>Schéma thérapeutique de l’étude NO16966 (CCRm)</w:t>
      </w:r>
    </w:p>
    <w:p w14:paraId="4229CEBE" w14:textId="77777777" w:rsidR="004401F0" w:rsidRPr="00DA7718" w:rsidRDefault="004401F0" w:rsidP="00654D21">
      <w:pPr>
        <w:pStyle w:val="a3"/>
        <w:keepNext/>
        <w:keepLines/>
        <w:adjustRightInd w:val="0"/>
        <w:snapToGrid w:val="0"/>
        <w:rPr>
          <w:b/>
          <w:lang w:val="fr-FR"/>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64"/>
        <w:gridCol w:w="2074"/>
        <w:gridCol w:w="2073"/>
        <w:gridCol w:w="3143"/>
      </w:tblGrid>
      <w:tr w:rsidR="004401F0" w:rsidRPr="00FD0816" w14:paraId="5C788FC6" w14:textId="77777777" w:rsidTr="00654D21">
        <w:trPr>
          <w:cantSplit/>
          <w:tblHeader/>
        </w:trPr>
        <w:tc>
          <w:tcPr>
            <w:tcW w:w="1809" w:type="dxa"/>
          </w:tcPr>
          <w:p w14:paraId="58ED2D36" w14:textId="77777777" w:rsidR="004401F0" w:rsidRPr="00FD0816" w:rsidRDefault="004401F0" w:rsidP="00654D21">
            <w:pPr>
              <w:pStyle w:val="TableParagraph"/>
              <w:keepLines/>
              <w:adjustRightInd w:val="0"/>
              <w:snapToGrid w:val="0"/>
              <w:rPr>
                <w:sz w:val="20"/>
                <w:szCs w:val="20"/>
                <w:lang w:val="fr-FR"/>
              </w:rPr>
            </w:pPr>
          </w:p>
        </w:tc>
        <w:tc>
          <w:tcPr>
            <w:tcW w:w="2127" w:type="dxa"/>
          </w:tcPr>
          <w:p w14:paraId="1DEC4776" w14:textId="77777777" w:rsidR="004401F0" w:rsidRPr="00654D21" w:rsidRDefault="00DF3C4F" w:rsidP="00654D21">
            <w:pPr>
              <w:pStyle w:val="TableParagraph"/>
              <w:keepLines/>
              <w:adjustRightInd w:val="0"/>
              <w:snapToGrid w:val="0"/>
              <w:jc w:val="center"/>
              <w:rPr>
                <w:b/>
                <w:bCs/>
                <w:sz w:val="20"/>
                <w:szCs w:val="20"/>
                <w:lang w:val="fr-FR"/>
              </w:rPr>
            </w:pPr>
            <w:r w:rsidRPr="00654D21">
              <w:rPr>
                <w:b/>
                <w:bCs/>
                <w:sz w:val="20"/>
                <w:szCs w:val="20"/>
                <w:lang w:val="fr-FR"/>
              </w:rPr>
              <w:t>Traitement</w:t>
            </w:r>
          </w:p>
        </w:tc>
        <w:tc>
          <w:tcPr>
            <w:tcW w:w="2126" w:type="dxa"/>
          </w:tcPr>
          <w:p w14:paraId="0C7E415A" w14:textId="77777777" w:rsidR="004401F0" w:rsidRPr="00654D21" w:rsidRDefault="00DF3C4F" w:rsidP="00654D21">
            <w:pPr>
              <w:pStyle w:val="TableParagraph"/>
              <w:keepLines/>
              <w:adjustRightInd w:val="0"/>
              <w:snapToGrid w:val="0"/>
              <w:jc w:val="center"/>
              <w:rPr>
                <w:b/>
                <w:bCs/>
                <w:sz w:val="20"/>
                <w:szCs w:val="20"/>
                <w:lang w:val="fr-FR"/>
              </w:rPr>
            </w:pPr>
            <w:r w:rsidRPr="00654D21">
              <w:rPr>
                <w:b/>
                <w:bCs/>
                <w:sz w:val="20"/>
                <w:szCs w:val="20"/>
                <w:lang w:val="fr-FR"/>
              </w:rPr>
              <w:t>Dose initiale</w:t>
            </w:r>
          </w:p>
        </w:tc>
        <w:tc>
          <w:tcPr>
            <w:tcW w:w="3228" w:type="dxa"/>
          </w:tcPr>
          <w:p w14:paraId="629DD81C" w14:textId="77777777" w:rsidR="004401F0" w:rsidRPr="00654D21" w:rsidRDefault="00DF3C4F" w:rsidP="00654D21">
            <w:pPr>
              <w:pStyle w:val="TableParagraph"/>
              <w:keepLines/>
              <w:adjustRightInd w:val="0"/>
              <w:snapToGrid w:val="0"/>
              <w:jc w:val="center"/>
              <w:rPr>
                <w:b/>
                <w:bCs/>
                <w:sz w:val="20"/>
                <w:szCs w:val="20"/>
                <w:lang w:val="fr-FR"/>
              </w:rPr>
            </w:pPr>
            <w:r w:rsidRPr="00654D21">
              <w:rPr>
                <w:b/>
                <w:bCs/>
                <w:sz w:val="20"/>
                <w:szCs w:val="20"/>
                <w:lang w:val="fr-FR"/>
              </w:rPr>
              <w:t>Calendrier</w:t>
            </w:r>
          </w:p>
        </w:tc>
      </w:tr>
      <w:tr w:rsidR="004401F0" w:rsidRPr="000D7348" w14:paraId="7ED05280" w14:textId="77777777" w:rsidTr="006F344F">
        <w:trPr>
          <w:cantSplit/>
        </w:trPr>
        <w:tc>
          <w:tcPr>
            <w:tcW w:w="1809" w:type="dxa"/>
            <w:vMerge w:val="restart"/>
            <w:vAlign w:val="center"/>
          </w:tcPr>
          <w:p w14:paraId="18308476" w14:textId="77777777" w:rsidR="004401F0" w:rsidRPr="00FD0816" w:rsidRDefault="00DF3C4F" w:rsidP="00654D21">
            <w:pPr>
              <w:pStyle w:val="TableParagraph"/>
              <w:keepLines/>
              <w:adjustRightInd w:val="0"/>
              <w:snapToGrid w:val="0"/>
              <w:jc w:val="center"/>
              <w:rPr>
                <w:sz w:val="20"/>
                <w:szCs w:val="20"/>
                <w:lang w:val="fr-FR"/>
              </w:rPr>
            </w:pPr>
            <w:r w:rsidRPr="00FD0816">
              <w:rPr>
                <w:sz w:val="20"/>
                <w:szCs w:val="20"/>
                <w:lang w:val="fr-FR"/>
              </w:rPr>
              <w:t>FOLFOX-4</w:t>
            </w:r>
          </w:p>
          <w:p w14:paraId="18565B11" w14:textId="77777777" w:rsidR="004401F0" w:rsidRPr="00FD0816" w:rsidRDefault="00DF3C4F" w:rsidP="00654D21">
            <w:pPr>
              <w:pStyle w:val="TableParagraph"/>
              <w:keepLines/>
              <w:adjustRightInd w:val="0"/>
              <w:snapToGrid w:val="0"/>
              <w:jc w:val="center"/>
              <w:rPr>
                <w:sz w:val="20"/>
                <w:szCs w:val="20"/>
                <w:lang w:val="fr-FR"/>
              </w:rPr>
            </w:pPr>
            <w:r w:rsidRPr="00FD0816">
              <w:rPr>
                <w:sz w:val="20"/>
                <w:szCs w:val="20"/>
                <w:lang w:val="fr-FR"/>
              </w:rPr>
              <w:t>ou FOLFOX-4</w:t>
            </w:r>
          </w:p>
          <w:p w14:paraId="43F0577E" w14:textId="4ED45A9C" w:rsidR="004401F0" w:rsidRPr="00FD0816" w:rsidRDefault="00DF3C4F" w:rsidP="00654D21">
            <w:pPr>
              <w:pStyle w:val="TableParagraph"/>
              <w:keepLines/>
              <w:adjustRightInd w:val="0"/>
              <w:snapToGrid w:val="0"/>
              <w:jc w:val="center"/>
              <w:rPr>
                <w:sz w:val="20"/>
                <w:szCs w:val="20"/>
                <w:lang w:val="fr-FR"/>
              </w:rPr>
            </w:pPr>
            <w:r w:rsidRPr="00FD0816">
              <w:rPr>
                <w:sz w:val="20"/>
                <w:szCs w:val="20"/>
                <w:lang w:val="fr-FR"/>
              </w:rPr>
              <w:t xml:space="preserve">+ </w:t>
            </w:r>
            <w:r w:rsidR="00F43EE3">
              <w:rPr>
                <w:sz w:val="20"/>
                <w:szCs w:val="20"/>
                <w:lang w:val="fr-FR"/>
              </w:rPr>
              <w:t>bevacizumab</w:t>
            </w:r>
          </w:p>
        </w:tc>
        <w:tc>
          <w:tcPr>
            <w:tcW w:w="2127" w:type="dxa"/>
            <w:tcBorders>
              <w:bottom w:val="nil"/>
            </w:tcBorders>
          </w:tcPr>
          <w:p w14:paraId="76595F14" w14:textId="77777777" w:rsidR="004401F0" w:rsidRDefault="00DF3C4F" w:rsidP="00654D21">
            <w:pPr>
              <w:pStyle w:val="TableParagraph"/>
              <w:keepLines/>
              <w:adjustRightInd w:val="0"/>
              <w:snapToGrid w:val="0"/>
              <w:rPr>
                <w:sz w:val="20"/>
                <w:szCs w:val="20"/>
                <w:lang w:val="fr-FR"/>
              </w:rPr>
            </w:pPr>
            <w:r w:rsidRPr="00FD0816">
              <w:rPr>
                <w:sz w:val="20"/>
                <w:szCs w:val="20"/>
                <w:lang w:val="fr-FR"/>
              </w:rPr>
              <w:t>Oxaliplatine</w:t>
            </w:r>
          </w:p>
          <w:p w14:paraId="5DA16817" w14:textId="77777777" w:rsidR="006F344F" w:rsidRPr="00FD0816" w:rsidRDefault="006F344F" w:rsidP="00654D21">
            <w:pPr>
              <w:pStyle w:val="TableParagraph"/>
              <w:keepLines/>
              <w:adjustRightInd w:val="0"/>
              <w:snapToGrid w:val="0"/>
              <w:rPr>
                <w:sz w:val="20"/>
                <w:szCs w:val="20"/>
                <w:lang w:val="fr-FR"/>
              </w:rPr>
            </w:pPr>
          </w:p>
        </w:tc>
        <w:tc>
          <w:tcPr>
            <w:tcW w:w="2126" w:type="dxa"/>
            <w:tcBorders>
              <w:bottom w:val="nil"/>
            </w:tcBorders>
          </w:tcPr>
          <w:p w14:paraId="142334DE" w14:textId="284BD830" w:rsidR="004401F0" w:rsidRPr="00FD0816" w:rsidRDefault="00DF3C4F" w:rsidP="00654D21">
            <w:pPr>
              <w:pStyle w:val="TableParagraph"/>
              <w:keepLines/>
              <w:adjustRightInd w:val="0"/>
              <w:snapToGrid w:val="0"/>
              <w:rPr>
                <w:sz w:val="20"/>
                <w:szCs w:val="20"/>
                <w:lang w:val="fr-FR"/>
              </w:rPr>
            </w:pPr>
            <w:r w:rsidRPr="00FD0816">
              <w:rPr>
                <w:sz w:val="20"/>
                <w:szCs w:val="20"/>
                <w:lang w:val="fr-FR"/>
              </w:rPr>
              <w:t>85</w:t>
            </w:r>
            <w:r w:rsidR="00DA7718" w:rsidRPr="00FD0816">
              <w:rPr>
                <w:sz w:val="20"/>
                <w:szCs w:val="20"/>
                <w:lang w:val="fr-FR"/>
              </w:rPr>
              <w:t> mg</w:t>
            </w:r>
            <w:r w:rsidRPr="00FD0816">
              <w:rPr>
                <w:sz w:val="20"/>
                <w:szCs w:val="20"/>
                <w:lang w:val="fr-FR"/>
              </w:rPr>
              <w:t>/m</w:t>
            </w:r>
            <w:r w:rsidRPr="00FD0816">
              <w:rPr>
                <w:sz w:val="20"/>
                <w:szCs w:val="20"/>
                <w:vertAlign w:val="superscript"/>
                <w:lang w:val="fr-FR"/>
              </w:rPr>
              <w:t>2</w:t>
            </w:r>
            <w:r w:rsidRPr="00FD0816">
              <w:rPr>
                <w:sz w:val="20"/>
                <w:szCs w:val="20"/>
                <w:lang w:val="fr-FR"/>
              </w:rPr>
              <w:t xml:space="preserve"> </w:t>
            </w:r>
            <w:r w:rsidR="00830625">
              <w:rPr>
                <w:sz w:val="20"/>
                <w:szCs w:val="20"/>
                <w:lang w:val="fr-FR"/>
              </w:rPr>
              <w:t>par voie</w:t>
            </w:r>
            <w:r w:rsidR="00F43EE3">
              <w:rPr>
                <w:sz w:val="20"/>
                <w:szCs w:val="20"/>
                <w:lang w:val="fr-FR"/>
              </w:rPr>
              <w:t xml:space="preserve"> intraveineuse</w:t>
            </w:r>
            <w:r w:rsidRPr="00FD0816">
              <w:rPr>
                <w:sz w:val="20"/>
                <w:szCs w:val="20"/>
                <w:lang w:val="fr-FR"/>
              </w:rPr>
              <w:t xml:space="preserve"> 2h</w:t>
            </w:r>
          </w:p>
        </w:tc>
        <w:tc>
          <w:tcPr>
            <w:tcW w:w="3228" w:type="dxa"/>
            <w:vMerge w:val="restart"/>
          </w:tcPr>
          <w:p w14:paraId="4883CCD3" w14:textId="60BDCE8C" w:rsidR="00CB738A" w:rsidRDefault="00DF3C4F">
            <w:pPr>
              <w:pStyle w:val="TableParagraph"/>
              <w:keepLines/>
              <w:adjustRightInd w:val="0"/>
              <w:snapToGrid w:val="0"/>
              <w:rPr>
                <w:sz w:val="20"/>
                <w:szCs w:val="20"/>
                <w:lang w:val="fr-FR"/>
              </w:rPr>
            </w:pPr>
            <w:r w:rsidRPr="00FD0816">
              <w:rPr>
                <w:sz w:val="20"/>
                <w:szCs w:val="20"/>
                <w:lang w:val="fr-FR"/>
              </w:rPr>
              <w:t xml:space="preserve">Oxaliplatine au jour 1 </w:t>
            </w:r>
          </w:p>
          <w:p w14:paraId="6CA9C1D9" w14:textId="77777777" w:rsidR="00CB738A" w:rsidRDefault="00CB738A">
            <w:pPr>
              <w:pStyle w:val="TableParagraph"/>
              <w:keepLines/>
              <w:adjustRightInd w:val="0"/>
              <w:snapToGrid w:val="0"/>
              <w:rPr>
                <w:sz w:val="20"/>
                <w:szCs w:val="20"/>
                <w:lang w:val="fr-FR"/>
              </w:rPr>
            </w:pPr>
          </w:p>
          <w:p w14:paraId="25AFDB74" w14:textId="5303814A" w:rsidR="004401F0" w:rsidRPr="00FD0816" w:rsidRDefault="00DF3C4F" w:rsidP="00654D21">
            <w:pPr>
              <w:pStyle w:val="TableParagraph"/>
              <w:keepLines/>
              <w:adjustRightInd w:val="0"/>
              <w:snapToGrid w:val="0"/>
              <w:rPr>
                <w:sz w:val="20"/>
                <w:szCs w:val="20"/>
                <w:lang w:val="fr-FR"/>
              </w:rPr>
            </w:pPr>
            <w:r w:rsidRPr="00FD0816">
              <w:rPr>
                <w:sz w:val="20"/>
                <w:szCs w:val="20"/>
                <w:lang w:val="fr-FR"/>
              </w:rPr>
              <w:t>Leucovorine au jour 1 et au jour 2</w:t>
            </w:r>
          </w:p>
          <w:p w14:paraId="3DD248FC" w14:textId="77777777" w:rsidR="002210D0" w:rsidRPr="00FD0816" w:rsidRDefault="002210D0" w:rsidP="00654D21">
            <w:pPr>
              <w:pStyle w:val="TableParagraph"/>
              <w:keepLines/>
              <w:adjustRightInd w:val="0"/>
              <w:snapToGrid w:val="0"/>
              <w:rPr>
                <w:b/>
                <w:sz w:val="20"/>
                <w:szCs w:val="20"/>
                <w:lang w:val="fr-FR"/>
              </w:rPr>
            </w:pPr>
          </w:p>
          <w:p w14:paraId="4746B666" w14:textId="00B16C47" w:rsidR="004401F0" w:rsidRPr="00FD0816" w:rsidRDefault="00DF3C4F" w:rsidP="00654D21">
            <w:pPr>
              <w:pStyle w:val="TableParagraph"/>
              <w:keepLines/>
              <w:adjustRightInd w:val="0"/>
              <w:snapToGrid w:val="0"/>
              <w:rPr>
                <w:sz w:val="20"/>
                <w:szCs w:val="20"/>
                <w:lang w:val="fr-FR"/>
              </w:rPr>
            </w:pPr>
            <w:r w:rsidRPr="00FD0816">
              <w:rPr>
                <w:sz w:val="20"/>
                <w:szCs w:val="20"/>
                <w:lang w:val="fr-FR"/>
              </w:rPr>
              <w:t>5-fluorouracile</w:t>
            </w:r>
            <w:r w:rsidR="002210D0">
              <w:rPr>
                <w:sz w:val="20"/>
                <w:szCs w:val="20"/>
                <w:lang w:val="fr-FR"/>
              </w:rPr>
              <w:t xml:space="preserve"> </w:t>
            </w:r>
            <w:r w:rsidR="00830625">
              <w:rPr>
                <w:sz w:val="20"/>
                <w:szCs w:val="20"/>
                <w:lang w:val="fr-FR"/>
              </w:rPr>
              <w:t xml:space="preserve">par voie </w:t>
            </w:r>
            <w:r w:rsidR="00F43EE3">
              <w:rPr>
                <w:sz w:val="20"/>
                <w:szCs w:val="20"/>
                <w:lang w:val="fr-FR"/>
              </w:rPr>
              <w:t>intraveineuse</w:t>
            </w:r>
            <w:r w:rsidR="002210D0">
              <w:rPr>
                <w:sz w:val="20"/>
                <w:szCs w:val="20"/>
                <w:lang w:val="fr-FR"/>
              </w:rPr>
              <w:t xml:space="preserve"> </w:t>
            </w:r>
            <w:r w:rsidRPr="00FD0816">
              <w:rPr>
                <w:sz w:val="20"/>
                <w:szCs w:val="20"/>
                <w:lang w:val="fr-FR"/>
              </w:rPr>
              <w:t>bolus/perfusion, chacun au jour 1 et au jour 2</w:t>
            </w:r>
          </w:p>
        </w:tc>
      </w:tr>
      <w:tr w:rsidR="004401F0" w:rsidRPr="000D7348" w14:paraId="7889AA6C" w14:textId="77777777" w:rsidTr="006F344F">
        <w:trPr>
          <w:cantSplit/>
        </w:trPr>
        <w:tc>
          <w:tcPr>
            <w:tcW w:w="1809" w:type="dxa"/>
            <w:vMerge/>
            <w:tcBorders>
              <w:top w:val="nil"/>
            </w:tcBorders>
            <w:vAlign w:val="center"/>
          </w:tcPr>
          <w:p w14:paraId="18F9E479" w14:textId="77777777" w:rsidR="004401F0" w:rsidRPr="00FD0816" w:rsidRDefault="004401F0" w:rsidP="00654D21">
            <w:pPr>
              <w:keepLines/>
              <w:adjustRightInd w:val="0"/>
              <w:snapToGrid w:val="0"/>
              <w:jc w:val="center"/>
              <w:rPr>
                <w:sz w:val="20"/>
                <w:szCs w:val="20"/>
                <w:lang w:val="fr-FR"/>
              </w:rPr>
            </w:pPr>
          </w:p>
        </w:tc>
        <w:tc>
          <w:tcPr>
            <w:tcW w:w="2127" w:type="dxa"/>
            <w:tcBorders>
              <w:top w:val="nil"/>
              <w:bottom w:val="nil"/>
            </w:tcBorders>
          </w:tcPr>
          <w:p w14:paraId="45BEC60E" w14:textId="77777777" w:rsidR="004401F0" w:rsidRDefault="00DF3C4F" w:rsidP="00654D21">
            <w:pPr>
              <w:pStyle w:val="TableParagraph"/>
              <w:keepLines/>
              <w:adjustRightInd w:val="0"/>
              <w:snapToGrid w:val="0"/>
              <w:rPr>
                <w:sz w:val="20"/>
                <w:szCs w:val="20"/>
                <w:lang w:val="fr-FR"/>
              </w:rPr>
            </w:pPr>
            <w:r w:rsidRPr="00FD0816">
              <w:rPr>
                <w:sz w:val="20"/>
                <w:szCs w:val="20"/>
                <w:lang w:val="fr-FR"/>
              </w:rPr>
              <w:t>Leucovorine</w:t>
            </w:r>
          </w:p>
          <w:p w14:paraId="42C0E798" w14:textId="77777777" w:rsidR="006F344F" w:rsidRPr="00FD0816" w:rsidRDefault="006F344F" w:rsidP="00654D21">
            <w:pPr>
              <w:pStyle w:val="TableParagraph"/>
              <w:keepLines/>
              <w:adjustRightInd w:val="0"/>
              <w:snapToGrid w:val="0"/>
              <w:rPr>
                <w:sz w:val="20"/>
                <w:szCs w:val="20"/>
                <w:lang w:val="fr-FR"/>
              </w:rPr>
            </w:pPr>
          </w:p>
        </w:tc>
        <w:tc>
          <w:tcPr>
            <w:tcW w:w="2126" w:type="dxa"/>
            <w:tcBorders>
              <w:top w:val="nil"/>
              <w:bottom w:val="nil"/>
            </w:tcBorders>
          </w:tcPr>
          <w:p w14:paraId="7D818A42" w14:textId="3193942B" w:rsidR="004401F0" w:rsidRPr="00FD0816" w:rsidRDefault="00DF3C4F" w:rsidP="00654D21">
            <w:pPr>
              <w:pStyle w:val="TableParagraph"/>
              <w:keepLines/>
              <w:adjustRightInd w:val="0"/>
              <w:snapToGrid w:val="0"/>
              <w:rPr>
                <w:sz w:val="20"/>
                <w:szCs w:val="20"/>
                <w:lang w:val="fr-FR"/>
              </w:rPr>
            </w:pPr>
            <w:r w:rsidRPr="00FD0816">
              <w:rPr>
                <w:sz w:val="20"/>
                <w:szCs w:val="20"/>
                <w:lang w:val="fr-FR"/>
              </w:rPr>
              <w:t>200</w:t>
            </w:r>
            <w:r w:rsidR="00DA7718" w:rsidRPr="00FD0816">
              <w:rPr>
                <w:sz w:val="20"/>
                <w:szCs w:val="20"/>
                <w:lang w:val="fr-FR"/>
              </w:rPr>
              <w:t> mg</w:t>
            </w:r>
            <w:r w:rsidRPr="00FD0816">
              <w:rPr>
                <w:sz w:val="20"/>
                <w:szCs w:val="20"/>
                <w:lang w:val="fr-FR"/>
              </w:rPr>
              <w:t>/m</w:t>
            </w:r>
            <w:r w:rsidRPr="00FD0816">
              <w:rPr>
                <w:sz w:val="20"/>
                <w:szCs w:val="20"/>
                <w:vertAlign w:val="superscript"/>
                <w:lang w:val="fr-FR"/>
              </w:rPr>
              <w:t>2</w:t>
            </w:r>
            <w:r w:rsidRPr="00FD0816">
              <w:rPr>
                <w:sz w:val="20"/>
                <w:szCs w:val="20"/>
                <w:lang w:val="fr-FR"/>
              </w:rPr>
              <w:t xml:space="preserve"> </w:t>
            </w:r>
            <w:r w:rsidR="00830625">
              <w:rPr>
                <w:sz w:val="20"/>
                <w:szCs w:val="20"/>
                <w:lang w:val="fr-FR"/>
              </w:rPr>
              <w:t>par voie</w:t>
            </w:r>
            <w:r w:rsidR="00F43EE3">
              <w:rPr>
                <w:sz w:val="20"/>
                <w:szCs w:val="20"/>
                <w:lang w:val="fr-FR"/>
              </w:rPr>
              <w:t xml:space="preserve"> intraveineuse</w:t>
            </w:r>
            <w:r w:rsidRPr="00FD0816">
              <w:rPr>
                <w:sz w:val="20"/>
                <w:szCs w:val="20"/>
                <w:lang w:val="fr-FR"/>
              </w:rPr>
              <w:t xml:space="preserve"> 2h</w:t>
            </w:r>
          </w:p>
        </w:tc>
        <w:tc>
          <w:tcPr>
            <w:tcW w:w="3228" w:type="dxa"/>
            <w:vMerge/>
            <w:tcBorders>
              <w:top w:val="nil"/>
            </w:tcBorders>
          </w:tcPr>
          <w:p w14:paraId="6DA1F039" w14:textId="77777777" w:rsidR="004401F0" w:rsidRPr="00FD0816" w:rsidRDefault="004401F0" w:rsidP="00654D21">
            <w:pPr>
              <w:keepLines/>
              <w:adjustRightInd w:val="0"/>
              <w:snapToGrid w:val="0"/>
              <w:rPr>
                <w:sz w:val="20"/>
                <w:szCs w:val="20"/>
                <w:lang w:val="fr-FR"/>
              </w:rPr>
            </w:pPr>
          </w:p>
        </w:tc>
      </w:tr>
      <w:tr w:rsidR="004401F0" w:rsidRPr="000D7348" w14:paraId="1F8AC2DE" w14:textId="77777777" w:rsidTr="006F344F">
        <w:trPr>
          <w:cantSplit/>
        </w:trPr>
        <w:tc>
          <w:tcPr>
            <w:tcW w:w="1809" w:type="dxa"/>
            <w:vMerge/>
            <w:tcBorders>
              <w:top w:val="nil"/>
            </w:tcBorders>
            <w:vAlign w:val="center"/>
          </w:tcPr>
          <w:p w14:paraId="545BEAD8" w14:textId="77777777" w:rsidR="004401F0" w:rsidRPr="00FD0816" w:rsidRDefault="004401F0" w:rsidP="00654D21">
            <w:pPr>
              <w:keepLines/>
              <w:adjustRightInd w:val="0"/>
              <w:snapToGrid w:val="0"/>
              <w:jc w:val="center"/>
              <w:rPr>
                <w:sz w:val="20"/>
                <w:szCs w:val="20"/>
                <w:lang w:val="fr-FR"/>
              </w:rPr>
            </w:pPr>
          </w:p>
        </w:tc>
        <w:tc>
          <w:tcPr>
            <w:tcW w:w="2127" w:type="dxa"/>
            <w:tcBorders>
              <w:top w:val="nil"/>
            </w:tcBorders>
          </w:tcPr>
          <w:p w14:paraId="654D32D0" w14:textId="77777777" w:rsidR="004401F0" w:rsidRPr="00FD0816" w:rsidRDefault="00DF3C4F" w:rsidP="00654D21">
            <w:pPr>
              <w:pStyle w:val="TableParagraph"/>
              <w:keepLines/>
              <w:adjustRightInd w:val="0"/>
              <w:snapToGrid w:val="0"/>
              <w:rPr>
                <w:sz w:val="20"/>
                <w:szCs w:val="20"/>
                <w:lang w:val="fr-FR"/>
              </w:rPr>
            </w:pPr>
            <w:r w:rsidRPr="00FD0816">
              <w:rPr>
                <w:sz w:val="20"/>
                <w:szCs w:val="20"/>
                <w:lang w:val="fr-FR"/>
              </w:rPr>
              <w:t>5-fluorouracile</w:t>
            </w:r>
          </w:p>
        </w:tc>
        <w:tc>
          <w:tcPr>
            <w:tcW w:w="2126" w:type="dxa"/>
            <w:tcBorders>
              <w:top w:val="nil"/>
            </w:tcBorders>
          </w:tcPr>
          <w:p w14:paraId="5DA3474D" w14:textId="1B35213E" w:rsidR="004401F0" w:rsidRPr="00FD0816" w:rsidRDefault="00DF3C4F" w:rsidP="00654D21">
            <w:pPr>
              <w:pStyle w:val="TableParagraph"/>
              <w:keepLines/>
              <w:adjustRightInd w:val="0"/>
              <w:snapToGrid w:val="0"/>
              <w:rPr>
                <w:sz w:val="20"/>
                <w:szCs w:val="20"/>
                <w:lang w:val="fr-FR"/>
              </w:rPr>
            </w:pPr>
            <w:r w:rsidRPr="00FD0816">
              <w:rPr>
                <w:sz w:val="20"/>
                <w:szCs w:val="20"/>
                <w:lang w:val="fr-FR"/>
              </w:rPr>
              <w:t>400</w:t>
            </w:r>
            <w:r w:rsidR="00DA7718" w:rsidRPr="00FD0816">
              <w:rPr>
                <w:sz w:val="20"/>
                <w:szCs w:val="20"/>
                <w:lang w:val="fr-FR"/>
              </w:rPr>
              <w:t> mg</w:t>
            </w:r>
            <w:r w:rsidRPr="00FD0816">
              <w:rPr>
                <w:sz w:val="20"/>
                <w:szCs w:val="20"/>
                <w:lang w:val="fr-FR"/>
              </w:rPr>
              <w:t>/m</w:t>
            </w:r>
            <w:r w:rsidRPr="00FD0816">
              <w:rPr>
                <w:sz w:val="20"/>
                <w:szCs w:val="20"/>
                <w:vertAlign w:val="superscript"/>
                <w:lang w:val="fr-FR"/>
              </w:rPr>
              <w:t>2</w:t>
            </w:r>
            <w:r w:rsidRPr="00FD0816">
              <w:rPr>
                <w:sz w:val="20"/>
                <w:szCs w:val="20"/>
                <w:lang w:val="fr-FR"/>
              </w:rPr>
              <w:t xml:space="preserve"> </w:t>
            </w:r>
            <w:r w:rsidR="00830625">
              <w:rPr>
                <w:sz w:val="20"/>
                <w:szCs w:val="20"/>
                <w:lang w:val="fr-FR"/>
              </w:rPr>
              <w:t>par voie</w:t>
            </w:r>
            <w:r w:rsidR="00F43EE3">
              <w:rPr>
                <w:sz w:val="20"/>
                <w:szCs w:val="20"/>
                <w:lang w:val="fr-FR"/>
              </w:rPr>
              <w:t xml:space="preserve"> intraveineuse</w:t>
            </w:r>
            <w:r w:rsidRPr="00FD0816">
              <w:rPr>
                <w:sz w:val="20"/>
                <w:szCs w:val="20"/>
                <w:lang w:val="fr-FR"/>
              </w:rPr>
              <w:t xml:space="preserve"> bolus, 600</w:t>
            </w:r>
            <w:r w:rsidR="00DA7718" w:rsidRPr="00FD0816">
              <w:rPr>
                <w:sz w:val="20"/>
                <w:szCs w:val="20"/>
                <w:lang w:val="fr-FR"/>
              </w:rPr>
              <w:t> mg</w:t>
            </w:r>
            <w:r w:rsidRPr="00FD0816">
              <w:rPr>
                <w:sz w:val="20"/>
                <w:szCs w:val="20"/>
                <w:lang w:val="fr-FR"/>
              </w:rPr>
              <w:t>/m</w:t>
            </w:r>
            <w:r w:rsidRPr="00FD0816">
              <w:rPr>
                <w:sz w:val="20"/>
                <w:szCs w:val="20"/>
                <w:vertAlign w:val="superscript"/>
                <w:lang w:val="fr-FR"/>
              </w:rPr>
              <w:t>2</w:t>
            </w:r>
            <w:r w:rsidRPr="00FD0816">
              <w:rPr>
                <w:sz w:val="20"/>
                <w:szCs w:val="20"/>
                <w:lang w:val="fr-FR"/>
              </w:rPr>
              <w:t xml:space="preserve"> </w:t>
            </w:r>
            <w:r w:rsidR="00830625">
              <w:rPr>
                <w:sz w:val="20"/>
                <w:szCs w:val="20"/>
                <w:lang w:val="fr-FR"/>
              </w:rPr>
              <w:t xml:space="preserve">par voie </w:t>
            </w:r>
            <w:r w:rsidR="00F43EE3">
              <w:rPr>
                <w:sz w:val="20"/>
                <w:szCs w:val="20"/>
                <w:lang w:val="fr-FR"/>
              </w:rPr>
              <w:t>intraveineuse</w:t>
            </w:r>
            <w:r w:rsidRPr="00FD0816">
              <w:rPr>
                <w:sz w:val="20"/>
                <w:szCs w:val="20"/>
                <w:lang w:val="fr-FR"/>
              </w:rPr>
              <w:t xml:space="preserve"> 22h</w:t>
            </w:r>
          </w:p>
        </w:tc>
        <w:tc>
          <w:tcPr>
            <w:tcW w:w="3228" w:type="dxa"/>
            <w:vMerge/>
            <w:tcBorders>
              <w:top w:val="nil"/>
            </w:tcBorders>
          </w:tcPr>
          <w:p w14:paraId="5BF34AD5" w14:textId="77777777" w:rsidR="004401F0" w:rsidRPr="00FD0816" w:rsidRDefault="004401F0" w:rsidP="00654D21">
            <w:pPr>
              <w:keepLines/>
              <w:adjustRightInd w:val="0"/>
              <w:snapToGrid w:val="0"/>
              <w:rPr>
                <w:sz w:val="20"/>
                <w:szCs w:val="20"/>
                <w:lang w:val="fr-FR"/>
              </w:rPr>
            </w:pPr>
          </w:p>
        </w:tc>
      </w:tr>
      <w:tr w:rsidR="004401F0" w:rsidRPr="000D7348" w14:paraId="1EFC5454" w14:textId="77777777" w:rsidTr="006F344F">
        <w:trPr>
          <w:cantSplit/>
        </w:trPr>
        <w:tc>
          <w:tcPr>
            <w:tcW w:w="1809" w:type="dxa"/>
            <w:vMerge/>
            <w:tcBorders>
              <w:top w:val="nil"/>
            </w:tcBorders>
            <w:vAlign w:val="center"/>
          </w:tcPr>
          <w:p w14:paraId="2962914C" w14:textId="77777777" w:rsidR="004401F0" w:rsidRPr="00FD0816" w:rsidRDefault="004401F0" w:rsidP="00654D21">
            <w:pPr>
              <w:keepLines/>
              <w:adjustRightInd w:val="0"/>
              <w:snapToGrid w:val="0"/>
              <w:jc w:val="center"/>
              <w:rPr>
                <w:sz w:val="20"/>
                <w:szCs w:val="20"/>
                <w:lang w:val="fr-FR"/>
              </w:rPr>
            </w:pPr>
          </w:p>
        </w:tc>
        <w:tc>
          <w:tcPr>
            <w:tcW w:w="2127" w:type="dxa"/>
          </w:tcPr>
          <w:p w14:paraId="456CD17F" w14:textId="60490287" w:rsidR="004401F0" w:rsidRPr="00FD0816" w:rsidRDefault="00DF3C4F" w:rsidP="00654D21">
            <w:pPr>
              <w:pStyle w:val="TableParagraph"/>
              <w:keepLines/>
              <w:adjustRightInd w:val="0"/>
              <w:snapToGrid w:val="0"/>
              <w:rPr>
                <w:sz w:val="20"/>
                <w:szCs w:val="20"/>
                <w:lang w:val="fr-FR"/>
              </w:rPr>
            </w:pPr>
            <w:r w:rsidRPr="00FD0816">
              <w:rPr>
                <w:sz w:val="20"/>
                <w:szCs w:val="20"/>
                <w:lang w:val="fr-FR"/>
              </w:rPr>
              <w:t>Placebo</w:t>
            </w:r>
            <w:r w:rsidR="00F84CEA">
              <w:rPr>
                <w:sz w:val="20"/>
                <w:szCs w:val="20"/>
                <w:lang w:val="fr-FR"/>
              </w:rPr>
              <w:t xml:space="preserve"> </w:t>
            </w:r>
            <w:r w:rsidRPr="00FD0816">
              <w:rPr>
                <w:sz w:val="20"/>
                <w:szCs w:val="20"/>
                <w:lang w:val="fr-FR"/>
              </w:rPr>
              <w:t xml:space="preserve">ou </w:t>
            </w:r>
            <w:r w:rsidR="00F43EE3">
              <w:rPr>
                <w:sz w:val="20"/>
                <w:szCs w:val="20"/>
                <w:lang w:val="fr-FR"/>
              </w:rPr>
              <w:t>bevacizumab</w:t>
            </w:r>
          </w:p>
        </w:tc>
        <w:tc>
          <w:tcPr>
            <w:tcW w:w="2126" w:type="dxa"/>
          </w:tcPr>
          <w:p w14:paraId="7AADDA83" w14:textId="6BF2E3AC" w:rsidR="004401F0" w:rsidRPr="00FD0816" w:rsidRDefault="00DF3C4F" w:rsidP="00654D21">
            <w:pPr>
              <w:pStyle w:val="TableParagraph"/>
              <w:keepLines/>
              <w:adjustRightInd w:val="0"/>
              <w:snapToGrid w:val="0"/>
              <w:rPr>
                <w:sz w:val="20"/>
                <w:szCs w:val="20"/>
                <w:lang w:val="fr-FR"/>
              </w:rPr>
            </w:pPr>
            <w:r w:rsidRPr="00FD0816">
              <w:rPr>
                <w:sz w:val="20"/>
                <w:szCs w:val="20"/>
                <w:lang w:val="fr-FR"/>
              </w:rPr>
              <w:t>5</w:t>
            </w:r>
            <w:r w:rsidR="00DA7718" w:rsidRPr="00FD0816">
              <w:rPr>
                <w:sz w:val="20"/>
                <w:szCs w:val="20"/>
                <w:lang w:val="fr-FR"/>
              </w:rPr>
              <w:t> mg</w:t>
            </w:r>
            <w:r w:rsidRPr="00FD0816">
              <w:rPr>
                <w:sz w:val="20"/>
                <w:szCs w:val="20"/>
                <w:lang w:val="fr-FR"/>
              </w:rPr>
              <w:t>/kg</w:t>
            </w:r>
            <w:r w:rsidR="00F84CEA">
              <w:rPr>
                <w:sz w:val="20"/>
                <w:szCs w:val="20"/>
                <w:lang w:val="fr-FR"/>
              </w:rPr>
              <w:t xml:space="preserve"> </w:t>
            </w:r>
            <w:r w:rsidR="00830625">
              <w:rPr>
                <w:sz w:val="20"/>
                <w:szCs w:val="20"/>
                <w:lang w:val="fr-FR"/>
              </w:rPr>
              <w:t xml:space="preserve"> par voie </w:t>
            </w:r>
            <w:r w:rsidR="00F43EE3">
              <w:rPr>
                <w:sz w:val="20"/>
                <w:szCs w:val="20"/>
                <w:lang w:val="fr-FR"/>
              </w:rPr>
              <w:t>intraveineuse</w:t>
            </w:r>
            <w:r w:rsidR="00F84CEA">
              <w:rPr>
                <w:sz w:val="20"/>
                <w:szCs w:val="20"/>
                <w:lang w:val="fr-FR"/>
              </w:rPr>
              <w:t xml:space="preserve"> </w:t>
            </w:r>
            <w:r w:rsidR="006716B0">
              <w:rPr>
                <w:sz w:val="20"/>
                <w:szCs w:val="20"/>
                <w:lang w:val="fr-FR"/>
              </w:rPr>
              <w:br/>
            </w:r>
            <w:r w:rsidRPr="00FD0816">
              <w:rPr>
                <w:sz w:val="20"/>
                <w:szCs w:val="20"/>
                <w:lang w:val="fr-FR"/>
              </w:rPr>
              <w:t>30-90 min</w:t>
            </w:r>
          </w:p>
        </w:tc>
        <w:tc>
          <w:tcPr>
            <w:tcW w:w="3228" w:type="dxa"/>
          </w:tcPr>
          <w:p w14:paraId="7AA4CA93" w14:textId="77777777" w:rsidR="004401F0" w:rsidRPr="00FD0816" w:rsidRDefault="00DF3C4F" w:rsidP="00654D21">
            <w:pPr>
              <w:pStyle w:val="TableParagraph"/>
              <w:keepLines/>
              <w:adjustRightInd w:val="0"/>
              <w:snapToGrid w:val="0"/>
              <w:rPr>
                <w:sz w:val="20"/>
                <w:szCs w:val="20"/>
                <w:lang w:val="fr-FR"/>
              </w:rPr>
            </w:pPr>
            <w:r w:rsidRPr="00FD0816">
              <w:rPr>
                <w:sz w:val="20"/>
                <w:szCs w:val="20"/>
                <w:lang w:val="fr-FR"/>
              </w:rPr>
              <w:t>Jour 1, avant FOLFOX-4, toutes les 2 semaines</w:t>
            </w:r>
          </w:p>
        </w:tc>
      </w:tr>
      <w:tr w:rsidR="004401F0" w:rsidRPr="00FD0816" w14:paraId="07E73F0D" w14:textId="77777777" w:rsidTr="006F344F">
        <w:trPr>
          <w:cantSplit/>
        </w:trPr>
        <w:tc>
          <w:tcPr>
            <w:tcW w:w="1809" w:type="dxa"/>
            <w:vMerge w:val="restart"/>
            <w:vAlign w:val="center"/>
          </w:tcPr>
          <w:p w14:paraId="513BD5C8" w14:textId="77777777" w:rsidR="004401F0" w:rsidRPr="00FD0816" w:rsidRDefault="00DF3C4F" w:rsidP="00654D21">
            <w:pPr>
              <w:pStyle w:val="TableParagraph"/>
              <w:keepNext/>
              <w:keepLines/>
              <w:adjustRightInd w:val="0"/>
              <w:snapToGrid w:val="0"/>
              <w:jc w:val="center"/>
              <w:rPr>
                <w:sz w:val="20"/>
                <w:szCs w:val="20"/>
                <w:lang w:val="fr-FR"/>
              </w:rPr>
            </w:pPr>
            <w:r w:rsidRPr="00FD0816">
              <w:rPr>
                <w:sz w:val="20"/>
                <w:szCs w:val="20"/>
                <w:lang w:val="fr-FR"/>
              </w:rPr>
              <w:lastRenderedPageBreak/>
              <w:t>XELOX</w:t>
            </w:r>
          </w:p>
          <w:p w14:paraId="7F854D7E" w14:textId="77777777" w:rsidR="004401F0" w:rsidRPr="00FD0816" w:rsidRDefault="00DF3C4F" w:rsidP="00654D21">
            <w:pPr>
              <w:pStyle w:val="TableParagraph"/>
              <w:keepNext/>
              <w:keepLines/>
              <w:adjustRightInd w:val="0"/>
              <w:snapToGrid w:val="0"/>
              <w:jc w:val="center"/>
              <w:rPr>
                <w:sz w:val="20"/>
                <w:szCs w:val="20"/>
                <w:lang w:val="fr-FR"/>
              </w:rPr>
            </w:pPr>
            <w:r w:rsidRPr="00FD0816">
              <w:rPr>
                <w:sz w:val="20"/>
                <w:szCs w:val="20"/>
                <w:lang w:val="fr-FR"/>
              </w:rPr>
              <w:t>ou XELOX+</w:t>
            </w:r>
          </w:p>
          <w:p w14:paraId="37FAD3EF" w14:textId="601531EC" w:rsidR="004401F0" w:rsidRPr="00FD0816" w:rsidRDefault="00F43EE3" w:rsidP="00654D21">
            <w:pPr>
              <w:pStyle w:val="TableParagraph"/>
              <w:keepNext/>
              <w:keepLines/>
              <w:adjustRightInd w:val="0"/>
              <w:snapToGrid w:val="0"/>
              <w:jc w:val="center"/>
              <w:rPr>
                <w:sz w:val="20"/>
                <w:szCs w:val="20"/>
                <w:lang w:val="fr-FR"/>
              </w:rPr>
            </w:pPr>
            <w:r>
              <w:rPr>
                <w:sz w:val="20"/>
                <w:szCs w:val="20"/>
                <w:lang w:val="fr-FR"/>
              </w:rPr>
              <w:t>bevacizumab</w:t>
            </w:r>
          </w:p>
        </w:tc>
        <w:tc>
          <w:tcPr>
            <w:tcW w:w="2127" w:type="dxa"/>
            <w:tcBorders>
              <w:bottom w:val="nil"/>
            </w:tcBorders>
          </w:tcPr>
          <w:p w14:paraId="2CA146BA" w14:textId="77777777" w:rsidR="004401F0" w:rsidRDefault="00DF3C4F" w:rsidP="00654D21">
            <w:pPr>
              <w:pStyle w:val="TableParagraph"/>
              <w:keepNext/>
              <w:keepLines/>
              <w:adjustRightInd w:val="0"/>
              <w:snapToGrid w:val="0"/>
              <w:rPr>
                <w:sz w:val="20"/>
                <w:szCs w:val="20"/>
                <w:lang w:val="fr-FR"/>
              </w:rPr>
            </w:pPr>
            <w:r w:rsidRPr="00FD0816">
              <w:rPr>
                <w:sz w:val="20"/>
                <w:szCs w:val="20"/>
                <w:lang w:val="fr-FR"/>
              </w:rPr>
              <w:t>Oxaliplatine</w:t>
            </w:r>
          </w:p>
          <w:p w14:paraId="42230B50" w14:textId="77777777" w:rsidR="006F344F" w:rsidRPr="00FD0816" w:rsidRDefault="006F344F" w:rsidP="00654D21">
            <w:pPr>
              <w:pStyle w:val="TableParagraph"/>
              <w:keepNext/>
              <w:keepLines/>
              <w:adjustRightInd w:val="0"/>
              <w:snapToGrid w:val="0"/>
              <w:rPr>
                <w:sz w:val="20"/>
                <w:szCs w:val="20"/>
                <w:lang w:val="fr-FR"/>
              </w:rPr>
            </w:pPr>
          </w:p>
        </w:tc>
        <w:tc>
          <w:tcPr>
            <w:tcW w:w="2126" w:type="dxa"/>
            <w:tcBorders>
              <w:bottom w:val="nil"/>
            </w:tcBorders>
          </w:tcPr>
          <w:p w14:paraId="5575C950" w14:textId="28290F11" w:rsidR="004401F0" w:rsidRDefault="00DF3C4F" w:rsidP="00654D21">
            <w:pPr>
              <w:pStyle w:val="TableParagraph"/>
              <w:keepNext/>
              <w:keepLines/>
              <w:adjustRightInd w:val="0"/>
              <w:snapToGrid w:val="0"/>
              <w:rPr>
                <w:sz w:val="20"/>
                <w:szCs w:val="20"/>
                <w:lang w:val="fr-FR"/>
              </w:rPr>
            </w:pPr>
            <w:r w:rsidRPr="00FD0816">
              <w:rPr>
                <w:sz w:val="20"/>
                <w:szCs w:val="20"/>
                <w:lang w:val="fr-FR"/>
              </w:rPr>
              <w:t>130</w:t>
            </w:r>
            <w:r w:rsidR="00DA7718" w:rsidRPr="00FD0816">
              <w:rPr>
                <w:sz w:val="20"/>
                <w:szCs w:val="20"/>
                <w:lang w:val="fr-FR"/>
              </w:rPr>
              <w:t> mg</w:t>
            </w:r>
            <w:r w:rsidRPr="00FD0816">
              <w:rPr>
                <w:sz w:val="20"/>
                <w:szCs w:val="20"/>
                <w:lang w:val="fr-FR"/>
              </w:rPr>
              <w:t>/m</w:t>
            </w:r>
            <w:r w:rsidRPr="00FD0816">
              <w:rPr>
                <w:sz w:val="20"/>
                <w:szCs w:val="20"/>
                <w:vertAlign w:val="superscript"/>
                <w:lang w:val="fr-FR"/>
              </w:rPr>
              <w:t>2</w:t>
            </w:r>
            <w:r w:rsidRPr="00FD0816">
              <w:rPr>
                <w:sz w:val="20"/>
                <w:szCs w:val="20"/>
                <w:lang w:val="fr-FR"/>
              </w:rPr>
              <w:t xml:space="preserve"> </w:t>
            </w:r>
            <w:r w:rsidR="00830625">
              <w:rPr>
                <w:sz w:val="20"/>
                <w:szCs w:val="20"/>
                <w:lang w:val="fr-FR"/>
              </w:rPr>
              <w:t xml:space="preserve">par voie </w:t>
            </w:r>
            <w:r w:rsidR="00F43EE3">
              <w:rPr>
                <w:sz w:val="20"/>
                <w:szCs w:val="20"/>
                <w:lang w:val="fr-FR"/>
              </w:rPr>
              <w:t>intraveineuse</w:t>
            </w:r>
            <w:r w:rsidRPr="00FD0816">
              <w:rPr>
                <w:sz w:val="20"/>
                <w:szCs w:val="20"/>
                <w:lang w:val="fr-FR"/>
              </w:rPr>
              <w:t xml:space="preserve"> 2h</w:t>
            </w:r>
          </w:p>
          <w:p w14:paraId="22B8E652" w14:textId="77777777" w:rsidR="006F344F" w:rsidRPr="00FD0816" w:rsidRDefault="006F344F" w:rsidP="00654D21">
            <w:pPr>
              <w:pStyle w:val="TableParagraph"/>
              <w:keepNext/>
              <w:keepLines/>
              <w:adjustRightInd w:val="0"/>
              <w:snapToGrid w:val="0"/>
              <w:rPr>
                <w:sz w:val="20"/>
                <w:szCs w:val="20"/>
                <w:lang w:val="fr-FR"/>
              </w:rPr>
            </w:pPr>
          </w:p>
        </w:tc>
        <w:tc>
          <w:tcPr>
            <w:tcW w:w="3228" w:type="dxa"/>
            <w:tcBorders>
              <w:bottom w:val="nil"/>
            </w:tcBorders>
          </w:tcPr>
          <w:p w14:paraId="2A688C9D" w14:textId="77777777" w:rsidR="004401F0" w:rsidRPr="00FD0816" w:rsidRDefault="00DF3C4F" w:rsidP="00654D21">
            <w:pPr>
              <w:pStyle w:val="TableParagraph"/>
              <w:keepNext/>
              <w:keepLines/>
              <w:adjustRightInd w:val="0"/>
              <w:snapToGrid w:val="0"/>
              <w:rPr>
                <w:sz w:val="20"/>
                <w:szCs w:val="20"/>
                <w:lang w:val="fr-FR"/>
              </w:rPr>
            </w:pPr>
            <w:r w:rsidRPr="00FD0816">
              <w:rPr>
                <w:sz w:val="20"/>
                <w:szCs w:val="20"/>
                <w:lang w:val="fr-FR"/>
              </w:rPr>
              <w:t>Oxaliplatine au jour 1</w:t>
            </w:r>
          </w:p>
        </w:tc>
      </w:tr>
      <w:tr w:rsidR="00F84CEA" w:rsidRPr="000D7348" w14:paraId="72F964AA" w14:textId="77777777" w:rsidTr="00F84CEA">
        <w:trPr>
          <w:cantSplit/>
          <w:trHeight w:val="54"/>
        </w:trPr>
        <w:tc>
          <w:tcPr>
            <w:tcW w:w="1809" w:type="dxa"/>
            <w:vMerge/>
            <w:tcBorders>
              <w:top w:val="nil"/>
            </w:tcBorders>
          </w:tcPr>
          <w:p w14:paraId="4D6A8B4C" w14:textId="77777777" w:rsidR="00F84CEA" w:rsidRPr="00FD0816" w:rsidRDefault="00F84CEA" w:rsidP="00654D21">
            <w:pPr>
              <w:keepNext/>
              <w:keepLines/>
              <w:adjustRightInd w:val="0"/>
              <w:snapToGrid w:val="0"/>
              <w:rPr>
                <w:sz w:val="20"/>
                <w:szCs w:val="20"/>
                <w:lang w:val="fr-FR"/>
              </w:rPr>
            </w:pPr>
          </w:p>
        </w:tc>
        <w:tc>
          <w:tcPr>
            <w:tcW w:w="2127" w:type="dxa"/>
            <w:tcBorders>
              <w:top w:val="nil"/>
            </w:tcBorders>
          </w:tcPr>
          <w:p w14:paraId="0B6EB795" w14:textId="77777777" w:rsidR="00F84CEA" w:rsidRPr="00FD0816" w:rsidRDefault="00F84CEA" w:rsidP="00654D21">
            <w:pPr>
              <w:pStyle w:val="TableParagraph"/>
              <w:keepNext/>
              <w:keepLines/>
              <w:adjustRightInd w:val="0"/>
              <w:snapToGrid w:val="0"/>
              <w:rPr>
                <w:sz w:val="20"/>
                <w:szCs w:val="20"/>
                <w:lang w:val="fr-FR"/>
              </w:rPr>
            </w:pPr>
            <w:r w:rsidRPr="00FD0816">
              <w:rPr>
                <w:sz w:val="20"/>
                <w:szCs w:val="20"/>
                <w:lang w:val="fr-FR"/>
              </w:rPr>
              <w:t>Capécitabine</w:t>
            </w:r>
          </w:p>
        </w:tc>
        <w:tc>
          <w:tcPr>
            <w:tcW w:w="2126" w:type="dxa"/>
            <w:tcBorders>
              <w:top w:val="nil"/>
            </w:tcBorders>
          </w:tcPr>
          <w:p w14:paraId="318581DB" w14:textId="77777777" w:rsidR="00F84CEA" w:rsidRPr="00FD0816" w:rsidRDefault="00F84CEA" w:rsidP="00654D21">
            <w:pPr>
              <w:pStyle w:val="TableParagraph"/>
              <w:keepNext/>
              <w:keepLines/>
              <w:adjustRightInd w:val="0"/>
              <w:snapToGrid w:val="0"/>
              <w:rPr>
                <w:sz w:val="20"/>
                <w:szCs w:val="20"/>
                <w:lang w:val="fr-FR"/>
              </w:rPr>
            </w:pPr>
            <w:r w:rsidRPr="00FD0816">
              <w:rPr>
                <w:sz w:val="20"/>
                <w:szCs w:val="20"/>
                <w:lang w:val="fr-FR"/>
              </w:rPr>
              <w:t>1000 mg/m</w:t>
            </w:r>
            <w:r w:rsidRPr="00FD0816">
              <w:rPr>
                <w:sz w:val="20"/>
                <w:szCs w:val="20"/>
                <w:vertAlign w:val="superscript"/>
                <w:lang w:val="fr-FR"/>
              </w:rPr>
              <w:t>2</w:t>
            </w:r>
            <w:r w:rsidRPr="00FD0816">
              <w:rPr>
                <w:sz w:val="20"/>
                <w:szCs w:val="20"/>
                <w:lang w:val="fr-FR"/>
              </w:rPr>
              <w:t xml:space="preserve"> voie orale 2 fois par jour</w:t>
            </w:r>
          </w:p>
        </w:tc>
        <w:tc>
          <w:tcPr>
            <w:tcW w:w="3228" w:type="dxa"/>
            <w:tcBorders>
              <w:top w:val="nil"/>
            </w:tcBorders>
          </w:tcPr>
          <w:p w14:paraId="69D38745" w14:textId="4A33BAF8" w:rsidR="00F84CEA" w:rsidRPr="00FD0816" w:rsidRDefault="00F84CEA" w:rsidP="00654D21">
            <w:pPr>
              <w:pStyle w:val="TableParagraph"/>
              <w:keepNext/>
              <w:keepLines/>
              <w:adjustRightInd w:val="0"/>
              <w:snapToGrid w:val="0"/>
              <w:rPr>
                <w:sz w:val="20"/>
                <w:szCs w:val="20"/>
                <w:lang w:val="fr-FR"/>
              </w:rPr>
            </w:pPr>
            <w:r w:rsidRPr="00FD0816">
              <w:rPr>
                <w:sz w:val="20"/>
                <w:szCs w:val="20"/>
                <w:lang w:val="fr-FR"/>
              </w:rPr>
              <w:t xml:space="preserve">Capécitabine par voie orale (en </w:t>
            </w:r>
            <w:r w:rsidR="008B2613" w:rsidRPr="00FD0816">
              <w:rPr>
                <w:sz w:val="20"/>
                <w:szCs w:val="20"/>
                <w:lang w:val="fr-FR"/>
              </w:rPr>
              <w:t>2</w:t>
            </w:r>
            <w:r w:rsidR="008B2613">
              <w:rPr>
                <w:sz w:val="20"/>
                <w:szCs w:val="20"/>
                <w:lang w:val="fr-FR"/>
              </w:rPr>
              <w:t> </w:t>
            </w:r>
            <w:r w:rsidRPr="00FD0816">
              <w:rPr>
                <w:sz w:val="20"/>
                <w:szCs w:val="20"/>
                <w:lang w:val="fr-FR"/>
              </w:rPr>
              <w:t>prises par jour) pendant 2 semaines (suivi d’une semaine sans traitement)</w:t>
            </w:r>
          </w:p>
        </w:tc>
      </w:tr>
      <w:tr w:rsidR="00F84CEA" w:rsidRPr="000D7348" w14:paraId="7FB864A9" w14:textId="77777777" w:rsidTr="006F344F">
        <w:trPr>
          <w:cantSplit/>
        </w:trPr>
        <w:tc>
          <w:tcPr>
            <w:tcW w:w="1809" w:type="dxa"/>
            <w:tcBorders>
              <w:top w:val="nil"/>
            </w:tcBorders>
          </w:tcPr>
          <w:p w14:paraId="6497BE99" w14:textId="77777777" w:rsidR="00F84CEA" w:rsidRPr="00FD0816" w:rsidRDefault="00F84CEA" w:rsidP="00FD0816">
            <w:pPr>
              <w:adjustRightInd w:val="0"/>
              <w:snapToGrid w:val="0"/>
              <w:rPr>
                <w:sz w:val="20"/>
                <w:szCs w:val="20"/>
                <w:lang w:val="fr-FR"/>
              </w:rPr>
            </w:pPr>
          </w:p>
        </w:tc>
        <w:tc>
          <w:tcPr>
            <w:tcW w:w="2127" w:type="dxa"/>
            <w:tcBorders>
              <w:top w:val="nil"/>
            </w:tcBorders>
          </w:tcPr>
          <w:p w14:paraId="2C77E2B4" w14:textId="3D9893FC" w:rsidR="00F84CEA" w:rsidRPr="00FD0816" w:rsidRDefault="00F84CEA" w:rsidP="00FD0816">
            <w:pPr>
              <w:pStyle w:val="TableParagraph"/>
              <w:adjustRightInd w:val="0"/>
              <w:snapToGrid w:val="0"/>
              <w:rPr>
                <w:sz w:val="20"/>
                <w:szCs w:val="20"/>
                <w:lang w:val="fr-FR"/>
              </w:rPr>
            </w:pPr>
            <w:r w:rsidRPr="00FD0816">
              <w:rPr>
                <w:sz w:val="20"/>
                <w:szCs w:val="20"/>
                <w:lang w:val="fr-FR"/>
              </w:rPr>
              <w:t>Placebo</w:t>
            </w:r>
            <w:r>
              <w:rPr>
                <w:sz w:val="20"/>
                <w:szCs w:val="20"/>
                <w:lang w:val="fr-FR"/>
              </w:rPr>
              <w:t xml:space="preserve"> </w:t>
            </w:r>
            <w:r w:rsidRPr="00FD0816">
              <w:rPr>
                <w:sz w:val="20"/>
                <w:szCs w:val="20"/>
                <w:lang w:val="fr-FR"/>
              </w:rPr>
              <w:t xml:space="preserve">ou </w:t>
            </w:r>
            <w:r w:rsidR="00F43EE3">
              <w:rPr>
                <w:sz w:val="20"/>
                <w:szCs w:val="20"/>
                <w:lang w:val="fr-FR"/>
              </w:rPr>
              <w:t>bevacizumab</w:t>
            </w:r>
          </w:p>
        </w:tc>
        <w:tc>
          <w:tcPr>
            <w:tcW w:w="2126" w:type="dxa"/>
            <w:tcBorders>
              <w:top w:val="nil"/>
            </w:tcBorders>
          </w:tcPr>
          <w:p w14:paraId="683F0B9E" w14:textId="2E7DF75F" w:rsidR="00F84CEA" w:rsidRPr="00FD0816" w:rsidRDefault="00F84CEA" w:rsidP="006716B0">
            <w:pPr>
              <w:pStyle w:val="TableParagraph"/>
              <w:adjustRightInd w:val="0"/>
              <w:snapToGrid w:val="0"/>
              <w:rPr>
                <w:sz w:val="20"/>
                <w:szCs w:val="20"/>
                <w:lang w:val="fr-FR"/>
              </w:rPr>
            </w:pPr>
            <w:r w:rsidRPr="00FD0816">
              <w:rPr>
                <w:sz w:val="20"/>
                <w:szCs w:val="20"/>
                <w:lang w:val="fr-FR"/>
              </w:rPr>
              <w:t>7,5 mg/m</w:t>
            </w:r>
            <w:r w:rsidRPr="00FD0816">
              <w:rPr>
                <w:sz w:val="20"/>
                <w:szCs w:val="20"/>
                <w:vertAlign w:val="superscript"/>
                <w:lang w:val="fr-FR"/>
              </w:rPr>
              <w:t>2</w:t>
            </w:r>
            <w:r w:rsidR="00F43EE3">
              <w:rPr>
                <w:sz w:val="20"/>
                <w:szCs w:val="20"/>
                <w:lang w:val="fr-FR"/>
              </w:rPr>
              <w:t xml:space="preserve"> </w:t>
            </w:r>
            <w:r w:rsidR="00830625">
              <w:rPr>
                <w:sz w:val="20"/>
                <w:szCs w:val="20"/>
                <w:lang w:val="fr-FR"/>
              </w:rPr>
              <w:t xml:space="preserve">par voie </w:t>
            </w:r>
            <w:r w:rsidR="00F43EE3">
              <w:rPr>
                <w:sz w:val="20"/>
                <w:szCs w:val="20"/>
                <w:lang w:val="fr-FR"/>
              </w:rPr>
              <w:t>intraveineuse</w:t>
            </w:r>
            <w:r w:rsidRPr="00FD0816">
              <w:rPr>
                <w:sz w:val="20"/>
                <w:szCs w:val="20"/>
                <w:lang w:val="fr-FR"/>
              </w:rPr>
              <w:t xml:space="preserve"> </w:t>
            </w:r>
            <w:r w:rsidR="006716B0">
              <w:rPr>
                <w:sz w:val="20"/>
                <w:szCs w:val="20"/>
                <w:lang w:val="fr-FR"/>
              </w:rPr>
              <w:br/>
            </w:r>
            <w:r w:rsidRPr="00FD0816">
              <w:rPr>
                <w:sz w:val="20"/>
                <w:szCs w:val="20"/>
                <w:lang w:val="fr-FR"/>
              </w:rPr>
              <w:t>30-90</w:t>
            </w:r>
            <w:r w:rsidR="006716B0">
              <w:rPr>
                <w:sz w:val="20"/>
                <w:szCs w:val="20"/>
                <w:lang w:val="fr-FR"/>
              </w:rPr>
              <w:t xml:space="preserve"> </w:t>
            </w:r>
            <w:r w:rsidRPr="00FD0816">
              <w:rPr>
                <w:sz w:val="20"/>
                <w:szCs w:val="20"/>
                <w:lang w:val="fr-FR"/>
              </w:rPr>
              <w:t>min</w:t>
            </w:r>
          </w:p>
        </w:tc>
        <w:tc>
          <w:tcPr>
            <w:tcW w:w="3228" w:type="dxa"/>
            <w:tcBorders>
              <w:top w:val="nil"/>
            </w:tcBorders>
          </w:tcPr>
          <w:p w14:paraId="55AD984B" w14:textId="3187BBFF" w:rsidR="00F84CEA" w:rsidRPr="00FD0816" w:rsidRDefault="00F84CEA" w:rsidP="00FD0816">
            <w:pPr>
              <w:pStyle w:val="TableParagraph"/>
              <w:adjustRightInd w:val="0"/>
              <w:snapToGrid w:val="0"/>
              <w:rPr>
                <w:sz w:val="20"/>
                <w:szCs w:val="20"/>
                <w:lang w:val="fr-FR"/>
              </w:rPr>
            </w:pPr>
            <w:r w:rsidRPr="00FD0816">
              <w:rPr>
                <w:sz w:val="20"/>
                <w:szCs w:val="20"/>
                <w:lang w:val="fr-FR"/>
              </w:rPr>
              <w:t>Jour</w:t>
            </w:r>
            <w:r>
              <w:rPr>
                <w:sz w:val="20"/>
                <w:szCs w:val="20"/>
                <w:lang w:val="fr-FR"/>
              </w:rPr>
              <w:t xml:space="preserve"> </w:t>
            </w:r>
            <w:r w:rsidRPr="00FD0816">
              <w:rPr>
                <w:sz w:val="20"/>
                <w:szCs w:val="20"/>
                <w:lang w:val="fr-FR"/>
              </w:rPr>
              <w:t>1,</w:t>
            </w:r>
            <w:r w:rsidRPr="00FD0816">
              <w:rPr>
                <w:sz w:val="20"/>
                <w:szCs w:val="20"/>
                <w:lang w:val="fr-FR"/>
              </w:rPr>
              <w:tab/>
              <w:t>avant</w:t>
            </w:r>
            <w:r>
              <w:rPr>
                <w:sz w:val="20"/>
                <w:szCs w:val="20"/>
                <w:lang w:val="fr-FR"/>
              </w:rPr>
              <w:t xml:space="preserve"> </w:t>
            </w:r>
            <w:r w:rsidRPr="00FD0816">
              <w:rPr>
                <w:sz w:val="20"/>
                <w:szCs w:val="20"/>
                <w:lang w:val="fr-FR"/>
              </w:rPr>
              <w:t>XELOX,</w:t>
            </w:r>
            <w:r>
              <w:rPr>
                <w:sz w:val="20"/>
                <w:szCs w:val="20"/>
                <w:lang w:val="fr-FR"/>
              </w:rPr>
              <w:t xml:space="preserve"> </w:t>
            </w:r>
            <w:r w:rsidRPr="00FD0816">
              <w:rPr>
                <w:sz w:val="20"/>
                <w:szCs w:val="20"/>
                <w:lang w:val="fr-FR"/>
              </w:rPr>
              <w:t>pendant</w:t>
            </w:r>
            <w:r>
              <w:rPr>
                <w:sz w:val="20"/>
                <w:szCs w:val="20"/>
                <w:lang w:val="fr-FR"/>
              </w:rPr>
              <w:t xml:space="preserve"> </w:t>
            </w:r>
            <w:r w:rsidR="006716B0" w:rsidRPr="00FD0816">
              <w:rPr>
                <w:sz w:val="20"/>
                <w:szCs w:val="20"/>
                <w:lang w:val="fr-FR"/>
              </w:rPr>
              <w:t>3</w:t>
            </w:r>
            <w:r w:rsidR="006716B0">
              <w:rPr>
                <w:sz w:val="20"/>
                <w:szCs w:val="20"/>
                <w:lang w:val="fr-FR"/>
              </w:rPr>
              <w:t> </w:t>
            </w:r>
            <w:r w:rsidRPr="00FD0816">
              <w:rPr>
                <w:sz w:val="20"/>
                <w:szCs w:val="20"/>
                <w:lang w:val="fr-FR"/>
              </w:rPr>
              <w:t>semaines</w:t>
            </w:r>
          </w:p>
        </w:tc>
      </w:tr>
      <w:tr w:rsidR="004401F0" w:rsidRPr="000D7348" w14:paraId="2E8F03CF" w14:textId="77777777" w:rsidTr="006F344F">
        <w:trPr>
          <w:cantSplit/>
        </w:trPr>
        <w:tc>
          <w:tcPr>
            <w:tcW w:w="9290" w:type="dxa"/>
            <w:gridSpan w:val="4"/>
          </w:tcPr>
          <w:p w14:paraId="5FFAAB6B" w14:textId="029B5893" w:rsidR="004401F0" w:rsidRPr="00FD0816" w:rsidRDefault="00DF3C4F" w:rsidP="00FD0816">
            <w:pPr>
              <w:pStyle w:val="TableParagraph"/>
              <w:adjustRightInd w:val="0"/>
              <w:snapToGrid w:val="0"/>
              <w:rPr>
                <w:i/>
                <w:sz w:val="20"/>
                <w:szCs w:val="20"/>
                <w:lang w:val="fr-FR"/>
              </w:rPr>
            </w:pPr>
            <w:r w:rsidRPr="00FD0816">
              <w:rPr>
                <w:i/>
                <w:sz w:val="20"/>
                <w:szCs w:val="20"/>
                <w:lang w:val="fr-FR"/>
              </w:rPr>
              <w:t>5-Fluorouracile</w:t>
            </w:r>
            <w:r w:rsidR="00765A43">
              <w:rPr>
                <w:i/>
                <w:sz w:val="20"/>
                <w:szCs w:val="20"/>
                <w:lang w:val="fr-FR"/>
              </w:rPr>
              <w:t xml:space="preserve"> : </w:t>
            </w:r>
            <w:r w:rsidRPr="00FD0816">
              <w:rPr>
                <w:i/>
                <w:sz w:val="20"/>
                <w:szCs w:val="20"/>
                <w:lang w:val="fr-FR"/>
              </w:rPr>
              <w:t xml:space="preserve">injection </w:t>
            </w:r>
            <w:r w:rsidR="00F43EE3">
              <w:rPr>
                <w:i/>
                <w:sz w:val="20"/>
                <w:szCs w:val="20"/>
                <w:lang w:val="fr-FR"/>
              </w:rPr>
              <w:t>intraveineuse</w:t>
            </w:r>
            <w:r w:rsidRPr="00FD0816">
              <w:rPr>
                <w:i/>
                <w:sz w:val="20"/>
                <w:szCs w:val="20"/>
                <w:lang w:val="fr-FR"/>
              </w:rPr>
              <w:t xml:space="preserve"> en bolus immédiatement après la leucovorine</w:t>
            </w:r>
          </w:p>
        </w:tc>
      </w:tr>
    </w:tbl>
    <w:p w14:paraId="3F91F12B" w14:textId="77777777" w:rsidR="004401F0" w:rsidRPr="007C119A" w:rsidRDefault="004401F0" w:rsidP="00BD4C7C">
      <w:pPr>
        <w:pStyle w:val="a3"/>
        <w:adjustRightInd w:val="0"/>
        <w:snapToGrid w:val="0"/>
        <w:rPr>
          <w:b/>
          <w:lang w:val="fr-FR"/>
        </w:rPr>
      </w:pPr>
    </w:p>
    <w:p w14:paraId="5CDDD7B6" w14:textId="5CD7D821" w:rsidR="004401F0" w:rsidRPr="00DA7718" w:rsidRDefault="00DF3C4F" w:rsidP="00BD4C7C">
      <w:pPr>
        <w:pStyle w:val="a3"/>
        <w:adjustRightInd w:val="0"/>
        <w:snapToGrid w:val="0"/>
        <w:rPr>
          <w:lang w:val="fr-FR"/>
        </w:rPr>
      </w:pPr>
      <w:r w:rsidRPr="00DA7718">
        <w:rPr>
          <w:lang w:val="fr-FR"/>
        </w:rPr>
        <w:t xml:space="preserve">Le critère principal d’efficacité de l’étude a été la durée de </w:t>
      </w:r>
      <w:r w:rsidR="00803E4E">
        <w:rPr>
          <w:lang w:val="fr-FR"/>
        </w:rPr>
        <w:t>PFS</w:t>
      </w:r>
      <w:r w:rsidRPr="00DA7718">
        <w:rPr>
          <w:lang w:val="fr-FR"/>
        </w:rPr>
        <w:t>. Dans cette étude, il y avait deux objectifs principaux</w:t>
      </w:r>
      <w:r w:rsidR="00765A43">
        <w:rPr>
          <w:lang w:val="fr-FR"/>
        </w:rPr>
        <w:t xml:space="preserve"> : </w:t>
      </w:r>
      <w:r w:rsidRPr="00DA7718">
        <w:rPr>
          <w:lang w:val="fr-FR"/>
        </w:rPr>
        <w:t xml:space="preserve">démontrer la non-infériorité de XELOX par rapport à FOLFOX-4 et démontrer la supériorité </w:t>
      </w:r>
      <w:r w:rsidR="00F43EE3">
        <w:rPr>
          <w:lang w:val="fr-FR"/>
        </w:rPr>
        <w:t xml:space="preserve">du </w:t>
      </w:r>
      <w:r w:rsidR="00F43EE3" w:rsidRPr="00654D21">
        <w:rPr>
          <w:lang w:val="fr-FR"/>
        </w:rPr>
        <w:t>bevacizumab</w:t>
      </w:r>
      <w:r w:rsidR="00F43EE3" w:rsidRPr="00DA7718">
        <w:rPr>
          <w:lang w:val="fr-FR"/>
        </w:rPr>
        <w:t xml:space="preserve"> </w:t>
      </w:r>
      <w:r w:rsidRPr="00DA7718">
        <w:rPr>
          <w:lang w:val="fr-FR"/>
        </w:rPr>
        <w:t>associé à la chimiothérapie (FOLFOX-4 ou XELOX) comparé à la chimiothérapie seule. Ces deux objectifs principaux ont été atteints :</w:t>
      </w:r>
    </w:p>
    <w:p w14:paraId="45A939D5" w14:textId="77777777" w:rsidR="004401F0" w:rsidRPr="00DA7718" w:rsidRDefault="004401F0" w:rsidP="00BD4C7C">
      <w:pPr>
        <w:pStyle w:val="a3"/>
        <w:adjustRightInd w:val="0"/>
        <w:snapToGrid w:val="0"/>
        <w:rPr>
          <w:lang w:val="fr-FR"/>
        </w:rPr>
      </w:pPr>
    </w:p>
    <w:p w14:paraId="081C7C9F" w14:textId="57084D99" w:rsidR="004401F0" w:rsidRPr="00DA7718" w:rsidRDefault="00BD4C7C" w:rsidP="00F84CEA">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 xml:space="preserve">La non-infériorité des bras contenant XELOX comparés aux bras contenant FOLFOX-4 a été démontrée en termes de </w:t>
      </w:r>
      <w:r w:rsidR="00803E4E">
        <w:rPr>
          <w:lang w:val="fr-FR"/>
        </w:rPr>
        <w:t>PFS</w:t>
      </w:r>
      <w:r w:rsidR="00DF3C4F" w:rsidRPr="00DA7718">
        <w:rPr>
          <w:lang w:val="fr-FR"/>
        </w:rPr>
        <w:t xml:space="preserve"> et </w:t>
      </w:r>
      <w:r w:rsidR="00803E4E">
        <w:rPr>
          <w:lang w:val="fr-FR"/>
        </w:rPr>
        <w:t>d’OS</w:t>
      </w:r>
      <w:r w:rsidR="00DF3C4F" w:rsidRPr="00DA7718">
        <w:rPr>
          <w:lang w:val="fr-FR"/>
        </w:rPr>
        <w:t xml:space="preserve"> dans la population éligible per-protocole.</w:t>
      </w:r>
    </w:p>
    <w:p w14:paraId="47E583E1" w14:textId="77777777" w:rsidR="004401F0" w:rsidRPr="00DA7718" w:rsidRDefault="004401F0" w:rsidP="00F84CEA">
      <w:pPr>
        <w:pStyle w:val="a3"/>
        <w:adjustRightInd w:val="0"/>
        <w:snapToGrid w:val="0"/>
        <w:ind w:left="567" w:hanging="567"/>
        <w:rPr>
          <w:lang w:val="fr-FR"/>
        </w:rPr>
      </w:pPr>
    </w:p>
    <w:p w14:paraId="4B011758" w14:textId="7495D58C" w:rsidR="004401F0" w:rsidRPr="00DA7718" w:rsidRDefault="00BD4C7C" w:rsidP="00F84CEA">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 xml:space="preserve">La supériorité des bras contenant </w:t>
      </w:r>
      <w:r w:rsidR="00F43EE3">
        <w:rPr>
          <w:lang w:val="fr-FR"/>
        </w:rPr>
        <w:t xml:space="preserve">le </w:t>
      </w:r>
      <w:r w:rsidR="00F43EE3" w:rsidRPr="00654D21">
        <w:rPr>
          <w:lang w:val="fr-FR"/>
        </w:rPr>
        <w:t>bevacizumab</w:t>
      </w:r>
      <w:r w:rsidR="00F43EE3" w:rsidRPr="00DA7718">
        <w:rPr>
          <w:lang w:val="fr-FR"/>
        </w:rPr>
        <w:t xml:space="preserve"> </w:t>
      </w:r>
      <w:r w:rsidR="00DF3C4F" w:rsidRPr="00DA7718">
        <w:rPr>
          <w:lang w:val="fr-FR"/>
        </w:rPr>
        <w:t xml:space="preserve">versus les bras traités par chimiothérapie seule a été démontrée en termes de </w:t>
      </w:r>
      <w:r w:rsidR="00803E4E">
        <w:rPr>
          <w:lang w:val="fr-FR"/>
        </w:rPr>
        <w:t>PFS</w:t>
      </w:r>
      <w:r w:rsidR="00DF3C4F" w:rsidRPr="00DA7718">
        <w:rPr>
          <w:lang w:val="fr-FR"/>
        </w:rPr>
        <w:t xml:space="preserve"> dans la population ITT (Tableau 7).</w:t>
      </w:r>
    </w:p>
    <w:p w14:paraId="03E96530" w14:textId="77777777" w:rsidR="004401F0" w:rsidRPr="00DA7718" w:rsidRDefault="004401F0" w:rsidP="00BD4C7C">
      <w:pPr>
        <w:pStyle w:val="a3"/>
        <w:adjustRightInd w:val="0"/>
        <w:snapToGrid w:val="0"/>
        <w:rPr>
          <w:lang w:val="fr-FR"/>
        </w:rPr>
      </w:pPr>
    </w:p>
    <w:p w14:paraId="2BDB8A3A" w14:textId="332E5C70" w:rsidR="004401F0" w:rsidRPr="00DA7718" w:rsidRDefault="00DF3C4F" w:rsidP="00BD4C7C">
      <w:pPr>
        <w:pStyle w:val="a3"/>
        <w:adjustRightInd w:val="0"/>
        <w:snapToGrid w:val="0"/>
        <w:rPr>
          <w:lang w:val="fr-FR"/>
        </w:rPr>
      </w:pPr>
      <w:r w:rsidRPr="00DA7718">
        <w:rPr>
          <w:lang w:val="fr-FR"/>
        </w:rPr>
        <w:t>Les analyses secondaires de PFS, basées sur l’évaluation d’un Comité de Revue Indépendant (CRI) et sur les évaluations de la réponse « sous</w:t>
      </w:r>
      <w:r w:rsidR="00DD4CA9">
        <w:rPr>
          <w:lang w:val="fr-FR"/>
        </w:rPr>
        <w:t xml:space="preserve"> </w:t>
      </w:r>
      <w:r w:rsidRPr="00DA7718">
        <w:rPr>
          <w:lang w:val="fr-FR"/>
        </w:rPr>
        <w:t xml:space="preserve">traitement », ont confirmé la supériorité significative du bénéfice clinique pour les patients traités avec </w:t>
      </w:r>
      <w:r w:rsidR="00F43EE3">
        <w:rPr>
          <w:lang w:val="fr-FR"/>
        </w:rPr>
        <w:t>bevacizumab</w:t>
      </w:r>
      <w:r w:rsidR="00F43EE3" w:rsidRPr="00DA7718">
        <w:rPr>
          <w:lang w:val="fr-FR"/>
        </w:rPr>
        <w:t xml:space="preserve"> </w:t>
      </w:r>
      <w:r w:rsidRPr="00DA7718">
        <w:rPr>
          <w:lang w:val="fr-FR"/>
        </w:rPr>
        <w:t>(voir analyses de sous-groupe du Tableau 7), comme observé lors de l’analyse poolée.</w:t>
      </w:r>
    </w:p>
    <w:p w14:paraId="205297DB" w14:textId="77777777" w:rsidR="00BD4C7C" w:rsidRPr="00DA7718" w:rsidRDefault="00BD4C7C" w:rsidP="00BD4C7C">
      <w:pPr>
        <w:adjustRightInd w:val="0"/>
        <w:snapToGrid w:val="0"/>
        <w:rPr>
          <w:lang w:val="fr-FR"/>
        </w:rPr>
      </w:pPr>
    </w:p>
    <w:p w14:paraId="1B987CA9" w14:textId="7A68918A" w:rsidR="004401F0" w:rsidRPr="00E13189" w:rsidRDefault="00DF3C4F" w:rsidP="00E13189">
      <w:pPr>
        <w:ind w:left="1276" w:hanging="1276"/>
        <w:rPr>
          <w:b/>
          <w:bCs/>
          <w:lang w:val="fr-FR"/>
        </w:rPr>
      </w:pPr>
      <w:r w:rsidRPr="00E13189">
        <w:rPr>
          <w:b/>
          <w:bCs/>
          <w:lang w:val="fr-FR"/>
        </w:rPr>
        <w:t>Tableau 7</w:t>
      </w:r>
      <w:r w:rsidR="00FD0816" w:rsidRPr="00E13189">
        <w:rPr>
          <w:b/>
          <w:bCs/>
          <w:lang w:val="fr-FR"/>
        </w:rPr>
        <w:t> :</w:t>
      </w:r>
      <w:r w:rsidRPr="00E13189">
        <w:rPr>
          <w:b/>
          <w:bCs/>
          <w:lang w:val="fr-FR"/>
        </w:rPr>
        <w:tab/>
        <w:t xml:space="preserve">Résultats d’efficacité pour l’analyse de la supériorité (Population ITT, </w:t>
      </w:r>
      <w:r w:rsidR="007F735F" w:rsidRPr="00E13189">
        <w:rPr>
          <w:b/>
          <w:bCs/>
          <w:lang w:val="fr-FR"/>
        </w:rPr>
        <w:t>Etude </w:t>
      </w:r>
      <w:r w:rsidRPr="00E13189">
        <w:rPr>
          <w:b/>
          <w:bCs/>
          <w:lang w:val="fr-FR"/>
        </w:rPr>
        <w:t>NO16966)</w:t>
      </w:r>
    </w:p>
    <w:p w14:paraId="43F3198A" w14:textId="77777777" w:rsidR="004401F0" w:rsidRPr="007C119A" w:rsidRDefault="004401F0" w:rsidP="00BD4C7C">
      <w:pPr>
        <w:pStyle w:val="a3"/>
        <w:adjustRightInd w:val="0"/>
        <w:snapToGrid w:val="0"/>
        <w:rPr>
          <w:b/>
          <w:lang w:val="fr-FR"/>
        </w:rPr>
      </w:pP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2"/>
        <w:gridCol w:w="2340"/>
        <w:gridCol w:w="2406"/>
        <w:gridCol w:w="1225"/>
      </w:tblGrid>
      <w:tr w:rsidR="004401F0" w:rsidRPr="00F84CEA" w14:paraId="4AA8AEAD" w14:textId="77777777" w:rsidTr="00654D21">
        <w:trPr>
          <w:cantSplit/>
        </w:trPr>
        <w:tc>
          <w:tcPr>
            <w:tcW w:w="3079" w:type="dxa"/>
          </w:tcPr>
          <w:p w14:paraId="60279B2C" w14:textId="77777777" w:rsidR="004401F0" w:rsidRPr="00F84CEA" w:rsidRDefault="00DF3C4F" w:rsidP="00FD0816">
            <w:pPr>
              <w:pStyle w:val="TableParagraph"/>
              <w:adjustRightInd w:val="0"/>
              <w:snapToGrid w:val="0"/>
              <w:rPr>
                <w:b/>
                <w:bCs/>
                <w:sz w:val="20"/>
                <w:szCs w:val="20"/>
                <w:lang w:val="fr-FR"/>
              </w:rPr>
            </w:pPr>
            <w:r w:rsidRPr="00F84CEA">
              <w:rPr>
                <w:b/>
                <w:bCs/>
                <w:sz w:val="20"/>
                <w:szCs w:val="20"/>
                <w:lang w:val="fr-FR"/>
              </w:rPr>
              <w:t>Critères (mois)</w:t>
            </w:r>
          </w:p>
        </w:tc>
        <w:tc>
          <w:tcPr>
            <w:tcW w:w="2399" w:type="dxa"/>
          </w:tcPr>
          <w:p w14:paraId="6A78D13B" w14:textId="77777777" w:rsidR="004401F0" w:rsidRPr="002D6DCF" w:rsidRDefault="00DF3C4F" w:rsidP="00B40553">
            <w:pPr>
              <w:pStyle w:val="TableParagraph"/>
              <w:adjustRightInd w:val="0"/>
              <w:snapToGrid w:val="0"/>
              <w:jc w:val="center"/>
              <w:rPr>
                <w:b/>
                <w:bCs/>
                <w:sz w:val="20"/>
                <w:szCs w:val="20"/>
                <w:lang w:val="fr-FR"/>
              </w:rPr>
            </w:pPr>
            <w:r w:rsidRPr="002D6DCF">
              <w:rPr>
                <w:b/>
                <w:bCs/>
                <w:sz w:val="20"/>
                <w:szCs w:val="20"/>
                <w:lang w:val="fr-FR"/>
              </w:rPr>
              <w:t>FOLFOX-4</w:t>
            </w:r>
          </w:p>
          <w:p w14:paraId="37FFB401" w14:textId="77777777" w:rsidR="004401F0" w:rsidRPr="002D6DCF" w:rsidRDefault="00DF3C4F" w:rsidP="00B40553">
            <w:pPr>
              <w:pStyle w:val="TableParagraph"/>
              <w:adjustRightInd w:val="0"/>
              <w:snapToGrid w:val="0"/>
              <w:jc w:val="center"/>
              <w:rPr>
                <w:b/>
                <w:bCs/>
                <w:sz w:val="20"/>
                <w:szCs w:val="20"/>
                <w:lang w:val="fr-FR"/>
              </w:rPr>
            </w:pPr>
            <w:r w:rsidRPr="002D6DCF">
              <w:rPr>
                <w:b/>
                <w:bCs/>
                <w:sz w:val="20"/>
                <w:szCs w:val="20"/>
                <w:lang w:val="fr-FR"/>
              </w:rPr>
              <w:t>ou XELOX + placebo (n=701)</w:t>
            </w:r>
          </w:p>
        </w:tc>
        <w:tc>
          <w:tcPr>
            <w:tcW w:w="2467" w:type="dxa"/>
          </w:tcPr>
          <w:p w14:paraId="67A94F98" w14:textId="77777777" w:rsidR="004401F0" w:rsidRPr="002D6DCF" w:rsidRDefault="00DF3C4F" w:rsidP="00B40553">
            <w:pPr>
              <w:pStyle w:val="TableParagraph"/>
              <w:adjustRightInd w:val="0"/>
              <w:snapToGrid w:val="0"/>
              <w:jc w:val="center"/>
              <w:rPr>
                <w:b/>
                <w:bCs/>
                <w:sz w:val="20"/>
                <w:szCs w:val="20"/>
                <w:lang w:val="fr-FR"/>
              </w:rPr>
            </w:pPr>
            <w:r w:rsidRPr="002D6DCF">
              <w:rPr>
                <w:b/>
                <w:bCs/>
                <w:sz w:val="20"/>
                <w:szCs w:val="20"/>
                <w:lang w:val="fr-FR"/>
              </w:rPr>
              <w:t>FOLFOX-4 ou XELOX +</w:t>
            </w:r>
          </w:p>
          <w:p w14:paraId="655F7420" w14:textId="6682B6E3" w:rsidR="004401F0" w:rsidRPr="002D6DCF" w:rsidRDefault="002D6DCF" w:rsidP="00B40553">
            <w:pPr>
              <w:pStyle w:val="TableParagraph"/>
              <w:adjustRightInd w:val="0"/>
              <w:snapToGrid w:val="0"/>
              <w:jc w:val="center"/>
              <w:rPr>
                <w:b/>
                <w:bCs/>
                <w:sz w:val="20"/>
                <w:szCs w:val="20"/>
                <w:lang w:val="fr-FR"/>
              </w:rPr>
            </w:pPr>
            <w:r>
              <w:rPr>
                <w:b/>
                <w:bCs/>
                <w:sz w:val="20"/>
                <w:szCs w:val="20"/>
                <w:lang w:val="pt-BR"/>
              </w:rPr>
              <w:t>b</w:t>
            </w:r>
            <w:r w:rsidR="00DF3C4F" w:rsidRPr="002D6DCF">
              <w:rPr>
                <w:b/>
                <w:bCs/>
                <w:sz w:val="20"/>
                <w:szCs w:val="20"/>
                <w:lang w:val="fr-FR"/>
              </w:rPr>
              <w:t>evacizumab</w:t>
            </w:r>
          </w:p>
          <w:p w14:paraId="19F6DDC6" w14:textId="77777777" w:rsidR="004401F0" w:rsidRPr="002D6DCF" w:rsidRDefault="00DF3C4F" w:rsidP="00B40553">
            <w:pPr>
              <w:pStyle w:val="TableParagraph"/>
              <w:adjustRightInd w:val="0"/>
              <w:snapToGrid w:val="0"/>
              <w:jc w:val="center"/>
              <w:rPr>
                <w:b/>
                <w:bCs/>
                <w:sz w:val="20"/>
                <w:szCs w:val="20"/>
                <w:lang w:val="fr-FR"/>
              </w:rPr>
            </w:pPr>
            <w:r w:rsidRPr="002D6DCF">
              <w:rPr>
                <w:b/>
                <w:bCs/>
                <w:sz w:val="20"/>
                <w:szCs w:val="20"/>
                <w:lang w:val="fr-FR"/>
              </w:rPr>
              <w:t>(n=699)</w:t>
            </w:r>
          </w:p>
        </w:tc>
        <w:tc>
          <w:tcPr>
            <w:tcW w:w="1253" w:type="dxa"/>
          </w:tcPr>
          <w:p w14:paraId="2EA6A8DB" w14:textId="3FAF18ED" w:rsidR="004401F0" w:rsidRPr="00F84CEA" w:rsidRDefault="002D6DCF" w:rsidP="00B40553">
            <w:pPr>
              <w:pStyle w:val="TableParagraph"/>
              <w:adjustRightInd w:val="0"/>
              <w:snapToGrid w:val="0"/>
              <w:jc w:val="center"/>
              <w:rPr>
                <w:b/>
                <w:bCs/>
                <w:sz w:val="20"/>
                <w:szCs w:val="20"/>
                <w:lang w:val="fr-FR"/>
              </w:rPr>
            </w:pPr>
            <w:r w:rsidRPr="002D6DCF">
              <w:rPr>
                <w:b/>
                <w:bCs/>
                <w:sz w:val="20"/>
                <w:szCs w:val="20"/>
                <w:lang w:val="fr-FR"/>
              </w:rPr>
              <w:t>Valeur du p</w:t>
            </w:r>
          </w:p>
        </w:tc>
      </w:tr>
      <w:tr w:rsidR="004401F0" w:rsidRPr="00F84CEA" w14:paraId="3481A6D9" w14:textId="77777777" w:rsidTr="00654D21">
        <w:trPr>
          <w:cantSplit/>
        </w:trPr>
        <w:tc>
          <w:tcPr>
            <w:tcW w:w="9198" w:type="dxa"/>
            <w:gridSpan w:val="4"/>
          </w:tcPr>
          <w:p w14:paraId="444209E0" w14:textId="77777777" w:rsidR="004401F0" w:rsidRPr="00F84CEA" w:rsidRDefault="00DF3C4F" w:rsidP="00133C45">
            <w:pPr>
              <w:pStyle w:val="TableParagraph"/>
              <w:adjustRightInd w:val="0"/>
              <w:snapToGrid w:val="0"/>
              <w:rPr>
                <w:sz w:val="20"/>
                <w:szCs w:val="20"/>
                <w:lang w:val="fr-FR"/>
              </w:rPr>
            </w:pPr>
            <w:r w:rsidRPr="00F84CEA">
              <w:rPr>
                <w:sz w:val="20"/>
                <w:szCs w:val="20"/>
                <w:lang w:val="fr-FR"/>
              </w:rPr>
              <w:t>Critère principal</w:t>
            </w:r>
          </w:p>
        </w:tc>
      </w:tr>
      <w:tr w:rsidR="004401F0" w:rsidRPr="00F84CEA" w14:paraId="1947E7A0" w14:textId="77777777" w:rsidTr="00654D21">
        <w:trPr>
          <w:cantSplit/>
        </w:trPr>
        <w:tc>
          <w:tcPr>
            <w:tcW w:w="3079" w:type="dxa"/>
          </w:tcPr>
          <w:p w14:paraId="6CEAAFD1" w14:textId="77777777" w:rsidR="004401F0" w:rsidRPr="00F84CEA" w:rsidRDefault="00DF3C4F" w:rsidP="00654D21">
            <w:pPr>
              <w:pStyle w:val="TableParagraph"/>
              <w:adjustRightInd w:val="0"/>
              <w:snapToGrid w:val="0"/>
              <w:rPr>
                <w:sz w:val="20"/>
                <w:szCs w:val="20"/>
                <w:lang w:val="fr-FR"/>
              </w:rPr>
            </w:pPr>
            <w:r w:rsidRPr="00F84CEA">
              <w:rPr>
                <w:sz w:val="20"/>
                <w:szCs w:val="20"/>
                <w:lang w:val="fr-FR"/>
              </w:rPr>
              <w:t>Survie sans progression médiane**</w:t>
            </w:r>
          </w:p>
        </w:tc>
        <w:tc>
          <w:tcPr>
            <w:tcW w:w="2399" w:type="dxa"/>
          </w:tcPr>
          <w:p w14:paraId="0267CEBB" w14:textId="77777777" w:rsidR="004401F0" w:rsidRPr="00F84CEA" w:rsidRDefault="00DF3C4F" w:rsidP="00F84CEA">
            <w:pPr>
              <w:pStyle w:val="TableParagraph"/>
              <w:adjustRightInd w:val="0"/>
              <w:snapToGrid w:val="0"/>
              <w:jc w:val="center"/>
              <w:rPr>
                <w:sz w:val="20"/>
                <w:szCs w:val="20"/>
                <w:lang w:val="fr-FR"/>
              </w:rPr>
            </w:pPr>
            <w:r w:rsidRPr="00F84CEA">
              <w:rPr>
                <w:sz w:val="20"/>
                <w:szCs w:val="20"/>
                <w:lang w:val="fr-FR"/>
              </w:rPr>
              <w:t>8,0</w:t>
            </w:r>
          </w:p>
        </w:tc>
        <w:tc>
          <w:tcPr>
            <w:tcW w:w="2467" w:type="dxa"/>
          </w:tcPr>
          <w:p w14:paraId="63727B54" w14:textId="77777777" w:rsidR="004401F0" w:rsidRPr="00F84CEA" w:rsidRDefault="00DF3C4F" w:rsidP="00F84CEA">
            <w:pPr>
              <w:pStyle w:val="TableParagraph"/>
              <w:adjustRightInd w:val="0"/>
              <w:snapToGrid w:val="0"/>
              <w:jc w:val="center"/>
              <w:rPr>
                <w:sz w:val="20"/>
                <w:szCs w:val="20"/>
                <w:lang w:val="fr-FR"/>
              </w:rPr>
            </w:pPr>
            <w:r w:rsidRPr="00F84CEA">
              <w:rPr>
                <w:sz w:val="20"/>
                <w:szCs w:val="20"/>
                <w:lang w:val="fr-FR"/>
              </w:rPr>
              <w:t>9,4</w:t>
            </w:r>
          </w:p>
        </w:tc>
        <w:tc>
          <w:tcPr>
            <w:tcW w:w="1253" w:type="dxa"/>
          </w:tcPr>
          <w:p w14:paraId="39F2237B" w14:textId="77777777" w:rsidR="004401F0" w:rsidRPr="00F84CEA" w:rsidRDefault="00DF3C4F" w:rsidP="00F84CEA">
            <w:pPr>
              <w:pStyle w:val="TableParagraph"/>
              <w:adjustRightInd w:val="0"/>
              <w:snapToGrid w:val="0"/>
              <w:jc w:val="center"/>
              <w:rPr>
                <w:sz w:val="20"/>
                <w:szCs w:val="20"/>
                <w:lang w:val="fr-FR"/>
              </w:rPr>
            </w:pPr>
            <w:r w:rsidRPr="00F84CEA">
              <w:rPr>
                <w:sz w:val="20"/>
                <w:szCs w:val="20"/>
                <w:lang w:val="fr-FR"/>
              </w:rPr>
              <w:t>0,0023</w:t>
            </w:r>
          </w:p>
        </w:tc>
      </w:tr>
      <w:tr w:rsidR="004401F0" w:rsidRPr="00F84CEA" w14:paraId="3D443621" w14:textId="77777777" w:rsidTr="00654D21">
        <w:trPr>
          <w:cantSplit/>
        </w:trPr>
        <w:tc>
          <w:tcPr>
            <w:tcW w:w="3079" w:type="dxa"/>
          </w:tcPr>
          <w:p w14:paraId="768D929A" w14:textId="77777777" w:rsidR="004401F0" w:rsidRPr="00F84CEA" w:rsidRDefault="00DF3C4F" w:rsidP="00654D21">
            <w:pPr>
              <w:pStyle w:val="TableParagraph"/>
              <w:adjustRightInd w:val="0"/>
              <w:snapToGrid w:val="0"/>
              <w:rPr>
                <w:sz w:val="20"/>
                <w:szCs w:val="20"/>
                <w:lang w:val="fr-FR"/>
              </w:rPr>
            </w:pPr>
            <w:r w:rsidRPr="00F84CEA">
              <w:rPr>
                <w:sz w:val="20"/>
                <w:szCs w:val="20"/>
                <w:lang w:val="fr-FR"/>
              </w:rPr>
              <w:t>Risque relatif (IC 97,5 %)</w:t>
            </w:r>
            <w:r w:rsidRPr="00F84CEA">
              <w:rPr>
                <w:sz w:val="20"/>
                <w:szCs w:val="20"/>
                <w:vertAlign w:val="superscript"/>
                <w:lang w:val="fr-FR"/>
              </w:rPr>
              <w:t>a</w:t>
            </w:r>
          </w:p>
        </w:tc>
        <w:tc>
          <w:tcPr>
            <w:tcW w:w="4866" w:type="dxa"/>
            <w:gridSpan w:val="2"/>
          </w:tcPr>
          <w:p w14:paraId="303E27F7" w14:textId="77777777" w:rsidR="004401F0" w:rsidRPr="00F84CEA" w:rsidRDefault="00DF3C4F" w:rsidP="00F84CEA">
            <w:pPr>
              <w:pStyle w:val="TableParagraph"/>
              <w:adjustRightInd w:val="0"/>
              <w:snapToGrid w:val="0"/>
              <w:jc w:val="center"/>
              <w:rPr>
                <w:sz w:val="20"/>
                <w:szCs w:val="20"/>
                <w:lang w:val="fr-FR"/>
              </w:rPr>
            </w:pPr>
            <w:r w:rsidRPr="00F84CEA">
              <w:rPr>
                <w:sz w:val="20"/>
                <w:szCs w:val="20"/>
                <w:lang w:val="fr-FR"/>
              </w:rPr>
              <w:t>0,83 (0,72-0,95)</w:t>
            </w:r>
          </w:p>
        </w:tc>
        <w:tc>
          <w:tcPr>
            <w:tcW w:w="1253" w:type="dxa"/>
          </w:tcPr>
          <w:p w14:paraId="5B8FF8AF" w14:textId="77777777" w:rsidR="004401F0" w:rsidRPr="00F84CEA" w:rsidRDefault="004401F0" w:rsidP="00F84CEA">
            <w:pPr>
              <w:pStyle w:val="TableParagraph"/>
              <w:adjustRightInd w:val="0"/>
              <w:snapToGrid w:val="0"/>
              <w:jc w:val="center"/>
              <w:rPr>
                <w:sz w:val="20"/>
                <w:szCs w:val="20"/>
                <w:lang w:val="fr-FR"/>
              </w:rPr>
            </w:pPr>
          </w:p>
        </w:tc>
      </w:tr>
      <w:tr w:rsidR="004401F0" w:rsidRPr="00F84CEA" w14:paraId="53D30B77" w14:textId="77777777" w:rsidTr="00654D21">
        <w:trPr>
          <w:cantSplit/>
        </w:trPr>
        <w:tc>
          <w:tcPr>
            <w:tcW w:w="9198" w:type="dxa"/>
            <w:gridSpan w:val="4"/>
          </w:tcPr>
          <w:p w14:paraId="7CDD60AF" w14:textId="77777777" w:rsidR="004401F0" w:rsidRPr="00F84CEA" w:rsidRDefault="00DF3C4F" w:rsidP="00133C45">
            <w:pPr>
              <w:pStyle w:val="TableParagraph"/>
              <w:adjustRightInd w:val="0"/>
              <w:snapToGrid w:val="0"/>
              <w:rPr>
                <w:sz w:val="20"/>
                <w:szCs w:val="20"/>
                <w:lang w:val="fr-FR"/>
              </w:rPr>
            </w:pPr>
            <w:r w:rsidRPr="00F84CEA">
              <w:rPr>
                <w:sz w:val="20"/>
                <w:szCs w:val="20"/>
                <w:lang w:val="fr-FR"/>
              </w:rPr>
              <w:t>Critères secondaires</w:t>
            </w:r>
          </w:p>
        </w:tc>
      </w:tr>
      <w:tr w:rsidR="004401F0" w:rsidRPr="00F84CEA" w14:paraId="06AF0B1C" w14:textId="77777777" w:rsidTr="00654D21">
        <w:trPr>
          <w:cantSplit/>
        </w:trPr>
        <w:tc>
          <w:tcPr>
            <w:tcW w:w="3079" w:type="dxa"/>
          </w:tcPr>
          <w:p w14:paraId="626BB1AA" w14:textId="77777777" w:rsidR="004401F0" w:rsidRPr="00F84CEA" w:rsidRDefault="00DF3C4F" w:rsidP="00654D21">
            <w:pPr>
              <w:pStyle w:val="TableParagraph"/>
              <w:adjustRightInd w:val="0"/>
              <w:snapToGrid w:val="0"/>
              <w:rPr>
                <w:sz w:val="20"/>
                <w:szCs w:val="20"/>
                <w:lang w:val="fr-FR"/>
              </w:rPr>
            </w:pPr>
            <w:r w:rsidRPr="00F84CEA">
              <w:rPr>
                <w:sz w:val="20"/>
                <w:szCs w:val="20"/>
                <w:lang w:val="fr-FR"/>
              </w:rPr>
              <w:t xml:space="preserve">Survie sans progression médiane (sous traitement) </w:t>
            </w:r>
            <w:r w:rsidRPr="00F84CEA">
              <w:rPr>
                <w:sz w:val="20"/>
                <w:szCs w:val="20"/>
                <w:vertAlign w:val="superscript"/>
                <w:lang w:val="fr-FR"/>
              </w:rPr>
              <w:t>**</w:t>
            </w:r>
          </w:p>
        </w:tc>
        <w:tc>
          <w:tcPr>
            <w:tcW w:w="2399" w:type="dxa"/>
          </w:tcPr>
          <w:p w14:paraId="588BB401" w14:textId="77777777" w:rsidR="004401F0" w:rsidRPr="00F84CEA" w:rsidRDefault="00DF3C4F" w:rsidP="00F84CEA">
            <w:pPr>
              <w:pStyle w:val="TableParagraph"/>
              <w:adjustRightInd w:val="0"/>
              <w:snapToGrid w:val="0"/>
              <w:jc w:val="center"/>
              <w:rPr>
                <w:sz w:val="20"/>
                <w:szCs w:val="20"/>
                <w:lang w:val="fr-FR"/>
              </w:rPr>
            </w:pPr>
            <w:r w:rsidRPr="00F84CEA">
              <w:rPr>
                <w:sz w:val="20"/>
                <w:szCs w:val="20"/>
                <w:lang w:val="fr-FR"/>
              </w:rPr>
              <w:t>7,9</w:t>
            </w:r>
          </w:p>
        </w:tc>
        <w:tc>
          <w:tcPr>
            <w:tcW w:w="2467" w:type="dxa"/>
          </w:tcPr>
          <w:p w14:paraId="02855DC3" w14:textId="77777777" w:rsidR="004401F0" w:rsidRPr="00F84CEA" w:rsidRDefault="00DF3C4F" w:rsidP="00F84CEA">
            <w:pPr>
              <w:pStyle w:val="TableParagraph"/>
              <w:adjustRightInd w:val="0"/>
              <w:snapToGrid w:val="0"/>
              <w:jc w:val="center"/>
              <w:rPr>
                <w:sz w:val="20"/>
                <w:szCs w:val="20"/>
                <w:lang w:val="fr-FR"/>
              </w:rPr>
            </w:pPr>
            <w:r w:rsidRPr="00F84CEA">
              <w:rPr>
                <w:sz w:val="20"/>
                <w:szCs w:val="20"/>
                <w:lang w:val="fr-FR"/>
              </w:rPr>
              <w:t>10,4</w:t>
            </w:r>
          </w:p>
        </w:tc>
        <w:tc>
          <w:tcPr>
            <w:tcW w:w="1253" w:type="dxa"/>
          </w:tcPr>
          <w:p w14:paraId="516ABBAF" w14:textId="77777777" w:rsidR="004401F0" w:rsidRPr="00F84CEA" w:rsidRDefault="00DF3C4F" w:rsidP="00F84CEA">
            <w:pPr>
              <w:pStyle w:val="TableParagraph"/>
              <w:adjustRightInd w:val="0"/>
              <w:snapToGrid w:val="0"/>
              <w:jc w:val="center"/>
              <w:rPr>
                <w:sz w:val="20"/>
                <w:szCs w:val="20"/>
                <w:lang w:val="fr-FR"/>
              </w:rPr>
            </w:pPr>
            <w:r w:rsidRPr="00F84CEA">
              <w:rPr>
                <w:sz w:val="20"/>
                <w:szCs w:val="20"/>
                <w:lang w:val="fr-FR"/>
              </w:rPr>
              <w:t>&lt;0,0001</w:t>
            </w:r>
          </w:p>
        </w:tc>
      </w:tr>
      <w:tr w:rsidR="004401F0" w:rsidRPr="00F84CEA" w14:paraId="66D3B24A" w14:textId="77777777" w:rsidTr="00654D21">
        <w:trPr>
          <w:cantSplit/>
        </w:trPr>
        <w:tc>
          <w:tcPr>
            <w:tcW w:w="3079" w:type="dxa"/>
          </w:tcPr>
          <w:p w14:paraId="0449F62F" w14:textId="77777777" w:rsidR="004401F0" w:rsidRPr="00F84CEA" w:rsidRDefault="00DF3C4F" w:rsidP="00654D21">
            <w:pPr>
              <w:pStyle w:val="TableParagraph"/>
              <w:adjustRightInd w:val="0"/>
              <w:snapToGrid w:val="0"/>
              <w:rPr>
                <w:sz w:val="20"/>
                <w:szCs w:val="20"/>
                <w:lang w:val="fr-FR"/>
              </w:rPr>
            </w:pPr>
            <w:r w:rsidRPr="00F84CEA">
              <w:rPr>
                <w:sz w:val="20"/>
                <w:szCs w:val="20"/>
                <w:lang w:val="fr-FR"/>
              </w:rPr>
              <w:t>Risque relatif (IC 97,5 %)</w:t>
            </w:r>
          </w:p>
        </w:tc>
        <w:tc>
          <w:tcPr>
            <w:tcW w:w="4866" w:type="dxa"/>
            <w:gridSpan w:val="2"/>
          </w:tcPr>
          <w:p w14:paraId="247627B7" w14:textId="77777777" w:rsidR="004401F0" w:rsidRPr="00F84CEA" w:rsidRDefault="00DF3C4F" w:rsidP="00F84CEA">
            <w:pPr>
              <w:pStyle w:val="TableParagraph"/>
              <w:adjustRightInd w:val="0"/>
              <w:snapToGrid w:val="0"/>
              <w:jc w:val="center"/>
              <w:rPr>
                <w:sz w:val="20"/>
                <w:szCs w:val="20"/>
                <w:lang w:val="fr-FR"/>
              </w:rPr>
            </w:pPr>
            <w:r w:rsidRPr="00F84CEA">
              <w:rPr>
                <w:sz w:val="20"/>
                <w:szCs w:val="20"/>
                <w:lang w:val="fr-FR"/>
              </w:rPr>
              <w:t>0,63 (0,52-0,75)</w:t>
            </w:r>
          </w:p>
        </w:tc>
        <w:tc>
          <w:tcPr>
            <w:tcW w:w="1253" w:type="dxa"/>
          </w:tcPr>
          <w:p w14:paraId="63DE6BA0" w14:textId="77777777" w:rsidR="004401F0" w:rsidRPr="00F84CEA" w:rsidRDefault="004401F0" w:rsidP="00F84CEA">
            <w:pPr>
              <w:pStyle w:val="TableParagraph"/>
              <w:adjustRightInd w:val="0"/>
              <w:snapToGrid w:val="0"/>
              <w:jc w:val="center"/>
              <w:rPr>
                <w:sz w:val="20"/>
                <w:szCs w:val="20"/>
                <w:lang w:val="fr-FR"/>
              </w:rPr>
            </w:pPr>
          </w:p>
        </w:tc>
      </w:tr>
      <w:tr w:rsidR="004401F0" w:rsidRPr="00F84CEA" w14:paraId="560FAD83" w14:textId="77777777" w:rsidTr="00654D21">
        <w:trPr>
          <w:cantSplit/>
        </w:trPr>
        <w:tc>
          <w:tcPr>
            <w:tcW w:w="3079" w:type="dxa"/>
          </w:tcPr>
          <w:p w14:paraId="626BA091" w14:textId="77777777" w:rsidR="004401F0" w:rsidRPr="00F84CEA" w:rsidRDefault="00DF3C4F" w:rsidP="00654D21">
            <w:pPr>
              <w:pStyle w:val="TableParagraph"/>
              <w:adjustRightInd w:val="0"/>
              <w:snapToGrid w:val="0"/>
              <w:rPr>
                <w:sz w:val="20"/>
                <w:szCs w:val="20"/>
                <w:lang w:val="fr-FR"/>
              </w:rPr>
            </w:pPr>
            <w:r w:rsidRPr="00F84CEA">
              <w:rPr>
                <w:sz w:val="20"/>
                <w:szCs w:val="20"/>
                <w:lang w:val="fr-FR"/>
              </w:rPr>
              <w:t>Taux de réponse globale (revue des investigateurs) **</w:t>
            </w:r>
          </w:p>
        </w:tc>
        <w:tc>
          <w:tcPr>
            <w:tcW w:w="2399" w:type="dxa"/>
          </w:tcPr>
          <w:p w14:paraId="55FBB2CA" w14:textId="77777777" w:rsidR="004401F0" w:rsidRPr="00F84CEA" w:rsidRDefault="00DF3C4F" w:rsidP="00F84CEA">
            <w:pPr>
              <w:pStyle w:val="TableParagraph"/>
              <w:adjustRightInd w:val="0"/>
              <w:snapToGrid w:val="0"/>
              <w:jc w:val="center"/>
              <w:rPr>
                <w:sz w:val="20"/>
                <w:szCs w:val="20"/>
                <w:lang w:val="fr-FR"/>
              </w:rPr>
            </w:pPr>
            <w:r w:rsidRPr="00F84CEA">
              <w:rPr>
                <w:sz w:val="20"/>
                <w:szCs w:val="20"/>
                <w:lang w:val="fr-FR"/>
              </w:rPr>
              <w:t>49,2 %</w:t>
            </w:r>
          </w:p>
        </w:tc>
        <w:tc>
          <w:tcPr>
            <w:tcW w:w="2467" w:type="dxa"/>
          </w:tcPr>
          <w:p w14:paraId="3406E09A" w14:textId="77777777" w:rsidR="004401F0" w:rsidRPr="00F84CEA" w:rsidRDefault="00DF3C4F" w:rsidP="00F84CEA">
            <w:pPr>
              <w:pStyle w:val="TableParagraph"/>
              <w:adjustRightInd w:val="0"/>
              <w:snapToGrid w:val="0"/>
              <w:jc w:val="center"/>
              <w:rPr>
                <w:sz w:val="20"/>
                <w:szCs w:val="20"/>
                <w:lang w:val="fr-FR"/>
              </w:rPr>
            </w:pPr>
            <w:r w:rsidRPr="00F84CEA">
              <w:rPr>
                <w:sz w:val="20"/>
                <w:szCs w:val="20"/>
                <w:lang w:val="fr-FR"/>
              </w:rPr>
              <w:t>46,5 %</w:t>
            </w:r>
          </w:p>
        </w:tc>
        <w:tc>
          <w:tcPr>
            <w:tcW w:w="1253" w:type="dxa"/>
          </w:tcPr>
          <w:p w14:paraId="06E33908" w14:textId="77777777" w:rsidR="004401F0" w:rsidRPr="00F84CEA" w:rsidRDefault="004401F0" w:rsidP="00F84CEA">
            <w:pPr>
              <w:pStyle w:val="TableParagraph"/>
              <w:adjustRightInd w:val="0"/>
              <w:snapToGrid w:val="0"/>
              <w:jc w:val="center"/>
              <w:rPr>
                <w:sz w:val="20"/>
                <w:szCs w:val="20"/>
                <w:lang w:val="fr-FR"/>
              </w:rPr>
            </w:pPr>
          </w:p>
        </w:tc>
      </w:tr>
      <w:tr w:rsidR="004401F0" w:rsidRPr="00F84CEA" w14:paraId="6F32062A" w14:textId="77777777" w:rsidTr="00654D21">
        <w:trPr>
          <w:cantSplit/>
        </w:trPr>
        <w:tc>
          <w:tcPr>
            <w:tcW w:w="3079" w:type="dxa"/>
          </w:tcPr>
          <w:p w14:paraId="328070FA" w14:textId="77777777" w:rsidR="004401F0" w:rsidRPr="00F84CEA" w:rsidRDefault="00DF3C4F" w:rsidP="00133C45">
            <w:pPr>
              <w:pStyle w:val="TableParagraph"/>
              <w:adjustRightInd w:val="0"/>
              <w:snapToGrid w:val="0"/>
              <w:rPr>
                <w:sz w:val="20"/>
                <w:szCs w:val="20"/>
                <w:lang w:val="fr-FR"/>
              </w:rPr>
            </w:pPr>
            <w:r w:rsidRPr="00F84CEA">
              <w:rPr>
                <w:sz w:val="20"/>
                <w:szCs w:val="20"/>
                <w:lang w:val="fr-FR"/>
              </w:rPr>
              <w:t>Survie globale médiane*</w:t>
            </w:r>
          </w:p>
        </w:tc>
        <w:tc>
          <w:tcPr>
            <w:tcW w:w="2399" w:type="dxa"/>
          </w:tcPr>
          <w:p w14:paraId="047B005D" w14:textId="77777777" w:rsidR="004401F0" w:rsidRPr="00F84CEA" w:rsidRDefault="00DF3C4F" w:rsidP="00F84CEA">
            <w:pPr>
              <w:pStyle w:val="TableParagraph"/>
              <w:adjustRightInd w:val="0"/>
              <w:snapToGrid w:val="0"/>
              <w:jc w:val="center"/>
              <w:rPr>
                <w:sz w:val="20"/>
                <w:szCs w:val="20"/>
                <w:lang w:val="fr-FR"/>
              </w:rPr>
            </w:pPr>
            <w:r w:rsidRPr="00F84CEA">
              <w:rPr>
                <w:sz w:val="20"/>
                <w:szCs w:val="20"/>
                <w:lang w:val="fr-FR"/>
              </w:rPr>
              <w:t>19,9</w:t>
            </w:r>
          </w:p>
        </w:tc>
        <w:tc>
          <w:tcPr>
            <w:tcW w:w="2467" w:type="dxa"/>
          </w:tcPr>
          <w:p w14:paraId="7DC9A595" w14:textId="77777777" w:rsidR="004401F0" w:rsidRPr="00F84CEA" w:rsidRDefault="00DF3C4F" w:rsidP="00F84CEA">
            <w:pPr>
              <w:pStyle w:val="TableParagraph"/>
              <w:adjustRightInd w:val="0"/>
              <w:snapToGrid w:val="0"/>
              <w:jc w:val="center"/>
              <w:rPr>
                <w:sz w:val="20"/>
                <w:szCs w:val="20"/>
                <w:lang w:val="fr-FR"/>
              </w:rPr>
            </w:pPr>
            <w:r w:rsidRPr="00F84CEA">
              <w:rPr>
                <w:sz w:val="20"/>
                <w:szCs w:val="20"/>
                <w:lang w:val="fr-FR"/>
              </w:rPr>
              <w:t>21,2</w:t>
            </w:r>
          </w:p>
        </w:tc>
        <w:tc>
          <w:tcPr>
            <w:tcW w:w="1253" w:type="dxa"/>
          </w:tcPr>
          <w:p w14:paraId="3BE22F01" w14:textId="77777777" w:rsidR="004401F0" w:rsidRPr="00F84CEA" w:rsidRDefault="00DF3C4F" w:rsidP="00F84CEA">
            <w:pPr>
              <w:pStyle w:val="TableParagraph"/>
              <w:adjustRightInd w:val="0"/>
              <w:snapToGrid w:val="0"/>
              <w:jc w:val="center"/>
              <w:rPr>
                <w:sz w:val="20"/>
                <w:szCs w:val="20"/>
                <w:lang w:val="fr-FR"/>
              </w:rPr>
            </w:pPr>
            <w:r w:rsidRPr="00F84CEA">
              <w:rPr>
                <w:sz w:val="20"/>
                <w:szCs w:val="20"/>
                <w:lang w:val="fr-FR"/>
              </w:rPr>
              <w:t>0,0769</w:t>
            </w:r>
          </w:p>
        </w:tc>
      </w:tr>
      <w:tr w:rsidR="004401F0" w:rsidRPr="00F84CEA" w14:paraId="6D2065D1" w14:textId="77777777" w:rsidTr="00654D21">
        <w:trPr>
          <w:cantSplit/>
        </w:trPr>
        <w:tc>
          <w:tcPr>
            <w:tcW w:w="3079" w:type="dxa"/>
          </w:tcPr>
          <w:p w14:paraId="6D235A10" w14:textId="77777777" w:rsidR="004401F0" w:rsidRPr="00F84CEA" w:rsidRDefault="00DF3C4F" w:rsidP="00133C45">
            <w:pPr>
              <w:pStyle w:val="TableParagraph"/>
              <w:adjustRightInd w:val="0"/>
              <w:snapToGrid w:val="0"/>
              <w:rPr>
                <w:sz w:val="20"/>
                <w:szCs w:val="20"/>
                <w:lang w:val="fr-FR"/>
              </w:rPr>
            </w:pPr>
            <w:r w:rsidRPr="00F84CEA">
              <w:rPr>
                <w:sz w:val="20"/>
                <w:szCs w:val="20"/>
                <w:lang w:val="fr-FR"/>
              </w:rPr>
              <w:t>Risque relatif (IC 97,5 %)</w:t>
            </w:r>
          </w:p>
        </w:tc>
        <w:tc>
          <w:tcPr>
            <w:tcW w:w="4866" w:type="dxa"/>
            <w:gridSpan w:val="2"/>
          </w:tcPr>
          <w:p w14:paraId="00430BBB" w14:textId="77777777" w:rsidR="004401F0" w:rsidRPr="00F84CEA" w:rsidRDefault="00DF3C4F" w:rsidP="00F84CEA">
            <w:pPr>
              <w:pStyle w:val="TableParagraph"/>
              <w:adjustRightInd w:val="0"/>
              <w:snapToGrid w:val="0"/>
              <w:jc w:val="center"/>
              <w:rPr>
                <w:sz w:val="20"/>
                <w:szCs w:val="20"/>
                <w:lang w:val="fr-FR"/>
              </w:rPr>
            </w:pPr>
            <w:r w:rsidRPr="00F84CEA">
              <w:rPr>
                <w:sz w:val="20"/>
                <w:szCs w:val="20"/>
                <w:lang w:val="fr-FR"/>
              </w:rPr>
              <w:t>0,89 (0,76-1,03)</w:t>
            </w:r>
          </w:p>
        </w:tc>
        <w:tc>
          <w:tcPr>
            <w:tcW w:w="1253" w:type="dxa"/>
          </w:tcPr>
          <w:p w14:paraId="2725B869" w14:textId="77777777" w:rsidR="004401F0" w:rsidRPr="00F84CEA" w:rsidRDefault="004401F0" w:rsidP="00F84CEA">
            <w:pPr>
              <w:pStyle w:val="TableParagraph"/>
              <w:adjustRightInd w:val="0"/>
              <w:snapToGrid w:val="0"/>
              <w:jc w:val="center"/>
              <w:rPr>
                <w:sz w:val="20"/>
                <w:szCs w:val="20"/>
                <w:lang w:val="fr-FR"/>
              </w:rPr>
            </w:pPr>
          </w:p>
        </w:tc>
      </w:tr>
    </w:tbl>
    <w:p w14:paraId="0EEEEAB4" w14:textId="57C23E59" w:rsidR="004401F0" w:rsidRPr="00F84CEA" w:rsidRDefault="00BD4C7C" w:rsidP="00BD4C7C">
      <w:pPr>
        <w:adjustRightInd w:val="0"/>
        <w:snapToGrid w:val="0"/>
        <w:rPr>
          <w:sz w:val="18"/>
          <w:szCs w:val="18"/>
          <w:lang w:val="fr-FR"/>
        </w:rPr>
      </w:pPr>
      <w:r w:rsidRPr="00F84CEA">
        <w:rPr>
          <w:sz w:val="18"/>
          <w:szCs w:val="18"/>
          <w:lang w:val="fr-FR"/>
        </w:rPr>
        <w:t>*</w:t>
      </w:r>
      <w:r w:rsidR="00F84CEA" w:rsidRPr="00F84CEA">
        <w:rPr>
          <w:sz w:val="18"/>
          <w:szCs w:val="18"/>
          <w:lang w:val="fr-FR"/>
        </w:rPr>
        <w:t xml:space="preserve"> </w:t>
      </w:r>
      <w:r w:rsidR="00DF3C4F" w:rsidRPr="00F84CEA">
        <w:rPr>
          <w:sz w:val="18"/>
          <w:szCs w:val="18"/>
          <w:lang w:val="fr-FR"/>
        </w:rPr>
        <w:t xml:space="preserve">Analyse de </w:t>
      </w:r>
      <w:r w:rsidR="00803E4E">
        <w:rPr>
          <w:sz w:val="18"/>
          <w:szCs w:val="18"/>
          <w:lang w:val="fr-FR"/>
        </w:rPr>
        <w:t>l’OS</w:t>
      </w:r>
      <w:r w:rsidR="00DF3C4F" w:rsidRPr="00F84CEA">
        <w:rPr>
          <w:sz w:val="18"/>
          <w:szCs w:val="18"/>
          <w:lang w:val="fr-FR"/>
        </w:rPr>
        <w:t xml:space="preserve"> avec un cut-off au 31 janvier 2007</w:t>
      </w:r>
    </w:p>
    <w:p w14:paraId="7EAEC4E4" w14:textId="77777777" w:rsidR="004401F0" w:rsidRPr="00F84CEA" w:rsidRDefault="00DF3C4F" w:rsidP="00BD4C7C">
      <w:pPr>
        <w:adjustRightInd w:val="0"/>
        <w:snapToGrid w:val="0"/>
        <w:rPr>
          <w:sz w:val="18"/>
          <w:szCs w:val="18"/>
          <w:lang w:val="fr-FR"/>
        </w:rPr>
      </w:pPr>
      <w:r w:rsidRPr="00F84CEA">
        <w:rPr>
          <w:sz w:val="18"/>
          <w:szCs w:val="18"/>
          <w:vertAlign w:val="superscript"/>
          <w:lang w:val="fr-FR"/>
        </w:rPr>
        <w:t>**</w:t>
      </w:r>
      <w:r w:rsidRPr="00F84CEA">
        <w:rPr>
          <w:sz w:val="18"/>
          <w:szCs w:val="18"/>
          <w:lang w:val="fr-FR"/>
        </w:rPr>
        <w:t xml:space="preserve"> Analyse primaire avec un cut-off au 31 janvier 2006</w:t>
      </w:r>
    </w:p>
    <w:p w14:paraId="11C4664D" w14:textId="77777777" w:rsidR="004401F0" w:rsidRPr="00F84CEA" w:rsidRDefault="00DF3C4F" w:rsidP="00BD4C7C">
      <w:pPr>
        <w:adjustRightInd w:val="0"/>
        <w:snapToGrid w:val="0"/>
        <w:rPr>
          <w:sz w:val="18"/>
          <w:szCs w:val="18"/>
          <w:lang w:val="fr-FR"/>
        </w:rPr>
      </w:pPr>
      <w:r w:rsidRPr="00F84CEA">
        <w:rPr>
          <w:sz w:val="18"/>
          <w:szCs w:val="18"/>
          <w:vertAlign w:val="superscript"/>
          <w:lang w:val="fr-FR"/>
        </w:rPr>
        <w:t>a</w:t>
      </w:r>
      <w:r w:rsidRPr="00F84CEA">
        <w:rPr>
          <w:sz w:val="18"/>
          <w:szCs w:val="18"/>
          <w:lang w:val="fr-FR"/>
        </w:rPr>
        <w:t xml:space="preserve"> relatif au bras contrôle</w:t>
      </w:r>
    </w:p>
    <w:p w14:paraId="36955B09" w14:textId="77777777" w:rsidR="004401F0" w:rsidRPr="00DA7718" w:rsidRDefault="004401F0" w:rsidP="00BD4C7C">
      <w:pPr>
        <w:pStyle w:val="a3"/>
        <w:adjustRightInd w:val="0"/>
        <w:snapToGrid w:val="0"/>
        <w:rPr>
          <w:sz w:val="18"/>
          <w:lang w:val="fr-FR"/>
        </w:rPr>
      </w:pPr>
    </w:p>
    <w:p w14:paraId="1AD2318D" w14:textId="1CDE88A7" w:rsidR="004401F0" w:rsidRPr="00DA7718" w:rsidRDefault="00DF3C4F" w:rsidP="00F84CEA">
      <w:pPr>
        <w:pStyle w:val="a3"/>
        <w:adjustRightInd w:val="0"/>
        <w:snapToGrid w:val="0"/>
        <w:rPr>
          <w:lang w:val="fr-FR"/>
        </w:rPr>
      </w:pPr>
      <w:r w:rsidRPr="00DA7718">
        <w:rPr>
          <w:lang w:val="fr-FR"/>
        </w:rPr>
        <w:t>Dans le bras traité par FOLFOX, la PFS médiane était de 8,6 mois pour le bras placebo et de 9,4 mois pour le bras bevacizumab (risque relatif = 0,89, IC 97,5</w:t>
      </w:r>
      <w:r w:rsidR="00AF3AAA">
        <w:rPr>
          <w:lang w:val="fr-FR"/>
        </w:rPr>
        <w:t xml:space="preserve"> % </w:t>
      </w:r>
      <w:r w:rsidRPr="00DA7718">
        <w:rPr>
          <w:lang w:val="fr-FR"/>
        </w:rPr>
        <w:t>= [0,73</w:t>
      </w:r>
      <w:r w:rsidR="00881CB8">
        <w:rPr>
          <w:lang w:val="fr-FR"/>
        </w:rPr>
        <w:t xml:space="preserve"> ; </w:t>
      </w:r>
      <w:r w:rsidRPr="00DA7718">
        <w:rPr>
          <w:lang w:val="fr-FR"/>
        </w:rPr>
        <w:t xml:space="preserve">1.08], p=0,1871), les résultats correspondant dans le bras traité par XELOX étant de 7,4 vs 9,3 mois (risque relatif = 0,77, </w:t>
      </w:r>
      <w:r w:rsidR="00133C45" w:rsidRPr="00DA7718">
        <w:rPr>
          <w:lang w:val="fr-FR"/>
        </w:rPr>
        <w:t>IC</w:t>
      </w:r>
      <w:r w:rsidR="00133C45">
        <w:rPr>
          <w:lang w:val="fr-FR"/>
        </w:rPr>
        <w:t> </w:t>
      </w:r>
      <w:r w:rsidRPr="00DA7718">
        <w:rPr>
          <w:lang w:val="fr-FR"/>
        </w:rPr>
        <w:t>97,</w:t>
      </w:r>
      <w:r w:rsidR="00133C45" w:rsidRPr="00DA7718">
        <w:rPr>
          <w:lang w:val="fr-FR"/>
        </w:rPr>
        <w:t>5</w:t>
      </w:r>
      <w:r w:rsidR="00133C45">
        <w:rPr>
          <w:lang w:val="fr-FR"/>
        </w:rPr>
        <w:t> </w:t>
      </w:r>
      <w:r w:rsidR="00133C45" w:rsidRPr="00DA7718">
        <w:rPr>
          <w:lang w:val="fr-FR"/>
        </w:rPr>
        <w:t>%</w:t>
      </w:r>
      <w:r w:rsidR="00133C45">
        <w:rPr>
          <w:lang w:val="fr-FR"/>
        </w:rPr>
        <w:t> </w:t>
      </w:r>
      <w:r w:rsidRPr="00DA7718">
        <w:rPr>
          <w:lang w:val="fr-FR"/>
        </w:rPr>
        <w:t>= [0,63</w:t>
      </w:r>
      <w:r w:rsidR="00881CB8">
        <w:rPr>
          <w:lang w:val="fr-FR"/>
        </w:rPr>
        <w:t xml:space="preserve"> ; </w:t>
      </w:r>
      <w:r w:rsidRPr="00DA7718">
        <w:rPr>
          <w:lang w:val="fr-FR"/>
        </w:rPr>
        <w:t>0,94], p=0,0026).</w:t>
      </w:r>
    </w:p>
    <w:p w14:paraId="0CC3BA6E" w14:textId="77777777" w:rsidR="004401F0" w:rsidRPr="007C119A" w:rsidRDefault="004401F0" w:rsidP="00BD4C7C">
      <w:pPr>
        <w:pStyle w:val="a3"/>
        <w:adjustRightInd w:val="0"/>
        <w:snapToGrid w:val="0"/>
        <w:rPr>
          <w:lang w:val="fr-FR"/>
        </w:rPr>
      </w:pPr>
    </w:p>
    <w:p w14:paraId="4BD3B705" w14:textId="51DEC694" w:rsidR="004401F0" w:rsidRPr="00DA7718" w:rsidRDefault="00DF3C4F" w:rsidP="00654D21">
      <w:pPr>
        <w:pStyle w:val="a3"/>
        <w:keepLines/>
        <w:adjustRightInd w:val="0"/>
        <w:snapToGrid w:val="0"/>
        <w:rPr>
          <w:lang w:val="fr-FR"/>
        </w:rPr>
      </w:pPr>
      <w:r w:rsidRPr="00DA7718">
        <w:rPr>
          <w:lang w:val="fr-FR"/>
        </w:rPr>
        <w:lastRenderedPageBreak/>
        <w:t xml:space="preserve">Dans les bras FOLFOX, la médiane de </w:t>
      </w:r>
      <w:r w:rsidR="000E3C8B">
        <w:rPr>
          <w:lang w:val="fr-FR"/>
        </w:rPr>
        <w:t>l</w:t>
      </w:r>
      <w:r w:rsidR="00803E4E">
        <w:rPr>
          <w:lang w:val="fr-FR"/>
        </w:rPr>
        <w:t>’OS</w:t>
      </w:r>
      <w:r w:rsidRPr="00DA7718">
        <w:rPr>
          <w:lang w:val="fr-FR"/>
        </w:rPr>
        <w:t xml:space="preserve"> était de 20,3 mois pour le bras placebo et 21,</w:t>
      </w:r>
      <w:r w:rsidR="00133C45" w:rsidRPr="00DA7718">
        <w:rPr>
          <w:lang w:val="fr-FR"/>
        </w:rPr>
        <w:t>2</w:t>
      </w:r>
      <w:r w:rsidR="00133C45">
        <w:rPr>
          <w:lang w:val="fr-FR"/>
        </w:rPr>
        <w:t> </w:t>
      </w:r>
      <w:r w:rsidRPr="00DA7718">
        <w:rPr>
          <w:lang w:val="fr-FR"/>
        </w:rPr>
        <w:t>mois chez les patients traités par bevacizumab (risque relatif = 0,94, IC 97,5</w:t>
      </w:r>
      <w:r w:rsidR="00AF3AAA">
        <w:rPr>
          <w:lang w:val="fr-FR"/>
        </w:rPr>
        <w:t xml:space="preserve"> % </w:t>
      </w:r>
      <w:r w:rsidRPr="00DA7718">
        <w:rPr>
          <w:lang w:val="fr-FR"/>
        </w:rPr>
        <w:t>= [0,75</w:t>
      </w:r>
      <w:r w:rsidR="00881CB8">
        <w:rPr>
          <w:lang w:val="fr-FR"/>
        </w:rPr>
        <w:t xml:space="preserve"> ; </w:t>
      </w:r>
      <w:r w:rsidRPr="00DA7718">
        <w:rPr>
          <w:lang w:val="fr-FR"/>
        </w:rPr>
        <w:t xml:space="preserve">1.16], p=0,4937), les résultats correspondant dans les bras XELOX étant de 19,2 vs 21,4 mois (risque </w:t>
      </w:r>
      <w:r w:rsidR="006B6099" w:rsidRPr="00DA7718">
        <w:rPr>
          <w:lang w:val="fr-FR"/>
        </w:rPr>
        <w:t>relatif</w:t>
      </w:r>
      <w:r w:rsidR="006B6099">
        <w:rPr>
          <w:lang w:val="fr-FR"/>
        </w:rPr>
        <w:t> </w:t>
      </w:r>
      <w:r w:rsidRPr="00DA7718">
        <w:rPr>
          <w:lang w:val="fr-FR"/>
        </w:rPr>
        <w:t>= 0,84, IC 97,5</w:t>
      </w:r>
      <w:r w:rsidR="00AF3AAA">
        <w:rPr>
          <w:lang w:val="fr-FR"/>
        </w:rPr>
        <w:t xml:space="preserve"> % </w:t>
      </w:r>
      <w:r w:rsidRPr="00DA7718">
        <w:rPr>
          <w:lang w:val="fr-FR"/>
        </w:rPr>
        <w:t>= [0,68</w:t>
      </w:r>
      <w:r w:rsidR="006B6099">
        <w:rPr>
          <w:lang w:val="fr-FR"/>
        </w:rPr>
        <w:t> </w:t>
      </w:r>
      <w:r w:rsidR="00881CB8">
        <w:rPr>
          <w:lang w:val="fr-FR"/>
        </w:rPr>
        <w:t xml:space="preserve">; </w:t>
      </w:r>
      <w:r w:rsidRPr="00DA7718">
        <w:rPr>
          <w:lang w:val="fr-FR"/>
        </w:rPr>
        <w:t>1,04], p=0,0698).</w:t>
      </w:r>
    </w:p>
    <w:p w14:paraId="573B9F02" w14:textId="77777777" w:rsidR="004401F0" w:rsidRPr="00DA7718" w:rsidRDefault="00DF3C4F" w:rsidP="00654D21">
      <w:pPr>
        <w:keepNext/>
        <w:keepLines/>
        <w:adjustRightInd w:val="0"/>
        <w:snapToGrid w:val="0"/>
        <w:spacing w:line="233" w:lineRule="auto"/>
        <w:rPr>
          <w:i/>
          <w:lang w:val="fr-FR"/>
        </w:rPr>
      </w:pPr>
      <w:r w:rsidRPr="00DA7718">
        <w:rPr>
          <w:i/>
          <w:lang w:val="fr-FR"/>
        </w:rPr>
        <w:t>ECOG E3200</w:t>
      </w:r>
    </w:p>
    <w:p w14:paraId="254FF69B" w14:textId="0A244D76" w:rsidR="004401F0" w:rsidRPr="00DA7718" w:rsidRDefault="00DF3C4F" w:rsidP="00654D21">
      <w:pPr>
        <w:pStyle w:val="a3"/>
        <w:adjustRightInd w:val="0"/>
        <w:snapToGrid w:val="0"/>
        <w:spacing w:line="233" w:lineRule="auto"/>
        <w:rPr>
          <w:lang w:val="fr-FR"/>
        </w:rPr>
      </w:pPr>
      <w:r w:rsidRPr="00DA7718">
        <w:rPr>
          <w:lang w:val="fr-FR"/>
        </w:rPr>
        <w:t xml:space="preserve">Il s’agissait d’une étude de phase III, randomisée, contrôlée en ouvert, évaluant </w:t>
      </w:r>
      <w:r w:rsidR="00E53EEE">
        <w:rPr>
          <w:lang w:val="fr-FR"/>
        </w:rPr>
        <w:t>le bevacizumab</w:t>
      </w:r>
      <w:r w:rsidR="00E53EEE" w:rsidRPr="00DA7718">
        <w:rPr>
          <w:lang w:val="fr-FR"/>
        </w:rPr>
        <w:t xml:space="preserve"> </w:t>
      </w:r>
      <w:r w:rsidRPr="00DA7718">
        <w:rPr>
          <w:lang w:val="fr-FR"/>
        </w:rPr>
        <w:t>10</w:t>
      </w:r>
      <w:r w:rsidR="00DA7718" w:rsidRPr="00DA7718">
        <w:rPr>
          <w:lang w:val="fr-FR"/>
        </w:rPr>
        <w:t> mg</w:t>
      </w:r>
      <w:r w:rsidRPr="00DA7718">
        <w:rPr>
          <w:lang w:val="fr-FR"/>
        </w:rPr>
        <w:t>/kg en association à la leucovorine et au 5-fluorouracile en bolus puis 5FU en perfusion, avec l’oxaliplatine</w:t>
      </w:r>
      <w:r w:rsidR="00F84CEA">
        <w:rPr>
          <w:lang w:val="fr-FR"/>
        </w:rPr>
        <w:t xml:space="preserve"> </w:t>
      </w:r>
      <w:r w:rsidR="00143779">
        <w:rPr>
          <w:lang w:val="fr-FR"/>
        </w:rPr>
        <w:t>par voie</w:t>
      </w:r>
      <w:r w:rsidR="00E53EEE">
        <w:rPr>
          <w:lang w:val="fr-FR"/>
        </w:rPr>
        <w:t xml:space="preserve"> intraveineuse</w:t>
      </w:r>
      <w:r w:rsidRPr="00DA7718">
        <w:rPr>
          <w:lang w:val="fr-FR"/>
        </w:rPr>
        <w:t xml:space="preserve"> (FOLFOX-4), administrés selon un schéma toutes les 2 semaines chez les patients ayant déjà été traités précédemment (en seconde ligne) pour un cancer colorectal avancé. Dans les bras sous chimiothérapie, le groupe avec FOLFOX-4 a reçu les mêmes doses, selon le même schéma décrit précédemment dans le Tableau 6 de l’étude NO16966.</w:t>
      </w:r>
    </w:p>
    <w:p w14:paraId="07B45AD9" w14:textId="77777777" w:rsidR="004401F0" w:rsidRPr="007C119A" w:rsidRDefault="004401F0" w:rsidP="00654D21">
      <w:pPr>
        <w:pStyle w:val="a3"/>
        <w:adjustRightInd w:val="0"/>
        <w:snapToGrid w:val="0"/>
        <w:spacing w:line="233" w:lineRule="auto"/>
        <w:rPr>
          <w:lang w:val="fr-FR"/>
        </w:rPr>
      </w:pPr>
    </w:p>
    <w:p w14:paraId="2D0DF5B3" w14:textId="7665C6DD" w:rsidR="004401F0" w:rsidRPr="00DA7718" w:rsidRDefault="00DF3C4F" w:rsidP="00654D21">
      <w:pPr>
        <w:pStyle w:val="a3"/>
        <w:adjustRightInd w:val="0"/>
        <w:snapToGrid w:val="0"/>
        <w:spacing w:line="233" w:lineRule="auto"/>
        <w:rPr>
          <w:lang w:val="fr-FR"/>
        </w:rPr>
      </w:pPr>
      <w:r w:rsidRPr="00DA7718">
        <w:rPr>
          <w:lang w:val="fr-FR"/>
        </w:rPr>
        <w:t xml:space="preserve">Le critère principal d’efficacité de l’étude a été </w:t>
      </w:r>
      <w:r w:rsidR="00803E4E">
        <w:rPr>
          <w:lang w:val="fr-FR"/>
        </w:rPr>
        <w:t>l’OS</w:t>
      </w:r>
      <w:r w:rsidRPr="00DA7718">
        <w:rPr>
          <w:lang w:val="fr-FR"/>
        </w:rPr>
        <w:t xml:space="preserve">, définie entre le temps de la randomisation et celui du décès quelle que soit sa cause. 829 patients ont été randomisés (292 sous FOLFOX-4, 293 sous </w:t>
      </w:r>
      <w:r w:rsidR="00E53EEE">
        <w:rPr>
          <w:lang w:val="fr-FR"/>
        </w:rPr>
        <w:t>bevacizumab</w:t>
      </w:r>
      <w:r w:rsidRPr="00DA7718">
        <w:rPr>
          <w:lang w:val="fr-FR"/>
        </w:rPr>
        <w:t xml:space="preserve"> + FOLFOX-4 et 244 sous </w:t>
      </w:r>
      <w:r w:rsidR="00E53EEE">
        <w:rPr>
          <w:lang w:val="fr-FR"/>
        </w:rPr>
        <w:t>bevacizumab</w:t>
      </w:r>
      <w:r w:rsidRPr="00DA7718">
        <w:rPr>
          <w:lang w:val="fr-FR"/>
        </w:rPr>
        <w:t xml:space="preserve"> en monothérapie). L’ajout </w:t>
      </w:r>
      <w:r w:rsidR="00E53EEE">
        <w:rPr>
          <w:lang w:val="fr-FR"/>
        </w:rPr>
        <w:t>du bevacizumab</w:t>
      </w:r>
      <w:r w:rsidR="00E53EEE" w:rsidRPr="00DA7718">
        <w:rPr>
          <w:lang w:val="fr-FR"/>
        </w:rPr>
        <w:t xml:space="preserve"> </w:t>
      </w:r>
      <w:r w:rsidRPr="00DA7718">
        <w:rPr>
          <w:lang w:val="fr-FR"/>
        </w:rPr>
        <w:t xml:space="preserve">à FOLFOX-4 a prolongé la survie de manière significative. Une augmentation significative de la </w:t>
      </w:r>
      <w:r w:rsidR="00803E4E">
        <w:rPr>
          <w:lang w:val="fr-FR"/>
        </w:rPr>
        <w:t>PFS</w:t>
      </w:r>
      <w:r w:rsidRPr="00DA7718">
        <w:rPr>
          <w:lang w:val="fr-FR"/>
        </w:rPr>
        <w:t xml:space="preserve"> et du taux de réponse objective ont également été observés (voir Tableau 8).</w:t>
      </w:r>
    </w:p>
    <w:p w14:paraId="0B9796B8" w14:textId="77777777" w:rsidR="00BD4C7C" w:rsidRPr="00DA7718" w:rsidRDefault="00BD4C7C" w:rsidP="00654D21">
      <w:pPr>
        <w:adjustRightInd w:val="0"/>
        <w:snapToGrid w:val="0"/>
        <w:spacing w:line="233" w:lineRule="auto"/>
        <w:rPr>
          <w:lang w:val="fr-FR"/>
        </w:rPr>
      </w:pPr>
    </w:p>
    <w:p w14:paraId="517DB748" w14:textId="77777777" w:rsidR="004401F0" w:rsidRPr="00E13189" w:rsidRDefault="00DF3C4F" w:rsidP="00E13189">
      <w:pPr>
        <w:ind w:left="1276" w:hanging="1276"/>
        <w:rPr>
          <w:b/>
          <w:bCs/>
          <w:lang w:val="fr-FR"/>
        </w:rPr>
      </w:pPr>
      <w:r w:rsidRPr="00E13189">
        <w:rPr>
          <w:b/>
          <w:bCs/>
          <w:lang w:val="fr-FR"/>
        </w:rPr>
        <w:t>Tableau 8</w:t>
      </w:r>
      <w:r w:rsidRPr="00E13189">
        <w:rPr>
          <w:b/>
          <w:bCs/>
          <w:lang w:val="fr-FR"/>
        </w:rPr>
        <w:tab/>
        <w:t>Résultats d’efficacité de l’étude E3200</w:t>
      </w:r>
    </w:p>
    <w:p w14:paraId="5EED25F6" w14:textId="77777777" w:rsidR="004401F0" w:rsidRPr="00DA7718" w:rsidRDefault="004401F0" w:rsidP="00654D21">
      <w:pPr>
        <w:pStyle w:val="a3"/>
        <w:keepNext/>
        <w:keepLines/>
        <w:adjustRightInd w:val="0"/>
        <w:snapToGrid w:val="0"/>
        <w:spacing w:line="233" w:lineRule="auto"/>
        <w:rPr>
          <w:b/>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7"/>
        <w:gridCol w:w="2717"/>
        <w:gridCol w:w="2600"/>
      </w:tblGrid>
      <w:tr w:rsidR="004401F0" w:rsidRPr="00F84CEA" w14:paraId="23EC3171" w14:textId="77777777" w:rsidTr="00F84CEA">
        <w:trPr>
          <w:cantSplit/>
        </w:trPr>
        <w:tc>
          <w:tcPr>
            <w:tcW w:w="3514" w:type="dxa"/>
            <w:vMerge w:val="restart"/>
          </w:tcPr>
          <w:p w14:paraId="4AD64248" w14:textId="77777777" w:rsidR="004401F0" w:rsidRPr="00F84CEA" w:rsidRDefault="004401F0" w:rsidP="00654D21">
            <w:pPr>
              <w:pStyle w:val="TableParagraph"/>
              <w:keepNext/>
              <w:keepLines/>
              <w:adjustRightInd w:val="0"/>
              <w:snapToGrid w:val="0"/>
              <w:spacing w:line="233" w:lineRule="auto"/>
              <w:rPr>
                <w:sz w:val="20"/>
                <w:szCs w:val="20"/>
                <w:lang w:val="fr-FR"/>
              </w:rPr>
            </w:pPr>
          </w:p>
        </w:tc>
        <w:tc>
          <w:tcPr>
            <w:tcW w:w="4988" w:type="dxa"/>
            <w:gridSpan w:val="2"/>
          </w:tcPr>
          <w:p w14:paraId="18B99DEC" w14:textId="77777777" w:rsidR="004401F0" w:rsidRPr="00F84CEA" w:rsidRDefault="00DF3C4F" w:rsidP="00654D21">
            <w:pPr>
              <w:pStyle w:val="TableParagraph"/>
              <w:keepNext/>
              <w:keepLines/>
              <w:adjustRightInd w:val="0"/>
              <w:snapToGrid w:val="0"/>
              <w:spacing w:line="233" w:lineRule="auto"/>
              <w:jc w:val="center"/>
              <w:rPr>
                <w:b/>
                <w:bCs/>
                <w:sz w:val="20"/>
                <w:szCs w:val="20"/>
                <w:lang w:val="fr-FR"/>
              </w:rPr>
            </w:pPr>
            <w:r w:rsidRPr="00F84CEA">
              <w:rPr>
                <w:b/>
                <w:bCs/>
                <w:sz w:val="20"/>
                <w:szCs w:val="20"/>
                <w:lang w:val="fr-FR"/>
              </w:rPr>
              <w:t>E3200</w:t>
            </w:r>
          </w:p>
        </w:tc>
      </w:tr>
      <w:tr w:rsidR="004401F0" w:rsidRPr="00F84CEA" w14:paraId="6B263B52" w14:textId="77777777" w:rsidTr="00F84CEA">
        <w:trPr>
          <w:cantSplit/>
        </w:trPr>
        <w:tc>
          <w:tcPr>
            <w:tcW w:w="3514" w:type="dxa"/>
            <w:vMerge/>
            <w:tcBorders>
              <w:top w:val="nil"/>
            </w:tcBorders>
          </w:tcPr>
          <w:p w14:paraId="37317333" w14:textId="77777777" w:rsidR="004401F0" w:rsidRPr="00F84CEA" w:rsidRDefault="004401F0" w:rsidP="00654D21">
            <w:pPr>
              <w:keepNext/>
              <w:keepLines/>
              <w:adjustRightInd w:val="0"/>
              <w:snapToGrid w:val="0"/>
              <w:spacing w:line="233" w:lineRule="auto"/>
              <w:rPr>
                <w:sz w:val="20"/>
                <w:szCs w:val="20"/>
                <w:lang w:val="fr-FR"/>
              </w:rPr>
            </w:pPr>
          </w:p>
        </w:tc>
        <w:tc>
          <w:tcPr>
            <w:tcW w:w="2549" w:type="dxa"/>
          </w:tcPr>
          <w:p w14:paraId="7F1D3960" w14:textId="77777777" w:rsidR="004401F0" w:rsidRPr="00F84CEA" w:rsidRDefault="00DF3C4F" w:rsidP="00654D21">
            <w:pPr>
              <w:pStyle w:val="TableParagraph"/>
              <w:keepNext/>
              <w:keepLines/>
              <w:adjustRightInd w:val="0"/>
              <w:snapToGrid w:val="0"/>
              <w:spacing w:line="233" w:lineRule="auto"/>
              <w:jc w:val="center"/>
              <w:rPr>
                <w:b/>
                <w:bCs/>
                <w:sz w:val="20"/>
                <w:szCs w:val="20"/>
                <w:lang w:val="fr-FR"/>
              </w:rPr>
            </w:pPr>
            <w:r w:rsidRPr="00F84CEA">
              <w:rPr>
                <w:b/>
                <w:bCs/>
                <w:sz w:val="20"/>
                <w:szCs w:val="20"/>
                <w:lang w:val="fr-FR"/>
              </w:rPr>
              <w:t>FOLFOX-4</w:t>
            </w:r>
          </w:p>
        </w:tc>
        <w:tc>
          <w:tcPr>
            <w:tcW w:w="2439" w:type="dxa"/>
          </w:tcPr>
          <w:p w14:paraId="1F2F0D84" w14:textId="3DE2B3F9" w:rsidR="004401F0" w:rsidRPr="00F84CEA" w:rsidRDefault="00DF3C4F" w:rsidP="00654D21">
            <w:pPr>
              <w:pStyle w:val="TableParagraph"/>
              <w:keepNext/>
              <w:keepLines/>
              <w:adjustRightInd w:val="0"/>
              <w:snapToGrid w:val="0"/>
              <w:spacing w:line="233" w:lineRule="auto"/>
              <w:jc w:val="center"/>
              <w:rPr>
                <w:b/>
                <w:bCs/>
                <w:sz w:val="20"/>
                <w:szCs w:val="20"/>
                <w:lang w:val="fr-FR"/>
              </w:rPr>
            </w:pPr>
            <w:r w:rsidRPr="00F84CEA">
              <w:rPr>
                <w:b/>
                <w:bCs/>
                <w:sz w:val="20"/>
                <w:szCs w:val="20"/>
                <w:lang w:val="fr-FR"/>
              </w:rPr>
              <w:t xml:space="preserve">FOLFOX-4 + </w:t>
            </w:r>
            <w:r w:rsidR="002C5236">
              <w:rPr>
                <w:b/>
                <w:bCs/>
                <w:sz w:val="20"/>
                <w:szCs w:val="20"/>
                <w:lang w:val="fr-FR"/>
              </w:rPr>
              <w:t>B</w:t>
            </w:r>
            <w:r w:rsidR="00E53EEE" w:rsidRPr="00654D21">
              <w:rPr>
                <w:b/>
                <w:bCs/>
                <w:sz w:val="20"/>
                <w:szCs w:val="20"/>
                <w:lang w:val="fr-FR"/>
              </w:rPr>
              <w:t>evacizumab</w:t>
            </w:r>
            <w:r w:rsidRPr="00F84CEA">
              <w:rPr>
                <w:b/>
                <w:bCs/>
                <w:sz w:val="20"/>
                <w:szCs w:val="20"/>
                <w:vertAlign w:val="superscript"/>
                <w:lang w:val="fr-FR"/>
              </w:rPr>
              <w:t>a</w:t>
            </w:r>
          </w:p>
        </w:tc>
      </w:tr>
      <w:tr w:rsidR="004401F0" w:rsidRPr="00F84CEA" w14:paraId="4CB7983B" w14:textId="77777777" w:rsidTr="00F84CEA">
        <w:trPr>
          <w:cantSplit/>
        </w:trPr>
        <w:tc>
          <w:tcPr>
            <w:tcW w:w="3514" w:type="dxa"/>
          </w:tcPr>
          <w:p w14:paraId="34BEA5BC" w14:textId="77777777" w:rsidR="004401F0" w:rsidRPr="00F84CEA" w:rsidRDefault="00DF3C4F" w:rsidP="00654D21">
            <w:pPr>
              <w:pStyle w:val="TableParagraph"/>
              <w:keepNext/>
              <w:keepLines/>
              <w:adjustRightInd w:val="0"/>
              <w:snapToGrid w:val="0"/>
              <w:spacing w:line="233" w:lineRule="auto"/>
              <w:rPr>
                <w:sz w:val="20"/>
                <w:szCs w:val="20"/>
                <w:lang w:val="fr-FR"/>
              </w:rPr>
            </w:pPr>
            <w:r w:rsidRPr="00F84CEA">
              <w:rPr>
                <w:sz w:val="20"/>
                <w:szCs w:val="20"/>
                <w:lang w:val="fr-FR"/>
              </w:rPr>
              <w:t>Nombre de patients</w:t>
            </w:r>
          </w:p>
        </w:tc>
        <w:tc>
          <w:tcPr>
            <w:tcW w:w="2549" w:type="dxa"/>
          </w:tcPr>
          <w:p w14:paraId="10E8FB56" w14:textId="77777777" w:rsidR="004401F0" w:rsidRPr="00F84CEA" w:rsidRDefault="00DF3C4F" w:rsidP="00654D21">
            <w:pPr>
              <w:pStyle w:val="TableParagraph"/>
              <w:keepNext/>
              <w:keepLines/>
              <w:adjustRightInd w:val="0"/>
              <w:snapToGrid w:val="0"/>
              <w:spacing w:line="233" w:lineRule="auto"/>
              <w:jc w:val="center"/>
              <w:rPr>
                <w:sz w:val="20"/>
                <w:szCs w:val="20"/>
                <w:lang w:val="fr-FR"/>
              </w:rPr>
            </w:pPr>
            <w:r w:rsidRPr="00F84CEA">
              <w:rPr>
                <w:sz w:val="20"/>
                <w:szCs w:val="20"/>
                <w:lang w:val="fr-FR"/>
              </w:rPr>
              <w:t>292</w:t>
            </w:r>
          </w:p>
        </w:tc>
        <w:tc>
          <w:tcPr>
            <w:tcW w:w="2439" w:type="dxa"/>
          </w:tcPr>
          <w:p w14:paraId="54FEC425" w14:textId="77777777" w:rsidR="004401F0" w:rsidRPr="00F84CEA" w:rsidRDefault="00DF3C4F" w:rsidP="00654D21">
            <w:pPr>
              <w:pStyle w:val="TableParagraph"/>
              <w:keepNext/>
              <w:keepLines/>
              <w:adjustRightInd w:val="0"/>
              <w:snapToGrid w:val="0"/>
              <w:spacing w:line="233" w:lineRule="auto"/>
              <w:jc w:val="center"/>
              <w:rPr>
                <w:sz w:val="20"/>
                <w:szCs w:val="20"/>
                <w:lang w:val="fr-FR"/>
              </w:rPr>
            </w:pPr>
            <w:r w:rsidRPr="00F84CEA">
              <w:rPr>
                <w:sz w:val="20"/>
                <w:szCs w:val="20"/>
                <w:lang w:val="fr-FR"/>
              </w:rPr>
              <w:t>293</w:t>
            </w:r>
          </w:p>
        </w:tc>
      </w:tr>
      <w:tr w:rsidR="004401F0" w:rsidRPr="00F84CEA" w14:paraId="5B0443EF" w14:textId="77777777" w:rsidTr="00F84CEA">
        <w:trPr>
          <w:cantSplit/>
        </w:trPr>
        <w:tc>
          <w:tcPr>
            <w:tcW w:w="8502" w:type="dxa"/>
            <w:gridSpan w:val="3"/>
          </w:tcPr>
          <w:p w14:paraId="3A57F2A4" w14:textId="77777777" w:rsidR="004401F0" w:rsidRPr="00F84CEA" w:rsidRDefault="00DF3C4F" w:rsidP="00654D21">
            <w:pPr>
              <w:pStyle w:val="TableParagraph"/>
              <w:adjustRightInd w:val="0"/>
              <w:snapToGrid w:val="0"/>
              <w:spacing w:line="233" w:lineRule="auto"/>
              <w:rPr>
                <w:sz w:val="20"/>
                <w:szCs w:val="20"/>
                <w:lang w:val="fr-FR"/>
              </w:rPr>
            </w:pPr>
            <w:r w:rsidRPr="00F84CEA">
              <w:rPr>
                <w:sz w:val="20"/>
                <w:szCs w:val="20"/>
                <w:lang w:val="fr-FR"/>
              </w:rPr>
              <w:t>Survie globale</w:t>
            </w:r>
          </w:p>
        </w:tc>
      </w:tr>
      <w:tr w:rsidR="004401F0" w:rsidRPr="00F84CEA" w14:paraId="1D90FE1E" w14:textId="77777777" w:rsidTr="00F84CEA">
        <w:trPr>
          <w:cantSplit/>
        </w:trPr>
        <w:tc>
          <w:tcPr>
            <w:tcW w:w="3514" w:type="dxa"/>
          </w:tcPr>
          <w:p w14:paraId="4DAF172B" w14:textId="77777777" w:rsidR="004401F0" w:rsidRPr="00F84CEA" w:rsidRDefault="00DF3C4F" w:rsidP="00654D21">
            <w:pPr>
              <w:pStyle w:val="TableParagraph"/>
              <w:adjustRightInd w:val="0"/>
              <w:snapToGrid w:val="0"/>
              <w:spacing w:line="233" w:lineRule="auto"/>
              <w:ind w:left="360"/>
              <w:rPr>
                <w:sz w:val="20"/>
                <w:szCs w:val="20"/>
                <w:lang w:val="fr-FR"/>
              </w:rPr>
            </w:pPr>
            <w:r w:rsidRPr="00F84CEA">
              <w:rPr>
                <w:sz w:val="20"/>
                <w:szCs w:val="20"/>
                <w:lang w:val="fr-FR"/>
              </w:rPr>
              <w:t>Temps médian (mois)</w:t>
            </w:r>
          </w:p>
        </w:tc>
        <w:tc>
          <w:tcPr>
            <w:tcW w:w="2549" w:type="dxa"/>
          </w:tcPr>
          <w:p w14:paraId="5118A350" w14:textId="77777777" w:rsidR="004401F0" w:rsidRPr="00F84CEA" w:rsidRDefault="00DF3C4F" w:rsidP="00654D21">
            <w:pPr>
              <w:pStyle w:val="TableParagraph"/>
              <w:adjustRightInd w:val="0"/>
              <w:snapToGrid w:val="0"/>
              <w:spacing w:line="233" w:lineRule="auto"/>
              <w:jc w:val="center"/>
              <w:rPr>
                <w:sz w:val="20"/>
                <w:szCs w:val="20"/>
                <w:lang w:val="fr-FR"/>
              </w:rPr>
            </w:pPr>
            <w:r w:rsidRPr="00F84CEA">
              <w:rPr>
                <w:sz w:val="20"/>
                <w:szCs w:val="20"/>
                <w:lang w:val="fr-FR"/>
              </w:rPr>
              <w:t>10,8</w:t>
            </w:r>
          </w:p>
        </w:tc>
        <w:tc>
          <w:tcPr>
            <w:tcW w:w="2439" w:type="dxa"/>
          </w:tcPr>
          <w:p w14:paraId="393E13F9" w14:textId="77777777" w:rsidR="004401F0" w:rsidRPr="00F84CEA" w:rsidRDefault="00DF3C4F" w:rsidP="00654D21">
            <w:pPr>
              <w:pStyle w:val="TableParagraph"/>
              <w:adjustRightInd w:val="0"/>
              <w:snapToGrid w:val="0"/>
              <w:spacing w:line="233" w:lineRule="auto"/>
              <w:jc w:val="center"/>
              <w:rPr>
                <w:sz w:val="20"/>
                <w:szCs w:val="20"/>
                <w:lang w:val="fr-FR"/>
              </w:rPr>
            </w:pPr>
            <w:r w:rsidRPr="00F84CEA">
              <w:rPr>
                <w:sz w:val="20"/>
                <w:szCs w:val="20"/>
                <w:lang w:val="fr-FR"/>
              </w:rPr>
              <w:t>13,0</w:t>
            </w:r>
          </w:p>
        </w:tc>
      </w:tr>
      <w:tr w:rsidR="004401F0" w:rsidRPr="00F84CEA" w14:paraId="7061A347" w14:textId="77777777" w:rsidTr="00F84CEA">
        <w:trPr>
          <w:cantSplit/>
        </w:trPr>
        <w:tc>
          <w:tcPr>
            <w:tcW w:w="3514" w:type="dxa"/>
          </w:tcPr>
          <w:p w14:paraId="5E718363" w14:textId="77777777" w:rsidR="004401F0" w:rsidRPr="00F84CEA" w:rsidRDefault="00DF3C4F" w:rsidP="00654D21">
            <w:pPr>
              <w:pStyle w:val="TableParagraph"/>
              <w:adjustRightInd w:val="0"/>
              <w:snapToGrid w:val="0"/>
              <w:spacing w:line="233" w:lineRule="auto"/>
              <w:ind w:left="360"/>
              <w:rPr>
                <w:sz w:val="20"/>
                <w:szCs w:val="20"/>
                <w:lang w:val="fr-FR"/>
              </w:rPr>
            </w:pPr>
            <w:r w:rsidRPr="00F84CEA">
              <w:rPr>
                <w:sz w:val="20"/>
                <w:szCs w:val="20"/>
                <w:lang w:val="fr-FR"/>
              </w:rPr>
              <w:t>IC 95 %</w:t>
            </w:r>
          </w:p>
        </w:tc>
        <w:tc>
          <w:tcPr>
            <w:tcW w:w="2549" w:type="dxa"/>
          </w:tcPr>
          <w:p w14:paraId="43CA5989" w14:textId="3D1F27DB" w:rsidR="004401F0" w:rsidRPr="00F84CEA" w:rsidRDefault="00DF3C4F" w:rsidP="00654D21">
            <w:pPr>
              <w:pStyle w:val="TableParagraph"/>
              <w:adjustRightInd w:val="0"/>
              <w:snapToGrid w:val="0"/>
              <w:spacing w:line="233" w:lineRule="auto"/>
              <w:jc w:val="center"/>
              <w:rPr>
                <w:sz w:val="20"/>
                <w:szCs w:val="20"/>
                <w:lang w:val="fr-FR"/>
              </w:rPr>
            </w:pPr>
            <w:r w:rsidRPr="00F84CEA">
              <w:rPr>
                <w:sz w:val="20"/>
                <w:szCs w:val="20"/>
                <w:lang w:val="fr-FR"/>
              </w:rPr>
              <w:t xml:space="preserve">10,12 </w:t>
            </w:r>
            <w:r w:rsidR="006B6099">
              <w:rPr>
                <w:sz w:val="20"/>
                <w:szCs w:val="20"/>
                <w:lang w:val="fr-FR"/>
              </w:rPr>
              <w:t>–</w:t>
            </w:r>
            <w:r w:rsidRPr="00F84CEA">
              <w:rPr>
                <w:sz w:val="20"/>
                <w:szCs w:val="20"/>
                <w:lang w:val="fr-FR"/>
              </w:rPr>
              <w:t xml:space="preserve"> 11,86</w:t>
            </w:r>
          </w:p>
        </w:tc>
        <w:tc>
          <w:tcPr>
            <w:tcW w:w="2439" w:type="dxa"/>
          </w:tcPr>
          <w:p w14:paraId="44D9BE2D" w14:textId="77777777" w:rsidR="004401F0" w:rsidRPr="00F84CEA" w:rsidRDefault="00DF3C4F" w:rsidP="00654D21">
            <w:pPr>
              <w:pStyle w:val="TableParagraph"/>
              <w:adjustRightInd w:val="0"/>
              <w:snapToGrid w:val="0"/>
              <w:spacing w:line="233" w:lineRule="auto"/>
              <w:jc w:val="center"/>
              <w:rPr>
                <w:sz w:val="20"/>
                <w:szCs w:val="20"/>
                <w:lang w:val="fr-FR"/>
              </w:rPr>
            </w:pPr>
            <w:r w:rsidRPr="00F84CEA">
              <w:rPr>
                <w:sz w:val="20"/>
                <w:szCs w:val="20"/>
                <w:lang w:val="fr-FR"/>
              </w:rPr>
              <w:t>12,09 – 14,03</w:t>
            </w:r>
          </w:p>
        </w:tc>
      </w:tr>
      <w:tr w:rsidR="004401F0" w:rsidRPr="00F84CEA" w14:paraId="23F4ACA2" w14:textId="77777777" w:rsidTr="00F84CEA">
        <w:trPr>
          <w:cantSplit/>
        </w:trPr>
        <w:tc>
          <w:tcPr>
            <w:tcW w:w="3514" w:type="dxa"/>
          </w:tcPr>
          <w:p w14:paraId="6CC1E050" w14:textId="77777777" w:rsidR="004401F0" w:rsidRPr="00F84CEA" w:rsidRDefault="00DF3C4F" w:rsidP="00654D21">
            <w:pPr>
              <w:pStyle w:val="TableParagraph"/>
              <w:adjustRightInd w:val="0"/>
              <w:snapToGrid w:val="0"/>
              <w:spacing w:line="233" w:lineRule="auto"/>
              <w:ind w:left="360"/>
              <w:rPr>
                <w:sz w:val="20"/>
                <w:szCs w:val="20"/>
                <w:lang w:val="fr-FR"/>
              </w:rPr>
            </w:pPr>
            <w:r w:rsidRPr="00F84CEA">
              <w:rPr>
                <w:sz w:val="20"/>
                <w:szCs w:val="20"/>
                <w:lang w:val="fr-FR"/>
              </w:rPr>
              <w:t xml:space="preserve">Risque relatif </w:t>
            </w:r>
            <w:r w:rsidRPr="00F84CEA">
              <w:rPr>
                <w:sz w:val="20"/>
                <w:szCs w:val="20"/>
                <w:vertAlign w:val="superscript"/>
                <w:lang w:val="fr-FR"/>
              </w:rPr>
              <w:t>b</w:t>
            </w:r>
          </w:p>
        </w:tc>
        <w:tc>
          <w:tcPr>
            <w:tcW w:w="4988" w:type="dxa"/>
            <w:gridSpan w:val="2"/>
          </w:tcPr>
          <w:p w14:paraId="64C75146" w14:textId="77777777" w:rsidR="004401F0" w:rsidRPr="00F84CEA" w:rsidRDefault="00DF3C4F" w:rsidP="00654D21">
            <w:pPr>
              <w:pStyle w:val="TableParagraph"/>
              <w:adjustRightInd w:val="0"/>
              <w:snapToGrid w:val="0"/>
              <w:spacing w:line="233" w:lineRule="auto"/>
              <w:jc w:val="center"/>
              <w:rPr>
                <w:sz w:val="20"/>
                <w:szCs w:val="20"/>
                <w:lang w:val="fr-FR"/>
              </w:rPr>
            </w:pPr>
            <w:r w:rsidRPr="00F84CEA">
              <w:rPr>
                <w:sz w:val="20"/>
                <w:szCs w:val="20"/>
                <w:lang w:val="fr-FR"/>
              </w:rPr>
              <w:t>0,751</w:t>
            </w:r>
          </w:p>
          <w:p w14:paraId="4D85E024" w14:textId="77777777" w:rsidR="004401F0" w:rsidRPr="00F84CEA" w:rsidRDefault="00DF3C4F" w:rsidP="00654D21">
            <w:pPr>
              <w:pStyle w:val="TableParagraph"/>
              <w:adjustRightInd w:val="0"/>
              <w:snapToGrid w:val="0"/>
              <w:spacing w:line="233" w:lineRule="auto"/>
              <w:jc w:val="center"/>
              <w:rPr>
                <w:sz w:val="20"/>
                <w:szCs w:val="20"/>
                <w:lang w:val="fr-FR"/>
              </w:rPr>
            </w:pPr>
            <w:r w:rsidRPr="00F84CEA">
              <w:rPr>
                <w:sz w:val="20"/>
                <w:szCs w:val="20"/>
                <w:lang w:val="fr-FR"/>
              </w:rPr>
              <w:t>(p = 0,0012)</w:t>
            </w:r>
          </w:p>
        </w:tc>
      </w:tr>
      <w:tr w:rsidR="004401F0" w:rsidRPr="00F84CEA" w14:paraId="26E38461" w14:textId="77777777" w:rsidTr="00F84CEA">
        <w:trPr>
          <w:cantSplit/>
        </w:trPr>
        <w:tc>
          <w:tcPr>
            <w:tcW w:w="8502" w:type="dxa"/>
            <w:gridSpan w:val="3"/>
          </w:tcPr>
          <w:p w14:paraId="7C8F775F" w14:textId="77777777" w:rsidR="004401F0" w:rsidRPr="00F84CEA" w:rsidRDefault="00DF3C4F" w:rsidP="00654D21">
            <w:pPr>
              <w:pStyle w:val="TableParagraph"/>
              <w:adjustRightInd w:val="0"/>
              <w:snapToGrid w:val="0"/>
              <w:spacing w:line="233" w:lineRule="auto"/>
              <w:rPr>
                <w:sz w:val="20"/>
                <w:szCs w:val="20"/>
                <w:lang w:val="fr-FR"/>
              </w:rPr>
            </w:pPr>
            <w:r w:rsidRPr="00F84CEA">
              <w:rPr>
                <w:sz w:val="20"/>
                <w:szCs w:val="20"/>
                <w:lang w:val="fr-FR"/>
              </w:rPr>
              <w:t>Survie sans progression</w:t>
            </w:r>
          </w:p>
        </w:tc>
      </w:tr>
      <w:tr w:rsidR="004401F0" w:rsidRPr="00F84CEA" w14:paraId="3FC1E513" w14:textId="77777777" w:rsidTr="00F84CEA">
        <w:trPr>
          <w:cantSplit/>
        </w:trPr>
        <w:tc>
          <w:tcPr>
            <w:tcW w:w="3514" w:type="dxa"/>
          </w:tcPr>
          <w:p w14:paraId="015A434D" w14:textId="77777777" w:rsidR="004401F0" w:rsidRPr="00F84CEA" w:rsidRDefault="00DF3C4F" w:rsidP="00654D21">
            <w:pPr>
              <w:pStyle w:val="TableParagraph"/>
              <w:adjustRightInd w:val="0"/>
              <w:snapToGrid w:val="0"/>
              <w:spacing w:line="233" w:lineRule="auto"/>
              <w:ind w:left="360"/>
              <w:rPr>
                <w:sz w:val="20"/>
                <w:szCs w:val="20"/>
                <w:lang w:val="fr-FR"/>
              </w:rPr>
            </w:pPr>
            <w:r w:rsidRPr="00F84CEA">
              <w:rPr>
                <w:sz w:val="20"/>
                <w:szCs w:val="20"/>
                <w:lang w:val="fr-FR"/>
              </w:rPr>
              <w:t>Temps médian (mois)</w:t>
            </w:r>
          </w:p>
        </w:tc>
        <w:tc>
          <w:tcPr>
            <w:tcW w:w="2549" w:type="dxa"/>
          </w:tcPr>
          <w:p w14:paraId="7ED48E13" w14:textId="77777777" w:rsidR="004401F0" w:rsidRPr="00F84CEA" w:rsidRDefault="00DF3C4F" w:rsidP="00654D21">
            <w:pPr>
              <w:pStyle w:val="TableParagraph"/>
              <w:adjustRightInd w:val="0"/>
              <w:snapToGrid w:val="0"/>
              <w:spacing w:line="233" w:lineRule="auto"/>
              <w:jc w:val="center"/>
              <w:rPr>
                <w:sz w:val="20"/>
                <w:szCs w:val="20"/>
                <w:lang w:val="fr-FR"/>
              </w:rPr>
            </w:pPr>
            <w:r w:rsidRPr="00F84CEA">
              <w:rPr>
                <w:sz w:val="20"/>
                <w:szCs w:val="20"/>
                <w:lang w:val="fr-FR"/>
              </w:rPr>
              <w:t>4,5</w:t>
            </w:r>
          </w:p>
        </w:tc>
        <w:tc>
          <w:tcPr>
            <w:tcW w:w="2439" w:type="dxa"/>
          </w:tcPr>
          <w:p w14:paraId="3B5B7C72" w14:textId="77777777" w:rsidR="004401F0" w:rsidRPr="00F84CEA" w:rsidRDefault="00DF3C4F" w:rsidP="00654D21">
            <w:pPr>
              <w:pStyle w:val="TableParagraph"/>
              <w:adjustRightInd w:val="0"/>
              <w:snapToGrid w:val="0"/>
              <w:spacing w:line="233" w:lineRule="auto"/>
              <w:jc w:val="center"/>
              <w:rPr>
                <w:sz w:val="20"/>
                <w:szCs w:val="20"/>
                <w:lang w:val="fr-FR"/>
              </w:rPr>
            </w:pPr>
            <w:r w:rsidRPr="00F84CEA">
              <w:rPr>
                <w:sz w:val="20"/>
                <w:szCs w:val="20"/>
                <w:lang w:val="fr-FR"/>
              </w:rPr>
              <w:t>7,5</w:t>
            </w:r>
          </w:p>
        </w:tc>
      </w:tr>
      <w:tr w:rsidR="004401F0" w:rsidRPr="00F84CEA" w14:paraId="3070908B" w14:textId="77777777" w:rsidTr="00F84CEA">
        <w:trPr>
          <w:cantSplit/>
        </w:trPr>
        <w:tc>
          <w:tcPr>
            <w:tcW w:w="3514" w:type="dxa"/>
          </w:tcPr>
          <w:p w14:paraId="0C7DE492" w14:textId="77777777" w:rsidR="004401F0" w:rsidRPr="00F84CEA" w:rsidRDefault="00DF3C4F" w:rsidP="00654D21">
            <w:pPr>
              <w:pStyle w:val="TableParagraph"/>
              <w:adjustRightInd w:val="0"/>
              <w:snapToGrid w:val="0"/>
              <w:spacing w:line="233" w:lineRule="auto"/>
              <w:ind w:left="360"/>
              <w:rPr>
                <w:sz w:val="20"/>
                <w:szCs w:val="20"/>
                <w:lang w:val="fr-FR"/>
              </w:rPr>
            </w:pPr>
            <w:r w:rsidRPr="00F84CEA">
              <w:rPr>
                <w:sz w:val="20"/>
                <w:szCs w:val="20"/>
                <w:lang w:val="fr-FR"/>
              </w:rPr>
              <w:t>Risque relatif</w:t>
            </w:r>
          </w:p>
        </w:tc>
        <w:tc>
          <w:tcPr>
            <w:tcW w:w="4988" w:type="dxa"/>
            <w:gridSpan w:val="2"/>
          </w:tcPr>
          <w:p w14:paraId="54B66046" w14:textId="77777777" w:rsidR="004401F0" w:rsidRPr="00F84CEA" w:rsidRDefault="00DF3C4F" w:rsidP="00654D21">
            <w:pPr>
              <w:pStyle w:val="TableParagraph"/>
              <w:adjustRightInd w:val="0"/>
              <w:snapToGrid w:val="0"/>
              <w:spacing w:line="233" w:lineRule="auto"/>
              <w:jc w:val="center"/>
              <w:rPr>
                <w:sz w:val="20"/>
                <w:szCs w:val="20"/>
                <w:lang w:val="fr-FR"/>
              </w:rPr>
            </w:pPr>
            <w:r w:rsidRPr="00F84CEA">
              <w:rPr>
                <w:sz w:val="20"/>
                <w:szCs w:val="20"/>
                <w:lang w:val="fr-FR"/>
              </w:rPr>
              <w:t>0,518</w:t>
            </w:r>
          </w:p>
          <w:p w14:paraId="73982FD9" w14:textId="77777777" w:rsidR="004401F0" w:rsidRPr="00F84CEA" w:rsidRDefault="00DF3C4F" w:rsidP="00654D21">
            <w:pPr>
              <w:pStyle w:val="TableParagraph"/>
              <w:adjustRightInd w:val="0"/>
              <w:snapToGrid w:val="0"/>
              <w:spacing w:line="233" w:lineRule="auto"/>
              <w:jc w:val="center"/>
              <w:rPr>
                <w:sz w:val="20"/>
                <w:szCs w:val="20"/>
                <w:lang w:val="fr-FR"/>
              </w:rPr>
            </w:pPr>
            <w:r w:rsidRPr="00F84CEA">
              <w:rPr>
                <w:sz w:val="20"/>
                <w:szCs w:val="20"/>
                <w:lang w:val="fr-FR"/>
              </w:rPr>
              <w:t>(p &lt;0,0001)</w:t>
            </w:r>
          </w:p>
        </w:tc>
      </w:tr>
      <w:tr w:rsidR="004401F0" w:rsidRPr="00F84CEA" w14:paraId="06B313C0" w14:textId="77777777" w:rsidTr="00F84CEA">
        <w:trPr>
          <w:cantSplit/>
        </w:trPr>
        <w:tc>
          <w:tcPr>
            <w:tcW w:w="8502" w:type="dxa"/>
            <w:gridSpan w:val="3"/>
          </w:tcPr>
          <w:p w14:paraId="6965EFF2" w14:textId="77777777" w:rsidR="004401F0" w:rsidRPr="00F84CEA" w:rsidRDefault="00DF3C4F" w:rsidP="00654D21">
            <w:pPr>
              <w:pStyle w:val="TableParagraph"/>
              <w:adjustRightInd w:val="0"/>
              <w:snapToGrid w:val="0"/>
              <w:spacing w:line="233" w:lineRule="auto"/>
              <w:rPr>
                <w:sz w:val="20"/>
                <w:szCs w:val="20"/>
                <w:lang w:val="fr-FR"/>
              </w:rPr>
            </w:pPr>
            <w:r w:rsidRPr="00F84CEA">
              <w:rPr>
                <w:sz w:val="20"/>
                <w:szCs w:val="20"/>
                <w:lang w:val="fr-FR"/>
              </w:rPr>
              <w:t>Taux de réponse objective</w:t>
            </w:r>
          </w:p>
        </w:tc>
      </w:tr>
      <w:tr w:rsidR="004401F0" w:rsidRPr="00F84CEA" w14:paraId="3F516496" w14:textId="77777777" w:rsidTr="00F84CEA">
        <w:trPr>
          <w:cantSplit/>
        </w:trPr>
        <w:tc>
          <w:tcPr>
            <w:tcW w:w="3514" w:type="dxa"/>
          </w:tcPr>
          <w:p w14:paraId="1F095164" w14:textId="77777777" w:rsidR="004401F0" w:rsidRPr="00F84CEA" w:rsidRDefault="00DF3C4F" w:rsidP="00654D21">
            <w:pPr>
              <w:pStyle w:val="TableParagraph"/>
              <w:adjustRightInd w:val="0"/>
              <w:snapToGrid w:val="0"/>
              <w:spacing w:line="233" w:lineRule="auto"/>
              <w:ind w:left="360"/>
              <w:rPr>
                <w:sz w:val="20"/>
                <w:szCs w:val="20"/>
                <w:lang w:val="fr-FR"/>
              </w:rPr>
            </w:pPr>
            <w:r w:rsidRPr="00F84CEA">
              <w:rPr>
                <w:sz w:val="20"/>
                <w:szCs w:val="20"/>
                <w:lang w:val="fr-FR"/>
              </w:rPr>
              <w:t>Taux</w:t>
            </w:r>
          </w:p>
        </w:tc>
        <w:tc>
          <w:tcPr>
            <w:tcW w:w="2549" w:type="dxa"/>
          </w:tcPr>
          <w:p w14:paraId="43843C59" w14:textId="77777777" w:rsidR="004401F0" w:rsidRPr="00F84CEA" w:rsidRDefault="00DF3C4F" w:rsidP="00654D21">
            <w:pPr>
              <w:pStyle w:val="TableParagraph"/>
              <w:adjustRightInd w:val="0"/>
              <w:snapToGrid w:val="0"/>
              <w:spacing w:line="233" w:lineRule="auto"/>
              <w:jc w:val="center"/>
              <w:rPr>
                <w:sz w:val="20"/>
                <w:szCs w:val="20"/>
                <w:lang w:val="fr-FR"/>
              </w:rPr>
            </w:pPr>
            <w:r w:rsidRPr="00F84CEA">
              <w:rPr>
                <w:sz w:val="20"/>
                <w:szCs w:val="20"/>
                <w:lang w:val="fr-FR"/>
              </w:rPr>
              <w:t>8,6 %</w:t>
            </w:r>
          </w:p>
        </w:tc>
        <w:tc>
          <w:tcPr>
            <w:tcW w:w="2439" w:type="dxa"/>
          </w:tcPr>
          <w:p w14:paraId="430C0610" w14:textId="77777777" w:rsidR="004401F0" w:rsidRPr="00F84CEA" w:rsidRDefault="00DF3C4F" w:rsidP="00654D21">
            <w:pPr>
              <w:pStyle w:val="TableParagraph"/>
              <w:adjustRightInd w:val="0"/>
              <w:snapToGrid w:val="0"/>
              <w:spacing w:line="233" w:lineRule="auto"/>
              <w:jc w:val="center"/>
              <w:rPr>
                <w:sz w:val="20"/>
                <w:szCs w:val="20"/>
                <w:lang w:val="fr-FR"/>
              </w:rPr>
            </w:pPr>
            <w:r w:rsidRPr="00F84CEA">
              <w:rPr>
                <w:sz w:val="20"/>
                <w:szCs w:val="20"/>
                <w:lang w:val="fr-FR"/>
              </w:rPr>
              <w:t>22,2 %</w:t>
            </w:r>
          </w:p>
        </w:tc>
      </w:tr>
      <w:tr w:rsidR="004401F0" w:rsidRPr="00F84CEA" w14:paraId="5601EF53" w14:textId="77777777" w:rsidTr="00F84CEA">
        <w:trPr>
          <w:cantSplit/>
        </w:trPr>
        <w:tc>
          <w:tcPr>
            <w:tcW w:w="3514" w:type="dxa"/>
          </w:tcPr>
          <w:p w14:paraId="308CA0FD" w14:textId="77777777" w:rsidR="004401F0" w:rsidRPr="00F84CEA" w:rsidRDefault="004401F0" w:rsidP="00654D21">
            <w:pPr>
              <w:pStyle w:val="TableParagraph"/>
              <w:adjustRightInd w:val="0"/>
              <w:snapToGrid w:val="0"/>
              <w:spacing w:line="233" w:lineRule="auto"/>
              <w:rPr>
                <w:sz w:val="20"/>
                <w:szCs w:val="20"/>
                <w:lang w:val="fr-FR"/>
              </w:rPr>
            </w:pPr>
          </w:p>
        </w:tc>
        <w:tc>
          <w:tcPr>
            <w:tcW w:w="4988" w:type="dxa"/>
            <w:gridSpan w:val="2"/>
          </w:tcPr>
          <w:p w14:paraId="1E08E33A" w14:textId="77777777" w:rsidR="004401F0" w:rsidRPr="00F84CEA" w:rsidRDefault="00DF3C4F" w:rsidP="00654D21">
            <w:pPr>
              <w:pStyle w:val="TableParagraph"/>
              <w:adjustRightInd w:val="0"/>
              <w:snapToGrid w:val="0"/>
              <w:spacing w:line="233" w:lineRule="auto"/>
              <w:jc w:val="center"/>
              <w:rPr>
                <w:sz w:val="20"/>
                <w:szCs w:val="20"/>
                <w:lang w:val="fr-FR"/>
              </w:rPr>
            </w:pPr>
            <w:r w:rsidRPr="00F84CEA">
              <w:rPr>
                <w:sz w:val="20"/>
                <w:szCs w:val="20"/>
                <w:lang w:val="fr-FR"/>
              </w:rPr>
              <w:t>(p &lt; 0,0001)</w:t>
            </w:r>
          </w:p>
        </w:tc>
      </w:tr>
    </w:tbl>
    <w:p w14:paraId="23473964" w14:textId="77777777" w:rsidR="004401F0" w:rsidRPr="00F84CEA" w:rsidRDefault="00DF3C4F" w:rsidP="00654D21">
      <w:pPr>
        <w:adjustRightInd w:val="0"/>
        <w:snapToGrid w:val="0"/>
        <w:spacing w:line="233" w:lineRule="auto"/>
        <w:rPr>
          <w:sz w:val="18"/>
          <w:szCs w:val="18"/>
          <w:lang w:val="fr-FR"/>
        </w:rPr>
      </w:pPr>
      <w:r w:rsidRPr="00F84CEA">
        <w:rPr>
          <w:sz w:val="18"/>
          <w:szCs w:val="18"/>
          <w:vertAlign w:val="superscript"/>
          <w:lang w:val="fr-FR"/>
        </w:rPr>
        <w:t>a</w:t>
      </w:r>
      <w:r w:rsidRPr="00F84CEA">
        <w:rPr>
          <w:sz w:val="18"/>
          <w:szCs w:val="18"/>
          <w:lang w:val="fr-FR"/>
        </w:rPr>
        <w:t xml:space="preserve"> 10</w:t>
      </w:r>
      <w:r w:rsidR="00DA7718" w:rsidRPr="00F84CEA">
        <w:rPr>
          <w:sz w:val="18"/>
          <w:szCs w:val="18"/>
          <w:lang w:val="fr-FR"/>
        </w:rPr>
        <w:t> mg</w:t>
      </w:r>
      <w:r w:rsidRPr="00F84CEA">
        <w:rPr>
          <w:sz w:val="18"/>
          <w:szCs w:val="18"/>
          <w:lang w:val="fr-FR"/>
        </w:rPr>
        <w:t>/kg toutes les 2 semaines</w:t>
      </w:r>
    </w:p>
    <w:p w14:paraId="7E717CED" w14:textId="77777777" w:rsidR="004401F0" w:rsidRPr="00F84CEA" w:rsidRDefault="00DF3C4F" w:rsidP="00654D21">
      <w:pPr>
        <w:adjustRightInd w:val="0"/>
        <w:snapToGrid w:val="0"/>
        <w:spacing w:line="233" w:lineRule="auto"/>
        <w:rPr>
          <w:sz w:val="18"/>
          <w:szCs w:val="18"/>
          <w:lang w:val="fr-FR"/>
        </w:rPr>
      </w:pPr>
      <w:r w:rsidRPr="00F84CEA">
        <w:rPr>
          <w:sz w:val="18"/>
          <w:szCs w:val="18"/>
          <w:vertAlign w:val="superscript"/>
          <w:lang w:val="fr-FR"/>
        </w:rPr>
        <w:t>b</w:t>
      </w:r>
      <w:r w:rsidRPr="00F84CEA">
        <w:rPr>
          <w:sz w:val="18"/>
          <w:szCs w:val="18"/>
          <w:lang w:val="fr-FR"/>
        </w:rPr>
        <w:t xml:space="preserve"> relatif au groupe contrôle</w:t>
      </w:r>
    </w:p>
    <w:p w14:paraId="62D29ADD" w14:textId="77777777" w:rsidR="004401F0" w:rsidRPr="00DA7718" w:rsidRDefault="004401F0" w:rsidP="00654D21">
      <w:pPr>
        <w:pStyle w:val="a3"/>
        <w:adjustRightInd w:val="0"/>
        <w:snapToGrid w:val="0"/>
        <w:spacing w:line="233" w:lineRule="auto"/>
        <w:rPr>
          <w:lang w:val="fr-FR"/>
        </w:rPr>
      </w:pPr>
    </w:p>
    <w:p w14:paraId="448BF969" w14:textId="1E38B41D" w:rsidR="004401F0" w:rsidRPr="00DA7718" w:rsidRDefault="00DF3C4F" w:rsidP="00654D21">
      <w:pPr>
        <w:pStyle w:val="a3"/>
        <w:adjustRightInd w:val="0"/>
        <w:snapToGrid w:val="0"/>
        <w:spacing w:line="233" w:lineRule="auto"/>
        <w:rPr>
          <w:lang w:val="fr-FR"/>
        </w:rPr>
      </w:pPr>
      <w:r w:rsidRPr="00DA7718">
        <w:rPr>
          <w:lang w:val="fr-FR"/>
        </w:rPr>
        <w:t>Aucune différence significative n’a été observée en terme</w:t>
      </w:r>
      <w:r w:rsidR="00DD4CA9">
        <w:rPr>
          <w:lang w:val="fr-FR"/>
        </w:rPr>
        <w:t>s</w:t>
      </w:r>
      <w:r w:rsidRPr="00DA7718">
        <w:rPr>
          <w:lang w:val="fr-FR"/>
        </w:rPr>
        <w:t xml:space="preserve"> de durée de </w:t>
      </w:r>
      <w:r w:rsidR="00803E4E">
        <w:rPr>
          <w:lang w:val="fr-FR"/>
        </w:rPr>
        <w:t xml:space="preserve">l’OS </w:t>
      </w:r>
      <w:r w:rsidRPr="00DA7718">
        <w:rPr>
          <w:lang w:val="fr-FR"/>
        </w:rPr>
        <w:t xml:space="preserve">entre les patients qui ont reçu </w:t>
      </w:r>
      <w:r w:rsidR="00E53EEE">
        <w:rPr>
          <w:lang w:val="fr-FR"/>
        </w:rPr>
        <w:t>le bevacizumab</w:t>
      </w:r>
      <w:r w:rsidR="00E53EEE" w:rsidRPr="00DA7718" w:rsidDel="00E53EEE">
        <w:rPr>
          <w:lang w:val="fr-FR"/>
        </w:rPr>
        <w:t xml:space="preserve"> </w:t>
      </w:r>
      <w:r w:rsidRPr="00DA7718">
        <w:rPr>
          <w:lang w:val="fr-FR"/>
        </w:rPr>
        <w:t xml:space="preserve">en monothérapie comparés à ceux qui ont été traités avec FOLFOX-4. </w:t>
      </w:r>
      <w:r w:rsidR="00F00DE9" w:rsidRPr="00DA7718">
        <w:rPr>
          <w:lang w:val="fr-FR"/>
        </w:rPr>
        <w:t>La</w:t>
      </w:r>
      <w:r w:rsidR="00F00DE9">
        <w:rPr>
          <w:lang w:val="fr-FR"/>
        </w:rPr>
        <w:t> </w:t>
      </w:r>
      <w:r w:rsidR="003732EC">
        <w:rPr>
          <w:lang w:val="fr-FR"/>
        </w:rPr>
        <w:t>P</w:t>
      </w:r>
      <w:r w:rsidR="00803E4E">
        <w:rPr>
          <w:lang w:val="fr-FR"/>
        </w:rPr>
        <w:t>FS</w:t>
      </w:r>
      <w:r w:rsidRPr="00DA7718">
        <w:rPr>
          <w:lang w:val="fr-FR"/>
        </w:rPr>
        <w:t xml:space="preserve"> et le taux de réponse objective ont été inférieurs dans le groupe avec </w:t>
      </w:r>
      <w:r w:rsidR="00E53EEE">
        <w:rPr>
          <w:lang w:val="fr-FR"/>
        </w:rPr>
        <w:t>bevacizumab</w:t>
      </w:r>
      <w:r w:rsidRPr="00DA7718">
        <w:rPr>
          <w:lang w:val="fr-FR"/>
        </w:rPr>
        <w:t xml:space="preserve"> en monothérapie comparé à celui avec FOLFOX-4.</w:t>
      </w:r>
    </w:p>
    <w:p w14:paraId="48EC04EA" w14:textId="77777777" w:rsidR="004401F0" w:rsidRPr="007C119A" w:rsidRDefault="004401F0" w:rsidP="00654D21">
      <w:pPr>
        <w:pStyle w:val="a3"/>
        <w:adjustRightInd w:val="0"/>
        <w:snapToGrid w:val="0"/>
        <w:spacing w:line="233" w:lineRule="auto"/>
        <w:rPr>
          <w:lang w:val="fr-FR"/>
        </w:rPr>
      </w:pPr>
    </w:p>
    <w:p w14:paraId="218561B2" w14:textId="77777777" w:rsidR="004401F0" w:rsidRPr="00DA7718" w:rsidRDefault="00DF3C4F" w:rsidP="00654D21">
      <w:pPr>
        <w:adjustRightInd w:val="0"/>
        <w:snapToGrid w:val="0"/>
        <w:spacing w:line="233" w:lineRule="auto"/>
        <w:rPr>
          <w:i/>
          <w:lang w:val="fr-FR"/>
        </w:rPr>
      </w:pPr>
      <w:r w:rsidRPr="00DA7718">
        <w:rPr>
          <w:i/>
          <w:lang w:val="fr-FR"/>
        </w:rPr>
        <w:t>ML18147</w:t>
      </w:r>
    </w:p>
    <w:p w14:paraId="1501B798" w14:textId="3FFA011F" w:rsidR="004401F0" w:rsidRPr="00DA7718" w:rsidRDefault="00DF3C4F" w:rsidP="00654D21">
      <w:pPr>
        <w:pStyle w:val="a3"/>
        <w:adjustRightInd w:val="0"/>
        <w:snapToGrid w:val="0"/>
        <w:spacing w:line="233" w:lineRule="auto"/>
        <w:rPr>
          <w:lang w:val="fr-FR"/>
        </w:rPr>
      </w:pPr>
      <w:r w:rsidRPr="00DA7718">
        <w:rPr>
          <w:lang w:val="fr-FR"/>
        </w:rPr>
        <w:t xml:space="preserve">Il s’agissait d’une étude de phase III, randomisée, contrôlée, en ouvert évaluant </w:t>
      </w:r>
      <w:r w:rsidR="00E53EEE">
        <w:rPr>
          <w:lang w:val="fr-FR"/>
        </w:rPr>
        <w:t>le bevacizumab</w:t>
      </w:r>
      <w:r w:rsidR="00E53EEE" w:rsidRPr="00DA7718">
        <w:rPr>
          <w:lang w:val="fr-FR"/>
        </w:rPr>
        <w:t xml:space="preserve"> </w:t>
      </w:r>
      <w:r w:rsidRPr="00DA7718">
        <w:rPr>
          <w:lang w:val="fr-FR"/>
        </w:rPr>
        <w:t>5</w:t>
      </w:r>
      <w:r w:rsidR="00DA7718" w:rsidRPr="00DA7718">
        <w:rPr>
          <w:lang w:val="fr-FR"/>
        </w:rPr>
        <w:t> mg</w:t>
      </w:r>
      <w:r w:rsidRPr="00DA7718">
        <w:rPr>
          <w:lang w:val="fr-FR"/>
        </w:rPr>
        <w:t>/kg toutes les 2 semaines ou 7,5</w:t>
      </w:r>
      <w:r w:rsidR="00DA7718" w:rsidRPr="00DA7718">
        <w:rPr>
          <w:lang w:val="fr-FR"/>
        </w:rPr>
        <w:t> mg</w:t>
      </w:r>
      <w:r w:rsidRPr="00DA7718">
        <w:rPr>
          <w:lang w:val="fr-FR"/>
        </w:rPr>
        <w:t>/kg toutes les 3 semaines en association à une chimiothérapie à base de fluoropyrimidine versus chimiothérapie à base de fluoropyrimidine seule, chez des patients atteints d’un cancer colorectal métastatique ayant progressé après un traitement de 1</w:t>
      </w:r>
      <w:r w:rsidRPr="00DA7718">
        <w:rPr>
          <w:vertAlign w:val="superscript"/>
          <w:lang w:val="fr-FR"/>
        </w:rPr>
        <w:t>ère</w:t>
      </w:r>
      <w:r w:rsidRPr="00DA7718">
        <w:rPr>
          <w:lang w:val="fr-FR"/>
        </w:rPr>
        <w:t xml:space="preserve"> ligne contenant du bevacizumab.</w:t>
      </w:r>
    </w:p>
    <w:p w14:paraId="7DECF218" w14:textId="77777777" w:rsidR="00F84CEA" w:rsidRDefault="00F84CEA" w:rsidP="00654D21">
      <w:pPr>
        <w:pStyle w:val="a3"/>
        <w:adjustRightInd w:val="0"/>
        <w:snapToGrid w:val="0"/>
        <w:spacing w:line="233" w:lineRule="auto"/>
        <w:rPr>
          <w:lang w:val="fr-FR"/>
        </w:rPr>
      </w:pPr>
    </w:p>
    <w:p w14:paraId="0610858C" w14:textId="5C2DAC3A" w:rsidR="004401F0" w:rsidRDefault="00DF3C4F" w:rsidP="00654D21">
      <w:pPr>
        <w:pStyle w:val="a3"/>
        <w:adjustRightInd w:val="0"/>
        <w:snapToGrid w:val="0"/>
        <w:spacing w:line="233" w:lineRule="auto"/>
        <w:rPr>
          <w:lang w:val="fr-FR"/>
        </w:rPr>
      </w:pPr>
      <w:r w:rsidRPr="00DA7718">
        <w:rPr>
          <w:lang w:val="fr-FR"/>
        </w:rPr>
        <w:t>Les patients atteints d’un cancer colorectal métastatique, histologiquement confirmé et dont la maladie avait progressé, étaient randomisés en proportion égale (1</w:t>
      </w:r>
      <w:r w:rsidR="006B6099">
        <w:rPr>
          <w:lang w:val="fr-FR"/>
        </w:rPr>
        <w:t> </w:t>
      </w:r>
      <w:r w:rsidRPr="00DA7718">
        <w:rPr>
          <w:lang w:val="fr-FR"/>
        </w:rPr>
        <w:t>:1) dans les 3 mois après l’arrêt du bevacizumab utilisé en 1</w:t>
      </w:r>
      <w:r w:rsidRPr="00DA7718">
        <w:rPr>
          <w:vertAlign w:val="superscript"/>
          <w:lang w:val="fr-FR"/>
        </w:rPr>
        <w:t>ère</w:t>
      </w:r>
      <w:r w:rsidRPr="00DA7718">
        <w:rPr>
          <w:lang w:val="fr-FR"/>
        </w:rPr>
        <w:t xml:space="preserve"> ligne de traitement, pour recevoir une chimiothérapie à base de fluoropyrimidine/oxaliplatine ou fluoropyrimidine/irinotécan (la chimiothérapie avait été modifiée en fonction de celle utilisée en première ligne de traitement) avec ou sans bevacizumab. Le traitement était administré jusqu’à progression de la maladie ou toxicité inacceptable. Le critère principal était </w:t>
      </w:r>
      <w:r w:rsidR="00803E4E">
        <w:rPr>
          <w:lang w:val="fr-FR"/>
        </w:rPr>
        <w:t>l’OS</w:t>
      </w:r>
      <w:r w:rsidRPr="00DA7718">
        <w:rPr>
          <w:lang w:val="fr-FR"/>
        </w:rPr>
        <w:t xml:space="preserve"> définie comme le délai entre la randomisation et le décès quel qu’en soit la cause.</w:t>
      </w:r>
    </w:p>
    <w:p w14:paraId="752CFFE1" w14:textId="77777777" w:rsidR="00F00DE9" w:rsidRPr="00DA7718" w:rsidRDefault="00F00DE9" w:rsidP="00654D21">
      <w:pPr>
        <w:pStyle w:val="a3"/>
        <w:adjustRightInd w:val="0"/>
        <w:snapToGrid w:val="0"/>
        <w:spacing w:line="233" w:lineRule="auto"/>
        <w:rPr>
          <w:lang w:val="fr-FR"/>
        </w:rPr>
      </w:pPr>
    </w:p>
    <w:p w14:paraId="42E00508" w14:textId="77777777" w:rsidR="004401F0" w:rsidRPr="00DA7718" w:rsidRDefault="00DF3C4F" w:rsidP="00654D21">
      <w:pPr>
        <w:pStyle w:val="a3"/>
        <w:keepLines/>
        <w:adjustRightInd w:val="0"/>
        <w:snapToGrid w:val="0"/>
        <w:spacing w:line="233" w:lineRule="auto"/>
        <w:rPr>
          <w:lang w:val="fr-FR"/>
        </w:rPr>
      </w:pPr>
      <w:r w:rsidRPr="00DA7718">
        <w:rPr>
          <w:lang w:val="fr-FR"/>
        </w:rPr>
        <w:lastRenderedPageBreak/>
        <w:t>Un total de 820 patients a été randomisé. L’ajout du bevacizumab à la chimiothérapie à base de fluoropyrimidine a montré un allongement statistiquement significatif de la survie chez des patients atteints d’un cancer colorectal métastatique ayant progressé après une première ligne de traitement contenant du bevacizumab (ITT=819) (voir tableau 9).</w:t>
      </w:r>
    </w:p>
    <w:p w14:paraId="272DCE16" w14:textId="77777777" w:rsidR="00BD4C7C" w:rsidRPr="00DA7718" w:rsidRDefault="00BD4C7C" w:rsidP="00BD4C7C">
      <w:pPr>
        <w:adjustRightInd w:val="0"/>
        <w:snapToGrid w:val="0"/>
        <w:rPr>
          <w:lang w:val="fr-FR"/>
        </w:rPr>
      </w:pPr>
    </w:p>
    <w:p w14:paraId="2347F517" w14:textId="77777777" w:rsidR="004401F0" w:rsidRPr="00E13189" w:rsidRDefault="00DF3C4F" w:rsidP="00E13189">
      <w:pPr>
        <w:ind w:left="1276" w:hanging="1276"/>
        <w:rPr>
          <w:b/>
          <w:bCs/>
          <w:lang w:val="fr-FR"/>
        </w:rPr>
      </w:pPr>
      <w:r w:rsidRPr="00E13189">
        <w:rPr>
          <w:b/>
          <w:bCs/>
          <w:lang w:val="fr-FR"/>
        </w:rPr>
        <w:t>Tableau 9</w:t>
      </w:r>
      <w:r w:rsidRPr="00E13189">
        <w:rPr>
          <w:b/>
          <w:bCs/>
          <w:lang w:val="fr-FR"/>
        </w:rPr>
        <w:tab/>
        <w:t>Résultats d’efficacité de l’étude</w:t>
      </w:r>
      <w:r w:rsidR="00DA7718" w:rsidRPr="00E13189">
        <w:rPr>
          <w:b/>
          <w:bCs/>
          <w:lang w:val="fr-FR"/>
        </w:rPr>
        <w:t> ml</w:t>
      </w:r>
      <w:r w:rsidRPr="00E13189">
        <w:rPr>
          <w:b/>
          <w:bCs/>
          <w:lang w:val="fr-FR"/>
        </w:rPr>
        <w:t>18147 (population ITT)</w:t>
      </w:r>
    </w:p>
    <w:p w14:paraId="1A9237B1" w14:textId="77777777" w:rsidR="004401F0" w:rsidRPr="00DA7718" w:rsidRDefault="004401F0" w:rsidP="00BD4C7C">
      <w:pPr>
        <w:pStyle w:val="a3"/>
        <w:adjustRightInd w:val="0"/>
        <w:snapToGrid w:val="0"/>
        <w:rPr>
          <w:b/>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4"/>
        <w:gridCol w:w="2750"/>
        <w:gridCol w:w="2750"/>
      </w:tblGrid>
      <w:tr w:rsidR="004401F0" w:rsidRPr="00FD0816" w14:paraId="6CFFE388" w14:textId="77777777" w:rsidTr="00995FC5">
        <w:trPr>
          <w:cantSplit/>
          <w:tblHeader/>
        </w:trPr>
        <w:tc>
          <w:tcPr>
            <w:tcW w:w="3654" w:type="dxa"/>
          </w:tcPr>
          <w:p w14:paraId="766F4DF3" w14:textId="77777777" w:rsidR="004401F0" w:rsidRPr="00FD0816" w:rsidRDefault="004401F0" w:rsidP="00FD0816">
            <w:pPr>
              <w:pStyle w:val="TableParagraph"/>
              <w:adjustRightInd w:val="0"/>
              <w:snapToGrid w:val="0"/>
              <w:rPr>
                <w:sz w:val="20"/>
                <w:szCs w:val="20"/>
                <w:lang w:val="fr-FR"/>
              </w:rPr>
            </w:pPr>
          </w:p>
        </w:tc>
        <w:tc>
          <w:tcPr>
            <w:tcW w:w="5636" w:type="dxa"/>
            <w:gridSpan w:val="2"/>
          </w:tcPr>
          <w:p w14:paraId="270E5C83" w14:textId="77777777" w:rsidR="004401F0" w:rsidRPr="00F84CEA" w:rsidRDefault="00DF3C4F" w:rsidP="00F84CEA">
            <w:pPr>
              <w:pStyle w:val="TableParagraph"/>
              <w:adjustRightInd w:val="0"/>
              <w:snapToGrid w:val="0"/>
              <w:jc w:val="center"/>
              <w:rPr>
                <w:b/>
                <w:bCs/>
                <w:sz w:val="20"/>
                <w:szCs w:val="20"/>
                <w:lang w:val="fr-FR"/>
              </w:rPr>
            </w:pPr>
            <w:r w:rsidRPr="00F84CEA">
              <w:rPr>
                <w:b/>
                <w:bCs/>
                <w:sz w:val="20"/>
                <w:szCs w:val="20"/>
                <w:lang w:val="fr-FR"/>
              </w:rPr>
              <w:t>ML18147</w:t>
            </w:r>
          </w:p>
        </w:tc>
      </w:tr>
      <w:tr w:rsidR="004401F0" w:rsidRPr="00FD0816" w14:paraId="40D1071D" w14:textId="77777777" w:rsidTr="00995FC5">
        <w:trPr>
          <w:cantSplit/>
        </w:trPr>
        <w:tc>
          <w:tcPr>
            <w:tcW w:w="3654" w:type="dxa"/>
          </w:tcPr>
          <w:p w14:paraId="2FC8BF5C" w14:textId="77777777" w:rsidR="004401F0" w:rsidRPr="00FD0816" w:rsidRDefault="004401F0" w:rsidP="00FD0816">
            <w:pPr>
              <w:pStyle w:val="TableParagraph"/>
              <w:adjustRightInd w:val="0"/>
              <w:snapToGrid w:val="0"/>
              <w:rPr>
                <w:sz w:val="20"/>
                <w:szCs w:val="20"/>
                <w:lang w:val="fr-FR"/>
              </w:rPr>
            </w:pPr>
          </w:p>
        </w:tc>
        <w:tc>
          <w:tcPr>
            <w:tcW w:w="2818" w:type="dxa"/>
          </w:tcPr>
          <w:p w14:paraId="4361F614"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Chimiothérapie à base de fluoropyrimidine/irinotécan ou fluoropyrimidine/oxaliplatine</w:t>
            </w:r>
          </w:p>
        </w:tc>
        <w:tc>
          <w:tcPr>
            <w:tcW w:w="2818" w:type="dxa"/>
          </w:tcPr>
          <w:p w14:paraId="202A25F3"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Chimiothérapie à base de fluoropyrimidine/irinotécan ou fluoropyrimidine/oxaliplatine</w:t>
            </w:r>
          </w:p>
          <w:p w14:paraId="0BFE9619" w14:textId="1784152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 xml:space="preserve">+ </w:t>
            </w:r>
            <w:r w:rsidR="00E53EEE" w:rsidRPr="00654D21">
              <w:rPr>
                <w:sz w:val="20"/>
                <w:szCs w:val="20"/>
                <w:lang w:val="fr-FR"/>
              </w:rPr>
              <w:t>bevacizumab</w:t>
            </w:r>
            <w:r w:rsidRPr="00FD0816">
              <w:rPr>
                <w:sz w:val="20"/>
                <w:szCs w:val="20"/>
                <w:vertAlign w:val="superscript"/>
                <w:lang w:val="fr-FR"/>
              </w:rPr>
              <w:t>a</w:t>
            </w:r>
          </w:p>
        </w:tc>
      </w:tr>
      <w:tr w:rsidR="004401F0" w:rsidRPr="00FD0816" w14:paraId="282F7683" w14:textId="77777777" w:rsidTr="00995FC5">
        <w:trPr>
          <w:cantSplit/>
        </w:trPr>
        <w:tc>
          <w:tcPr>
            <w:tcW w:w="3654" w:type="dxa"/>
          </w:tcPr>
          <w:p w14:paraId="2E0AA8B2" w14:textId="77777777" w:rsidR="004401F0" w:rsidRPr="00FD0816" w:rsidRDefault="00DF3C4F" w:rsidP="00D27B36">
            <w:pPr>
              <w:pStyle w:val="TableParagraph"/>
              <w:adjustRightInd w:val="0"/>
              <w:snapToGrid w:val="0"/>
              <w:rPr>
                <w:sz w:val="20"/>
                <w:szCs w:val="20"/>
                <w:lang w:val="fr-FR"/>
              </w:rPr>
            </w:pPr>
            <w:r w:rsidRPr="00FD0816">
              <w:rPr>
                <w:sz w:val="20"/>
                <w:szCs w:val="20"/>
                <w:lang w:val="fr-FR"/>
              </w:rPr>
              <w:t>Nombre de patients</w:t>
            </w:r>
          </w:p>
        </w:tc>
        <w:tc>
          <w:tcPr>
            <w:tcW w:w="2818" w:type="dxa"/>
          </w:tcPr>
          <w:p w14:paraId="69F6813D"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410</w:t>
            </w:r>
          </w:p>
        </w:tc>
        <w:tc>
          <w:tcPr>
            <w:tcW w:w="2818" w:type="dxa"/>
          </w:tcPr>
          <w:p w14:paraId="30C8F36D"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409</w:t>
            </w:r>
          </w:p>
        </w:tc>
      </w:tr>
      <w:tr w:rsidR="004401F0" w:rsidRPr="00FD0816" w14:paraId="153E5BFE" w14:textId="77777777" w:rsidTr="00995FC5">
        <w:trPr>
          <w:cantSplit/>
        </w:trPr>
        <w:tc>
          <w:tcPr>
            <w:tcW w:w="3654" w:type="dxa"/>
          </w:tcPr>
          <w:p w14:paraId="3FE2583B" w14:textId="77777777" w:rsidR="004401F0" w:rsidRPr="00FD0816" w:rsidRDefault="00DF3C4F" w:rsidP="00D27B36">
            <w:pPr>
              <w:pStyle w:val="TableParagraph"/>
              <w:adjustRightInd w:val="0"/>
              <w:snapToGrid w:val="0"/>
              <w:rPr>
                <w:b/>
                <w:sz w:val="20"/>
                <w:szCs w:val="20"/>
                <w:lang w:val="fr-FR"/>
              </w:rPr>
            </w:pPr>
            <w:r w:rsidRPr="00FD0816">
              <w:rPr>
                <w:b/>
                <w:sz w:val="20"/>
                <w:szCs w:val="20"/>
                <w:u w:val="single"/>
                <w:lang w:val="fr-FR"/>
              </w:rPr>
              <w:t>Survie Globale</w:t>
            </w:r>
          </w:p>
        </w:tc>
        <w:tc>
          <w:tcPr>
            <w:tcW w:w="5636" w:type="dxa"/>
            <w:gridSpan w:val="2"/>
          </w:tcPr>
          <w:p w14:paraId="695FA4B3" w14:textId="77777777" w:rsidR="004401F0" w:rsidRPr="00FD0816" w:rsidRDefault="004401F0" w:rsidP="00F84CEA">
            <w:pPr>
              <w:pStyle w:val="TableParagraph"/>
              <w:adjustRightInd w:val="0"/>
              <w:snapToGrid w:val="0"/>
              <w:jc w:val="center"/>
              <w:rPr>
                <w:sz w:val="20"/>
                <w:szCs w:val="20"/>
                <w:lang w:val="fr-FR"/>
              </w:rPr>
            </w:pPr>
          </w:p>
        </w:tc>
      </w:tr>
      <w:tr w:rsidR="004401F0" w:rsidRPr="00FD0816" w14:paraId="3E712184" w14:textId="77777777" w:rsidTr="00995FC5">
        <w:trPr>
          <w:cantSplit/>
        </w:trPr>
        <w:tc>
          <w:tcPr>
            <w:tcW w:w="3654" w:type="dxa"/>
          </w:tcPr>
          <w:p w14:paraId="145BE782" w14:textId="77777777" w:rsidR="004401F0" w:rsidRPr="00FD0816" w:rsidRDefault="00DF3C4F" w:rsidP="00654D21">
            <w:pPr>
              <w:pStyle w:val="TableParagraph"/>
              <w:adjustRightInd w:val="0"/>
              <w:snapToGrid w:val="0"/>
              <w:rPr>
                <w:sz w:val="20"/>
                <w:szCs w:val="20"/>
                <w:lang w:val="fr-FR"/>
              </w:rPr>
            </w:pPr>
            <w:r w:rsidRPr="00FD0816">
              <w:rPr>
                <w:sz w:val="20"/>
                <w:szCs w:val="20"/>
                <w:lang w:val="fr-FR"/>
              </w:rPr>
              <w:t>Médiane (mois)</w:t>
            </w:r>
          </w:p>
        </w:tc>
        <w:tc>
          <w:tcPr>
            <w:tcW w:w="2818" w:type="dxa"/>
          </w:tcPr>
          <w:p w14:paraId="24CD1D9A"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9,8</w:t>
            </w:r>
          </w:p>
        </w:tc>
        <w:tc>
          <w:tcPr>
            <w:tcW w:w="2818" w:type="dxa"/>
          </w:tcPr>
          <w:p w14:paraId="6BF55956"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11,2</w:t>
            </w:r>
          </w:p>
        </w:tc>
      </w:tr>
      <w:tr w:rsidR="00995FC5" w:rsidRPr="00FD0816" w14:paraId="5D80F1AB" w14:textId="77777777" w:rsidTr="00995FC5">
        <w:trPr>
          <w:cantSplit/>
        </w:trPr>
        <w:tc>
          <w:tcPr>
            <w:tcW w:w="3654" w:type="dxa"/>
            <w:vMerge w:val="restart"/>
          </w:tcPr>
          <w:p w14:paraId="151FA6BD" w14:textId="412C3BA1" w:rsidR="00995FC5" w:rsidRPr="00FD0816" w:rsidRDefault="00995FC5" w:rsidP="00654D21">
            <w:pPr>
              <w:pStyle w:val="TableParagraph"/>
              <w:adjustRightInd w:val="0"/>
              <w:snapToGrid w:val="0"/>
              <w:rPr>
                <w:sz w:val="20"/>
                <w:szCs w:val="20"/>
                <w:lang w:val="fr-FR"/>
              </w:rPr>
            </w:pPr>
            <w:r w:rsidRPr="00FD0816">
              <w:rPr>
                <w:sz w:val="20"/>
                <w:szCs w:val="20"/>
                <w:lang w:val="fr-FR"/>
              </w:rPr>
              <w:t>Risque relatif</w:t>
            </w:r>
            <w:r>
              <w:rPr>
                <w:sz w:val="20"/>
                <w:szCs w:val="20"/>
                <w:lang w:val="fr-FR"/>
              </w:rPr>
              <w:t xml:space="preserve"> </w:t>
            </w:r>
            <w:r w:rsidRPr="00FD0816">
              <w:rPr>
                <w:sz w:val="20"/>
                <w:szCs w:val="20"/>
                <w:lang w:val="fr-FR"/>
              </w:rPr>
              <w:t>(IC 95%)</w:t>
            </w:r>
          </w:p>
        </w:tc>
        <w:tc>
          <w:tcPr>
            <w:tcW w:w="5636" w:type="dxa"/>
            <w:gridSpan w:val="2"/>
            <w:tcBorders>
              <w:bottom w:val="nil"/>
            </w:tcBorders>
          </w:tcPr>
          <w:p w14:paraId="7A4C55B5" w14:textId="58F86DBF" w:rsidR="00995FC5" w:rsidRPr="00FD0816" w:rsidRDefault="00995FC5" w:rsidP="00F84CEA">
            <w:pPr>
              <w:pStyle w:val="TableParagraph"/>
              <w:adjustRightInd w:val="0"/>
              <w:snapToGrid w:val="0"/>
              <w:jc w:val="center"/>
              <w:rPr>
                <w:sz w:val="20"/>
                <w:szCs w:val="20"/>
                <w:lang w:val="fr-FR"/>
              </w:rPr>
            </w:pPr>
            <w:r w:rsidRPr="00FD0816">
              <w:rPr>
                <w:sz w:val="20"/>
                <w:szCs w:val="20"/>
                <w:lang w:val="fr-FR"/>
              </w:rPr>
              <w:t>0,81 (0,69</w:t>
            </w:r>
            <w:r w:rsidR="006B6099">
              <w:rPr>
                <w:sz w:val="20"/>
                <w:szCs w:val="20"/>
                <w:lang w:val="fr-FR"/>
              </w:rPr>
              <w:t> </w:t>
            </w:r>
            <w:r w:rsidR="00881CB8">
              <w:rPr>
                <w:sz w:val="20"/>
                <w:szCs w:val="20"/>
                <w:lang w:val="fr-FR"/>
              </w:rPr>
              <w:t xml:space="preserve">; </w:t>
            </w:r>
            <w:r w:rsidRPr="00FD0816">
              <w:rPr>
                <w:sz w:val="20"/>
                <w:szCs w:val="20"/>
                <w:lang w:val="fr-FR"/>
              </w:rPr>
              <w:t>0,94)</w:t>
            </w:r>
          </w:p>
        </w:tc>
      </w:tr>
      <w:tr w:rsidR="00995FC5" w:rsidRPr="00FD0816" w14:paraId="05D728EA" w14:textId="77777777" w:rsidTr="00995FC5">
        <w:trPr>
          <w:cantSplit/>
        </w:trPr>
        <w:tc>
          <w:tcPr>
            <w:tcW w:w="3654" w:type="dxa"/>
            <w:vMerge/>
          </w:tcPr>
          <w:p w14:paraId="36C42322" w14:textId="3A3BA68E" w:rsidR="00995FC5" w:rsidRPr="00FD0816" w:rsidRDefault="00995FC5" w:rsidP="00654D21">
            <w:pPr>
              <w:pStyle w:val="TableParagraph"/>
              <w:adjustRightInd w:val="0"/>
              <w:snapToGrid w:val="0"/>
              <w:rPr>
                <w:sz w:val="20"/>
                <w:szCs w:val="20"/>
                <w:lang w:val="fr-FR"/>
              </w:rPr>
            </w:pPr>
          </w:p>
        </w:tc>
        <w:tc>
          <w:tcPr>
            <w:tcW w:w="5636" w:type="dxa"/>
            <w:gridSpan w:val="2"/>
            <w:tcBorders>
              <w:top w:val="nil"/>
            </w:tcBorders>
          </w:tcPr>
          <w:p w14:paraId="1D84AC6A" w14:textId="77777777" w:rsidR="00995FC5" w:rsidRPr="00FD0816" w:rsidRDefault="00995FC5" w:rsidP="00F84CEA">
            <w:pPr>
              <w:pStyle w:val="TableParagraph"/>
              <w:adjustRightInd w:val="0"/>
              <w:snapToGrid w:val="0"/>
              <w:jc w:val="center"/>
              <w:rPr>
                <w:sz w:val="20"/>
                <w:szCs w:val="20"/>
                <w:lang w:val="fr-FR"/>
              </w:rPr>
            </w:pPr>
            <w:r w:rsidRPr="00FD0816">
              <w:rPr>
                <w:sz w:val="20"/>
                <w:szCs w:val="20"/>
                <w:lang w:val="fr-FR"/>
              </w:rPr>
              <w:t>(p = 0,0062)</w:t>
            </w:r>
          </w:p>
        </w:tc>
      </w:tr>
      <w:tr w:rsidR="004401F0" w:rsidRPr="00FD0816" w14:paraId="0D595392" w14:textId="77777777" w:rsidTr="00995FC5">
        <w:trPr>
          <w:cantSplit/>
        </w:trPr>
        <w:tc>
          <w:tcPr>
            <w:tcW w:w="3654" w:type="dxa"/>
          </w:tcPr>
          <w:p w14:paraId="2A495AA6" w14:textId="77777777" w:rsidR="004401F0" w:rsidRPr="00FD0816" w:rsidRDefault="00DF3C4F" w:rsidP="00D27B36">
            <w:pPr>
              <w:pStyle w:val="TableParagraph"/>
              <w:adjustRightInd w:val="0"/>
              <w:snapToGrid w:val="0"/>
              <w:rPr>
                <w:b/>
                <w:sz w:val="20"/>
                <w:szCs w:val="20"/>
                <w:lang w:val="fr-FR"/>
              </w:rPr>
            </w:pPr>
            <w:r w:rsidRPr="00FD0816">
              <w:rPr>
                <w:b/>
                <w:sz w:val="20"/>
                <w:szCs w:val="20"/>
                <w:u w:val="single"/>
                <w:lang w:val="fr-FR"/>
              </w:rPr>
              <w:t>Survie sans progression</w:t>
            </w:r>
          </w:p>
        </w:tc>
        <w:tc>
          <w:tcPr>
            <w:tcW w:w="5636" w:type="dxa"/>
            <w:gridSpan w:val="2"/>
          </w:tcPr>
          <w:p w14:paraId="5B274A46" w14:textId="77777777" w:rsidR="004401F0" w:rsidRPr="00FD0816" w:rsidRDefault="004401F0" w:rsidP="00F84CEA">
            <w:pPr>
              <w:pStyle w:val="TableParagraph"/>
              <w:adjustRightInd w:val="0"/>
              <w:snapToGrid w:val="0"/>
              <w:jc w:val="center"/>
              <w:rPr>
                <w:sz w:val="20"/>
                <w:szCs w:val="20"/>
                <w:lang w:val="fr-FR"/>
              </w:rPr>
            </w:pPr>
          </w:p>
        </w:tc>
      </w:tr>
      <w:tr w:rsidR="004401F0" w:rsidRPr="00FD0816" w14:paraId="45DE1D9F" w14:textId="77777777" w:rsidTr="00995FC5">
        <w:trPr>
          <w:cantSplit/>
        </w:trPr>
        <w:tc>
          <w:tcPr>
            <w:tcW w:w="3654" w:type="dxa"/>
          </w:tcPr>
          <w:p w14:paraId="36E7D059" w14:textId="77777777" w:rsidR="004401F0" w:rsidRPr="00FD0816" w:rsidRDefault="00DF3C4F" w:rsidP="00654D21">
            <w:pPr>
              <w:pStyle w:val="TableParagraph"/>
              <w:adjustRightInd w:val="0"/>
              <w:snapToGrid w:val="0"/>
              <w:rPr>
                <w:sz w:val="20"/>
                <w:szCs w:val="20"/>
                <w:lang w:val="fr-FR"/>
              </w:rPr>
            </w:pPr>
            <w:r w:rsidRPr="00FD0816">
              <w:rPr>
                <w:sz w:val="20"/>
                <w:szCs w:val="20"/>
                <w:lang w:val="fr-FR"/>
              </w:rPr>
              <w:t>Médiane (mois)</w:t>
            </w:r>
          </w:p>
        </w:tc>
        <w:tc>
          <w:tcPr>
            <w:tcW w:w="2818" w:type="dxa"/>
          </w:tcPr>
          <w:p w14:paraId="7630A4AB"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4,1</w:t>
            </w:r>
          </w:p>
        </w:tc>
        <w:tc>
          <w:tcPr>
            <w:tcW w:w="2818" w:type="dxa"/>
          </w:tcPr>
          <w:p w14:paraId="432A391E"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5,7</w:t>
            </w:r>
          </w:p>
        </w:tc>
      </w:tr>
      <w:tr w:rsidR="00995FC5" w:rsidRPr="00FD0816" w14:paraId="1838935B" w14:textId="77777777" w:rsidTr="00622F9C">
        <w:trPr>
          <w:cantSplit/>
        </w:trPr>
        <w:tc>
          <w:tcPr>
            <w:tcW w:w="3654" w:type="dxa"/>
            <w:vMerge w:val="restart"/>
          </w:tcPr>
          <w:p w14:paraId="752341E9" w14:textId="4D97258F" w:rsidR="00995FC5" w:rsidRPr="00FD0816" w:rsidRDefault="00995FC5" w:rsidP="00654D21">
            <w:pPr>
              <w:pStyle w:val="TableParagraph"/>
              <w:adjustRightInd w:val="0"/>
              <w:snapToGrid w:val="0"/>
              <w:rPr>
                <w:sz w:val="20"/>
                <w:szCs w:val="20"/>
                <w:lang w:val="fr-FR"/>
              </w:rPr>
            </w:pPr>
            <w:r w:rsidRPr="00FD0816">
              <w:rPr>
                <w:sz w:val="20"/>
                <w:szCs w:val="20"/>
                <w:lang w:val="fr-FR"/>
              </w:rPr>
              <w:t>Risque relatif</w:t>
            </w:r>
            <w:r>
              <w:rPr>
                <w:sz w:val="20"/>
                <w:szCs w:val="20"/>
                <w:lang w:val="fr-FR"/>
              </w:rPr>
              <w:t xml:space="preserve"> </w:t>
            </w:r>
            <w:r w:rsidRPr="00FD0816">
              <w:rPr>
                <w:sz w:val="20"/>
                <w:szCs w:val="20"/>
                <w:lang w:val="fr-FR"/>
              </w:rPr>
              <w:t>(IC 95%)</w:t>
            </w:r>
          </w:p>
        </w:tc>
        <w:tc>
          <w:tcPr>
            <w:tcW w:w="5636" w:type="dxa"/>
            <w:gridSpan w:val="2"/>
            <w:tcBorders>
              <w:bottom w:val="nil"/>
            </w:tcBorders>
          </w:tcPr>
          <w:p w14:paraId="64A49016" w14:textId="3A88AB60" w:rsidR="00995FC5" w:rsidRPr="00FD0816" w:rsidRDefault="00995FC5" w:rsidP="00F84CEA">
            <w:pPr>
              <w:pStyle w:val="TableParagraph"/>
              <w:adjustRightInd w:val="0"/>
              <w:snapToGrid w:val="0"/>
              <w:jc w:val="center"/>
              <w:rPr>
                <w:sz w:val="20"/>
                <w:szCs w:val="20"/>
                <w:lang w:val="fr-FR"/>
              </w:rPr>
            </w:pPr>
            <w:r w:rsidRPr="00FD0816">
              <w:rPr>
                <w:sz w:val="20"/>
                <w:szCs w:val="20"/>
                <w:lang w:val="fr-FR"/>
              </w:rPr>
              <w:t>0,68 (0,59</w:t>
            </w:r>
            <w:r w:rsidR="006B6099">
              <w:rPr>
                <w:sz w:val="20"/>
                <w:szCs w:val="20"/>
                <w:lang w:val="fr-FR"/>
              </w:rPr>
              <w:t> </w:t>
            </w:r>
            <w:r w:rsidR="00881CB8">
              <w:rPr>
                <w:sz w:val="20"/>
                <w:szCs w:val="20"/>
                <w:lang w:val="fr-FR"/>
              </w:rPr>
              <w:t xml:space="preserve">; </w:t>
            </w:r>
            <w:r w:rsidRPr="00FD0816">
              <w:rPr>
                <w:sz w:val="20"/>
                <w:szCs w:val="20"/>
                <w:lang w:val="fr-FR"/>
              </w:rPr>
              <w:t>0,78)</w:t>
            </w:r>
          </w:p>
        </w:tc>
      </w:tr>
      <w:tr w:rsidR="00995FC5" w:rsidRPr="00FD0816" w14:paraId="195860A7" w14:textId="77777777" w:rsidTr="00622F9C">
        <w:trPr>
          <w:cantSplit/>
        </w:trPr>
        <w:tc>
          <w:tcPr>
            <w:tcW w:w="3654" w:type="dxa"/>
            <w:vMerge/>
          </w:tcPr>
          <w:p w14:paraId="4D79CB19" w14:textId="00895849" w:rsidR="00995FC5" w:rsidRPr="00FD0816" w:rsidRDefault="00995FC5" w:rsidP="00654D21">
            <w:pPr>
              <w:pStyle w:val="TableParagraph"/>
              <w:adjustRightInd w:val="0"/>
              <w:snapToGrid w:val="0"/>
              <w:rPr>
                <w:sz w:val="20"/>
                <w:szCs w:val="20"/>
                <w:lang w:val="fr-FR"/>
              </w:rPr>
            </w:pPr>
          </w:p>
        </w:tc>
        <w:tc>
          <w:tcPr>
            <w:tcW w:w="5636" w:type="dxa"/>
            <w:gridSpan w:val="2"/>
            <w:tcBorders>
              <w:top w:val="nil"/>
            </w:tcBorders>
          </w:tcPr>
          <w:p w14:paraId="54714B08" w14:textId="77777777" w:rsidR="00995FC5" w:rsidRPr="00FD0816" w:rsidRDefault="00995FC5" w:rsidP="00F84CEA">
            <w:pPr>
              <w:pStyle w:val="TableParagraph"/>
              <w:adjustRightInd w:val="0"/>
              <w:snapToGrid w:val="0"/>
              <w:jc w:val="center"/>
              <w:rPr>
                <w:sz w:val="20"/>
                <w:szCs w:val="20"/>
                <w:lang w:val="fr-FR"/>
              </w:rPr>
            </w:pPr>
            <w:r w:rsidRPr="00FD0816">
              <w:rPr>
                <w:sz w:val="20"/>
                <w:szCs w:val="20"/>
                <w:lang w:val="fr-FR"/>
              </w:rPr>
              <w:t>(p &lt; 0,0001)</w:t>
            </w:r>
          </w:p>
        </w:tc>
      </w:tr>
      <w:tr w:rsidR="004401F0" w:rsidRPr="000D7348" w14:paraId="4AAC56E7" w14:textId="77777777" w:rsidTr="00995FC5">
        <w:trPr>
          <w:cantSplit/>
        </w:trPr>
        <w:tc>
          <w:tcPr>
            <w:tcW w:w="3654" w:type="dxa"/>
          </w:tcPr>
          <w:p w14:paraId="6E80ABF9" w14:textId="77777777" w:rsidR="004401F0" w:rsidRPr="00FD0816" w:rsidRDefault="00DF3C4F" w:rsidP="00D27B36">
            <w:pPr>
              <w:pStyle w:val="TableParagraph"/>
              <w:adjustRightInd w:val="0"/>
              <w:snapToGrid w:val="0"/>
              <w:rPr>
                <w:b/>
                <w:sz w:val="20"/>
                <w:szCs w:val="20"/>
                <w:lang w:val="fr-FR"/>
              </w:rPr>
            </w:pPr>
            <w:r w:rsidRPr="00FD0816">
              <w:rPr>
                <w:b/>
                <w:sz w:val="20"/>
                <w:szCs w:val="20"/>
                <w:u w:val="single"/>
                <w:lang w:val="fr-FR"/>
              </w:rPr>
              <w:t>Taux de réponse objective (ORR)</w:t>
            </w:r>
          </w:p>
        </w:tc>
        <w:tc>
          <w:tcPr>
            <w:tcW w:w="5636" w:type="dxa"/>
            <w:gridSpan w:val="2"/>
          </w:tcPr>
          <w:p w14:paraId="59527055" w14:textId="77777777" w:rsidR="004401F0" w:rsidRPr="00FD0816" w:rsidRDefault="004401F0" w:rsidP="00F84CEA">
            <w:pPr>
              <w:pStyle w:val="TableParagraph"/>
              <w:adjustRightInd w:val="0"/>
              <w:snapToGrid w:val="0"/>
              <w:jc w:val="center"/>
              <w:rPr>
                <w:sz w:val="20"/>
                <w:szCs w:val="20"/>
                <w:lang w:val="fr-FR"/>
              </w:rPr>
            </w:pPr>
          </w:p>
        </w:tc>
      </w:tr>
      <w:tr w:rsidR="004401F0" w:rsidRPr="00FD0816" w14:paraId="7223CA9E" w14:textId="77777777" w:rsidTr="00995FC5">
        <w:trPr>
          <w:cantSplit/>
        </w:trPr>
        <w:tc>
          <w:tcPr>
            <w:tcW w:w="3654" w:type="dxa"/>
          </w:tcPr>
          <w:p w14:paraId="508EB695" w14:textId="77777777" w:rsidR="004401F0" w:rsidRPr="00FD0816" w:rsidRDefault="00DF3C4F" w:rsidP="00654D21">
            <w:pPr>
              <w:pStyle w:val="TableParagraph"/>
              <w:adjustRightInd w:val="0"/>
              <w:snapToGrid w:val="0"/>
              <w:rPr>
                <w:sz w:val="20"/>
                <w:szCs w:val="20"/>
                <w:lang w:val="fr-FR"/>
              </w:rPr>
            </w:pPr>
            <w:r w:rsidRPr="00FD0816">
              <w:rPr>
                <w:sz w:val="20"/>
                <w:szCs w:val="20"/>
                <w:lang w:val="fr-FR"/>
              </w:rPr>
              <w:t>Nombre de patients inclus dans l’analyse</w:t>
            </w:r>
          </w:p>
        </w:tc>
        <w:tc>
          <w:tcPr>
            <w:tcW w:w="2818" w:type="dxa"/>
          </w:tcPr>
          <w:p w14:paraId="0DFF43BB"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406</w:t>
            </w:r>
          </w:p>
        </w:tc>
        <w:tc>
          <w:tcPr>
            <w:tcW w:w="2818" w:type="dxa"/>
          </w:tcPr>
          <w:p w14:paraId="14D608FF"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404</w:t>
            </w:r>
          </w:p>
        </w:tc>
      </w:tr>
      <w:tr w:rsidR="004401F0" w:rsidRPr="00FD0816" w14:paraId="08F53642" w14:textId="77777777" w:rsidTr="00995FC5">
        <w:trPr>
          <w:cantSplit/>
        </w:trPr>
        <w:tc>
          <w:tcPr>
            <w:tcW w:w="3654" w:type="dxa"/>
          </w:tcPr>
          <w:p w14:paraId="62210123" w14:textId="77777777" w:rsidR="004401F0" w:rsidRPr="00FD0816" w:rsidRDefault="00DF3C4F" w:rsidP="00654D21">
            <w:pPr>
              <w:pStyle w:val="TableParagraph"/>
              <w:adjustRightInd w:val="0"/>
              <w:snapToGrid w:val="0"/>
              <w:rPr>
                <w:sz w:val="20"/>
                <w:szCs w:val="20"/>
                <w:lang w:val="fr-FR"/>
              </w:rPr>
            </w:pPr>
            <w:r w:rsidRPr="00FD0816">
              <w:rPr>
                <w:sz w:val="20"/>
                <w:szCs w:val="20"/>
                <w:lang w:val="fr-FR"/>
              </w:rPr>
              <w:t>Taux</w:t>
            </w:r>
          </w:p>
        </w:tc>
        <w:tc>
          <w:tcPr>
            <w:tcW w:w="2818" w:type="dxa"/>
          </w:tcPr>
          <w:p w14:paraId="273591BB"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3,9%</w:t>
            </w:r>
          </w:p>
        </w:tc>
        <w:tc>
          <w:tcPr>
            <w:tcW w:w="2818" w:type="dxa"/>
          </w:tcPr>
          <w:p w14:paraId="4D2469A1"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5,4%</w:t>
            </w:r>
          </w:p>
        </w:tc>
      </w:tr>
      <w:tr w:rsidR="004401F0" w:rsidRPr="00FD0816" w14:paraId="36E4564A" w14:textId="77777777" w:rsidTr="00995FC5">
        <w:trPr>
          <w:cantSplit/>
        </w:trPr>
        <w:tc>
          <w:tcPr>
            <w:tcW w:w="3654" w:type="dxa"/>
          </w:tcPr>
          <w:p w14:paraId="422F439D" w14:textId="77777777" w:rsidR="004401F0" w:rsidRPr="00FD0816" w:rsidRDefault="004401F0" w:rsidP="00D27B36">
            <w:pPr>
              <w:pStyle w:val="TableParagraph"/>
              <w:adjustRightInd w:val="0"/>
              <w:snapToGrid w:val="0"/>
              <w:rPr>
                <w:sz w:val="20"/>
                <w:szCs w:val="20"/>
                <w:lang w:val="fr-FR"/>
              </w:rPr>
            </w:pPr>
          </w:p>
        </w:tc>
        <w:tc>
          <w:tcPr>
            <w:tcW w:w="5636" w:type="dxa"/>
            <w:gridSpan w:val="2"/>
          </w:tcPr>
          <w:p w14:paraId="2A41BC5F"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(p = 0,3113)</w:t>
            </w:r>
          </w:p>
        </w:tc>
      </w:tr>
    </w:tbl>
    <w:p w14:paraId="70CF1D30" w14:textId="77777777" w:rsidR="004401F0" w:rsidRPr="00DA7718" w:rsidRDefault="00DF3C4F" w:rsidP="00BD4C7C">
      <w:pPr>
        <w:adjustRightInd w:val="0"/>
        <w:snapToGrid w:val="0"/>
        <w:rPr>
          <w:sz w:val="20"/>
          <w:lang w:val="fr-FR"/>
        </w:rPr>
      </w:pPr>
      <w:r w:rsidRPr="00DA7718">
        <w:rPr>
          <w:sz w:val="20"/>
          <w:vertAlign w:val="superscript"/>
          <w:lang w:val="fr-FR"/>
        </w:rPr>
        <w:t>a</w:t>
      </w:r>
      <w:r w:rsidRPr="00DA7718">
        <w:rPr>
          <w:sz w:val="20"/>
          <w:lang w:val="fr-FR"/>
        </w:rPr>
        <w:t xml:space="preserve"> 5</w:t>
      </w:r>
      <w:r w:rsidR="00DA7718" w:rsidRPr="00DA7718">
        <w:rPr>
          <w:sz w:val="20"/>
          <w:lang w:val="fr-FR"/>
        </w:rPr>
        <w:t> mg</w:t>
      </w:r>
      <w:r w:rsidRPr="00DA7718">
        <w:rPr>
          <w:sz w:val="20"/>
          <w:lang w:val="fr-FR"/>
        </w:rPr>
        <w:t>/kg toutes les 2 semaines or 7,5</w:t>
      </w:r>
      <w:r w:rsidR="00DA7718" w:rsidRPr="00DA7718">
        <w:rPr>
          <w:sz w:val="20"/>
          <w:lang w:val="fr-FR"/>
        </w:rPr>
        <w:t> mg</w:t>
      </w:r>
      <w:r w:rsidRPr="00DA7718">
        <w:rPr>
          <w:sz w:val="20"/>
          <w:lang w:val="fr-FR"/>
        </w:rPr>
        <w:t>/kg toutes les 3 semaines</w:t>
      </w:r>
    </w:p>
    <w:p w14:paraId="549F9F24" w14:textId="77777777" w:rsidR="004401F0" w:rsidRPr="00DA7718" w:rsidRDefault="004401F0" w:rsidP="00BD4C7C">
      <w:pPr>
        <w:pStyle w:val="a3"/>
        <w:adjustRightInd w:val="0"/>
        <w:snapToGrid w:val="0"/>
        <w:rPr>
          <w:lang w:val="fr-FR"/>
        </w:rPr>
      </w:pPr>
    </w:p>
    <w:p w14:paraId="0AA906B7" w14:textId="5F350303" w:rsidR="004401F0" w:rsidRPr="00DA7718" w:rsidRDefault="00DF3C4F" w:rsidP="00BD4C7C">
      <w:pPr>
        <w:pStyle w:val="a3"/>
        <w:adjustRightInd w:val="0"/>
        <w:snapToGrid w:val="0"/>
        <w:rPr>
          <w:lang w:val="fr-FR"/>
        </w:rPr>
      </w:pPr>
      <w:r w:rsidRPr="00DA7718">
        <w:rPr>
          <w:lang w:val="fr-FR"/>
        </w:rPr>
        <w:t xml:space="preserve">Des améliorations statistiquement significatives de la </w:t>
      </w:r>
      <w:r w:rsidR="00803E4E">
        <w:rPr>
          <w:lang w:val="fr-FR"/>
        </w:rPr>
        <w:t>PFS</w:t>
      </w:r>
      <w:r w:rsidRPr="00DA7718">
        <w:rPr>
          <w:lang w:val="fr-FR"/>
        </w:rPr>
        <w:t xml:space="preserve"> ont été observées. Le taux de réponse objective était faible dans les deux bras de traitement et la différence n’était pas significative.</w:t>
      </w:r>
    </w:p>
    <w:p w14:paraId="11735DC5" w14:textId="77777777" w:rsidR="004401F0" w:rsidRPr="007C119A" w:rsidRDefault="004401F0" w:rsidP="00BD4C7C">
      <w:pPr>
        <w:pStyle w:val="a3"/>
        <w:adjustRightInd w:val="0"/>
        <w:snapToGrid w:val="0"/>
        <w:rPr>
          <w:lang w:val="fr-FR"/>
        </w:rPr>
      </w:pPr>
    </w:p>
    <w:p w14:paraId="00BEEA2C" w14:textId="43589340" w:rsidR="004401F0" w:rsidRPr="00DA7718" w:rsidRDefault="00DF3C4F" w:rsidP="007F735F">
      <w:pPr>
        <w:pStyle w:val="a3"/>
        <w:adjustRightInd w:val="0"/>
        <w:snapToGrid w:val="0"/>
        <w:rPr>
          <w:lang w:val="fr-FR"/>
        </w:rPr>
      </w:pPr>
      <w:r w:rsidRPr="00DA7718">
        <w:rPr>
          <w:lang w:val="fr-FR"/>
        </w:rPr>
        <w:t>L’étude E3200 a utilisé une dose de bevacizumab équivalente à 5</w:t>
      </w:r>
      <w:r w:rsidR="00DA7718" w:rsidRPr="00DA7718">
        <w:rPr>
          <w:lang w:val="fr-FR"/>
        </w:rPr>
        <w:t> mg</w:t>
      </w:r>
      <w:r w:rsidRPr="00DA7718">
        <w:rPr>
          <w:lang w:val="fr-FR"/>
        </w:rPr>
        <w:t>/kg par semaine chez les patients naïfs de bevacizumab, alors que l’étude</w:t>
      </w:r>
      <w:r w:rsidR="00DA7718" w:rsidRPr="00DA7718">
        <w:rPr>
          <w:lang w:val="fr-FR"/>
        </w:rPr>
        <w:t> ml</w:t>
      </w:r>
      <w:r w:rsidRPr="00DA7718">
        <w:rPr>
          <w:lang w:val="fr-FR"/>
        </w:rPr>
        <w:t>18147 a utilisé une dose de bevacizumab équivalente à 2,5</w:t>
      </w:r>
      <w:r w:rsidR="00DA7718" w:rsidRPr="00DA7718">
        <w:rPr>
          <w:lang w:val="fr-FR"/>
        </w:rPr>
        <w:t> mg</w:t>
      </w:r>
      <w:r w:rsidRPr="00DA7718">
        <w:rPr>
          <w:lang w:val="fr-FR"/>
        </w:rPr>
        <w:t>/kg par semaine chez des patients pré-traités par bevacizumab. Une comparaison croisée des études sur les données d’efficacité et de tolérance est limitée en raison de différences entre ces études, plus particulièrement sur les populations de patients, l’exposition préalable au bevacizumab et les traitements de chimiothérapie. Les posologies de bevacizumab de 5</w:t>
      </w:r>
      <w:r w:rsidR="00DA7718" w:rsidRPr="00DA7718">
        <w:rPr>
          <w:lang w:val="fr-FR"/>
        </w:rPr>
        <w:t> mg</w:t>
      </w:r>
      <w:r w:rsidRPr="00DA7718">
        <w:rPr>
          <w:lang w:val="fr-FR"/>
        </w:rPr>
        <w:t>/kg par semaine et de</w:t>
      </w:r>
      <w:r w:rsidR="007F735F">
        <w:rPr>
          <w:lang w:val="fr-FR"/>
        </w:rPr>
        <w:t xml:space="preserve"> </w:t>
      </w:r>
      <w:r w:rsidRPr="00DA7718">
        <w:rPr>
          <w:lang w:val="fr-FR"/>
        </w:rPr>
        <w:t>2,5</w:t>
      </w:r>
      <w:r w:rsidR="00DA7718" w:rsidRPr="00DA7718">
        <w:rPr>
          <w:lang w:val="fr-FR"/>
        </w:rPr>
        <w:t> mg</w:t>
      </w:r>
      <w:r w:rsidRPr="00DA7718">
        <w:rPr>
          <w:lang w:val="fr-FR"/>
        </w:rPr>
        <w:t>/kg par semaine ont chacune apporté un bénéfice statistiquement significatif en ce qui concerne la survie globale (RR= 0,751 dans l’étude E3200</w:t>
      </w:r>
      <w:r w:rsidR="006B6099">
        <w:rPr>
          <w:lang w:val="fr-FR"/>
        </w:rPr>
        <w:t> </w:t>
      </w:r>
      <w:r w:rsidR="00881CB8">
        <w:rPr>
          <w:lang w:val="fr-FR"/>
        </w:rPr>
        <w:t xml:space="preserve">; </w:t>
      </w:r>
      <w:r w:rsidRPr="00DA7718">
        <w:rPr>
          <w:lang w:val="fr-FR"/>
        </w:rPr>
        <w:t>RR = 0,81 dans l’étude</w:t>
      </w:r>
      <w:r w:rsidR="00DA7718" w:rsidRPr="00DA7718">
        <w:rPr>
          <w:lang w:val="fr-FR"/>
        </w:rPr>
        <w:t> ml</w:t>
      </w:r>
      <w:r w:rsidRPr="00DA7718">
        <w:rPr>
          <w:lang w:val="fr-FR"/>
        </w:rPr>
        <w:t>18147) et la survie sans progression (RR= 0,518 dans l’étude E3200</w:t>
      </w:r>
      <w:r w:rsidR="006B6099">
        <w:rPr>
          <w:lang w:val="fr-FR"/>
        </w:rPr>
        <w:t> </w:t>
      </w:r>
      <w:r w:rsidR="00881CB8">
        <w:rPr>
          <w:lang w:val="fr-FR"/>
        </w:rPr>
        <w:t xml:space="preserve">; </w:t>
      </w:r>
      <w:r w:rsidRPr="00DA7718">
        <w:rPr>
          <w:lang w:val="fr-FR"/>
        </w:rPr>
        <w:t>RR= 0,68 dans l’étude</w:t>
      </w:r>
      <w:r w:rsidR="00DA7718" w:rsidRPr="00DA7718">
        <w:rPr>
          <w:lang w:val="fr-FR"/>
        </w:rPr>
        <w:t> ml</w:t>
      </w:r>
      <w:r w:rsidRPr="00DA7718">
        <w:rPr>
          <w:lang w:val="fr-FR"/>
        </w:rPr>
        <w:t>18147). En termes de tolérance, l’incidence globale des effets indésirables de grades 3 à 5 a été plus élevée dans l’étude E3200 que dans l’étude</w:t>
      </w:r>
      <w:r w:rsidR="00DA7718" w:rsidRPr="00DA7718">
        <w:rPr>
          <w:lang w:val="fr-FR"/>
        </w:rPr>
        <w:t> ml</w:t>
      </w:r>
      <w:r w:rsidRPr="00DA7718">
        <w:rPr>
          <w:lang w:val="fr-FR"/>
        </w:rPr>
        <w:t>18147.</w:t>
      </w:r>
    </w:p>
    <w:p w14:paraId="372A442B" w14:textId="77777777" w:rsidR="004401F0" w:rsidRPr="007C119A" w:rsidRDefault="004401F0" w:rsidP="00BD4C7C">
      <w:pPr>
        <w:pStyle w:val="a3"/>
        <w:adjustRightInd w:val="0"/>
        <w:snapToGrid w:val="0"/>
        <w:rPr>
          <w:lang w:val="fr-FR"/>
        </w:rPr>
      </w:pPr>
    </w:p>
    <w:p w14:paraId="6B860993" w14:textId="77777777" w:rsidR="004401F0" w:rsidRPr="00DA7718" w:rsidRDefault="00DF3C4F" w:rsidP="00BD4C7C">
      <w:pPr>
        <w:adjustRightInd w:val="0"/>
        <w:snapToGrid w:val="0"/>
        <w:rPr>
          <w:i/>
          <w:lang w:val="fr-FR"/>
        </w:rPr>
      </w:pPr>
      <w:r w:rsidRPr="00DA7718">
        <w:rPr>
          <w:i/>
          <w:u w:val="single"/>
          <w:lang w:val="fr-FR"/>
        </w:rPr>
        <w:t>Cancer du sein métastatique (CSm)</w:t>
      </w:r>
    </w:p>
    <w:p w14:paraId="102A3D8C" w14:textId="77777777" w:rsidR="004401F0" w:rsidRPr="003F4D24" w:rsidRDefault="004401F0" w:rsidP="00BD4C7C">
      <w:pPr>
        <w:pStyle w:val="a3"/>
        <w:adjustRightInd w:val="0"/>
        <w:snapToGrid w:val="0"/>
        <w:rPr>
          <w:i/>
          <w:lang w:val="fr-FR"/>
        </w:rPr>
      </w:pPr>
    </w:p>
    <w:p w14:paraId="3F87E220" w14:textId="397177A2" w:rsidR="004401F0" w:rsidRPr="00DA7718" w:rsidRDefault="00DF3C4F" w:rsidP="00BD4C7C">
      <w:pPr>
        <w:pStyle w:val="a3"/>
        <w:adjustRightInd w:val="0"/>
        <w:snapToGrid w:val="0"/>
        <w:rPr>
          <w:lang w:val="fr-FR"/>
        </w:rPr>
      </w:pPr>
      <w:r w:rsidRPr="00DA7718">
        <w:rPr>
          <w:lang w:val="fr-FR"/>
        </w:rPr>
        <w:t xml:space="preserve">Deux larges études de phase III avaient pour objectif d’évaluer l’effet </w:t>
      </w:r>
      <w:r w:rsidR="00E53EEE">
        <w:rPr>
          <w:lang w:val="fr-FR"/>
        </w:rPr>
        <w:t>du bevacizumab</w:t>
      </w:r>
      <w:r w:rsidR="00E53EEE" w:rsidRPr="00DA7718">
        <w:rPr>
          <w:lang w:val="fr-FR"/>
        </w:rPr>
        <w:t xml:space="preserve"> </w:t>
      </w:r>
      <w:r w:rsidRPr="00DA7718">
        <w:rPr>
          <w:lang w:val="fr-FR"/>
        </w:rPr>
        <w:t>en association à deux chimiothérapies distinctes, avec comme critère principal</w:t>
      </w:r>
      <w:r w:rsidR="006B6099">
        <w:rPr>
          <w:lang w:val="fr-FR"/>
        </w:rPr>
        <w:t> </w:t>
      </w:r>
      <w:r w:rsidR="00765A43">
        <w:rPr>
          <w:lang w:val="fr-FR"/>
        </w:rPr>
        <w:t xml:space="preserve">: </w:t>
      </w:r>
      <w:r w:rsidRPr="00DA7718">
        <w:rPr>
          <w:lang w:val="fr-FR"/>
        </w:rPr>
        <w:t>la Survie Sans Progression (PFS). Une amélioration cliniquement pertinente et statistiquement significative de la PFS a été observée dans chacune des deux études.</w:t>
      </w:r>
    </w:p>
    <w:p w14:paraId="5AFABD4A" w14:textId="77777777" w:rsidR="00BD4C7C" w:rsidRPr="00DA7718" w:rsidRDefault="00BD4C7C" w:rsidP="00BD4C7C">
      <w:pPr>
        <w:adjustRightInd w:val="0"/>
        <w:snapToGrid w:val="0"/>
        <w:rPr>
          <w:lang w:val="fr-FR"/>
        </w:rPr>
      </w:pPr>
    </w:p>
    <w:p w14:paraId="603CADA7" w14:textId="51074237" w:rsidR="004401F0" w:rsidRPr="00DA7718" w:rsidRDefault="00DF3C4F" w:rsidP="00BD4C7C">
      <w:pPr>
        <w:pStyle w:val="a3"/>
        <w:adjustRightInd w:val="0"/>
        <w:snapToGrid w:val="0"/>
        <w:rPr>
          <w:lang w:val="fr-FR"/>
        </w:rPr>
      </w:pPr>
      <w:r w:rsidRPr="00DA7718">
        <w:rPr>
          <w:lang w:val="fr-FR"/>
        </w:rPr>
        <w:t>Les résultats de PFS pour chaque chimiothérapie de l’indication sont résumés ci-dessous</w:t>
      </w:r>
      <w:r w:rsidR="006B6099">
        <w:rPr>
          <w:lang w:val="fr-FR"/>
        </w:rPr>
        <w:t> </w:t>
      </w:r>
      <w:r w:rsidRPr="00DA7718">
        <w:rPr>
          <w:lang w:val="fr-FR"/>
        </w:rPr>
        <w:t>:</w:t>
      </w:r>
    </w:p>
    <w:p w14:paraId="12DEBD7B" w14:textId="77777777" w:rsidR="004401F0" w:rsidRPr="00DA7718" w:rsidRDefault="004401F0" w:rsidP="00BD4C7C">
      <w:pPr>
        <w:pStyle w:val="a3"/>
        <w:adjustRightInd w:val="0"/>
        <w:snapToGrid w:val="0"/>
        <w:rPr>
          <w:lang w:val="fr-FR"/>
        </w:rPr>
      </w:pPr>
    </w:p>
    <w:p w14:paraId="0617DB0C" w14:textId="77777777" w:rsidR="004401F0" w:rsidRPr="00DA7718" w:rsidRDefault="00BD4C7C" w:rsidP="00F84CEA">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Etude E2100 (paclitaxel)</w:t>
      </w:r>
    </w:p>
    <w:p w14:paraId="5C3B1A26" w14:textId="563C57BE" w:rsidR="004401F0" w:rsidRPr="00DA7718" w:rsidRDefault="00BD4C7C" w:rsidP="00654D21">
      <w:pPr>
        <w:adjustRightInd w:val="0"/>
        <w:snapToGrid w:val="0"/>
        <w:ind w:left="1260" w:hanging="450"/>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 xml:space="preserve">Augmentation de la médiane de PFS de 5,6 mois, risque relatif 0,421 </w:t>
      </w:r>
      <w:r w:rsidR="003B4A10">
        <w:rPr>
          <w:lang w:val="fr-FR"/>
        </w:rPr>
        <w:br/>
      </w:r>
      <w:r w:rsidR="00DF3C4F" w:rsidRPr="00DA7718">
        <w:rPr>
          <w:lang w:val="fr-FR"/>
        </w:rPr>
        <w:t xml:space="preserve">(p&lt; 0,0001, </w:t>
      </w:r>
      <w:r w:rsidR="000C04D4" w:rsidRPr="00DA7718">
        <w:rPr>
          <w:lang w:val="fr-FR"/>
        </w:rPr>
        <w:t>IC</w:t>
      </w:r>
      <w:r w:rsidR="000C04D4">
        <w:rPr>
          <w:lang w:val="fr-FR"/>
        </w:rPr>
        <w:t> </w:t>
      </w:r>
      <w:r w:rsidR="00DF3C4F" w:rsidRPr="00DA7718">
        <w:rPr>
          <w:lang w:val="fr-FR"/>
        </w:rPr>
        <w:t>95</w:t>
      </w:r>
      <w:r w:rsidR="000C04D4" w:rsidRPr="00DA7718">
        <w:rPr>
          <w:lang w:val="fr-FR"/>
        </w:rPr>
        <w:t>%</w:t>
      </w:r>
      <w:r w:rsidR="006B6099">
        <w:rPr>
          <w:lang w:val="fr-FR"/>
        </w:rPr>
        <w:t> </w:t>
      </w:r>
      <w:r w:rsidR="00765A43">
        <w:rPr>
          <w:lang w:val="fr-FR"/>
        </w:rPr>
        <w:t xml:space="preserve">: </w:t>
      </w:r>
      <w:r w:rsidR="00DF3C4F" w:rsidRPr="00DA7718">
        <w:rPr>
          <w:lang w:val="fr-FR"/>
        </w:rPr>
        <w:t>[0,343</w:t>
      </w:r>
      <w:r w:rsidR="006B6099">
        <w:rPr>
          <w:lang w:val="fr-FR"/>
        </w:rPr>
        <w:t> </w:t>
      </w:r>
      <w:r w:rsidR="00881CB8">
        <w:rPr>
          <w:lang w:val="fr-FR"/>
        </w:rPr>
        <w:t xml:space="preserve">; </w:t>
      </w:r>
      <w:r w:rsidR="00DF3C4F" w:rsidRPr="00DA7718">
        <w:rPr>
          <w:lang w:val="fr-FR"/>
        </w:rPr>
        <w:t>0,516])</w:t>
      </w:r>
    </w:p>
    <w:p w14:paraId="626705E2" w14:textId="77777777" w:rsidR="004401F0" w:rsidRPr="00DA7718" w:rsidRDefault="00BD4C7C" w:rsidP="00F84CEA">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Etude AVF3694g (capécitabine)</w:t>
      </w:r>
    </w:p>
    <w:p w14:paraId="2559A664" w14:textId="47709804" w:rsidR="004401F0" w:rsidRPr="00DA7718" w:rsidRDefault="00BD4C7C" w:rsidP="00654D21">
      <w:pPr>
        <w:adjustRightInd w:val="0"/>
        <w:snapToGrid w:val="0"/>
        <w:ind w:left="1260" w:hanging="450"/>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 xml:space="preserve">Augmentation de la médiane de PFS 2,9 mois, risque relatif 0,69 </w:t>
      </w:r>
      <w:r w:rsidR="003B4A10">
        <w:rPr>
          <w:lang w:val="fr-FR"/>
        </w:rPr>
        <w:br/>
      </w:r>
      <w:r w:rsidR="00DF3C4F" w:rsidRPr="00DA7718">
        <w:rPr>
          <w:lang w:val="fr-FR"/>
        </w:rPr>
        <w:t>(p=0,0002, IC 95%</w:t>
      </w:r>
      <w:r w:rsidR="006B6099">
        <w:rPr>
          <w:lang w:val="fr-FR"/>
        </w:rPr>
        <w:t> </w:t>
      </w:r>
      <w:r w:rsidR="00765A43">
        <w:rPr>
          <w:lang w:val="fr-FR"/>
        </w:rPr>
        <w:t xml:space="preserve">: </w:t>
      </w:r>
      <w:r w:rsidR="00DF3C4F" w:rsidRPr="00DA7718">
        <w:rPr>
          <w:lang w:val="fr-FR"/>
        </w:rPr>
        <w:t>[0,56</w:t>
      </w:r>
      <w:r w:rsidR="006B6099">
        <w:rPr>
          <w:lang w:val="fr-FR"/>
        </w:rPr>
        <w:t> </w:t>
      </w:r>
      <w:r w:rsidR="00881CB8">
        <w:rPr>
          <w:lang w:val="fr-FR"/>
        </w:rPr>
        <w:t xml:space="preserve">; </w:t>
      </w:r>
      <w:r w:rsidR="00DF3C4F" w:rsidRPr="00DA7718">
        <w:rPr>
          <w:lang w:val="fr-FR"/>
        </w:rPr>
        <w:t>0,84])</w:t>
      </w:r>
    </w:p>
    <w:p w14:paraId="5160EC2B" w14:textId="77777777" w:rsidR="006B6099" w:rsidRPr="007C119A" w:rsidRDefault="006B6099" w:rsidP="00BD4C7C">
      <w:pPr>
        <w:pStyle w:val="a3"/>
        <w:adjustRightInd w:val="0"/>
        <w:snapToGrid w:val="0"/>
        <w:rPr>
          <w:lang w:val="fr-FR"/>
        </w:rPr>
      </w:pPr>
    </w:p>
    <w:p w14:paraId="6E228E20" w14:textId="77777777" w:rsidR="004401F0" w:rsidRPr="00DA7718" w:rsidRDefault="00DF3C4F" w:rsidP="00BD4C7C">
      <w:pPr>
        <w:pStyle w:val="a3"/>
        <w:adjustRightInd w:val="0"/>
        <w:snapToGrid w:val="0"/>
        <w:rPr>
          <w:lang w:val="fr-FR"/>
        </w:rPr>
      </w:pPr>
      <w:r w:rsidRPr="00DA7718">
        <w:rPr>
          <w:lang w:val="fr-FR"/>
        </w:rPr>
        <w:lastRenderedPageBreak/>
        <w:t>Des informations complémentaires sur chaque étude sont présentées ci-dessous.</w:t>
      </w:r>
    </w:p>
    <w:p w14:paraId="3EB35025" w14:textId="77777777" w:rsidR="004401F0" w:rsidRPr="007C119A" w:rsidRDefault="004401F0" w:rsidP="00BD4C7C">
      <w:pPr>
        <w:pStyle w:val="a3"/>
        <w:adjustRightInd w:val="0"/>
        <w:snapToGrid w:val="0"/>
        <w:rPr>
          <w:lang w:val="fr-FR"/>
        </w:rPr>
      </w:pPr>
    </w:p>
    <w:p w14:paraId="0016724A" w14:textId="77777777" w:rsidR="004401F0" w:rsidRPr="00DA7718" w:rsidRDefault="00DF3C4F" w:rsidP="00654D21">
      <w:pPr>
        <w:keepNext/>
        <w:keepLines/>
        <w:adjustRightInd w:val="0"/>
        <w:snapToGrid w:val="0"/>
        <w:rPr>
          <w:i/>
          <w:lang w:val="fr-FR"/>
        </w:rPr>
      </w:pPr>
      <w:r w:rsidRPr="00DA7718">
        <w:rPr>
          <w:i/>
          <w:lang w:val="fr-FR"/>
        </w:rPr>
        <w:t>ECOG E2100</w:t>
      </w:r>
    </w:p>
    <w:p w14:paraId="29C43EC8" w14:textId="217FED07" w:rsidR="004401F0" w:rsidRPr="00DA7718" w:rsidRDefault="00DF3C4F" w:rsidP="00654D21">
      <w:pPr>
        <w:pStyle w:val="a3"/>
        <w:keepNext/>
        <w:keepLines/>
        <w:adjustRightInd w:val="0"/>
        <w:snapToGrid w:val="0"/>
        <w:rPr>
          <w:lang w:val="fr-FR"/>
        </w:rPr>
      </w:pPr>
      <w:r w:rsidRPr="00DA7718">
        <w:rPr>
          <w:lang w:val="fr-FR"/>
        </w:rPr>
        <w:t xml:space="preserve">L’étude E2100 était une étude ouverte, randomisée, contrôlée, multicentrique, évaluant </w:t>
      </w:r>
      <w:r w:rsidR="00E53EEE">
        <w:rPr>
          <w:lang w:val="fr-FR"/>
        </w:rPr>
        <w:t>le bevacizumab</w:t>
      </w:r>
      <w:r w:rsidR="00E53EEE" w:rsidRPr="00DA7718">
        <w:rPr>
          <w:lang w:val="fr-FR"/>
        </w:rPr>
        <w:t xml:space="preserve"> </w:t>
      </w:r>
      <w:r w:rsidRPr="00DA7718">
        <w:rPr>
          <w:lang w:val="fr-FR"/>
        </w:rPr>
        <w:t>en association au paclitaxel en première ligne de traitement des patients atteints de cancers du sein métastatique ou en rechute locale et n’ayant pas reçu de chimiothérapie antérieure pour leur maladie métastatique ou en rechute locale. Les patients étaient randomisés pour recevoir soit du paclitaxel seul (90</w:t>
      </w:r>
      <w:r w:rsidR="00DA7718" w:rsidRPr="00DA7718">
        <w:rPr>
          <w:lang w:val="fr-FR"/>
        </w:rPr>
        <w:t> mg</w:t>
      </w:r>
      <w:r w:rsidRPr="00DA7718">
        <w:rPr>
          <w:lang w:val="fr-FR"/>
        </w:rPr>
        <w:t xml:space="preserve">/m² en </w:t>
      </w:r>
      <w:r w:rsidR="00143779">
        <w:rPr>
          <w:lang w:val="fr-FR"/>
        </w:rPr>
        <w:t xml:space="preserve">perfusion </w:t>
      </w:r>
      <w:r w:rsidR="00467939">
        <w:rPr>
          <w:lang w:val="fr-FR"/>
        </w:rPr>
        <w:t>intraveineuse</w:t>
      </w:r>
      <w:r w:rsidRPr="00DA7718">
        <w:rPr>
          <w:lang w:val="fr-FR"/>
        </w:rPr>
        <w:t xml:space="preserve"> d’1 heure une fois par semaine 3 semaines sur 4) soit du paclitaxel en association </w:t>
      </w:r>
      <w:r w:rsidR="00467939">
        <w:rPr>
          <w:lang w:val="fr-FR"/>
        </w:rPr>
        <w:t>au bevacizumab</w:t>
      </w:r>
      <w:r w:rsidR="00467939" w:rsidRPr="00DA7718">
        <w:rPr>
          <w:lang w:val="fr-FR"/>
        </w:rPr>
        <w:t xml:space="preserve"> </w:t>
      </w:r>
      <w:r w:rsidRPr="00DA7718">
        <w:rPr>
          <w:lang w:val="fr-FR"/>
        </w:rPr>
        <w:t>(10</w:t>
      </w:r>
      <w:r w:rsidR="00DA7718" w:rsidRPr="00DA7718">
        <w:rPr>
          <w:lang w:val="fr-FR"/>
        </w:rPr>
        <w:t> mg</w:t>
      </w:r>
      <w:r w:rsidRPr="00DA7718">
        <w:rPr>
          <w:lang w:val="fr-FR"/>
        </w:rPr>
        <w:t xml:space="preserve">/kg en </w:t>
      </w:r>
      <w:r w:rsidR="00143779">
        <w:rPr>
          <w:lang w:val="fr-FR"/>
        </w:rPr>
        <w:t xml:space="preserve">perfusion </w:t>
      </w:r>
      <w:r w:rsidR="00467939">
        <w:rPr>
          <w:lang w:val="fr-FR"/>
        </w:rPr>
        <w:t>intraveineuse</w:t>
      </w:r>
      <w:r w:rsidRPr="00DA7718">
        <w:rPr>
          <w:lang w:val="fr-FR"/>
        </w:rPr>
        <w:t xml:space="preserve"> toutes les </w:t>
      </w:r>
      <w:r w:rsidR="007F735F" w:rsidRPr="00DA7718">
        <w:rPr>
          <w:lang w:val="fr-FR"/>
        </w:rPr>
        <w:t>2</w:t>
      </w:r>
      <w:r w:rsidR="007F735F">
        <w:rPr>
          <w:lang w:val="fr-FR"/>
        </w:rPr>
        <w:t> </w:t>
      </w:r>
      <w:r w:rsidRPr="00DA7718">
        <w:rPr>
          <w:lang w:val="fr-FR"/>
        </w:rPr>
        <w:t xml:space="preserve">semaines). Un traitement antérieur de la maladie métastatique par hormonothérapie était autorisé. </w:t>
      </w:r>
      <w:r w:rsidR="007F735F" w:rsidRPr="00DA7718">
        <w:rPr>
          <w:lang w:val="fr-FR"/>
        </w:rPr>
        <w:t>Un</w:t>
      </w:r>
      <w:r w:rsidR="007F735F">
        <w:rPr>
          <w:lang w:val="fr-FR"/>
        </w:rPr>
        <w:t> </w:t>
      </w:r>
      <w:r w:rsidRPr="00DA7718">
        <w:rPr>
          <w:lang w:val="fr-FR"/>
        </w:rPr>
        <w:t xml:space="preserve">traitement adjuvant antérieur par taxane était autorisé, uniquement s’il avait été terminé au moins </w:t>
      </w:r>
      <w:r w:rsidR="007F735F" w:rsidRPr="00DA7718">
        <w:rPr>
          <w:lang w:val="fr-FR"/>
        </w:rPr>
        <w:t>12</w:t>
      </w:r>
      <w:r w:rsidR="007F735F">
        <w:rPr>
          <w:lang w:val="fr-FR"/>
        </w:rPr>
        <w:t> </w:t>
      </w:r>
      <w:r w:rsidRPr="00DA7718">
        <w:rPr>
          <w:lang w:val="fr-FR"/>
        </w:rPr>
        <w:t>mois avant l’entrée dans l’étude. Parmi les 722 patients de l’étude, la majorité (90 %) avait un statut HER2-négatif. Un petit nombre de patients avait un statut inconnu (8 %) ou un statut HER2-positif confirmé (2 %) et avait été précédemment traité par trastuzumab ou considéré comme non éligible au trastuzumab. Par ailleurs, 65</w:t>
      </w:r>
      <w:r w:rsidR="00AF3AAA">
        <w:rPr>
          <w:lang w:val="fr-FR"/>
        </w:rPr>
        <w:t xml:space="preserve"> % </w:t>
      </w:r>
      <w:r w:rsidRPr="00DA7718">
        <w:rPr>
          <w:lang w:val="fr-FR"/>
        </w:rPr>
        <w:t>des patients avaient reçu une chimiothérapie adjuvante comportant des taxanes (19 %) et des anthracyclines</w:t>
      </w:r>
      <w:r w:rsidR="00563507">
        <w:rPr>
          <w:lang w:val="fr-FR"/>
        </w:rPr>
        <w:t xml:space="preserve"> </w:t>
      </w:r>
      <w:r w:rsidRPr="00DA7718">
        <w:rPr>
          <w:lang w:val="fr-FR"/>
        </w:rPr>
        <w:t>(49 %). Les patients avec des métastases du système nerveux central, y compris celles antérieurement traitées ou opérées étaient exclus.</w:t>
      </w:r>
    </w:p>
    <w:p w14:paraId="68A94B9B" w14:textId="77777777" w:rsidR="004401F0" w:rsidRPr="00DA7718" w:rsidRDefault="004401F0" w:rsidP="00BD4C7C">
      <w:pPr>
        <w:pStyle w:val="a3"/>
        <w:adjustRightInd w:val="0"/>
        <w:snapToGrid w:val="0"/>
        <w:rPr>
          <w:lang w:val="fr-FR"/>
        </w:rPr>
      </w:pPr>
    </w:p>
    <w:p w14:paraId="41C6680E" w14:textId="09D9BC4A" w:rsidR="004401F0" w:rsidRPr="00DA7718" w:rsidRDefault="00DF3C4F" w:rsidP="00BD4C7C">
      <w:pPr>
        <w:pStyle w:val="a3"/>
        <w:adjustRightInd w:val="0"/>
        <w:snapToGrid w:val="0"/>
        <w:rPr>
          <w:lang w:val="fr-FR"/>
        </w:rPr>
      </w:pPr>
      <w:r w:rsidRPr="00DA7718">
        <w:rPr>
          <w:lang w:val="fr-FR"/>
        </w:rPr>
        <w:t xml:space="preserve">Dans l’étude E2100, les patients étaient traités jusqu’à progression de la maladie. Dans les cas où un arrêt prématuré de la chimiothérapie était nécessaire, le traitement par </w:t>
      </w:r>
      <w:r w:rsidR="00467939">
        <w:rPr>
          <w:lang w:val="fr-FR"/>
        </w:rPr>
        <w:t>bevacizumab</w:t>
      </w:r>
      <w:r w:rsidRPr="00DA7718">
        <w:rPr>
          <w:lang w:val="fr-FR"/>
        </w:rPr>
        <w:t xml:space="preserve"> en monothérapie était poursuivi jusqu’à progression de la maladie. Les caractéristiques des patients étaient similaires dans les deux bras de traitement. L’objectif principal de l’étude était la PFS, selon une évaluation de la progression de la maladie faite par les investigateurs de l’étude. De plus, une revue indépendante du critère principal a également été réalisée. Les résultats de cette étude sont présentés dans le tableau 10.</w:t>
      </w:r>
    </w:p>
    <w:p w14:paraId="7392A664" w14:textId="77777777" w:rsidR="00BD4C7C" w:rsidRPr="00DA7718" w:rsidRDefault="00BD4C7C" w:rsidP="00BD4C7C">
      <w:pPr>
        <w:adjustRightInd w:val="0"/>
        <w:snapToGrid w:val="0"/>
        <w:rPr>
          <w:lang w:val="fr-FR"/>
        </w:rPr>
      </w:pPr>
    </w:p>
    <w:p w14:paraId="5C064B34" w14:textId="77777777" w:rsidR="004401F0" w:rsidRPr="00E13189" w:rsidRDefault="00DF3C4F" w:rsidP="00E13189">
      <w:pPr>
        <w:ind w:left="1276" w:hanging="1276"/>
        <w:rPr>
          <w:b/>
          <w:bCs/>
          <w:lang w:val="fr-FR"/>
        </w:rPr>
      </w:pPr>
      <w:r w:rsidRPr="00E13189">
        <w:rPr>
          <w:b/>
          <w:bCs/>
          <w:lang w:val="fr-FR"/>
        </w:rPr>
        <w:t>Tableau 10</w:t>
      </w:r>
      <w:r w:rsidRPr="00E13189">
        <w:rPr>
          <w:b/>
          <w:bCs/>
          <w:lang w:val="fr-FR"/>
        </w:rPr>
        <w:tab/>
        <w:t>Résultats d’efficacité dans l’étude E2100 :</w:t>
      </w:r>
    </w:p>
    <w:p w14:paraId="787FF3E9" w14:textId="77777777" w:rsidR="004401F0" w:rsidRPr="00DA7718" w:rsidRDefault="004401F0" w:rsidP="00BD4C7C">
      <w:pPr>
        <w:pStyle w:val="a3"/>
        <w:adjustRightInd w:val="0"/>
        <w:snapToGrid w:val="0"/>
        <w:rPr>
          <w:b/>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6"/>
        <w:gridCol w:w="1471"/>
        <w:gridCol w:w="1969"/>
        <w:gridCol w:w="1471"/>
        <w:gridCol w:w="1837"/>
      </w:tblGrid>
      <w:tr w:rsidR="004401F0" w:rsidRPr="00FD0816" w14:paraId="784DC23A" w14:textId="77777777" w:rsidTr="00FD0816">
        <w:trPr>
          <w:cantSplit/>
        </w:trPr>
        <w:tc>
          <w:tcPr>
            <w:tcW w:w="9290" w:type="dxa"/>
            <w:gridSpan w:val="5"/>
          </w:tcPr>
          <w:p w14:paraId="5FBD32AB" w14:textId="77777777" w:rsidR="004401F0" w:rsidRPr="00F84CEA" w:rsidRDefault="00DF3C4F" w:rsidP="00F84CEA">
            <w:pPr>
              <w:pStyle w:val="TableParagraph"/>
              <w:adjustRightInd w:val="0"/>
              <w:snapToGrid w:val="0"/>
              <w:jc w:val="center"/>
              <w:rPr>
                <w:b/>
                <w:bCs/>
                <w:sz w:val="20"/>
                <w:szCs w:val="20"/>
                <w:lang w:val="fr-FR"/>
              </w:rPr>
            </w:pPr>
            <w:r w:rsidRPr="00F84CEA">
              <w:rPr>
                <w:b/>
                <w:bCs/>
                <w:sz w:val="20"/>
                <w:szCs w:val="20"/>
                <w:lang w:val="fr-FR"/>
              </w:rPr>
              <w:t>Survie Sans Progression</w:t>
            </w:r>
          </w:p>
        </w:tc>
      </w:tr>
      <w:tr w:rsidR="004401F0" w:rsidRPr="00BF2036" w14:paraId="70D39E5A" w14:textId="77777777" w:rsidTr="00FD0816">
        <w:trPr>
          <w:cantSplit/>
        </w:trPr>
        <w:tc>
          <w:tcPr>
            <w:tcW w:w="2376" w:type="dxa"/>
          </w:tcPr>
          <w:p w14:paraId="5A2131CA" w14:textId="77777777" w:rsidR="004401F0" w:rsidRPr="00F84CEA" w:rsidRDefault="004401F0" w:rsidP="00F84CEA">
            <w:pPr>
              <w:pStyle w:val="TableParagraph"/>
              <w:adjustRightInd w:val="0"/>
              <w:snapToGrid w:val="0"/>
              <w:jc w:val="center"/>
              <w:rPr>
                <w:b/>
                <w:bCs/>
                <w:sz w:val="20"/>
                <w:szCs w:val="20"/>
                <w:lang w:val="fr-FR"/>
              </w:rPr>
            </w:pPr>
          </w:p>
        </w:tc>
        <w:tc>
          <w:tcPr>
            <w:tcW w:w="3525" w:type="dxa"/>
            <w:gridSpan w:val="2"/>
          </w:tcPr>
          <w:p w14:paraId="46800300" w14:textId="77777777" w:rsidR="004401F0" w:rsidRPr="00F84CEA" w:rsidRDefault="00DF3C4F" w:rsidP="00F84CEA">
            <w:pPr>
              <w:pStyle w:val="TableParagraph"/>
              <w:adjustRightInd w:val="0"/>
              <w:snapToGrid w:val="0"/>
              <w:jc w:val="center"/>
              <w:rPr>
                <w:b/>
                <w:bCs/>
                <w:sz w:val="20"/>
                <w:szCs w:val="20"/>
                <w:lang w:val="fr-FR"/>
              </w:rPr>
            </w:pPr>
            <w:r w:rsidRPr="00F84CEA">
              <w:rPr>
                <w:b/>
                <w:bCs/>
                <w:sz w:val="20"/>
                <w:szCs w:val="20"/>
                <w:lang w:val="fr-FR"/>
              </w:rPr>
              <w:t>Evaluation des investigateurs*</w:t>
            </w:r>
          </w:p>
        </w:tc>
        <w:tc>
          <w:tcPr>
            <w:tcW w:w="3389" w:type="dxa"/>
            <w:gridSpan w:val="2"/>
          </w:tcPr>
          <w:p w14:paraId="37FFF111" w14:textId="77777777" w:rsidR="004401F0" w:rsidRPr="00F84CEA" w:rsidRDefault="00DF3C4F" w:rsidP="00F84CEA">
            <w:pPr>
              <w:pStyle w:val="TableParagraph"/>
              <w:adjustRightInd w:val="0"/>
              <w:snapToGrid w:val="0"/>
              <w:jc w:val="center"/>
              <w:rPr>
                <w:b/>
                <w:bCs/>
                <w:sz w:val="20"/>
                <w:szCs w:val="20"/>
                <w:lang w:val="fr-FR"/>
              </w:rPr>
            </w:pPr>
            <w:r w:rsidRPr="00F84CEA">
              <w:rPr>
                <w:b/>
                <w:bCs/>
                <w:sz w:val="20"/>
                <w:szCs w:val="20"/>
                <w:lang w:val="fr-FR"/>
              </w:rPr>
              <w:t>Evaluation de la revue</w:t>
            </w:r>
          </w:p>
          <w:p w14:paraId="70CFD963" w14:textId="77777777" w:rsidR="004401F0" w:rsidRPr="00F84CEA" w:rsidRDefault="00DF3C4F" w:rsidP="00F84CEA">
            <w:pPr>
              <w:pStyle w:val="TableParagraph"/>
              <w:adjustRightInd w:val="0"/>
              <w:snapToGrid w:val="0"/>
              <w:jc w:val="center"/>
              <w:rPr>
                <w:b/>
                <w:bCs/>
                <w:sz w:val="20"/>
                <w:szCs w:val="20"/>
                <w:lang w:val="fr-FR"/>
              </w:rPr>
            </w:pPr>
            <w:r w:rsidRPr="00F84CEA">
              <w:rPr>
                <w:b/>
                <w:bCs/>
                <w:sz w:val="20"/>
                <w:szCs w:val="20"/>
                <w:lang w:val="fr-FR"/>
              </w:rPr>
              <w:t>indépendante</w:t>
            </w:r>
          </w:p>
        </w:tc>
      </w:tr>
      <w:tr w:rsidR="004401F0" w:rsidRPr="00FD0816" w14:paraId="7BF28A0E" w14:textId="77777777" w:rsidTr="00FD0816">
        <w:trPr>
          <w:cantSplit/>
        </w:trPr>
        <w:tc>
          <w:tcPr>
            <w:tcW w:w="2376" w:type="dxa"/>
          </w:tcPr>
          <w:p w14:paraId="016ED869" w14:textId="77777777" w:rsidR="004401F0" w:rsidRPr="00FD0816" w:rsidRDefault="004401F0" w:rsidP="00FD0816">
            <w:pPr>
              <w:pStyle w:val="TableParagraph"/>
              <w:adjustRightInd w:val="0"/>
              <w:snapToGrid w:val="0"/>
              <w:rPr>
                <w:sz w:val="20"/>
                <w:szCs w:val="20"/>
                <w:lang w:val="fr-FR"/>
              </w:rPr>
            </w:pPr>
          </w:p>
        </w:tc>
        <w:tc>
          <w:tcPr>
            <w:tcW w:w="1506" w:type="dxa"/>
          </w:tcPr>
          <w:p w14:paraId="1470F569"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Paclitaxel (n=354)</w:t>
            </w:r>
          </w:p>
        </w:tc>
        <w:tc>
          <w:tcPr>
            <w:tcW w:w="2019" w:type="dxa"/>
          </w:tcPr>
          <w:p w14:paraId="4C8378A3" w14:textId="3BAF2B42" w:rsidR="004401F0" w:rsidRPr="00FD0816" w:rsidRDefault="00DF3C4F" w:rsidP="002C5236">
            <w:pPr>
              <w:pStyle w:val="TableParagraph"/>
              <w:adjustRightInd w:val="0"/>
              <w:snapToGrid w:val="0"/>
              <w:jc w:val="center"/>
              <w:rPr>
                <w:sz w:val="20"/>
                <w:szCs w:val="20"/>
                <w:lang w:val="fr-FR"/>
              </w:rPr>
            </w:pPr>
            <w:r w:rsidRPr="00FD0816">
              <w:rPr>
                <w:sz w:val="20"/>
                <w:szCs w:val="20"/>
                <w:lang w:val="fr-FR"/>
              </w:rPr>
              <w:t>Paclitaxel/</w:t>
            </w:r>
            <w:r w:rsidR="00467939">
              <w:rPr>
                <w:lang w:val="fr-FR"/>
              </w:rPr>
              <w:t xml:space="preserve"> </w:t>
            </w:r>
            <w:r w:rsidR="002C5236" w:rsidRPr="00654D21">
              <w:rPr>
                <w:sz w:val="20"/>
                <w:szCs w:val="20"/>
                <w:lang w:val="fr-FR"/>
              </w:rPr>
              <w:t>B</w:t>
            </w:r>
            <w:r w:rsidR="00467939" w:rsidRPr="00654D21">
              <w:rPr>
                <w:sz w:val="20"/>
                <w:szCs w:val="20"/>
                <w:lang w:val="fr-FR"/>
              </w:rPr>
              <w:t>evacizumab</w:t>
            </w:r>
            <w:r w:rsidRPr="00FD0816">
              <w:rPr>
                <w:sz w:val="20"/>
                <w:szCs w:val="20"/>
                <w:lang w:val="fr-FR"/>
              </w:rPr>
              <w:t xml:space="preserve"> (n=368)</w:t>
            </w:r>
          </w:p>
        </w:tc>
        <w:tc>
          <w:tcPr>
            <w:tcW w:w="1506" w:type="dxa"/>
          </w:tcPr>
          <w:p w14:paraId="6AB7F318"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Paclitaxel (n=354)</w:t>
            </w:r>
          </w:p>
        </w:tc>
        <w:tc>
          <w:tcPr>
            <w:tcW w:w="1883" w:type="dxa"/>
          </w:tcPr>
          <w:p w14:paraId="2DF5DB34" w14:textId="13DC1C8F"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Paclitaxel/</w:t>
            </w:r>
            <w:r w:rsidR="0033560E">
              <w:rPr>
                <w:sz w:val="20"/>
                <w:szCs w:val="20"/>
                <w:lang w:val="fr-FR"/>
              </w:rPr>
              <w:br/>
            </w:r>
            <w:r w:rsidR="002C5236">
              <w:rPr>
                <w:sz w:val="20"/>
                <w:szCs w:val="20"/>
                <w:lang w:val="fr-FR"/>
              </w:rPr>
              <w:t>B</w:t>
            </w:r>
            <w:r w:rsidR="00467939">
              <w:rPr>
                <w:sz w:val="20"/>
                <w:szCs w:val="20"/>
                <w:lang w:val="fr-FR"/>
              </w:rPr>
              <w:t>evacizumab</w:t>
            </w:r>
          </w:p>
          <w:p w14:paraId="4BE71A8E"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(n=368)</w:t>
            </w:r>
          </w:p>
        </w:tc>
      </w:tr>
      <w:tr w:rsidR="004401F0" w:rsidRPr="00FD0816" w14:paraId="2D997B9C" w14:textId="77777777" w:rsidTr="00FD0816">
        <w:trPr>
          <w:cantSplit/>
        </w:trPr>
        <w:tc>
          <w:tcPr>
            <w:tcW w:w="2376" w:type="dxa"/>
          </w:tcPr>
          <w:p w14:paraId="05131234" w14:textId="7E406480" w:rsidR="004401F0" w:rsidRPr="00FD0816" w:rsidRDefault="00DF3C4F" w:rsidP="00F0109B">
            <w:pPr>
              <w:pStyle w:val="TableParagraph"/>
              <w:adjustRightInd w:val="0"/>
              <w:snapToGrid w:val="0"/>
              <w:jc w:val="center"/>
              <w:rPr>
                <w:sz w:val="20"/>
                <w:szCs w:val="20"/>
                <w:lang w:val="fr-FR"/>
              </w:rPr>
            </w:pPr>
            <w:r w:rsidRPr="00FD0816">
              <w:rPr>
                <w:sz w:val="20"/>
                <w:szCs w:val="20"/>
                <w:lang w:val="fr-FR"/>
              </w:rPr>
              <w:t>Survie sans progression médiane</w:t>
            </w:r>
            <w:r w:rsidR="00F0109B">
              <w:rPr>
                <w:sz w:val="20"/>
                <w:szCs w:val="20"/>
                <w:lang w:val="fr-FR"/>
              </w:rPr>
              <w:t xml:space="preserve"> </w:t>
            </w:r>
            <w:r w:rsidRPr="00FD0816">
              <w:rPr>
                <w:sz w:val="20"/>
                <w:szCs w:val="20"/>
                <w:lang w:val="fr-FR"/>
              </w:rPr>
              <w:t>(mois)</w:t>
            </w:r>
          </w:p>
        </w:tc>
        <w:tc>
          <w:tcPr>
            <w:tcW w:w="1506" w:type="dxa"/>
          </w:tcPr>
          <w:p w14:paraId="47ADFB41"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5,8</w:t>
            </w:r>
          </w:p>
        </w:tc>
        <w:tc>
          <w:tcPr>
            <w:tcW w:w="2019" w:type="dxa"/>
          </w:tcPr>
          <w:p w14:paraId="788CC673"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11,4</w:t>
            </w:r>
          </w:p>
        </w:tc>
        <w:tc>
          <w:tcPr>
            <w:tcW w:w="1506" w:type="dxa"/>
          </w:tcPr>
          <w:p w14:paraId="4BA621D0"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5,8</w:t>
            </w:r>
          </w:p>
        </w:tc>
        <w:tc>
          <w:tcPr>
            <w:tcW w:w="1883" w:type="dxa"/>
          </w:tcPr>
          <w:p w14:paraId="3F6C021A"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11,3</w:t>
            </w:r>
          </w:p>
        </w:tc>
      </w:tr>
      <w:tr w:rsidR="004401F0" w:rsidRPr="00FD0816" w14:paraId="605A9802" w14:textId="77777777" w:rsidTr="00FD0816">
        <w:trPr>
          <w:cantSplit/>
        </w:trPr>
        <w:tc>
          <w:tcPr>
            <w:tcW w:w="2376" w:type="dxa"/>
          </w:tcPr>
          <w:p w14:paraId="7427D32E" w14:textId="77777777" w:rsidR="004401F0" w:rsidRPr="00FD0816" w:rsidRDefault="00DF3C4F" w:rsidP="006B433A">
            <w:pPr>
              <w:pStyle w:val="TableParagraph"/>
              <w:adjustRightInd w:val="0"/>
              <w:snapToGrid w:val="0"/>
              <w:jc w:val="center"/>
              <w:rPr>
                <w:sz w:val="20"/>
                <w:szCs w:val="20"/>
                <w:lang w:val="fr-FR"/>
              </w:rPr>
            </w:pPr>
            <w:r w:rsidRPr="00FD0816">
              <w:rPr>
                <w:sz w:val="20"/>
                <w:szCs w:val="20"/>
                <w:lang w:val="fr-FR"/>
              </w:rPr>
              <w:t>Risque relatif</w:t>
            </w:r>
          </w:p>
          <w:p w14:paraId="36DD7ECD" w14:textId="77777777" w:rsidR="004401F0" w:rsidRPr="00FD0816" w:rsidRDefault="00DF3C4F" w:rsidP="006B433A">
            <w:pPr>
              <w:pStyle w:val="TableParagraph"/>
              <w:adjustRightInd w:val="0"/>
              <w:snapToGrid w:val="0"/>
              <w:jc w:val="center"/>
              <w:rPr>
                <w:sz w:val="20"/>
                <w:szCs w:val="20"/>
                <w:lang w:val="fr-FR"/>
              </w:rPr>
            </w:pPr>
            <w:r w:rsidRPr="00FD0816">
              <w:rPr>
                <w:sz w:val="20"/>
                <w:szCs w:val="20"/>
                <w:lang w:val="fr-FR"/>
              </w:rPr>
              <w:t>(Hazard ratio) (IC 95 %)</w:t>
            </w:r>
          </w:p>
        </w:tc>
        <w:tc>
          <w:tcPr>
            <w:tcW w:w="3525" w:type="dxa"/>
            <w:gridSpan w:val="2"/>
          </w:tcPr>
          <w:p w14:paraId="6A56584F"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0,421</w:t>
            </w:r>
          </w:p>
          <w:p w14:paraId="0D86C6BD" w14:textId="075C7871"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(0,343</w:t>
            </w:r>
            <w:r w:rsidR="00881CB8">
              <w:rPr>
                <w:sz w:val="20"/>
                <w:szCs w:val="20"/>
                <w:lang w:val="fr-FR"/>
              </w:rPr>
              <w:t xml:space="preserve"> ; </w:t>
            </w:r>
            <w:r w:rsidRPr="00FD0816">
              <w:rPr>
                <w:sz w:val="20"/>
                <w:szCs w:val="20"/>
                <w:lang w:val="fr-FR"/>
              </w:rPr>
              <w:t>0,516)</w:t>
            </w:r>
          </w:p>
        </w:tc>
        <w:tc>
          <w:tcPr>
            <w:tcW w:w="3389" w:type="dxa"/>
            <w:gridSpan w:val="2"/>
          </w:tcPr>
          <w:p w14:paraId="0682F3B1"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0,483</w:t>
            </w:r>
          </w:p>
          <w:p w14:paraId="68CB7529" w14:textId="018536EF"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(0,385</w:t>
            </w:r>
            <w:r w:rsidR="00881CB8">
              <w:rPr>
                <w:sz w:val="20"/>
                <w:szCs w:val="20"/>
                <w:lang w:val="fr-FR"/>
              </w:rPr>
              <w:t xml:space="preserve"> ; </w:t>
            </w:r>
            <w:r w:rsidRPr="00FD0816">
              <w:rPr>
                <w:sz w:val="20"/>
                <w:szCs w:val="20"/>
                <w:lang w:val="fr-FR"/>
              </w:rPr>
              <w:t>0,607)</w:t>
            </w:r>
          </w:p>
        </w:tc>
      </w:tr>
      <w:tr w:rsidR="004401F0" w:rsidRPr="00FD0816" w14:paraId="0CABCEBE" w14:textId="77777777" w:rsidTr="00FD0816">
        <w:trPr>
          <w:cantSplit/>
        </w:trPr>
        <w:tc>
          <w:tcPr>
            <w:tcW w:w="2376" w:type="dxa"/>
          </w:tcPr>
          <w:p w14:paraId="0E867712" w14:textId="77777777" w:rsidR="004401F0" w:rsidRPr="00FD0816" w:rsidRDefault="00DF3C4F" w:rsidP="006B433A">
            <w:pPr>
              <w:pStyle w:val="TableParagraph"/>
              <w:adjustRightInd w:val="0"/>
              <w:snapToGrid w:val="0"/>
              <w:jc w:val="center"/>
              <w:rPr>
                <w:sz w:val="20"/>
                <w:szCs w:val="20"/>
                <w:lang w:val="fr-FR"/>
              </w:rPr>
            </w:pPr>
            <w:r w:rsidRPr="00FD0816">
              <w:rPr>
                <w:sz w:val="20"/>
                <w:szCs w:val="20"/>
                <w:lang w:val="fr-FR"/>
              </w:rPr>
              <w:t>Valeur du p</w:t>
            </w:r>
          </w:p>
        </w:tc>
        <w:tc>
          <w:tcPr>
            <w:tcW w:w="3525" w:type="dxa"/>
            <w:gridSpan w:val="2"/>
          </w:tcPr>
          <w:p w14:paraId="5792A80F"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&lt;0,0001</w:t>
            </w:r>
          </w:p>
        </w:tc>
        <w:tc>
          <w:tcPr>
            <w:tcW w:w="3389" w:type="dxa"/>
            <w:gridSpan w:val="2"/>
          </w:tcPr>
          <w:p w14:paraId="30461BF8"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&lt;0,0001</w:t>
            </w:r>
          </w:p>
        </w:tc>
      </w:tr>
      <w:tr w:rsidR="004401F0" w:rsidRPr="000D7348" w14:paraId="0F6173A7" w14:textId="77777777" w:rsidTr="00FD0816">
        <w:trPr>
          <w:cantSplit/>
        </w:trPr>
        <w:tc>
          <w:tcPr>
            <w:tcW w:w="9290" w:type="dxa"/>
            <w:gridSpan w:val="5"/>
          </w:tcPr>
          <w:p w14:paraId="3626F3BD" w14:textId="77777777" w:rsidR="004401F0" w:rsidRPr="00FD0816" w:rsidRDefault="00DF3C4F" w:rsidP="00654D21">
            <w:pPr>
              <w:pStyle w:val="TableParagraph"/>
              <w:adjustRightInd w:val="0"/>
              <w:snapToGrid w:val="0"/>
              <w:jc w:val="center"/>
              <w:rPr>
                <w:sz w:val="20"/>
                <w:szCs w:val="20"/>
                <w:lang w:val="fr-FR"/>
              </w:rPr>
            </w:pPr>
            <w:r w:rsidRPr="00FD0816">
              <w:rPr>
                <w:sz w:val="20"/>
                <w:szCs w:val="20"/>
                <w:lang w:val="fr-FR"/>
              </w:rPr>
              <w:t>Taux de réponse (chez les patients ayant une maladie mesurable)</w:t>
            </w:r>
          </w:p>
        </w:tc>
      </w:tr>
      <w:tr w:rsidR="004401F0" w:rsidRPr="000D7348" w14:paraId="219DC8F0" w14:textId="77777777" w:rsidTr="00FD0816">
        <w:trPr>
          <w:cantSplit/>
        </w:trPr>
        <w:tc>
          <w:tcPr>
            <w:tcW w:w="2376" w:type="dxa"/>
          </w:tcPr>
          <w:p w14:paraId="289E86EA" w14:textId="77777777" w:rsidR="004401F0" w:rsidRPr="00FD0816" w:rsidRDefault="004401F0" w:rsidP="00FD0816">
            <w:pPr>
              <w:pStyle w:val="TableParagraph"/>
              <w:adjustRightInd w:val="0"/>
              <w:snapToGrid w:val="0"/>
              <w:rPr>
                <w:sz w:val="20"/>
                <w:szCs w:val="20"/>
                <w:lang w:val="fr-FR"/>
              </w:rPr>
            </w:pPr>
          </w:p>
        </w:tc>
        <w:tc>
          <w:tcPr>
            <w:tcW w:w="3525" w:type="dxa"/>
            <w:gridSpan w:val="2"/>
          </w:tcPr>
          <w:p w14:paraId="64AA9027"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Evaluation des investigateurs</w:t>
            </w:r>
          </w:p>
        </w:tc>
        <w:tc>
          <w:tcPr>
            <w:tcW w:w="3389" w:type="dxa"/>
            <w:gridSpan w:val="2"/>
          </w:tcPr>
          <w:p w14:paraId="7E691D81"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Evaluation de la revue indépendante</w:t>
            </w:r>
          </w:p>
        </w:tc>
      </w:tr>
      <w:tr w:rsidR="004401F0" w:rsidRPr="00FD0816" w14:paraId="3D47BB92" w14:textId="77777777" w:rsidTr="00FD0816">
        <w:trPr>
          <w:cantSplit/>
        </w:trPr>
        <w:tc>
          <w:tcPr>
            <w:tcW w:w="2376" w:type="dxa"/>
          </w:tcPr>
          <w:p w14:paraId="3D326865" w14:textId="77777777" w:rsidR="004401F0" w:rsidRPr="00FD0816" w:rsidRDefault="004401F0" w:rsidP="00FD0816">
            <w:pPr>
              <w:pStyle w:val="TableParagraph"/>
              <w:adjustRightInd w:val="0"/>
              <w:snapToGrid w:val="0"/>
              <w:rPr>
                <w:sz w:val="20"/>
                <w:szCs w:val="20"/>
                <w:lang w:val="fr-FR"/>
              </w:rPr>
            </w:pPr>
          </w:p>
        </w:tc>
        <w:tc>
          <w:tcPr>
            <w:tcW w:w="1506" w:type="dxa"/>
          </w:tcPr>
          <w:p w14:paraId="51DBAFED"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Paclitaxel (n=273)</w:t>
            </w:r>
          </w:p>
        </w:tc>
        <w:tc>
          <w:tcPr>
            <w:tcW w:w="2019" w:type="dxa"/>
          </w:tcPr>
          <w:p w14:paraId="73F8EAA4" w14:textId="042A5120"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Paclitaxel/</w:t>
            </w:r>
            <w:r w:rsidR="002C5236">
              <w:rPr>
                <w:sz w:val="20"/>
                <w:szCs w:val="20"/>
                <w:lang w:val="fr-FR"/>
              </w:rPr>
              <w:t>B</w:t>
            </w:r>
            <w:r w:rsidR="00467939">
              <w:rPr>
                <w:sz w:val="20"/>
                <w:szCs w:val="20"/>
                <w:lang w:val="fr-FR"/>
              </w:rPr>
              <w:t>evacizumab</w:t>
            </w:r>
            <w:r w:rsidR="00467939" w:rsidRPr="00FD0816">
              <w:rPr>
                <w:sz w:val="20"/>
                <w:szCs w:val="20"/>
                <w:lang w:val="fr-FR"/>
              </w:rPr>
              <w:t xml:space="preserve"> </w:t>
            </w:r>
            <w:r w:rsidRPr="00FD0816">
              <w:rPr>
                <w:sz w:val="20"/>
                <w:szCs w:val="20"/>
                <w:lang w:val="fr-FR"/>
              </w:rPr>
              <w:t>(n=252)</w:t>
            </w:r>
          </w:p>
        </w:tc>
        <w:tc>
          <w:tcPr>
            <w:tcW w:w="1506" w:type="dxa"/>
          </w:tcPr>
          <w:p w14:paraId="2F4E83B9"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Paclitaxel (n=243)</w:t>
            </w:r>
          </w:p>
        </w:tc>
        <w:tc>
          <w:tcPr>
            <w:tcW w:w="1883" w:type="dxa"/>
          </w:tcPr>
          <w:p w14:paraId="72202AA5" w14:textId="789A922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Paclitaxel/</w:t>
            </w:r>
            <w:r w:rsidR="0033560E">
              <w:rPr>
                <w:sz w:val="20"/>
                <w:szCs w:val="20"/>
                <w:lang w:val="fr-FR"/>
              </w:rPr>
              <w:br/>
            </w:r>
            <w:r w:rsidR="002C5236">
              <w:rPr>
                <w:sz w:val="20"/>
                <w:szCs w:val="20"/>
                <w:lang w:val="fr-FR"/>
              </w:rPr>
              <w:t>B</w:t>
            </w:r>
            <w:r w:rsidR="00467939">
              <w:rPr>
                <w:sz w:val="20"/>
                <w:szCs w:val="20"/>
                <w:lang w:val="fr-FR"/>
              </w:rPr>
              <w:t>evacizumab</w:t>
            </w:r>
          </w:p>
          <w:p w14:paraId="5710DEFF"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(n=229)</w:t>
            </w:r>
          </w:p>
        </w:tc>
      </w:tr>
      <w:tr w:rsidR="004401F0" w:rsidRPr="00FD0816" w14:paraId="394BBA43" w14:textId="77777777" w:rsidTr="00FD0816">
        <w:trPr>
          <w:cantSplit/>
        </w:trPr>
        <w:tc>
          <w:tcPr>
            <w:tcW w:w="2376" w:type="dxa"/>
          </w:tcPr>
          <w:p w14:paraId="03F3AF34"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 de patients avec</w:t>
            </w:r>
          </w:p>
          <w:p w14:paraId="3695053B"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une réponse objective</w:t>
            </w:r>
          </w:p>
        </w:tc>
        <w:tc>
          <w:tcPr>
            <w:tcW w:w="1506" w:type="dxa"/>
          </w:tcPr>
          <w:p w14:paraId="0DF669C6"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23,4</w:t>
            </w:r>
          </w:p>
        </w:tc>
        <w:tc>
          <w:tcPr>
            <w:tcW w:w="2019" w:type="dxa"/>
          </w:tcPr>
          <w:p w14:paraId="41449364"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48,0</w:t>
            </w:r>
          </w:p>
        </w:tc>
        <w:tc>
          <w:tcPr>
            <w:tcW w:w="1506" w:type="dxa"/>
          </w:tcPr>
          <w:p w14:paraId="7ED74196"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22,2</w:t>
            </w:r>
          </w:p>
        </w:tc>
        <w:tc>
          <w:tcPr>
            <w:tcW w:w="1883" w:type="dxa"/>
          </w:tcPr>
          <w:p w14:paraId="22FC04AA"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49,8</w:t>
            </w:r>
          </w:p>
        </w:tc>
      </w:tr>
      <w:tr w:rsidR="004401F0" w:rsidRPr="00FD0816" w14:paraId="604B1213" w14:textId="77777777" w:rsidTr="00FD0816">
        <w:trPr>
          <w:cantSplit/>
        </w:trPr>
        <w:tc>
          <w:tcPr>
            <w:tcW w:w="2376" w:type="dxa"/>
          </w:tcPr>
          <w:p w14:paraId="29356147" w14:textId="77777777" w:rsidR="004401F0" w:rsidRPr="00FD0816" w:rsidRDefault="00DF3C4F" w:rsidP="00FD0816">
            <w:pPr>
              <w:pStyle w:val="TableParagraph"/>
              <w:adjustRightInd w:val="0"/>
              <w:snapToGrid w:val="0"/>
              <w:rPr>
                <w:sz w:val="20"/>
                <w:szCs w:val="20"/>
                <w:lang w:val="fr-FR"/>
              </w:rPr>
            </w:pPr>
            <w:r w:rsidRPr="00FD0816">
              <w:rPr>
                <w:sz w:val="20"/>
                <w:szCs w:val="20"/>
                <w:lang w:val="fr-FR"/>
              </w:rPr>
              <w:t>Valeur du p</w:t>
            </w:r>
          </w:p>
        </w:tc>
        <w:tc>
          <w:tcPr>
            <w:tcW w:w="3525" w:type="dxa"/>
            <w:gridSpan w:val="2"/>
          </w:tcPr>
          <w:p w14:paraId="7FE19876"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&lt;0,0001</w:t>
            </w:r>
          </w:p>
        </w:tc>
        <w:tc>
          <w:tcPr>
            <w:tcW w:w="3389" w:type="dxa"/>
            <w:gridSpan w:val="2"/>
          </w:tcPr>
          <w:p w14:paraId="0CA2E580"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&lt;0,0001</w:t>
            </w:r>
          </w:p>
        </w:tc>
      </w:tr>
    </w:tbl>
    <w:p w14:paraId="3B01540B" w14:textId="77777777" w:rsidR="006B433A" w:rsidRDefault="006B433A">
      <w:pPr>
        <w:rPr>
          <w:sz w:val="20"/>
          <w:lang w:val="fr-FR"/>
        </w:rPr>
      </w:pPr>
      <w:r w:rsidRPr="00DA7718">
        <w:rPr>
          <w:sz w:val="20"/>
          <w:lang w:val="fr-FR"/>
        </w:rPr>
        <w:t>*</w:t>
      </w:r>
      <w:r>
        <w:rPr>
          <w:sz w:val="20"/>
          <w:lang w:val="fr-FR"/>
        </w:rPr>
        <w:t xml:space="preserve"> </w:t>
      </w:r>
      <w:r w:rsidRPr="00DA7718">
        <w:rPr>
          <w:sz w:val="20"/>
          <w:lang w:val="fr-FR"/>
        </w:rPr>
        <w:t>Analyse primaire</w:t>
      </w:r>
    </w:p>
    <w:p w14:paraId="3D020E7A" w14:textId="77777777" w:rsidR="006B433A" w:rsidRDefault="006B433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0"/>
        <w:gridCol w:w="3438"/>
        <w:gridCol w:w="3306"/>
      </w:tblGrid>
      <w:tr w:rsidR="004401F0" w:rsidRPr="00FD0816" w14:paraId="6EF74A5E" w14:textId="77777777" w:rsidTr="00FD0816">
        <w:trPr>
          <w:cantSplit/>
        </w:trPr>
        <w:tc>
          <w:tcPr>
            <w:tcW w:w="9290" w:type="dxa"/>
            <w:gridSpan w:val="3"/>
          </w:tcPr>
          <w:p w14:paraId="12F2280E" w14:textId="77777777" w:rsidR="004401F0" w:rsidRPr="006B433A" w:rsidRDefault="00DF3C4F" w:rsidP="00FD0816">
            <w:pPr>
              <w:pStyle w:val="TableParagraph"/>
              <w:adjustRightInd w:val="0"/>
              <w:snapToGrid w:val="0"/>
              <w:rPr>
                <w:b/>
                <w:bCs/>
                <w:sz w:val="20"/>
                <w:szCs w:val="20"/>
                <w:lang w:val="fr-FR"/>
              </w:rPr>
            </w:pPr>
            <w:r w:rsidRPr="006B433A">
              <w:rPr>
                <w:b/>
                <w:bCs/>
                <w:sz w:val="20"/>
                <w:szCs w:val="20"/>
                <w:lang w:val="fr-FR"/>
              </w:rPr>
              <w:t>Survie globale</w:t>
            </w:r>
          </w:p>
        </w:tc>
      </w:tr>
      <w:tr w:rsidR="004401F0" w:rsidRPr="00FD0816" w14:paraId="4FBDC3FC" w14:textId="77777777" w:rsidTr="00FD0816">
        <w:trPr>
          <w:cantSplit/>
        </w:trPr>
        <w:tc>
          <w:tcPr>
            <w:tcW w:w="2376" w:type="dxa"/>
          </w:tcPr>
          <w:p w14:paraId="1FECFB93" w14:textId="77777777" w:rsidR="004401F0" w:rsidRPr="00FD0816" w:rsidRDefault="004401F0" w:rsidP="00854925">
            <w:pPr>
              <w:pStyle w:val="TableParagraph"/>
              <w:adjustRightInd w:val="0"/>
              <w:snapToGrid w:val="0"/>
              <w:jc w:val="center"/>
              <w:rPr>
                <w:sz w:val="20"/>
                <w:szCs w:val="20"/>
                <w:lang w:val="fr-FR"/>
              </w:rPr>
            </w:pPr>
          </w:p>
        </w:tc>
        <w:tc>
          <w:tcPr>
            <w:tcW w:w="3525" w:type="dxa"/>
          </w:tcPr>
          <w:p w14:paraId="617C00F4"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Paclitaxel</w:t>
            </w:r>
          </w:p>
          <w:p w14:paraId="6D3D8693"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(n=354)</w:t>
            </w:r>
          </w:p>
        </w:tc>
        <w:tc>
          <w:tcPr>
            <w:tcW w:w="3389" w:type="dxa"/>
          </w:tcPr>
          <w:p w14:paraId="6C60B1DB" w14:textId="78D6F784"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Paclitaxel/</w:t>
            </w:r>
            <w:r w:rsidR="002C5236">
              <w:rPr>
                <w:sz w:val="20"/>
                <w:szCs w:val="20"/>
                <w:lang w:val="fr-FR"/>
              </w:rPr>
              <w:t>B</w:t>
            </w:r>
            <w:r w:rsidR="00467939">
              <w:rPr>
                <w:sz w:val="20"/>
                <w:szCs w:val="20"/>
                <w:lang w:val="fr-FR"/>
              </w:rPr>
              <w:t>evacizumab</w:t>
            </w:r>
          </w:p>
          <w:p w14:paraId="54941385"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(n=368)</w:t>
            </w:r>
          </w:p>
        </w:tc>
      </w:tr>
      <w:tr w:rsidR="004401F0" w:rsidRPr="00FD0816" w14:paraId="775346EF" w14:textId="77777777" w:rsidTr="00FD0816">
        <w:trPr>
          <w:cantSplit/>
        </w:trPr>
        <w:tc>
          <w:tcPr>
            <w:tcW w:w="2376" w:type="dxa"/>
          </w:tcPr>
          <w:p w14:paraId="3E147F40" w14:textId="77777777" w:rsidR="004401F0" w:rsidRPr="00FD0816" w:rsidRDefault="00DF3C4F" w:rsidP="00854925">
            <w:pPr>
              <w:pStyle w:val="TableParagraph"/>
              <w:adjustRightInd w:val="0"/>
              <w:snapToGrid w:val="0"/>
              <w:jc w:val="center"/>
              <w:rPr>
                <w:sz w:val="20"/>
                <w:szCs w:val="20"/>
                <w:lang w:val="fr-FR"/>
              </w:rPr>
            </w:pPr>
            <w:r w:rsidRPr="00FD0816">
              <w:rPr>
                <w:sz w:val="20"/>
                <w:szCs w:val="20"/>
                <w:lang w:val="fr-FR"/>
              </w:rPr>
              <w:t>Survie globale médiane (mois)</w:t>
            </w:r>
          </w:p>
        </w:tc>
        <w:tc>
          <w:tcPr>
            <w:tcW w:w="3525" w:type="dxa"/>
          </w:tcPr>
          <w:p w14:paraId="336298E3"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24,8</w:t>
            </w:r>
          </w:p>
        </w:tc>
        <w:tc>
          <w:tcPr>
            <w:tcW w:w="3389" w:type="dxa"/>
          </w:tcPr>
          <w:p w14:paraId="688FFFC0"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26,5</w:t>
            </w:r>
          </w:p>
        </w:tc>
      </w:tr>
      <w:tr w:rsidR="004401F0" w:rsidRPr="00FD0816" w14:paraId="4838A1D2" w14:textId="77777777" w:rsidTr="00FD0816">
        <w:trPr>
          <w:cantSplit/>
        </w:trPr>
        <w:tc>
          <w:tcPr>
            <w:tcW w:w="2376" w:type="dxa"/>
          </w:tcPr>
          <w:p w14:paraId="50D52507" w14:textId="77777777" w:rsidR="004401F0" w:rsidRPr="00FD0816" w:rsidRDefault="00DF3C4F" w:rsidP="00854925">
            <w:pPr>
              <w:pStyle w:val="TableParagraph"/>
              <w:adjustRightInd w:val="0"/>
              <w:snapToGrid w:val="0"/>
              <w:jc w:val="center"/>
              <w:rPr>
                <w:sz w:val="20"/>
                <w:szCs w:val="20"/>
                <w:lang w:val="fr-FR"/>
              </w:rPr>
            </w:pPr>
            <w:r w:rsidRPr="00FD0816">
              <w:rPr>
                <w:sz w:val="20"/>
                <w:szCs w:val="20"/>
                <w:lang w:val="fr-FR"/>
              </w:rPr>
              <w:t>Risque relatif</w:t>
            </w:r>
          </w:p>
          <w:p w14:paraId="1BFA4E18" w14:textId="77777777" w:rsidR="004401F0" w:rsidRPr="00FD0816" w:rsidRDefault="00DF3C4F" w:rsidP="00854925">
            <w:pPr>
              <w:pStyle w:val="TableParagraph"/>
              <w:adjustRightInd w:val="0"/>
              <w:snapToGrid w:val="0"/>
              <w:jc w:val="center"/>
              <w:rPr>
                <w:sz w:val="20"/>
                <w:szCs w:val="20"/>
                <w:lang w:val="fr-FR"/>
              </w:rPr>
            </w:pPr>
            <w:r w:rsidRPr="00FD0816">
              <w:rPr>
                <w:sz w:val="20"/>
                <w:szCs w:val="20"/>
                <w:lang w:val="fr-FR"/>
              </w:rPr>
              <w:t>(Hazard ratio) (IC 95 %)</w:t>
            </w:r>
          </w:p>
        </w:tc>
        <w:tc>
          <w:tcPr>
            <w:tcW w:w="6914" w:type="dxa"/>
            <w:gridSpan w:val="2"/>
          </w:tcPr>
          <w:p w14:paraId="6C92AC4F"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0,869</w:t>
            </w:r>
          </w:p>
          <w:p w14:paraId="7B24A771" w14:textId="69E27D3C"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(0,722</w:t>
            </w:r>
            <w:r w:rsidR="00881CB8">
              <w:rPr>
                <w:sz w:val="20"/>
                <w:szCs w:val="20"/>
                <w:lang w:val="fr-FR"/>
              </w:rPr>
              <w:t xml:space="preserve"> ; </w:t>
            </w:r>
            <w:r w:rsidRPr="00FD0816">
              <w:rPr>
                <w:sz w:val="20"/>
                <w:szCs w:val="20"/>
                <w:lang w:val="fr-FR"/>
              </w:rPr>
              <w:t>1,046)</w:t>
            </w:r>
          </w:p>
        </w:tc>
      </w:tr>
      <w:tr w:rsidR="004401F0" w:rsidRPr="00FD0816" w14:paraId="7479AB59" w14:textId="77777777" w:rsidTr="00FD0816">
        <w:trPr>
          <w:cantSplit/>
        </w:trPr>
        <w:tc>
          <w:tcPr>
            <w:tcW w:w="2376" w:type="dxa"/>
          </w:tcPr>
          <w:p w14:paraId="3FA4D439" w14:textId="77777777" w:rsidR="004401F0" w:rsidRPr="00FD0816" w:rsidRDefault="00DF3C4F" w:rsidP="00854925">
            <w:pPr>
              <w:pStyle w:val="TableParagraph"/>
              <w:adjustRightInd w:val="0"/>
              <w:snapToGrid w:val="0"/>
              <w:jc w:val="center"/>
              <w:rPr>
                <w:sz w:val="20"/>
                <w:szCs w:val="20"/>
                <w:lang w:val="fr-FR"/>
              </w:rPr>
            </w:pPr>
            <w:r w:rsidRPr="00FD0816">
              <w:rPr>
                <w:sz w:val="20"/>
                <w:szCs w:val="20"/>
                <w:lang w:val="fr-FR"/>
              </w:rPr>
              <w:t>Valeur du p</w:t>
            </w:r>
          </w:p>
        </w:tc>
        <w:tc>
          <w:tcPr>
            <w:tcW w:w="6914" w:type="dxa"/>
            <w:gridSpan w:val="2"/>
          </w:tcPr>
          <w:p w14:paraId="316E6DDE" w14:textId="77777777" w:rsidR="004401F0" w:rsidRPr="00FD0816" w:rsidRDefault="00DF3C4F" w:rsidP="00F84CEA">
            <w:pPr>
              <w:pStyle w:val="TableParagraph"/>
              <w:adjustRightInd w:val="0"/>
              <w:snapToGrid w:val="0"/>
              <w:jc w:val="center"/>
              <w:rPr>
                <w:sz w:val="20"/>
                <w:szCs w:val="20"/>
                <w:lang w:val="fr-FR"/>
              </w:rPr>
            </w:pPr>
            <w:r w:rsidRPr="00FD0816">
              <w:rPr>
                <w:sz w:val="20"/>
                <w:szCs w:val="20"/>
                <w:lang w:val="fr-FR"/>
              </w:rPr>
              <w:t>0,1374</w:t>
            </w:r>
          </w:p>
        </w:tc>
      </w:tr>
    </w:tbl>
    <w:p w14:paraId="7AAF5D08" w14:textId="77777777" w:rsidR="004401F0" w:rsidRPr="007C119A" w:rsidRDefault="004401F0" w:rsidP="00BD4C7C">
      <w:pPr>
        <w:pStyle w:val="a3"/>
        <w:adjustRightInd w:val="0"/>
        <w:snapToGrid w:val="0"/>
        <w:rPr>
          <w:lang w:val="fr-FR"/>
        </w:rPr>
      </w:pPr>
    </w:p>
    <w:p w14:paraId="3490E4BB" w14:textId="30EB516C" w:rsidR="004401F0" w:rsidRPr="00DA7718" w:rsidRDefault="00DF3C4F" w:rsidP="00654D21">
      <w:pPr>
        <w:pStyle w:val="a3"/>
        <w:keepLines/>
        <w:adjustRightInd w:val="0"/>
        <w:snapToGrid w:val="0"/>
        <w:rPr>
          <w:lang w:val="fr-FR"/>
        </w:rPr>
      </w:pPr>
      <w:r w:rsidRPr="00DA7718">
        <w:rPr>
          <w:lang w:val="fr-FR"/>
        </w:rPr>
        <w:lastRenderedPageBreak/>
        <w:t xml:space="preserve">Le bénéfice clinique </w:t>
      </w:r>
      <w:r w:rsidR="00467939">
        <w:rPr>
          <w:lang w:val="fr-FR"/>
        </w:rPr>
        <w:t>du bevacizumab</w:t>
      </w:r>
      <w:r w:rsidR="00467939" w:rsidRPr="00DA7718">
        <w:rPr>
          <w:lang w:val="fr-FR"/>
        </w:rPr>
        <w:t xml:space="preserve"> </w:t>
      </w:r>
      <w:r w:rsidRPr="00DA7718">
        <w:rPr>
          <w:lang w:val="fr-FR"/>
        </w:rPr>
        <w:t>évalué par la PFS a été retrouvé dans tous les sous-groupes testés prévus au protocole (y compris l’intervalle libre sans récidive, le nombre de sites métastatiques, un traitement antérieur par chimiothérapie adjuvante et le statut des récepteurs aux estrogènes).</w:t>
      </w:r>
    </w:p>
    <w:p w14:paraId="35A3B845" w14:textId="77777777" w:rsidR="004401F0" w:rsidRPr="00DA7718" w:rsidRDefault="004401F0" w:rsidP="00BD4C7C">
      <w:pPr>
        <w:pStyle w:val="a3"/>
        <w:adjustRightInd w:val="0"/>
        <w:snapToGrid w:val="0"/>
        <w:rPr>
          <w:lang w:val="fr-FR"/>
        </w:rPr>
      </w:pPr>
    </w:p>
    <w:p w14:paraId="64E0FCD7" w14:textId="77777777" w:rsidR="004401F0" w:rsidRPr="00DA7718" w:rsidRDefault="00DF3C4F" w:rsidP="00BD4C7C">
      <w:pPr>
        <w:adjustRightInd w:val="0"/>
        <w:snapToGrid w:val="0"/>
        <w:rPr>
          <w:i/>
          <w:lang w:val="fr-FR"/>
        </w:rPr>
      </w:pPr>
      <w:r w:rsidRPr="00DA7718">
        <w:rPr>
          <w:i/>
          <w:lang w:val="fr-FR"/>
        </w:rPr>
        <w:t>Etude AVF3694g</w:t>
      </w:r>
    </w:p>
    <w:p w14:paraId="2650B2C7" w14:textId="0FC17F6E" w:rsidR="004401F0" w:rsidRPr="00DA7718" w:rsidRDefault="00DF3C4F" w:rsidP="00BD4C7C">
      <w:pPr>
        <w:pStyle w:val="a3"/>
        <w:adjustRightInd w:val="0"/>
        <w:snapToGrid w:val="0"/>
        <w:jc w:val="both"/>
        <w:rPr>
          <w:lang w:val="fr-FR"/>
        </w:rPr>
      </w:pPr>
      <w:r w:rsidRPr="00DA7718">
        <w:rPr>
          <w:lang w:val="fr-FR"/>
        </w:rPr>
        <w:t xml:space="preserve">L’étude AVF3694g était une étude de phase III, multicentrique, randomisée, contrôlée versus placebo ayant pour objectif d’évaluer l’efficacité et la tolérance </w:t>
      </w:r>
      <w:r w:rsidR="003732EC">
        <w:rPr>
          <w:lang w:val="fr-FR"/>
        </w:rPr>
        <w:t>du bevacizumab</w:t>
      </w:r>
      <w:r w:rsidRPr="00DA7718">
        <w:rPr>
          <w:lang w:val="fr-FR"/>
        </w:rPr>
        <w:t xml:space="preserve"> en association à une chimiothérapie comparé à une chimiothérapie seule, en traitement de 1</w:t>
      </w:r>
      <w:r w:rsidRPr="00DA7718">
        <w:rPr>
          <w:vertAlign w:val="superscript"/>
          <w:lang w:val="fr-FR"/>
        </w:rPr>
        <w:t>ère</w:t>
      </w:r>
      <w:r w:rsidRPr="00DA7718">
        <w:rPr>
          <w:lang w:val="fr-FR"/>
        </w:rPr>
        <w:t xml:space="preserve"> ligne, chez des patients présentant un cancer du sein métastatique HER-2 négatif ou localement récidivant.</w:t>
      </w:r>
    </w:p>
    <w:p w14:paraId="00E73AA3" w14:textId="77777777" w:rsidR="004401F0" w:rsidRPr="00DA7718" w:rsidRDefault="004401F0" w:rsidP="00BD4C7C">
      <w:pPr>
        <w:pStyle w:val="a3"/>
        <w:adjustRightInd w:val="0"/>
        <w:snapToGrid w:val="0"/>
        <w:rPr>
          <w:lang w:val="fr-FR"/>
        </w:rPr>
      </w:pPr>
    </w:p>
    <w:p w14:paraId="2C7A79B3" w14:textId="62640434" w:rsidR="004401F0" w:rsidRPr="00DA7718" w:rsidRDefault="00DF3C4F" w:rsidP="00C57E3E">
      <w:pPr>
        <w:pStyle w:val="a3"/>
        <w:adjustRightInd w:val="0"/>
        <w:snapToGrid w:val="0"/>
        <w:rPr>
          <w:lang w:val="fr-FR"/>
        </w:rPr>
      </w:pPr>
      <w:r w:rsidRPr="00DA7718">
        <w:rPr>
          <w:lang w:val="fr-FR"/>
        </w:rPr>
        <w:t xml:space="preserve">La chimiothérapie était choisie à la discrétion de l’investigateur avant la randomisation selon un ratio 2:1, pour recevoir soit une chimiothérapie plus </w:t>
      </w:r>
      <w:r w:rsidR="00467939">
        <w:rPr>
          <w:lang w:val="fr-FR"/>
        </w:rPr>
        <w:t>bevacizumab</w:t>
      </w:r>
      <w:r w:rsidRPr="00DA7718">
        <w:rPr>
          <w:lang w:val="fr-FR"/>
        </w:rPr>
        <w:t>, soit une chimiothérapie plus placebo. Les choix de chimiothérapies comprenaient la capécitabine, un taxane (particules de protéines liées au paclitaxel, docetaxel), des traitements à base d’anthracyclines (doxorubicine/cyclophosphamide, epirubicin/cyclophosphamide, 5-fluorouracil/doxorubicine/cyclophosphamide, 5- fluorouracil/</w:t>
      </w:r>
      <w:r w:rsidR="00C57E3E">
        <w:rPr>
          <w:lang w:val="fr-FR"/>
        </w:rPr>
        <w:br/>
      </w:r>
      <w:r w:rsidRPr="00DA7718">
        <w:rPr>
          <w:lang w:val="fr-FR"/>
        </w:rPr>
        <w:t>epirubicin/cyclophosphamide) administrés toutes les 3 semaines.</w:t>
      </w:r>
      <w:r w:rsidR="00C57E3E">
        <w:rPr>
          <w:lang w:val="fr-FR"/>
        </w:rPr>
        <w:t xml:space="preserve"> </w:t>
      </w:r>
      <w:r w:rsidR="00467939">
        <w:rPr>
          <w:lang w:val="fr-FR"/>
        </w:rPr>
        <w:t>Le bevacizumab</w:t>
      </w:r>
      <w:r w:rsidR="00467939" w:rsidRPr="00DA7718">
        <w:rPr>
          <w:lang w:val="fr-FR"/>
        </w:rPr>
        <w:t xml:space="preserve"> </w:t>
      </w:r>
      <w:r w:rsidRPr="00DA7718">
        <w:rPr>
          <w:lang w:val="fr-FR"/>
        </w:rPr>
        <w:t>ou le placebo était administré à la posologie de 15</w:t>
      </w:r>
      <w:r w:rsidR="00DA7718" w:rsidRPr="00DA7718">
        <w:rPr>
          <w:lang w:val="fr-FR"/>
        </w:rPr>
        <w:t> mg</w:t>
      </w:r>
      <w:r w:rsidRPr="00DA7718">
        <w:rPr>
          <w:lang w:val="fr-FR"/>
        </w:rPr>
        <w:t>/kg toutes les 3 semaines.</w:t>
      </w:r>
    </w:p>
    <w:p w14:paraId="719B8B4F" w14:textId="77777777" w:rsidR="00BD4C7C" w:rsidRPr="00DA7718" w:rsidRDefault="00BD4C7C" w:rsidP="00BD4C7C">
      <w:pPr>
        <w:adjustRightInd w:val="0"/>
        <w:snapToGrid w:val="0"/>
        <w:rPr>
          <w:lang w:val="fr-FR"/>
        </w:rPr>
      </w:pPr>
    </w:p>
    <w:p w14:paraId="773C5A3F" w14:textId="4227EAC3" w:rsidR="004401F0" w:rsidRPr="00DA7718" w:rsidRDefault="00DF3C4F" w:rsidP="00BD4C7C">
      <w:pPr>
        <w:pStyle w:val="a3"/>
        <w:adjustRightInd w:val="0"/>
        <w:snapToGrid w:val="0"/>
        <w:rPr>
          <w:lang w:val="fr-FR"/>
        </w:rPr>
      </w:pPr>
      <w:r w:rsidRPr="00DA7718">
        <w:rPr>
          <w:lang w:val="fr-FR"/>
        </w:rPr>
        <w:t>Cette étude comprenait une phase de traitement en aveugle, une phase optionnelle en ouvert après progression et une phase de suivi de la survie. Durant la phase de traitement en aveugle, les patients ont reçu une chimiothérapie en association au médicament (</w:t>
      </w:r>
      <w:r w:rsidR="00467939">
        <w:rPr>
          <w:lang w:val="fr-FR"/>
        </w:rPr>
        <w:t>bevacizumab</w:t>
      </w:r>
      <w:r w:rsidRPr="00DA7718">
        <w:rPr>
          <w:lang w:val="fr-FR"/>
        </w:rPr>
        <w:t xml:space="preserve"> ou au placebo) toutes les </w:t>
      </w:r>
      <w:r w:rsidR="00C57E3E" w:rsidRPr="00DA7718">
        <w:rPr>
          <w:lang w:val="fr-FR"/>
        </w:rPr>
        <w:t>3</w:t>
      </w:r>
      <w:r w:rsidR="00C57E3E">
        <w:rPr>
          <w:lang w:val="fr-FR"/>
        </w:rPr>
        <w:t> </w:t>
      </w:r>
      <w:r w:rsidRPr="00DA7718">
        <w:rPr>
          <w:lang w:val="fr-FR"/>
        </w:rPr>
        <w:t xml:space="preserve">semaines jusqu’à progression de la maladie, toxicité limitant le traitement, ou décès. Après progression documentée de la maladie, les patients qui entraient dans la phase optionnelle en ouvert pouvaient recevoir </w:t>
      </w:r>
      <w:r w:rsidR="00467939">
        <w:rPr>
          <w:lang w:val="fr-FR"/>
        </w:rPr>
        <w:t>le bevacizumab</w:t>
      </w:r>
      <w:r w:rsidR="00467939" w:rsidRPr="00DA7718">
        <w:rPr>
          <w:lang w:val="fr-FR"/>
        </w:rPr>
        <w:t xml:space="preserve"> </w:t>
      </w:r>
      <w:r w:rsidRPr="00DA7718">
        <w:rPr>
          <w:lang w:val="fr-FR"/>
        </w:rPr>
        <w:t>en ouvert en association à un large choix de traitement de deuxième ligne.</w:t>
      </w:r>
    </w:p>
    <w:p w14:paraId="615F092A" w14:textId="77777777" w:rsidR="004401F0" w:rsidRPr="00DA7718" w:rsidRDefault="004401F0" w:rsidP="00BD4C7C">
      <w:pPr>
        <w:pStyle w:val="a3"/>
        <w:adjustRightInd w:val="0"/>
        <w:snapToGrid w:val="0"/>
        <w:rPr>
          <w:lang w:val="fr-FR"/>
        </w:rPr>
      </w:pPr>
    </w:p>
    <w:p w14:paraId="15EF67DA" w14:textId="78723AF9" w:rsidR="004401F0" w:rsidRPr="00DA7718" w:rsidRDefault="00DF3C4F" w:rsidP="00BD4C7C">
      <w:pPr>
        <w:pStyle w:val="a3"/>
        <w:adjustRightInd w:val="0"/>
        <w:snapToGrid w:val="0"/>
        <w:rPr>
          <w:lang w:val="fr-FR"/>
        </w:rPr>
      </w:pPr>
      <w:r w:rsidRPr="00DA7718">
        <w:rPr>
          <w:lang w:val="fr-FR"/>
        </w:rPr>
        <w:t>Les analyses statistiques ont été réalisées indépendamment pour</w:t>
      </w:r>
      <w:r w:rsidR="00765A43">
        <w:rPr>
          <w:lang w:val="fr-FR"/>
        </w:rPr>
        <w:t xml:space="preserve"> : </w:t>
      </w:r>
      <w:r w:rsidRPr="00DA7718">
        <w:rPr>
          <w:lang w:val="fr-FR"/>
        </w:rPr>
        <w:t xml:space="preserve">1) les patients traités par capécitabine en association </w:t>
      </w:r>
      <w:r w:rsidR="00467939">
        <w:rPr>
          <w:lang w:val="fr-FR"/>
        </w:rPr>
        <w:t>au bevacizumab</w:t>
      </w:r>
      <w:r w:rsidRPr="00DA7718">
        <w:rPr>
          <w:lang w:val="fr-FR"/>
        </w:rPr>
        <w:t xml:space="preserve"> ou au placebo</w:t>
      </w:r>
      <w:r w:rsidR="00881CB8">
        <w:rPr>
          <w:lang w:val="fr-FR"/>
        </w:rPr>
        <w:t xml:space="preserve"> ; </w:t>
      </w:r>
      <w:r w:rsidRPr="00DA7718">
        <w:rPr>
          <w:lang w:val="fr-FR"/>
        </w:rPr>
        <w:t xml:space="preserve">2) les patients traités par une chimiothérapie à base de taxanes ou d’anthracyclines en association </w:t>
      </w:r>
      <w:r w:rsidR="00467939">
        <w:rPr>
          <w:lang w:val="fr-FR"/>
        </w:rPr>
        <w:t>au bevacizumab</w:t>
      </w:r>
      <w:r w:rsidRPr="00DA7718">
        <w:rPr>
          <w:lang w:val="fr-FR"/>
        </w:rPr>
        <w:t xml:space="preserve"> ou au placebo. </w:t>
      </w:r>
      <w:r w:rsidR="00C57E3E" w:rsidRPr="00DA7718">
        <w:rPr>
          <w:lang w:val="fr-FR"/>
        </w:rPr>
        <w:t>Le</w:t>
      </w:r>
      <w:r w:rsidR="00C57E3E">
        <w:rPr>
          <w:lang w:val="fr-FR"/>
        </w:rPr>
        <w:t> </w:t>
      </w:r>
      <w:r w:rsidRPr="00DA7718">
        <w:rPr>
          <w:lang w:val="fr-FR"/>
        </w:rPr>
        <w:t>critère principal était la Survie Sans Progression (PFS) basé sur l’évaluation de l’investigateur. Par ailleurs, le critère principal était également évalué par un Comité de Revue Indépendant.</w:t>
      </w:r>
    </w:p>
    <w:p w14:paraId="1C6FD6A3" w14:textId="77777777" w:rsidR="004401F0" w:rsidRPr="007C119A" w:rsidRDefault="004401F0" w:rsidP="00BD4C7C">
      <w:pPr>
        <w:pStyle w:val="a3"/>
        <w:adjustRightInd w:val="0"/>
        <w:snapToGrid w:val="0"/>
        <w:rPr>
          <w:lang w:val="fr-FR"/>
        </w:rPr>
      </w:pPr>
    </w:p>
    <w:p w14:paraId="0989E6C9" w14:textId="7A9719A9" w:rsidR="004401F0" w:rsidRPr="00DA7718" w:rsidRDefault="00DF3C4F" w:rsidP="00BD4C7C">
      <w:pPr>
        <w:pStyle w:val="a3"/>
        <w:adjustRightInd w:val="0"/>
        <w:snapToGrid w:val="0"/>
        <w:rPr>
          <w:lang w:val="fr-FR"/>
        </w:rPr>
      </w:pPr>
      <w:r w:rsidRPr="00DA7718">
        <w:rPr>
          <w:lang w:val="fr-FR"/>
        </w:rPr>
        <w:t xml:space="preserve">Les résultats de cette étude, pour les analyses de </w:t>
      </w:r>
      <w:r w:rsidR="00803E4E">
        <w:rPr>
          <w:lang w:val="fr-FR"/>
        </w:rPr>
        <w:t>PFS</w:t>
      </w:r>
      <w:r w:rsidRPr="00DA7718">
        <w:rPr>
          <w:lang w:val="fr-FR"/>
        </w:rPr>
        <w:t xml:space="preserve"> et de taux de réponses définies dans le protocole final, pour la cohorte capécitabine de l’étude AVF3694g, indépendante et de puissance nécessaire pour pouvoir conclure, sont présentés dans le tableau 11. Les résultats d’une étude exploratoire de </w:t>
      </w:r>
      <w:r w:rsidR="00803E4E">
        <w:rPr>
          <w:lang w:val="fr-FR"/>
        </w:rPr>
        <w:t>l’OS</w:t>
      </w:r>
      <w:r w:rsidRPr="00DA7718">
        <w:rPr>
          <w:lang w:val="fr-FR"/>
        </w:rPr>
        <w:t xml:space="preserve"> avec 7 mois supplémentaires de suivi (environ 46% des patients étaient décédés) sont également présentés. Le pourcentage de patients ayant reçu </w:t>
      </w:r>
      <w:r w:rsidR="00467939">
        <w:rPr>
          <w:lang w:val="fr-FR"/>
        </w:rPr>
        <w:t>le bevacizumab</w:t>
      </w:r>
      <w:r w:rsidR="00467939" w:rsidRPr="00DA7718">
        <w:rPr>
          <w:lang w:val="fr-FR"/>
        </w:rPr>
        <w:t xml:space="preserve"> </w:t>
      </w:r>
      <w:r w:rsidRPr="00DA7718">
        <w:rPr>
          <w:lang w:val="fr-FR"/>
        </w:rPr>
        <w:t xml:space="preserve">pendant la phase en ouvert était de 62,1% dans le bras capécitabine + placebo et de 49,9% dans le bras capécitabine + </w:t>
      </w:r>
      <w:r w:rsidR="00467939">
        <w:rPr>
          <w:lang w:val="fr-FR"/>
        </w:rPr>
        <w:t>bevacizumab</w:t>
      </w:r>
      <w:r w:rsidRPr="00DA7718">
        <w:rPr>
          <w:lang w:val="fr-FR"/>
        </w:rPr>
        <w:t>.</w:t>
      </w:r>
    </w:p>
    <w:p w14:paraId="0A677002" w14:textId="77777777" w:rsidR="00BD4C7C" w:rsidRPr="00DA7718" w:rsidRDefault="00BD4C7C" w:rsidP="00BD4C7C">
      <w:pPr>
        <w:adjustRightInd w:val="0"/>
        <w:snapToGrid w:val="0"/>
        <w:rPr>
          <w:lang w:val="fr-FR"/>
        </w:rPr>
      </w:pPr>
    </w:p>
    <w:p w14:paraId="2D73CA6F" w14:textId="77777777" w:rsidR="00CB30CF" w:rsidRDefault="00CB30CF">
      <w:pPr>
        <w:widowControl/>
        <w:autoSpaceDE/>
        <w:autoSpaceDN/>
        <w:rPr>
          <w:b/>
          <w:bCs/>
          <w:lang w:val="fr-FR"/>
        </w:rPr>
      </w:pPr>
      <w:r>
        <w:rPr>
          <w:lang w:val="fr-FR"/>
        </w:rPr>
        <w:br w:type="page"/>
      </w:r>
    </w:p>
    <w:p w14:paraId="3D40BF0A" w14:textId="3BF7D359" w:rsidR="004401F0" w:rsidRPr="00E13189" w:rsidRDefault="00DF3C4F" w:rsidP="00E13189">
      <w:pPr>
        <w:ind w:left="1276" w:hanging="1276"/>
        <w:rPr>
          <w:b/>
          <w:bCs/>
          <w:lang w:val="fr-FR"/>
        </w:rPr>
      </w:pPr>
      <w:r w:rsidRPr="00E13189">
        <w:rPr>
          <w:b/>
          <w:bCs/>
          <w:lang w:val="fr-FR"/>
        </w:rPr>
        <w:lastRenderedPageBreak/>
        <w:t>Tableau 11</w:t>
      </w:r>
      <w:r w:rsidRPr="00E13189">
        <w:rPr>
          <w:b/>
          <w:bCs/>
          <w:lang w:val="fr-FR"/>
        </w:rPr>
        <w:tab/>
        <w:t>Résultats d’efficacité de l’étude AVF3694g: Capécitabine</w:t>
      </w:r>
      <w:r w:rsidRPr="00E13189">
        <w:rPr>
          <w:b/>
          <w:bCs/>
          <w:vertAlign w:val="superscript"/>
          <w:lang w:val="fr-FR"/>
        </w:rPr>
        <w:t>a</w:t>
      </w:r>
      <w:r w:rsidRPr="00E13189">
        <w:rPr>
          <w:b/>
          <w:bCs/>
          <w:lang w:val="fr-FR"/>
        </w:rPr>
        <w:t xml:space="preserve"> et </w:t>
      </w:r>
      <w:r w:rsidR="00B052CA" w:rsidRPr="00E13189">
        <w:rPr>
          <w:b/>
          <w:bCs/>
          <w:lang w:val="fr-FR"/>
        </w:rPr>
        <w:t>B</w:t>
      </w:r>
      <w:r w:rsidR="00467939" w:rsidRPr="00E13189">
        <w:rPr>
          <w:b/>
          <w:bCs/>
          <w:lang w:val="fr-FR"/>
        </w:rPr>
        <w:t>evacizumab</w:t>
      </w:r>
      <w:r w:rsidRPr="00E13189">
        <w:rPr>
          <w:b/>
          <w:bCs/>
          <w:lang w:val="fr-FR"/>
        </w:rPr>
        <w:t>/Placebo (Cap</w:t>
      </w:r>
      <w:r w:rsidR="00D277A9" w:rsidRPr="00E13189">
        <w:rPr>
          <w:b/>
          <w:bCs/>
          <w:lang w:val="fr-FR"/>
        </w:rPr>
        <w:t xml:space="preserve"> </w:t>
      </w:r>
      <w:r w:rsidRPr="00E13189">
        <w:rPr>
          <w:b/>
          <w:bCs/>
          <w:lang w:val="fr-FR"/>
        </w:rPr>
        <w:t xml:space="preserve">+ </w:t>
      </w:r>
      <w:r w:rsidR="002C5236" w:rsidRPr="00E13189">
        <w:rPr>
          <w:b/>
          <w:bCs/>
          <w:lang w:val="fr-FR"/>
        </w:rPr>
        <w:t>B</w:t>
      </w:r>
      <w:r w:rsidR="00467939" w:rsidRPr="00E13189">
        <w:rPr>
          <w:b/>
          <w:bCs/>
          <w:lang w:val="fr-FR"/>
        </w:rPr>
        <w:t>evacizumab</w:t>
      </w:r>
      <w:r w:rsidRPr="00E13189">
        <w:rPr>
          <w:b/>
          <w:bCs/>
          <w:lang w:val="fr-FR"/>
        </w:rPr>
        <w:t>/Pl)</w:t>
      </w:r>
    </w:p>
    <w:p w14:paraId="77EDB2F4" w14:textId="77777777" w:rsidR="004401F0" w:rsidRPr="007C119A" w:rsidRDefault="004401F0" w:rsidP="00BD4C7C">
      <w:pPr>
        <w:pStyle w:val="a3"/>
        <w:adjustRightInd w:val="0"/>
        <w:snapToGrid w:val="0"/>
        <w:rPr>
          <w:b/>
          <w:lang w:val="fr-FR"/>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2"/>
        <w:gridCol w:w="1627"/>
        <w:gridCol w:w="1630"/>
        <w:gridCol w:w="1605"/>
        <w:gridCol w:w="1790"/>
      </w:tblGrid>
      <w:tr w:rsidR="004401F0" w:rsidRPr="00D277A9" w14:paraId="49FB54D7" w14:textId="77777777" w:rsidTr="00770CE3">
        <w:trPr>
          <w:cantSplit/>
          <w:tblHeader/>
        </w:trPr>
        <w:tc>
          <w:tcPr>
            <w:tcW w:w="8446" w:type="dxa"/>
            <w:gridSpan w:val="5"/>
          </w:tcPr>
          <w:p w14:paraId="74F7300D" w14:textId="77777777" w:rsidR="004401F0" w:rsidRPr="00854925" w:rsidRDefault="00DF3C4F" w:rsidP="00D277A9">
            <w:pPr>
              <w:pStyle w:val="TableParagraph"/>
              <w:adjustRightInd w:val="0"/>
              <w:snapToGrid w:val="0"/>
              <w:rPr>
                <w:b/>
                <w:bCs/>
                <w:sz w:val="20"/>
                <w:szCs w:val="20"/>
                <w:lang w:val="fr-FR"/>
              </w:rPr>
            </w:pPr>
            <w:r w:rsidRPr="00854925">
              <w:rPr>
                <w:b/>
                <w:bCs/>
                <w:sz w:val="20"/>
                <w:szCs w:val="20"/>
                <w:lang w:val="fr-FR"/>
              </w:rPr>
              <w:t>Survie sans progression</w:t>
            </w:r>
            <w:r w:rsidRPr="00854925">
              <w:rPr>
                <w:b/>
                <w:bCs/>
                <w:sz w:val="20"/>
                <w:szCs w:val="20"/>
                <w:vertAlign w:val="superscript"/>
                <w:lang w:val="fr-FR"/>
              </w:rPr>
              <w:t>b</w:t>
            </w:r>
          </w:p>
        </w:tc>
      </w:tr>
      <w:tr w:rsidR="004401F0" w:rsidRPr="000D7348" w14:paraId="5CAB9417" w14:textId="77777777" w:rsidTr="00D277A9">
        <w:trPr>
          <w:cantSplit/>
        </w:trPr>
        <w:tc>
          <w:tcPr>
            <w:tcW w:w="2240" w:type="dxa"/>
          </w:tcPr>
          <w:p w14:paraId="49F28828" w14:textId="77777777" w:rsidR="004401F0" w:rsidRPr="00854925" w:rsidRDefault="004401F0" w:rsidP="00D277A9">
            <w:pPr>
              <w:pStyle w:val="TableParagraph"/>
              <w:adjustRightInd w:val="0"/>
              <w:snapToGrid w:val="0"/>
              <w:rPr>
                <w:b/>
                <w:bCs/>
                <w:sz w:val="20"/>
                <w:szCs w:val="20"/>
                <w:lang w:val="fr-FR"/>
              </w:rPr>
            </w:pPr>
          </w:p>
        </w:tc>
        <w:tc>
          <w:tcPr>
            <w:tcW w:w="3039" w:type="dxa"/>
            <w:gridSpan w:val="2"/>
          </w:tcPr>
          <w:p w14:paraId="785E4E61" w14:textId="77777777" w:rsidR="004401F0" w:rsidRPr="00854925" w:rsidRDefault="00DF3C4F" w:rsidP="00854925">
            <w:pPr>
              <w:pStyle w:val="TableParagraph"/>
              <w:adjustRightInd w:val="0"/>
              <w:snapToGrid w:val="0"/>
              <w:jc w:val="center"/>
              <w:rPr>
                <w:b/>
                <w:bCs/>
                <w:sz w:val="20"/>
                <w:szCs w:val="20"/>
                <w:lang w:val="fr-FR"/>
              </w:rPr>
            </w:pPr>
            <w:r w:rsidRPr="00854925">
              <w:rPr>
                <w:b/>
                <w:bCs/>
                <w:sz w:val="20"/>
                <w:szCs w:val="20"/>
                <w:lang w:val="fr-FR"/>
              </w:rPr>
              <w:t>Evaluation des investigateurs</w:t>
            </w:r>
          </w:p>
        </w:tc>
        <w:tc>
          <w:tcPr>
            <w:tcW w:w="3167" w:type="dxa"/>
            <w:gridSpan w:val="2"/>
          </w:tcPr>
          <w:p w14:paraId="54F1D600" w14:textId="77777777" w:rsidR="004401F0" w:rsidRPr="00854925" w:rsidRDefault="00DF3C4F" w:rsidP="00854925">
            <w:pPr>
              <w:pStyle w:val="TableParagraph"/>
              <w:adjustRightInd w:val="0"/>
              <w:snapToGrid w:val="0"/>
              <w:jc w:val="center"/>
              <w:rPr>
                <w:b/>
                <w:bCs/>
                <w:sz w:val="20"/>
                <w:szCs w:val="20"/>
                <w:lang w:val="fr-FR"/>
              </w:rPr>
            </w:pPr>
            <w:r w:rsidRPr="00854925">
              <w:rPr>
                <w:b/>
                <w:bCs/>
                <w:sz w:val="20"/>
                <w:szCs w:val="20"/>
                <w:lang w:val="fr-FR"/>
              </w:rPr>
              <w:t>Evaluation du Comité de Revue Indépendant</w:t>
            </w:r>
          </w:p>
        </w:tc>
      </w:tr>
      <w:tr w:rsidR="004401F0" w:rsidRPr="00D277A9" w14:paraId="50990485" w14:textId="77777777" w:rsidTr="00D277A9">
        <w:trPr>
          <w:cantSplit/>
        </w:trPr>
        <w:tc>
          <w:tcPr>
            <w:tcW w:w="2240" w:type="dxa"/>
          </w:tcPr>
          <w:p w14:paraId="3D5D2B3E" w14:textId="77777777" w:rsidR="004401F0" w:rsidRPr="00D277A9" w:rsidRDefault="004401F0" w:rsidP="00D277A9">
            <w:pPr>
              <w:pStyle w:val="TableParagraph"/>
              <w:adjustRightInd w:val="0"/>
              <w:snapToGrid w:val="0"/>
              <w:rPr>
                <w:sz w:val="20"/>
                <w:szCs w:val="20"/>
                <w:lang w:val="fr-FR"/>
              </w:rPr>
            </w:pPr>
          </w:p>
        </w:tc>
        <w:tc>
          <w:tcPr>
            <w:tcW w:w="1518" w:type="dxa"/>
          </w:tcPr>
          <w:p w14:paraId="3A50D126" w14:textId="77777777" w:rsidR="004401F0" w:rsidRPr="00D277A9" w:rsidRDefault="00DF3C4F" w:rsidP="00854925">
            <w:pPr>
              <w:pStyle w:val="TableParagraph"/>
              <w:adjustRightInd w:val="0"/>
              <w:snapToGrid w:val="0"/>
              <w:jc w:val="center"/>
              <w:rPr>
                <w:sz w:val="20"/>
                <w:szCs w:val="20"/>
                <w:lang w:val="fr-FR"/>
              </w:rPr>
            </w:pPr>
            <w:r w:rsidRPr="00D277A9">
              <w:rPr>
                <w:sz w:val="20"/>
                <w:szCs w:val="20"/>
                <w:lang w:val="fr-FR"/>
              </w:rPr>
              <w:t>Cap + Pl (n= 206)</w:t>
            </w:r>
          </w:p>
        </w:tc>
        <w:tc>
          <w:tcPr>
            <w:tcW w:w="1521" w:type="dxa"/>
          </w:tcPr>
          <w:p w14:paraId="497480A9" w14:textId="1F7F4E6A" w:rsidR="004401F0" w:rsidRPr="00D277A9" w:rsidRDefault="00DF3C4F" w:rsidP="002C5236">
            <w:pPr>
              <w:pStyle w:val="TableParagraph"/>
              <w:adjustRightInd w:val="0"/>
              <w:snapToGrid w:val="0"/>
              <w:jc w:val="center"/>
              <w:rPr>
                <w:sz w:val="20"/>
                <w:szCs w:val="20"/>
                <w:lang w:val="fr-FR"/>
              </w:rPr>
            </w:pPr>
            <w:r w:rsidRPr="00D277A9">
              <w:rPr>
                <w:sz w:val="20"/>
                <w:szCs w:val="20"/>
                <w:lang w:val="fr-FR"/>
              </w:rPr>
              <w:t xml:space="preserve">Cap + </w:t>
            </w:r>
            <w:r w:rsidR="002C5236">
              <w:rPr>
                <w:sz w:val="20"/>
                <w:szCs w:val="20"/>
                <w:lang w:val="fr-FR"/>
              </w:rPr>
              <w:t>B</w:t>
            </w:r>
            <w:r w:rsidR="00467939" w:rsidRPr="00654D21">
              <w:rPr>
                <w:sz w:val="20"/>
                <w:szCs w:val="20"/>
                <w:lang w:val="fr-FR"/>
              </w:rPr>
              <w:t>evacizumab</w:t>
            </w:r>
            <w:r w:rsidRPr="00D277A9">
              <w:rPr>
                <w:sz w:val="20"/>
                <w:szCs w:val="20"/>
                <w:lang w:val="fr-FR"/>
              </w:rPr>
              <w:t xml:space="preserve"> (n=409)</w:t>
            </w:r>
          </w:p>
        </w:tc>
        <w:tc>
          <w:tcPr>
            <w:tcW w:w="1497" w:type="dxa"/>
          </w:tcPr>
          <w:p w14:paraId="1578B5C7" w14:textId="3CF5D09B" w:rsidR="004401F0" w:rsidRPr="00D277A9" w:rsidRDefault="00DF3C4F" w:rsidP="00854925">
            <w:pPr>
              <w:pStyle w:val="TableParagraph"/>
              <w:adjustRightInd w:val="0"/>
              <w:snapToGrid w:val="0"/>
              <w:jc w:val="center"/>
              <w:rPr>
                <w:sz w:val="20"/>
                <w:szCs w:val="20"/>
                <w:lang w:val="fr-FR"/>
              </w:rPr>
            </w:pPr>
            <w:r w:rsidRPr="00D277A9">
              <w:rPr>
                <w:sz w:val="20"/>
                <w:szCs w:val="20"/>
                <w:lang w:val="fr-FR"/>
              </w:rPr>
              <w:t xml:space="preserve">Cap + Pl </w:t>
            </w:r>
            <w:r w:rsidR="004628EC">
              <w:rPr>
                <w:sz w:val="20"/>
                <w:szCs w:val="20"/>
                <w:lang w:val="fr-FR"/>
              </w:rPr>
              <w:br/>
            </w:r>
            <w:r w:rsidRPr="00D277A9">
              <w:rPr>
                <w:sz w:val="20"/>
                <w:szCs w:val="20"/>
                <w:lang w:val="fr-FR"/>
              </w:rPr>
              <w:t>(n= 206)</w:t>
            </w:r>
          </w:p>
        </w:tc>
        <w:tc>
          <w:tcPr>
            <w:tcW w:w="1670" w:type="dxa"/>
          </w:tcPr>
          <w:p w14:paraId="52E259BA" w14:textId="1F3C7F54" w:rsidR="004401F0" w:rsidRPr="00D277A9" w:rsidRDefault="00DF3C4F" w:rsidP="002C5236">
            <w:pPr>
              <w:pStyle w:val="TableParagraph"/>
              <w:adjustRightInd w:val="0"/>
              <w:snapToGrid w:val="0"/>
              <w:jc w:val="center"/>
              <w:rPr>
                <w:sz w:val="20"/>
                <w:szCs w:val="20"/>
                <w:lang w:val="fr-FR"/>
              </w:rPr>
            </w:pPr>
            <w:r w:rsidRPr="00D277A9">
              <w:rPr>
                <w:sz w:val="20"/>
                <w:szCs w:val="20"/>
                <w:lang w:val="fr-FR"/>
              </w:rPr>
              <w:t xml:space="preserve">Cap + </w:t>
            </w:r>
            <w:r w:rsidR="002C5236">
              <w:rPr>
                <w:sz w:val="20"/>
                <w:szCs w:val="20"/>
                <w:lang w:val="fr-FR"/>
              </w:rPr>
              <w:t>B</w:t>
            </w:r>
            <w:r w:rsidR="00467939">
              <w:rPr>
                <w:sz w:val="20"/>
                <w:szCs w:val="20"/>
                <w:lang w:val="fr-FR"/>
              </w:rPr>
              <w:t>evacizumab</w:t>
            </w:r>
            <w:r w:rsidR="00467939" w:rsidRPr="00D277A9">
              <w:rPr>
                <w:sz w:val="20"/>
                <w:szCs w:val="20"/>
                <w:lang w:val="fr-FR"/>
              </w:rPr>
              <w:t xml:space="preserve"> </w:t>
            </w:r>
            <w:r w:rsidRPr="00D277A9">
              <w:rPr>
                <w:sz w:val="20"/>
                <w:szCs w:val="20"/>
                <w:lang w:val="fr-FR"/>
              </w:rPr>
              <w:t>(n=409)</w:t>
            </w:r>
          </w:p>
        </w:tc>
      </w:tr>
      <w:tr w:rsidR="004401F0" w:rsidRPr="00D277A9" w14:paraId="1854AC44" w14:textId="77777777" w:rsidTr="00D277A9">
        <w:trPr>
          <w:cantSplit/>
        </w:trPr>
        <w:tc>
          <w:tcPr>
            <w:tcW w:w="2240" w:type="dxa"/>
          </w:tcPr>
          <w:p w14:paraId="194F34E4"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Médiane de la survie sans progression (mois)</w:t>
            </w:r>
          </w:p>
        </w:tc>
        <w:tc>
          <w:tcPr>
            <w:tcW w:w="1518" w:type="dxa"/>
          </w:tcPr>
          <w:p w14:paraId="0EACC8C0" w14:textId="77777777" w:rsidR="004401F0" w:rsidRPr="00D277A9" w:rsidRDefault="00DF3C4F" w:rsidP="00854925">
            <w:pPr>
              <w:pStyle w:val="TableParagraph"/>
              <w:adjustRightInd w:val="0"/>
              <w:snapToGrid w:val="0"/>
              <w:jc w:val="center"/>
              <w:rPr>
                <w:sz w:val="20"/>
                <w:szCs w:val="20"/>
                <w:lang w:val="fr-FR"/>
              </w:rPr>
            </w:pPr>
            <w:r w:rsidRPr="00D277A9">
              <w:rPr>
                <w:sz w:val="20"/>
                <w:szCs w:val="20"/>
                <w:lang w:val="fr-FR"/>
              </w:rPr>
              <w:t>5,7</w:t>
            </w:r>
          </w:p>
        </w:tc>
        <w:tc>
          <w:tcPr>
            <w:tcW w:w="1521" w:type="dxa"/>
          </w:tcPr>
          <w:p w14:paraId="159E30E3" w14:textId="77777777" w:rsidR="004401F0" w:rsidRPr="00D277A9" w:rsidRDefault="00DF3C4F" w:rsidP="00854925">
            <w:pPr>
              <w:pStyle w:val="TableParagraph"/>
              <w:adjustRightInd w:val="0"/>
              <w:snapToGrid w:val="0"/>
              <w:jc w:val="center"/>
              <w:rPr>
                <w:sz w:val="20"/>
                <w:szCs w:val="20"/>
                <w:lang w:val="fr-FR"/>
              </w:rPr>
            </w:pPr>
            <w:r w:rsidRPr="00D277A9">
              <w:rPr>
                <w:sz w:val="20"/>
                <w:szCs w:val="20"/>
                <w:lang w:val="fr-FR"/>
              </w:rPr>
              <w:t>8,6</w:t>
            </w:r>
          </w:p>
        </w:tc>
        <w:tc>
          <w:tcPr>
            <w:tcW w:w="1497" w:type="dxa"/>
          </w:tcPr>
          <w:p w14:paraId="70C644B6" w14:textId="77777777" w:rsidR="004401F0" w:rsidRPr="00D277A9" w:rsidRDefault="00DF3C4F" w:rsidP="00854925">
            <w:pPr>
              <w:pStyle w:val="TableParagraph"/>
              <w:adjustRightInd w:val="0"/>
              <w:snapToGrid w:val="0"/>
              <w:jc w:val="center"/>
              <w:rPr>
                <w:sz w:val="20"/>
                <w:szCs w:val="20"/>
                <w:lang w:val="fr-FR"/>
              </w:rPr>
            </w:pPr>
            <w:r w:rsidRPr="00D277A9">
              <w:rPr>
                <w:sz w:val="20"/>
                <w:szCs w:val="20"/>
                <w:lang w:val="fr-FR"/>
              </w:rPr>
              <w:t>6,2</w:t>
            </w:r>
          </w:p>
        </w:tc>
        <w:tc>
          <w:tcPr>
            <w:tcW w:w="1670" w:type="dxa"/>
          </w:tcPr>
          <w:p w14:paraId="0146E891" w14:textId="77777777" w:rsidR="004401F0" w:rsidRPr="00D277A9" w:rsidRDefault="00DF3C4F" w:rsidP="00854925">
            <w:pPr>
              <w:pStyle w:val="TableParagraph"/>
              <w:adjustRightInd w:val="0"/>
              <w:snapToGrid w:val="0"/>
              <w:jc w:val="center"/>
              <w:rPr>
                <w:sz w:val="20"/>
                <w:szCs w:val="20"/>
                <w:lang w:val="fr-FR"/>
              </w:rPr>
            </w:pPr>
            <w:r w:rsidRPr="00D277A9">
              <w:rPr>
                <w:sz w:val="20"/>
                <w:szCs w:val="20"/>
                <w:lang w:val="fr-FR"/>
              </w:rPr>
              <w:t>9,8</w:t>
            </w:r>
          </w:p>
        </w:tc>
      </w:tr>
      <w:tr w:rsidR="004401F0" w:rsidRPr="00D277A9" w14:paraId="349562A6" w14:textId="77777777" w:rsidTr="00D277A9">
        <w:trPr>
          <w:cantSplit/>
        </w:trPr>
        <w:tc>
          <w:tcPr>
            <w:tcW w:w="2240" w:type="dxa"/>
          </w:tcPr>
          <w:p w14:paraId="036158EB"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Risque relatif (hazard ratio) vs bras placebo</w:t>
            </w:r>
          </w:p>
          <w:p w14:paraId="489CCE6E"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(IC 95 %)</w:t>
            </w:r>
          </w:p>
        </w:tc>
        <w:tc>
          <w:tcPr>
            <w:tcW w:w="3039" w:type="dxa"/>
            <w:gridSpan w:val="2"/>
          </w:tcPr>
          <w:p w14:paraId="42A823BF" w14:textId="77777777" w:rsidR="004401F0" w:rsidRPr="00D277A9" w:rsidRDefault="00DF3C4F" w:rsidP="00854925">
            <w:pPr>
              <w:pStyle w:val="TableParagraph"/>
              <w:adjustRightInd w:val="0"/>
              <w:snapToGrid w:val="0"/>
              <w:jc w:val="center"/>
              <w:rPr>
                <w:sz w:val="20"/>
                <w:szCs w:val="20"/>
                <w:lang w:val="fr-FR"/>
              </w:rPr>
            </w:pPr>
            <w:r w:rsidRPr="00D277A9">
              <w:rPr>
                <w:sz w:val="20"/>
                <w:szCs w:val="20"/>
                <w:lang w:val="fr-FR"/>
              </w:rPr>
              <w:t>0,69 (0,56; 0,84)</w:t>
            </w:r>
          </w:p>
        </w:tc>
        <w:tc>
          <w:tcPr>
            <w:tcW w:w="3167" w:type="dxa"/>
            <w:gridSpan w:val="2"/>
          </w:tcPr>
          <w:p w14:paraId="47702702" w14:textId="77777777" w:rsidR="004401F0" w:rsidRPr="00D277A9" w:rsidRDefault="00DF3C4F" w:rsidP="00854925">
            <w:pPr>
              <w:pStyle w:val="TableParagraph"/>
              <w:adjustRightInd w:val="0"/>
              <w:snapToGrid w:val="0"/>
              <w:jc w:val="center"/>
              <w:rPr>
                <w:sz w:val="20"/>
                <w:szCs w:val="20"/>
                <w:lang w:val="fr-FR"/>
              </w:rPr>
            </w:pPr>
            <w:r w:rsidRPr="00D277A9">
              <w:rPr>
                <w:sz w:val="20"/>
                <w:szCs w:val="20"/>
                <w:lang w:val="fr-FR"/>
              </w:rPr>
              <w:t>0,68 (0,54; 0,86)</w:t>
            </w:r>
          </w:p>
        </w:tc>
      </w:tr>
      <w:tr w:rsidR="004401F0" w:rsidRPr="00D277A9" w14:paraId="1BED0D36" w14:textId="77777777" w:rsidTr="00D277A9">
        <w:trPr>
          <w:cantSplit/>
        </w:trPr>
        <w:tc>
          <w:tcPr>
            <w:tcW w:w="2240" w:type="dxa"/>
          </w:tcPr>
          <w:p w14:paraId="61F65BDC"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valeur du p</w:t>
            </w:r>
          </w:p>
        </w:tc>
        <w:tc>
          <w:tcPr>
            <w:tcW w:w="3039" w:type="dxa"/>
            <w:gridSpan w:val="2"/>
          </w:tcPr>
          <w:p w14:paraId="432EF3CB" w14:textId="77777777" w:rsidR="004401F0" w:rsidRPr="00D277A9" w:rsidRDefault="00DF3C4F" w:rsidP="00854925">
            <w:pPr>
              <w:pStyle w:val="TableParagraph"/>
              <w:adjustRightInd w:val="0"/>
              <w:snapToGrid w:val="0"/>
              <w:jc w:val="center"/>
              <w:rPr>
                <w:sz w:val="20"/>
                <w:szCs w:val="20"/>
                <w:lang w:val="fr-FR"/>
              </w:rPr>
            </w:pPr>
            <w:r w:rsidRPr="00D277A9">
              <w:rPr>
                <w:sz w:val="20"/>
                <w:szCs w:val="20"/>
                <w:lang w:val="fr-FR"/>
              </w:rPr>
              <w:t>0,0002</w:t>
            </w:r>
          </w:p>
        </w:tc>
        <w:tc>
          <w:tcPr>
            <w:tcW w:w="3167" w:type="dxa"/>
            <w:gridSpan w:val="2"/>
          </w:tcPr>
          <w:p w14:paraId="7B4B89A9" w14:textId="77777777" w:rsidR="004401F0" w:rsidRPr="00D277A9" w:rsidRDefault="00DF3C4F" w:rsidP="00854925">
            <w:pPr>
              <w:pStyle w:val="TableParagraph"/>
              <w:adjustRightInd w:val="0"/>
              <w:snapToGrid w:val="0"/>
              <w:jc w:val="center"/>
              <w:rPr>
                <w:sz w:val="20"/>
                <w:szCs w:val="20"/>
                <w:lang w:val="fr-FR"/>
              </w:rPr>
            </w:pPr>
            <w:r w:rsidRPr="00D277A9">
              <w:rPr>
                <w:sz w:val="20"/>
                <w:szCs w:val="20"/>
                <w:lang w:val="fr-FR"/>
              </w:rPr>
              <w:t>0,0011</w:t>
            </w:r>
          </w:p>
        </w:tc>
      </w:tr>
      <w:tr w:rsidR="004401F0" w:rsidRPr="000D7348" w14:paraId="2B80D27F" w14:textId="77777777" w:rsidTr="00D277A9">
        <w:trPr>
          <w:cantSplit/>
        </w:trPr>
        <w:tc>
          <w:tcPr>
            <w:tcW w:w="8446" w:type="dxa"/>
            <w:gridSpan w:val="5"/>
          </w:tcPr>
          <w:p w14:paraId="70208AFC"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Taux de réponse (pour les patients avec une maladie mesurable)</w:t>
            </w:r>
            <w:r w:rsidRPr="00D277A9">
              <w:rPr>
                <w:sz w:val="20"/>
                <w:szCs w:val="20"/>
                <w:vertAlign w:val="superscript"/>
                <w:lang w:val="fr-FR"/>
              </w:rPr>
              <w:t>b</w:t>
            </w:r>
          </w:p>
        </w:tc>
      </w:tr>
      <w:tr w:rsidR="004401F0" w:rsidRPr="00D277A9" w14:paraId="78208B05" w14:textId="77777777" w:rsidTr="00D277A9">
        <w:trPr>
          <w:cantSplit/>
        </w:trPr>
        <w:tc>
          <w:tcPr>
            <w:tcW w:w="2240" w:type="dxa"/>
          </w:tcPr>
          <w:p w14:paraId="081809D0" w14:textId="77777777" w:rsidR="004401F0" w:rsidRPr="00D277A9" w:rsidRDefault="004401F0" w:rsidP="00654D21">
            <w:pPr>
              <w:pStyle w:val="TableParagraph"/>
              <w:keepNext/>
              <w:keepLines/>
              <w:adjustRightInd w:val="0"/>
              <w:snapToGrid w:val="0"/>
              <w:rPr>
                <w:sz w:val="20"/>
                <w:szCs w:val="20"/>
                <w:lang w:val="fr-FR"/>
              </w:rPr>
            </w:pPr>
          </w:p>
        </w:tc>
        <w:tc>
          <w:tcPr>
            <w:tcW w:w="3039" w:type="dxa"/>
            <w:gridSpan w:val="2"/>
          </w:tcPr>
          <w:p w14:paraId="1D3D2278"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Cap + Pl (n= 161)</w:t>
            </w:r>
          </w:p>
        </w:tc>
        <w:tc>
          <w:tcPr>
            <w:tcW w:w="3167" w:type="dxa"/>
            <w:gridSpan w:val="2"/>
          </w:tcPr>
          <w:p w14:paraId="4D600805" w14:textId="279785A2"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 xml:space="preserve">Cap + </w:t>
            </w:r>
            <w:r w:rsidR="002C5236">
              <w:rPr>
                <w:sz w:val="20"/>
                <w:szCs w:val="20"/>
                <w:lang w:val="fr-FR"/>
              </w:rPr>
              <w:t>B</w:t>
            </w:r>
            <w:r w:rsidR="00467939" w:rsidRPr="00654D21">
              <w:rPr>
                <w:sz w:val="20"/>
                <w:szCs w:val="20"/>
                <w:lang w:val="fr-FR"/>
              </w:rPr>
              <w:t>evacizumab</w:t>
            </w:r>
            <w:r w:rsidRPr="00D277A9">
              <w:rPr>
                <w:sz w:val="20"/>
                <w:szCs w:val="20"/>
                <w:lang w:val="fr-FR"/>
              </w:rPr>
              <w:t xml:space="preserve"> (n=325)</w:t>
            </w:r>
          </w:p>
        </w:tc>
      </w:tr>
      <w:tr w:rsidR="004401F0" w:rsidRPr="00D277A9" w14:paraId="1816591F" w14:textId="77777777" w:rsidTr="00D277A9">
        <w:trPr>
          <w:cantSplit/>
        </w:trPr>
        <w:tc>
          <w:tcPr>
            <w:tcW w:w="2240" w:type="dxa"/>
          </w:tcPr>
          <w:p w14:paraId="13822B8A"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 de patients avec une</w:t>
            </w:r>
          </w:p>
          <w:p w14:paraId="03CD1631"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réponse objective</w:t>
            </w:r>
          </w:p>
        </w:tc>
        <w:tc>
          <w:tcPr>
            <w:tcW w:w="3039" w:type="dxa"/>
            <w:gridSpan w:val="2"/>
          </w:tcPr>
          <w:p w14:paraId="6DD90D18"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23,6</w:t>
            </w:r>
          </w:p>
        </w:tc>
        <w:tc>
          <w:tcPr>
            <w:tcW w:w="3167" w:type="dxa"/>
            <w:gridSpan w:val="2"/>
          </w:tcPr>
          <w:p w14:paraId="3AD853DF"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35,4</w:t>
            </w:r>
          </w:p>
        </w:tc>
      </w:tr>
      <w:tr w:rsidR="004401F0" w:rsidRPr="00D277A9" w14:paraId="3707542B" w14:textId="77777777" w:rsidTr="00D277A9">
        <w:trPr>
          <w:cantSplit/>
        </w:trPr>
        <w:tc>
          <w:tcPr>
            <w:tcW w:w="2240" w:type="dxa"/>
          </w:tcPr>
          <w:p w14:paraId="2C65BC33"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valeur du p</w:t>
            </w:r>
          </w:p>
        </w:tc>
        <w:tc>
          <w:tcPr>
            <w:tcW w:w="6206" w:type="dxa"/>
            <w:gridSpan w:val="4"/>
          </w:tcPr>
          <w:p w14:paraId="55F1C45F"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0,0097</w:t>
            </w:r>
          </w:p>
        </w:tc>
      </w:tr>
      <w:tr w:rsidR="004401F0" w:rsidRPr="00D277A9" w14:paraId="15A08F38" w14:textId="77777777" w:rsidTr="00D277A9">
        <w:trPr>
          <w:cantSplit/>
        </w:trPr>
        <w:tc>
          <w:tcPr>
            <w:tcW w:w="8446" w:type="dxa"/>
            <w:gridSpan w:val="5"/>
          </w:tcPr>
          <w:p w14:paraId="2F34BF6D"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Survie globale</w:t>
            </w:r>
            <w:r w:rsidRPr="00D277A9">
              <w:rPr>
                <w:sz w:val="20"/>
                <w:szCs w:val="20"/>
                <w:vertAlign w:val="superscript"/>
                <w:lang w:val="fr-FR"/>
              </w:rPr>
              <w:t>b</w:t>
            </w:r>
          </w:p>
        </w:tc>
      </w:tr>
      <w:tr w:rsidR="004401F0" w:rsidRPr="00D277A9" w14:paraId="4C52BF45" w14:textId="77777777" w:rsidTr="00D277A9">
        <w:trPr>
          <w:cantSplit/>
        </w:trPr>
        <w:tc>
          <w:tcPr>
            <w:tcW w:w="2240" w:type="dxa"/>
          </w:tcPr>
          <w:p w14:paraId="4BA309EC"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Risque relatif (hazard ratio) vs bras placebo</w:t>
            </w:r>
          </w:p>
          <w:p w14:paraId="48C06D83"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(IC 95 %)</w:t>
            </w:r>
          </w:p>
        </w:tc>
        <w:tc>
          <w:tcPr>
            <w:tcW w:w="6206" w:type="dxa"/>
            <w:gridSpan w:val="4"/>
          </w:tcPr>
          <w:p w14:paraId="19361F12" w14:textId="7AEE69E5"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0,88 (0,69</w:t>
            </w:r>
            <w:r w:rsidR="00881CB8">
              <w:rPr>
                <w:sz w:val="20"/>
                <w:szCs w:val="20"/>
                <w:lang w:val="fr-FR"/>
              </w:rPr>
              <w:t xml:space="preserve"> ; </w:t>
            </w:r>
            <w:r w:rsidRPr="00D277A9">
              <w:rPr>
                <w:sz w:val="20"/>
                <w:szCs w:val="20"/>
                <w:lang w:val="fr-FR"/>
              </w:rPr>
              <w:t>1,13)</w:t>
            </w:r>
          </w:p>
        </w:tc>
      </w:tr>
      <w:tr w:rsidR="004401F0" w:rsidRPr="00D277A9" w14:paraId="39AAB4E7" w14:textId="77777777" w:rsidTr="00D277A9">
        <w:trPr>
          <w:cantSplit/>
        </w:trPr>
        <w:tc>
          <w:tcPr>
            <w:tcW w:w="2240" w:type="dxa"/>
          </w:tcPr>
          <w:p w14:paraId="1D8089B8"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valeur exploratoire du p</w:t>
            </w:r>
          </w:p>
        </w:tc>
        <w:tc>
          <w:tcPr>
            <w:tcW w:w="6206" w:type="dxa"/>
            <w:gridSpan w:val="4"/>
          </w:tcPr>
          <w:p w14:paraId="67300E8A" w14:textId="77777777" w:rsidR="004401F0" w:rsidRPr="00D277A9" w:rsidRDefault="00DF3C4F" w:rsidP="00854925">
            <w:pPr>
              <w:pStyle w:val="TableParagraph"/>
              <w:adjustRightInd w:val="0"/>
              <w:snapToGrid w:val="0"/>
              <w:jc w:val="center"/>
              <w:rPr>
                <w:sz w:val="20"/>
                <w:szCs w:val="20"/>
                <w:lang w:val="fr-FR"/>
              </w:rPr>
            </w:pPr>
            <w:r w:rsidRPr="00D277A9">
              <w:rPr>
                <w:sz w:val="20"/>
                <w:szCs w:val="20"/>
                <w:lang w:val="fr-FR"/>
              </w:rPr>
              <w:t>0,33</w:t>
            </w:r>
          </w:p>
        </w:tc>
      </w:tr>
    </w:tbl>
    <w:p w14:paraId="64EAC38E" w14:textId="77777777" w:rsidR="004401F0" w:rsidRPr="00D277A9" w:rsidRDefault="00DF3C4F" w:rsidP="00BD4C7C">
      <w:pPr>
        <w:adjustRightInd w:val="0"/>
        <w:snapToGrid w:val="0"/>
        <w:rPr>
          <w:sz w:val="18"/>
          <w:szCs w:val="18"/>
          <w:lang w:val="fr-FR"/>
        </w:rPr>
      </w:pPr>
      <w:r w:rsidRPr="00D277A9">
        <w:rPr>
          <w:sz w:val="18"/>
          <w:szCs w:val="18"/>
          <w:vertAlign w:val="superscript"/>
          <w:lang w:val="fr-FR"/>
        </w:rPr>
        <w:t>a</w:t>
      </w:r>
      <w:r w:rsidRPr="00D277A9">
        <w:rPr>
          <w:sz w:val="18"/>
          <w:szCs w:val="18"/>
          <w:lang w:val="fr-FR"/>
        </w:rPr>
        <w:t xml:space="preserve"> 1000</w:t>
      </w:r>
      <w:r w:rsidR="00DA7718" w:rsidRPr="00D277A9">
        <w:rPr>
          <w:sz w:val="18"/>
          <w:szCs w:val="18"/>
          <w:lang w:val="fr-FR"/>
        </w:rPr>
        <w:t> mg</w:t>
      </w:r>
      <w:r w:rsidRPr="00D277A9">
        <w:rPr>
          <w:sz w:val="18"/>
          <w:szCs w:val="18"/>
          <w:lang w:val="fr-FR"/>
        </w:rPr>
        <w:t>/m² administré par voie orale deux fois par jour pendant 14 jours toutes les 3 semaines</w:t>
      </w:r>
    </w:p>
    <w:p w14:paraId="1D5CFCEC" w14:textId="2761726D" w:rsidR="004401F0" w:rsidRPr="00D277A9" w:rsidRDefault="00DF3C4F" w:rsidP="00BD4C7C">
      <w:pPr>
        <w:adjustRightInd w:val="0"/>
        <w:snapToGrid w:val="0"/>
        <w:rPr>
          <w:sz w:val="18"/>
          <w:szCs w:val="18"/>
          <w:lang w:val="fr-FR"/>
        </w:rPr>
      </w:pPr>
      <w:r w:rsidRPr="00D277A9">
        <w:rPr>
          <w:sz w:val="18"/>
          <w:szCs w:val="18"/>
          <w:vertAlign w:val="superscript"/>
          <w:lang w:val="fr-FR"/>
        </w:rPr>
        <w:t>b</w:t>
      </w:r>
      <w:r w:rsidRPr="00D277A9">
        <w:rPr>
          <w:sz w:val="18"/>
          <w:szCs w:val="18"/>
          <w:lang w:val="fr-FR"/>
        </w:rPr>
        <w:t xml:space="preserve"> Cette analyse stratifiée incluait tous les évènements de progression ou de décès exceptés ceux liés à des traitements hors protocole initiés avant que la progression ne soit documentée</w:t>
      </w:r>
      <w:r w:rsidR="00881CB8">
        <w:rPr>
          <w:sz w:val="18"/>
          <w:szCs w:val="18"/>
          <w:lang w:val="fr-FR"/>
        </w:rPr>
        <w:t xml:space="preserve"> ; </w:t>
      </w:r>
      <w:r w:rsidRPr="00D277A9">
        <w:rPr>
          <w:sz w:val="18"/>
          <w:szCs w:val="18"/>
          <w:lang w:val="fr-FR"/>
        </w:rPr>
        <w:t>les données de ces patients étaient censurées au moment de la dernière évaluation tumorale avant le début du traitement hors protocole.</w:t>
      </w:r>
    </w:p>
    <w:p w14:paraId="135FB783" w14:textId="77777777" w:rsidR="004401F0" w:rsidRPr="007C119A" w:rsidRDefault="004401F0" w:rsidP="00BD4C7C">
      <w:pPr>
        <w:pStyle w:val="a3"/>
        <w:adjustRightInd w:val="0"/>
        <w:snapToGrid w:val="0"/>
        <w:rPr>
          <w:lang w:val="fr-FR"/>
        </w:rPr>
      </w:pPr>
    </w:p>
    <w:p w14:paraId="5A0FE4E5" w14:textId="77777777" w:rsidR="004401F0" w:rsidRPr="00DA7718" w:rsidRDefault="00DF3C4F" w:rsidP="00BD4C7C">
      <w:pPr>
        <w:pStyle w:val="a3"/>
        <w:adjustRightInd w:val="0"/>
        <w:snapToGrid w:val="0"/>
        <w:rPr>
          <w:lang w:val="fr-FR"/>
        </w:rPr>
      </w:pPr>
      <w:r w:rsidRPr="00DA7718">
        <w:rPr>
          <w:lang w:val="fr-FR"/>
        </w:rPr>
        <w:t>Une analyse non stratifiée de la PFS (évaluée par les investigateurs) a été réalisée sans censurer les traitements hors protocole avant progression de la maladie. Les résultats de ces analyses étaient très similaires à ceux de la survie sans progression du critère principal.</w:t>
      </w:r>
    </w:p>
    <w:p w14:paraId="2ECD09E5" w14:textId="77777777" w:rsidR="004401F0" w:rsidRPr="00DA7718" w:rsidRDefault="004401F0" w:rsidP="00BD4C7C">
      <w:pPr>
        <w:pStyle w:val="a3"/>
        <w:adjustRightInd w:val="0"/>
        <w:snapToGrid w:val="0"/>
        <w:rPr>
          <w:lang w:val="fr-FR"/>
        </w:rPr>
      </w:pPr>
    </w:p>
    <w:p w14:paraId="0B0174D4" w14:textId="77777777" w:rsidR="004401F0" w:rsidRPr="00DA7718" w:rsidRDefault="00DF3C4F" w:rsidP="00BD4C7C">
      <w:pPr>
        <w:adjustRightInd w:val="0"/>
        <w:snapToGrid w:val="0"/>
        <w:rPr>
          <w:i/>
          <w:lang w:val="fr-FR"/>
        </w:rPr>
      </w:pPr>
      <w:r w:rsidRPr="00DA7718">
        <w:rPr>
          <w:i/>
          <w:u w:val="single"/>
          <w:lang w:val="fr-FR"/>
        </w:rPr>
        <w:t>Cancer bronchique non à petites cellules (CBNPC)</w:t>
      </w:r>
    </w:p>
    <w:p w14:paraId="51EBAC4D" w14:textId="77777777" w:rsidR="004401F0" w:rsidRPr="003F4D24" w:rsidRDefault="004401F0" w:rsidP="00BD4C7C">
      <w:pPr>
        <w:pStyle w:val="a3"/>
        <w:adjustRightInd w:val="0"/>
        <w:snapToGrid w:val="0"/>
        <w:rPr>
          <w:i/>
          <w:lang w:val="fr-FR"/>
        </w:rPr>
      </w:pPr>
    </w:p>
    <w:p w14:paraId="593DE428" w14:textId="77777777" w:rsidR="004401F0" w:rsidRPr="00DA7718" w:rsidRDefault="00DF3C4F" w:rsidP="00BD4C7C">
      <w:pPr>
        <w:adjustRightInd w:val="0"/>
        <w:snapToGrid w:val="0"/>
        <w:rPr>
          <w:i/>
          <w:lang w:val="fr-FR"/>
        </w:rPr>
      </w:pPr>
      <w:r w:rsidRPr="00DA7718">
        <w:rPr>
          <w:i/>
          <w:lang w:val="fr-FR"/>
        </w:rPr>
        <w:t>Traitement de première ligne du CBNPC non épidermoïde en association à une chimiothérapie à base de sels de platine</w:t>
      </w:r>
    </w:p>
    <w:p w14:paraId="3666B8BC" w14:textId="77777777" w:rsidR="004401F0" w:rsidRPr="00DA7718" w:rsidRDefault="004401F0" w:rsidP="00BD4C7C">
      <w:pPr>
        <w:pStyle w:val="a3"/>
        <w:adjustRightInd w:val="0"/>
        <w:snapToGrid w:val="0"/>
        <w:rPr>
          <w:i/>
          <w:lang w:val="fr-FR"/>
        </w:rPr>
      </w:pPr>
    </w:p>
    <w:p w14:paraId="1DC9D4D9" w14:textId="5C5262EA" w:rsidR="004401F0" w:rsidRPr="00DA7718" w:rsidRDefault="00DF3C4F" w:rsidP="00BD4C7C">
      <w:pPr>
        <w:pStyle w:val="a3"/>
        <w:adjustRightInd w:val="0"/>
        <w:snapToGrid w:val="0"/>
        <w:rPr>
          <w:lang w:val="fr-FR"/>
        </w:rPr>
      </w:pPr>
      <w:r w:rsidRPr="00DA7718">
        <w:rPr>
          <w:lang w:val="fr-FR"/>
        </w:rPr>
        <w:t xml:space="preserve">La tolérance et l’efficacité </w:t>
      </w:r>
      <w:r w:rsidR="00467939">
        <w:rPr>
          <w:lang w:val="fr-FR"/>
        </w:rPr>
        <w:t>du bevacizumab</w:t>
      </w:r>
      <w:r w:rsidR="00467939" w:rsidRPr="00DA7718">
        <w:rPr>
          <w:lang w:val="fr-FR"/>
        </w:rPr>
        <w:t xml:space="preserve"> </w:t>
      </w:r>
      <w:r w:rsidRPr="00DA7718">
        <w:rPr>
          <w:lang w:val="fr-FR"/>
        </w:rPr>
        <w:t xml:space="preserve">associé à une chimiothérapie à base de sels de platine, en traitement de première ligne chez les patients atteints d’un CBNPC non épidermoïde, ont été étudiées dans les études E4599 et BO17704. Un bénéfice sur </w:t>
      </w:r>
      <w:r w:rsidR="00803E4E">
        <w:rPr>
          <w:lang w:val="fr-FR"/>
        </w:rPr>
        <w:t>l’OS</w:t>
      </w:r>
      <w:r w:rsidRPr="00DA7718">
        <w:rPr>
          <w:lang w:val="fr-FR"/>
        </w:rPr>
        <w:t xml:space="preserve"> a été démontré dans l’étude E4599 avec bevacizumab à la posologie de 15</w:t>
      </w:r>
      <w:r w:rsidR="00DA7718" w:rsidRPr="00DA7718">
        <w:rPr>
          <w:lang w:val="fr-FR"/>
        </w:rPr>
        <w:t> mg</w:t>
      </w:r>
      <w:r w:rsidRPr="00DA7718">
        <w:rPr>
          <w:lang w:val="fr-FR"/>
        </w:rPr>
        <w:t>/kg toutes les 3 semaines. L’étude BO17704 a démontré que les posologies de 7,5</w:t>
      </w:r>
      <w:r w:rsidR="00DA7718" w:rsidRPr="00DA7718">
        <w:rPr>
          <w:lang w:val="fr-FR"/>
        </w:rPr>
        <w:t> mg</w:t>
      </w:r>
      <w:r w:rsidRPr="00DA7718">
        <w:rPr>
          <w:lang w:val="fr-FR"/>
        </w:rPr>
        <w:t>/kg et 15</w:t>
      </w:r>
      <w:r w:rsidR="00DA7718" w:rsidRPr="00DA7718">
        <w:rPr>
          <w:lang w:val="fr-FR"/>
        </w:rPr>
        <w:t> mg</w:t>
      </w:r>
      <w:r w:rsidRPr="00DA7718">
        <w:rPr>
          <w:lang w:val="fr-FR"/>
        </w:rPr>
        <w:t xml:space="preserve">/kg toutes les 3 semaines augmentent la </w:t>
      </w:r>
      <w:r w:rsidR="00803E4E">
        <w:rPr>
          <w:lang w:val="fr-FR"/>
        </w:rPr>
        <w:t>PFS</w:t>
      </w:r>
      <w:r w:rsidRPr="00DA7718">
        <w:rPr>
          <w:lang w:val="fr-FR"/>
        </w:rPr>
        <w:t xml:space="preserve"> et le taux de réponse.</w:t>
      </w:r>
    </w:p>
    <w:p w14:paraId="62F7466C" w14:textId="77777777" w:rsidR="00BD4C7C" w:rsidRPr="00DA7718" w:rsidRDefault="00BD4C7C" w:rsidP="00BD4C7C">
      <w:pPr>
        <w:adjustRightInd w:val="0"/>
        <w:snapToGrid w:val="0"/>
        <w:rPr>
          <w:lang w:val="fr-FR"/>
        </w:rPr>
      </w:pPr>
    </w:p>
    <w:p w14:paraId="435582EA" w14:textId="77777777" w:rsidR="004401F0" w:rsidRPr="00DA7718" w:rsidRDefault="00DF3C4F" w:rsidP="00BD4C7C">
      <w:pPr>
        <w:adjustRightInd w:val="0"/>
        <w:snapToGrid w:val="0"/>
        <w:rPr>
          <w:i/>
          <w:lang w:val="fr-FR"/>
        </w:rPr>
      </w:pPr>
      <w:r w:rsidRPr="00DA7718">
        <w:rPr>
          <w:i/>
          <w:lang w:val="fr-FR"/>
        </w:rPr>
        <w:t>E4599</w:t>
      </w:r>
    </w:p>
    <w:p w14:paraId="428C1124" w14:textId="1BF4A402" w:rsidR="004401F0" w:rsidRPr="00DA7718" w:rsidRDefault="00DF3C4F" w:rsidP="00BD4C7C">
      <w:pPr>
        <w:pStyle w:val="a3"/>
        <w:adjustRightInd w:val="0"/>
        <w:snapToGrid w:val="0"/>
        <w:rPr>
          <w:lang w:val="fr-FR"/>
        </w:rPr>
      </w:pPr>
      <w:r w:rsidRPr="00DA7718">
        <w:rPr>
          <w:lang w:val="fr-FR"/>
        </w:rPr>
        <w:t xml:space="preserve">L’étude E4599 était une étude ouverte, randomisée, contrôlée, multicentrique, évaluant </w:t>
      </w:r>
      <w:r w:rsidR="008B1F0B">
        <w:rPr>
          <w:lang w:val="fr-FR"/>
        </w:rPr>
        <w:t>le bevacizumab</w:t>
      </w:r>
      <w:r w:rsidR="008B1F0B" w:rsidRPr="00DA7718">
        <w:rPr>
          <w:lang w:val="fr-FR"/>
        </w:rPr>
        <w:t xml:space="preserve"> </w:t>
      </w:r>
      <w:r w:rsidRPr="00DA7718">
        <w:rPr>
          <w:lang w:val="fr-FR"/>
        </w:rPr>
        <w:t>en traitement de première ligne du CBNPC localement avancé (stade IIIb avec épanchement pleural malin), métastatique ou en rechute, dès lors que l’histologie n’était pas à prédominance épidermoïde.</w:t>
      </w:r>
    </w:p>
    <w:p w14:paraId="127A6C85" w14:textId="77777777" w:rsidR="004401F0" w:rsidRPr="007C119A" w:rsidRDefault="004401F0" w:rsidP="00BD4C7C">
      <w:pPr>
        <w:pStyle w:val="a3"/>
        <w:adjustRightInd w:val="0"/>
        <w:snapToGrid w:val="0"/>
        <w:rPr>
          <w:lang w:val="fr-FR"/>
        </w:rPr>
      </w:pPr>
    </w:p>
    <w:p w14:paraId="7DA1E701" w14:textId="300CE4E4" w:rsidR="004401F0" w:rsidRPr="00DA7718" w:rsidRDefault="00DF3C4F" w:rsidP="00BD4C7C">
      <w:pPr>
        <w:pStyle w:val="a3"/>
        <w:adjustRightInd w:val="0"/>
        <w:snapToGrid w:val="0"/>
        <w:rPr>
          <w:lang w:val="fr-FR"/>
        </w:rPr>
      </w:pPr>
      <w:r w:rsidRPr="00DA7718">
        <w:rPr>
          <w:lang w:val="fr-FR"/>
        </w:rPr>
        <w:t xml:space="preserve">Les patients ont été randomisés pour recevoir une chimiothérapie à base de sels de platine (perfusion </w:t>
      </w:r>
      <w:r w:rsidR="008B1F0B">
        <w:rPr>
          <w:lang w:val="fr-FR"/>
        </w:rPr>
        <w:t>intraveineuse</w:t>
      </w:r>
      <w:r w:rsidR="008B1F0B" w:rsidRPr="00DA7718">
        <w:rPr>
          <w:lang w:val="fr-FR"/>
        </w:rPr>
        <w:t xml:space="preserve"> </w:t>
      </w:r>
      <w:r w:rsidRPr="00DA7718">
        <w:rPr>
          <w:lang w:val="fr-FR"/>
        </w:rPr>
        <w:t>de paclitaxel 200</w:t>
      </w:r>
      <w:r w:rsidR="00DA7718" w:rsidRPr="00DA7718">
        <w:rPr>
          <w:lang w:val="fr-FR"/>
        </w:rPr>
        <w:t> mg</w:t>
      </w:r>
      <w:r w:rsidRPr="00DA7718">
        <w:rPr>
          <w:lang w:val="fr-FR"/>
        </w:rPr>
        <w:t>/m</w:t>
      </w:r>
      <w:r w:rsidRPr="00DA7718">
        <w:rPr>
          <w:vertAlign w:val="superscript"/>
          <w:lang w:val="fr-FR"/>
        </w:rPr>
        <w:t>2</w:t>
      </w:r>
      <w:r w:rsidRPr="00DA7718">
        <w:rPr>
          <w:lang w:val="fr-FR"/>
        </w:rPr>
        <w:t xml:space="preserve"> et de carboplatine ASC = 6,0) (PC) le premier jour de chaque cycle de 3 semaines pendant 6 cycles maximum de PC, en association avec </w:t>
      </w:r>
      <w:r w:rsidR="008B1F0B">
        <w:rPr>
          <w:lang w:val="fr-FR"/>
        </w:rPr>
        <w:t>bevacizumab</w:t>
      </w:r>
      <w:r w:rsidRPr="00DA7718">
        <w:rPr>
          <w:lang w:val="fr-FR"/>
        </w:rPr>
        <w:t xml:space="preserve"> à la dose de 15</w:t>
      </w:r>
      <w:r w:rsidR="00DA7718" w:rsidRPr="00DA7718">
        <w:rPr>
          <w:lang w:val="fr-FR"/>
        </w:rPr>
        <w:t> mg</w:t>
      </w:r>
      <w:r w:rsidRPr="00DA7718">
        <w:rPr>
          <w:lang w:val="fr-FR"/>
        </w:rPr>
        <w:t xml:space="preserve">/kg en perfusion </w:t>
      </w:r>
      <w:r w:rsidR="008B1F0B">
        <w:rPr>
          <w:lang w:val="fr-FR"/>
        </w:rPr>
        <w:t>intraveineuse</w:t>
      </w:r>
      <w:r w:rsidR="008B1F0B" w:rsidRPr="00DA7718">
        <w:rPr>
          <w:lang w:val="fr-FR"/>
        </w:rPr>
        <w:t xml:space="preserve"> </w:t>
      </w:r>
      <w:r w:rsidRPr="00DA7718">
        <w:rPr>
          <w:lang w:val="fr-FR"/>
        </w:rPr>
        <w:t xml:space="preserve">le premier jour de chaque cycle de 3 semaines. A l’issue de </w:t>
      </w:r>
      <w:r w:rsidR="007F735F" w:rsidRPr="00DA7718">
        <w:rPr>
          <w:lang w:val="fr-FR"/>
        </w:rPr>
        <w:t>6</w:t>
      </w:r>
      <w:r w:rsidR="007F735F">
        <w:rPr>
          <w:lang w:val="fr-FR"/>
        </w:rPr>
        <w:t> </w:t>
      </w:r>
      <w:r w:rsidRPr="00DA7718">
        <w:rPr>
          <w:lang w:val="fr-FR"/>
        </w:rPr>
        <w:t xml:space="preserve">cycles complets de chimiothérapie carboplatine / paclitaxel ou en cas d’arrêt prématuré de la chimiothérapie, les patients du groupe </w:t>
      </w:r>
      <w:r w:rsidR="008B1F0B">
        <w:rPr>
          <w:lang w:val="fr-FR"/>
        </w:rPr>
        <w:t>bevacizumab</w:t>
      </w:r>
      <w:r w:rsidRPr="00DA7718">
        <w:rPr>
          <w:lang w:val="fr-FR"/>
        </w:rPr>
        <w:t xml:space="preserve"> + carboplatine / paclitaxel ont continué à recevoir </w:t>
      </w:r>
      <w:r w:rsidR="008B1F0B">
        <w:rPr>
          <w:lang w:val="fr-FR"/>
        </w:rPr>
        <w:t>le bevacizumab</w:t>
      </w:r>
      <w:r w:rsidR="008B1F0B" w:rsidRPr="00DA7718">
        <w:rPr>
          <w:lang w:val="fr-FR"/>
        </w:rPr>
        <w:t xml:space="preserve"> </w:t>
      </w:r>
      <w:r w:rsidRPr="00DA7718">
        <w:rPr>
          <w:lang w:val="fr-FR"/>
        </w:rPr>
        <w:t>en monothérapie toutes les 3 semaines jusqu’à progression de la maladie. 878 patients ont été randomisés dans les 2 groupes.</w:t>
      </w:r>
    </w:p>
    <w:p w14:paraId="47281683" w14:textId="77777777" w:rsidR="004401F0" w:rsidRPr="00DA7718" w:rsidRDefault="004401F0" w:rsidP="00BD4C7C">
      <w:pPr>
        <w:pStyle w:val="a3"/>
        <w:adjustRightInd w:val="0"/>
        <w:snapToGrid w:val="0"/>
        <w:rPr>
          <w:lang w:val="fr-FR"/>
        </w:rPr>
      </w:pPr>
    </w:p>
    <w:p w14:paraId="67F470E3" w14:textId="674B8811" w:rsidR="004401F0" w:rsidRPr="00DA7718" w:rsidRDefault="00DF3C4F" w:rsidP="00BD4C7C">
      <w:pPr>
        <w:pStyle w:val="a3"/>
        <w:adjustRightInd w:val="0"/>
        <w:snapToGrid w:val="0"/>
        <w:rPr>
          <w:lang w:val="fr-FR"/>
        </w:rPr>
      </w:pPr>
      <w:r w:rsidRPr="00DA7718">
        <w:rPr>
          <w:lang w:val="fr-FR"/>
        </w:rPr>
        <w:t>Pendant l’essai, parmi les patients ayant reçu le traitement à l’étude, 32,2</w:t>
      </w:r>
      <w:r w:rsidR="00AF3AAA">
        <w:rPr>
          <w:lang w:val="fr-FR"/>
        </w:rPr>
        <w:t xml:space="preserve"> % </w:t>
      </w:r>
      <w:r w:rsidRPr="00DA7718">
        <w:rPr>
          <w:lang w:val="fr-FR"/>
        </w:rPr>
        <w:t xml:space="preserve">(136/422) ont reçu entre </w:t>
      </w:r>
      <w:r w:rsidR="007F735F" w:rsidRPr="00DA7718">
        <w:rPr>
          <w:lang w:val="fr-FR"/>
        </w:rPr>
        <w:t>7</w:t>
      </w:r>
      <w:r w:rsidR="007F735F">
        <w:rPr>
          <w:lang w:val="fr-FR"/>
        </w:rPr>
        <w:t> </w:t>
      </w:r>
      <w:r w:rsidRPr="00DA7718">
        <w:rPr>
          <w:lang w:val="fr-FR"/>
        </w:rPr>
        <w:t xml:space="preserve">et 12 administrations </w:t>
      </w:r>
      <w:r w:rsidR="008B1F0B">
        <w:rPr>
          <w:lang w:val="fr-FR"/>
        </w:rPr>
        <w:t>du bevacizumab</w:t>
      </w:r>
      <w:r w:rsidR="008B1F0B" w:rsidRPr="00DA7718">
        <w:rPr>
          <w:lang w:val="fr-FR"/>
        </w:rPr>
        <w:t xml:space="preserve"> </w:t>
      </w:r>
      <w:r w:rsidRPr="00DA7718">
        <w:rPr>
          <w:lang w:val="fr-FR"/>
        </w:rPr>
        <w:t>et 21,1</w:t>
      </w:r>
      <w:r w:rsidR="00AF3AAA">
        <w:rPr>
          <w:lang w:val="fr-FR"/>
        </w:rPr>
        <w:t xml:space="preserve"> % </w:t>
      </w:r>
      <w:r w:rsidRPr="00DA7718">
        <w:rPr>
          <w:lang w:val="fr-FR"/>
        </w:rPr>
        <w:t xml:space="preserve">(89/422) des patients ont reçu 13 administrations ou plus </w:t>
      </w:r>
      <w:r w:rsidR="008B1F0B">
        <w:rPr>
          <w:lang w:val="fr-FR"/>
        </w:rPr>
        <w:t>du bevacizumab</w:t>
      </w:r>
      <w:r w:rsidRPr="00DA7718">
        <w:rPr>
          <w:lang w:val="fr-FR"/>
        </w:rPr>
        <w:t>.</w:t>
      </w:r>
    </w:p>
    <w:p w14:paraId="279B9161" w14:textId="77777777" w:rsidR="004401F0" w:rsidRPr="00DA7718" w:rsidRDefault="004401F0" w:rsidP="00BD4C7C">
      <w:pPr>
        <w:pStyle w:val="a3"/>
        <w:adjustRightInd w:val="0"/>
        <w:snapToGrid w:val="0"/>
        <w:rPr>
          <w:lang w:val="fr-FR"/>
        </w:rPr>
      </w:pPr>
    </w:p>
    <w:p w14:paraId="1624F2B5" w14:textId="77777777" w:rsidR="004401F0" w:rsidRPr="00DA7718" w:rsidRDefault="00DF3C4F" w:rsidP="00BD4C7C">
      <w:pPr>
        <w:pStyle w:val="a3"/>
        <w:adjustRightInd w:val="0"/>
        <w:snapToGrid w:val="0"/>
        <w:rPr>
          <w:lang w:val="fr-FR"/>
        </w:rPr>
      </w:pPr>
      <w:r w:rsidRPr="00DA7718">
        <w:rPr>
          <w:lang w:val="fr-FR"/>
        </w:rPr>
        <w:t>Le critère principal de l’étude était la durée de survie. Les résultats sont présentés dans le tableau 12.</w:t>
      </w:r>
    </w:p>
    <w:p w14:paraId="227FD3A3" w14:textId="77777777" w:rsidR="004401F0" w:rsidRPr="00DA7718" w:rsidRDefault="004401F0" w:rsidP="00BD4C7C">
      <w:pPr>
        <w:pStyle w:val="a3"/>
        <w:adjustRightInd w:val="0"/>
        <w:snapToGrid w:val="0"/>
        <w:rPr>
          <w:lang w:val="fr-FR"/>
        </w:rPr>
      </w:pPr>
    </w:p>
    <w:p w14:paraId="1CE6CB71" w14:textId="77777777" w:rsidR="004401F0" w:rsidRPr="00B861FC" w:rsidRDefault="00DF3C4F" w:rsidP="00B861FC">
      <w:pPr>
        <w:ind w:left="1276" w:hanging="1276"/>
        <w:rPr>
          <w:b/>
          <w:bCs/>
          <w:lang w:val="fr-FR"/>
        </w:rPr>
      </w:pPr>
      <w:r w:rsidRPr="00B861FC">
        <w:rPr>
          <w:b/>
          <w:bCs/>
          <w:lang w:val="fr-FR"/>
        </w:rPr>
        <w:t>Tableau 12</w:t>
      </w:r>
      <w:r w:rsidRPr="00B861FC">
        <w:rPr>
          <w:b/>
          <w:bCs/>
          <w:lang w:val="fr-FR"/>
        </w:rPr>
        <w:tab/>
        <w:t>Résultats d’efficacité de l’étude E4599</w:t>
      </w:r>
    </w:p>
    <w:p w14:paraId="5D175C81" w14:textId="77777777" w:rsidR="004401F0" w:rsidRPr="00DA7718" w:rsidRDefault="004401F0" w:rsidP="00654D21">
      <w:pPr>
        <w:pStyle w:val="a3"/>
        <w:keepNext/>
        <w:keepLines/>
        <w:adjustRightInd w:val="0"/>
        <w:snapToGrid w:val="0"/>
        <w:rPr>
          <w:b/>
          <w:lang w:val="fr-FR"/>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81"/>
        <w:gridCol w:w="2709"/>
        <w:gridCol w:w="2768"/>
      </w:tblGrid>
      <w:tr w:rsidR="004401F0" w:rsidRPr="000D7348" w14:paraId="06F797BF" w14:textId="77777777" w:rsidTr="00D277A9">
        <w:trPr>
          <w:cantSplit/>
        </w:trPr>
        <w:tc>
          <w:tcPr>
            <w:tcW w:w="2938" w:type="dxa"/>
          </w:tcPr>
          <w:p w14:paraId="6444B261" w14:textId="77777777" w:rsidR="004401F0" w:rsidRPr="00D277A9" w:rsidRDefault="004401F0" w:rsidP="00654D21">
            <w:pPr>
              <w:pStyle w:val="TableParagraph"/>
              <w:keepNext/>
              <w:keepLines/>
              <w:adjustRightInd w:val="0"/>
              <w:snapToGrid w:val="0"/>
              <w:rPr>
                <w:sz w:val="20"/>
                <w:szCs w:val="20"/>
                <w:lang w:val="fr-FR"/>
              </w:rPr>
            </w:pPr>
          </w:p>
        </w:tc>
        <w:tc>
          <w:tcPr>
            <w:tcW w:w="2223" w:type="dxa"/>
          </w:tcPr>
          <w:p w14:paraId="3A7C1432" w14:textId="77777777" w:rsidR="004401F0" w:rsidRPr="00184ABB" w:rsidRDefault="00DF3C4F" w:rsidP="00654D21">
            <w:pPr>
              <w:pStyle w:val="TableParagraph"/>
              <w:keepNext/>
              <w:keepLines/>
              <w:adjustRightInd w:val="0"/>
              <w:snapToGrid w:val="0"/>
              <w:jc w:val="center"/>
              <w:rPr>
                <w:b/>
                <w:bCs/>
                <w:sz w:val="20"/>
                <w:szCs w:val="20"/>
                <w:lang w:val="fr-FR"/>
              </w:rPr>
            </w:pPr>
            <w:r w:rsidRPr="00184ABB">
              <w:rPr>
                <w:b/>
                <w:bCs/>
                <w:sz w:val="20"/>
                <w:szCs w:val="20"/>
                <w:lang w:val="fr-FR"/>
              </w:rPr>
              <w:t>Groupe 1</w:t>
            </w:r>
          </w:p>
          <w:p w14:paraId="451F9DA7" w14:textId="77777777" w:rsidR="004401F0" w:rsidRPr="00184ABB" w:rsidRDefault="004401F0" w:rsidP="00654D21">
            <w:pPr>
              <w:pStyle w:val="TableParagraph"/>
              <w:keepNext/>
              <w:keepLines/>
              <w:adjustRightInd w:val="0"/>
              <w:snapToGrid w:val="0"/>
              <w:jc w:val="center"/>
              <w:rPr>
                <w:b/>
                <w:bCs/>
                <w:sz w:val="20"/>
                <w:szCs w:val="20"/>
                <w:lang w:val="fr-FR"/>
              </w:rPr>
            </w:pPr>
          </w:p>
          <w:p w14:paraId="68EFE130" w14:textId="77777777" w:rsidR="004401F0" w:rsidRPr="00184ABB" w:rsidRDefault="00DF3C4F" w:rsidP="00654D21">
            <w:pPr>
              <w:pStyle w:val="TableParagraph"/>
              <w:keepNext/>
              <w:keepLines/>
              <w:adjustRightInd w:val="0"/>
              <w:snapToGrid w:val="0"/>
              <w:jc w:val="center"/>
              <w:rPr>
                <w:b/>
                <w:bCs/>
                <w:sz w:val="20"/>
                <w:szCs w:val="20"/>
                <w:lang w:val="fr-FR"/>
              </w:rPr>
            </w:pPr>
            <w:r w:rsidRPr="00184ABB">
              <w:rPr>
                <w:b/>
                <w:bCs/>
                <w:sz w:val="20"/>
                <w:szCs w:val="20"/>
                <w:lang w:val="fr-FR"/>
              </w:rPr>
              <w:t>Carboplatine / Paclitaxel</w:t>
            </w:r>
          </w:p>
        </w:tc>
        <w:tc>
          <w:tcPr>
            <w:tcW w:w="2271" w:type="dxa"/>
          </w:tcPr>
          <w:p w14:paraId="559EE041" w14:textId="77777777" w:rsidR="004401F0" w:rsidRPr="00184ABB" w:rsidRDefault="00DF3C4F" w:rsidP="00654D21">
            <w:pPr>
              <w:pStyle w:val="TableParagraph"/>
              <w:keepNext/>
              <w:keepLines/>
              <w:adjustRightInd w:val="0"/>
              <w:snapToGrid w:val="0"/>
              <w:jc w:val="center"/>
              <w:rPr>
                <w:b/>
                <w:bCs/>
                <w:sz w:val="20"/>
                <w:szCs w:val="20"/>
                <w:lang w:val="fr-FR"/>
              </w:rPr>
            </w:pPr>
            <w:r w:rsidRPr="00184ABB">
              <w:rPr>
                <w:b/>
                <w:bCs/>
                <w:sz w:val="20"/>
                <w:szCs w:val="20"/>
                <w:lang w:val="fr-FR"/>
              </w:rPr>
              <w:t>Groupe 2</w:t>
            </w:r>
          </w:p>
          <w:p w14:paraId="4B0DF415" w14:textId="77777777" w:rsidR="004401F0" w:rsidRPr="00184ABB" w:rsidRDefault="004401F0" w:rsidP="00654D21">
            <w:pPr>
              <w:pStyle w:val="TableParagraph"/>
              <w:keepNext/>
              <w:keepLines/>
              <w:adjustRightInd w:val="0"/>
              <w:snapToGrid w:val="0"/>
              <w:jc w:val="center"/>
              <w:rPr>
                <w:b/>
                <w:bCs/>
                <w:sz w:val="20"/>
                <w:szCs w:val="20"/>
                <w:lang w:val="fr-FR"/>
              </w:rPr>
            </w:pPr>
          </w:p>
          <w:p w14:paraId="715994A1" w14:textId="121437E0" w:rsidR="004401F0" w:rsidRPr="00184ABB" w:rsidRDefault="00DF3C4F" w:rsidP="00654D21">
            <w:pPr>
              <w:pStyle w:val="TableParagraph"/>
              <w:keepNext/>
              <w:keepLines/>
              <w:adjustRightInd w:val="0"/>
              <w:snapToGrid w:val="0"/>
              <w:jc w:val="center"/>
              <w:rPr>
                <w:b/>
                <w:bCs/>
                <w:sz w:val="20"/>
                <w:szCs w:val="20"/>
                <w:lang w:val="fr-FR"/>
              </w:rPr>
            </w:pPr>
            <w:r w:rsidRPr="00184ABB">
              <w:rPr>
                <w:b/>
                <w:bCs/>
                <w:sz w:val="20"/>
                <w:szCs w:val="20"/>
                <w:lang w:val="fr-FR"/>
              </w:rPr>
              <w:t xml:space="preserve">Carboplatine / Paclitaxel + </w:t>
            </w:r>
            <w:r w:rsidR="00231794">
              <w:rPr>
                <w:b/>
                <w:bCs/>
                <w:sz w:val="20"/>
                <w:szCs w:val="20"/>
                <w:lang w:val="fr-FR"/>
              </w:rPr>
              <w:t>B</w:t>
            </w:r>
            <w:r w:rsidR="008B1F0B">
              <w:rPr>
                <w:b/>
                <w:bCs/>
                <w:sz w:val="20"/>
                <w:szCs w:val="20"/>
                <w:lang w:val="fr-FR"/>
              </w:rPr>
              <w:t>evacizumab</w:t>
            </w:r>
          </w:p>
          <w:p w14:paraId="14A7DDE0" w14:textId="77777777" w:rsidR="004401F0" w:rsidRPr="00184ABB" w:rsidRDefault="00DF3C4F" w:rsidP="00654D21">
            <w:pPr>
              <w:pStyle w:val="TableParagraph"/>
              <w:keepNext/>
              <w:keepLines/>
              <w:adjustRightInd w:val="0"/>
              <w:snapToGrid w:val="0"/>
              <w:jc w:val="center"/>
              <w:rPr>
                <w:b/>
                <w:bCs/>
                <w:sz w:val="20"/>
                <w:szCs w:val="20"/>
                <w:lang w:val="fr-FR"/>
              </w:rPr>
            </w:pPr>
            <w:r w:rsidRPr="00184ABB">
              <w:rPr>
                <w:b/>
                <w:bCs/>
                <w:sz w:val="20"/>
                <w:szCs w:val="20"/>
                <w:lang w:val="fr-FR"/>
              </w:rPr>
              <w:t>15</w:t>
            </w:r>
            <w:r w:rsidR="00DA7718" w:rsidRPr="00184ABB">
              <w:rPr>
                <w:b/>
                <w:bCs/>
                <w:sz w:val="20"/>
                <w:szCs w:val="20"/>
                <w:lang w:val="fr-FR"/>
              </w:rPr>
              <w:t> mg</w:t>
            </w:r>
            <w:r w:rsidRPr="00184ABB">
              <w:rPr>
                <w:b/>
                <w:bCs/>
                <w:sz w:val="20"/>
                <w:szCs w:val="20"/>
                <w:lang w:val="fr-FR"/>
              </w:rPr>
              <w:t>/kg toutes les 3 semaines</w:t>
            </w:r>
          </w:p>
        </w:tc>
      </w:tr>
      <w:tr w:rsidR="004401F0" w:rsidRPr="00D277A9" w14:paraId="6DB0E061" w14:textId="77777777" w:rsidTr="00D277A9">
        <w:trPr>
          <w:cantSplit/>
        </w:trPr>
        <w:tc>
          <w:tcPr>
            <w:tcW w:w="2938" w:type="dxa"/>
          </w:tcPr>
          <w:p w14:paraId="638524CB"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Nombre de patients</w:t>
            </w:r>
          </w:p>
        </w:tc>
        <w:tc>
          <w:tcPr>
            <w:tcW w:w="2223" w:type="dxa"/>
          </w:tcPr>
          <w:p w14:paraId="05E1789C"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444</w:t>
            </w:r>
          </w:p>
        </w:tc>
        <w:tc>
          <w:tcPr>
            <w:tcW w:w="2271" w:type="dxa"/>
          </w:tcPr>
          <w:p w14:paraId="35DCABA0"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434</w:t>
            </w:r>
          </w:p>
        </w:tc>
      </w:tr>
      <w:tr w:rsidR="004401F0" w:rsidRPr="00D277A9" w14:paraId="5E361712" w14:textId="77777777" w:rsidTr="00D277A9">
        <w:trPr>
          <w:cantSplit/>
        </w:trPr>
        <w:tc>
          <w:tcPr>
            <w:tcW w:w="7432" w:type="dxa"/>
            <w:gridSpan w:val="3"/>
            <w:tcBorders>
              <w:bottom w:val="single" w:sz="4" w:space="0" w:color="000000"/>
            </w:tcBorders>
          </w:tcPr>
          <w:p w14:paraId="359CDF7A" w14:textId="77777777" w:rsidR="004401F0" w:rsidRPr="00D277A9" w:rsidRDefault="00DF3C4F" w:rsidP="00654D21">
            <w:pPr>
              <w:pStyle w:val="TableParagraph"/>
              <w:keepNext/>
              <w:keepLines/>
              <w:adjustRightInd w:val="0"/>
              <w:snapToGrid w:val="0"/>
              <w:ind w:left="180"/>
              <w:rPr>
                <w:sz w:val="20"/>
                <w:szCs w:val="20"/>
                <w:lang w:val="fr-FR"/>
              </w:rPr>
            </w:pPr>
            <w:r w:rsidRPr="00D277A9">
              <w:rPr>
                <w:sz w:val="20"/>
                <w:szCs w:val="20"/>
                <w:lang w:val="fr-FR"/>
              </w:rPr>
              <w:t>Survie globale</w:t>
            </w:r>
          </w:p>
        </w:tc>
      </w:tr>
      <w:tr w:rsidR="004401F0" w:rsidRPr="00D277A9" w14:paraId="06FDFACE" w14:textId="77777777" w:rsidTr="00D277A9">
        <w:trPr>
          <w:cantSplit/>
        </w:trPr>
        <w:tc>
          <w:tcPr>
            <w:tcW w:w="2938" w:type="dxa"/>
            <w:tcBorders>
              <w:top w:val="single" w:sz="4" w:space="0" w:color="000000"/>
              <w:bottom w:val="single" w:sz="4" w:space="0" w:color="000000"/>
            </w:tcBorders>
          </w:tcPr>
          <w:p w14:paraId="5C1FFFE1" w14:textId="77777777" w:rsidR="004401F0" w:rsidRPr="00D277A9" w:rsidRDefault="00DF3C4F" w:rsidP="00654D21">
            <w:pPr>
              <w:pStyle w:val="TableParagraph"/>
              <w:keepNext/>
              <w:keepLines/>
              <w:adjustRightInd w:val="0"/>
              <w:snapToGrid w:val="0"/>
              <w:ind w:left="180"/>
              <w:rPr>
                <w:sz w:val="20"/>
                <w:szCs w:val="20"/>
                <w:lang w:val="fr-FR"/>
              </w:rPr>
            </w:pPr>
            <w:r w:rsidRPr="00D277A9">
              <w:rPr>
                <w:sz w:val="20"/>
                <w:szCs w:val="20"/>
                <w:lang w:val="fr-FR"/>
              </w:rPr>
              <w:t>Temps median (mois)</w:t>
            </w:r>
          </w:p>
        </w:tc>
        <w:tc>
          <w:tcPr>
            <w:tcW w:w="2223" w:type="dxa"/>
            <w:tcBorders>
              <w:top w:val="single" w:sz="4" w:space="0" w:color="000000"/>
              <w:bottom w:val="single" w:sz="4" w:space="0" w:color="000000"/>
            </w:tcBorders>
          </w:tcPr>
          <w:p w14:paraId="52A83B9F" w14:textId="77777777" w:rsidR="004401F0" w:rsidRPr="00D277A9" w:rsidRDefault="00DF3C4F" w:rsidP="00654D21">
            <w:pPr>
              <w:pStyle w:val="TableParagraph"/>
              <w:keepNext/>
              <w:keepLines/>
              <w:adjustRightInd w:val="0"/>
              <w:snapToGrid w:val="0"/>
              <w:ind w:left="180"/>
              <w:jc w:val="center"/>
              <w:rPr>
                <w:sz w:val="20"/>
                <w:szCs w:val="20"/>
                <w:lang w:val="fr-FR"/>
              </w:rPr>
            </w:pPr>
            <w:r w:rsidRPr="00D277A9">
              <w:rPr>
                <w:sz w:val="20"/>
                <w:szCs w:val="20"/>
                <w:lang w:val="fr-FR"/>
              </w:rPr>
              <w:t>10,3</w:t>
            </w:r>
          </w:p>
        </w:tc>
        <w:tc>
          <w:tcPr>
            <w:tcW w:w="2271" w:type="dxa"/>
            <w:tcBorders>
              <w:top w:val="single" w:sz="4" w:space="0" w:color="000000"/>
              <w:bottom w:val="single" w:sz="4" w:space="0" w:color="000000"/>
            </w:tcBorders>
          </w:tcPr>
          <w:p w14:paraId="1B041749" w14:textId="77777777" w:rsidR="004401F0" w:rsidRPr="00D277A9" w:rsidRDefault="00DF3C4F" w:rsidP="00654D21">
            <w:pPr>
              <w:pStyle w:val="TableParagraph"/>
              <w:keepNext/>
              <w:keepLines/>
              <w:adjustRightInd w:val="0"/>
              <w:snapToGrid w:val="0"/>
              <w:ind w:left="180"/>
              <w:jc w:val="center"/>
              <w:rPr>
                <w:sz w:val="20"/>
                <w:szCs w:val="20"/>
                <w:lang w:val="fr-FR"/>
              </w:rPr>
            </w:pPr>
            <w:r w:rsidRPr="00D277A9">
              <w:rPr>
                <w:sz w:val="20"/>
                <w:szCs w:val="20"/>
                <w:lang w:val="fr-FR"/>
              </w:rPr>
              <w:t>12,3</w:t>
            </w:r>
          </w:p>
        </w:tc>
      </w:tr>
      <w:tr w:rsidR="004401F0" w:rsidRPr="00D277A9" w14:paraId="5B7AF937" w14:textId="77777777" w:rsidTr="00D277A9">
        <w:trPr>
          <w:cantSplit/>
        </w:trPr>
        <w:tc>
          <w:tcPr>
            <w:tcW w:w="2938" w:type="dxa"/>
            <w:tcBorders>
              <w:top w:val="single" w:sz="4" w:space="0" w:color="000000"/>
            </w:tcBorders>
          </w:tcPr>
          <w:p w14:paraId="588B558D" w14:textId="77777777" w:rsidR="004401F0" w:rsidRPr="00D277A9" w:rsidRDefault="00DF3C4F" w:rsidP="00B40553">
            <w:pPr>
              <w:pStyle w:val="TableParagraph"/>
              <w:adjustRightInd w:val="0"/>
              <w:snapToGrid w:val="0"/>
              <w:ind w:left="180"/>
              <w:rPr>
                <w:sz w:val="20"/>
                <w:szCs w:val="20"/>
                <w:lang w:val="fr-FR"/>
              </w:rPr>
            </w:pPr>
            <w:r w:rsidRPr="00D277A9">
              <w:rPr>
                <w:sz w:val="20"/>
                <w:szCs w:val="20"/>
                <w:lang w:val="fr-FR"/>
              </w:rPr>
              <w:t>Risque relatif (Hazard ratio)</w:t>
            </w:r>
          </w:p>
        </w:tc>
        <w:tc>
          <w:tcPr>
            <w:tcW w:w="4494" w:type="dxa"/>
            <w:gridSpan w:val="2"/>
            <w:tcBorders>
              <w:top w:val="single" w:sz="4" w:space="0" w:color="000000"/>
            </w:tcBorders>
          </w:tcPr>
          <w:p w14:paraId="745DDC35" w14:textId="77777777" w:rsidR="004401F0" w:rsidRPr="00D277A9" w:rsidRDefault="00DF3C4F" w:rsidP="00B40553">
            <w:pPr>
              <w:pStyle w:val="TableParagraph"/>
              <w:adjustRightInd w:val="0"/>
              <w:snapToGrid w:val="0"/>
              <w:ind w:left="180"/>
              <w:jc w:val="center"/>
              <w:rPr>
                <w:sz w:val="20"/>
                <w:szCs w:val="20"/>
                <w:lang w:val="fr-FR"/>
              </w:rPr>
            </w:pPr>
            <w:r w:rsidRPr="00D277A9">
              <w:rPr>
                <w:sz w:val="20"/>
                <w:szCs w:val="20"/>
                <w:lang w:val="fr-FR"/>
              </w:rPr>
              <w:t>0,80 (p=0,003)</w:t>
            </w:r>
          </w:p>
          <w:p w14:paraId="4FD5E33A" w14:textId="7EF3525B" w:rsidR="004401F0" w:rsidRPr="00D277A9" w:rsidRDefault="00DF3C4F" w:rsidP="00B40553">
            <w:pPr>
              <w:pStyle w:val="TableParagraph"/>
              <w:adjustRightInd w:val="0"/>
              <w:snapToGrid w:val="0"/>
              <w:ind w:left="180"/>
              <w:jc w:val="center"/>
              <w:rPr>
                <w:sz w:val="20"/>
                <w:szCs w:val="20"/>
                <w:lang w:val="fr-FR"/>
              </w:rPr>
            </w:pPr>
            <w:r w:rsidRPr="00D277A9">
              <w:rPr>
                <w:sz w:val="20"/>
                <w:szCs w:val="20"/>
                <w:lang w:val="fr-FR"/>
              </w:rPr>
              <w:t>95</w:t>
            </w:r>
            <w:r w:rsidR="00AF3AAA">
              <w:rPr>
                <w:sz w:val="20"/>
                <w:szCs w:val="20"/>
                <w:lang w:val="fr-FR"/>
              </w:rPr>
              <w:t xml:space="preserve"> % </w:t>
            </w:r>
            <w:r w:rsidRPr="00D277A9">
              <w:rPr>
                <w:sz w:val="20"/>
                <w:szCs w:val="20"/>
                <w:lang w:val="fr-FR"/>
              </w:rPr>
              <w:t>IC (0,69</w:t>
            </w:r>
            <w:r w:rsidR="00881CB8">
              <w:rPr>
                <w:sz w:val="20"/>
                <w:szCs w:val="20"/>
                <w:lang w:val="fr-FR"/>
              </w:rPr>
              <w:t xml:space="preserve"> ; </w:t>
            </w:r>
            <w:r w:rsidRPr="00D277A9">
              <w:rPr>
                <w:sz w:val="20"/>
                <w:szCs w:val="20"/>
                <w:lang w:val="fr-FR"/>
              </w:rPr>
              <w:t>0,93)</w:t>
            </w:r>
          </w:p>
        </w:tc>
      </w:tr>
      <w:tr w:rsidR="004401F0" w:rsidRPr="00D277A9" w14:paraId="7BC1167F" w14:textId="77777777" w:rsidTr="00D277A9">
        <w:trPr>
          <w:cantSplit/>
        </w:trPr>
        <w:tc>
          <w:tcPr>
            <w:tcW w:w="7432" w:type="dxa"/>
            <w:gridSpan w:val="3"/>
            <w:tcBorders>
              <w:bottom w:val="single" w:sz="4" w:space="0" w:color="000000"/>
            </w:tcBorders>
          </w:tcPr>
          <w:p w14:paraId="17B7A852" w14:textId="77777777" w:rsidR="004401F0" w:rsidRPr="00D277A9" w:rsidRDefault="00DF3C4F" w:rsidP="00B40553">
            <w:pPr>
              <w:pStyle w:val="TableParagraph"/>
              <w:adjustRightInd w:val="0"/>
              <w:snapToGrid w:val="0"/>
              <w:ind w:left="180"/>
              <w:rPr>
                <w:sz w:val="20"/>
                <w:szCs w:val="20"/>
                <w:lang w:val="fr-FR"/>
              </w:rPr>
            </w:pPr>
            <w:r w:rsidRPr="00D277A9">
              <w:rPr>
                <w:sz w:val="20"/>
                <w:szCs w:val="20"/>
                <w:lang w:val="fr-FR"/>
              </w:rPr>
              <w:t>Survie sans progression (PFS)</w:t>
            </w:r>
          </w:p>
        </w:tc>
      </w:tr>
      <w:tr w:rsidR="004401F0" w:rsidRPr="00D277A9" w14:paraId="71097614" w14:textId="77777777" w:rsidTr="00D277A9">
        <w:trPr>
          <w:cantSplit/>
        </w:trPr>
        <w:tc>
          <w:tcPr>
            <w:tcW w:w="2938" w:type="dxa"/>
            <w:tcBorders>
              <w:top w:val="single" w:sz="4" w:space="0" w:color="000000"/>
              <w:bottom w:val="single" w:sz="4" w:space="0" w:color="000000"/>
            </w:tcBorders>
          </w:tcPr>
          <w:p w14:paraId="3988F5A1" w14:textId="77777777" w:rsidR="004401F0" w:rsidRPr="00D277A9" w:rsidRDefault="00DF3C4F" w:rsidP="00B40553">
            <w:pPr>
              <w:pStyle w:val="TableParagraph"/>
              <w:adjustRightInd w:val="0"/>
              <w:snapToGrid w:val="0"/>
              <w:ind w:left="180"/>
              <w:rPr>
                <w:sz w:val="20"/>
                <w:szCs w:val="20"/>
                <w:lang w:val="fr-FR"/>
              </w:rPr>
            </w:pPr>
            <w:r w:rsidRPr="00D277A9">
              <w:rPr>
                <w:sz w:val="20"/>
                <w:szCs w:val="20"/>
                <w:lang w:val="fr-FR"/>
              </w:rPr>
              <w:t>Temps median (mois)</w:t>
            </w:r>
          </w:p>
        </w:tc>
        <w:tc>
          <w:tcPr>
            <w:tcW w:w="2223" w:type="dxa"/>
            <w:tcBorders>
              <w:top w:val="single" w:sz="4" w:space="0" w:color="000000"/>
              <w:bottom w:val="single" w:sz="4" w:space="0" w:color="000000"/>
            </w:tcBorders>
          </w:tcPr>
          <w:p w14:paraId="5644061E" w14:textId="77777777" w:rsidR="004401F0" w:rsidRPr="00D277A9" w:rsidRDefault="00DF3C4F" w:rsidP="00B40553">
            <w:pPr>
              <w:pStyle w:val="TableParagraph"/>
              <w:adjustRightInd w:val="0"/>
              <w:snapToGrid w:val="0"/>
              <w:ind w:left="180"/>
              <w:jc w:val="center"/>
              <w:rPr>
                <w:sz w:val="20"/>
                <w:szCs w:val="20"/>
                <w:lang w:val="fr-FR"/>
              </w:rPr>
            </w:pPr>
            <w:r w:rsidRPr="00D277A9">
              <w:rPr>
                <w:sz w:val="20"/>
                <w:szCs w:val="20"/>
                <w:lang w:val="fr-FR"/>
              </w:rPr>
              <w:t>4,8</w:t>
            </w:r>
          </w:p>
        </w:tc>
        <w:tc>
          <w:tcPr>
            <w:tcW w:w="2271" w:type="dxa"/>
            <w:tcBorders>
              <w:top w:val="single" w:sz="4" w:space="0" w:color="000000"/>
              <w:bottom w:val="single" w:sz="4" w:space="0" w:color="000000"/>
            </w:tcBorders>
          </w:tcPr>
          <w:p w14:paraId="0AAB8491" w14:textId="77777777" w:rsidR="004401F0" w:rsidRPr="00D277A9" w:rsidRDefault="00DF3C4F" w:rsidP="00B40553">
            <w:pPr>
              <w:pStyle w:val="TableParagraph"/>
              <w:adjustRightInd w:val="0"/>
              <w:snapToGrid w:val="0"/>
              <w:ind w:left="180"/>
              <w:jc w:val="center"/>
              <w:rPr>
                <w:sz w:val="20"/>
                <w:szCs w:val="20"/>
                <w:lang w:val="fr-FR"/>
              </w:rPr>
            </w:pPr>
            <w:r w:rsidRPr="00D277A9">
              <w:rPr>
                <w:sz w:val="20"/>
                <w:szCs w:val="20"/>
                <w:lang w:val="fr-FR"/>
              </w:rPr>
              <w:t>6,4</w:t>
            </w:r>
          </w:p>
        </w:tc>
      </w:tr>
      <w:tr w:rsidR="004401F0" w:rsidRPr="00D277A9" w14:paraId="12FAE9B2" w14:textId="77777777" w:rsidTr="00D277A9">
        <w:trPr>
          <w:cantSplit/>
        </w:trPr>
        <w:tc>
          <w:tcPr>
            <w:tcW w:w="2938" w:type="dxa"/>
            <w:tcBorders>
              <w:top w:val="single" w:sz="4" w:space="0" w:color="000000"/>
            </w:tcBorders>
          </w:tcPr>
          <w:p w14:paraId="1303E171" w14:textId="77777777" w:rsidR="004401F0" w:rsidRPr="00D277A9" w:rsidRDefault="00DF3C4F" w:rsidP="00B40553">
            <w:pPr>
              <w:pStyle w:val="TableParagraph"/>
              <w:adjustRightInd w:val="0"/>
              <w:snapToGrid w:val="0"/>
              <w:ind w:left="180"/>
              <w:rPr>
                <w:sz w:val="20"/>
                <w:szCs w:val="20"/>
                <w:lang w:val="fr-FR"/>
              </w:rPr>
            </w:pPr>
            <w:r w:rsidRPr="00D277A9">
              <w:rPr>
                <w:sz w:val="20"/>
                <w:szCs w:val="20"/>
                <w:lang w:val="fr-FR"/>
              </w:rPr>
              <w:t>Risque relatif (Hazard ratio)</w:t>
            </w:r>
          </w:p>
        </w:tc>
        <w:tc>
          <w:tcPr>
            <w:tcW w:w="4494" w:type="dxa"/>
            <w:gridSpan w:val="2"/>
            <w:tcBorders>
              <w:top w:val="single" w:sz="4" w:space="0" w:color="000000"/>
            </w:tcBorders>
          </w:tcPr>
          <w:p w14:paraId="16EC6F6A" w14:textId="77777777" w:rsidR="004401F0" w:rsidRPr="00D277A9" w:rsidRDefault="00DF3C4F" w:rsidP="00B40553">
            <w:pPr>
              <w:pStyle w:val="TableParagraph"/>
              <w:adjustRightInd w:val="0"/>
              <w:snapToGrid w:val="0"/>
              <w:ind w:left="180"/>
              <w:jc w:val="center"/>
              <w:rPr>
                <w:sz w:val="20"/>
                <w:szCs w:val="20"/>
                <w:lang w:val="fr-FR"/>
              </w:rPr>
            </w:pPr>
            <w:r w:rsidRPr="00D277A9">
              <w:rPr>
                <w:sz w:val="20"/>
                <w:szCs w:val="20"/>
                <w:lang w:val="fr-FR"/>
              </w:rPr>
              <w:t>0,65 (p&lt;0,0001)</w:t>
            </w:r>
          </w:p>
          <w:p w14:paraId="077AF44D" w14:textId="688DFE03" w:rsidR="004401F0" w:rsidRPr="00D277A9" w:rsidRDefault="00DF3C4F" w:rsidP="00B40553">
            <w:pPr>
              <w:pStyle w:val="TableParagraph"/>
              <w:adjustRightInd w:val="0"/>
              <w:snapToGrid w:val="0"/>
              <w:ind w:left="180"/>
              <w:jc w:val="center"/>
              <w:rPr>
                <w:sz w:val="20"/>
                <w:szCs w:val="20"/>
                <w:lang w:val="fr-FR"/>
              </w:rPr>
            </w:pPr>
            <w:r w:rsidRPr="00D277A9">
              <w:rPr>
                <w:sz w:val="20"/>
                <w:szCs w:val="20"/>
                <w:lang w:val="fr-FR"/>
              </w:rPr>
              <w:t>95</w:t>
            </w:r>
            <w:r w:rsidR="00AF3AAA">
              <w:rPr>
                <w:sz w:val="20"/>
                <w:szCs w:val="20"/>
                <w:lang w:val="fr-FR"/>
              </w:rPr>
              <w:t xml:space="preserve"> % </w:t>
            </w:r>
            <w:r w:rsidRPr="00D277A9">
              <w:rPr>
                <w:sz w:val="20"/>
                <w:szCs w:val="20"/>
                <w:lang w:val="fr-FR"/>
              </w:rPr>
              <w:t>IC (0,56</w:t>
            </w:r>
            <w:r w:rsidR="00881CB8">
              <w:rPr>
                <w:sz w:val="20"/>
                <w:szCs w:val="20"/>
                <w:lang w:val="fr-FR"/>
              </w:rPr>
              <w:t xml:space="preserve"> ; </w:t>
            </w:r>
            <w:r w:rsidRPr="00D277A9">
              <w:rPr>
                <w:sz w:val="20"/>
                <w:szCs w:val="20"/>
                <w:lang w:val="fr-FR"/>
              </w:rPr>
              <w:t>0,76)</w:t>
            </w:r>
          </w:p>
        </w:tc>
      </w:tr>
      <w:tr w:rsidR="004401F0" w:rsidRPr="00D277A9" w14:paraId="4B4FF724" w14:textId="77777777" w:rsidTr="00D277A9">
        <w:trPr>
          <w:cantSplit/>
        </w:trPr>
        <w:tc>
          <w:tcPr>
            <w:tcW w:w="7432" w:type="dxa"/>
            <w:gridSpan w:val="3"/>
            <w:tcBorders>
              <w:bottom w:val="single" w:sz="4" w:space="0" w:color="000000"/>
            </w:tcBorders>
          </w:tcPr>
          <w:p w14:paraId="3EE3FC39" w14:textId="77777777" w:rsidR="004401F0" w:rsidRPr="00D277A9" w:rsidRDefault="00DF3C4F" w:rsidP="00B40553">
            <w:pPr>
              <w:pStyle w:val="TableParagraph"/>
              <w:adjustRightInd w:val="0"/>
              <w:snapToGrid w:val="0"/>
              <w:ind w:left="180"/>
              <w:rPr>
                <w:sz w:val="20"/>
                <w:szCs w:val="20"/>
                <w:lang w:val="fr-FR"/>
              </w:rPr>
            </w:pPr>
            <w:r w:rsidRPr="00D277A9">
              <w:rPr>
                <w:sz w:val="20"/>
                <w:szCs w:val="20"/>
                <w:lang w:val="fr-FR"/>
              </w:rPr>
              <w:t>Taux de réponse globale</w:t>
            </w:r>
          </w:p>
        </w:tc>
      </w:tr>
      <w:tr w:rsidR="004401F0" w:rsidRPr="00D277A9" w14:paraId="052A0D78" w14:textId="77777777" w:rsidTr="00D277A9">
        <w:trPr>
          <w:cantSplit/>
        </w:trPr>
        <w:tc>
          <w:tcPr>
            <w:tcW w:w="2938" w:type="dxa"/>
            <w:tcBorders>
              <w:top w:val="single" w:sz="4" w:space="0" w:color="000000"/>
            </w:tcBorders>
          </w:tcPr>
          <w:p w14:paraId="55C8F126" w14:textId="77777777" w:rsidR="004401F0" w:rsidRPr="00D277A9" w:rsidRDefault="00DF3C4F" w:rsidP="00B40553">
            <w:pPr>
              <w:pStyle w:val="TableParagraph"/>
              <w:adjustRightInd w:val="0"/>
              <w:snapToGrid w:val="0"/>
              <w:ind w:left="180"/>
              <w:rPr>
                <w:sz w:val="20"/>
                <w:szCs w:val="20"/>
                <w:lang w:val="fr-FR"/>
              </w:rPr>
            </w:pPr>
            <w:r w:rsidRPr="00D277A9">
              <w:rPr>
                <w:sz w:val="20"/>
                <w:szCs w:val="20"/>
                <w:lang w:val="fr-FR"/>
              </w:rPr>
              <w:t>Taux (%)</w:t>
            </w:r>
          </w:p>
        </w:tc>
        <w:tc>
          <w:tcPr>
            <w:tcW w:w="2223" w:type="dxa"/>
            <w:tcBorders>
              <w:top w:val="single" w:sz="4" w:space="0" w:color="000000"/>
            </w:tcBorders>
          </w:tcPr>
          <w:p w14:paraId="18D82D2D" w14:textId="77777777" w:rsidR="004401F0" w:rsidRPr="00D277A9" w:rsidRDefault="00DF3C4F" w:rsidP="00B40553">
            <w:pPr>
              <w:pStyle w:val="TableParagraph"/>
              <w:adjustRightInd w:val="0"/>
              <w:snapToGrid w:val="0"/>
              <w:ind w:left="180"/>
              <w:jc w:val="center"/>
              <w:rPr>
                <w:sz w:val="20"/>
                <w:szCs w:val="20"/>
                <w:lang w:val="fr-FR"/>
              </w:rPr>
            </w:pPr>
            <w:r w:rsidRPr="00D277A9">
              <w:rPr>
                <w:sz w:val="20"/>
                <w:szCs w:val="20"/>
                <w:lang w:val="fr-FR"/>
              </w:rPr>
              <w:t>12,9</w:t>
            </w:r>
          </w:p>
        </w:tc>
        <w:tc>
          <w:tcPr>
            <w:tcW w:w="2271" w:type="dxa"/>
            <w:tcBorders>
              <w:top w:val="single" w:sz="4" w:space="0" w:color="000000"/>
            </w:tcBorders>
          </w:tcPr>
          <w:p w14:paraId="3849E02E" w14:textId="77777777" w:rsidR="004401F0" w:rsidRPr="00D277A9" w:rsidRDefault="00DF3C4F" w:rsidP="00B40553">
            <w:pPr>
              <w:pStyle w:val="TableParagraph"/>
              <w:adjustRightInd w:val="0"/>
              <w:snapToGrid w:val="0"/>
              <w:ind w:left="180"/>
              <w:jc w:val="center"/>
              <w:rPr>
                <w:sz w:val="20"/>
                <w:szCs w:val="20"/>
                <w:lang w:val="fr-FR"/>
              </w:rPr>
            </w:pPr>
            <w:r w:rsidRPr="00D277A9">
              <w:rPr>
                <w:sz w:val="20"/>
                <w:szCs w:val="20"/>
                <w:lang w:val="fr-FR"/>
              </w:rPr>
              <w:t>29,0 (p&lt;0,0001)</w:t>
            </w:r>
          </w:p>
        </w:tc>
      </w:tr>
    </w:tbl>
    <w:p w14:paraId="39537662" w14:textId="77777777" w:rsidR="004401F0" w:rsidRPr="007C119A" w:rsidRDefault="004401F0" w:rsidP="00BD4C7C">
      <w:pPr>
        <w:pStyle w:val="a3"/>
        <w:adjustRightInd w:val="0"/>
        <w:snapToGrid w:val="0"/>
        <w:rPr>
          <w:b/>
          <w:lang w:val="fr-FR"/>
        </w:rPr>
      </w:pPr>
    </w:p>
    <w:p w14:paraId="51F15382" w14:textId="5FA98C7D" w:rsidR="004401F0" w:rsidRPr="00DA7718" w:rsidRDefault="00DF3C4F" w:rsidP="00BD4C7C">
      <w:pPr>
        <w:pStyle w:val="a3"/>
        <w:adjustRightInd w:val="0"/>
        <w:snapToGrid w:val="0"/>
        <w:rPr>
          <w:lang w:val="fr-FR"/>
        </w:rPr>
      </w:pPr>
      <w:r w:rsidRPr="00DA7718">
        <w:rPr>
          <w:lang w:val="fr-FR"/>
        </w:rPr>
        <w:t xml:space="preserve">Dans une analyse exploratoire, l’amplitude du bénéfice en </w:t>
      </w:r>
      <w:r w:rsidR="00803E4E">
        <w:rPr>
          <w:lang w:val="fr-FR"/>
        </w:rPr>
        <w:t>OS</w:t>
      </w:r>
      <w:r w:rsidRPr="00DA7718">
        <w:rPr>
          <w:lang w:val="fr-FR"/>
        </w:rPr>
        <w:t xml:space="preserve"> était moins prononcée dans le sous-groupe des patients dont l’histologie était autre qu’un adénocarcinome.</w:t>
      </w:r>
    </w:p>
    <w:p w14:paraId="321D8E20" w14:textId="77777777" w:rsidR="004401F0" w:rsidRPr="007C119A" w:rsidRDefault="004401F0" w:rsidP="00BD4C7C">
      <w:pPr>
        <w:pStyle w:val="a3"/>
        <w:adjustRightInd w:val="0"/>
        <w:snapToGrid w:val="0"/>
        <w:rPr>
          <w:lang w:val="fr-FR"/>
        </w:rPr>
      </w:pPr>
    </w:p>
    <w:p w14:paraId="32E22AAE" w14:textId="77777777" w:rsidR="004401F0" w:rsidRPr="00DA7718" w:rsidRDefault="00DF3C4F" w:rsidP="00BD4C7C">
      <w:pPr>
        <w:adjustRightInd w:val="0"/>
        <w:snapToGrid w:val="0"/>
        <w:rPr>
          <w:i/>
          <w:lang w:val="fr-FR"/>
        </w:rPr>
      </w:pPr>
      <w:r w:rsidRPr="00DA7718">
        <w:rPr>
          <w:i/>
          <w:lang w:val="fr-FR"/>
        </w:rPr>
        <w:t>BO17704</w:t>
      </w:r>
    </w:p>
    <w:p w14:paraId="298C32DF" w14:textId="1F895086" w:rsidR="004401F0" w:rsidRPr="00DA7718" w:rsidRDefault="00DF3C4F" w:rsidP="00BD4C7C">
      <w:pPr>
        <w:pStyle w:val="a3"/>
        <w:adjustRightInd w:val="0"/>
        <w:snapToGrid w:val="0"/>
        <w:rPr>
          <w:lang w:val="fr-FR"/>
        </w:rPr>
      </w:pPr>
      <w:r w:rsidRPr="00DA7718">
        <w:rPr>
          <w:lang w:val="fr-FR"/>
        </w:rPr>
        <w:t xml:space="preserve">L’étude BO17704 était une étude de phase III, randomisée, en double aveugle, évaluant </w:t>
      </w:r>
      <w:r w:rsidR="008B1F0B">
        <w:rPr>
          <w:lang w:val="fr-FR"/>
        </w:rPr>
        <w:t>le bevacizumab</w:t>
      </w:r>
      <w:r w:rsidR="008B1F0B" w:rsidRPr="00DA7718">
        <w:rPr>
          <w:lang w:val="fr-FR"/>
        </w:rPr>
        <w:t xml:space="preserve"> </w:t>
      </w:r>
      <w:r w:rsidRPr="00DA7718">
        <w:rPr>
          <w:lang w:val="fr-FR"/>
        </w:rPr>
        <w:t xml:space="preserve">en association au cisplatine et à la gemcitabine </w:t>
      </w:r>
      <w:r w:rsidRPr="00DA7718">
        <w:rPr>
          <w:i/>
          <w:lang w:val="fr-FR"/>
        </w:rPr>
        <w:t xml:space="preserve">versus </w:t>
      </w:r>
      <w:r w:rsidRPr="00DA7718">
        <w:rPr>
          <w:lang w:val="fr-FR"/>
        </w:rPr>
        <w:t xml:space="preserve">placebo en association au cisplatine et à la gemcitabine, en première ligne de traitement du CBNPC non épidermoïde localement avancé (stade IIIb avec métastases ganglionnaires supraclaviculaires ou épanchement pleural ou péricardique malin), métastatique ou en rechute. L’objectif principal de l’étude était la </w:t>
      </w:r>
      <w:r w:rsidR="00803E4E">
        <w:rPr>
          <w:lang w:val="fr-FR"/>
        </w:rPr>
        <w:t>PFS</w:t>
      </w:r>
      <w:r w:rsidRPr="00DA7718">
        <w:rPr>
          <w:lang w:val="fr-FR"/>
        </w:rPr>
        <w:t xml:space="preserve">, les objectifs secondaires comprenaient la durée de </w:t>
      </w:r>
      <w:r w:rsidR="00803E4E">
        <w:rPr>
          <w:lang w:val="fr-FR"/>
        </w:rPr>
        <w:t>l’OS</w:t>
      </w:r>
      <w:r w:rsidRPr="00DA7718">
        <w:rPr>
          <w:lang w:val="fr-FR"/>
        </w:rPr>
        <w:t>.</w:t>
      </w:r>
    </w:p>
    <w:p w14:paraId="028870CE" w14:textId="77777777" w:rsidR="004401F0" w:rsidRPr="007C119A" w:rsidRDefault="004401F0" w:rsidP="00BD4C7C">
      <w:pPr>
        <w:pStyle w:val="a3"/>
        <w:adjustRightInd w:val="0"/>
        <w:snapToGrid w:val="0"/>
        <w:rPr>
          <w:lang w:val="fr-FR"/>
        </w:rPr>
      </w:pPr>
    </w:p>
    <w:p w14:paraId="475C2F81" w14:textId="57049DFC" w:rsidR="004401F0" w:rsidRPr="00DA7718" w:rsidRDefault="00DF3C4F" w:rsidP="00BD4C7C">
      <w:pPr>
        <w:pStyle w:val="a3"/>
        <w:adjustRightInd w:val="0"/>
        <w:snapToGrid w:val="0"/>
        <w:rPr>
          <w:lang w:val="fr-FR"/>
        </w:rPr>
      </w:pPr>
      <w:r w:rsidRPr="00DA7718">
        <w:rPr>
          <w:lang w:val="fr-FR"/>
        </w:rPr>
        <w:t>Les patients ont été randomisés pour recevoir soit la chimiothérapie à base de sels de platine (CG)</w:t>
      </w:r>
      <w:r w:rsidR="00765A43">
        <w:rPr>
          <w:lang w:val="fr-FR"/>
        </w:rPr>
        <w:t xml:space="preserve"> : </w:t>
      </w:r>
      <w:r w:rsidRPr="00DA7718">
        <w:rPr>
          <w:lang w:val="fr-FR"/>
        </w:rPr>
        <w:t>80</w:t>
      </w:r>
      <w:r w:rsidR="00DA7718" w:rsidRPr="00DA7718">
        <w:rPr>
          <w:lang w:val="fr-FR"/>
        </w:rPr>
        <w:t> mg</w:t>
      </w:r>
      <w:r w:rsidRPr="00DA7718">
        <w:rPr>
          <w:lang w:val="fr-FR"/>
        </w:rPr>
        <w:t>/m² de cisplatine en perfusion intraveineuse à J1 et 1250</w:t>
      </w:r>
      <w:r w:rsidR="00DA7718" w:rsidRPr="00DA7718">
        <w:rPr>
          <w:lang w:val="fr-FR"/>
        </w:rPr>
        <w:t> mg</w:t>
      </w:r>
      <w:r w:rsidRPr="00DA7718">
        <w:rPr>
          <w:lang w:val="fr-FR"/>
        </w:rPr>
        <w:t>/m² de gemcitabine par perfusion intraveineuse à J1 et J8 de chaque cycle de 3 semaines jusqu’à 6 cycles associé au placebo, soit CG en</w:t>
      </w:r>
    </w:p>
    <w:p w14:paraId="64DFF222" w14:textId="2817F65C" w:rsidR="004401F0" w:rsidRPr="00DA7718" w:rsidRDefault="00DF3C4F" w:rsidP="008B06CA">
      <w:pPr>
        <w:pStyle w:val="a3"/>
        <w:adjustRightInd w:val="0"/>
        <w:snapToGrid w:val="0"/>
        <w:rPr>
          <w:lang w:val="fr-FR"/>
        </w:rPr>
      </w:pPr>
      <w:r w:rsidRPr="00DA7718">
        <w:rPr>
          <w:lang w:val="fr-FR"/>
        </w:rPr>
        <w:t xml:space="preserve">association </w:t>
      </w:r>
      <w:r w:rsidR="008B1F0B">
        <w:rPr>
          <w:lang w:val="fr-FR"/>
        </w:rPr>
        <w:t>au bevacizumab</w:t>
      </w:r>
      <w:r w:rsidRPr="00DA7718">
        <w:rPr>
          <w:lang w:val="fr-FR"/>
        </w:rPr>
        <w:t xml:space="preserve"> à la dose de 7,5</w:t>
      </w:r>
      <w:r w:rsidR="00DA7718" w:rsidRPr="00DA7718">
        <w:rPr>
          <w:lang w:val="fr-FR"/>
        </w:rPr>
        <w:t> mg</w:t>
      </w:r>
      <w:r w:rsidRPr="00DA7718">
        <w:rPr>
          <w:lang w:val="fr-FR"/>
        </w:rPr>
        <w:t>/kg ou de 15</w:t>
      </w:r>
      <w:r w:rsidR="00DA7718" w:rsidRPr="00DA7718">
        <w:rPr>
          <w:lang w:val="fr-FR"/>
        </w:rPr>
        <w:t> mg</w:t>
      </w:r>
      <w:r w:rsidRPr="00DA7718">
        <w:rPr>
          <w:lang w:val="fr-FR"/>
        </w:rPr>
        <w:t xml:space="preserve">/kg en perfusion </w:t>
      </w:r>
      <w:r w:rsidR="008B1F0B">
        <w:rPr>
          <w:lang w:val="fr-FR"/>
        </w:rPr>
        <w:t>intraveineuse</w:t>
      </w:r>
      <w:r w:rsidR="008B1F0B" w:rsidRPr="00DA7718">
        <w:rPr>
          <w:lang w:val="fr-FR"/>
        </w:rPr>
        <w:t xml:space="preserve"> </w:t>
      </w:r>
      <w:r w:rsidRPr="00DA7718">
        <w:rPr>
          <w:lang w:val="fr-FR"/>
        </w:rPr>
        <w:t xml:space="preserve">à J1 de chaque cycle de 3 semaines. Dans le bras </w:t>
      </w:r>
      <w:r w:rsidR="008B1F0B">
        <w:rPr>
          <w:lang w:val="fr-FR"/>
        </w:rPr>
        <w:t>bevacizumab</w:t>
      </w:r>
      <w:r w:rsidR="008B1F0B" w:rsidRPr="00DA7718" w:rsidDel="008B1F0B">
        <w:rPr>
          <w:lang w:val="fr-FR"/>
        </w:rPr>
        <w:t xml:space="preserve"> </w:t>
      </w:r>
      <w:r w:rsidRPr="00DA7718">
        <w:rPr>
          <w:lang w:val="fr-FR"/>
        </w:rPr>
        <w:t xml:space="preserve">, les patients pouvaient recevoir </w:t>
      </w:r>
      <w:r w:rsidR="008B1F0B">
        <w:rPr>
          <w:lang w:val="fr-FR"/>
        </w:rPr>
        <w:t>le bevacizumab</w:t>
      </w:r>
      <w:r w:rsidR="008B1F0B" w:rsidRPr="00DA7718">
        <w:rPr>
          <w:lang w:val="fr-FR"/>
        </w:rPr>
        <w:t xml:space="preserve"> </w:t>
      </w:r>
      <w:r w:rsidRPr="00DA7718">
        <w:rPr>
          <w:lang w:val="fr-FR"/>
        </w:rPr>
        <w:t>en monothérapie une fois toutes les 3 semaines jusqu’à progression de la maladie ou apparition d’une toxicité non acceptable.</w:t>
      </w:r>
      <w:r w:rsidR="008B06CA">
        <w:rPr>
          <w:lang w:val="fr-FR"/>
        </w:rPr>
        <w:t xml:space="preserve"> </w:t>
      </w:r>
      <w:r w:rsidRPr="00DA7718">
        <w:rPr>
          <w:lang w:val="fr-FR"/>
        </w:rPr>
        <w:t>Les résultats de l’étude montrent que 94</w:t>
      </w:r>
      <w:r w:rsidR="00AF3AAA">
        <w:rPr>
          <w:lang w:val="fr-FR"/>
        </w:rPr>
        <w:t xml:space="preserve"> % </w:t>
      </w:r>
      <w:r w:rsidRPr="00DA7718">
        <w:rPr>
          <w:lang w:val="fr-FR"/>
        </w:rPr>
        <w:t xml:space="preserve">des patients éligibles (277/296) ont reçu bevacizumab en monothérapie au cycle 7. Une proportion élevée de patients (environ 62 %) </w:t>
      </w:r>
      <w:r w:rsidR="00B52BC0" w:rsidRPr="00DA7718">
        <w:rPr>
          <w:lang w:val="fr-FR"/>
        </w:rPr>
        <w:t>a</w:t>
      </w:r>
      <w:r w:rsidRPr="00DA7718">
        <w:rPr>
          <w:lang w:val="fr-FR"/>
        </w:rPr>
        <w:t xml:space="preserve"> reçu différents types de traitements anticancéreux non spécifiés par le protocole, ce qui a pu impacter l’analyse de </w:t>
      </w:r>
      <w:r w:rsidR="00803E4E">
        <w:rPr>
          <w:lang w:val="fr-FR"/>
        </w:rPr>
        <w:t>l’OS</w:t>
      </w:r>
      <w:r w:rsidRPr="00DA7718">
        <w:rPr>
          <w:lang w:val="fr-FR"/>
        </w:rPr>
        <w:t>.</w:t>
      </w:r>
    </w:p>
    <w:p w14:paraId="7E58DC90" w14:textId="77777777" w:rsidR="004401F0" w:rsidRPr="00DA7718" w:rsidRDefault="004401F0" w:rsidP="00BD4C7C">
      <w:pPr>
        <w:pStyle w:val="a3"/>
        <w:adjustRightInd w:val="0"/>
        <w:snapToGrid w:val="0"/>
        <w:rPr>
          <w:lang w:val="fr-FR"/>
        </w:rPr>
      </w:pPr>
    </w:p>
    <w:p w14:paraId="321274D4" w14:textId="77777777" w:rsidR="004401F0" w:rsidRPr="00DA7718" w:rsidRDefault="00DF3C4F" w:rsidP="00E13189">
      <w:pPr>
        <w:pStyle w:val="a3"/>
        <w:adjustRightInd w:val="0"/>
        <w:snapToGrid w:val="0"/>
        <w:rPr>
          <w:lang w:val="fr-FR"/>
        </w:rPr>
      </w:pPr>
      <w:r w:rsidRPr="00DA7718">
        <w:rPr>
          <w:lang w:val="fr-FR"/>
        </w:rPr>
        <w:t>Les résultats d’efficacité sont présentés dans le tableau 13.</w:t>
      </w:r>
    </w:p>
    <w:p w14:paraId="0918ADE1" w14:textId="77777777" w:rsidR="004401F0" w:rsidRPr="00DA7718" w:rsidRDefault="004401F0" w:rsidP="00654D21">
      <w:pPr>
        <w:pStyle w:val="a3"/>
        <w:keepNext/>
        <w:keepLines/>
        <w:adjustRightInd w:val="0"/>
        <w:snapToGrid w:val="0"/>
        <w:rPr>
          <w:lang w:val="fr-FR"/>
        </w:rPr>
      </w:pPr>
    </w:p>
    <w:p w14:paraId="12D34172" w14:textId="77777777" w:rsidR="004401F0" w:rsidRPr="00E13189" w:rsidRDefault="00DF3C4F" w:rsidP="00E13189">
      <w:pPr>
        <w:keepNext/>
        <w:keepLines/>
        <w:ind w:left="1276" w:hanging="1276"/>
        <w:rPr>
          <w:b/>
          <w:bCs/>
          <w:lang w:val="fr-FR"/>
        </w:rPr>
      </w:pPr>
      <w:r w:rsidRPr="00E13189">
        <w:rPr>
          <w:b/>
          <w:bCs/>
          <w:lang w:val="fr-FR"/>
        </w:rPr>
        <w:t>Tableau 13</w:t>
      </w:r>
      <w:r w:rsidRPr="00E13189">
        <w:rPr>
          <w:b/>
          <w:bCs/>
          <w:lang w:val="fr-FR"/>
        </w:rPr>
        <w:tab/>
        <w:t>Résultats d’efficacité de l’étude BO17704</w:t>
      </w:r>
    </w:p>
    <w:p w14:paraId="4D826870" w14:textId="77777777" w:rsidR="004401F0" w:rsidRPr="00DA7718" w:rsidRDefault="004401F0" w:rsidP="00E13189">
      <w:pPr>
        <w:pStyle w:val="a3"/>
        <w:keepNext/>
        <w:keepLines/>
        <w:adjustRightInd w:val="0"/>
        <w:snapToGrid w:val="0"/>
        <w:rPr>
          <w:b/>
          <w:lang w:val="fr-FR"/>
        </w:rPr>
      </w:pPr>
    </w:p>
    <w:tbl>
      <w:tblPr>
        <w:tblW w:w="5002" w:type="pct"/>
        <w:tblInd w:w="-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17"/>
        <w:gridCol w:w="1806"/>
        <w:gridCol w:w="2112"/>
        <w:gridCol w:w="2366"/>
        <w:gridCol w:w="61"/>
      </w:tblGrid>
      <w:tr w:rsidR="004401F0" w:rsidRPr="000D7348" w14:paraId="1E085390" w14:textId="77777777" w:rsidTr="00184ABB">
        <w:trPr>
          <w:cantSplit/>
        </w:trPr>
        <w:tc>
          <w:tcPr>
            <w:tcW w:w="2806" w:type="dxa"/>
          </w:tcPr>
          <w:p w14:paraId="1EED691B" w14:textId="77777777" w:rsidR="004401F0" w:rsidRPr="00D277A9" w:rsidRDefault="004401F0" w:rsidP="00654D21">
            <w:pPr>
              <w:pStyle w:val="TableParagraph"/>
              <w:keepNext/>
              <w:keepLines/>
              <w:adjustRightInd w:val="0"/>
              <w:snapToGrid w:val="0"/>
              <w:rPr>
                <w:sz w:val="20"/>
                <w:szCs w:val="20"/>
                <w:lang w:val="fr-FR"/>
              </w:rPr>
            </w:pPr>
          </w:p>
        </w:tc>
        <w:tc>
          <w:tcPr>
            <w:tcW w:w="1830" w:type="dxa"/>
          </w:tcPr>
          <w:p w14:paraId="5461FFF2" w14:textId="77777777" w:rsidR="004401F0" w:rsidRPr="00184ABB" w:rsidRDefault="00DF3C4F" w:rsidP="00654D21">
            <w:pPr>
              <w:pStyle w:val="TableParagraph"/>
              <w:keepNext/>
              <w:keepLines/>
              <w:adjustRightInd w:val="0"/>
              <w:snapToGrid w:val="0"/>
              <w:jc w:val="center"/>
              <w:rPr>
                <w:b/>
                <w:bCs/>
                <w:sz w:val="20"/>
                <w:szCs w:val="20"/>
                <w:lang w:val="fr-FR"/>
              </w:rPr>
            </w:pPr>
            <w:r w:rsidRPr="00184ABB">
              <w:rPr>
                <w:b/>
                <w:bCs/>
                <w:sz w:val="20"/>
                <w:szCs w:val="20"/>
                <w:lang w:val="fr-FR"/>
              </w:rPr>
              <w:t>Cisplatine / Gemcitabine/ placebo</w:t>
            </w:r>
          </w:p>
        </w:tc>
        <w:tc>
          <w:tcPr>
            <w:tcW w:w="2180" w:type="dxa"/>
          </w:tcPr>
          <w:p w14:paraId="4EA4D462" w14:textId="77777777" w:rsidR="004401F0" w:rsidRPr="00184ABB" w:rsidRDefault="00DF3C4F" w:rsidP="00654D21">
            <w:pPr>
              <w:pStyle w:val="TableParagraph"/>
              <w:keepNext/>
              <w:keepLines/>
              <w:adjustRightInd w:val="0"/>
              <w:snapToGrid w:val="0"/>
              <w:jc w:val="center"/>
              <w:rPr>
                <w:b/>
                <w:bCs/>
                <w:sz w:val="20"/>
                <w:szCs w:val="20"/>
                <w:lang w:val="fr-FR"/>
              </w:rPr>
            </w:pPr>
            <w:r w:rsidRPr="00184ABB">
              <w:rPr>
                <w:b/>
                <w:bCs/>
                <w:sz w:val="20"/>
                <w:szCs w:val="20"/>
                <w:lang w:val="fr-FR"/>
              </w:rPr>
              <w:t>Cisplatine /</w:t>
            </w:r>
          </w:p>
          <w:p w14:paraId="24749BE7" w14:textId="5AD6C9BB" w:rsidR="004401F0" w:rsidRPr="00184ABB" w:rsidRDefault="00DF3C4F" w:rsidP="00654D21">
            <w:pPr>
              <w:pStyle w:val="TableParagraph"/>
              <w:keepNext/>
              <w:keepLines/>
              <w:adjustRightInd w:val="0"/>
              <w:snapToGrid w:val="0"/>
              <w:jc w:val="center"/>
              <w:rPr>
                <w:b/>
                <w:bCs/>
                <w:sz w:val="20"/>
                <w:szCs w:val="20"/>
                <w:lang w:val="fr-FR"/>
              </w:rPr>
            </w:pPr>
            <w:r w:rsidRPr="00184ABB">
              <w:rPr>
                <w:b/>
                <w:bCs/>
                <w:sz w:val="20"/>
                <w:szCs w:val="20"/>
                <w:lang w:val="fr-FR"/>
              </w:rPr>
              <w:t xml:space="preserve">Gemcitabine/ </w:t>
            </w:r>
            <w:r w:rsidR="00231794">
              <w:rPr>
                <w:b/>
                <w:bCs/>
                <w:sz w:val="20"/>
                <w:szCs w:val="20"/>
                <w:lang w:val="fr-FR"/>
              </w:rPr>
              <w:t>B</w:t>
            </w:r>
            <w:r w:rsidR="008B1F0B">
              <w:rPr>
                <w:b/>
                <w:bCs/>
                <w:sz w:val="20"/>
                <w:szCs w:val="20"/>
                <w:lang w:val="fr-FR"/>
              </w:rPr>
              <w:t>evacizumab</w:t>
            </w:r>
            <w:r w:rsidR="008B1F0B" w:rsidRPr="00184ABB">
              <w:rPr>
                <w:b/>
                <w:bCs/>
                <w:sz w:val="20"/>
                <w:szCs w:val="20"/>
                <w:lang w:val="fr-FR"/>
              </w:rPr>
              <w:t xml:space="preserve"> </w:t>
            </w:r>
            <w:r w:rsidRPr="00184ABB">
              <w:rPr>
                <w:b/>
                <w:bCs/>
                <w:sz w:val="20"/>
                <w:szCs w:val="20"/>
                <w:lang w:val="fr-FR"/>
              </w:rPr>
              <w:t>7,5</w:t>
            </w:r>
            <w:r w:rsidR="00DA7718" w:rsidRPr="00184ABB">
              <w:rPr>
                <w:b/>
                <w:bCs/>
                <w:sz w:val="20"/>
                <w:szCs w:val="20"/>
                <w:lang w:val="fr-FR"/>
              </w:rPr>
              <w:t> mg</w:t>
            </w:r>
            <w:r w:rsidRPr="00184ABB">
              <w:rPr>
                <w:b/>
                <w:bCs/>
                <w:sz w:val="20"/>
                <w:szCs w:val="20"/>
                <w:lang w:val="fr-FR"/>
              </w:rPr>
              <w:t>/kg</w:t>
            </w:r>
          </w:p>
          <w:p w14:paraId="288DC0C4" w14:textId="77777777" w:rsidR="004401F0" w:rsidRPr="00184ABB" w:rsidRDefault="00DF3C4F" w:rsidP="00654D21">
            <w:pPr>
              <w:pStyle w:val="TableParagraph"/>
              <w:keepNext/>
              <w:keepLines/>
              <w:adjustRightInd w:val="0"/>
              <w:snapToGrid w:val="0"/>
              <w:jc w:val="center"/>
              <w:rPr>
                <w:b/>
                <w:bCs/>
                <w:sz w:val="20"/>
                <w:szCs w:val="20"/>
                <w:lang w:val="fr-FR"/>
              </w:rPr>
            </w:pPr>
            <w:r w:rsidRPr="00184ABB">
              <w:rPr>
                <w:b/>
                <w:bCs/>
                <w:sz w:val="20"/>
                <w:szCs w:val="20"/>
                <w:lang w:val="fr-FR"/>
              </w:rPr>
              <w:t>Toutes les 3 semaines</w:t>
            </w:r>
          </w:p>
        </w:tc>
        <w:tc>
          <w:tcPr>
            <w:tcW w:w="2478" w:type="dxa"/>
            <w:gridSpan w:val="2"/>
          </w:tcPr>
          <w:p w14:paraId="6128DC7E" w14:textId="77777777" w:rsidR="004401F0" w:rsidRPr="00184ABB" w:rsidRDefault="00DF3C4F" w:rsidP="00654D21">
            <w:pPr>
              <w:pStyle w:val="TableParagraph"/>
              <w:keepNext/>
              <w:keepLines/>
              <w:adjustRightInd w:val="0"/>
              <w:snapToGrid w:val="0"/>
              <w:jc w:val="center"/>
              <w:rPr>
                <w:b/>
                <w:bCs/>
                <w:sz w:val="20"/>
                <w:szCs w:val="20"/>
                <w:lang w:val="fr-FR"/>
              </w:rPr>
            </w:pPr>
            <w:r w:rsidRPr="00184ABB">
              <w:rPr>
                <w:b/>
                <w:bCs/>
                <w:sz w:val="20"/>
                <w:szCs w:val="20"/>
                <w:lang w:val="fr-FR"/>
              </w:rPr>
              <w:t>Cisplatine /</w:t>
            </w:r>
          </w:p>
          <w:p w14:paraId="779FBDF0" w14:textId="696B83EA" w:rsidR="004401F0" w:rsidRPr="00184ABB" w:rsidRDefault="00DF3C4F" w:rsidP="00654D21">
            <w:pPr>
              <w:pStyle w:val="TableParagraph"/>
              <w:keepNext/>
              <w:keepLines/>
              <w:adjustRightInd w:val="0"/>
              <w:snapToGrid w:val="0"/>
              <w:jc w:val="center"/>
              <w:rPr>
                <w:b/>
                <w:bCs/>
                <w:sz w:val="20"/>
                <w:szCs w:val="20"/>
                <w:lang w:val="fr-FR"/>
              </w:rPr>
            </w:pPr>
            <w:r w:rsidRPr="00184ABB">
              <w:rPr>
                <w:b/>
                <w:bCs/>
                <w:sz w:val="20"/>
                <w:szCs w:val="20"/>
                <w:lang w:val="fr-FR"/>
              </w:rPr>
              <w:t xml:space="preserve">Gemcitabine/ </w:t>
            </w:r>
            <w:r w:rsidR="00231794">
              <w:rPr>
                <w:b/>
                <w:bCs/>
                <w:sz w:val="20"/>
                <w:szCs w:val="20"/>
                <w:lang w:val="fr-FR"/>
              </w:rPr>
              <w:t>B</w:t>
            </w:r>
            <w:r w:rsidR="008B1F0B">
              <w:rPr>
                <w:b/>
                <w:bCs/>
                <w:sz w:val="20"/>
                <w:szCs w:val="20"/>
                <w:lang w:val="fr-FR"/>
              </w:rPr>
              <w:t>evacizumab</w:t>
            </w:r>
            <w:r w:rsidR="008B1F0B" w:rsidRPr="00184ABB">
              <w:rPr>
                <w:b/>
                <w:bCs/>
                <w:sz w:val="20"/>
                <w:szCs w:val="20"/>
                <w:lang w:val="fr-FR"/>
              </w:rPr>
              <w:t xml:space="preserve"> </w:t>
            </w:r>
            <w:r w:rsidRPr="00184ABB">
              <w:rPr>
                <w:b/>
                <w:bCs/>
                <w:sz w:val="20"/>
                <w:szCs w:val="20"/>
                <w:lang w:val="fr-FR"/>
              </w:rPr>
              <w:t>15</w:t>
            </w:r>
            <w:r w:rsidR="00DA7718" w:rsidRPr="00184ABB">
              <w:rPr>
                <w:b/>
                <w:bCs/>
                <w:sz w:val="20"/>
                <w:szCs w:val="20"/>
                <w:lang w:val="fr-FR"/>
              </w:rPr>
              <w:t> mg</w:t>
            </w:r>
            <w:r w:rsidRPr="00184ABB">
              <w:rPr>
                <w:b/>
                <w:bCs/>
                <w:sz w:val="20"/>
                <w:szCs w:val="20"/>
                <w:lang w:val="fr-FR"/>
              </w:rPr>
              <w:t>/kg</w:t>
            </w:r>
          </w:p>
          <w:p w14:paraId="46469D2B" w14:textId="77777777" w:rsidR="004401F0" w:rsidRPr="00184ABB" w:rsidRDefault="00DF3C4F" w:rsidP="00654D21">
            <w:pPr>
              <w:pStyle w:val="TableParagraph"/>
              <w:keepNext/>
              <w:keepLines/>
              <w:adjustRightInd w:val="0"/>
              <w:snapToGrid w:val="0"/>
              <w:jc w:val="center"/>
              <w:rPr>
                <w:b/>
                <w:bCs/>
                <w:sz w:val="20"/>
                <w:szCs w:val="20"/>
                <w:lang w:val="fr-FR"/>
              </w:rPr>
            </w:pPr>
            <w:r w:rsidRPr="00184ABB">
              <w:rPr>
                <w:b/>
                <w:bCs/>
                <w:sz w:val="20"/>
                <w:szCs w:val="20"/>
                <w:lang w:val="fr-FR"/>
              </w:rPr>
              <w:t>Toutes les 3 semaines</w:t>
            </w:r>
          </w:p>
        </w:tc>
      </w:tr>
      <w:tr w:rsidR="004401F0" w:rsidRPr="00D277A9" w14:paraId="4281AB72" w14:textId="77777777" w:rsidTr="00654D21">
        <w:trPr>
          <w:cantSplit/>
        </w:trPr>
        <w:tc>
          <w:tcPr>
            <w:tcW w:w="2806" w:type="dxa"/>
            <w:tcBorders>
              <w:bottom w:val="single" w:sz="4" w:space="0" w:color="auto"/>
            </w:tcBorders>
          </w:tcPr>
          <w:p w14:paraId="407A8617"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Nombre de patients</w:t>
            </w:r>
          </w:p>
        </w:tc>
        <w:tc>
          <w:tcPr>
            <w:tcW w:w="1830" w:type="dxa"/>
          </w:tcPr>
          <w:p w14:paraId="377704D6"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347</w:t>
            </w:r>
          </w:p>
        </w:tc>
        <w:tc>
          <w:tcPr>
            <w:tcW w:w="2180" w:type="dxa"/>
          </w:tcPr>
          <w:p w14:paraId="6C014F78"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345</w:t>
            </w:r>
          </w:p>
        </w:tc>
        <w:tc>
          <w:tcPr>
            <w:tcW w:w="2478" w:type="dxa"/>
            <w:gridSpan w:val="2"/>
          </w:tcPr>
          <w:p w14:paraId="0952A49C"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351</w:t>
            </w:r>
          </w:p>
        </w:tc>
      </w:tr>
      <w:tr w:rsidR="004401F0" w:rsidRPr="00D277A9" w14:paraId="4E6A5AC1" w14:textId="77777777" w:rsidTr="00654D21">
        <w:trPr>
          <w:cantSplit/>
        </w:trPr>
        <w:tc>
          <w:tcPr>
            <w:tcW w:w="2806" w:type="dxa"/>
            <w:tcBorders>
              <w:top w:val="single" w:sz="4" w:space="0" w:color="auto"/>
              <w:left w:val="single" w:sz="4" w:space="0" w:color="auto"/>
              <w:bottom w:val="single" w:sz="4" w:space="0" w:color="auto"/>
              <w:right w:val="single" w:sz="4" w:space="0" w:color="auto"/>
            </w:tcBorders>
          </w:tcPr>
          <w:p w14:paraId="039B05CA"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Survie sans progression (PFS)</w:t>
            </w:r>
          </w:p>
        </w:tc>
        <w:tc>
          <w:tcPr>
            <w:tcW w:w="1830" w:type="dxa"/>
            <w:tcBorders>
              <w:left w:val="single" w:sz="4" w:space="0" w:color="auto"/>
              <w:bottom w:val="single" w:sz="4" w:space="0" w:color="000000"/>
            </w:tcBorders>
          </w:tcPr>
          <w:p w14:paraId="5E82FD43" w14:textId="5CB09B05" w:rsidR="004401F0" w:rsidRPr="00D277A9" w:rsidRDefault="004401F0" w:rsidP="00654D21">
            <w:pPr>
              <w:pStyle w:val="TableParagraph"/>
              <w:keepNext/>
              <w:keepLines/>
              <w:adjustRightInd w:val="0"/>
              <w:snapToGrid w:val="0"/>
              <w:jc w:val="center"/>
              <w:rPr>
                <w:sz w:val="20"/>
                <w:szCs w:val="20"/>
                <w:lang w:val="fr-FR"/>
              </w:rPr>
            </w:pPr>
          </w:p>
        </w:tc>
        <w:tc>
          <w:tcPr>
            <w:tcW w:w="2180" w:type="dxa"/>
            <w:tcBorders>
              <w:bottom w:val="single" w:sz="4" w:space="0" w:color="auto"/>
            </w:tcBorders>
          </w:tcPr>
          <w:p w14:paraId="623AE3F5" w14:textId="77777777" w:rsidR="004401F0" w:rsidRPr="00D277A9" w:rsidRDefault="004401F0" w:rsidP="00654D21">
            <w:pPr>
              <w:pStyle w:val="TableParagraph"/>
              <w:keepNext/>
              <w:keepLines/>
              <w:adjustRightInd w:val="0"/>
              <w:snapToGrid w:val="0"/>
              <w:jc w:val="center"/>
              <w:rPr>
                <w:sz w:val="20"/>
                <w:szCs w:val="20"/>
                <w:lang w:val="fr-FR"/>
              </w:rPr>
            </w:pPr>
          </w:p>
        </w:tc>
        <w:tc>
          <w:tcPr>
            <w:tcW w:w="2478" w:type="dxa"/>
            <w:gridSpan w:val="2"/>
            <w:tcBorders>
              <w:bottom w:val="single" w:sz="4" w:space="0" w:color="auto"/>
            </w:tcBorders>
          </w:tcPr>
          <w:p w14:paraId="08480812" w14:textId="77777777" w:rsidR="004401F0" w:rsidRPr="00D277A9" w:rsidRDefault="004401F0" w:rsidP="00654D21">
            <w:pPr>
              <w:pStyle w:val="TableParagraph"/>
              <w:keepNext/>
              <w:keepLines/>
              <w:adjustRightInd w:val="0"/>
              <w:snapToGrid w:val="0"/>
              <w:jc w:val="center"/>
              <w:rPr>
                <w:sz w:val="20"/>
                <w:szCs w:val="20"/>
                <w:lang w:val="fr-FR"/>
              </w:rPr>
            </w:pPr>
          </w:p>
        </w:tc>
      </w:tr>
      <w:tr w:rsidR="004401F0" w:rsidRPr="00D277A9" w14:paraId="1524A4AA" w14:textId="77777777" w:rsidTr="00654D21">
        <w:trPr>
          <w:cantSplit/>
        </w:trPr>
        <w:tc>
          <w:tcPr>
            <w:tcW w:w="2806" w:type="dxa"/>
            <w:tcBorders>
              <w:top w:val="single" w:sz="4" w:space="0" w:color="auto"/>
              <w:left w:val="single" w:sz="4" w:space="0" w:color="auto"/>
              <w:bottom w:val="single" w:sz="4" w:space="0" w:color="auto"/>
              <w:right w:val="single" w:sz="4" w:space="0" w:color="auto"/>
            </w:tcBorders>
          </w:tcPr>
          <w:p w14:paraId="61286B23" w14:textId="77777777" w:rsidR="004401F0" w:rsidRPr="00D277A9" w:rsidRDefault="00DF3C4F" w:rsidP="00654D21">
            <w:pPr>
              <w:pStyle w:val="TableParagraph"/>
              <w:keepNext/>
              <w:keepLines/>
              <w:adjustRightInd w:val="0"/>
              <w:snapToGrid w:val="0"/>
              <w:ind w:left="278"/>
              <w:rPr>
                <w:sz w:val="20"/>
                <w:szCs w:val="20"/>
                <w:lang w:val="fr-FR"/>
              </w:rPr>
            </w:pPr>
            <w:r w:rsidRPr="00D277A9">
              <w:rPr>
                <w:sz w:val="20"/>
                <w:szCs w:val="20"/>
                <w:lang w:val="fr-FR"/>
              </w:rPr>
              <w:t>Temps médian (mois)</w:t>
            </w:r>
          </w:p>
        </w:tc>
        <w:tc>
          <w:tcPr>
            <w:tcW w:w="1830" w:type="dxa"/>
            <w:tcBorders>
              <w:top w:val="nil"/>
              <w:left w:val="single" w:sz="4" w:space="0" w:color="auto"/>
              <w:bottom w:val="single" w:sz="4" w:space="0" w:color="000000"/>
              <w:right w:val="single" w:sz="4" w:space="0" w:color="auto"/>
            </w:tcBorders>
          </w:tcPr>
          <w:p w14:paraId="66A3136D" w14:textId="3781037A" w:rsidR="004401F0" w:rsidRPr="00D277A9" w:rsidRDefault="00B07504" w:rsidP="00654D21">
            <w:pPr>
              <w:keepNext/>
              <w:keepLines/>
              <w:adjustRightInd w:val="0"/>
              <w:snapToGrid w:val="0"/>
              <w:jc w:val="center"/>
              <w:rPr>
                <w:sz w:val="20"/>
                <w:szCs w:val="20"/>
                <w:lang w:val="fr-FR"/>
              </w:rPr>
            </w:pPr>
            <w:r w:rsidRPr="00D277A9">
              <w:rPr>
                <w:sz w:val="20"/>
                <w:szCs w:val="20"/>
                <w:lang w:val="fr-FR"/>
              </w:rPr>
              <w:t>6,1</w:t>
            </w:r>
          </w:p>
        </w:tc>
        <w:tc>
          <w:tcPr>
            <w:tcW w:w="2180" w:type="dxa"/>
            <w:tcBorders>
              <w:top w:val="single" w:sz="4" w:space="0" w:color="auto"/>
              <w:left w:val="single" w:sz="4" w:space="0" w:color="auto"/>
              <w:bottom w:val="single" w:sz="4" w:space="0" w:color="auto"/>
              <w:right w:val="single" w:sz="4" w:space="0" w:color="auto"/>
            </w:tcBorders>
          </w:tcPr>
          <w:p w14:paraId="192D2427"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6,7</w:t>
            </w:r>
          </w:p>
          <w:p w14:paraId="73D0A0B1"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(p= 0,0026)</w:t>
            </w:r>
          </w:p>
        </w:tc>
        <w:tc>
          <w:tcPr>
            <w:tcW w:w="2478" w:type="dxa"/>
            <w:gridSpan w:val="2"/>
            <w:tcBorders>
              <w:top w:val="single" w:sz="4" w:space="0" w:color="auto"/>
              <w:left w:val="single" w:sz="4" w:space="0" w:color="auto"/>
              <w:bottom w:val="single" w:sz="4" w:space="0" w:color="auto"/>
              <w:right w:val="single" w:sz="4" w:space="0" w:color="auto"/>
            </w:tcBorders>
          </w:tcPr>
          <w:p w14:paraId="25B18CCE"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6,5</w:t>
            </w:r>
          </w:p>
          <w:p w14:paraId="277380E5"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(p= 0,0301)</w:t>
            </w:r>
          </w:p>
        </w:tc>
      </w:tr>
      <w:tr w:rsidR="004401F0" w:rsidRPr="00D277A9" w14:paraId="46854299" w14:textId="77777777" w:rsidTr="00654D21">
        <w:trPr>
          <w:cantSplit/>
        </w:trPr>
        <w:tc>
          <w:tcPr>
            <w:tcW w:w="2806" w:type="dxa"/>
            <w:tcBorders>
              <w:top w:val="single" w:sz="4" w:space="0" w:color="auto"/>
              <w:left w:val="single" w:sz="4" w:space="0" w:color="auto"/>
              <w:bottom w:val="single" w:sz="4" w:space="0" w:color="auto"/>
              <w:right w:val="single" w:sz="4" w:space="0" w:color="auto"/>
            </w:tcBorders>
          </w:tcPr>
          <w:p w14:paraId="39CDCE92" w14:textId="77777777" w:rsidR="004401F0" w:rsidRPr="00D277A9" w:rsidRDefault="00DF3C4F" w:rsidP="00654D21">
            <w:pPr>
              <w:pStyle w:val="TableParagraph"/>
              <w:keepNext/>
              <w:keepLines/>
              <w:adjustRightInd w:val="0"/>
              <w:snapToGrid w:val="0"/>
              <w:ind w:left="278"/>
              <w:rPr>
                <w:sz w:val="20"/>
                <w:szCs w:val="20"/>
                <w:lang w:val="fr-FR"/>
              </w:rPr>
            </w:pPr>
            <w:r w:rsidRPr="00D277A9">
              <w:rPr>
                <w:sz w:val="20"/>
                <w:szCs w:val="20"/>
                <w:lang w:val="fr-FR"/>
              </w:rPr>
              <w:t>Risque relatif (Hazard ratio)</w:t>
            </w:r>
          </w:p>
        </w:tc>
        <w:tc>
          <w:tcPr>
            <w:tcW w:w="1830" w:type="dxa"/>
            <w:tcBorders>
              <w:top w:val="nil"/>
              <w:left w:val="single" w:sz="4" w:space="0" w:color="auto"/>
              <w:bottom w:val="single" w:sz="4" w:space="0" w:color="000000"/>
              <w:right w:val="single" w:sz="4" w:space="0" w:color="auto"/>
            </w:tcBorders>
          </w:tcPr>
          <w:p w14:paraId="277A9573" w14:textId="77777777" w:rsidR="004401F0" w:rsidRPr="00D277A9" w:rsidRDefault="004401F0" w:rsidP="00654D21">
            <w:pPr>
              <w:keepNext/>
              <w:keepLines/>
              <w:adjustRightInd w:val="0"/>
              <w:snapToGrid w:val="0"/>
              <w:jc w:val="center"/>
              <w:rPr>
                <w:sz w:val="20"/>
                <w:szCs w:val="20"/>
                <w:lang w:val="fr-FR"/>
              </w:rPr>
            </w:pPr>
          </w:p>
        </w:tc>
        <w:tc>
          <w:tcPr>
            <w:tcW w:w="2180" w:type="dxa"/>
            <w:tcBorders>
              <w:top w:val="single" w:sz="4" w:space="0" w:color="auto"/>
              <w:left w:val="single" w:sz="4" w:space="0" w:color="auto"/>
              <w:bottom w:val="single" w:sz="4" w:space="0" w:color="auto"/>
              <w:right w:val="single" w:sz="4" w:space="0" w:color="auto"/>
            </w:tcBorders>
          </w:tcPr>
          <w:p w14:paraId="24C43186"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0,75</w:t>
            </w:r>
          </w:p>
          <w:p w14:paraId="15ACA5DE" w14:textId="7E38080C"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[0,62</w:t>
            </w:r>
            <w:r w:rsidR="00881CB8">
              <w:rPr>
                <w:sz w:val="20"/>
                <w:szCs w:val="20"/>
                <w:lang w:val="fr-FR"/>
              </w:rPr>
              <w:t xml:space="preserve"> ; </w:t>
            </w:r>
            <w:r w:rsidRPr="00D277A9">
              <w:rPr>
                <w:sz w:val="20"/>
                <w:szCs w:val="20"/>
                <w:lang w:val="fr-FR"/>
              </w:rPr>
              <w:t>0,91]</w:t>
            </w:r>
          </w:p>
        </w:tc>
        <w:tc>
          <w:tcPr>
            <w:tcW w:w="2478" w:type="dxa"/>
            <w:gridSpan w:val="2"/>
            <w:tcBorders>
              <w:top w:val="single" w:sz="4" w:space="0" w:color="auto"/>
              <w:left w:val="single" w:sz="4" w:space="0" w:color="auto"/>
              <w:bottom w:val="single" w:sz="4" w:space="0" w:color="auto"/>
              <w:right w:val="single" w:sz="4" w:space="0" w:color="auto"/>
            </w:tcBorders>
          </w:tcPr>
          <w:p w14:paraId="1B63F45E"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0,82</w:t>
            </w:r>
          </w:p>
          <w:p w14:paraId="64A26EE5" w14:textId="4699B084"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[0,68</w:t>
            </w:r>
            <w:r w:rsidR="00881CB8">
              <w:rPr>
                <w:sz w:val="20"/>
                <w:szCs w:val="20"/>
                <w:lang w:val="fr-FR"/>
              </w:rPr>
              <w:t xml:space="preserve"> ; </w:t>
            </w:r>
            <w:r w:rsidRPr="00D277A9">
              <w:rPr>
                <w:sz w:val="20"/>
                <w:szCs w:val="20"/>
                <w:lang w:val="fr-FR"/>
              </w:rPr>
              <w:t>0,98]</w:t>
            </w:r>
          </w:p>
        </w:tc>
      </w:tr>
      <w:tr w:rsidR="004401F0" w:rsidRPr="00D277A9" w14:paraId="0F375080" w14:textId="77777777" w:rsidTr="00654D21">
        <w:trPr>
          <w:cantSplit/>
        </w:trPr>
        <w:tc>
          <w:tcPr>
            <w:tcW w:w="2806" w:type="dxa"/>
            <w:tcBorders>
              <w:top w:val="single" w:sz="4" w:space="0" w:color="auto"/>
              <w:left w:val="single" w:sz="4" w:space="0" w:color="000000"/>
              <w:bottom w:val="single" w:sz="4" w:space="0" w:color="000000"/>
            </w:tcBorders>
          </w:tcPr>
          <w:p w14:paraId="0158C7A5"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 xml:space="preserve">Meilleur taux de réponse globale </w:t>
            </w:r>
            <w:r w:rsidRPr="00D277A9">
              <w:rPr>
                <w:sz w:val="20"/>
                <w:szCs w:val="20"/>
                <w:vertAlign w:val="superscript"/>
                <w:lang w:val="fr-FR"/>
              </w:rPr>
              <w:t>a</w:t>
            </w:r>
          </w:p>
        </w:tc>
        <w:tc>
          <w:tcPr>
            <w:tcW w:w="1830" w:type="dxa"/>
            <w:tcBorders>
              <w:top w:val="single" w:sz="4" w:space="0" w:color="000000"/>
              <w:bottom w:val="single" w:sz="4" w:space="0" w:color="000000"/>
            </w:tcBorders>
          </w:tcPr>
          <w:p w14:paraId="45EFB32C"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20,1 %</w:t>
            </w:r>
          </w:p>
        </w:tc>
        <w:tc>
          <w:tcPr>
            <w:tcW w:w="2180" w:type="dxa"/>
            <w:tcBorders>
              <w:top w:val="single" w:sz="4" w:space="0" w:color="auto"/>
              <w:bottom w:val="single" w:sz="4" w:space="0" w:color="000000"/>
            </w:tcBorders>
          </w:tcPr>
          <w:p w14:paraId="17B97B9A"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34,1 %</w:t>
            </w:r>
          </w:p>
          <w:p w14:paraId="41C76F01"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(p&lt; 0,0001)</w:t>
            </w:r>
          </w:p>
        </w:tc>
        <w:tc>
          <w:tcPr>
            <w:tcW w:w="2478" w:type="dxa"/>
            <w:gridSpan w:val="2"/>
            <w:tcBorders>
              <w:top w:val="single" w:sz="4" w:space="0" w:color="auto"/>
              <w:bottom w:val="single" w:sz="4" w:space="0" w:color="000000"/>
              <w:right w:val="single" w:sz="4" w:space="0" w:color="000000"/>
            </w:tcBorders>
          </w:tcPr>
          <w:p w14:paraId="1AFA4BB6" w14:textId="1115910C"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30,4</w:t>
            </w:r>
            <w:r w:rsidR="00AF3AAA">
              <w:rPr>
                <w:sz w:val="20"/>
                <w:szCs w:val="20"/>
                <w:lang w:val="fr-FR"/>
              </w:rPr>
              <w:t xml:space="preserve"> % </w:t>
            </w:r>
            <w:r w:rsidRPr="00D277A9">
              <w:rPr>
                <w:sz w:val="20"/>
                <w:szCs w:val="20"/>
                <w:lang w:val="fr-FR"/>
              </w:rPr>
              <w:t>(p=0,0023)</w:t>
            </w:r>
          </w:p>
        </w:tc>
      </w:tr>
      <w:tr w:rsidR="004401F0" w:rsidRPr="00D277A9" w14:paraId="281E2757" w14:textId="77777777" w:rsidTr="00184AB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3" w:type="dxa"/>
          <w:cantSplit/>
        </w:trPr>
        <w:tc>
          <w:tcPr>
            <w:tcW w:w="9231" w:type="dxa"/>
            <w:gridSpan w:val="4"/>
            <w:tcBorders>
              <w:bottom w:val="single" w:sz="4" w:space="0" w:color="000000"/>
            </w:tcBorders>
          </w:tcPr>
          <w:p w14:paraId="5817E7A2" w14:textId="77777777" w:rsidR="004401F0" w:rsidRPr="00654D21" w:rsidRDefault="00DF3C4F" w:rsidP="00654D21">
            <w:pPr>
              <w:pStyle w:val="TableParagraph"/>
              <w:keepNext/>
              <w:keepLines/>
              <w:adjustRightInd w:val="0"/>
              <w:snapToGrid w:val="0"/>
              <w:jc w:val="center"/>
              <w:rPr>
                <w:b/>
                <w:bCs/>
                <w:sz w:val="20"/>
                <w:szCs w:val="20"/>
                <w:lang w:val="fr-FR"/>
              </w:rPr>
            </w:pPr>
            <w:r w:rsidRPr="00654D21">
              <w:rPr>
                <w:b/>
                <w:bCs/>
                <w:sz w:val="20"/>
                <w:szCs w:val="20"/>
                <w:lang w:val="fr-FR"/>
              </w:rPr>
              <w:t>Survie globale</w:t>
            </w:r>
          </w:p>
        </w:tc>
      </w:tr>
      <w:tr w:rsidR="004401F0" w:rsidRPr="00D277A9" w14:paraId="0E841C09" w14:textId="77777777" w:rsidTr="00654D2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3" w:type="dxa"/>
          <w:cantSplit/>
        </w:trPr>
        <w:tc>
          <w:tcPr>
            <w:tcW w:w="2806" w:type="dxa"/>
            <w:tcBorders>
              <w:top w:val="single" w:sz="4" w:space="0" w:color="000000"/>
              <w:bottom w:val="single" w:sz="4" w:space="0" w:color="auto"/>
            </w:tcBorders>
          </w:tcPr>
          <w:p w14:paraId="259B0981" w14:textId="77777777" w:rsidR="004401F0" w:rsidRPr="00D277A9" w:rsidRDefault="00DF3C4F" w:rsidP="00654D21">
            <w:pPr>
              <w:pStyle w:val="TableParagraph"/>
              <w:keepNext/>
              <w:keepLines/>
              <w:adjustRightInd w:val="0"/>
              <w:snapToGrid w:val="0"/>
              <w:ind w:left="278"/>
              <w:rPr>
                <w:sz w:val="20"/>
                <w:szCs w:val="20"/>
                <w:lang w:val="fr-FR"/>
              </w:rPr>
            </w:pPr>
            <w:r w:rsidRPr="00D277A9">
              <w:rPr>
                <w:sz w:val="20"/>
                <w:szCs w:val="20"/>
                <w:lang w:val="fr-FR"/>
              </w:rPr>
              <w:t>Temps médian (mois)</w:t>
            </w:r>
          </w:p>
        </w:tc>
        <w:tc>
          <w:tcPr>
            <w:tcW w:w="1862" w:type="dxa"/>
            <w:tcBorders>
              <w:top w:val="single" w:sz="4" w:space="0" w:color="000000"/>
              <w:bottom w:val="single" w:sz="4" w:space="0" w:color="auto"/>
            </w:tcBorders>
          </w:tcPr>
          <w:p w14:paraId="47C858E1"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13,1</w:t>
            </w:r>
          </w:p>
        </w:tc>
        <w:tc>
          <w:tcPr>
            <w:tcW w:w="2120" w:type="dxa"/>
            <w:tcBorders>
              <w:top w:val="single" w:sz="4" w:space="0" w:color="000000"/>
              <w:bottom w:val="single" w:sz="4" w:space="0" w:color="auto"/>
            </w:tcBorders>
          </w:tcPr>
          <w:p w14:paraId="6C06805C"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13,6</w:t>
            </w:r>
          </w:p>
          <w:p w14:paraId="50773458"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(p = 0,4203)</w:t>
            </w:r>
          </w:p>
        </w:tc>
        <w:tc>
          <w:tcPr>
            <w:tcW w:w="2443" w:type="dxa"/>
            <w:tcBorders>
              <w:top w:val="single" w:sz="4" w:space="0" w:color="000000"/>
              <w:bottom w:val="single" w:sz="4" w:space="0" w:color="auto"/>
            </w:tcBorders>
          </w:tcPr>
          <w:p w14:paraId="081FF59B"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13,4</w:t>
            </w:r>
          </w:p>
          <w:p w14:paraId="4D1DE26C"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(p = 0,7613)</w:t>
            </w:r>
          </w:p>
        </w:tc>
      </w:tr>
      <w:tr w:rsidR="004401F0" w:rsidRPr="00D277A9" w14:paraId="5A163A6E" w14:textId="77777777" w:rsidTr="00654D2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3" w:type="dxa"/>
          <w:cantSplit/>
        </w:trPr>
        <w:tc>
          <w:tcPr>
            <w:tcW w:w="2806" w:type="dxa"/>
            <w:tcBorders>
              <w:top w:val="single" w:sz="4" w:space="0" w:color="auto"/>
              <w:bottom w:val="nil"/>
            </w:tcBorders>
          </w:tcPr>
          <w:p w14:paraId="7D342DBA" w14:textId="77777777" w:rsidR="004401F0" w:rsidRPr="00D277A9" w:rsidRDefault="00DF3C4F" w:rsidP="00654D21">
            <w:pPr>
              <w:pStyle w:val="TableParagraph"/>
              <w:keepNext/>
              <w:keepLines/>
              <w:adjustRightInd w:val="0"/>
              <w:snapToGrid w:val="0"/>
              <w:ind w:left="278"/>
              <w:rPr>
                <w:sz w:val="20"/>
                <w:szCs w:val="20"/>
                <w:lang w:val="fr-FR"/>
              </w:rPr>
            </w:pPr>
            <w:r w:rsidRPr="00D277A9">
              <w:rPr>
                <w:sz w:val="20"/>
                <w:szCs w:val="20"/>
                <w:lang w:val="fr-FR"/>
              </w:rPr>
              <w:t>Risque relatif (Hazard ratio)</w:t>
            </w:r>
          </w:p>
        </w:tc>
        <w:tc>
          <w:tcPr>
            <w:tcW w:w="1862" w:type="dxa"/>
            <w:tcBorders>
              <w:top w:val="single" w:sz="4" w:space="0" w:color="auto"/>
              <w:bottom w:val="nil"/>
            </w:tcBorders>
          </w:tcPr>
          <w:p w14:paraId="55CB3C12" w14:textId="77777777" w:rsidR="004401F0" w:rsidRPr="00D277A9" w:rsidRDefault="004401F0" w:rsidP="00654D21">
            <w:pPr>
              <w:pStyle w:val="TableParagraph"/>
              <w:keepNext/>
              <w:keepLines/>
              <w:adjustRightInd w:val="0"/>
              <w:snapToGrid w:val="0"/>
              <w:jc w:val="center"/>
              <w:rPr>
                <w:sz w:val="20"/>
                <w:szCs w:val="20"/>
                <w:lang w:val="fr-FR"/>
              </w:rPr>
            </w:pPr>
          </w:p>
        </w:tc>
        <w:tc>
          <w:tcPr>
            <w:tcW w:w="2120" w:type="dxa"/>
            <w:tcBorders>
              <w:top w:val="single" w:sz="4" w:space="0" w:color="auto"/>
              <w:bottom w:val="nil"/>
            </w:tcBorders>
          </w:tcPr>
          <w:p w14:paraId="70CC4FFC"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0,93</w:t>
            </w:r>
          </w:p>
        </w:tc>
        <w:tc>
          <w:tcPr>
            <w:tcW w:w="2443" w:type="dxa"/>
            <w:tcBorders>
              <w:top w:val="single" w:sz="4" w:space="0" w:color="auto"/>
              <w:bottom w:val="nil"/>
            </w:tcBorders>
          </w:tcPr>
          <w:p w14:paraId="69256164"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1,03</w:t>
            </w:r>
          </w:p>
        </w:tc>
      </w:tr>
      <w:tr w:rsidR="004401F0" w:rsidRPr="00D277A9" w14:paraId="1D6A3ACA" w14:textId="77777777" w:rsidTr="00184AB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63" w:type="dxa"/>
          <w:cantSplit/>
        </w:trPr>
        <w:tc>
          <w:tcPr>
            <w:tcW w:w="2806" w:type="dxa"/>
            <w:tcBorders>
              <w:top w:val="nil"/>
              <w:bottom w:val="single" w:sz="4" w:space="0" w:color="000000"/>
            </w:tcBorders>
          </w:tcPr>
          <w:p w14:paraId="21CC6687" w14:textId="77777777" w:rsidR="004401F0" w:rsidRPr="00D277A9" w:rsidRDefault="004401F0" w:rsidP="00B40553">
            <w:pPr>
              <w:pStyle w:val="TableParagraph"/>
              <w:adjustRightInd w:val="0"/>
              <w:snapToGrid w:val="0"/>
              <w:ind w:left="278"/>
              <w:rPr>
                <w:sz w:val="20"/>
                <w:szCs w:val="20"/>
                <w:lang w:val="fr-FR"/>
              </w:rPr>
            </w:pPr>
          </w:p>
        </w:tc>
        <w:tc>
          <w:tcPr>
            <w:tcW w:w="1862" w:type="dxa"/>
            <w:tcBorders>
              <w:top w:val="nil"/>
              <w:bottom w:val="single" w:sz="4" w:space="0" w:color="000000"/>
            </w:tcBorders>
          </w:tcPr>
          <w:p w14:paraId="39861758" w14:textId="77777777" w:rsidR="004401F0" w:rsidRPr="00D277A9" w:rsidRDefault="004401F0" w:rsidP="00184ABB">
            <w:pPr>
              <w:pStyle w:val="TableParagraph"/>
              <w:adjustRightInd w:val="0"/>
              <w:snapToGrid w:val="0"/>
              <w:jc w:val="center"/>
              <w:rPr>
                <w:sz w:val="20"/>
                <w:szCs w:val="20"/>
                <w:lang w:val="fr-FR"/>
              </w:rPr>
            </w:pPr>
          </w:p>
        </w:tc>
        <w:tc>
          <w:tcPr>
            <w:tcW w:w="2120" w:type="dxa"/>
            <w:tcBorders>
              <w:top w:val="nil"/>
              <w:bottom w:val="single" w:sz="4" w:space="0" w:color="000000"/>
            </w:tcBorders>
          </w:tcPr>
          <w:p w14:paraId="683A5DB0" w14:textId="036A2BB7" w:rsidR="004401F0" w:rsidRPr="00D277A9" w:rsidRDefault="00DF3C4F" w:rsidP="00184ABB">
            <w:pPr>
              <w:pStyle w:val="TableParagraph"/>
              <w:adjustRightInd w:val="0"/>
              <w:snapToGrid w:val="0"/>
              <w:jc w:val="center"/>
              <w:rPr>
                <w:sz w:val="20"/>
                <w:szCs w:val="20"/>
                <w:lang w:val="fr-FR"/>
              </w:rPr>
            </w:pPr>
            <w:r w:rsidRPr="00D277A9">
              <w:rPr>
                <w:sz w:val="20"/>
                <w:szCs w:val="20"/>
                <w:lang w:val="fr-FR"/>
              </w:rPr>
              <w:t>[0,78</w:t>
            </w:r>
            <w:r w:rsidR="00881CB8">
              <w:rPr>
                <w:sz w:val="20"/>
                <w:szCs w:val="20"/>
                <w:lang w:val="fr-FR"/>
              </w:rPr>
              <w:t xml:space="preserve"> ; </w:t>
            </w:r>
            <w:r w:rsidRPr="00D277A9">
              <w:rPr>
                <w:sz w:val="20"/>
                <w:szCs w:val="20"/>
                <w:lang w:val="fr-FR"/>
              </w:rPr>
              <w:t>1,11]</w:t>
            </w:r>
          </w:p>
        </w:tc>
        <w:tc>
          <w:tcPr>
            <w:tcW w:w="2443" w:type="dxa"/>
            <w:tcBorders>
              <w:top w:val="nil"/>
              <w:bottom w:val="single" w:sz="4" w:space="0" w:color="000000"/>
            </w:tcBorders>
          </w:tcPr>
          <w:p w14:paraId="22291729" w14:textId="1B1BC15B" w:rsidR="004401F0" w:rsidRPr="00D277A9" w:rsidRDefault="00DF3C4F" w:rsidP="00184ABB">
            <w:pPr>
              <w:pStyle w:val="TableParagraph"/>
              <w:adjustRightInd w:val="0"/>
              <w:snapToGrid w:val="0"/>
              <w:jc w:val="center"/>
              <w:rPr>
                <w:sz w:val="20"/>
                <w:szCs w:val="20"/>
                <w:lang w:val="fr-FR"/>
              </w:rPr>
            </w:pPr>
            <w:r w:rsidRPr="00D277A9">
              <w:rPr>
                <w:sz w:val="20"/>
                <w:szCs w:val="20"/>
                <w:lang w:val="fr-FR"/>
              </w:rPr>
              <w:t>[0,86</w:t>
            </w:r>
            <w:r w:rsidR="00881CB8">
              <w:rPr>
                <w:sz w:val="20"/>
                <w:szCs w:val="20"/>
                <w:lang w:val="fr-FR"/>
              </w:rPr>
              <w:t xml:space="preserve"> ; </w:t>
            </w:r>
            <w:r w:rsidRPr="00D277A9">
              <w:rPr>
                <w:sz w:val="20"/>
                <w:szCs w:val="20"/>
                <w:lang w:val="fr-FR"/>
              </w:rPr>
              <w:t>1,23]</w:t>
            </w:r>
          </w:p>
        </w:tc>
      </w:tr>
    </w:tbl>
    <w:p w14:paraId="0F5E2862" w14:textId="77777777" w:rsidR="00D277A9" w:rsidRPr="00DA7718" w:rsidRDefault="00D277A9" w:rsidP="00D277A9">
      <w:pPr>
        <w:adjustRightInd w:val="0"/>
        <w:snapToGrid w:val="0"/>
        <w:rPr>
          <w:sz w:val="20"/>
          <w:lang w:val="fr-FR"/>
        </w:rPr>
      </w:pPr>
      <w:r w:rsidRPr="00DA7718">
        <w:rPr>
          <w:sz w:val="20"/>
          <w:vertAlign w:val="superscript"/>
          <w:lang w:val="fr-FR"/>
        </w:rPr>
        <w:t>a</w:t>
      </w:r>
      <w:r w:rsidRPr="00DA7718">
        <w:rPr>
          <w:sz w:val="20"/>
          <w:lang w:val="fr-FR"/>
        </w:rPr>
        <w:t xml:space="preserve"> patients dont la maladie était mesurable lors de l’entrée dans l’étude.</w:t>
      </w:r>
    </w:p>
    <w:p w14:paraId="2A3FF8A4" w14:textId="77777777" w:rsidR="004401F0" w:rsidRPr="007C119A" w:rsidRDefault="004401F0" w:rsidP="00BD4C7C">
      <w:pPr>
        <w:pStyle w:val="a3"/>
        <w:adjustRightInd w:val="0"/>
        <w:snapToGrid w:val="0"/>
        <w:rPr>
          <w:lang w:val="fr-FR"/>
        </w:rPr>
      </w:pPr>
    </w:p>
    <w:p w14:paraId="73327887" w14:textId="77777777" w:rsidR="004401F0" w:rsidRPr="00DA7718" w:rsidRDefault="00DF3C4F" w:rsidP="00BD4C7C">
      <w:pPr>
        <w:adjustRightInd w:val="0"/>
        <w:snapToGrid w:val="0"/>
        <w:rPr>
          <w:i/>
          <w:lang w:val="fr-FR"/>
        </w:rPr>
      </w:pPr>
      <w:r w:rsidRPr="00DA7718">
        <w:rPr>
          <w:i/>
          <w:lang w:val="fr-FR"/>
        </w:rPr>
        <w:t>Traitement de première ligne du CBNPC non épidermoïde présentant des mutations activatrices de l’EGFR en association à l’erlotinib</w:t>
      </w:r>
    </w:p>
    <w:p w14:paraId="7246C1C9" w14:textId="77777777" w:rsidR="004401F0" w:rsidRPr="007C119A" w:rsidRDefault="004401F0" w:rsidP="00BD4C7C">
      <w:pPr>
        <w:pStyle w:val="a3"/>
        <w:adjustRightInd w:val="0"/>
        <w:snapToGrid w:val="0"/>
        <w:rPr>
          <w:i/>
          <w:lang w:val="fr-FR"/>
        </w:rPr>
      </w:pPr>
    </w:p>
    <w:p w14:paraId="1F8527D8" w14:textId="77777777" w:rsidR="004401F0" w:rsidRPr="00DA7718" w:rsidRDefault="00DF3C4F" w:rsidP="00BD4C7C">
      <w:pPr>
        <w:adjustRightInd w:val="0"/>
        <w:snapToGrid w:val="0"/>
        <w:rPr>
          <w:i/>
          <w:lang w:val="fr-FR"/>
        </w:rPr>
      </w:pPr>
      <w:r w:rsidRPr="00DA7718">
        <w:rPr>
          <w:i/>
          <w:lang w:val="fr-FR"/>
        </w:rPr>
        <w:t>JO25567</w:t>
      </w:r>
    </w:p>
    <w:p w14:paraId="52564BA1" w14:textId="12D58A8A" w:rsidR="004401F0" w:rsidRPr="00DA7718" w:rsidRDefault="00DF3C4F" w:rsidP="00BD4C7C">
      <w:pPr>
        <w:pStyle w:val="a3"/>
        <w:adjustRightInd w:val="0"/>
        <w:snapToGrid w:val="0"/>
        <w:rPr>
          <w:lang w:val="fr-FR"/>
        </w:rPr>
      </w:pPr>
      <w:r w:rsidRPr="00DA7718">
        <w:rPr>
          <w:lang w:val="fr-FR"/>
        </w:rPr>
        <w:t xml:space="preserve">L’étude JO25567 était une étude de phase II, randomisée, en ouvert, multicentrique, conduite au Japon pour évaluer l’efficacité et la tolérance </w:t>
      </w:r>
      <w:r w:rsidR="008B1F0B">
        <w:rPr>
          <w:lang w:val="fr-FR"/>
        </w:rPr>
        <w:t>du bevacizumab</w:t>
      </w:r>
      <w:r w:rsidR="008B1F0B" w:rsidRPr="00DA7718">
        <w:rPr>
          <w:lang w:val="fr-FR"/>
        </w:rPr>
        <w:t xml:space="preserve"> </w:t>
      </w:r>
      <w:r w:rsidRPr="00DA7718">
        <w:rPr>
          <w:lang w:val="fr-FR"/>
        </w:rPr>
        <w:t>utilisé en association à l’erlotinib, chez des patients atteints d’un CBNPC non épidermoïde, présentant des mutations activatrices de l’EGFR (délétion de l’exon 19 ou mutation L858R de l’exon 21), qui n’avaient pas reçu précédemment de traitement systémique à un stade IIIB/IV ou d’une maladie récidivante.</w:t>
      </w:r>
    </w:p>
    <w:p w14:paraId="53A0483D" w14:textId="77777777" w:rsidR="004401F0" w:rsidRPr="007C119A" w:rsidRDefault="004401F0" w:rsidP="00BD4C7C">
      <w:pPr>
        <w:pStyle w:val="a3"/>
        <w:adjustRightInd w:val="0"/>
        <w:snapToGrid w:val="0"/>
        <w:rPr>
          <w:lang w:val="fr-FR"/>
        </w:rPr>
      </w:pPr>
    </w:p>
    <w:p w14:paraId="47002374" w14:textId="1895F05E" w:rsidR="004401F0" w:rsidRPr="00DA7718" w:rsidRDefault="00DF3C4F" w:rsidP="00BD4C7C">
      <w:pPr>
        <w:pStyle w:val="a3"/>
        <w:adjustRightInd w:val="0"/>
        <w:snapToGrid w:val="0"/>
        <w:rPr>
          <w:lang w:val="fr-FR"/>
        </w:rPr>
      </w:pPr>
      <w:r w:rsidRPr="00DA7718">
        <w:rPr>
          <w:lang w:val="fr-FR"/>
        </w:rPr>
        <w:t xml:space="preserve">Le critère primaire était la PFS basée sur une évaluation indépendante. Les critères secondaires comprenaient </w:t>
      </w:r>
      <w:r w:rsidR="00803E4E">
        <w:rPr>
          <w:lang w:val="fr-FR"/>
        </w:rPr>
        <w:t>l’OS</w:t>
      </w:r>
      <w:r w:rsidRPr="00DA7718">
        <w:rPr>
          <w:lang w:val="fr-FR"/>
        </w:rPr>
        <w:t>, le taux de réponse, le taux de contrôle de la maladie, la durée de la réponse et la tolérance.</w:t>
      </w:r>
    </w:p>
    <w:p w14:paraId="6B5CE411" w14:textId="77777777" w:rsidR="004401F0" w:rsidRPr="00DA7718" w:rsidRDefault="004401F0" w:rsidP="00BD4C7C">
      <w:pPr>
        <w:pStyle w:val="a3"/>
        <w:adjustRightInd w:val="0"/>
        <w:snapToGrid w:val="0"/>
        <w:rPr>
          <w:lang w:val="fr-FR"/>
        </w:rPr>
      </w:pPr>
    </w:p>
    <w:p w14:paraId="65A65297" w14:textId="7D664E09" w:rsidR="004401F0" w:rsidRPr="00DA7718" w:rsidRDefault="00DF3C4F" w:rsidP="00BD4C7C">
      <w:pPr>
        <w:pStyle w:val="a3"/>
        <w:adjustRightInd w:val="0"/>
        <w:snapToGrid w:val="0"/>
        <w:rPr>
          <w:lang w:val="fr-FR"/>
        </w:rPr>
      </w:pPr>
      <w:r w:rsidRPr="00DA7718">
        <w:rPr>
          <w:lang w:val="fr-FR"/>
        </w:rPr>
        <w:t xml:space="preserve">Le statut de mutation de l’EGFR était déterminé pour chaque patient avant sa sélection et 154 patients ont été randomisés pour recevoir soit erlotinib + </w:t>
      </w:r>
      <w:r w:rsidR="008B1F0B">
        <w:rPr>
          <w:lang w:val="fr-FR"/>
        </w:rPr>
        <w:t>bevacizumab</w:t>
      </w:r>
      <w:r w:rsidR="008B1F0B" w:rsidRPr="00DA7718">
        <w:rPr>
          <w:lang w:val="fr-FR"/>
        </w:rPr>
        <w:t xml:space="preserve"> </w:t>
      </w:r>
      <w:r w:rsidRPr="00DA7718">
        <w:rPr>
          <w:lang w:val="fr-FR"/>
        </w:rPr>
        <w:t>(erlotinib 150</w:t>
      </w:r>
      <w:r w:rsidR="00DA7718" w:rsidRPr="00DA7718">
        <w:rPr>
          <w:lang w:val="fr-FR"/>
        </w:rPr>
        <w:t> mg</w:t>
      </w:r>
      <w:r w:rsidRPr="00DA7718">
        <w:rPr>
          <w:lang w:val="fr-FR"/>
        </w:rPr>
        <w:t xml:space="preserve"> par voie orale une fois par jour + </w:t>
      </w:r>
      <w:r w:rsidR="008B1F0B">
        <w:rPr>
          <w:lang w:val="fr-FR"/>
        </w:rPr>
        <w:t>bevacizumab</w:t>
      </w:r>
      <w:r w:rsidR="008B1F0B" w:rsidRPr="00DA7718">
        <w:rPr>
          <w:lang w:val="fr-FR"/>
        </w:rPr>
        <w:t xml:space="preserve"> </w:t>
      </w:r>
      <w:r w:rsidRPr="00DA7718">
        <w:rPr>
          <w:lang w:val="fr-FR"/>
        </w:rPr>
        <w:t>[15</w:t>
      </w:r>
      <w:r w:rsidR="00DA7718" w:rsidRPr="00DA7718">
        <w:rPr>
          <w:lang w:val="fr-FR"/>
        </w:rPr>
        <w:t> mg</w:t>
      </w:r>
      <w:r w:rsidRPr="00DA7718">
        <w:rPr>
          <w:lang w:val="fr-FR"/>
        </w:rPr>
        <w:t xml:space="preserve">/kg en perfusion </w:t>
      </w:r>
      <w:r w:rsidR="008B1F0B">
        <w:rPr>
          <w:lang w:val="fr-FR"/>
        </w:rPr>
        <w:t>intraveineuse</w:t>
      </w:r>
      <w:r w:rsidR="008B1F0B" w:rsidRPr="00DA7718">
        <w:rPr>
          <w:lang w:val="fr-FR"/>
        </w:rPr>
        <w:t xml:space="preserve"> </w:t>
      </w:r>
      <w:r w:rsidRPr="00DA7718">
        <w:rPr>
          <w:lang w:val="fr-FR"/>
        </w:rPr>
        <w:t>toutes les 3 semaines]) soit erlotinib en monothérapie (150</w:t>
      </w:r>
      <w:r w:rsidR="00DA7718" w:rsidRPr="00DA7718">
        <w:rPr>
          <w:lang w:val="fr-FR"/>
        </w:rPr>
        <w:t> mg</w:t>
      </w:r>
      <w:r w:rsidRPr="00DA7718">
        <w:rPr>
          <w:lang w:val="fr-FR"/>
        </w:rPr>
        <w:t xml:space="preserve"> par voie orale une fois par jour) jusqu’à progression de la maladie ou toxicité inacceptable. En l’absence de progression de la maladie, l’interruption d’un composant du traitement à l’étude dans le</w:t>
      </w:r>
      <w:r w:rsidR="00055975">
        <w:rPr>
          <w:lang w:val="fr-FR"/>
        </w:rPr>
        <w:t xml:space="preserve"> </w:t>
      </w:r>
      <w:r w:rsidRPr="00DA7718">
        <w:rPr>
          <w:lang w:val="fr-FR"/>
        </w:rPr>
        <w:t xml:space="preserve">bras erlotinib + </w:t>
      </w:r>
      <w:r w:rsidR="008B1F0B">
        <w:rPr>
          <w:lang w:val="fr-FR"/>
        </w:rPr>
        <w:t>bevacizumab</w:t>
      </w:r>
      <w:r w:rsidR="008B1F0B" w:rsidRPr="00DA7718">
        <w:rPr>
          <w:lang w:val="fr-FR"/>
        </w:rPr>
        <w:t xml:space="preserve"> </w:t>
      </w:r>
      <w:r w:rsidRPr="00DA7718">
        <w:rPr>
          <w:lang w:val="fr-FR"/>
        </w:rPr>
        <w:t>n’a pas conduit à l’interruption de l’autre composant du traitement à l’étude, tel que spécifié dans le protocole de l’étude.</w:t>
      </w:r>
    </w:p>
    <w:p w14:paraId="38BB52C8" w14:textId="77777777" w:rsidR="004401F0" w:rsidRPr="007C119A" w:rsidRDefault="004401F0" w:rsidP="00BD4C7C">
      <w:pPr>
        <w:pStyle w:val="a3"/>
        <w:adjustRightInd w:val="0"/>
        <w:snapToGrid w:val="0"/>
        <w:rPr>
          <w:lang w:val="fr-FR"/>
        </w:rPr>
      </w:pPr>
    </w:p>
    <w:p w14:paraId="05639A07" w14:textId="77777777" w:rsidR="004401F0" w:rsidRPr="00DA7718" w:rsidRDefault="00DF3C4F" w:rsidP="003D7BBC">
      <w:pPr>
        <w:pStyle w:val="a3"/>
        <w:adjustRightInd w:val="0"/>
        <w:snapToGrid w:val="0"/>
        <w:rPr>
          <w:lang w:val="fr-FR"/>
        </w:rPr>
      </w:pPr>
      <w:r w:rsidRPr="00DA7718">
        <w:rPr>
          <w:lang w:val="fr-FR"/>
        </w:rPr>
        <w:t>Les résultats d’efficacité de l’étude sont présentés dans le tableau 14.</w:t>
      </w:r>
    </w:p>
    <w:p w14:paraId="5918AA13" w14:textId="77777777" w:rsidR="004401F0" w:rsidRPr="00DA7718" w:rsidRDefault="004401F0" w:rsidP="00654D21">
      <w:pPr>
        <w:pStyle w:val="a3"/>
        <w:keepNext/>
        <w:keepLines/>
        <w:adjustRightInd w:val="0"/>
        <w:snapToGrid w:val="0"/>
        <w:rPr>
          <w:lang w:val="fr-FR"/>
        </w:rPr>
      </w:pPr>
    </w:p>
    <w:p w14:paraId="22418933" w14:textId="24EC074B" w:rsidR="004401F0" w:rsidRPr="000604F6" w:rsidRDefault="00DF3C4F" w:rsidP="000604F6">
      <w:pPr>
        <w:keepNext/>
        <w:keepLines/>
        <w:ind w:left="1276" w:hanging="1276"/>
        <w:rPr>
          <w:b/>
          <w:bCs/>
          <w:lang w:val="fr-FR"/>
        </w:rPr>
      </w:pPr>
      <w:r w:rsidRPr="000604F6">
        <w:rPr>
          <w:b/>
          <w:bCs/>
          <w:lang w:val="fr-FR"/>
        </w:rPr>
        <w:t>Tableau 14</w:t>
      </w:r>
      <w:r w:rsidR="000604F6" w:rsidRPr="000604F6">
        <w:rPr>
          <w:rFonts w:eastAsia="맑은 고딕"/>
          <w:b/>
          <w:bCs/>
          <w:lang w:val="fr-FR" w:eastAsia="ko-KR"/>
        </w:rPr>
        <w:tab/>
      </w:r>
      <w:r w:rsidRPr="000604F6">
        <w:rPr>
          <w:b/>
          <w:bCs/>
          <w:lang w:val="fr-FR"/>
        </w:rPr>
        <w:t>Résultats d’efficacité de l’étude JO25567</w:t>
      </w:r>
    </w:p>
    <w:p w14:paraId="47392B64" w14:textId="77777777" w:rsidR="004401F0" w:rsidRPr="00DA7718" w:rsidRDefault="004401F0" w:rsidP="000604F6">
      <w:pPr>
        <w:pStyle w:val="a3"/>
        <w:keepNext/>
        <w:keepLines/>
        <w:adjustRightInd w:val="0"/>
        <w:snapToGrid w:val="0"/>
        <w:rPr>
          <w:b/>
          <w:lang w:val="fr-FR"/>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68"/>
        <w:gridCol w:w="2285"/>
        <w:gridCol w:w="2111"/>
      </w:tblGrid>
      <w:tr w:rsidR="004401F0" w:rsidRPr="00D277A9" w14:paraId="712F22DB" w14:textId="77777777" w:rsidTr="00654D21">
        <w:trPr>
          <w:cantSplit/>
        </w:trPr>
        <w:tc>
          <w:tcPr>
            <w:tcW w:w="4788" w:type="dxa"/>
            <w:tcBorders>
              <w:left w:val="single" w:sz="4" w:space="0" w:color="000000"/>
            </w:tcBorders>
          </w:tcPr>
          <w:p w14:paraId="77426834" w14:textId="77777777" w:rsidR="004401F0" w:rsidRPr="00D277A9" w:rsidRDefault="004401F0" w:rsidP="00654D21">
            <w:pPr>
              <w:pStyle w:val="TableParagraph"/>
              <w:keepNext/>
              <w:keepLines/>
              <w:adjustRightInd w:val="0"/>
              <w:snapToGrid w:val="0"/>
              <w:rPr>
                <w:sz w:val="20"/>
                <w:szCs w:val="20"/>
                <w:lang w:val="fr-FR"/>
              </w:rPr>
            </w:pPr>
          </w:p>
        </w:tc>
        <w:tc>
          <w:tcPr>
            <w:tcW w:w="2340" w:type="dxa"/>
          </w:tcPr>
          <w:p w14:paraId="49A47AAB" w14:textId="77777777" w:rsidR="004401F0" w:rsidRPr="00D277A9" w:rsidRDefault="00DF3C4F" w:rsidP="00654D21">
            <w:pPr>
              <w:pStyle w:val="TableParagraph"/>
              <w:keepNext/>
              <w:keepLines/>
              <w:adjustRightInd w:val="0"/>
              <w:snapToGrid w:val="0"/>
              <w:jc w:val="center"/>
              <w:rPr>
                <w:b/>
                <w:sz w:val="20"/>
                <w:szCs w:val="20"/>
                <w:lang w:val="fr-FR"/>
              </w:rPr>
            </w:pPr>
            <w:r w:rsidRPr="00D277A9">
              <w:rPr>
                <w:b/>
                <w:sz w:val="20"/>
                <w:szCs w:val="20"/>
                <w:lang w:val="fr-FR"/>
              </w:rPr>
              <w:t>Erlotinib N = 77</w:t>
            </w:r>
            <w:r w:rsidRPr="00D277A9">
              <w:rPr>
                <w:b/>
                <w:sz w:val="20"/>
                <w:szCs w:val="20"/>
                <w:vertAlign w:val="superscript"/>
                <w:lang w:val="fr-FR"/>
              </w:rPr>
              <w:t>#</w:t>
            </w:r>
          </w:p>
        </w:tc>
        <w:tc>
          <w:tcPr>
            <w:tcW w:w="2162" w:type="dxa"/>
            <w:tcBorders>
              <w:right w:val="single" w:sz="4" w:space="0" w:color="000000"/>
            </w:tcBorders>
          </w:tcPr>
          <w:p w14:paraId="4602BBA0" w14:textId="77777777" w:rsidR="004401F0" w:rsidRPr="00D277A9" w:rsidRDefault="00DF3C4F" w:rsidP="00654D21">
            <w:pPr>
              <w:pStyle w:val="TableParagraph"/>
              <w:keepNext/>
              <w:keepLines/>
              <w:adjustRightInd w:val="0"/>
              <w:snapToGrid w:val="0"/>
              <w:jc w:val="center"/>
              <w:rPr>
                <w:b/>
                <w:sz w:val="20"/>
                <w:szCs w:val="20"/>
                <w:lang w:val="fr-FR"/>
              </w:rPr>
            </w:pPr>
            <w:r w:rsidRPr="00D277A9">
              <w:rPr>
                <w:b/>
                <w:sz w:val="20"/>
                <w:szCs w:val="20"/>
                <w:lang w:val="fr-FR"/>
              </w:rPr>
              <w:t>Erlotinib +</w:t>
            </w:r>
          </w:p>
          <w:p w14:paraId="71E4CA3B" w14:textId="3C2A4CAC" w:rsidR="004401F0" w:rsidRPr="00D277A9" w:rsidRDefault="00231794" w:rsidP="00654D21">
            <w:pPr>
              <w:pStyle w:val="TableParagraph"/>
              <w:keepNext/>
              <w:keepLines/>
              <w:adjustRightInd w:val="0"/>
              <w:snapToGrid w:val="0"/>
              <w:jc w:val="center"/>
              <w:rPr>
                <w:b/>
                <w:sz w:val="20"/>
                <w:szCs w:val="20"/>
                <w:lang w:val="fr-FR"/>
              </w:rPr>
            </w:pPr>
            <w:r>
              <w:rPr>
                <w:b/>
                <w:sz w:val="20"/>
                <w:szCs w:val="20"/>
                <w:lang w:val="fr-FR"/>
              </w:rPr>
              <w:t>B</w:t>
            </w:r>
            <w:r w:rsidR="00252077">
              <w:rPr>
                <w:b/>
                <w:sz w:val="20"/>
                <w:szCs w:val="20"/>
                <w:lang w:val="fr-FR"/>
              </w:rPr>
              <w:t>evacizumab</w:t>
            </w:r>
            <w:r w:rsidR="00252077" w:rsidRPr="00D277A9">
              <w:rPr>
                <w:b/>
                <w:sz w:val="20"/>
                <w:szCs w:val="20"/>
                <w:lang w:val="fr-FR"/>
              </w:rPr>
              <w:t xml:space="preserve"> </w:t>
            </w:r>
            <w:r w:rsidR="00DF3C4F" w:rsidRPr="00D277A9">
              <w:rPr>
                <w:b/>
                <w:sz w:val="20"/>
                <w:szCs w:val="20"/>
                <w:lang w:val="fr-FR"/>
              </w:rPr>
              <w:t>N = 75</w:t>
            </w:r>
            <w:r w:rsidR="00DF3C4F" w:rsidRPr="00D277A9">
              <w:rPr>
                <w:b/>
                <w:sz w:val="20"/>
                <w:szCs w:val="20"/>
                <w:vertAlign w:val="superscript"/>
                <w:lang w:val="fr-FR"/>
              </w:rPr>
              <w:t>#</w:t>
            </w:r>
          </w:p>
        </w:tc>
      </w:tr>
      <w:tr w:rsidR="004401F0" w:rsidRPr="00D277A9" w14:paraId="42F6DF4A" w14:textId="77777777" w:rsidTr="00654D21">
        <w:trPr>
          <w:cantSplit/>
        </w:trPr>
        <w:tc>
          <w:tcPr>
            <w:tcW w:w="4788" w:type="dxa"/>
            <w:tcBorders>
              <w:left w:val="single" w:sz="4" w:space="0" w:color="000000"/>
              <w:bottom w:val="single" w:sz="4" w:space="0" w:color="auto"/>
            </w:tcBorders>
          </w:tcPr>
          <w:p w14:paraId="38591B47" w14:textId="77777777" w:rsidR="004401F0" w:rsidRPr="00D277A9" w:rsidRDefault="00DF3C4F" w:rsidP="00654D21">
            <w:pPr>
              <w:pStyle w:val="TableParagraph"/>
              <w:keepNext/>
              <w:keepLines/>
              <w:adjustRightInd w:val="0"/>
              <w:snapToGrid w:val="0"/>
              <w:rPr>
                <w:sz w:val="20"/>
                <w:szCs w:val="20"/>
                <w:lang w:val="fr-FR"/>
              </w:rPr>
            </w:pPr>
            <w:r w:rsidRPr="00654D21">
              <w:rPr>
                <w:bCs/>
                <w:sz w:val="20"/>
                <w:szCs w:val="20"/>
                <w:lang w:val="fr-FR"/>
              </w:rPr>
              <w:t>Survie Sans Progression (PFS)^</w:t>
            </w:r>
            <w:r w:rsidRPr="00D277A9">
              <w:rPr>
                <w:b/>
                <w:sz w:val="20"/>
                <w:szCs w:val="20"/>
                <w:lang w:val="fr-FR"/>
              </w:rPr>
              <w:t xml:space="preserve"> </w:t>
            </w:r>
            <w:r w:rsidRPr="00D277A9">
              <w:rPr>
                <w:sz w:val="20"/>
                <w:szCs w:val="20"/>
                <w:lang w:val="fr-FR"/>
              </w:rPr>
              <w:t>(mois)</w:t>
            </w:r>
          </w:p>
          <w:p w14:paraId="4D78460A"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Temps médian</w:t>
            </w:r>
          </w:p>
        </w:tc>
        <w:tc>
          <w:tcPr>
            <w:tcW w:w="2340" w:type="dxa"/>
            <w:tcBorders>
              <w:bottom w:val="single" w:sz="4" w:space="0" w:color="auto"/>
            </w:tcBorders>
          </w:tcPr>
          <w:p w14:paraId="1A23BFE8" w14:textId="77777777" w:rsidR="004401F0" w:rsidRPr="00D277A9" w:rsidRDefault="004401F0" w:rsidP="00654D21">
            <w:pPr>
              <w:pStyle w:val="TableParagraph"/>
              <w:keepNext/>
              <w:keepLines/>
              <w:adjustRightInd w:val="0"/>
              <w:snapToGrid w:val="0"/>
              <w:jc w:val="center"/>
              <w:rPr>
                <w:b/>
                <w:sz w:val="20"/>
                <w:szCs w:val="20"/>
                <w:lang w:val="fr-FR"/>
              </w:rPr>
            </w:pPr>
          </w:p>
          <w:p w14:paraId="6885EBB0"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9,7</w:t>
            </w:r>
          </w:p>
        </w:tc>
        <w:tc>
          <w:tcPr>
            <w:tcW w:w="2162" w:type="dxa"/>
            <w:tcBorders>
              <w:bottom w:val="single" w:sz="4" w:space="0" w:color="auto"/>
              <w:right w:val="single" w:sz="4" w:space="0" w:color="000000"/>
            </w:tcBorders>
          </w:tcPr>
          <w:p w14:paraId="74AFB8EB" w14:textId="77777777" w:rsidR="004401F0" w:rsidRPr="00D277A9" w:rsidRDefault="004401F0" w:rsidP="00654D21">
            <w:pPr>
              <w:pStyle w:val="TableParagraph"/>
              <w:keepNext/>
              <w:keepLines/>
              <w:adjustRightInd w:val="0"/>
              <w:snapToGrid w:val="0"/>
              <w:jc w:val="center"/>
              <w:rPr>
                <w:b/>
                <w:sz w:val="20"/>
                <w:szCs w:val="20"/>
                <w:lang w:val="fr-FR"/>
              </w:rPr>
            </w:pPr>
          </w:p>
          <w:p w14:paraId="1456047D"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16,0</w:t>
            </w:r>
          </w:p>
        </w:tc>
      </w:tr>
      <w:tr w:rsidR="004401F0" w:rsidRPr="00D277A9" w14:paraId="70A829A5" w14:textId="77777777" w:rsidTr="00654D21">
        <w:trPr>
          <w:cantSplit/>
        </w:trPr>
        <w:tc>
          <w:tcPr>
            <w:tcW w:w="4788" w:type="dxa"/>
            <w:tcBorders>
              <w:top w:val="single" w:sz="4" w:space="0" w:color="auto"/>
              <w:left w:val="single" w:sz="4" w:space="0" w:color="000000"/>
              <w:bottom w:val="single" w:sz="6" w:space="0" w:color="000000"/>
            </w:tcBorders>
          </w:tcPr>
          <w:p w14:paraId="13E0F659" w14:textId="77777777" w:rsidR="008B45E9" w:rsidRDefault="00DF3C4F" w:rsidP="00654D21">
            <w:pPr>
              <w:pStyle w:val="TableParagraph"/>
              <w:keepNext/>
              <w:keepLines/>
              <w:adjustRightInd w:val="0"/>
              <w:snapToGrid w:val="0"/>
              <w:rPr>
                <w:sz w:val="20"/>
                <w:szCs w:val="20"/>
                <w:lang w:val="fr-FR"/>
              </w:rPr>
            </w:pPr>
            <w:r w:rsidRPr="00D277A9">
              <w:rPr>
                <w:sz w:val="20"/>
                <w:szCs w:val="20"/>
                <w:lang w:val="fr-FR"/>
              </w:rPr>
              <w:t xml:space="preserve">Risque Relatif (HR) (IC 95%) </w:t>
            </w:r>
          </w:p>
          <w:p w14:paraId="38576D5A"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Valeur du p</w:t>
            </w:r>
          </w:p>
        </w:tc>
        <w:tc>
          <w:tcPr>
            <w:tcW w:w="4502" w:type="dxa"/>
            <w:gridSpan w:val="2"/>
            <w:tcBorders>
              <w:top w:val="single" w:sz="4" w:space="0" w:color="auto"/>
              <w:bottom w:val="single" w:sz="6" w:space="0" w:color="000000"/>
              <w:right w:val="single" w:sz="4" w:space="0" w:color="000000"/>
            </w:tcBorders>
          </w:tcPr>
          <w:p w14:paraId="0D0AF84E" w14:textId="3DCC35A8"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0,54 (0,36</w:t>
            </w:r>
            <w:r w:rsidR="00881CB8">
              <w:rPr>
                <w:sz w:val="20"/>
                <w:szCs w:val="20"/>
                <w:lang w:val="fr-FR"/>
              </w:rPr>
              <w:t xml:space="preserve"> ; </w:t>
            </w:r>
            <w:r w:rsidRPr="00D277A9">
              <w:rPr>
                <w:sz w:val="20"/>
                <w:szCs w:val="20"/>
                <w:lang w:val="fr-FR"/>
              </w:rPr>
              <w:t>0,79)</w:t>
            </w:r>
          </w:p>
          <w:p w14:paraId="78E47D4F"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0,0015</w:t>
            </w:r>
          </w:p>
        </w:tc>
      </w:tr>
      <w:tr w:rsidR="005005D6" w:rsidRPr="00D277A9" w14:paraId="25F6B0C8" w14:textId="77777777" w:rsidTr="00654D21">
        <w:trPr>
          <w:cantSplit/>
        </w:trPr>
        <w:tc>
          <w:tcPr>
            <w:tcW w:w="4788" w:type="dxa"/>
            <w:tcBorders>
              <w:left w:val="single" w:sz="4" w:space="0" w:color="000000"/>
              <w:bottom w:val="single" w:sz="4" w:space="0" w:color="auto"/>
            </w:tcBorders>
          </w:tcPr>
          <w:p w14:paraId="7E529925" w14:textId="7D6B831F" w:rsidR="005005D6" w:rsidRPr="00D277A9" w:rsidRDefault="005005D6" w:rsidP="00654D21">
            <w:pPr>
              <w:pStyle w:val="TableParagraph"/>
              <w:keepNext/>
              <w:keepLines/>
              <w:adjustRightInd w:val="0"/>
              <w:snapToGrid w:val="0"/>
              <w:rPr>
                <w:b/>
                <w:sz w:val="20"/>
                <w:szCs w:val="20"/>
                <w:lang w:val="fr-FR"/>
              </w:rPr>
            </w:pPr>
            <w:r w:rsidRPr="00D277A9">
              <w:rPr>
                <w:b/>
                <w:sz w:val="20"/>
                <w:szCs w:val="20"/>
                <w:lang w:val="fr-FR"/>
              </w:rPr>
              <w:t xml:space="preserve">Taux de </w:t>
            </w:r>
            <w:r w:rsidR="00A71A17">
              <w:rPr>
                <w:b/>
                <w:sz w:val="20"/>
                <w:szCs w:val="20"/>
                <w:lang w:val="fr-FR"/>
              </w:rPr>
              <w:t>r</w:t>
            </w:r>
            <w:r w:rsidRPr="00D277A9">
              <w:rPr>
                <w:b/>
                <w:sz w:val="20"/>
                <w:szCs w:val="20"/>
                <w:lang w:val="fr-FR"/>
              </w:rPr>
              <w:t xml:space="preserve">éponse </w:t>
            </w:r>
            <w:r w:rsidR="00A71A17">
              <w:rPr>
                <w:b/>
                <w:sz w:val="20"/>
                <w:szCs w:val="20"/>
                <w:lang w:val="fr-FR"/>
              </w:rPr>
              <w:t>g</w:t>
            </w:r>
            <w:r w:rsidRPr="00D277A9">
              <w:rPr>
                <w:b/>
                <w:sz w:val="20"/>
                <w:szCs w:val="20"/>
                <w:lang w:val="fr-FR"/>
              </w:rPr>
              <w:t>lobale</w:t>
            </w:r>
          </w:p>
          <w:p w14:paraId="41CA2A89" w14:textId="77777777" w:rsidR="005005D6" w:rsidRPr="00D277A9" w:rsidRDefault="005005D6" w:rsidP="00654D21">
            <w:pPr>
              <w:pStyle w:val="TableParagraph"/>
              <w:keepNext/>
              <w:keepLines/>
              <w:adjustRightInd w:val="0"/>
              <w:snapToGrid w:val="0"/>
              <w:rPr>
                <w:sz w:val="20"/>
                <w:szCs w:val="20"/>
                <w:lang w:val="fr-FR"/>
              </w:rPr>
            </w:pPr>
            <w:r w:rsidRPr="00D277A9">
              <w:rPr>
                <w:sz w:val="20"/>
                <w:szCs w:val="20"/>
                <w:lang w:val="fr-FR"/>
              </w:rPr>
              <w:t xml:space="preserve">Taux (n) </w:t>
            </w:r>
          </w:p>
        </w:tc>
        <w:tc>
          <w:tcPr>
            <w:tcW w:w="2340" w:type="dxa"/>
          </w:tcPr>
          <w:p w14:paraId="03CE9A9F" w14:textId="77777777" w:rsidR="005005D6" w:rsidRPr="00D277A9" w:rsidRDefault="005005D6" w:rsidP="00654D21">
            <w:pPr>
              <w:pStyle w:val="TableParagraph"/>
              <w:keepNext/>
              <w:keepLines/>
              <w:adjustRightInd w:val="0"/>
              <w:snapToGrid w:val="0"/>
              <w:jc w:val="center"/>
              <w:rPr>
                <w:b/>
                <w:sz w:val="20"/>
                <w:szCs w:val="20"/>
                <w:lang w:val="fr-FR"/>
              </w:rPr>
            </w:pPr>
          </w:p>
          <w:p w14:paraId="280E78DD" w14:textId="77777777" w:rsidR="005005D6" w:rsidRPr="00D277A9" w:rsidRDefault="005005D6" w:rsidP="00654D21">
            <w:pPr>
              <w:pStyle w:val="TableParagraph"/>
              <w:keepNext/>
              <w:keepLines/>
              <w:adjustRightInd w:val="0"/>
              <w:snapToGrid w:val="0"/>
              <w:jc w:val="center"/>
              <w:rPr>
                <w:sz w:val="20"/>
                <w:szCs w:val="20"/>
                <w:lang w:val="fr-FR"/>
              </w:rPr>
            </w:pPr>
            <w:r w:rsidRPr="00D277A9">
              <w:rPr>
                <w:sz w:val="20"/>
                <w:szCs w:val="20"/>
                <w:lang w:val="fr-FR"/>
              </w:rPr>
              <w:t>63,6% (49)</w:t>
            </w:r>
          </w:p>
        </w:tc>
        <w:tc>
          <w:tcPr>
            <w:tcW w:w="2162" w:type="dxa"/>
            <w:tcBorders>
              <w:right w:val="single" w:sz="4" w:space="0" w:color="000000"/>
            </w:tcBorders>
          </w:tcPr>
          <w:p w14:paraId="4E3F8B7A" w14:textId="77777777" w:rsidR="005005D6" w:rsidRPr="00D277A9" w:rsidRDefault="005005D6" w:rsidP="00654D21">
            <w:pPr>
              <w:pStyle w:val="TableParagraph"/>
              <w:keepNext/>
              <w:keepLines/>
              <w:adjustRightInd w:val="0"/>
              <w:snapToGrid w:val="0"/>
              <w:jc w:val="center"/>
              <w:rPr>
                <w:b/>
                <w:sz w:val="20"/>
                <w:szCs w:val="20"/>
                <w:lang w:val="fr-FR"/>
              </w:rPr>
            </w:pPr>
          </w:p>
          <w:p w14:paraId="76D6B550" w14:textId="77777777" w:rsidR="005005D6" w:rsidRPr="00D277A9" w:rsidRDefault="005005D6" w:rsidP="00654D21">
            <w:pPr>
              <w:pStyle w:val="TableParagraph"/>
              <w:keepNext/>
              <w:keepLines/>
              <w:adjustRightInd w:val="0"/>
              <w:snapToGrid w:val="0"/>
              <w:jc w:val="center"/>
              <w:rPr>
                <w:sz w:val="20"/>
                <w:szCs w:val="20"/>
                <w:lang w:val="fr-FR"/>
              </w:rPr>
            </w:pPr>
            <w:r w:rsidRPr="00D277A9">
              <w:rPr>
                <w:sz w:val="20"/>
                <w:szCs w:val="20"/>
                <w:lang w:val="fr-FR"/>
              </w:rPr>
              <w:t>69,3% (52)</w:t>
            </w:r>
          </w:p>
        </w:tc>
      </w:tr>
      <w:tr w:rsidR="005005D6" w:rsidRPr="00D277A9" w14:paraId="774E1851" w14:textId="77777777" w:rsidTr="00654D21">
        <w:trPr>
          <w:cantSplit/>
        </w:trPr>
        <w:tc>
          <w:tcPr>
            <w:tcW w:w="4788" w:type="dxa"/>
            <w:tcBorders>
              <w:top w:val="single" w:sz="4" w:space="0" w:color="000000"/>
              <w:left w:val="single" w:sz="4" w:space="0" w:color="000000"/>
              <w:bottom w:val="nil"/>
            </w:tcBorders>
          </w:tcPr>
          <w:p w14:paraId="03E89FBC" w14:textId="77777777" w:rsidR="005005D6" w:rsidRPr="00D277A9" w:rsidRDefault="005005D6" w:rsidP="00654D21">
            <w:pPr>
              <w:pStyle w:val="TableParagraph"/>
              <w:keepNext/>
              <w:keepLines/>
              <w:adjustRightInd w:val="0"/>
              <w:snapToGrid w:val="0"/>
              <w:rPr>
                <w:b/>
                <w:sz w:val="20"/>
                <w:szCs w:val="20"/>
                <w:lang w:val="fr-FR"/>
              </w:rPr>
            </w:pPr>
            <w:r w:rsidRPr="00D277A9">
              <w:rPr>
                <w:sz w:val="20"/>
                <w:szCs w:val="20"/>
                <w:lang w:val="fr-FR"/>
              </w:rPr>
              <w:t>Valeur du p</w:t>
            </w:r>
          </w:p>
        </w:tc>
        <w:tc>
          <w:tcPr>
            <w:tcW w:w="4502" w:type="dxa"/>
            <w:gridSpan w:val="2"/>
            <w:tcBorders>
              <w:top w:val="single" w:sz="4" w:space="0" w:color="000000"/>
              <w:bottom w:val="nil"/>
              <w:right w:val="single" w:sz="4" w:space="0" w:color="000000"/>
            </w:tcBorders>
          </w:tcPr>
          <w:p w14:paraId="0E448FD2" w14:textId="77777777" w:rsidR="005005D6" w:rsidRPr="00D277A9" w:rsidRDefault="005005D6" w:rsidP="00654D21">
            <w:pPr>
              <w:pStyle w:val="TableParagraph"/>
              <w:keepNext/>
              <w:keepLines/>
              <w:adjustRightInd w:val="0"/>
              <w:snapToGrid w:val="0"/>
              <w:jc w:val="center"/>
              <w:rPr>
                <w:b/>
                <w:sz w:val="20"/>
                <w:szCs w:val="20"/>
                <w:lang w:val="fr-FR"/>
              </w:rPr>
            </w:pPr>
            <w:r w:rsidRPr="00D277A9">
              <w:rPr>
                <w:sz w:val="20"/>
                <w:szCs w:val="20"/>
                <w:lang w:val="fr-FR"/>
              </w:rPr>
              <w:t>0,4951</w:t>
            </w:r>
          </w:p>
        </w:tc>
      </w:tr>
      <w:tr w:rsidR="004401F0" w:rsidRPr="00D277A9" w14:paraId="542BB880" w14:textId="77777777" w:rsidTr="00654D21">
        <w:trPr>
          <w:cantSplit/>
        </w:trPr>
        <w:tc>
          <w:tcPr>
            <w:tcW w:w="4788" w:type="dxa"/>
            <w:tcBorders>
              <w:top w:val="single" w:sz="4" w:space="0" w:color="000000"/>
              <w:left w:val="single" w:sz="4" w:space="0" w:color="000000"/>
              <w:bottom w:val="single" w:sz="4" w:space="0" w:color="auto"/>
            </w:tcBorders>
          </w:tcPr>
          <w:p w14:paraId="0A07E200" w14:textId="20923978" w:rsidR="004401F0" w:rsidRPr="00D277A9" w:rsidRDefault="00DF3C4F" w:rsidP="00654D21">
            <w:pPr>
              <w:pStyle w:val="TableParagraph"/>
              <w:keepNext/>
              <w:keepLines/>
              <w:adjustRightInd w:val="0"/>
              <w:snapToGrid w:val="0"/>
              <w:rPr>
                <w:sz w:val="20"/>
                <w:szCs w:val="20"/>
                <w:lang w:val="fr-FR"/>
              </w:rPr>
            </w:pPr>
            <w:r w:rsidRPr="00D277A9">
              <w:rPr>
                <w:b/>
                <w:sz w:val="20"/>
                <w:szCs w:val="20"/>
                <w:lang w:val="fr-FR"/>
              </w:rPr>
              <w:t xml:space="preserve">Survie </w:t>
            </w:r>
            <w:r w:rsidR="00A71A17">
              <w:rPr>
                <w:b/>
                <w:sz w:val="20"/>
                <w:szCs w:val="20"/>
                <w:lang w:val="fr-FR"/>
              </w:rPr>
              <w:t>g</w:t>
            </w:r>
            <w:r w:rsidRPr="00D277A9">
              <w:rPr>
                <w:b/>
                <w:sz w:val="20"/>
                <w:szCs w:val="20"/>
                <w:lang w:val="fr-FR"/>
              </w:rPr>
              <w:t>lobale*</w:t>
            </w:r>
          </w:p>
          <w:p w14:paraId="6B75D62A" w14:textId="6E4C13B1" w:rsidR="004401F0" w:rsidRPr="00D277A9" w:rsidRDefault="00252077" w:rsidP="00654D21">
            <w:pPr>
              <w:pStyle w:val="TableParagraph"/>
              <w:keepNext/>
              <w:keepLines/>
              <w:adjustRightInd w:val="0"/>
              <w:snapToGrid w:val="0"/>
              <w:rPr>
                <w:sz w:val="20"/>
                <w:szCs w:val="20"/>
                <w:lang w:val="fr-FR"/>
              </w:rPr>
            </w:pPr>
            <w:r>
              <w:rPr>
                <w:sz w:val="20"/>
                <w:szCs w:val="20"/>
                <w:lang w:val="fr-FR"/>
              </w:rPr>
              <w:t>M</w:t>
            </w:r>
            <w:r w:rsidR="00DF3C4F" w:rsidRPr="00D277A9">
              <w:rPr>
                <w:sz w:val="20"/>
                <w:szCs w:val="20"/>
                <w:lang w:val="fr-FR"/>
              </w:rPr>
              <w:t>édian</w:t>
            </w:r>
            <w:r>
              <w:rPr>
                <w:sz w:val="20"/>
                <w:szCs w:val="20"/>
                <w:lang w:val="fr-FR"/>
              </w:rPr>
              <w:t>e (mois)</w:t>
            </w:r>
          </w:p>
        </w:tc>
        <w:tc>
          <w:tcPr>
            <w:tcW w:w="2340" w:type="dxa"/>
            <w:tcBorders>
              <w:top w:val="single" w:sz="4" w:space="0" w:color="000000"/>
              <w:bottom w:val="single" w:sz="4" w:space="0" w:color="auto"/>
            </w:tcBorders>
          </w:tcPr>
          <w:p w14:paraId="22A603FE" w14:textId="77777777" w:rsidR="004401F0" w:rsidRPr="00D277A9" w:rsidRDefault="004401F0" w:rsidP="00654D21">
            <w:pPr>
              <w:pStyle w:val="TableParagraph"/>
              <w:keepNext/>
              <w:keepLines/>
              <w:adjustRightInd w:val="0"/>
              <w:snapToGrid w:val="0"/>
              <w:jc w:val="center"/>
              <w:rPr>
                <w:b/>
                <w:sz w:val="20"/>
                <w:szCs w:val="20"/>
                <w:lang w:val="fr-FR"/>
              </w:rPr>
            </w:pPr>
          </w:p>
          <w:p w14:paraId="55F3EF21"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47,4</w:t>
            </w:r>
          </w:p>
        </w:tc>
        <w:tc>
          <w:tcPr>
            <w:tcW w:w="2162" w:type="dxa"/>
            <w:tcBorders>
              <w:top w:val="single" w:sz="4" w:space="0" w:color="000000"/>
              <w:bottom w:val="single" w:sz="4" w:space="0" w:color="auto"/>
              <w:right w:val="single" w:sz="4" w:space="0" w:color="000000"/>
            </w:tcBorders>
          </w:tcPr>
          <w:p w14:paraId="0A29A640" w14:textId="77777777" w:rsidR="004401F0" w:rsidRPr="00D277A9" w:rsidRDefault="004401F0" w:rsidP="00654D21">
            <w:pPr>
              <w:pStyle w:val="TableParagraph"/>
              <w:keepNext/>
              <w:keepLines/>
              <w:adjustRightInd w:val="0"/>
              <w:snapToGrid w:val="0"/>
              <w:jc w:val="center"/>
              <w:rPr>
                <w:b/>
                <w:sz w:val="20"/>
                <w:szCs w:val="20"/>
                <w:lang w:val="fr-FR"/>
              </w:rPr>
            </w:pPr>
          </w:p>
          <w:p w14:paraId="7ADB8FE2"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47,0</w:t>
            </w:r>
          </w:p>
        </w:tc>
      </w:tr>
      <w:tr w:rsidR="005005D6" w:rsidRPr="00D277A9" w14:paraId="6C6D802E" w14:textId="77777777" w:rsidTr="00654D21">
        <w:trPr>
          <w:cantSplit/>
        </w:trPr>
        <w:tc>
          <w:tcPr>
            <w:tcW w:w="4788" w:type="dxa"/>
            <w:tcBorders>
              <w:top w:val="single" w:sz="4" w:space="0" w:color="auto"/>
              <w:left w:val="single" w:sz="4" w:space="0" w:color="000000"/>
              <w:bottom w:val="single" w:sz="4" w:space="0" w:color="000000"/>
            </w:tcBorders>
          </w:tcPr>
          <w:p w14:paraId="2C51F9D1" w14:textId="77777777" w:rsidR="005005D6" w:rsidRDefault="005005D6" w:rsidP="005005D6">
            <w:pPr>
              <w:pStyle w:val="TableParagraph"/>
              <w:adjustRightInd w:val="0"/>
              <w:snapToGrid w:val="0"/>
              <w:rPr>
                <w:sz w:val="20"/>
                <w:szCs w:val="20"/>
                <w:lang w:val="fr-FR"/>
              </w:rPr>
            </w:pPr>
            <w:r w:rsidRPr="00D277A9">
              <w:rPr>
                <w:sz w:val="20"/>
                <w:szCs w:val="20"/>
                <w:lang w:val="fr-FR"/>
              </w:rPr>
              <w:t xml:space="preserve">Risque Relatif (HR) (IC 95%) </w:t>
            </w:r>
          </w:p>
          <w:p w14:paraId="5FE98F4E" w14:textId="77777777" w:rsidR="005005D6" w:rsidRPr="00D277A9" w:rsidRDefault="005005D6" w:rsidP="005005D6">
            <w:pPr>
              <w:pStyle w:val="TableParagraph"/>
              <w:adjustRightInd w:val="0"/>
              <w:snapToGrid w:val="0"/>
              <w:rPr>
                <w:sz w:val="20"/>
                <w:szCs w:val="20"/>
                <w:lang w:val="fr-FR"/>
              </w:rPr>
            </w:pPr>
            <w:r w:rsidRPr="00D277A9">
              <w:rPr>
                <w:sz w:val="20"/>
                <w:szCs w:val="20"/>
                <w:lang w:val="fr-FR"/>
              </w:rPr>
              <w:t>Valeur du p</w:t>
            </w:r>
          </w:p>
        </w:tc>
        <w:tc>
          <w:tcPr>
            <w:tcW w:w="4502" w:type="dxa"/>
            <w:gridSpan w:val="2"/>
            <w:tcBorders>
              <w:top w:val="single" w:sz="4" w:space="0" w:color="auto"/>
              <w:bottom w:val="single" w:sz="4" w:space="0" w:color="000000"/>
              <w:right w:val="single" w:sz="4" w:space="0" w:color="000000"/>
            </w:tcBorders>
          </w:tcPr>
          <w:p w14:paraId="1E2B8F03" w14:textId="779C5F0A" w:rsidR="005005D6" w:rsidRPr="00D277A9" w:rsidRDefault="005005D6" w:rsidP="005005D6">
            <w:pPr>
              <w:pStyle w:val="TableParagraph"/>
              <w:adjustRightInd w:val="0"/>
              <w:snapToGrid w:val="0"/>
              <w:jc w:val="center"/>
              <w:rPr>
                <w:sz w:val="20"/>
                <w:szCs w:val="20"/>
                <w:lang w:val="fr-FR"/>
              </w:rPr>
            </w:pPr>
            <w:r w:rsidRPr="00D277A9">
              <w:rPr>
                <w:sz w:val="20"/>
                <w:szCs w:val="20"/>
                <w:lang w:val="fr-FR"/>
              </w:rPr>
              <w:t>0,81 (0,53</w:t>
            </w:r>
            <w:r w:rsidR="00881CB8">
              <w:rPr>
                <w:sz w:val="20"/>
                <w:szCs w:val="20"/>
                <w:lang w:val="fr-FR"/>
              </w:rPr>
              <w:t xml:space="preserve"> ; </w:t>
            </w:r>
            <w:r w:rsidRPr="00D277A9">
              <w:rPr>
                <w:sz w:val="20"/>
                <w:szCs w:val="20"/>
                <w:lang w:val="fr-FR"/>
              </w:rPr>
              <w:t>1,23)</w:t>
            </w:r>
          </w:p>
          <w:p w14:paraId="081A1A3E" w14:textId="77777777" w:rsidR="005005D6" w:rsidRPr="00D277A9" w:rsidRDefault="005005D6" w:rsidP="005005D6">
            <w:pPr>
              <w:pStyle w:val="TableParagraph"/>
              <w:adjustRightInd w:val="0"/>
              <w:snapToGrid w:val="0"/>
              <w:jc w:val="center"/>
              <w:rPr>
                <w:sz w:val="20"/>
                <w:szCs w:val="20"/>
                <w:lang w:val="fr-FR"/>
              </w:rPr>
            </w:pPr>
            <w:r w:rsidRPr="00D277A9">
              <w:rPr>
                <w:sz w:val="20"/>
                <w:szCs w:val="20"/>
                <w:lang w:val="fr-FR"/>
              </w:rPr>
              <w:t>0,3267</w:t>
            </w:r>
          </w:p>
        </w:tc>
      </w:tr>
    </w:tbl>
    <w:p w14:paraId="3FDB65BD" w14:textId="77777777" w:rsidR="004401F0" w:rsidRPr="008B45E9" w:rsidRDefault="00DF3C4F" w:rsidP="00BD4C7C">
      <w:pPr>
        <w:adjustRightInd w:val="0"/>
        <w:snapToGrid w:val="0"/>
        <w:rPr>
          <w:sz w:val="18"/>
          <w:szCs w:val="18"/>
          <w:lang w:val="fr-FR"/>
        </w:rPr>
      </w:pPr>
      <w:r w:rsidRPr="008B45E9">
        <w:rPr>
          <w:sz w:val="18"/>
          <w:szCs w:val="18"/>
          <w:lang w:val="fr-FR"/>
        </w:rPr>
        <w:t># Un total de 154 patients (Indice de performance ECOG 0 ou 1) était randomisé. Cependant, deux des patients randomisés ont interrompu l’étude avant de recevoir un traitement à l’étude.</w:t>
      </w:r>
    </w:p>
    <w:p w14:paraId="5EDAD568" w14:textId="77777777" w:rsidR="004401F0" w:rsidRPr="008B45E9" w:rsidRDefault="00DF3C4F" w:rsidP="00BD4C7C">
      <w:pPr>
        <w:adjustRightInd w:val="0"/>
        <w:snapToGrid w:val="0"/>
        <w:rPr>
          <w:sz w:val="18"/>
          <w:szCs w:val="18"/>
          <w:lang w:val="fr-FR"/>
        </w:rPr>
      </w:pPr>
      <w:r w:rsidRPr="008B45E9">
        <w:rPr>
          <w:sz w:val="18"/>
          <w:szCs w:val="18"/>
          <w:lang w:val="fr-FR"/>
        </w:rPr>
        <w:t>^ Revue à l’aveugle indépendante (analyse principale telle que définie par le protocole)</w:t>
      </w:r>
    </w:p>
    <w:p w14:paraId="0C39D724" w14:textId="1415358E" w:rsidR="004401F0" w:rsidRPr="008B45E9" w:rsidRDefault="00BD4C7C" w:rsidP="00BD4C7C">
      <w:pPr>
        <w:adjustRightInd w:val="0"/>
        <w:snapToGrid w:val="0"/>
        <w:rPr>
          <w:sz w:val="18"/>
          <w:szCs w:val="18"/>
          <w:lang w:val="fr-FR"/>
        </w:rPr>
      </w:pPr>
      <w:r w:rsidRPr="008B45E9">
        <w:rPr>
          <w:sz w:val="18"/>
          <w:szCs w:val="18"/>
          <w:lang w:val="fr-FR"/>
        </w:rPr>
        <w:t>*</w:t>
      </w:r>
      <w:r w:rsidR="008B45E9">
        <w:rPr>
          <w:sz w:val="18"/>
          <w:szCs w:val="18"/>
          <w:lang w:val="fr-FR"/>
        </w:rPr>
        <w:t xml:space="preserve"> </w:t>
      </w:r>
      <w:r w:rsidR="00DF3C4F" w:rsidRPr="008B45E9">
        <w:rPr>
          <w:sz w:val="18"/>
          <w:szCs w:val="18"/>
          <w:lang w:val="fr-FR"/>
        </w:rPr>
        <w:t xml:space="preserve">Analyse exploratoire: analyse finale de </w:t>
      </w:r>
      <w:r w:rsidR="002D6DCF" w:rsidRPr="002D6DCF">
        <w:rPr>
          <w:sz w:val="18"/>
          <w:szCs w:val="18"/>
          <w:lang w:val="fr-FR"/>
        </w:rPr>
        <w:t>l'OS</w:t>
      </w:r>
      <w:r w:rsidR="002D6DCF" w:rsidRPr="002D6DCF" w:rsidDel="002D6DCF">
        <w:rPr>
          <w:sz w:val="18"/>
          <w:szCs w:val="18"/>
          <w:lang w:val="fr-FR"/>
        </w:rPr>
        <w:t xml:space="preserve"> </w:t>
      </w:r>
      <w:r w:rsidR="00DF3C4F" w:rsidRPr="008B45E9">
        <w:rPr>
          <w:sz w:val="18"/>
          <w:szCs w:val="18"/>
          <w:lang w:val="fr-FR"/>
        </w:rPr>
        <w:t>à la date de recueil des données du 31 octobre 2017, environ 59</w:t>
      </w:r>
      <w:r w:rsidR="00AF3AAA">
        <w:rPr>
          <w:sz w:val="18"/>
          <w:szCs w:val="18"/>
          <w:lang w:val="fr-FR"/>
        </w:rPr>
        <w:t xml:space="preserve"> % </w:t>
      </w:r>
      <w:r w:rsidR="00DF3C4F" w:rsidRPr="008B45E9">
        <w:rPr>
          <w:sz w:val="18"/>
          <w:szCs w:val="18"/>
          <w:lang w:val="fr-FR"/>
        </w:rPr>
        <w:t>des patients étaient décédés</w:t>
      </w:r>
    </w:p>
    <w:p w14:paraId="6458684B" w14:textId="77777777" w:rsidR="002118D7" w:rsidRDefault="002118D7" w:rsidP="00BD4C7C">
      <w:pPr>
        <w:adjustRightInd w:val="0"/>
        <w:snapToGrid w:val="0"/>
        <w:rPr>
          <w:lang w:val="fr-FR"/>
        </w:rPr>
      </w:pPr>
    </w:p>
    <w:p w14:paraId="21FF4A2F" w14:textId="047A5696" w:rsidR="004401F0" w:rsidRPr="00654D21" w:rsidRDefault="00DF3C4F" w:rsidP="00BD4C7C">
      <w:pPr>
        <w:adjustRightInd w:val="0"/>
        <w:snapToGrid w:val="0"/>
        <w:rPr>
          <w:lang w:val="fr-FR"/>
        </w:rPr>
      </w:pPr>
      <w:r w:rsidRPr="00654D21">
        <w:rPr>
          <w:lang w:val="fr-FR"/>
        </w:rPr>
        <w:t>IC, intervalle de confiance; HR, Risque relatif à partir de l’analyse de régression Cox non stratifiée.</w:t>
      </w:r>
    </w:p>
    <w:p w14:paraId="59CDB933" w14:textId="77777777" w:rsidR="004401F0" w:rsidRPr="007C119A" w:rsidRDefault="004401F0" w:rsidP="00BD4C7C">
      <w:pPr>
        <w:pStyle w:val="a3"/>
        <w:adjustRightInd w:val="0"/>
        <w:snapToGrid w:val="0"/>
        <w:rPr>
          <w:lang w:val="fr-FR"/>
        </w:rPr>
      </w:pPr>
    </w:p>
    <w:p w14:paraId="4446C859" w14:textId="77777777" w:rsidR="004401F0" w:rsidRPr="00DA7718" w:rsidRDefault="00DF3C4F" w:rsidP="00BD4C7C">
      <w:pPr>
        <w:adjustRightInd w:val="0"/>
        <w:snapToGrid w:val="0"/>
        <w:rPr>
          <w:i/>
          <w:lang w:val="fr-FR"/>
        </w:rPr>
      </w:pPr>
      <w:r w:rsidRPr="00DA7718">
        <w:rPr>
          <w:i/>
          <w:u w:val="single"/>
          <w:lang w:val="fr-FR"/>
        </w:rPr>
        <w:t>Cancer du rein avancé et/ou métastatique (CRm)</w:t>
      </w:r>
    </w:p>
    <w:p w14:paraId="6A80CA9B" w14:textId="77777777" w:rsidR="004401F0" w:rsidRPr="003F4D24" w:rsidRDefault="004401F0" w:rsidP="00BD4C7C">
      <w:pPr>
        <w:pStyle w:val="a3"/>
        <w:adjustRightInd w:val="0"/>
        <w:snapToGrid w:val="0"/>
        <w:rPr>
          <w:i/>
          <w:lang w:val="fr-FR"/>
        </w:rPr>
      </w:pPr>
    </w:p>
    <w:p w14:paraId="69E99910" w14:textId="7A96364A" w:rsidR="004401F0" w:rsidRPr="00DA7718" w:rsidRDefault="00231794" w:rsidP="00BD4C7C">
      <w:pPr>
        <w:adjustRightInd w:val="0"/>
        <w:snapToGrid w:val="0"/>
        <w:rPr>
          <w:i/>
          <w:lang w:val="fr-FR"/>
        </w:rPr>
      </w:pPr>
      <w:r>
        <w:rPr>
          <w:i/>
          <w:iCs/>
          <w:lang w:val="fr-FR"/>
        </w:rPr>
        <w:t>B</w:t>
      </w:r>
      <w:r w:rsidR="00252077" w:rsidRPr="00654D21">
        <w:rPr>
          <w:i/>
          <w:iCs/>
          <w:lang w:val="fr-FR"/>
        </w:rPr>
        <w:t>evacizumab</w:t>
      </w:r>
      <w:r w:rsidR="00252077" w:rsidRPr="00DA7718">
        <w:rPr>
          <w:i/>
          <w:lang w:val="fr-FR"/>
        </w:rPr>
        <w:t xml:space="preserve"> </w:t>
      </w:r>
      <w:r w:rsidR="00DF3C4F" w:rsidRPr="00DA7718">
        <w:rPr>
          <w:i/>
          <w:lang w:val="fr-FR"/>
        </w:rPr>
        <w:t xml:space="preserve">en association à l’interféron alfa-2a en traitement de première ligne du cancer du rein avancé et/ou </w:t>
      </w:r>
      <w:r w:rsidR="00961C3F">
        <w:rPr>
          <w:i/>
          <w:lang w:val="fr-FR"/>
        </w:rPr>
        <w:t>CRm</w:t>
      </w:r>
      <w:r w:rsidR="00DF3C4F" w:rsidRPr="00DA7718">
        <w:rPr>
          <w:i/>
          <w:lang w:val="fr-FR"/>
        </w:rPr>
        <w:t xml:space="preserve"> (BO17705)</w:t>
      </w:r>
    </w:p>
    <w:p w14:paraId="41A1E536" w14:textId="77777777" w:rsidR="004401F0" w:rsidRPr="007C119A" w:rsidRDefault="004401F0" w:rsidP="00BD4C7C">
      <w:pPr>
        <w:pStyle w:val="a3"/>
        <w:adjustRightInd w:val="0"/>
        <w:snapToGrid w:val="0"/>
        <w:rPr>
          <w:i/>
          <w:lang w:val="fr-FR"/>
        </w:rPr>
      </w:pPr>
    </w:p>
    <w:p w14:paraId="7AE31FC1" w14:textId="6FE00936" w:rsidR="004401F0" w:rsidRPr="00DA7718" w:rsidRDefault="00DF3C4F" w:rsidP="00BD4C7C">
      <w:pPr>
        <w:pStyle w:val="a3"/>
        <w:adjustRightInd w:val="0"/>
        <w:snapToGrid w:val="0"/>
        <w:rPr>
          <w:lang w:val="fr-FR"/>
        </w:rPr>
      </w:pPr>
      <w:r w:rsidRPr="00DA7718">
        <w:rPr>
          <w:lang w:val="fr-FR"/>
        </w:rPr>
        <w:t xml:space="preserve">Il s’agissait d’une étude de phase III, randomisée, en double aveugle, qui évaluait l’efficacité et la tolérance </w:t>
      </w:r>
      <w:r w:rsidR="00252077">
        <w:rPr>
          <w:lang w:val="fr-FR"/>
        </w:rPr>
        <w:t>du bevacizumab</w:t>
      </w:r>
      <w:r w:rsidR="00252077" w:rsidRPr="00DA7718">
        <w:rPr>
          <w:lang w:val="fr-FR"/>
        </w:rPr>
        <w:t xml:space="preserve"> </w:t>
      </w:r>
      <w:r w:rsidRPr="00DA7718">
        <w:rPr>
          <w:lang w:val="fr-FR"/>
        </w:rPr>
        <w:t xml:space="preserve">en association à l’interféron (IFN) alfa-2a comparativement à l’IFN alfa-2a seul, en traitement de première ligne du CRm. Les 649 patients randomisés (641 traités) avaient un score de performance KPS (Karnofsky Performance Status) ≥ 70 %, et ne présentaient aucune métastase du SNC, ni dysfonctionnement organique. Les patients ont subi une néphrectomie pour un carcinome rénal primitif. </w:t>
      </w:r>
      <w:r w:rsidR="00252077">
        <w:rPr>
          <w:lang w:val="fr-FR"/>
        </w:rPr>
        <w:t>Le bevacizumab</w:t>
      </w:r>
      <w:r w:rsidR="00252077" w:rsidRPr="00DA7718">
        <w:rPr>
          <w:lang w:val="fr-FR"/>
        </w:rPr>
        <w:t xml:space="preserve"> </w:t>
      </w:r>
      <w:r w:rsidRPr="00DA7718">
        <w:rPr>
          <w:lang w:val="fr-FR"/>
        </w:rPr>
        <w:t>à la posologie de 10</w:t>
      </w:r>
      <w:r w:rsidR="00DA7718" w:rsidRPr="00DA7718">
        <w:rPr>
          <w:lang w:val="fr-FR"/>
        </w:rPr>
        <w:t> mg</w:t>
      </w:r>
      <w:r w:rsidRPr="00DA7718">
        <w:rPr>
          <w:lang w:val="fr-FR"/>
        </w:rPr>
        <w:t>/kg toutes les 2 semaines était administré jusqu’à progression de la maladie. L’IFN alfa-2a était administré pendant 52 semaines ou jusqu’à progression de la maladie à une posologie initiale recommandée de 9 MUI trois fois par semaine, avec une réduction de la dose à 3 MUI trois fois par semaine autorisée en deux paliers. Les patients ont été stratifiés en fonction du pays et du score de Motzer et les groupes de traitement étaient bien équilibrés en ce qui concerne les facteurs pronostiques.</w:t>
      </w:r>
    </w:p>
    <w:p w14:paraId="764638D4" w14:textId="77777777" w:rsidR="004401F0" w:rsidRPr="007C119A" w:rsidRDefault="004401F0" w:rsidP="00BD4C7C">
      <w:pPr>
        <w:pStyle w:val="a3"/>
        <w:adjustRightInd w:val="0"/>
        <w:snapToGrid w:val="0"/>
        <w:rPr>
          <w:lang w:val="fr-FR"/>
        </w:rPr>
      </w:pPr>
    </w:p>
    <w:p w14:paraId="7EFF17D2" w14:textId="56F90458" w:rsidR="004401F0" w:rsidRPr="00DA7718" w:rsidRDefault="00DF3C4F" w:rsidP="00BD4C7C">
      <w:pPr>
        <w:pStyle w:val="a3"/>
        <w:adjustRightInd w:val="0"/>
        <w:snapToGrid w:val="0"/>
        <w:rPr>
          <w:lang w:val="fr-FR"/>
        </w:rPr>
      </w:pPr>
      <w:r w:rsidRPr="00DA7718">
        <w:rPr>
          <w:lang w:val="fr-FR"/>
        </w:rPr>
        <w:t xml:space="preserve">L’objectif principal de l’étude était </w:t>
      </w:r>
      <w:r w:rsidR="00803E4E">
        <w:rPr>
          <w:lang w:val="fr-FR"/>
        </w:rPr>
        <w:t>l’OS</w:t>
      </w:r>
      <w:r w:rsidRPr="00DA7718">
        <w:rPr>
          <w:lang w:val="fr-FR"/>
        </w:rPr>
        <w:t xml:space="preserve"> et les objectifs secondaires incluaient la </w:t>
      </w:r>
      <w:r w:rsidR="00A71A17">
        <w:rPr>
          <w:lang w:val="fr-FR"/>
        </w:rPr>
        <w:t>PFS</w:t>
      </w:r>
      <w:r w:rsidRPr="00DA7718">
        <w:rPr>
          <w:lang w:val="fr-FR"/>
        </w:rPr>
        <w:t xml:space="preserve">. L’addition </w:t>
      </w:r>
      <w:r w:rsidR="00252077">
        <w:rPr>
          <w:lang w:val="fr-FR"/>
        </w:rPr>
        <w:t>du bevacizumab</w:t>
      </w:r>
      <w:r w:rsidR="00252077" w:rsidRPr="00DA7718">
        <w:rPr>
          <w:lang w:val="fr-FR"/>
        </w:rPr>
        <w:t xml:space="preserve"> </w:t>
      </w:r>
      <w:r w:rsidRPr="00DA7718">
        <w:rPr>
          <w:lang w:val="fr-FR"/>
        </w:rPr>
        <w:t xml:space="preserve">à l’IFN alpha-2a a significativement augmenté la survie sans progression et le taux de réponse tumorale objective. Ces résultats ont été confirmés par une revue radiologique indépendante. Toutefois, l’augmentation de 2 mois du critère principal, </w:t>
      </w:r>
      <w:r w:rsidR="00803E4E">
        <w:rPr>
          <w:lang w:val="fr-FR"/>
        </w:rPr>
        <w:t>l’OS</w:t>
      </w:r>
      <w:r w:rsidRPr="00DA7718">
        <w:rPr>
          <w:lang w:val="fr-FR"/>
        </w:rPr>
        <w:t>, n’a pas été cliniquement significative (HR = 0,91). Une proportion importante de patients (approximativement 63</w:t>
      </w:r>
      <w:r w:rsidR="00AF3AAA">
        <w:rPr>
          <w:lang w:val="fr-FR"/>
        </w:rPr>
        <w:t xml:space="preserve"> % </w:t>
      </w:r>
      <w:r w:rsidRPr="00DA7718">
        <w:rPr>
          <w:lang w:val="fr-FR"/>
        </w:rPr>
        <w:t>IFN/placebo; 55</w:t>
      </w:r>
      <w:r w:rsidR="00AF3AAA">
        <w:rPr>
          <w:lang w:val="fr-FR"/>
        </w:rPr>
        <w:t xml:space="preserve"> % </w:t>
      </w:r>
      <w:r w:rsidR="00252077">
        <w:rPr>
          <w:lang w:val="fr-FR"/>
        </w:rPr>
        <w:t>bevacizumab</w:t>
      </w:r>
      <w:r w:rsidRPr="00DA7718">
        <w:rPr>
          <w:lang w:val="fr-FR"/>
        </w:rPr>
        <w:t xml:space="preserve">/IFN) </w:t>
      </w:r>
      <w:r w:rsidR="00B52BC0" w:rsidRPr="00DA7718">
        <w:rPr>
          <w:lang w:val="fr-FR"/>
        </w:rPr>
        <w:t>a</w:t>
      </w:r>
      <w:r w:rsidRPr="00DA7718">
        <w:rPr>
          <w:lang w:val="fr-FR"/>
        </w:rPr>
        <w:t xml:space="preserve"> reçu après l’étude des traitements anticancéreux non spécifiés initialement dans le protocole, dont des agents antinéoplasiques, ce qui peut avoir eu un impact sur l’analyse de </w:t>
      </w:r>
      <w:r w:rsidR="00803E4E">
        <w:rPr>
          <w:lang w:val="fr-FR"/>
        </w:rPr>
        <w:t>l’OS</w:t>
      </w:r>
      <w:r w:rsidRPr="00DA7718">
        <w:rPr>
          <w:lang w:val="fr-FR"/>
        </w:rPr>
        <w:t>.</w:t>
      </w:r>
    </w:p>
    <w:p w14:paraId="1B41C868" w14:textId="77777777" w:rsidR="00BD4C7C" w:rsidRPr="00DA7718" w:rsidRDefault="00BD4C7C" w:rsidP="00BD4C7C">
      <w:pPr>
        <w:adjustRightInd w:val="0"/>
        <w:snapToGrid w:val="0"/>
        <w:rPr>
          <w:lang w:val="fr-FR"/>
        </w:rPr>
      </w:pPr>
    </w:p>
    <w:p w14:paraId="45B1EDA9" w14:textId="77777777" w:rsidR="004401F0" w:rsidRPr="00DA7718" w:rsidRDefault="00DF3C4F" w:rsidP="00654D21">
      <w:pPr>
        <w:pStyle w:val="a3"/>
        <w:keepNext/>
        <w:keepLines/>
        <w:adjustRightInd w:val="0"/>
        <w:snapToGrid w:val="0"/>
        <w:rPr>
          <w:lang w:val="fr-FR"/>
        </w:rPr>
      </w:pPr>
      <w:r w:rsidRPr="00DA7718">
        <w:rPr>
          <w:lang w:val="fr-FR"/>
        </w:rPr>
        <w:t>Les résultats d’efficacité sont présentés dans le tableau 15.</w:t>
      </w:r>
    </w:p>
    <w:p w14:paraId="55F748DB" w14:textId="77777777" w:rsidR="004401F0" w:rsidRPr="00DA7718" w:rsidRDefault="004401F0" w:rsidP="00654D21">
      <w:pPr>
        <w:pStyle w:val="a3"/>
        <w:keepNext/>
        <w:keepLines/>
        <w:adjustRightInd w:val="0"/>
        <w:snapToGrid w:val="0"/>
        <w:rPr>
          <w:lang w:val="fr-FR"/>
        </w:rPr>
      </w:pPr>
    </w:p>
    <w:p w14:paraId="36B5A902" w14:textId="77777777" w:rsidR="00CB30CF" w:rsidRDefault="00CB30CF">
      <w:pPr>
        <w:widowControl/>
        <w:autoSpaceDE/>
        <w:autoSpaceDN/>
        <w:rPr>
          <w:b/>
          <w:bCs/>
          <w:lang w:val="fr-FR"/>
        </w:rPr>
      </w:pPr>
      <w:r>
        <w:rPr>
          <w:lang w:val="fr-FR"/>
        </w:rPr>
        <w:br w:type="page"/>
      </w:r>
    </w:p>
    <w:p w14:paraId="0AB2D8F2" w14:textId="4E29DAA4" w:rsidR="004401F0" w:rsidRPr="000604F6" w:rsidRDefault="00DF3C4F" w:rsidP="000604F6">
      <w:pPr>
        <w:ind w:left="1276" w:hanging="1276"/>
        <w:rPr>
          <w:b/>
          <w:bCs/>
          <w:lang w:val="fr-FR"/>
        </w:rPr>
      </w:pPr>
      <w:r w:rsidRPr="000604F6">
        <w:rPr>
          <w:b/>
          <w:bCs/>
          <w:lang w:val="fr-FR"/>
        </w:rPr>
        <w:lastRenderedPageBreak/>
        <w:t>Tableau 15</w:t>
      </w:r>
      <w:r w:rsidRPr="000604F6">
        <w:rPr>
          <w:b/>
          <w:bCs/>
          <w:lang w:val="fr-FR"/>
        </w:rPr>
        <w:tab/>
        <w:t>Résultats d’efficacité pour l’étude BO17705</w:t>
      </w:r>
    </w:p>
    <w:p w14:paraId="0A397829" w14:textId="77777777" w:rsidR="004401F0" w:rsidRPr="00DA7718" w:rsidRDefault="004401F0" w:rsidP="00654D21">
      <w:pPr>
        <w:pStyle w:val="a3"/>
        <w:keepNext/>
        <w:keepLines/>
        <w:adjustRightInd w:val="0"/>
        <w:snapToGrid w:val="0"/>
        <w:rPr>
          <w:b/>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0"/>
        <w:gridCol w:w="2527"/>
        <w:gridCol w:w="2447"/>
      </w:tblGrid>
      <w:tr w:rsidR="004401F0" w:rsidRPr="00D277A9" w14:paraId="699F3046" w14:textId="77777777" w:rsidTr="00D5425F">
        <w:trPr>
          <w:cantSplit/>
          <w:tblHeader/>
        </w:trPr>
        <w:tc>
          <w:tcPr>
            <w:tcW w:w="4199" w:type="dxa"/>
            <w:vMerge w:val="restart"/>
            <w:tcBorders>
              <w:left w:val="single" w:sz="8" w:space="0" w:color="000000"/>
              <w:bottom w:val="single" w:sz="8" w:space="0" w:color="000000"/>
              <w:right w:val="single" w:sz="8" w:space="0" w:color="000000"/>
            </w:tcBorders>
          </w:tcPr>
          <w:p w14:paraId="59C371DE" w14:textId="77777777" w:rsidR="004401F0" w:rsidRPr="00D277A9" w:rsidRDefault="004401F0" w:rsidP="00654D21">
            <w:pPr>
              <w:pStyle w:val="TableParagraph"/>
              <w:keepNext/>
              <w:keepLines/>
              <w:adjustRightInd w:val="0"/>
              <w:snapToGrid w:val="0"/>
              <w:rPr>
                <w:sz w:val="20"/>
                <w:szCs w:val="20"/>
                <w:lang w:val="fr-FR"/>
              </w:rPr>
            </w:pPr>
          </w:p>
        </w:tc>
        <w:tc>
          <w:tcPr>
            <w:tcW w:w="5091" w:type="dxa"/>
            <w:gridSpan w:val="2"/>
            <w:tcBorders>
              <w:left w:val="single" w:sz="8" w:space="0" w:color="000000"/>
              <w:bottom w:val="single" w:sz="8" w:space="0" w:color="000000"/>
              <w:right w:val="single" w:sz="8" w:space="0" w:color="000000"/>
            </w:tcBorders>
          </w:tcPr>
          <w:p w14:paraId="39F43B99" w14:textId="77777777" w:rsidR="004401F0" w:rsidRPr="005005D6" w:rsidRDefault="00DF3C4F" w:rsidP="00654D21">
            <w:pPr>
              <w:pStyle w:val="TableParagraph"/>
              <w:keepNext/>
              <w:keepLines/>
              <w:adjustRightInd w:val="0"/>
              <w:snapToGrid w:val="0"/>
              <w:jc w:val="center"/>
              <w:rPr>
                <w:b/>
                <w:bCs/>
                <w:sz w:val="20"/>
                <w:szCs w:val="20"/>
                <w:lang w:val="fr-FR"/>
              </w:rPr>
            </w:pPr>
            <w:r w:rsidRPr="005005D6">
              <w:rPr>
                <w:b/>
                <w:bCs/>
                <w:sz w:val="20"/>
                <w:szCs w:val="20"/>
                <w:lang w:val="fr-FR"/>
              </w:rPr>
              <w:t>BO17705</w:t>
            </w:r>
          </w:p>
        </w:tc>
      </w:tr>
      <w:tr w:rsidR="004401F0" w:rsidRPr="00D277A9" w14:paraId="6E30349C" w14:textId="77777777" w:rsidTr="00654D21">
        <w:trPr>
          <w:cantSplit/>
          <w:tblHeader/>
        </w:trPr>
        <w:tc>
          <w:tcPr>
            <w:tcW w:w="4199" w:type="dxa"/>
            <w:vMerge/>
            <w:tcBorders>
              <w:top w:val="nil"/>
              <w:left w:val="single" w:sz="8" w:space="0" w:color="000000"/>
              <w:bottom w:val="single" w:sz="8" w:space="0" w:color="000000"/>
              <w:right w:val="single" w:sz="8" w:space="0" w:color="000000"/>
            </w:tcBorders>
          </w:tcPr>
          <w:p w14:paraId="1B0BE983" w14:textId="77777777" w:rsidR="004401F0" w:rsidRPr="00D277A9" w:rsidRDefault="004401F0" w:rsidP="00654D21">
            <w:pPr>
              <w:keepNext/>
              <w:keepLines/>
              <w:adjustRightInd w:val="0"/>
              <w:snapToGrid w:val="0"/>
              <w:rPr>
                <w:sz w:val="20"/>
                <w:szCs w:val="20"/>
                <w:lang w:val="fr-FR"/>
              </w:rPr>
            </w:pPr>
          </w:p>
        </w:tc>
        <w:tc>
          <w:tcPr>
            <w:tcW w:w="2569" w:type="dxa"/>
            <w:tcBorders>
              <w:top w:val="single" w:sz="8" w:space="0" w:color="000000"/>
              <w:left w:val="single" w:sz="8" w:space="0" w:color="000000"/>
              <w:bottom w:val="single" w:sz="8" w:space="0" w:color="000000"/>
              <w:right w:val="nil"/>
            </w:tcBorders>
          </w:tcPr>
          <w:p w14:paraId="330A18A3" w14:textId="77777777" w:rsidR="004401F0" w:rsidRPr="005005D6" w:rsidRDefault="00DF3C4F" w:rsidP="00654D21">
            <w:pPr>
              <w:pStyle w:val="TableParagraph"/>
              <w:keepNext/>
              <w:keepLines/>
              <w:adjustRightInd w:val="0"/>
              <w:snapToGrid w:val="0"/>
              <w:jc w:val="center"/>
              <w:rPr>
                <w:b/>
                <w:bCs/>
                <w:sz w:val="20"/>
                <w:szCs w:val="20"/>
                <w:lang w:val="fr-FR"/>
              </w:rPr>
            </w:pPr>
            <w:r w:rsidRPr="005005D6">
              <w:rPr>
                <w:b/>
                <w:bCs/>
                <w:sz w:val="20"/>
                <w:szCs w:val="20"/>
                <w:lang w:val="fr-FR"/>
              </w:rPr>
              <w:t>Placebo+ IFN</w:t>
            </w:r>
            <w:r w:rsidRPr="005005D6">
              <w:rPr>
                <w:b/>
                <w:bCs/>
                <w:sz w:val="20"/>
                <w:szCs w:val="20"/>
                <w:vertAlign w:val="superscript"/>
                <w:lang w:val="fr-FR"/>
              </w:rPr>
              <w:t>a</w:t>
            </w:r>
          </w:p>
        </w:tc>
        <w:tc>
          <w:tcPr>
            <w:tcW w:w="2522" w:type="dxa"/>
            <w:tcBorders>
              <w:top w:val="single" w:sz="8" w:space="0" w:color="000000"/>
              <w:left w:val="nil"/>
              <w:bottom w:val="single" w:sz="8" w:space="0" w:color="000000"/>
              <w:right w:val="single" w:sz="8" w:space="0" w:color="000000"/>
            </w:tcBorders>
          </w:tcPr>
          <w:p w14:paraId="255FFB16" w14:textId="77777777" w:rsidR="004401F0" w:rsidRPr="005005D6" w:rsidRDefault="00DF3C4F" w:rsidP="00654D21">
            <w:pPr>
              <w:pStyle w:val="TableParagraph"/>
              <w:keepNext/>
              <w:keepLines/>
              <w:adjustRightInd w:val="0"/>
              <w:snapToGrid w:val="0"/>
              <w:jc w:val="center"/>
              <w:rPr>
                <w:b/>
                <w:bCs/>
                <w:sz w:val="20"/>
                <w:szCs w:val="20"/>
                <w:lang w:val="fr-FR"/>
              </w:rPr>
            </w:pPr>
            <w:r w:rsidRPr="005005D6">
              <w:rPr>
                <w:b/>
                <w:bCs/>
                <w:sz w:val="20"/>
                <w:szCs w:val="20"/>
                <w:lang w:val="fr-FR"/>
              </w:rPr>
              <w:t>Bv</w:t>
            </w:r>
            <w:r w:rsidRPr="005005D6">
              <w:rPr>
                <w:b/>
                <w:bCs/>
                <w:sz w:val="20"/>
                <w:szCs w:val="20"/>
                <w:vertAlign w:val="superscript"/>
                <w:lang w:val="fr-FR"/>
              </w:rPr>
              <w:t>b</w:t>
            </w:r>
            <w:r w:rsidRPr="005005D6">
              <w:rPr>
                <w:b/>
                <w:bCs/>
                <w:sz w:val="20"/>
                <w:szCs w:val="20"/>
                <w:lang w:val="fr-FR"/>
              </w:rPr>
              <w:t xml:space="preserve"> + IFN</w:t>
            </w:r>
            <w:r w:rsidRPr="005005D6">
              <w:rPr>
                <w:b/>
                <w:bCs/>
                <w:sz w:val="20"/>
                <w:szCs w:val="20"/>
                <w:vertAlign w:val="superscript"/>
                <w:lang w:val="fr-FR"/>
              </w:rPr>
              <w:t>a</w:t>
            </w:r>
          </w:p>
        </w:tc>
      </w:tr>
      <w:tr w:rsidR="004401F0" w:rsidRPr="00D277A9" w14:paraId="62E182EC" w14:textId="77777777" w:rsidTr="00654D21">
        <w:trPr>
          <w:cantSplit/>
        </w:trPr>
        <w:tc>
          <w:tcPr>
            <w:tcW w:w="4199" w:type="dxa"/>
            <w:tcBorders>
              <w:top w:val="single" w:sz="8" w:space="0" w:color="000000"/>
              <w:left w:val="single" w:sz="8" w:space="0" w:color="000000"/>
              <w:right w:val="single" w:sz="8" w:space="0" w:color="000000"/>
            </w:tcBorders>
          </w:tcPr>
          <w:p w14:paraId="4A5F38A9"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Nombre de patients</w:t>
            </w:r>
          </w:p>
        </w:tc>
        <w:tc>
          <w:tcPr>
            <w:tcW w:w="2569" w:type="dxa"/>
            <w:tcBorders>
              <w:top w:val="single" w:sz="8" w:space="0" w:color="000000"/>
              <w:left w:val="single" w:sz="8" w:space="0" w:color="000000"/>
              <w:right w:val="nil"/>
            </w:tcBorders>
          </w:tcPr>
          <w:p w14:paraId="420D8C21"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322</w:t>
            </w:r>
          </w:p>
        </w:tc>
        <w:tc>
          <w:tcPr>
            <w:tcW w:w="2522" w:type="dxa"/>
            <w:tcBorders>
              <w:top w:val="single" w:sz="8" w:space="0" w:color="000000"/>
              <w:left w:val="nil"/>
              <w:right w:val="single" w:sz="8" w:space="0" w:color="000000"/>
            </w:tcBorders>
          </w:tcPr>
          <w:p w14:paraId="1CC59493"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327</w:t>
            </w:r>
          </w:p>
        </w:tc>
      </w:tr>
      <w:tr w:rsidR="00740A72" w:rsidRPr="000D7348" w14:paraId="5F06E7B3" w14:textId="77777777" w:rsidTr="00654D21">
        <w:trPr>
          <w:cantSplit/>
        </w:trPr>
        <w:tc>
          <w:tcPr>
            <w:tcW w:w="4199" w:type="dxa"/>
            <w:vMerge w:val="restart"/>
            <w:tcBorders>
              <w:left w:val="single" w:sz="8" w:space="0" w:color="000000"/>
              <w:right w:val="single" w:sz="8" w:space="0" w:color="000000"/>
            </w:tcBorders>
          </w:tcPr>
          <w:p w14:paraId="715069BC" w14:textId="77777777" w:rsidR="00740A72" w:rsidRPr="00D96E26" w:rsidRDefault="00740A72" w:rsidP="00395C5B">
            <w:pPr>
              <w:pStyle w:val="TableParagraph"/>
              <w:keepNext/>
              <w:keepLines/>
              <w:adjustRightInd w:val="0"/>
              <w:snapToGrid w:val="0"/>
              <w:rPr>
                <w:sz w:val="20"/>
                <w:szCs w:val="20"/>
                <w:lang w:val="fr-FR"/>
              </w:rPr>
            </w:pPr>
            <w:r w:rsidRPr="00D96E26">
              <w:rPr>
                <w:sz w:val="20"/>
                <w:szCs w:val="20"/>
                <w:lang w:val="fr-FR"/>
              </w:rPr>
              <w:t>Survie sans progression</w:t>
            </w:r>
          </w:p>
          <w:p w14:paraId="34F53939" w14:textId="77777777" w:rsidR="00740A72" w:rsidRPr="00D96E26" w:rsidRDefault="00740A72" w:rsidP="00395C5B">
            <w:pPr>
              <w:pStyle w:val="TableParagraph"/>
              <w:adjustRightInd w:val="0"/>
              <w:snapToGrid w:val="0"/>
              <w:rPr>
                <w:sz w:val="20"/>
                <w:szCs w:val="20"/>
                <w:lang w:val="fr-FR"/>
              </w:rPr>
            </w:pPr>
            <w:r w:rsidRPr="00D96E26">
              <w:rPr>
                <w:sz w:val="20"/>
                <w:szCs w:val="20"/>
                <w:lang w:val="fr-FR"/>
              </w:rPr>
              <w:t>Médiane (mois)</w:t>
            </w:r>
          </w:p>
          <w:p w14:paraId="3EA11726" w14:textId="77777777" w:rsidR="00740A72" w:rsidRPr="00D96E26" w:rsidRDefault="00740A72" w:rsidP="00654D21">
            <w:pPr>
              <w:pStyle w:val="TableParagraph"/>
              <w:adjustRightInd w:val="0"/>
              <w:snapToGrid w:val="0"/>
              <w:rPr>
                <w:sz w:val="20"/>
                <w:szCs w:val="20"/>
                <w:lang w:val="fr-FR"/>
              </w:rPr>
            </w:pPr>
            <w:r w:rsidRPr="00D96E26">
              <w:rPr>
                <w:sz w:val="20"/>
                <w:szCs w:val="20"/>
                <w:lang w:val="fr-FR"/>
              </w:rPr>
              <w:t xml:space="preserve">Risque relatif (Hazard ratio) </w:t>
            </w:r>
          </w:p>
          <w:p w14:paraId="0068886E" w14:textId="4501E5AB" w:rsidR="00740A72" w:rsidRPr="00D96E26" w:rsidRDefault="00740A72" w:rsidP="00740A72">
            <w:pPr>
              <w:pStyle w:val="TableParagraph"/>
              <w:adjustRightInd w:val="0"/>
              <w:snapToGrid w:val="0"/>
              <w:rPr>
                <w:sz w:val="20"/>
                <w:szCs w:val="20"/>
                <w:lang w:val="fr-FR"/>
              </w:rPr>
            </w:pPr>
            <w:r w:rsidRPr="00D96E26">
              <w:rPr>
                <w:sz w:val="20"/>
                <w:szCs w:val="20"/>
                <w:lang w:val="fr-FR"/>
              </w:rPr>
              <w:t>Intervalle de confiance à 95 %</w:t>
            </w:r>
          </w:p>
        </w:tc>
        <w:tc>
          <w:tcPr>
            <w:tcW w:w="2569" w:type="dxa"/>
            <w:tcBorders>
              <w:left w:val="single" w:sz="8" w:space="0" w:color="000000"/>
              <w:bottom w:val="nil"/>
              <w:right w:val="nil"/>
            </w:tcBorders>
          </w:tcPr>
          <w:p w14:paraId="45469EA1" w14:textId="77777777" w:rsidR="00740A72" w:rsidRPr="00D96E26" w:rsidRDefault="00740A72" w:rsidP="00654D21">
            <w:pPr>
              <w:pStyle w:val="TableParagraph"/>
              <w:keepNext/>
              <w:keepLines/>
              <w:adjustRightInd w:val="0"/>
              <w:snapToGrid w:val="0"/>
              <w:jc w:val="center"/>
              <w:rPr>
                <w:sz w:val="20"/>
                <w:szCs w:val="20"/>
                <w:lang w:val="fr-FR"/>
              </w:rPr>
            </w:pPr>
          </w:p>
        </w:tc>
        <w:tc>
          <w:tcPr>
            <w:tcW w:w="2522" w:type="dxa"/>
            <w:tcBorders>
              <w:left w:val="nil"/>
              <w:bottom w:val="nil"/>
              <w:right w:val="single" w:sz="8" w:space="0" w:color="000000"/>
            </w:tcBorders>
          </w:tcPr>
          <w:p w14:paraId="414068F2" w14:textId="77777777" w:rsidR="00740A72" w:rsidRPr="00D277A9" w:rsidRDefault="00740A72" w:rsidP="00654D21">
            <w:pPr>
              <w:pStyle w:val="TableParagraph"/>
              <w:keepNext/>
              <w:keepLines/>
              <w:adjustRightInd w:val="0"/>
              <w:snapToGrid w:val="0"/>
              <w:jc w:val="center"/>
              <w:rPr>
                <w:sz w:val="20"/>
                <w:szCs w:val="20"/>
                <w:lang w:val="fr-FR"/>
              </w:rPr>
            </w:pPr>
          </w:p>
        </w:tc>
      </w:tr>
      <w:tr w:rsidR="00740A72" w:rsidRPr="00D277A9" w14:paraId="585C6802" w14:textId="77777777" w:rsidTr="00654D21">
        <w:trPr>
          <w:cantSplit/>
        </w:trPr>
        <w:tc>
          <w:tcPr>
            <w:tcW w:w="4199" w:type="dxa"/>
            <w:vMerge/>
            <w:tcBorders>
              <w:left w:val="single" w:sz="8" w:space="0" w:color="000000"/>
              <w:right w:val="single" w:sz="8" w:space="0" w:color="000000"/>
            </w:tcBorders>
          </w:tcPr>
          <w:p w14:paraId="26F3AB6D" w14:textId="64CEEC69" w:rsidR="00740A72" w:rsidRPr="00D96E26" w:rsidRDefault="00740A72" w:rsidP="00654D21">
            <w:pPr>
              <w:pStyle w:val="TableParagraph"/>
              <w:adjustRightInd w:val="0"/>
              <w:snapToGrid w:val="0"/>
              <w:rPr>
                <w:sz w:val="20"/>
                <w:szCs w:val="20"/>
                <w:lang w:val="fr-FR"/>
              </w:rPr>
            </w:pPr>
          </w:p>
        </w:tc>
        <w:tc>
          <w:tcPr>
            <w:tcW w:w="2569" w:type="dxa"/>
            <w:tcBorders>
              <w:top w:val="nil"/>
              <w:left w:val="single" w:sz="8" w:space="0" w:color="000000"/>
              <w:bottom w:val="nil"/>
              <w:right w:val="nil"/>
            </w:tcBorders>
          </w:tcPr>
          <w:p w14:paraId="6D042F90" w14:textId="77777777" w:rsidR="00740A72" w:rsidRPr="00D96E26" w:rsidRDefault="00740A72" w:rsidP="00395C5B">
            <w:pPr>
              <w:pStyle w:val="TableParagraph"/>
              <w:adjustRightInd w:val="0"/>
              <w:snapToGrid w:val="0"/>
              <w:jc w:val="center"/>
              <w:rPr>
                <w:sz w:val="20"/>
                <w:szCs w:val="20"/>
                <w:lang w:val="fr-FR"/>
              </w:rPr>
            </w:pPr>
            <w:r w:rsidRPr="00D96E26">
              <w:rPr>
                <w:sz w:val="20"/>
                <w:szCs w:val="20"/>
                <w:lang w:val="fr-FR"/>
              </w:rPr>
              <w:t>5,4</w:t>
            </w:r>
          </w:p>
        </w:tc>
        <w:tc>
          <w:tcPr>
            <w:tcW w:w="2522" w:type="dxa"/>
            <w:tcBorders>
              <w:top w:val="nil"/>
              <w:left w:val="nil"/>
              <w:bottom w:val="nil"/>
              <w:right w:val="single" w:sz="8" w:space="0" w:color="000000"/>
            </w:tcBorders>
          </w:tcPr>
          <w:p w14:paraId="54A1A5A4" w14:textId="77777777" w:rsidR="00740A72" w:rsidRPr="00D277A9" w:rsidRDefault="00740A72" w:rsidP="005005D6">
            <w:pPr>
              <w:pStyle w:val="TableParagraph"/>
              <w:adjustRightInd w:val="0"/>
              <w:snapToGrid w:val="0"/>
              <w:jc w:val="center"/>
              <w:rPr>
                <w:sz w:val="20"/>
                <w:szCs w:val="20"/>
                <w:lang w:val="fr-FR"/>
              </w:rPr>
            </w:pPr>
            <w:r w:rsidRPr="00D277A9">
              <w:rPr>
                <w:sz w:val="20"/>
                <w:szCs w:val="20"/>
                <w:lang w:val="fr-FR"/>
              </w:rPr>
              <w:t>10,2</w:t>
            </w:r>
          </w:p>
        </w:tc>
      </w:tr>
      <w:tr w:rsidR="00740A72" w:rsidRPr="00D277A9" w14:paraId="7957CFFA" w14:textId="77777777" w:rsidTr="00654D21">
        <w:trPr>
          <w:cantSplit/>
        </w:trPr>
        <w:tc>
          <w:tcPr>
            <w:tcW w:w="4199" w:type="dxa"/>
            <w:vMerge/>
            <w:tcBorders>
              <w:left w:val="single" w:sz="8" w:space="0" w:color="000000"/>
              <w:right w:val="single" w:sz="8" w:space="0" w:color="000000"/>
            </w:tcBorders>
          </w:tcPr>
          <w:p w14:paraId="6C0EEFFD" w14:textId="5A324AA4" w:rsidR="00740A72" w:rsidRPr="00D96E26" w:rsidRDefault="00740A72" w:rsidP="00654D21">
            <w:pPr>
              <w:pStyle w:val="TableParagraph"/>
              <w:adjustRightInd w:val="0"/>
              <w:snapToGrid w:val="0"/>
              <w:rPr>
                <w:sz w:val="20"/>
                <w:szCs w:val="20"/>
                <w:lang w:val="fr-FR"/>
              </w:rPr>
            </w:pPr>
          </w:p>
        </w:tc>
        <w:tc>
          <w:tcPr>
            <w:tcW w:w="5091" w:type="dxa"/>
            <w:gridSpan w:val="2"/>
            <w:tcBorders>
              <w:top w:val="nil"/>
              <w:left w:val="single" w:sz="8" w:space="0" w:color="000000"/>
              <w:right w:val="single" w:sz="8" w:space="0" w:color="000000"/>
            </w:tcBorders>
          </w:tcPr>
          <w:p w14:paraId="14199FE5" w14:textId="77777777" w:rsidR="00740A72" w:rsidRPr="00D96E26" w:rsidRDefault="00740A72" w:rsidP="00395C5B">
            <w:pPr>
              <w:pStyle w:val="TableParagraph"/>
              <w:adjustRightInd w:val="0"/>
              <w:snapToGrid w:val="0"/>
              <w:jc w:val="center"/>
              <w:rPr>
                <w:sz w:val="20"/>
                <w:szCs w:val="20"/>
                <w:lang w:val="fr-FR"/>
              </w:rPr>
            </w:pPr>
            <w:r w:rsidRPr="00D96E26">
              <w:rPr>
                <w:sz w:val="20"/>
                <w:szCs w:val="20"/>
                <w:lang w:val="fr-FR"/>
              </w:rPr>
              <w:t>0,63</w:t>
            </w:r>
          </w:p>
          <w:p w14:paraId="3617C5B8" w14:textId="77777777" w:rsidR="00740A72" w:rsidRPr="00D96E26" w:rsidRDefault="00740A72" w:rsidP="00395C5B">
            <w:pPr>
              <w:pStyle w:val="TableParagraph"/>
              <w:adjustRightInd w:val="0"/>
              <w:snapToGrid w:val="0"/>
              <w:jc w:val="center"/>
              <w:rPr>
                <w:sz w:val="20"/>
                <w:szCs w:val="20"/>
                <w:lang w:val="fr-FR"/>
              </w:rPr>
            </w:pPr>
            <w:r w:rsidRPr="00D96E26">
              <w:rPr>
                <w:sz w:val="20"/>
                <w:szCs w:val="20"/>
                <w:lang w:val="fr-FR"/>
              </w:rPr>
              <w:t>0,52;0,75</w:t>
            </w:r>
          </w:p>
          <w:p w14:paraId="49090028" w14:textId="77777777" w:rsidR="00740A72" w:rsidRPr="00D96E26" w:rsidRDefault="00740A72" w:rsidP="00395C5B">
            <w:pPr>
              <w:pStyle w:val="TableParagraph"/>
              <w:adjustRightInd w:val="0"/>
              <w:snapToGrid w:val="0"/>
              <w:jc w:val="center"/>
              <w:rPr>
                <w:sz w:val="20"/>
                <w:szCs w:val="20"/>
                <w:lang w:val="fr-FR"/>
              </w:rPr>
            </w:pPr>
            <w:r w:rsidRPr="00D96E26">
              <w:rPr>
                <w:sz w:val="20"/>
                <w:szCs w:val="20"/>
                <w:lang w:val="fr-FR"/>
              </w:rPr>
              <w:t xml:space="preserve">(p </w:t>
            </w:r>
            <w:r w:rsidRPr="00D96E26">
              <w:rPr>
                <w:rFonts w:ascii="Symbol" w:hAnsi="Symbol"/>
                <w:sz w:val="20"/>
                <w:szCs w:val="20"/>
                <w:lang w:val="fr-FR"/>
              </w:rPr>
              <w:t></w:t>
            </w:r>
            <w:r w:rsidRPr="00D96E26">
              <w:rPr>
                <w:sz w:val="20"/>
                <w:szCs w:val="20"/>
                <w:lang w:val="fr-FR"/>
              </w:rPr>
              <w:t xml:space="preserve"> 0,0001)</w:t>
            </w:r>
          </w:p>
        </w:tc>
      </w:tr>
      <w:tr w:rsidR="004401F0" w:rsidRPr="00D277A9" w14:paraId="675A9FBF" w14:textId="77777777" w:rsidTr="00654D21">
        <w:trPr>
          <w:cantSplit/>
        </w:trPr>
        <w:tc>
          <w:tcPr>
            <w:tcW w:w="4199" w:type="dxa"/>
            <w:tcBorders>
              <w:left w:val="single" w:sz="8" w:space="0" w:color="000000"/>
              <w:bottom w:val="nil"/>
              <w:right w:val="single" w:sz="8" w:space="0" w:color="000000"/>
            </w:tcBorders>
          </w:tcPr>
          <w:p w14:paraId="38D294AB" w14:textId="77777777" w:rsidR="004401F0" w:rsidRPr="00D96E26" w:rsidRDefault="00DF3C4F" w:rsidP="00395C5B">
            <w:pPr>
              <w:pStyle w:val="TableParagraph"/>
              <w:adjustRightInd w:val="0"/>
              <w:snapToGrid w:val="0"/>
              <w:rPr>
                <w:sz w:val="20"/>
                <w:szCs w:val="20"/>
                <w:lang w:val="fr-FR"/>
              </w:rPr>
            </w:pPr>
            <w:r w:rsidRPr="00654D21">
              <w:rPr>
                <w:sz w:val="20"/>
                <w:szCs w:val="20"/>
                <w:lang w:val="fr-FR"/>
              </w:rPr>
              <w:t>Taux de réponse objective (%)</w:t>
            </w:r>
            <w:r w:rsidRPr="00D96E26">
              <w:rPr>
                <w:sz w:val="20"/>
                <w:szCs w:val="20"/>
                <w:lang w:val="fr-FR"/>
              </w:rPr>
              <w:t xml:space="preserve"> chez les patients ayant une lésion mesurable</w:t>
            </w:r>
          </w:p>
          <w:p w14:paraId="019E3EDD" w14:textId="16FF60E7" w:rsidR="004401F0" w:rsidRPr="00D96E26" w:rsidRDefault="00DF3C4F" w:rsidP="00395C5B">
            <w:pPr>
              <w:pStyle w:val="TableParagraph"/>
              <w:adjustRightInd w:val="0"/>
              <w:snapToGrid w:val="0"/>
              <w:rPr>
                <w:sz w:val="20"/>
                <w:szCs w:val="20"/>
                <w:lang w:val="fr-FR"/>
              </w:rPr>
            </w:pPr>
            <w:r w:rsidRPr="00D96E26">
              <w:rPr>
                <w:sz w:val="20"/>
                <w:szCs w:val="20"/>
                <w:lang w:val="fr-FR"/>
              </w:rPr>
              <w:t>n</w:t>
            </w:r>
          </w:p>
        </w:tc>
        <w:tc>
          <w:tcPr>
            <w:tcW w:w="2569" w:type="dxa"/>
            <w:tcBorders>
              <w:left w:val="single" w:sz="8" w:space="0" w:color="000000"/>
              <w:bottom w:val="nil"/>
              <w:right w:val="nil"/>
            </w:tcBorders>
          </w:tcPr>
          <w:p w14:paraId="2EDE567D" w14:textId="77777777" w:rsidR="004401F0" w:rsidRPr="00D96E26" w:rsidRDefault="004401F0" w:rsidP="00395C5B">
            <w:pPr>
              <w:pStyle w:val="TableParagraph"/>
              <w:adjustRightInd w:val="0"/>
              <w:snapToGrid w:val="0"/>
              <w:jc w:val="center"/>
              <w:rPr>
                <w:b/>
                <w:sz w:val="20"/>
                <w:szCs w:val="20"/>
                <w:lang w:val="fr-FR"/>
              </w:rPr>
            </w:pPr>
          </w:p>
          <w:p w14:paraId="22A8C7B7" w14:textId="77777777" w:rsidR="004401F0" w:rsidRPr="00D96E26" w:rsidRDefault="004401F0" w:rsidP="00395C5B">
            <w:pPr>
              <w:pStyle w:val="TableParagraph"/>
              <w:adjustRightInd w:val="0"/>
              <w:snapToGrid w:val="0"/>
              <w:jc w:val="center"/>
              <w:rPr>
                <w:b/>
                <w:sz w:val="20"/>
                <w:szCs w:val="20"/>
                <w:lang w:val="fr-FR"/>
              </w:rPr>
            </w:pPr>
          </w:p>
          <w:p w14:paraId="40026F57" w14:textId="77777777" w:rsidR="004401F0" w:rsidRPr="00D96E26" w:rsidRDefault="00DF3C4F" w:rsidP="00395C5B">
            <w:pPr>
              <w:pStyle w:val="TableParagraph"/>
              <w:adjustRightInd w:val="0"/>
              <w:snapToGrid w:val="0"/>
              <w:jc w:val="center"/>
              <w:rPr>
                <w:sz w:val="20"/>
                <w:szCs w:val="20"/>
                <w:lang w:val="fr-FR"/>
              </w:rPr>
            </w:pPr>
            <w:r w:rsidRPr="00D96E26">
              <w:rPr>
                <w:sz w:val="20"/>
                <w:szCs w:val="20"/>
                <w:lang w:val="fr-FR"/>
              </w:rPr>
              <w:t>289</w:t>
            </w:r>
          </w:p>
        </w:tc>
        <w:tc>
          <w:tcPr>
            <w:tcW w:w="2522" w:type="dxa"/>
            <w:tcBorders>
              <w:left w:val="nil"/>
              <w:bottom w:val="nil"/>
              <w:right w:val="single" w:sz="8" w:space="0" w:color="000000"/>
            </w:tcBorders>
          </w:tcPr>
          <w:p w14:paraId="3876331C" w14:textId="77777777" w:rsidR="004401F0" w:rsidRPr="00D277A9" w:rsidRDefault="004401F0" w:rsidP="005005D6">
            <w:pPr>
              <w:pStyle w:val="TableParagraph"/>
              <w:adjustRightInd w:val="0"/>
              <w:snapToGrid w:val="0"/>
              <w:jc w:val="center"/>
              <w:rPr>
                <w:b/>
                <w:sz w:val="20"/>
                <w:szCs w:val="20"/>
                <w:lang w:val="fr-FR"/>
              </w:rPr>
            </w:pPr>
          </w:p>
          <w:p w14:paraId="29939AE1" w14:textId="77777777" w:rsidR="004401F0" w:rsidRPr="00D277A9" w:rsidRDefault="004401F0" w:rsidP="005005D6">
            <w:pPr>
              <w:pStyle w:val="TableParagraph"/>
              <w:adjustRightInd w:val="0"/>
              <w:snapToGrid w:val="0"/>
              <w:jc w:val="center"/>
              <w:rPr>
                <w:b/>
                <w:sz w:val="20"/>
                <w:szCs w:val="20"/>
                <w:lang w:val="fr-FR"/>
              </w:rPr>
            </w:pPr>
          </w:p>
          <w:p w14:paraId="1EA97E2F" w14:textId="77777777" w:rsidR="004401F0" w:rsidRPr="00D277A9" w:rsidRDefault="00DF3C4F" w:rsidP="005005D6">
            <w:pPr>
              <w:pStyle w:val="TableParagraph"/>
              <w:adjustRightInd w:val="0"/>
              <w:snapToGrid w:val="0"/>
              <w:jc w:val="center"/>
              <w:rPr>
                <w:sz w:val="20"/>
                <w:szCs w:val="20"/>
                <w:lang w:val="fr-FR"/>
              </w:rPr>
            </w:pPr>
            <w:r w:rsidRPr="00D277A9">
              <w:rPr>
                <w:sz w:val="20"/>
                <w:szCs w:val="20"/>
                <w:lang w:val="fr-FR"/>
              </w:rPr>
              <w:t>306</w:t>
            </w:r>
          </w:p>
        </w:tc>
      </w:tr>
      <w:tr w:rsidR="004401F0" w:rsidRPr="00D277A9" w14:paraId="62C0A3C1" w14:textId="77777777" w:rsidTr="00654D21">
        <w:trPr>
          <w:cantSplit/>
        </w:trPr>
        <w:tc>
          <w:tcPr>
            <w:tcW w:w="4199" w:type="dxa"/>
            <w:tcBorders>
              <w:top w:val="nil"/>
              <w:left w:val="single" w:sz="8" w:space="0" w:color="000000"/>
              <w:bottom w:val="nil"/>
              <w:right w:val="single" w:sz="8" w:space="0" w:color="000000"/>
            </w:tcBorders>
          </w:tcPr>
          <w:p w14:paraId="1AAF57F4" w14:textId="77777777" w:rsidR="004401F0" w:rsidRPr="00D96E26" w:rsidRDefault="00DF3C4F" w:rsidP="00654D21">
            <w:pPr>
              <w:pStyle w:val="TableParagraph"/>
              <w:adjustRightInd w:val="0"/>
              <w:snapToGrid w:val="0"/>
              <w:rPr>
                <w:sz w:val="20"/>
                <w:szCs w:val="20"/>
                <w:lang w:val="fr-FR"/>
              </w:rPr>
            </w:pPr>
            <w:r w:rsidRPr="00D96E26">
              <w:rPr>
                <w:sz w:val="20"/>
                <w:szCs w:val="20"/>
                <w:lang w:val="fr-FR"/>
              </w:rPr>
              <w:t>Taux de réponse</w:t>
            </w:r>
          </w:p>
        </w:tc>
        <w:tc>
          <w:tcPr>
            <w:tcW w:w="2569" w:type="dxa"/>
            <w:tcBorders>
              <w:top w:val="nil"/>
              <w:left w:val="single" w:sz="8" w:space="0" w:color="000000"/>
              <w:bottom w:val="nil"/>
              <w:right w:val="nil"/>
            </w:tcBorders>
          </w:tcPr>
          <w:p w14:paraId="53CDDEE4" w14:textId="77777777" w:rsidR="004401F0" w:rsidRPr="00D96E26" w:rsidRDefault="00DF3C4F" w:rsidP="00395C5B">
            <w:pPr>
              <w:pStyle w:val="TableParagraph"/>
              <w:adjustRightInd w:val="0"/>
              <w:snapToGrid w:val="0"/>
              <w:jc w:val="center"/>
              <w:rPr>
                <w:sz w:val="20"/>
                <w:szCs w:val="20"/>
                <w:lang w:val="fr-FR"/>
              </w:rPr>
            </w:pPr>
            <w:r w:rsidRPr="00D96E26">
              <w:rPr>
                <w:sz w:val="20"/>
                <w:szCs w:val="20"/>
                <w:lang w:val="fr-FR"/>
              </w:rPr>
              <w:t>12,8 %</w:t>
            </w:r>
          </w:p>
        </w:tc>
        <w:tc>
          <w:tcPr>
            <w:tcW w:w="2522" w:type="dxa"/>
            <w:tcBorders>
              <w:top w:val="nil"/>
              <w:left w:val="nil"/>
              <w:bottom w:val="nil"/>
              <w:right w:val="single" w:sz="8" w:space="0" w:color="000000"/>
            </w:tcBorders>
          </w:tcPr>
          <w:p w14:paraId="1BECB3F6" w14:textId="77777777" w:rsidR="004401F0" w:rsidRPr="00D277A9" w:rsidRDefault="00DF3C4F" w:rsidP="005005D6">
            <w:pPr>
              <w:pStyle w:val="TableParagraph"/>
              <w:adjustRightInd w:val="0"/>
              <w:snapToGrid w:val="0"/>
              <w:jc w:val="center"/>
              <w:rPr>
                <w:sz w:val="20"/>
                <w:szCs w:val="20"/>
                <w:lang w:val="fr-FR"/>
              </w:rPr>
            </w:pPr>
            <w:r w:rsidRPr="00D277A9">
              <w:rPr>
                <w:sz w:val="20"/>
                <w:szCs w:val="20"/>
                <w:lang w:val="fr-FR"/>
              </w:rPr>
              <w:t>31,4 %</w:t>
            </w:r>
          </w:p>
        </w:tc>
      </w:tr>
      <w:tr w:rsidR="004401F0" w:rsidRPr="00D277A9" w14:paraId="0DFEC310" w14:textId="77777777" w:rsidTr="005005D6">
        <w:trPr>
          <w:cantSplit/>
        </w:trPr>
        <w:tc>
          <w:tcPr>
            <w:tcW w:w="4199" w:type="dxa"/>
            <w:tcBorders>
              <w:top w:val="nil"/>
              <w:left w:val="single" w:sz="8" w:space="0" w:color="000000"/>
              <w:right w:val="single" w:sz="8" w:space="0" w:color="000000"/>
            </w:tcBorders>
          </w:tcPr>
          <w:p w14:paraId="13571695" w14:textId="77777777" w:rsidR="004401F0" w:rsidRPr="00D96E26" w:rsidRDefault="004401F0" w:rsidP="00395C5B">
            <w:pPr>
              <w:pStyle w:val="TableParagraph"/>
              <w:adjustRightInd w:val="0"/>
              <w:snapToGrid w:val="0"/>
              <w:rPr>
                <w:sz w:val="20"/>
                <w:szCs w:val="20"/>
                <w:lang w:val="fr-FR"/>
              </w:rPr>
            </w:pPr>
          </w:p>
        </w:tc>
        <w:tc>
          <w:tcPr>
            <w:tcW w:w="5091" w:type="dxa"/>
            <w:gridSpan w:val="2"/>
            <w:tcBorders>
              <w:top w:val="nil"/>
              <w:left w:val="single" w:sz="8" w:space="0" w:color="000000"/>
              <w:right w:val="single" w:sz="8" w:space="0" w:color="000000"/>
            </w:tcBorders>
          </w:tcPr>
          <w:p w14:paraId="0F0A0216" w14:textId="77777777" w:rsidR="004401F0" w:rsidRPr="00D96E26" w:rsidRDefault="00DF3C4F" w:rsidP="00395C5B">
            <w:pPr>
              <w:pStyle w:val="TableParagraph"/>
              <w:adjustRightInd w:val="0"/>
              <w:snapToGrid w:val="0"/>
              <w:jc w:val="center"/>
              <w:rPr>
                <w:sz w:val="20"/>
                <w:szCs w:val="20"/>
                <w:lang w:val="fr-FR"/>
              </w:rPr>
            </w:pPr>
            <w:r w:rsidRPr="00D96E26">
              <w:rPr>
                <w:sz w:val="20"/>
                <w:szCs w:val="20"/>
                <w:lang w:val="fr-FR"/>
              </w:rPr>
              <w:t xml:space="preserve">(valeur du p </w:t>
            </w:r>
            <w:r w:rsidRPr="00D96E26">
              <w:rPr>
                <w:rFonts w:ascii="Symbol" w:hAnsi="Symbol"/>
                <w:sz w:val="20"/>
                <w:szCs w:val="20"/>
                <w:lang w:val="fr-FR"/>
              </w:rPr>
              <w:t></w:t>
            </w:r>
            <w:r w:rsidRPr="00D96E26">
              <w:rPr>
                <w:sz w:val="20"/>
                <w:szCs w:val="20"/>
                <w:lang w:val="fr-FR"/>
              </w:rPr>
              <w:t xml:space="preserve"> </w:t>
            </w:r>
            <w:r w:rsidRPr="00D96E26">
              <w:rPr>
                <w:rFonts w:ascii="Symbol" w:hAnsi="Symbol"/>
                <w:sz w:val="20"/>
                <w:szCs w:val="20"/>
                <w:lang w:val="fr-FR"/>
              </w:rPr>
              <w:t></w:t>
            </w:r>
            <w:r w:rsidRPr="00D96E26">
              <w:rPr>
                <w:rFonts w:ascii="Symbol" w:hAnsi="Symbol"/>
                <w:sz w:val="20"/>
                <w:szCs w:val="20"/>
                <w:lang w:val="fr-FR"/>
              </w:rPr>
              <w:t></w:t>
            </w:r>
            <w:r w:rsidRPr="00D96E26">
              <w:rPr>
                <w:rFonts w:ascii="Symbol" w:hAnsi="Symbol"/>
                <w:sz w:val="20"/>
                <w:szCs w:val="20"/>
                <w:lang w:val="fr-FR"/>
              </w:rPr>
              <w:t></w:t>
            </w:r>
            <w:r w:rsidRPr="00D96E26">
              <w:rPr>
                <w:rFonts w:ascii="Symbol" w:hAnsi="Symbol"/>
                <w:sz w:val="20"/>
                <w:szCs w:val="20"/>
                <w:lang w:val="fr-FR"/>
              </w:rPr>
              <w:t></w:t>
            </w:r>
            <w:r w:rsidRPr="00D96E26">
              <w:rPr>
                <w:rFonts w:ascii="Symbol" w:hAnsi="Symbol"/>
                <w:sz w:val="20"/>
                <w:szCs w:val="20"/>
                <w:lang w:val="fr-FR"/>
              </w:rPr>
              <w:t></w:t>
            </w:r>
            <w:r w:rsidRPr="00D96E26">
              <w:rPr>
                <w:rFonts w:ascii="Symbol" w:hAnsi="Symbol"/>
                <w:sz w:val="20"/>
                <w:szCs w:val="20"/>
                <w:lang w:val="fr-FR"/>
              </w:rPr>
              <w:t></w:t>
            </w:r>
            <w:r w:rsidRPr="00D96E26">
              <w:rPr>
                <w:sz w:val="20"/>
                <w:szCs w:val="20"/>
                <w:lang w:val="fr-FR"/>
              </w:rPr>
              <w:t>)</w:t>
            </w:r>
          </w:p>
        </w:tc>
      </w:tr>
      <w:tr w:rsidR="004401F0" w:rsidRPr="00D277A9" w14:paraId="0554BC5E" w14:textId="77777777" w:rsidTr="005005D6">
        <w:trPr>
          <w:cantSplit/>
        </w:trPr>
        <w:tc>
          <w:tcPr>
            <w:tcW w:w="4210" w:type="dxa"/>
            <w:tcBorders>
              <w:bottom w:val="nil"/>
            </w:tcBorders>
          </w:tcPr>
          <w:p w14:paraId="018DF1B7" w14:textId="77777777" w:rsidR="004401F0" w:rsidRPr="00D96E26" w:rsidRDefault="00DF3C4F" w:rsidP="00395C5B">
            <w:pPr>
              <w:pStyle w:val="TableParagraph"/>
              <w:adjustRightInd w:val="0"/>
              <w:snapToGrid w:val="0"/>
              <w:rPr>
                <w:sz w:val="20"/>
                <w:szCs w:val="20"/>
                <w:lang w:val="fr-FR"/>
              </w:rPr>
            </w:pPr>
            <w:r w:rsidRPr="00654D21">
              <w:rPr>
                <w:sz w:val="20"/>
                <w:szCs w:val="20"/>
                <w:lang w:val="fr-FR"/>
              </w:rPr>
              <w:t>Survie globale</w:t>
            </w:r>
          </w:p>
        </w:tc>
        <w:tc>
          <w:tcPr>
            <w:tcW w:w="2605" w:type="dxa"/>
            <w:tcBorders>
              <w:bottom w:val="nil"/>
              <w:right w:val="nil"/>
            </w:tcBorders>
          </w:tcPr>
          <w:p w14:paraId="3D7EB619" w14:textId="77777777" w:rsidR="004401F0" w:rsidRPr="00D277A9" w:rsidRDefault="004401F0" w:rsidP="005005D6">
            <w:pPr>
              <w:pStyle w:val="TableParagraph"/>
              <w:adjustRightInd w:val="0"/>
              <w:snapToGrid w:val="0"/>
              <w:jc w:val="center"/>
              <w:rPr>
                <w:sz w:val="20"/>
                <w:szCs w:val="20"/>
                <w:lang w:val="fr-FR"/>
              </w:rPr>
            </w:pPr>
          </w:p>
        </w:tc>
        <w:tc>
          <w:tcPr>
            <w:tcW w:w="2475" w:type="dxa"/>
            <w:tcBorders>
              <w:left w:val="nil"/>
              <w:bottom w:val="nil"/>
            </w:tcBorders>
          </w:tcPr>
          <w:p w14:paraId="411CB4E6" w14:textId="77777777" w:rsidR="004401F0" w:rsidRPr="00D277A9" w:rsidRDefault="004401F0" w:rsidP="005005D6">
            <w:pPr>
              <w:pStyle w:val="TableParagraph"/>
              <w:adjustRightInd w:val="0"/>
              <w:snapToGrid w:val="0"/>
              <w:jc w:val="center"/>
              <w:rPr>
                <w:sz w:val="20"/>
                <w:szCs w:val="20"/>
                <w:lang w:val="fr-FR"/>
              </w:rPr>
            </w:pPr>
          </w:p>
        </w:tc>
      </w:tr>
      <w:tr w:rsidR="004401F0" w:rsidRPr="00D277A9" w14:paraId="4F06468C" w14:textId="77777777" w:rsidTr="005005D6">
        <w:trPr>
          <w:cantSplit/>
        </w:trPr>
        <w:tc>
          <w:tcPr>
            <w:tcW w:w="4210" w:type="dxa"/>
            <w:tcBorders>
              <w:top w:val="nil"/>
              <w:bottom w:val="nil"/>
            </w:tcBorders>
          </w:tcPr>
          <w:p w14:paraId="1ECB0957" w14:textId="77777777" w:rsidR="004401F0" w:rsidRPr="00D96E26" w:rsidRDefault="00DF3C4F" w:rsidP="00654D21">
            <w:pPr>
              <w:pStyle w:val="TableParagraph"/>
              <w:adjustRightInd w:val="0"/>
              <w:snapToGrid w:val="0"/>
              <w:rPr>
                <w:sz w:val="20"/>
                <w:szCs w:val="20"/>
                <w:lang w:val="fr-FR"/>
              </w:rPr>
            </w:pPr>
            <w:r w:rsidRPr="00D96E26">
              <w:rPr>
                <w:sz w:val="20"/>
                <w:szCs w:val="20"/>
                <w:lang w:val="fr-FR"/>
              </w:rPr>
              <w:t>Médiane (mois)</w:t>
            </w:r>
          </w:p>
        </w:tc>
        <w:tc>
          <w:tcPr>
            <w:tcW w:w="2605" w:type="dxa"/>
            <w:tcBorders>
              <w:top w:val="nil"/>
              <w:bottom w:val="nil"/>
              <w:right w:val="nil"/>
            </w:tcBorders>
          </w:tcPr>
          <w:p w14:paraId="6E320201" w14:textId="77777777" w:rsidR="004401F0" w:rsidRPr="00D277A9" w:rsidRDefault="00DF3C4F" w:rsidP="005005D6">
            <w:pPr>
              <w:pStyle w:val="TableParagraph"/>
              <w:adjustRightInd w:val="0"/>
              <w:snapToGrid w:val="0"/>
              <w:jc w:val="center"/>
              <w:rPr>
                <w:sz w:val="20"/>
                <w:szCs w:val="20"/>
                <w:lang w:val="fr-FR"/>
              </w:rPr>
            </w:pPr>
            <w:r w:rsidRPr="00D277A9">
              <w:rPr>
                <w:sz w:val="20"/>
                <w:szCs w:val="20"/>
                <w:lang w:val="fr-FR"/>
              </w:rPr>
              <w:t>21,3</w:t>
            </w:r>
          </w:p>
        </w:tc>
        <w:tc>
          <w:tcPr>
            <w:tcW w:w="2475" w:type="dxa"/>
            <w:tcBorders>
              <w:top w:val="nil"/>
              <w:left w:val="nil"/>
              <w:bottom w:val="nil"/>
            </w:tcBorders>
          </w:tcPr>
          <w:p w14:paraId="0F83D16F" w14:textId="77777777" w:rsidR="004401F0" w:rsidRPr="00D277A9" w:rsidRDefault="00DF3C4F" w:rsidP="005005D6">
            <w:pPr>
              <w:pStyle w:val="TableParagraph"/>
              <w:adjustRightInd w:val="0"/>
              <w:snapToGrid w:val="0"/>
              <w:jc w:val="center"/>
              <w:rPr>
                <w:sz w:val="20"/>
                <w:szCs w:val="20"/>
                <w:lang w:val="fr-FR"/>
              </w:rPr>
            </w:pPr>
            <w:r w:rsidRPr="00D277A9">
              <w:rPr>
                <w:sz w:val="20"/>
                <w:szCs w:val="20"/>
                <w:lang w:val="fr-FR"/>
              </w:rPr>
              <w:t>23,3</w:t>
            </w:r>
          </w:p>
        </w:tc>
      </w:tr>
      <w:tr w:rsidR="004401F0" w:rsidRPr="00D277A9" w14:paraId="37856A1D" w14:textId="77777777" w:rsidTr="005005D6">
        <w:trPr>
          <w:cantSplit/>
        </w:trPr>
        <w:tc>
          <w:tcPr>
            <w:tcW w:w="4210" w:type="dxa"/>
            <w:tcBorders>
              <w:top w:val="nil"/>
            </w:tcBorders>
          </w:tcPr>
          <w:p w14:paraId="1C7CE0F1" w14:textId="77777777" w:rsidR="00A71A17" w:rsidRDefault="00DF3C4F" w:rsidP="00654D21">
            <w:pPr>
              <w:pStyle w:val="TableParagraph"/>
              <w:adjustRightInd w:val="0"/>
              <w:snapToGrid w:val="0"/>
              <w:rPr>
                <w:sz w:val="20"/>
                <w:szCs w:val="20"/>
                <w:lang w:val="fr-FR"/>
              </w:rPr>
            </w:pPr>
            <w:r w:rsidRPr="00D96E26">
              <w:rPr>
                <w:sz w:val="20"/>
                <w:szCs w:val="20"/>
                <w:lang w:val="fr-FR"/>
              </w:rPr>
              <w:t xml:space="preserve">Risque relatif (Hazard ratio) </w:t>
            </w:r>
          </w:p>
          <w:p w14:paraId="3ECD3DAE" w14:textId="6CC6AA37" w:rsidR="004401F0" w:rsidRPr="00D96E26" w:rsidRDefault="00DF3C4F" w:rsidP="00654D21">
            <w:pPr>
              <w:pStyle w:val="TableParagraph"/>
              <w:adjustRightInd w:val="0"/>
              <w:snapToGrid w:val="0"/>
              <w:rPr>
                <w:sz w:val="20"/>
                <w:szCs w:val="20"/>
                <w:lang w:val="fr-FR"/>
              </w:rPr>
            </w:pPr>
            <w:r w:rsidRPr="00D96E26">
              <w:rPr>
                <w:sz w:val="20"/>
                <w:szCs w:val="20"/>
                <w:lang w:val="fr-FR"/>
              </w:rPr>
              <w:t>Intervalle de confiance</w:t>
            </w:r>
            <w:r w:rsidR="0092186A" w:rsidRPr="00D96E26">
              <w:rPr>
                <w:sz w:val="20"/>
                <w:szCs w:val="20"/>
                <w:lang w:val="fr-FR"/>
              </w:rPr>
              <w:t xml:space="preserve"> à</w:t>
            </w:r>
            <w:r w:rsidRPr="00D96E26">
              <w:rPr>
                <w:sz w:val="20"/>
                <w:szCs w:val="20"/>
                <w:lang w:val="fr-FR"/>
              </w:rPr>
              <w:t xml:space="preserve"> 95 %</w:t>
            </w:r>
          </w:p>
        </w:tc>
        <w:tc>
          <w:tcPr>
            <w:tcW w:w="5080" w:type="dxa"/>
            <w:gridSpan w:val="2"/>
            <w:tcBorders>
              <w:top w:val="nil"/>
            </w:tcBorders>
          </w:tcPr>
          <w:p w14:paraId="62C4075D" w14:textId="77777777" w:rsidR="004401F0" w:rsidRPr="00D277A9" w:rsidRDefault="00DF3C4F" w:rsidP="005005D6">
            <w:pPr>
              <w:pStyle w:val="TableParagraph"/>
              <w:adjustRightInd w:val="0"/>
              <w:snapToGrid w:val="0"/>
              <w:jc w:val="center"/>
              <w:rPr>
                <w:sz w:val="20"/>
                <w:szCs w:val="20"/>
                <w:lang w:val="fr-FR"/>
              </w:rPr>
            </w:pPr>
            <w:r w:rsidRPr="00D277A9">
              <w:rPr>
                <w:sz w:val="20"/>
                <w:szCs w:val="20"/>
                <w:lang w:val="fr-FR"/>
              </w:rPr>
              <w:t>0,91</w:t>
            </w:r>
          </w:p>
          <w:p w14:paraId="155B5BBF" w14:textId="5E3534FD" w:rsidR="004401F0" w:rsidRPr="00D277A9" w:rsidRDefault="00DF3C4F" w:rsidP="005005D6">
            <w:pPr>
              <w:pStyle w:val="TableParagraph"/>
              <w:adjustRightInd w:val="0"/>
              <w:snapToGrid w:val="0"/>
              <w:jc w:val="center"/>
              <w:rPr>
                <w:sz w:val="20"/>
                <w:szCs w:val="20"/>
                <w:lang w:val="fr-FR"/>
              </w:rPr>
            </w:pPr>
            <w:r w:rsidRPr="00D277A9">
              <w:rPr>
                <w:sz w:val="20"/>
                <w:szCs w:val="20"/>
                <w:lang w:val="fr-FR"/>
              </w:rPr>
              <w:t>0,76</w:t>
            </w:r>
            <w:r w:rsidR="00881CB8">
              <w:rPr>
                <w:sz w:val="20"/>
                <w:szCs w:val="20"/>
                <w:lang w:val="fr-FR"/>
              </w:rPr>
              <w:t xml:space="preserve"> ; </w:t>
            </w:r>
            <w:r w:rsidRPr="00D277A9">
              <w:rPr>
                <w:sz w:val="20"/>
                <w:szCs w:val="20"/>
                <w:lang w:val="fr-FR"/>
              </w:rPr>
              <w:t>1,10</w:t>
            </w:r>
          </w:p>
          <w:p w14:paraId="6CDB6382" w14:textId="77777777" w:rsidR="004401F0" w:rsidRPr="00D277A9" w:rsidRDefault="00DF3C4F" w:rsidP="005005D6">
            <w:pPr>
              <w:pStyle w:val="TableParagraph"/>
              <w:adjustRightInd w:val="0"/>
              <w:snapToGrid w:val="0"/>
              <w:jc w:val="center"/>
              <w:rPr>
                <w:sz w:val="20"/>
                <w:szCs w:val="20"/>
                <w:lang w:val="fr-FR"/>
              </w:rPr>
            </w:pPr>
            <w:r w:rsidRPr="00D277A9">
              <w:rPr>
                <w:sz w:val="20"/>
                <w:szCs w:val="20"/>
                <w:lang w:val="fr-FR"/>
              </w:rPr>
              <w:t>(valeur du p = 0,3360)</w:t>
            </w:r>
          </w:p>
        </w:tc>
      </w:tr>
    </w:tbl>
    <w:p w14:paraId="1444A5FE" w14:textId="77777777" w:rsidR="00D277A9" w:rsidRPr="00DA7718" w:rsidRDefault="00D277A9" w:rsidP="00D277A9">
      <w:pPr>
        <w:adjustRightInd w:val="0"/>
        <w:snapToGrid w:val="0"/>
        <w:rPr>
          <w:sz w:val="20"/>
          <w:lang w:val="fr-FR"/>
        </w:rPr>
      </w:pPr>
      <w:r w:rsidRPr="00DA7718">
        <w:rPr>
          <w:sz w:val="20"/>
          <w:vertAlign w:val="superscript"/>
          <w:lang w:val="fr-FR"/>
        </w:rPr>
        <w:t>a</w:t>
      </w:r>
      <w:r w:rsidRPr="00DA7718">
        <w:rPr>
          <w:sz w:val="20"/>
          <w:lang w:val="fr-FR"/>
        </w:rPr>
        <w:t xml:space="preserve"> Interféron alfa-2a 9 MUI 3x/semaine</w:t>
      </w:r>
    </w:p>
    <w:p w14:paraId="28A0B161" w14:textId="77777777" w:rsidR="00D277A9" w:rsidRPr="00DA7718" w:rsidRDefault="00D277A9" w:rsidP="00D277A9">
      <w:pPr>
        <w:adjustRightInd w:val="0"/>
        <w:snapToGrid w:val="0"/>
        <w:rPr>
          <w:sz w:val="20"/>
          <w:lang w:val="fr-FR"/>
        </w:rPr>
      </w:pPr>
      <w:r w:rsidRPr="00DA7718">
        <w:rPr>
          <w:sz w:val="20"/>
          <w:vertAlign w:val="superscript"/>
          <w:lang w:val="fr-FR"/>
        </w:rPr>
        <w:t>b</w:t>
      </w:r>
      <w:r w:rsidRPr="00DA7718">
        <w:rPr>
          <w:sz w:val="20"/>
          <w:lang w:val="fr-FR"/>
        </w:rPr>
        <w:t xml:space="preserve"> Bevacizumab 10 mg/kg toutes les 2 semaines</w:t>
      </w:r>
    </w:p>
    <w:p w14:paraId="37C1A13E" w14:textId="77777777" w:rsidR="004401F0" w:rsidRPr="007C119A" w:rsidRDefault="004401F0" w:rsidP="00BD4C7C">
      <w:pPr>
        <w:pStyle w:val="a3"/>
        <w:adjustRightInd w:val="0"/>
        <w:snapToGrid w:val="0"/>
        <w:rPr>
          <w:lang w:val="fr-FR"/>
        </w:rPr>
      </w:pPr>
    </w:p>
    <w:p w14:paraId="1A539A8C" w14:textId="5083F286" w:rsidR="004401F0" w:rsidRPr="00DA7718" w:rsidRDefault="00DF3C4F" w:rsidP="00BD4C7C">
      <w:pPr>
        <w:pStyle w:val="a3"/>
        <w:adjustRightInd w:val="0"/>
        <w:snapToGrid w:val="0"/>
        <w:rPr>
          <w:lang w:val="fr-FR"/>
        </w:rPr>
      </w:pPr>
      <w:r w:rsidRPr="00DA7718">
        <w:rPr>
          <w:lang w:val="fr-FR"/>
        </w:rPr>
        <w:t>Un modèle exploratoire de régression multivariée de Cox utilisant une méthode de sélection pas à pas (backward) a identifié des facteurs pronostiques à l’inclusion qui étaient fortement associés à la survie indépendamment du traitement</w:t>
      </w:r>
      <w:r w:rsidR="00765A43">
        <w:rPr>
          <w:lang w:val="fr-FR"/>
        </w:rPr>
        <w:t xml:space="preserve"> : </w:t>
      </w:r>
      <w:r w:rsidRPr="00DA7718">
        <w:rPr>
          <w:lang w:val="fr-FR"/>
        </w:rPr>
        <w:t xml:space="preserve">sexe, nombre de leucocytes, plaquettes, perte de poids dans les </w:t>
      </w:r>
      <w:r w:rsidR="002D2805" w:rsidRPr="00DA7718">
        <w:rPr>
          <w:lang w:val="fr-FR"/>
        </w:rPr>
        <w:t>6</w:t>
      </w:r>
      <w:r w:rsidR="002D2805">
        <w:rPr>
          <w:lang w:val="fr-FR"/>
        </w:rPr>
        <w:t> </w:t>
      </w:r>
      <w:r w:rsidRPr="00DA7718">
        <w:rPr>
          <w:lang w:val="fr-FR"/>
        </w:rPr>
        <w:t>mois précédant l’entrée dans l’étude, nombre de site métastatiques, somme des plus grands diamètres des lésions cibles, score de Motzer. L’ajustement de ces facteurs à l’inclusion a conduit à un risque relatif pour le traitement de 0,78 (IC 95</w:t>
      </w:r>
      <w:r w:rsidR="00AF3AAA">
        <w:rPr>
          <w:lang w:val="fr-FR"/>
        </w:rPr>
        <w:t xml:space="preserve"> % </w:t>
      </w:r>
      <w:r w:rsidRPr="00DA7718">
        <w:rPr>
          <w:lang w:val="fr-FR"/>
        </w:rPr>
        <w:t>[0,63</w:t>
      </w:r>
      <w:r w:rsidR="00881CB8">
        <w:rPr>
          <w:lang w:val="fr-FR"/>
        </w:rPr>
        <w:t xml:space="preserve"> ; </w:t>
      </w:r>
      <w:r w:rsidRPr="00DA7718">
        <w:rPr>
          <w:lang w:val="fr-FR"/>
        </w:rPr>
        <w:t>0,96], p = 0,0219), indiquant une réduction du risque de décès de 22</w:t>
      </w:r>
      <w:r w:rsidR="00AF3AAA">
        <w:rPr>
          <w:lang w:val="fr-FR"/>
        </w:rPr>
        <w:t xml:space="preserve"> % </w:t>
      </w:r>
      <w:r w:rsidRPr="00DA7718">
        <w:rPr>
          <w:lang w:val="fr-FR"/>
        </w:rPr>
        <w:t xml:space="preserve">dans le bras </w:t>
      </w:r>
      <w:r w:rsidR="00F20797">
        <w:rPr>
          <w:lang w:val="fr-FR"/>
        </w:rPr>
        <w:t>bevacizumab</w:t>
      </w:r>
      <w:r w:rsidR="00F20797" w:rsidRPr="00DA7718">
        <w:rPr>
          <w:lang w:val="fr-FR"/>
        </w:rPr>
        <w:t xml:space="preserve"> </w:t>
      </w:r>
      <w:r w:rsidRPr="00DA7718">
        <w:rPr>
          <w:lang w:val="fr-FR"/>
        </w:rPr>
        <w:t>+ IFN alpha-2a comparé au bras IFN alpha-2a.</w:t>
      </w:r>
    </w:p>
    <w:p w14:paraId="145CAA3B" w14:textId="77777777" w:rsidR="004401F0" w:rsidRPr="00DA7718" w:rsidRDefault="004401F0" w:rsidP="00BD4C7C">
      <w:pPr>
        <w:pStyle w:val="a3"/>
        <w:adjustRightInd w:val="0"/>
        <w:snapToGrid w:val="0"/>
        <w:rPr>
          <w:lang w:val="fr-FR"/>
        </w:rPr>
      </w:pPr>
    </w:p>
    <w:p w14:paraId="41FB43D8" w14:textId="7477AFF3" w:rsidR="004401F0" w:rsidRPr="00DA7718" w:rsidRDefault="00DF3C4F" w:rsidP="00BD4C7C">
      <w:pPr>
        <w:pStyle w:val="a3"/>
        <w:adjustRightInd w:val="0"/>
        <w:snapToGrid w:val="0"/>
        <w:rPr>
          <w:lang w:val="fr-FR"/>
        </w:rPr>
      </w:pPr>
      <w:r w:rsidRPr="00DA7718">
        <w:rPr>
          <w:lang w:val="fr-FR"/>
        </w:rPr>
        <w:t xml:space="preserve">Comme pré-spécifié dans le protocole, la dose d’IFN alpha-2a a été réduite de 9 MUI à 6 MUI, ou </w:t>
      </w:r>
      <w:r w:rsidR="002D2805" w:rsidRPr="00DA7718">
        <w:rPr>
          <w:lang w:val="fr-FR"/>
        </w:rPr>
        <w:t>3</w:t>
      </w:r>
      <w:r w:rsidR="002D2805">
        <w:rPr>
          <w:lang w:val="fr-FR"/>
        </w:rPr>
        <w:t> </w:t>
      </w:r>
      <w:r w:rsidRPr="00DA7718">
        <w:rPr>
          <w:lang w:val="fr-FR"/>
        </w:rPr>
        <w:t xml:space="preserve">MUI trois fois par semaine chez 97 patients du groupe IFN alpha-2a et 131 patients du groupe </w:t>
      </w:r>
      <w:r w:rsidR="00F20797">
        <w:rPr>
          <w:lang w:val="fr-FR"/>
        </w:rPr>
        <w:t>bevacizumab</w:t>
      </w:r>
      <w:r w:rsidRPr="00DA7718">
        <w:rPr>
          <w:lang w:val="fr-FR"/>
        </w:rPr>
        <w:t xml:space="preserve">. D’après le taux de survie sans progression de la maladie au cours du temps, cette réduction de la dose d’IFN alpha-2a ne semble pas avoir eu d’effet sur l’efficacité de l’association </w:t>
      </w:r>
      <w:r w:rsidR="00F20797">
        <w:rPr>
          <w:lang w:val="fr-FR"/>
        </w:rPr>
        <w:t>bevacizumab</w:t>
      </w:r>
      <w:r w:rsidRPr="00DA7718">
        <w:rPr>
          <w:lang w:val="fr-FR"/>
        </w:rPr>
        <w:t xml:space="preserve"> et IFN alpha-2a, comme démontré par l’analyse en sous-groupe. Les 131 patients du groupe </w:t>
      </w:r>
      <w:r w:rsidR="00F20797">
        <w:rPr>
          <w:lang w:val="fr-FR"/>
        </w:rPr>
        <w:t>bevacizumab</w:t>
      </w:r>
      <w:r w:rsidRPr="00DA7718">
        <w:rPr>
          <w:lang w:val="fr-FR"/>
        </w:rPr>
        <w:t xml:space="preserve"> + IFN alpha-2a ayant reçu une dose d’IFN alpha-2a réduite et maintenue à 6 ou </w:t>
      </w:r>
      <w:r w:rsidR="002D2805" w:rsidRPr="00DA7718">
        <w:rPr>
          <w:lang w:val="fr-FR"/>
        </w:rPr>
        <w:t>3</w:t>
      </w:r>
      <w:r w:rsidR="002D2805">
        <w:rPr>
          <w:lang w:val="fr-FR"/>
        </w:rPr>
        <w:t> </w:t>
      </w:r>
      <w:r w:rsidRPr="00DA7718">
        <w:rPr>
          <w:lang w:val="fr-FR"/>
        </w:rPr>
        <w:t>MUI, ont présenté un taux de survie sans progression de la maladie à 6, 12 et 18 mois de respectivement 73, 52 et 21 %, comparés à 61, 43 et 17</w:t>
      </w:r>
      <w:r w:rsidR="00AF3AAA">
        <w:rPr>
          <w:lang w:val="fr-FR"/>
        </w:rPr>
        <w:t xml:space="preserve"> % </w:t>
      </w:r>
      <w:r w:rsidRPr="00DA7718">
        <w:rPr>
          <w:lang w:val="fr-FR"/>
        </w:rPr>
        <w:t xml:space="preserve">dans la population totale des patients ayant été traités par </w:t>
      </w:r>
      <w:r w:rsidR="00F20797">
        <w:rPr>
          <w:lang w:val="fr-FR"/>
        </w:rPr>
        <w:t>bevacizumab</w:t>
      </w:r>
      <w:r w:rsidRPr="00DA7718">
        <w:rPr>
          <w:lang w:val="fr-FR"/>
        </w:rPr>
        <w:t xml:space="preserve"> + IFN alpha-2a.</w:t>
      </w:r>
    </w:p>
    <w:p w14:paraId="5F6687F7" w14:textId="77777777" w:rsidR="00BD4C7C" w:rsidRPr="00DA7718" w:rsidRDefault="00BD4C7C" w:rsidP="00BD4C7C">
      <w:pPr>
        <w:adjustRightInd w:val="0"/>
        <w:snapToGrid w:val="0"/>
        <w:rPr>
          <w:lang w:val="fr-FR"/>
        </w:rPr>
      </w:pPr>
    </w:p>
    <w:p w14:paraId="7B7AE80B" w14:textId="77777777" w:rsidR="004401F0" w:rsidRPr="00DA7718" w:rsidRDefault="00DF3C4F" w:rsidP="00BD4C7C">
      <w:pPr>
        <w:adjustRightInd w:val="0"/>
        <w:snapToGrid w:val="0"/>
        <w:rPr>
          <w:i/>
          <w:lang w:val="fr-FR"/>
        </w:rPr>
      </w:pPr>
      <w:r w:rsidRPr="00DA7718">
        <w:rPr>
          <w:i/>
          <w:lang w:val="fr-FR"/>
        </w:rPr>
        <w:t>AVF2938</w:t>
      </w:r>
    </w:p>
    <w:p w14:paraId="620A0C58" w14:textId="0F875828" w:rsidR="004401F0" w:rsidRPr="00DA7718" w:rsidRDefault="00DF3C4F" w:rsidP="002D2805">
      <w:pPr>
        <w:pStyle w:val="a3"/>
        <w:adjustRightInd w:val="0"/>
        <w:snapToGrid w:val="0"/>
        <w:rPr>
          <w:lang w:val="fr-FR"/>
        </w:rPr>
      </w:pPr>
      <w:r w:rsidRPr="00DA7718">
        <w:rPr>
          <w:lang w:val="fr-FR"/>
        </w:rPr>
        <w:t xml:space="preserve">Il s’agissait d’une étude clinique de phase II, randomisée, en double aveugle, comparant l'administration </w:t>
      </w:r>
      <w:r w:rsidR="00F20797">
        <w:rPr>
          <w:lang w:val="fr-FR"/>
        </w:rPr>
        <w:t>du bevacizumab</w:t>
      </w:r>
      <w:r w:rsidR="00F20797" w:rsidRPr="00DA7718">
        <w:rPr>
          <w:lang w:val="fr-FR"/>
        </w:rPr>
        <w:t xml:space="preserve"> </w:t>
      </w:r>
      <w:r w:rsidRPr="00DA7718">
        <w:rPr>
          <w:lang w:val="fr-FR"/>
        </w:rPr>
        <w:t>à la posologie de 10</w:t>
      </w:r>
      <w:r w:rsidR="00DA7718" w:rsidRPr="00DA7718">
        <w:rPr>
          <w:lang w:val="fr-FR"/>
        </w:rPr>
        <w:t> mg</w:t>
      </w:r>
      <w:r w:rsidRPr="00DA7718">
        <w:rPr>
          <w:lang w:val="fr-FR"/>
        </w:rPr>
        <w:t xml:space="preserve">/kg toutes les 2 semaines et la même posologie </w:t>
      </w:r>
      <w:r w:rsidR="00F20797">
        <w:rPr>
          <w:lang w:val="fr-FR"/>
        </w:rPr>
        <w:t>du bevacizumab</w:t>
      </w:r>
      <w:r w:rsidR="00F20797" w:rsidRPr="00DA7718">
        <w:rPr>
          <w:lang w:val="fr-FR"/>
        </w:rPr>
        <w:t xml:space="preserve"> </w:t>
      </w:r>
      <w:r w:rsidRPr="00DA7718">
        <w:rPr>
          <w:lang w:val="fr-FR"/>
        </w:rPr>
        <w:t>en association à 150</w:t>
      </w:r>
      <w:r w:rsidR="00DA7718" w:rsidRPr="00DA7718">
        <w:rPr>
          <w:lang w:val="fr-FR"/>
        </w:rPr>
        <w:t> mg</w:t>
      </w:r>
      <w:r w:rsidRPr="00DA7718">
        <w:rPr>
          <w:lang w:val="fr-FR"/>
        </w:rPr>
        <w:t xml:space="preserve"> par jour d’erlotinib, chez les patients souffrant de cancer du rein métastatique à cellules claires. Un total de 104 patients a été randomisé pour recevoir le traitement</w:t>
      </w:r>
      <w:r w:rsidR="00765A43">
        <w:rPr>
          <w:lang w:val="fr-FR"/>
        </w:rPr>
        <w:t xml:space="preserve"> : </w:t>
      </w:r>
      <w:r w:rsidRPr="00DA7718">
        <w:rPr>
          <w:lang w:val="fr-FR"/>
        </w:rPr>
        <w:t>53 patients ont reçu 10</w:t>
      </w:r>
      <w:r w:rsidR="00DA7718" w:rsidRPr="00DA7718">
        <w:rPr>
          <w:lang w:val="fr-FR"/>
        </w:rPr>
        <w:t> mg</w:t>
      </w:r>
      <w:r w:rsidRPr="00DA7718">
        <w:rPr>
          <w:lang w:val="fr-FR"/>
        </w:rPr>
        <w:t xml:space="preserve">/kg de </w:t>
      </w:r>
      <w:r w:rsidR="008A71E4">
        <w:rPr>
          <w:lang w:val="fr-FR"/>
        </w:rPr>
        <w:t>bevacizumab</w:t>
      </w:r>
      <w:r w:rsidRPr="00DA7718">
        <w:rPr>
          <w:lang w:val="fr-FR"/>
        </w:rPr>
        <w:t xml:space="preserve"> toutes les 2 semaines plus placebo et </w:t>
      </w:r>
      <w:r w:rsidR="005A54AB" w:rsidRPr="00DA7718">
        <w:rPr>
          <w:lang w:val="fr-FR"/>
        </w:rPr>
        <w:t>51</w:t>
      </w:r>
      <w:r w:rsidR="005A54AB">
        <w:rPr>
          <w:lang w:val="fr-FR"/>
        </w:rPr>
        <w:t> </w:t>
      </w:r>
      <w:r w:rsidRPr="00DA7718">
        <w:rPr>
          <w:lang w:val="fr-FR"/>
        </w:rPr>
        <w:t>patients ont reçu</w:t>
      </w:r>
      <w:r w:rsidR="002D2805">
        <w:rPr>
          <w:lang w:val="fr-FR"/>
        </w:rPr>
        <w:t xml:space="preserve"> </w:t>
      </w:r>
      <w:r w:rsidRPr="00DA7718">
        <w:rPr>
          <w:lang w:val="fr-FR"/>
        </w:rPr>
        <w:t>10</w:t>
      </w:r>
      <w:r w:rsidR="00DA7718" w:rsidRPr="00DA7718">
        <w:rPr>
          <w:lang w:val="fr-FR"/>
        </w:rPr>
        <w:t> mg</w:t>
      </w:r>
      <w:r w:rsidRPr="00DA7718">
        <w:rPr>
          <w:lang w:val="fr-FR"/>
        </w:rPr>
        <w:t xml:space="preserve">/kg </w:t>
      </w:r>
      <w:r w:rsidR="008A71E4">
        <w:rPr>
          <w:lang w:val="fr-FR"/>
        </w:rPr>
        <w:t>de bevacizumab</w:t>
      </w:r>
      <w:r w:rsidR="008A71E4" w:rsidRPr="00DA7718">
        <w:rPr>
          <w:lang w:val="fr-FR"/>
        </w:rPr>
        <w:t xml:space="preserve"> </w:t>
      </w:r>
      <w:r w:rsidRPr="00DA7718">
        <w:rPr>
          <w:lang w:val="fr-FR"/>
        </w:rPr>
        <w:t>toutes les 2 semaines plus 150</w:t>
      </w:r>
      <w:r w:rsidR="00DA7718" w:rsidRPr="00DA7718">
        <w:rPr>
          <w:lang w:val="fr-FR"/>
        </w:rPr>
        <w:t> mg</w:t>
      </w:r>
      <w:r w:rsidRPr="00DA7718">
        <w:rPr>
          <w:lang w:val="fr-FR"/>
        </w:rPr>
        <w:t xml:space="preserve"> par jour d’erlotinib. L’analyse du critère principal de l’étude n’a montré aucune différence entre le groupe </w:t>
      </w:r>
      <w:r w:rsidR="008A71E4">
        <w:rPr>
          <w:lang w:val="fr-FR"/>
        </w:rPr>
        <w:t>bevacizumab</w:t>
      </w:r>
      <w:r w:rsidR="008A71E4" w:rsidRPr="00DA7718">
        <w:rPr>
          <w:lang w:val="fr-FR"/>
        </w:rPr>
        <w:t xml:space="preserve"> </w:t>
      </w:r>
      <w:r w:rsidRPr="00DA7718">
        <w:rPr>
          <w:lang w:val="fr-FR"/>
        </w:rPr>
        <w:t xml:space="preserve">+ placebo et le groupe </w:t>
      </w:r>
      <w:r w:rsidR="008A71E4">
        <w:rPr>
          <w:lang w:val="fr-FR"/>
        </w:rPr>
        <w:t>bevacizumab</w:t>
      </w:r>
      <w:r w:rsidRPr="00DA7718">
        <w:rPr>
          <w:lang w:val="fr-FR"/>
        </w:rPr>
        <w:t xml:space="preserve"> + erlotinib (survie sans progression médiane de 8,5 mois contre 9,</w:t>
      </w:r>
      <w:r w:rsidR="00881CB8" w:rsidRPr="00DA7718">
        <w:rPr>
          <w:lang w:val="fr-FR"/>
        </w:rPr>
        <w:t>9</w:t>
      </w:r>
      <w:r w:rsidR="00881CB8">
        <w:rPr>
          <w:lang w:val="fr-FR"/>
        </w:rPr>
        <w:t> </w:t>
      </w:r>
      <w:r w:rsidRPr="00DA7718">
        <w:rPr>
          <w:lang w:val="fr-FR"/>
        </w:rPr>
        <w:t>mois). Sept patients de chaque groupe ont présenté une réponse objective. L’association de l’erlotinib au bevacizumab n’a pas entraîné d’augmentation de la survie globale (risque relatif, 1,764</w:t>
      </w:r>
      <w:r w:rsidR="00881CB8">
        <w:rPr>
          <w:lang w:val="fr-FR"/>
        </w:rPr>
        <w:t xml:space="preserve"> ; </w:t>
      </w:r>
      <w:r w:rsidRPr="00DA7718">
        <w:rPr>
          <w:lang w:val="fr-FR"/>
        </w:rPr>
        <w:t>p=0,1789), de la durée de réponse objective (6,7 vs 9,1 mois) ou du temps de progression des symptômes (risque relatif, 1,172</w:t>
      </w:r>
      <w:r w:rsidR="00881CB8">
        <w:rPr>
          <w:lang w:val="fr-FR"/>
        </w:rPr>
        <w:t xml:space="preserve"> ; </w:t>
      </w:r>
      <w:r w:rsidRPr="00DA7718">
        <w:rPr>
          <w:lang w:val="fr-FR"/>
        </w:rPr>
        <w:t>p=0,5076).</w:t>
      </w:r>
    </w:p>
    <w:p w14:paraId="368884E7" w14:textId="77777777" w:rsidR="004401F0" w:rsidRPr="007C119A" w:rsidRDefault="004401F0" w:rsidP="00BD4C7C">
      <w:pPr>
        <w:pStyle w:val="a3"/>
        <w:adjustRightInd w:val="0"/>
        <w:snapToGrid w:val="0"/>
        <w:rPr>
          <w:lang w:val="fr-FR"/>
        </w:rPr>
      </w:pPr>
    </w:p>
    <w:p w14:paraId="2E5F7234" w14:textId="77777777" w:rsidR="004401F0" w:rsidRPr="00DA7718" w:rsidRDefault="00DF3C4F" w:rsidP="00654D21">
      <w:pPr>
        <w:keepNext/>
        <w:keepLines/>
        <w:adjustRightInd w:val="0"/>
        <w:snapToGrid w:val="0"/>
        <w:rPr>
          <w:i/>
          <w:lang w:val="fr-FR"/>
        </w:rPr>
      </w:pPr>
      <w:r w:rsidRPr="00DA7718">
        <w:rPr>
          <w:i/>
          <w:lang w:val="fr-FR"/>
        </w:rPr>
        <w:lastRenderedPageBreak/>
        <w:t>AVF0890</w:t>
      </w:r>
    </w:p>
    <w:p w14:paraId="1EACF807" w14:textId="19214A85" w:rsidR="004401F0" w:rsidRPr="00DA7718" w:rsidRDefault="00DF3C4F" w:rsidP="00654D21">
      <w:pPr>
        <w:pStyle w:val="a3"/>
        <w:keepNext/>
        <w:keepLines/>
        <w:adjustRightInd w:val="0"/>
        <w:snapToGrid w:val="0"/>
        <w:rPr>
          <w:lang w:val="fr-FR"/>
        </w:rPr>
      </w:pPr>
      <w:r w:rsidRPr="00DA7718">
        <w:rPr>
          <w:lang w:val="fr-FR"/>
        </w:rPr>
        <w:t xml:space="preserve">Il s’agissait d’une étude clinique de phase II, randomisée, comparant l’efficacité et la tolérance du bevacizumab </w:t>
      </w:r>
      <w:r w:rsidRPr="00DA7718">
        <w:rPr>
          <w:i/>
          <w:lang w:val="fr-FR"/>
        </w:rPr>
        <w:t xml:space="preserve">versus </w:t>
      </w:r>
      <w:r w:rsidRPr="00DA7718">
        <w:rPr>
          <w:lang w:val="fr-FR"/>
        </w:rPr>
        <w:t>placebo. Un total de 116 patients a été randomisé pour recevoir 3</w:t>
      </w:r>
      <w:r w:rsidR="00DA7718" w:rsidRPr="00DA7718">
        <w:rPr>
          <w:lang w:val="fr-FR"/>
        </w:rPr>
        <w:t> mg</w:t>
      </w:r>
      <w:r w:rsidRPr="00DA7718">
        <w:rPr>
          <w:lang w:val="fr-FR"/>
        </w:rPr>
        <w:t>/kg de bevacizumab toutes les 2 semaines (n=39), 10</w:t>
      </w:r>
      <w:r w:rsidR="00DA7718" w:rsidRPr="00DA7718">
        <w:rPr>
          <w:lang w:val="fr-FR"/>
        </w:rPr>
        <w:t> mg</w:t>
      </w:r>
      <w:r w:rsidRPr="00DA7718">
        <w:rPr>
          <w:lang w:val="fr-FR"/>
        </w:rPr>
        <w:t>/kg de bevacizumab toutes les 2 semaines (n=37) ou un placebo (n=40). Une analyse intermédiaire a montré qu’il y avait une prolongation significative du temps jusqu’à progression de la maladie dans le groupe traité par 10</w:t>
      </w:r>
      <w:r w:rsidR="00DA7718" w:rsidRPr="00DA7718">
        <w:rPr>
          <w:lang w:val="fr-FR"/>
        </w:rPr>
        <w:t> mg</w:t>
      </w:r>
      <w:r w:rsidRPr="00DA7718">
        <w:rPr>
          <w:lang w:val="fr-FR"/>
        </w:rPr>
        <w:t>/kg de bevacizumab comparé au groupe placebo (risque relatif, 2,55</w:t>
      </w:r>
      <w:r w:rsidR="00881CB8">
        <w:rPr>
          <w:lang w:val="fr-FR"/>
        </w:rPr>
        <w:t xml:space="preserve"> ; </w:t>
      </w:r>
      <w:r w:rsidRPr="00DA7718">
        <w:rPr>
          <w:lang w:val="fr-FR"/>
        </w:rPr>
        <w:t>p&lt;0,001). Il y avait une petite différence, à la limite de la significativité, dans le temps jusqu’à progression de la maladie entre le groupe traité par 3</w:t>
      </w:r>
      <w:r w:rsidR="00DA7718" w:rsidRPr="00DA7718">
        <w:rPr>
          <w:lang w:val="fr-FR"/>
        </w:rPr>
        <w:t> mg</w:t>
      </w:r>
      <w:r w:rsidRPr="00DA7718">
        <w:rPr>
          <w:lang w:val="fr-FR"/>
        </w:rPr>
        <w:t>/kg de bevacizumab et le groupe placebo (risque relatif, 1,26</w:t>
      </w:r>
      <w:r w:rsidR="00881CB8">
        <w:rPr>
          <w:lang w:val="fr-FR"/>
        </w:rPr>
        <w:t xml:space="preserve"> ; </w:t>
      </w:r>
      <w:r w:rsidRPr="00DA7718">
        <w:rPr>
          <w:lang w:val="fr-FR"/>
        </w:rPr>
        <w:t>p=0,053). Cinq patients ont présenté une réponse objective (partielle), et chacun d’entre eux avait reçu la dose de 10</w:t>
      </w:r>
      <w:r w:rsidR="00DA7718" w:rsidRPr="00DA7718">
        <w:rPr>
          <w:lang w:val="fr-FR"/>
        </w:rPr>
        <w:t> mg</w:t>
      </w:r>
      <w:r w:rsidRPr="00DA7718">
        <w:rPr>
          <w:lang w:val="fr-FR"/>
        </w:rPr>
        <w:t>/kg de bevacizumab</w:t>
      </w:r>
      <w:r w:rsidR="00881CB8">
        <w:rPr>
          <w:lang w:val="fr-FR"/>
        </w:rPr>
        <w:t xml:space="preserve"> ; </w:t>
      </w:r>
      <w:r w:rsidRPr="00DA7718">
        <w:rPr>
          <w:lang w:val="fr-FR"/>
        </w:rPr>
        <w:t>le taux de réponse objective pour la dose de 10</w:t>
      </w:r>
      <w:r w:rsidR="00DA7718" w:rsidRPr="00DA7718">
        <w:rPr>
          <w:lang w:val="fr-FR"/>
        </w:rPr>
        <w:t> mg</w:t>
      </w:r>
      <w:r w:rsidRPr="00DA7718">
        <w:rPr>
          <w:lang w:val="fr-FR"/>
        </w:rPr>
        <w:t>/kg était de 10 %.</w:t>
      </w:r>
    </w:p>
    <w:p w14:paraId="6CB3F4CA" w14:textId="77777777" w:rsidR="004401F0" w:rsidRPr="007C119A" w:rsidRDefault="004401F0" w:rsidP="00BD4C7C">
      <w:pPr>
        <w:pStyle w:val="a3"/>
        <w:adjustRightInd w:val="0"/>
        <w:snapToGrid w:val="0"/>
        <w:rPr>
          <w:lang w:val="fr-FR"/>
        </w:rPr>
      </w:pPr>
    </w:p>
    <w:p w14:paraId="4EC2D7D4" w14:textId="77777777" w:rsidR="004401F0" w:rsidRPr="00DA7718" w:rsidRDefault="00DF3C4F" w:rsidP="00BD4C7C">
      <w:pPr>
        <w:adjustRightInd w:val="0"/>
        <w:snapToGrid w:val="0"/>
        <w:rPr>
          <w:i/>
          <w:lang w:val="fr-FR"/>
        </w:rPr>
      </w:pPr>
      <w:r w:rsidRPr="00DA7718">
        <w:rPr>
          <w:i/>
          <w:u w:val="single"/>
          <w:lang w:val="fr-FR"/>
        </w:rPr>
        <w:t>Cancer épithélial de l’ovaire, des trompes de Fallope et péritonéal primitif</w:t>
      </w:r>
    </w:p>
    <w:p w14:paraId="23DEAFF7" w14:textId="77777777" w:rsidR="004401F0" w:rsidRPr="003F4D24" w:rsidRDefault="004401F0" w:rsidP="00BD4C7C">
      <w:pPr>
        <w:pStyle w:val="a3"/>
        <w:adjustRightInd w:val="0"/>
        <w:snapToGrid w:val="0"/>
        <w:rPr>
          <w:i/>
          <w:lang w:val="fr-FR"/>
        </w:rPr>
      </w:pPr>
    </w:p>
    <w:p w14:paraId="3111694D" w14:textId="77777777" w:rsidR="004401F0" w:rsidRPr="00DA7718" w:rsidRDefault="00DF3C4F" w:rsidP="00BD4C7C">
      <w:pPr>
        <w:adjustRightInd w:val="0"/>
        <w:snapToGrid w:val="0"/>
        <w:jc w:val="both"/>
        <w:rPr>
          <w:i/>
          <w:lang w:val="fr-FR"/>
        </w:rPr>
      </w:pPr>
      <w:r w:rsidRPr="00DA7718">
        <w:rPr>
          <w:i/>
          <w:lang w:val="fr-FR"/>
        </w:rPr>
        <w:t>Traitement de première ligne du cancer de l’ovaire</w:t>
      </w:r>
    </w:p>
    <w:p w14:paraId="04018F42" w14:textId="77777777" w:rsidR="004401F0" w:rsidRPr="007C119A" w:rsidRDefault="004401F0" w:rsidP="00BD4C7C">
      <w:pPr>
        <w:pStyle w:val="a3"/>
        <w:adjustRightInd w:val="0"/>
        <w:snapToGrid w:val="0"/>
        <w:rPr>
          <w:i/>
          <w:lang w:val="fr-FR"/>
        </w:rPr>
      </w:pPr>
    </w:p>
    <w:p w14:paraId="4AE19A1D" w14:textId="55DB6FF2" w:rsidR="004401F0" w:rsidRPr="00DA7718" w:rsidRDefault="00DF3C4F" w:rsidP="00654D21">
      <w:pPr>
        <w:pStyle w:val="a3"/>
        <w:adjustRightInd w:val="0"/>
        <w:snapToGrid w:val="0"/>
        <w:rPr>
          <w:lang w:val="fr-FR"/>
        </w:rPr>
      </w:pPr>
      <w:r w:rsidRPr="00DA7718">
        <w:rPr>
          <w:lang w:val="fr-FR"/>
        </w:rPr>
        <w:t xml:space="preserve">La tolérance et l’efficacité </w:t>
      </w:r>
      <w:r w:rsidR="008A71E4">
        <w:rPr>
          <w:lang w:val="fr-FR"/>
        </w:rPr>
        <w:t>du bevacizumab</w:t>
      </w:r>
      <w:r w:rsidRPr="00DA7718">
        <w:rPr>
          <w:lang w:val="fr-FR"/>
        </w:rPr>
        <w:t xml:space="preserve">, en traitement de première ligne chez des patientes atteintes d’un cancer épithélial de l’ovaire, des trompes de Fallope ou péritonéal primitif, ont été étudiées dans deux essais de phase III (GOG-0218 et BO17707) qui évaluaient l’effet de l’ajout </w:t>
      </w:r>
      <w:r w:rsidR="008A71E4">
        <w:rPr>
          <w:lang w:val="fr-FR"/>
        </w:rPr>
        <w:t>du bevacizumab</w:t>
      </w:r>
      <w:r w:rsidR="008A71E4" w:rsidRPr="00DA7718">
        <w:rPr>
          <w:lang w:val="fr-FR"/>
        </w:rPr>
        <w:t xml:space="preserve"> </w:t>
      </w:r>
      <w:r w:rsidRPr="00DA7718">
        <w:rPr>
          <w:lang w:val="fr-FR"/>
        </w:rPr>
        <w:t>au carboplatine et au paclitaxel comparé à un traitement de chimiothérapie seul.</w:t>
      </w:r>
    </w:p>
    <w:p w14:paraId="4BE21AC8" w14:textId="77777777" w:rsidR="004401F0" w:rsidRPr="00DA7718" w:rsidRDefault="004401F0" w:rsidP="00BD4C7C">
      <w:pPr>
        <w:pStyle w:val="a3"/>
        <w:adjustRightInd w:val="0"/>
        <w:snapToGrid w:val="0"/>
        <w:rPr>
          <w:lang w:val="fr-FR"/>
        </w:rPr>
      </w:pPr>
    </w:p>
    <w:p w14:paraId="3C2A591A" w14:textId="77777777" w:rsidR="004401F0" w:rsidRPr="00DA7718" w:rsidRDefault="00DF3C4F" w:rsidP="00BD4C7C">
      <w:pPr>
        <w:adjustRightInd w:val="0"/>
        <w:snapToGrid w:val="0"/>
        <w:rPr>
          <w:i/>
          <w:lang w:val="fr-FR"/>
        </w:rPr>
      </w:pPr>
      <w:r w:rsidRPr="00DA7718">
        <w:rPr>
          <w:i/>
          <w:lang w:val="fr-FR"/>
        </w:rPr>
        <w:t>GOG-0218</w:t>
      </w:r>
    </w:p>
    <w:p w14:paraId="3FA90A3F" w14:textId="5E628B6D" w:rsidR="004401F0" w:rsidRPr="00DA7718" w:rsidRDefault="00DF3C4F" w:rsidP="00BD4C7C">
      <w:pPr>
        <w:pStyle w:val="a3"/>
        <w:adjustRightInd w:val="0"/>
        <w:snapToGrid w:val="0"/>
        <w:rPr>
          <w:lang w:val="fr-FR"/>
        </w:rPr>
      </w:pPr>
      <w:r w:rsidRPr="00DA7718">
        <w:rPr>
          <w:lang w:val="fr-FR"/>
        </w:rPr>
        <w:t xml:space="preserve">L’étude GOG-0218 était une étude de phase III multicentrique, randomisée, en double aveugle, contrôlée </w:t>
      </w:r>
      <w:r w:rsidRPr="00DA7718">
        <w:rPr>
          <w:i/>
          <w:lang w:val="fr-FR"/>
        </w:rPr>
        <w:t xml:space="preserve">versus </w:t>
      </w:r>
      <w:r w:rsidRPr="00DA7718">
        <w:rPr>
          <w:lang w:val="fr-FR"/>
        </w:rPr>
        <w:t xml:space="preserve">placebo, à trois bras, évaluant l’effet de l’ajout </w:t>
      </w:r>
      <w:r w:rsidR="008A71E4">
        <w:rPr>
          <w:lang w:val="fr-FR"/>
        </w:rPr>
        <w:t>du bevacizumab</w:t>
      </w:r>
      <w:r w:rsidR="008A71E4" w:rsidRPr="00DA7718">
        <w:rPr>
          <w:lang w:val="fr-FR"/>
        </w:rPr>
        <w:t xml:space="preserve"> </w:t>
      </w:r>
      <w:r w:rsidRPr="00DA7718">
        <w:rPr>
          <w:lang w:val="fr-FR"/>
        </w:rPr>
        <w:t>à un traitement de chimiothérapie approuvé (carboplatine et paclitaxel) chez des patientes atteintes d’un cancer épithélial de l’ovaire, des trompes de Fallope ou péritonéal primitif, à des stades avancés (stades III B, III C et IV selon la version datée de 1988 de la classification FIGO).</w:t>
      </w:r>
    </w:p>
    <w:p w14:paraId="52FAD785" w14:textId="77777777" w:rsidR="004401F0" w:rsidRPr="00DA7718" w:rsidRDefault="004401F0" w:rsidP="00BD4C7C">
      <w:pPr>
        <w:pStyle w:val="a3"/>
        <w:adjustRightInd w:val="0"/>
        <w:snapToGrid w:val="0"/>
        <w:rPr>
          <w:lang w:val="fr-FR"/>
        </w:rPr>
      </w:pPr>
    </w:p>
    <w:p w14:paraId="7C2AF1D7" w14:textId="058BBFC0" w:rsidR="004401F0" w:rsidRPr="00DA7718" w:rsidRDefault="00DF3C4F" w:rsidP="00BD4C7C">
      <w:pPr>
        <w:pStyle w:val="a3"/>
        <w:adjustRightInd w:val="0"/>
        <w:snapToGrid w:val="0"/>
        <w:rPr>
          <w:lang w:val="fr-FR"/>
        </w:rPr>
      </w:pPr>
      <w:r w:rsidRPr="00DA7718">
        <w:rPr>
          <w:lang w:val="fr-FR"/>
        </w:rPr>
        <w:t>Les patientes ayant préalablement reçu pour un cancer de l’ovaire un traitement avec du bevacizumab, ou un traitement systémique anticancéreux (par exemple</w:t>
      </w:r>
      <w:r w:rsidR="00765A43">
        <w:rPr>
          <w:lang w:val="fr-FR"/>
        </w:rPr>
        <w:t xml:space="preserve"> : </w:t>
      </w:r>
      <w:r w:rsidRPr="00DA7718">
        <w:rPr>
          <w:lang w:val="fr-FR"/>
        </w:rPr>
        <w:t>chimiothérapie, traitement avec un anticorps monoclonal, traitement avec un inhibiteur de la tyrosine kinase ou traitement hormonal) ou une radiothérapie abdominale ou pelvienne étaient exclues de l’étude.</w:t>
      </w:r>
    </w:p>
    <w:p w14:paraId="168CADDC" w14:textId="77777777" w:rsidR="004401F0" w:rsidRPr="007C119A" w:rsidRDefault="004401F0" w:rsidP="00BD4C7C">
      <w:pPr>
        <w:pStyle w:val="a3"/>
        <w:adjustRightInd w:val="0"/>
        <w:snapToGrid w:val="0"/>
        <w:rPr>
          <w:lang w:val="fr-FR"/>
        </w:rPr>
      </w:pPr>
    </w:p>
    <w:p w14:paraId="2DF68200" w14:textId="77777777" w:rsidR="004401F0" w:rsidRPr="00DA7718" w:rsidRDefault="00DF3C4F" w:rsidP="00BD4C7C">
      <w:pPr>
        <w:pStyle w:val="a3"/>
        <w:adjustRightInd w:val="0"/>
        <w:snapToGrid w:val="0"/>
        <w:rPr>
          <w:lang w:val="fr-FR"/>
        </w:rPr>
      </w:pPr>
      <w:r w:rsidRPr="00DA7718">
        <w:rPr>
          <w:lang w:val="fr-FR"/>
        </w:rPr>
        <w:t>Un total de 1873 patientes a été randomisé, en proportion égale, dans les trois bras suivants :</w:t>
      </w:r>
    </w:p>
    <w:p w14:paraId="64E612DD" w14:textId="77777777" w:rsidR="004401F0" w:rsidRPr="00DA7718" w:rsidRDefault="004401F0" w:rsidP="00BD4C7C">
      <w:pPr>
        <w:pStyle w:val="a3"/>
        <w:adjustRightInd w:val="0"/>
        <w:snapToGrid w:val="0"/>
        <w:rPr>
          <w:lang w:val="fr-FR"/>
        </w:rPr>
      </w:pPr>
    </w:p>
    <w:p w14:paraId="696E9275" w14:textId="5D47D27C" w:rsidR="004401F0" w:rsidRPr="00DA7718" w:rsidRDefault="00BD4C7C" w:rsidP="00C712FC">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Bras CPP</w:t>
      </w:r>
      <w:r w:rsidR="00765A43">
        <w:rPr>
          <w:lang w:val="fr-FR"/>
        </w:rPr>
        <w:t xml:space="preserve"> : </w:t>
      </w:r>
      <w:r w:rsidR="00DF3C4F" w:rsidRPr="00DA7718">
        <w:rPr>
          <w:lang w:val="fr-FR"/>
        </w:rPr>
        <w:t>Cinq cycles de placebo (à partir du cycle 2) en association au carboplatine (ASC 6) et au paclitaxel (175</w:t>
      </w:r>
      <w:r w:rsidR="00DA7718" w:rsidRPr="00DA7718">
        <w:rPr>
          <w:lang w:val="fr-FR"/>
        </w:rPr>
        <w:t> mg</w:t>
      </w:r>
      <w:r w:rsidR="00DF3C4F" w:rsidRPr="00DA7718">
        <w:rPr>
          <w:lang w:val="fr-FR"/>
        </w:rPr>
        <w:t>/m²) pendant 6 cycles, suivi du placebo seul pour une durée totale de traitement allant jusqu’à 15 mois.</w:t>
      </w:r>
    </w:p>
    <w:p w14:paraId="51F57B1A" w14:textId="125B82A1" w:rsidR="004401F0" w:rsidRPr="00DA7718" w:rsidRDefault="00BD4C7C" w:rsidP="00C712FC">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Bras CPB15</w:t>
      </w:r>
      <w:r w:rsidR="00765A43">
        <w:rPr>
          <w:lang w:val="fr-FR"/>
        </w:rPr>
        <w:t xml:space="preserve"> : </w:t>
      </w:r>
      <w:r w:rsidR="00DF3C4F" w:rsidRPr="00DA7718">
        <w:rPr>
          <w:lang w:val="fr-FR"/>
        </w:rPr>
        <w:t xml:space="preserve">Cinq cycles </w:t>
      </w:r>
      <w:r w:rsidR="008A71E4">
        <w:rPr>
          <w:lang w:val="fr-FR"/>
        </w:rPr>
        <w:t>de bevacizumab</w:t>
      </w:r>
      <w:r w:rsidR="008A71E4" w:rsidRPr="00DA7718">
        <w:rPr>
          <w:lang w:val="fr-FR"/>
        </w:rPr>
        <w:t xml:space="preserve"> </w:t>
      </w:r>
      <w:r w:rsidR="00DF3C4F" w:rsidRPr="00DA7718">
        <w:rPr>
          <w:lang w:val="fr-FR"/>
        </w:rPr>
        <w:t>(15</w:t>
      </w:r>
      <w:r w:rsidR="00DA7718" w:rsidRPr="00DA7718">
        <w:rPr>
          <w:lang w:val="fr-FR"/>
        </w:rPr>
        <w:t> mg</w:t>
      </w:r>
      <w:r w:rsidR="00DF3C4F" w:rsidRPr="00DA7718">
        <w:rPr>
          <w:lang w:val="fr-FR"/>
        </w:rPr>
        <w:t>/kg toutes les 3 semaines à partir du cycle 2) en association au carboplatine (ASC 6) et au paclitaxel (175</w:t>
      </w:r>
      <w:r w:rsidR="00DA7718" w:rsidRPr="00DA7718">
        <w:rPr>
          <w:lang w:val="fr-FR"/>
        </w:rPr>
        <w:t> mg</w:t>
      </w:r>
      <w:r w:rsidR="00DF3C4F" w:rsidRPr="00DA7718">
        <w:rPr>
          <w:lang w:val="fr-FR"/>
        </w:rPr>
        <w:t>/m²) pendant 6 cycles, suivis du placebo seul pour une durée totale de traitement allant jusqu’à 15 mois.</w:t>
      </w:r>
    </w:p>
    <w:p w14:paraId="5180842A" w14:textId="77777777" w:rsidR="00BD4C7C" w:rsidRPr="00DA7718" w:rsidRDefault="00BD4C7C" w:rsidP="00C712FC">
      <w:pPr>
        <w:adjustRightInd w:val="0"/>
        <w:snapToGrid w:val="0"/>
        <w:ind w:left="567" w:hanging="567"/>
        <w:rPr>
          <w:lang w:val="fr-FR"/>
        </w:rPr>
      </w:pPr>
    </w:p>
    <w:p w14:paraId="4A5B126E" w14:textId="241B74DD" w:rsidR="004401F0" w:rsidRPr="00DA7718" w:rsidRDefault="00BD4C7C" w:rsidP="00C712FC">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Bras CPB15+</w:t>
      </w:r>
      <w:r w:rsidR="00765A43">
        <w:rPr>
          <w:lang w:val="fr-FR"/>
        </w:rPr>
        <w:t xml:space="preserve"> : </w:t>
      </w:r>
      <w:r w:rsidR="00DF3C4F" w:rsidRPr="00DA7718">
        <w:rPr>
          <w:lang w:val="fr-FR"/>
        </w:rPr>
        <w:t xml:space="preserve">Cinq cycles </w:t>
      </w:r>
      <w:r w:rsidR="008A71E4">
        <w:rPr>
          <w:lang w:val="fr-FR"/>
        </w:rPr>
        <w:t>de bevacizumab</w:t>
      </w:r>
      <w:r w:rsidR="008A71E4" w:rsidRPr="00DA7718">
        <w:rPr>
          <w:lang w:val="fr-FR"/>
        </w:rPr>
        <w:t xml:space="preserve"> </w:t>
      </w:r>
      <w:r w:rsidR="00DF3C4F" w:rsidRPr="00DA7718">
        <w:rPr>
          <w:lang w:val="fr-FR"/>
        </w:rPr>
        <w:t>(15</w:t>
      </w:r>
      <w:r w:rsidR="00DA7718" w:rsidRPr="00DA7718">
        <w:rPr>
          <w:lang w:val="fr-FR"/>
        </w:rPr>
        <w:t> mg</w:t>
      </w:r>
      <w:r w:rsidR="00DF3C4F" w:rsidRPr="00DA7718">
        <w:rPr>
          <w:lang w:val="fr-FR"/>
        </w:rPr>
        <w:t>/kg toutes les 3 semaines à partir du cycle 2) en association au carboplatine (ASC 6) et au paclitaxel (175</w:t>
      </w:r>
      <w:r w:rsidR="00DA7718" w:rsidRPr="00DA7718">
        <w:rPr>
          <w:lang w:val="fr-FR"/>
        </w:rPr>
        <w:t> mg</w:t>
      </w:r>
      <w:r w:rsidR="00DF3C4F" w:rsidRPr="00DA7718">
        <w:rPr>
          <w:lang w:val="fr-FR"/>
        </w:rPr>
        <w:t xml:space="preserve">/m²) pendant 6 cycles, suivis </w:t>
      </w:r>
      <w:r w:rsidR="008A71E4">
        <w:rPr>
          <w:lang w:val="fr-FR"/>
        </w:rPr>
        <w:t>de bevacizumab</w:t>
      </w:r>
      <w:r w:rsidR="008A71E4" w:rsidRPr="00DA7718">
        <w:rPr>
          <w:lang w:val="fr-FR"/>
        </w:rPr>
        <w:t xml:space="preserve"> </w:t>
      </w:r>
      <w:r w:rsidR="00DF3C4F" w:rsidRPr="00DA7718">
        <w:rPr>
          <w:lang w:val="fr-FR"/>
        </w:rPr>
        <w:t>en monothérapie (15</w:t>
      </w:r>
      <w:r w:rsidR="00DA7718" w:rsidRPr="00DA7718">
        <w:rPr>
          <w:lang w:val="fr-FR"/>
        </w:rPr>
        <w:t> mg</w:t>
      </w:r>
      <w:r w:rsidR="00DF3C4F" w:rsidRPr="00DA7718">
        <w:rPr>
          <w:lang w:val="fr-FR"/>
        </w:rPr>
        <w:t>/kg toutes les 3 semaines) pour une durée totale de traitement allant jusqu’à 15 mois.</w:t>
      </w:r>
    </w:p>
    <w:p w14:paraId="22DED144" w14:textId="77777777" w:rsidR="004401F0" w:rsidRPr="00DA7718" w:rsidRDefault="004401F0" w:rsidP="00BD4C7C">
      <w:pPr>
        <w:pStyle w:val="a3"/>
        <w:adjustRightInd w:val="0"/>
        <w:snapToGrid w:val="0"/>
        <w:rPr>
          <w:lang w:val="fr-FR"/>
        </w:rPr>
      </w:pPr>
    </w:p>
    <w:p w14:paraId="590EE63C" w14:textId="258759C6" w:rsidR="004401F0" w:rsidRPr="00DA7718" w:rsidRDefault="00DF3C4F" w:rsidP="00BD4C7C">
      <w:pPr>
        <w:pStyle w:val="a3"/>
        <w:adjustRightInd w:val="0"/>
        <w:snapToGrid w:val="0"/>
        <w:rPr>
          <w:lang w:val="fr-FR"/>
        </w:rPr>
      </w:pPr>
      <w:r w:rsidRPr="00DA7718">
        <w:rPr>
          <w:lang w:val="fr-FR"/>
        </w:rPr>
        <w:t>La majorité des patientes inclues dans l’étude était de type caucasien (87</w:t>
      </w:r>
      <w:r w:rsidR="00AF3AAA">
        <w:rPr>
          <w:lang w:val="fr-FR"/>
        </w:rPr>
        <w:t xml:space="preserve"> % </w:t>
      </w:r>
      <w:r w:rsidRPr="00DA7718">
        <w:rPr>
          <w:lang w:val="fr-FR"/>
        </w:rPr>
        <w:t>dans les 3 bras)</w:t>
      </w:r>
      <w:r w:rsidR="00881CB8">
        <w:rPr>
          <w:lang w:val="fr-FR"/>
        </w:rPr>
        <w:t xml:space="preserve"> ; </w:t>
      </w:r>
      <w:r w:rsidRPr="00DA7718">
        <w:rPr>
          <w:lang w:val="fr-FR"/>
        </w:rPr>
        <w:t>l’âge médian était de 60 ans dans les bras CPP et CPB15 et de 59 ans dans le bras CPB15+</w:t>
      </w:r>
      <w:r w:rsidR="00881CB8">
        <w:rPr>
          <w:lang w:val="fr-FR"/>
        </w:rPr>
        <w:t xml:space="preserve"> ; </w:t>
      </w:r>
      <w:r w:rsidRPr="00DA7718">
        <w:rPr>
          <w:lang w:val="fr-FR"/>
        </w:rPr>
        <w:t>29</w:t>
      </w:r>
      <w:r w:rsidR="00AF3AAA">
        <w:rPr>
          <w:lang w:val="fr-FR"/>
        </w:rPr>
        <w:t xml:space="preserve"> % </w:t>
      </w:r>
      <w:r w:rsidRPr="00DA7718">
        <w:rPr>
          <w:lang w:val="fr-FR"/>
        </w:rPr>
        <w:t>des patientes des bras CPP et CPB15 et 26</w:t>
      </w:r>
      <w:r w:rsidR="00AF3AAA">
        <w:rPr>
          <w:lang w:val="fr-FR"/>
        </w:rPr>
        <w:t xml:space="preserve"> % </w:t>
      </w:r>
      <w:r w:rsidRPr="00DA7718">
        <w:rPr>
          <w:lang w:val="fr-FR"/>
        </w:rPr>
        <w:t>des patientes du bras CPB15+ avaient plus de 65 ans.</w:t>
      </w:r>
    </w:p>
    <w:p w14:paraId="2BA35F0B" w14:textId="6B19BA8A" w:rsidR="004401F0" w:rsidRPr="00DA7718" w:rsidRDefault="00DF3C4F" w:rsidP="00BD4C7C">
      <w:pPr>
        <w:pStyle w:val="a3"/>
        <w:adjustRightInd w:val="0"/>
        <w:snapToGrid w:val="0"/>
        <w:rPr>
          <w:lang w:val="fr-FR"/>
        </w:rPr>
      </w:pPr>
      <w:r w:rsidRPr="00DA7718">
        <w:rPr>
          <w:lang w:val="fr-FR"/>
        </w:rPr>
        <w:t>Globalement, environ 50</w:t>
      </w:r>
      <w:r w:rsidR="00AF3AAA">
        <w:rPr>
          <w:lang w:val="fr-FR"/>
        </w:rPr>
        <w:t xml:space="preserve"> % </w:t>
      </w:r>
      <w:r w:rsidRPr="00DA7718">
        <w:rPr>
          <w:lang w:val="fr-FR"/>
        </w:rPr>
        <w:t>des patientes avaient un indice de performance GOG de 0 à l’inclusion, 43% un indice de performance GOG de 1 et 7</w:t>
      </w:r>
      <w:r w:rsidR="00AF3AAA">
        <w:rPr>
          <w:lang w:val="fr-FR"/>
        </w:rPr>
        <w:t xml:space="preserve"> % </w:t>
      </w:r>
      <w:r w:rsidRPr="00DA7718">
        <w:rPr>
          <w:lang w:val="fr-FR"/>
        </w:rPr>
        <w:t>un indice de performance GOG de 2. La plupart des patientes étaient atteintes d’un cancer épithélial de l’ovaire (82</w:t>
      </w:r>
      <w:r w:rsidR="00AF3AAA">
        <w:rPr>
          <w:lang w:val="fr-FR"/>
        </w:rPr>
        <w:t xml:space="preserve"> % </w:t>
      </w:r>
      <w:r w:rsidRPr="00DA7718">
        <w:rPr>
          <w:lang w:val="fr-FR"/>
        </w:rPr>
        <w:t>dans les bras CPP et CPB15, 85</w:t>
      </w:r>
      <w:r w:rsidR="00AF3AAA">
        <w:rPr>
          <w:lang w:val="fr-FR"/>
        </w:rPr>
        <w:t xml:space="preserve"> % </w:t>
      </w:r>
      <w:r w:rsidRPr="00DA7718">
        <w:rPr>
          <w:lang w:val="fr-FR"/>
        </w:rPr>
        <w:t>dans le bras CPB15+)</w:t>
      </w:r>
      <w:r w:rsidR="00881CB8">
        <w:rPr>
          <w:lang w:val="fr-FR"/>
        </w:rPr>
        <w:t xml:space="preserve"> ; </w:t>
      </w:r>
      <w:r w:rsidRPr="00DA7718">
        <w:rPr>
          <w:lang w:val="fr-FR"/>
        </w:rPr>
        <w:t>viennent ensuite celles atteintes d’un cancer péritonéal primitif (16</w:t>
      </w:r>
      <w:r w:rsidR="00AF3AAA">
        <w:rPr>
          <w:lang w:val="fr-FR"/>
        </w:rPr>
        <w:t xml:space="preserve"> % </w:t>
      </w:r>
      <w:r w:rsidRPr="00DA7718">
        <w:rPr>
          <w:lang w:val="fr-FR"/>
        </w:rPr>
        <w:t>dans le bras CPP, 15</w:t>
      </w:r>
      <w:r w:rsidR="00AF3AAA">
        <w:rPr>
          <w:lang w:val="fr-FR"/>
        </w:rPr>
        <w:t xml:space="preserve"> % </w:t>
      </w:r>
      <w:r w:rsidRPr="00DA7718">
        <w:rPr>
          <w:lang w:val="fr-FR"/>
        </w:rPr>
        <w:t>dans le bras CPB15, 13</w:t>
      </w:r>
      <w:r w:rsidR="00AF3AAA">
        <w:rPr>
          <w:lang w:val="fr-FR"/>
        </w:rPr>
        <w:t xml:space="preserve"> % </w:t>
      </w:r>
      <w:r w:rsidRPr="00DA7718">
        <w:rPr>
          <w:lang w:val="fr-FR"/>
        </w:rPr>
        <w:t>dans le bras CPB15+), puis enfin celles atteintes d’un cancer des trompes de Fallope (1</w:t>
      </w:r>
      <w:r w:rsidR="00AF3AAA">
        <w:rPr>
          <w:lang w:val="fr-FR"/>
        </w:rPr>
        <w:t xml:space="preserve"> % </w:t>
      </w:r>
      <w:r w:rsidRPr="00DA7718">
        <w:rPr>
          <w:lang w:val="fr-FR"/>
        </w:rPr>
        <w:t>dans le bras CPP, 3</w:t>
      </w:r>
      <w:r w:rsidR="00AF3AAA">
        <w:rPr>
          <w:lang w:val="fr-FR"/>
        </w:rPr>
        <w:t xml:space="preserve"> % </w:t>
      </w:r>
      <w:r w:rsidRPr="00DA7718">
        <w:rPr>
          <w:lang w:val="fr-FR"/>
        </w:rPr>
        <w:t>dans le bras CPB15, 2</w:t>
      </w:r>
      <w:r w:rsidR="00AF3AAA">
        <w:rPr>
          <w:lang w:val="fr-FR"/>
        </w:rPr>
        <w:t xml:space="preserve"> % </w:t>
      </w:r>
      <w:r w:rsidRPr="00DA7718">
        <w:rPr>
          <w:lang w:val="fr-FR"/>
        </w:rPr>
        <w:t>dans le bras CPB15+). La majorité des patientes avait un adénocarcinome de type histologique séreux (85</w:t>
      </w:r>
      <w:r w:rsidR="00AF3AAA">
        <w:rPr>
          <w:lang w:val="fr-FR"/>
        </w:rPr>
        <w:t xml:space="preserve"> % </w:t>
      </w:r>
      <w:r w:rsidRPr="00DA7718">
        <w:rPr>
          <w:lang w:val="fr-FR"/>
        </w:rPr>
        <w:t xml:space="preserve">dans </w:t>
      </w:r>
      <w:r w:rsidRPr="00DA7718">
        <w:rPr>
          <w:lang w:val="fr-FR"/>
        </w:rPr>
        <w:lastRenderedPageBreak/>
        <w:t>les bras CPP et CPB15, 86</w:t>
      </w:r>
      <w:r w:rsidR="00AF3AAA">
        <w:rPr>
          <w:lang w:val="fr-FR"/>
        </w:rPr>
        <w:t xml:space="preserve"> % </w:t>
      </w:r>
      <w:r w:rsidRPr="00DA7718">
        <w:rPr>
          <w:lang w:val="fr-FR"/>
        </w:rPr>
        <w:t>dans le bras CPB15+). Globalement, environ 34</w:t>
      </w:r>
      <w:r w:rsidR="00AF3AAA">
        <w:rPr>
          <w:lang w:val="fr-FR"/>
        </w:rPr>
        <w:t xml:space="preserve"> % </w:t>
      </w:r>
      <w:r w:rsidRPr="00DA7718">
        <w:rPr>
          <w:lang w:val="fr-FR"/>
        </w:rPr>
        <w:t>des patientes avaient une maladie résiduelle macroscopique de stade FIGO III après exérèse optimale, 40</w:t>
      </w:r>
      <w:r w:rsidR="00AF3AAA">
        <w:rPr>
          <w:lang w:val="fr-FR"/>
        </w:rPr>
        <w:t xml:space="preserve"> % </w:t>
      </w:r>
      <w:r w:rsidRPr="00DA7718">
        <w:rPr>
          <w:lang w:val="fr-FR"/>
        </w:rPr>
        <w:t>des patientes avaient une maladie résiduelle macroscopique de stade FIGO III après exérèse suboptimale et 26</w:t>
      </w:r>
      <w:r w:rsidR="00AF3AAA">
        <w:rPr>
          <w:lang w:val="fr-FR"/>
        </w:rPr>
        <w:t xml:space="preserve"> % </w:t>
      </w:r>
      <w:r w:rsidRPr="00DA7718">
        <w:rPr>
          <w:lang w:val="fr-FR"/>
        </w:rPr>
        <w:t>étaient de stade IV.</w:t>
      </w:r>
    </w:p>
    <w:p w14:paraId="3581FB45" w14:textId="77777777" w:rsidR="004401F0" w:rsidRPr="007C119A" w:rsidRDefault="004401F0" w:rsidP="00BD4C7C">
      <w:pPr>
        <w:pStyle w:val="a3"/>
        <w:adjustRightInd w:val="0"/>
        <w:snapToGrid w:val="0"/>
        <w:rPr>
          <w:lang w:val="fr-FR"/>
        </w:rPr>
      </w:pPr>
    </w:p>
    <w:p w14:paraId="56914A7A" w14:textId="77777777" w:rsidR="004401F0" w:rsidRPr="00DA7718" w:rsidRDefault="00DF3C4F" w:rsidP="00BD4C7C">
      <w:pPr>
        <w:pStyle w:val="a3"/>
        <w:adjustRightInd w:val="0"/>
        <w:snapToGrid w:val="0"/>
        <w:rPr>
          <w:lang w:val="fr-FR"/>
        </w:rPr>
      </w:pPr>
      <w:r w:rsidRPr="00DA7718">
        <w:rPr>
          <w:lang w:val="fr-FR"/>
        </w:rPr>
        <w:t>Le critère principal était la survie sans progression (PFS) basée sur l’évaluation de la progression de la maladie par les investigateurs, à partir de scanners, du taux du marqueur CA 125 ou d’une détérioration symptomatique durant le protocole. Par ailleurs, une analyse pré-définie des données censurant les événements de progression définis sur la base de l’augmentation du CA 125 a été conduite, ainsi qu’une revue indépendante de la PFS déterminée par les scanners.</w:t>
      </w:r>
    </w:p>
    <w:p w14:paraId="1EE2FDF1" w14:textId="77777777" w:rsidR="004401F0" w:rsidRPr="00DA7718" w:rsidRDefault="004401F0" w:rsidP="00BD4C7C">
      <w:pPr>
        <w:pStyle w:val="a3"/>
        <w:adjustRightInd w:val="0"/>
        <w:snapToGrid w:val="0"/>
        <w:rPr>
          <w:lang w:val="fr-FR"/>
        </w:rPr>
      </w:pPr>
    </w:p>
    <w:p w14:paraId="0534D54E" w14:textId="77777777" w:rsidR="004401F0" w:rsidRPr="00DA7718" w:rsidRDefault="00DF3C4F" w:rsidP="00BD4C7C">
      <w:pPr>
        <w:pStyle w:val="a3"/>
        <w:adjustRightInd w:val="0"/>
        <w:snapToGrid w:val="0"/>
        <w:rPr>
          <w:lang w:val="fr-FR"/>
        </w:rPr>
      </w:pPr>
      <w:r w:rsidRPr="00DA7718">
        <w:rPr>
          <w:lang w:val="fr-FR"/>
        </w:rPr>
        <w:t>L’objectif principal d’amélioration de la PFS a été atteint. Les patientes ayant reçu du bevacizumab à la dose de 15</w:t>
      </w:r>
      <w:r w:rsidR="00DA7718" w:rsidRPr="00DA7718">
        <w:rPr>
          <w:lang w:val="fr-FR"/>
        </w:rPr>
        <w:t> mg</w:t>
      </w:r>
      <w:r w:rsidRPr="00DA7718">
        <w:rPr>
          <w:lang w:val="fr-FR"/>
        </w:rPr>
        <w:t>/kg toutes les 3 semaines en association à la chimiothérapie et ayant continué à recevoir du bevacizumab seul (CPB15+), ont eu une amélioration cliniquement pertinente et statistiquement significative de la PFS, comparée aux patientes traitées par chimiothérapie seule (carboplatine et paclitaxel) en première ligne.</w:t>
      </w:r>
    </w:p>
    <w:p w14:paraId="56E7C124" w14:textId="77777777" w:rsidR="004401F0" w:rsidRPr="007C119A" w:rsidRDefault="004401F0" w:rsidP="00BD4C7C">
      <w:pPr>
        <w:pStyle w:val="a3"/>
        <w:adjustRightInd w:val="0"/>
        <w:snapToGrid w:val="0"/>
        <w:rPr>
          <w:lang w:val="fr-FR"/>
        </w:rPr>
      </w:pPr>
    </w:p>
    <w:p w14:paraId="13E95793" w14:textId="77777777" w:rsidR="004401F0" w:rsidRPr="00DA7718" w:rsidRDefault="00DF3C4F" w:rsidP="00BD4C7C">
      <w:pPr>
        <w:pStyle w:val="a3"/>
        <w:adjustRightInd w:val="0"/>
        <w:snapToGrid w:val="0"/>
        <w:rPr>
          <w:lang w:val="fr-FR"/>
        </w:rPr>
      </w:pPr>
      <w:r w:rsidRPr="00DA7718">
        <w:rPr>
          <w:lang w:val="fr-FR"/>
        </w:rPr>
        <w:t>Aucun bénéfice cliniquement pertinent en PFS n’a été observé chez les patientes ayant reçu du bevacizumab en association à la chimiothérapie et n’ayant pas continué à recevoir du bevacizumab seul (CPB15).</w:t>
      </w:r>
    </w:p>
    <w:p w14:paraId="79D15F8A" w14:textId="77777777" w:rsidR="00BD4C7C" w:rsidRPr="00DA7718" w:rsidRDefault="00BD4C7C" w:rsidP="00BD4C7C">
      <w:pPr>
        <w:adjustRightInd w:val="0"/>
        <w:snapToGrid w:val="0"/>
        <w:rPr>
          <w:lang w:val="fr-FR"/>
        </w:rPr>
      </w:pPr>
    </w:p>
    <w:p w14:paraId="704B39B9" w14:textId="77777777" w:rsidR="004401F0" w:rsidRPr="00DA7718" w:rsidRDefault="00DF3C4F" w:rsidP="00BD4C7C">
      <w:pPr>
        <w:pStyle w:val="a3"/>
        <w:adjustRightInd w:val="0"/>
        <w:snapToGrid w:val="0"/>
        <w:rPr>
          <w:lang w:val="fr-FR"/>
        </w:rPr>
      </w:pPr>
      <w:r w:rsidRPr="00DA7718">
        <w:rPr>
          <w:lang w:val="fr-FR"/>
        </w:rPr>
        <w:t>Les résultats de cette étude sont résumés dans le tableau 16.</w:t>
      </w:r>
    </w:p>
    <w:p w14:paraId="10F27382" w14:textId="77777777" w:rsidR="004401F0" w:rsidRPr="00DA7718" w:rsidRDefault="004401F0" w:rsidP="00BD4C7C">
      <w:pPr>
        <w:pStyle w:val="a3"/>
        <w:adjustRightInd w:val="0"/>
        <w:snapToGrid w:val="0"/>
        <w:rPr>
          <w:lang w:val="fr-FR"/>
        </w:rPr>
      </w:pPr>
    </w:p>
    <w:p w14:paraId="4045FB19" w14:textId="77777777" w:rsidR="004401F0" w:rsidRPr="000604F6" w:rsidRDefault="00DF3C4F" w:rsidP="000604F6">
      <w:pPr>
        <w:ind w:left="1276" w:hanging="1276"/>
        <w:rPr>
          <w:b/>
          <w:bCs/>
          <w:lang w:val="fr-FR"/>
        </w:rPr>
      </w:pPr>
      <w:r w:rsidRPr="000604F6">
        <w:rPr>
          <w:b/>
          <w:bCs/>
          <w:lang w:val="fr-FR"/>
        </w:rPr>
        <w:t>Tableau 16</w:t>
      </w:r>
      <w:r w:rsidRPr="000604F6">
        <w:rPr>
          <w:b/>
          <w:bCs/>
          <w:lang w:val="fr-FR"/>
        </w:rPr>
        <w:tab/>
        <w:t>Résultats d’efficacité de l’étude GOG-0218</w:t>
      </w:r>
    </w:p>
    <w:p w14:paraId="57BEC2C0" w14:textId="77777777" w:rsidR="004401F0" w:rsidRPr="000604F6" w:rsidRDefault="004401F0" w:rsidP="00BD4C7C">
      <w:pPr>
        <w:pStyle w:val="a3"/>
        <w:adjustRightInd w:val="0"/>
        <w:snapToGrid w:val="0"/>
        <w:rPr>
          <w:b/>
          <w:bCs/>
          <w:lang w:val="fr-FR"/>
        </w:rPr>
      </w:pP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2055"/>
        <w:gridCol w:w="2055"/>
        <w:gridCol w:w="1945"/>
      </w:tblGrid>
      <w:tr w:rsidR="004401F0" w:rsidRPr="00D277A9" w14:paraId="205236B8" w14:textId="77777777" w:rsidTr="00C91059">
        <w:trPr>
          <w:cantSplit/>
        </w:trPr>
        <w:tc>
          <w:tcPr>
            <w:tcW w:w="9388" w:type="dxa"/>
            <w:gridSpan w:val="4"/>
          </w:tcPr>
          <w:p w14:paraId="4C422354"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 xml:space="preserve">Survie sans progression (PFS) </w:t>
            </w:r>
            <w:r w:rsidRPr="00D277A9">
              <w:rPr>
                <w:sz w:val="20"/>
                <w:szCs w:val="20"/>
                <w:vertAlign w:val="superscript"/>
                <w:lang w:val="fr-FR"/>
              </w:rPr>
              <w:t>1</w:t>
            </w:r>
          </w:p>
        </w:tc>
      </w:tr>
      <w:tr w:rsidR="00C712FC" w:rsidRPr="00D277A9" w14:paraId="19B7AFCD" w14:textId="77777777" w:rsidTr="00C91059">
        <w:trPr>
          <w:cantSplit/>
        </w:trPr>
        <w:tc>
          <w:tcPr>
            <w:tcW w:w="3186" w:type="dxa"/>
          </w:tcPr>
          <w:p w14:paraId="0D09E539" w14:textId="77777777" w:rsidR="00C712FC" w:rsidRPr="00D277A9" w:rsidRDefault="00C712FC" w:rsidP="00C712FC">
            <w:pPr>
              <w:pStyle w:val="TableParagraph"/>
              <w:adjustRightInd w:val="0"/>
              <w:snapToGrid w:val="0"/>
              <w:jc w:val="center"/>
              <w:rPr>
                <w:sz w:val="20"/>
                <w:szCs w:val="20"/>
                <w:lang w:val="fr-FR"/>
              </w:rPr>
            </w:pPr>
          </w:p>
        </w:tc>
        <w:tc>
          <w:tcPr>
            <w:tcW w:w="2105" w:type="dxa"/>
          </w:tcPr>
          <w:p w14:paraId="4FAB6DE9" w14:textId="77777777" w:rsidR="00C712FC" w:rsidRPr="00D277A9" w:rsidRDefault="00C712FC" w:rsidP="00C712FC">
            <w:pPr>
              <w:pStyle w:val="TableParagraph"/>
              <w:adjustRightInd w:val="0"/>
              <w:snapToGrid w:val="0"/>
              <w:jc w:val="center"/>
              <w:rPr>
                <w:sz w:val="20"/>
                <w:szCs w:val="20"/>
                <w:lang w:val="fr-FR"/>
              </w:rPr>
            </w:pPr>
            <w:r w:rsidRPr="00D277A9">
              <w:rPr>
                <w:sz w:val="20"/>
                <w:szCs w:val="20"/>
                <w:lang w:val="fr-FR"/>
              </w:rPr>
              <w:t>CPP</w:t>
            </w:r>
          </w:p>
          <w:p w14:paraId="7EA451F1" w14:textId="77777777" w:rsidR="00C712FC" w:rsidRPr="00D277A9" w:rsidRDefault="00C712FC" w:rsidP="00C712FC">
            <w:pPr>
              <w:pStyle w:val="TableParagraph"/>
              <w:adjustRightInd w:val="0"/>
              <w:snapToGrid w:val="0"/>
              <w:jc w:val="center"/>
              <w:rPr>
                <w:sz w:val="20"/>
                <w:szCs w:val="20"/>
                <w:lang w:val="fr-FR"/>
              </w:rPr>
            </w:pPr>
            <w:r w:rsidRPr="00D277A9">
              <w:rPr>
                <w:sz w:val="20"/>
                <w:szCs w:val="20"/>
                <w:lang w:val="fr-FR"/>
              </w:rPr>
              <w:t>(n = 625)</w:t>
            </w:r>
          </w:p>
        </w:tc>
        <w:tc>
          <w:tcPr>
            <w:tcW w:w="2105" w:type="dxa"/>
          </w:tcPr>
          <w:p w14:paraId="00E883A4" w14:textId="067EB212" w:rsidR="00C712FC" w:rsidRPr="00D277A9" w:rsidRDefault="00C712FC" w:rsidP="00C712FC">
            <w:pPr>
              <w:pStyle w:val="TableParagraph"/>
              <w:adjustRightInd w:val="0"/>
              <w:snapToGrid w:val="0"/>
              <w:jc w:val="center"/>
              <w:rPr>
                <w:sz w:val="20"/>
                <w:szCs w:val="20"/>
                <w:lang w:val="fr-FR"/>
              </w:rPr>
            </w:pPr>
            <w:r w:rsidRPr="00D277A9">
              <w:rPr>
                <w:sz w:val="20"/>
                <w:szCs w:val="20"/>
                <w:lang w:val="fr-FR"/>
              </w:rPr>
              <w:t xml:space="preserve">CPB15 </w:t>
            </w:r>
            <w:r w:rsidR="008344D8">
              <w:rPr>
                <w:sz w:val="20"/>
                <w:szCs w:val="20"/>
                <w:lang w:val="fr-FR"/>
              </w:rPr>
              <w:br/>
            </w:r>
            <w:r w:rsidRPr="00D277A9">
              <w:rPr>
                <w:sz w:val="20"/>
                <w:szCs w:val="20"/>
                <w:lang w:val="fr-FR"/>
              </w:rPr>
              <w:t>(n = 625)</w:t>
            </w:r>
          </w:p>
        </w:tc>
        <w:tc>
          <w:tcPr>
            <w:tcW w:w="1992" w:type="dxa"/>
          </w:tcPr>
          <w:p w14:paraId="730ECC11" w14:textId="23D13737" w:rsidR="00C712FC" w:rsidRPr="00D277A9" w:rsidRDefault="00C712FC" w:rsidP="00C712FC">
            <w:pPr>
              <w:pStyle w:val="TableParagraph"/>
              <w:adjustRightInd w:val="0"/>
              <w:snapToGrid w:val="0"/>
              <w:jc w:val="center"/>
              <w:rPr>
                <w:sz w:val="20"/>
                <w:szCs w:val="20"/>
                <w:lang w:val="fr-FR"/>
              </w:rPr>
            </w:pPr>
            <w:r w:rsidRPr="00D277A9">
              <w:rPr>
                <w:sz w:val="20"/>
                <w:szCs w:val="20"/>
                <w:lang w:val="fr-FR"/>
              </w:rPr>
              <w:t xml:space="preserve">CPB15+ </w:t>
            </w:r>
            <w:r w:rsidR="008344D8">
              <w:rPr>
                <w:sz w:val="20"/>
                <w:szCs w:val="20"/>
                <w:lang w:val="fr-FR"/>
              </w:rPr>
              <w:br/>
            </w:r>
            <w:r w:rsidRPr="00D277A9">
              <w:rPr>
                <w:sz w:val="20"/>
                <w:szCs w:val="20"/>
                <w:lang w:val="fr-FR"/>
              </w:rPr>
              <w:t>(n = 623)</w:t>
            </w:r>
          </w:p>
        </w:tc>
      </w:tr>
      <w:tr w:rsidR="00C712FC" w:rsidRPr="00D277A9" w14:paraId="1B45815F" w14:textId="77777777" w:rsidTr="00C91059">
        <w:trPr>
          <w:cantSplit/>
        </w:trPr>
        <w:tc>
          <w:tcPr>
            <w:tcW w:w="3186" w:type="dxa"/>
          </w:tcPr>
          <w:p w14:paraId="36E001A6" w14:textId="77777777" w:rsidR="00C712FC" w:rsidRPr="00D277A9" w:rsidRDefault="00C712FC" w:rsidP="00654D21">
            <w:pPr>
              <w:pStyle w:val="TableParagraph"/>
              <w:adjustRightInd w:val="0"/>
              <w:snapToGrid w:val="0"/>
              <w:jc w:val="center"/>
              <w:rPr>
                <w:sz w:val="20"/>
                <w:szCs w:val="20"/>
                <w:lang w:val="fr-FR"/>
              </w:rPr>
            </w:pPr>
            <w:r w:rsidRPr="00D277A9">
              <w:rPr>
                <w:sz w:val="20"/>
                <w:szCs w:val="20"/>
                <w:lang w:val="fr-FR"/>
              </w:rPr>
              <w:t>Médiane de la survie sans progression (mois)</w:t>
            </w:r>
          </w:p>
        </w:tc>
        <w:tc>
          <w:tcPr>
            <w:tcW w:w="2105" w:type="dxa"/>
          </w:tcPr>
          <w:p w14:paraId="4AABFD4B" w14:textId="77777777" w:rsidR="00C712FC" w:rsidRPr="00D277A9" w:rsidRDefault="00C712FC" w:rsidP="00C712FC">
            <w:pPr>
              <w:pStyle w:val="TableParagraph"/>
              <w:adjustRightInd w:val="0"/>
              <w:snapToGrid w:val="0"/>
              <w:jc w:val="center"/>
              <w:rPr>
                <w:sz w:val="20"/>
                <w:szCs w:val="20"/>
                <w:lang w:val="fr-FR"/>
              </w:rPr>
            </w:pPr>
            <w:r w:rsidRPr="00D277A9">
              <w:rPr>
                <w:sz w:val="20"/>
                <w:szCs w:val="20"/>
                <w:lang w:val="fr-FR"/>
              </w:rPr>
              <w:t>10,6</w:t>
            </w:r>
          </w:p>
        </w:tc>
        <w:tc>
          <w:tcPr>
            <w:tcW w:w="2105" w:type="dxa"/>
          </w:tcPr>
          <w:p w14:paraId="432104BB" w14:textId="77777777" w:rsidR="00C712FC" w:rsidRPr="00D277A9" w:rsidRDefault="00C712FC" w:rsidP="00C712FC">
            <w:pPr>
              <w:pStyle w:val="TableParagraph"/>
              <w:adjustRightInd w:val="0"/>
              <w:snapToGrid w:val="0"/>
              <w:jc w:val="center"/>
              <w:rPr>
                <w:sz w:val="20"/>
                <w:szCs w:val="20"/>
                <w:lang w:val="fr-FR"/>
              </w:rPr>
            </w:pPr>
            <w:r w:rsidRPr="00D277A9">
              <w:rPr>
                <w:sz w:val="20"/>
                <w:szCs w:val="20"/>
                <w:lang w:val="fr-FR"/>
              </w:rPr>
              <w:t>11,6</w:t>
            </w:r>
          </w:p>
        </w:tc>
        <w:tc>
          <w:tcPr>
            <w:tcW w:w="1992" w:type="dxa"/>
          </w:tcPr>
          <w:p w14:paraId="64BF55A5" w14:textId="77777777" w:rsidR="00C712FC" w:rsidRPr="00D277A9" w:rsidRDefault="00C712FC" w:rsidP="00C712FC">
            <w:pPr>
              <w:pStyle w:val="TableParagraph"/>
              <w:adjustRightInd w:val="0"/>
              <w:snapToGrid w:val="0"/>
              <w:jc w:val="center"/>
              <w:rPr>
                <w:sz w:val="20"/>
                <w:szCs w:val="20"/>
                <w:lang w:val="fr-FR"/>
              </w:rPr>
            </w:pPr>
            <w:r w:rsidRPr="00D277A9">
              <w:rPr>
                <w:sz w:val="20"/>
                <w:szCs w:val="20"/>
                <w:lang w:val="fr-FR"/>
              </w:rPr>
              <w:t>14,7</w:t>
            </w:r>
          </w:p>
        </w:tc>
      </w:tr>
      <w:tr w:rsidR="00C712FC" w:rsidRPr="00D277A9" w14:paraId="223F3EA8" w14:textId="77777777" w:rsidTr="00C91059">
        <w:trPr>
          <w:cantSplit/>
        </w:trPr>
        <w:tc>
          <w:tcPr>
            <w:tcW w:w="3186" w:type="dxa"/>
          </w:tcPr>
          <w:p w14:paraId="5480D89A" w14:textId="2A287B69" w:rsidR="00C712FC" w:rsidRPr="00D277A9" w:rsidRDefault="00C712FC" w:rsidP="00654D21">
            <w:pPr>
              <w:pStyle w:val="TableParagraph"/>
              <w:adjustRightInd w:val="0"/>
              <w:snapToGrid w:val="0"/>
              <w:jc w:val="center"/>
              <w:rPr>
                <w:sz w:val="20"/>
                <w:szCs w:val="20"/>
                <w:lang w:val="fr-FR"/>
              </w:rPr>
            </w:pPr>
            <w:r w:rsidRPr="00D277A9">
              <w:rPr>
                <w:sz w:val="20"/>
                <w:szCs w:val="20"/>
                <w:lang w:val="fr-FR"/>
              </w:rPr>
              <w:t xml:space="preserve">Risque relatif (Hazard </w:t>
            </w:r>
            <w:r w:rsidR="00627326">
              <w:rPr>
                <w:sz w:val="20"/>
                <w:szCs w:val="20"/>
                <w:lang w:val="fr-FR"/>
              </w:rPr>
              <w:t>r</w:t>
            </w:r>
            <w:r w:rsidRPr="00D277A9">
              <w:rPr>
                <w:sz w:val="20"/>
                <w:szCs w:val="20"/>
                <w:lang w:val="fr-FR"/>
              </w:rPr>
              <w:t>atio) (Intervalle de confiance de</w:t>
            </w:r>
            <w:r>
              <w:rPr>
                <w:sz w:val="20"/>
                <w:szCs w:val="20"/>
                <w:lang w:val="fr-FR"/>
              </w:rPr>
              <w:t xml:space="preserve"> </w:t>
            </w:r>
            <w:r w:rsidRPr="00D277A9">
              <w:rPr>
                <w:sz w:val="20"/>
                <w:szCs w:val="20"/>
                <w:lang w:val="fr-FR"/>
              </w:rPr>
              <w:t xml:space="preserve">95 %) </w:t>
            </w:r>
            <w:r w:rsidRPr="00D277A9">
              <w:rPr>
                <w:sz w:val="20"/>
                <w:szCs w:val="20"/>
                <w:vertAlign w:val="superscript"/>
                <w:lang w:val="fr-FR"/>
              </w:rPr>
              <w:t>2</w:t>
            </w:r>
          </w:p>
        </w:tc>
        <w:tc>
          <w:tcPr>
            <w:tcW w:w="2105" w:type="dxa"/>
          </w:tcPr>
          <w:p w14:paraId="6E026389" w14:textId="77777777" w:rsidR="00C712FC" w:rsidRPr="00D277A9" w:rsidRDefault="00C712FC" w:rsidP="00C712FC">
            <w:pPr>
              <w:pStyle w:val="TableParagraph"/>
              <w:adjustRightInd w:val="0"/>
              <w:snapToGrid w:val="0"/>
              <w:jc w:val="center"/>
              <w:rPr>
                <w:sz w:val="20"/>
                <w:szCs w:val="20"/>
                <w:lang w:val="fr-FR"/>
              </w:rPr>
            </w:pPr>
          </w:p>
        </w:tc>
        <w:tc>
          <w:tcPr>
            <w:tcW w:w="2105" w:type="dxa"/>
          </w:tcPr>
          <w:p w14:paraId="6CB16592" w14:textId="77777777" w:rsidR="00C712FC" w:rsidRPr="00D277A9" w:rsidRDefault="00C712FC" w:rsidP="00C712FC">
            <w:pPr>
              <w:pStyle w:val="TableParagraph"/>
              <w:adjustRightInd w:val="0"/>
              <w:snapToGrid w:val="0"/>
              <w:jc w:val="center"/>
              <w:rPr>
                <w:sz w:val="20"/>
                <w:szCs w:val="20"/>
                <w:lang w:val="fr-FR"/>
              </w:rPr>
            </w:pPr>
            <w:r w:rsidRPr="00D277A9">
              <w:rPr>
                <w:sz w:val="20"/>
                <w:szCs w:val="20"/>
                <w:lang w:val="fr-FR"/>
              </w:rPr>
              <w:t>0,89</w:t>
            </w:r>
          </w:p>
          <w:p w14:paraId="6C9273F8" w14:textId="55162CDA" w:rsidR="00C712FC" w:rsidRPr="00D277A9" w:rsidRDefault="00C712FC" w:rsidP="00C712FC">
            <w:pPr>
              <w:pStyle w:val="TableParagraph"/>
              <w:adjustRightInd w:val="0"/>
              <w:snapToGrid w:val="0"/>
              <w:jc w:val="center"/>
              <w:rPr>
                <w:sz w:val="20"/>
                <w:szCs w:val="20"/>
                <w:lang w:val="fr-FR"/>
              </w:rPr>
            </w:pPr>
            <w:r w:rsidRPr="00D277A9">
              <w:rPr>
                <w:sz w:val="20"/>
                <w:szCs w:val="20"/>
                <w:lang w:val="fr-FR"/>
              </w:rPr>
              <w:t>(0,78</w:t>
            </w:r>
            <w:r w:rsidR="00881CB8">
              <w:rPr>
                <w:sz w:val="20"/>
                <w:szCs w:val="20"/>
                <w:lang w:val="fr-FR"/>
              </w:rPr>
              <w:t xml:space="preserve"> ; </w:t>
            </w:r>
            <w:r w:rsidRPr="00D277A9">
              <w:rPr>
                <w:sz w:val="20"/>
                <w:szCs w:val="20"/>
                <w:lang w:val="fr-FR"/>
              </w:rPr>
              <w:t>1.02)</w:t>
            </w:r>
          </w:p>
        </w:tc>
        <w:tc>
          <w:tcPr>
            <w:tcW w:w="1992" w:type="dxa"/>
          </w:tcPr>
          <w:p w14:paraId="4977DA85" w14:textId="77777777" w:rsidR="00C712FC" w:rsidRPr="00D277A9" w:rsidRDefault="00C712FC" w:rsidP="00C712FC">
            <w:pPr>
              <w:pStyle w:val="TableParagraph"/>
              <w:adjustRightInd w:val="0"/>
              <w:snapToGrid w:val="0"/>
              <w:jc w:val="center"/>
              <w:rPr>
                <w:sz w:val="20"/>
                <w:szCs w:val="20"/>
                <w:lang w:val="fr-FR"/>
              </w:rPr>
            </w:pPr>
            <w:r w:rsidRPr="00D277A9">
              <w:rPr>
                <w:sz w:val="20"/>
                <w:szCs w:val="20"/>
                <w:lang w:val="fr-FR"/>
              </w:rPr>
              <w:t>0,70</w:t>
            </w:r>
          </w:p>
          <w:p w14:paraId="1606E9AD" w14:textId="4EC3969D" w:rsidR="00C712FC" w:rsidRPr="00D277A9" w:rsidRDefault="00C712FC" w:rsidP="00C712FC">
            <w:pPr>
              <w:pStyle w:val="TableParagraph"/>
              <w:adjustRightInd w:val="0"/>
              <w:snapToGrid w:val="0"/>
              <w:jc w:val="center"/>
              <w:rPr>
                <w:sz w:val="20"/>
                <w:szCs w:val="20"/>
                <w:lang w:val="fr-FR"/>
              </w:rPr>
            </w:pPr>
            <w:r w:rsidRPr="00D277A9">
              <w:rPr>
                <w:sz w:val="20"/>
                <w:szCs w:val="20"/>
                <w:lang w:val="fr-FR"/>
              </w:rPr>
              <w:t>(0.61</w:t>
            </w:r>
            <w:r w:rsidR="00881CB8">
              <w:rPr>
                <w:sz w:val="20"/>
                <w:szCs w:val="20"/>
                <w:lang w:val="fr-FR"/>
              </w:rPr>
              <w:t xml:space="preserve"> ; </w:t>
            </w:r>
            <w:r w:rsidRPr="00D277A9">
              <w:rPr>
                <w:sz w:val="20"/>
                <w:szCs w:val="20"/>
                <w:lang w:val="fr-FR"/>
              </w:rPr>
              <w:t>0.81)</w:t>
            </w:r>
          </w:p>
        </w:tc>
      </w:tr>
      <w:tr w:rsidR="00C712FC" w:rsidRPr="00D277A9" w14:paraId="0EB7B40C" w14:textId="77777777" w:rsidTr="00C91059">
        <w:trPr>
          <w:cantSplit/>
        </w:trPr>
        <w:tc>
          <w:tcPr>
            <w:tcW w:w="3186" w:type="dxa"/>
          </w:tcPr>
          <w:p w14:paraId="6F537E55" w14:textId="77777777" w:rsidR="00C712FC" w:rsidRPr="00D277A9" w:rsidRDefault="00C712FC" w:rsidP="00654D21">
            <w:pPr>
              <w:pStyle w:val="TableParagraph"/>
              <w:adjustRightInd w:val="0"/>
              <w:snapToGrid w:val="0"/>
              <w:jc w:val="center"/>
              <w:rPr>
                <w:sz w:val="20"/>
                <w:szCs w:val="20"/>
                <w:lang w:val="fr-FR"/>
              </w:rPr>
            </w:pPr>
            <w:r w:rsidRPr="00D277A9">
              <w:rPr>
                <w:sz w:val="20"/>
                <w:szCs w:val="20"/>
                <w:lang w:val="fr-FR"/>
              </w:rPr>
              <w:t>Valeur du p</w:t>
            </w:r>
            <w:r w:rsidRPr="00D277A9">
              <w:rPr>
                <w:sz w:val="20"/>
                <w:szCs w:val="20"/>
                <w:vertAlign w:val="superscript"/>
                <w:lang w:val="fr-FR"/>
              </w:rPr>
              <w:t>3,</w:t>
            </w:r>
            <w:r w:rsidRPr="00D277A9">
              <w:rPr>
                <w:sz w:val="20"/>
                <w:szCs w:val="20"/>
                <w:lang w:val="fr-FR"/>
              </w:rPr>
              <w:t xml:space="preserve"> </w:t>
            </w:r>
            <w:r w:rsidRPr="00D277A9">
              <w:rPr>
                <w:sz w:val="20"/>
                <w:szCs w:val="20"/>
                <w:vertAlign w:val="superscript"/>
                <w:lang w:val="fr-FR"/>
              </w:rPr>
              <w:t>4</w:t>
            </w:r>
          </w:p>
        </w:tc>
        <w:tc>
          <w:tcPr>
            <w:tcW w:w="2105" w:type="dxa"/>
          </w:tcPr>
          <w:p w14:paraId="712271C5" w14:textId="77777777" w:rsidR="00C712FC" w:rsidRPr="00D277A9" w:rsidRDefault="00C712FC" w:rsidP="00C712FC">
            <w:pPr>
              <w:pStyle w:val="TableParagraph"/>
              <w:adjustRightInd w:val="0"/>
              <w:snapToGrid w:val="0"/>
              <w:jc w:val="center"/>
              <w:rPr>
                <w:sz w:val="20"/>
                <w:szCs w:val="20"/>
                <w:lang w:val="fr-FR"/>
              </w:rPr>
            </w:pPr>
          </w:p>
        </w:tc>
        <w:tc>
          <w:tcPr>
            <w:tcW w:w="2105" w:type="dxa"/>
          </w:tcPr>
          <w:p w14:paraId="51738C2D" w14:textId="77777777" w:rsidR="00C712FC" w:rsidRPr="00D277A9" w:rsidRDefault="00C712FC" w:rsidP="00C712FC">
            <w:pPr>
              <w:pStyle w:val="TableParagraph"/>
              <w:adjustRightInd w:val="0"/>
              <w:snapToGrid w:val="0"/>
              <w:jc w:val="center"/>
              <w:rPr>
                <w:sz w:val="20"/>
                <w:szCs w:val="20"/>
                <w:lang w:val="fr-FR"/>
              </w:rPr>
            </w:pPr>
            <w:r w:rsidRPr="00D277A9">
              <w:rPr>
                <w:sz w:val="20"/>
                <w:szCs w:val="20"/>
                <w:lang w:val="fr-FR"/>
              </w:rPr>
              <w:t>0,0437</w:t>
            </w:r>
          </w:p>
        </w:tc>
        <w:tc>
          <w:tcPr>
            <w:tcW w:w="1992" w:type="dxa"/>
          </w:tcPr>
          <w:p w14:paraId="58D56CB1" w14:textId="77777777" w:rsidR="00C712FC" w:rsidRPr="00D277A9" w:rsidRDefault="00C712FC" w:rsidP="00C712FC">
            <w:pPr>
              <w:pStyle w:val="TableParagraph"/>
              <w:adjustRightInd w:val="0"/>
              <w:snapToGrid w:val="0"/>
              <w:jc w:val="center"/>
              <w:rPr>
                <w:sz w:val="20"/>
                <w:szCs w:val="20"/>
                <w:lang w:val="fr-FR"/>
              </w:rPr>
            </w:pPr>
            <w:r w:rsidRPr="00D277A9">
              <w:rPr>
                <w:sz w:val="20"/>
                <w:szCs w:val="20"/>
                <w:lang w:val="fr-FR"/>
              </w:rPr>
              <w:t>&lt; 0,0001</w:t>
            </w:r>
          </w:p>
        </w:tc>
      </w:tr>
      <w:tr w:rsidR="004401F0" w:rsidRPr="00D277A9" w14:paraId="0EDEAC44" w14:textId="77777777" w:rsidTr="00C91059">
        <w:trPr>
          <w:cantSplit/>
        </w:trPr>
        <w:tc>
          <w:tcPr>
            <w:tcW w:w="9388" w:type="dxa"/>
            <w:gridSpan w:val="4"/>
          </w:tcPr>
          <w:p w14:paraId="3882D97F" w14:textId="77777777" w:rsidR="004401F0" w:rsidRPr="00D277A9" w:rsidRDefault="00DF3C4F">
            <w:pPr>
              <w:pStyle w:val="TableParagraph"/>
              <w:adjustRightInd w:val="0"/>
              <w:snapToGrid w:val="0"/>
              <w:rPr>
                <w:sz w:val="20"/>
                <w:szCs w:val="20"/>
                <w:lang w:val="fr-FR"/>
              </w:rPr>
            </w:pPr>
            <w:r w:rsidRPr="00D277A9">
              <w:rPr>
                <w:sz w:val="20"/>
                <w:szCs w:val="20"/>
                <w:lang w:val="fr-FR"/>
              </w:rPr>
              <w:t xml:space="preserve">Taux de réponse objective </w:t>
            </w:r>
            <w:r w:rsidRPr="00D277A9">
              <w:rPr>
                <w:sz w:val="20"/>
                <w:szCs w:val="20"/>
                <w:vertAlign w:val="superscript"/>
                <w:lang w:val="fr-FR"/>
              </w:rPr>
              <w:t>5</w:t>
            </w:r>
          </w:p>
        </w:tc>
      </w:tr>
      <w:tr w:rsidR="00C91059" w:rsidRPr="00D277A9" w14:paraId="16B792D5" w14:textId="77777777" w:rsidTr="00C91059">
        <w:trPr>
          <w:cantSplit/>
        </w:trPr>
        <w:tc>
          <w:tcPr>
            <w:tcW w:w="3186" w:type="dxa"/>
          </w:tcPr>
          <w:p w14:paraId="0F8358FD" w14:textId="77777777" w:rsidR="00C91059" w:rsidRPr="00D277A9" w:rsidRDefault="00C91059" w:rsidP="00B40553">
            <w:pPr>
              <w:pStyle w:val="TableParagraph"/>
              <w:adjustRightInd w:val="0"/>
              <w:snapToGrid w:val="0"/>
              <w:rPr>
                <w:sz w:val="20"/>
                <w:szCs w:val="20"/>
                <w:lang w:val="fr-FR"/>
              </w:rPr>
            </w:pPr>
          </w:p>
        </w:tc>
        <w:tc>
          <w:tcPr>
            <w:tcW w:w="2105" w:type="dxa"/>
          </w:tcPr>
          <w:p w14:paraId="3CF9A2CC" w14:textId="1D797CD2" w:rsidR="00C91059" w:rsidRPr="00D277A9" w:rsidRDefault="00C91059" w:rsidP="00C712FC">
            <w:pPr>
              <w:pStyle w:val="TableParagraph"/>
              <w:adjustRightInd w:val="0"/>
              <w:snapToGrid w:val="0"/>
              <w:jc w:val="center"/>
              <w:rPr>
                <w:sz w:val="20"/>
                <w:szCs w:val="20"/>
                <w:lang w:val="fr-FR"/>
              </w:rPr>
            </w:pPr>
            <w:r w:rsidRPr="00D277A9">
              <w:rPr>
                <w:sz w:val="20"/>
                <w:szCs w:val="20"/>
                <w:lang w:val="fr-FR"/>
              </w:rPr>
              <w:t xml:space="preserve">CPP </w:t>
            </w:r>
            <w:r w:rsidR="008344D8">
              <w:rPr>
                <w:sz w:val="20"/>
                <w:szCs w:val="20"/>
                <w:lang w:val="fr-FR"/>
              </w:rPr>
              <w:br/>
            </w:r>
            <w:r w:rsidRPr="00D277A9">
              <w:rPr>
                <w:sz w:val="20"/>
                <w:szCs w:val="20"/>
                <w:lang w:val="fr-FR"/>
              </w:rPr>
              <w:t>(n = 396)</w:t>
            </w:r>
          </w:p>
        </w:tc>
        <w:tc>
          <w:tcPr>
            <w:tcW w:w="2105" w:type="dxa"/>
          </w:tcPr>
          <w:p w14:paraId="4FE7517D" w14:textId="19557BC0" w:rsidR="00C91059" w:rsidRPr="00D277A9" w:rsidRDefault="00C91059" w:rsidP="00C712FC">
            <w:pPr>
              <w:pStyle w:val="TableParagraph"/>
              <w:adjustRightInd w:val="0"/>
              <w:snapToGrid w:val="0"/>
              <w:jc w:val="center"/>
              <w:rPr>
                <w:sz w:val="20"/>
                <w:szCs w:val="20"/>
                <w:lang w:val="fr-FR"/>
              </w:rPr>
            </w:pPr>
            <w:r w:rsidRPr="00D277A9">
              <w:rPr>
                <w:sz w:val="20"/>
                <w:szCs w:val="20"/>
                <w:lang w:val="fr-FR"/>
              </w:rPr>
              <w:t xml:space="preserve">CPB15 </w:t>
            </w:r>
            <w:r w:rsidR="008344D8">
              <w:rPr>
                <w:sz w:val="20"/>
                <w:szCs w:val="20"/>
                <w:lang w:val="fr-FR"/>
              </w:rPr>
              <w:br/>
            </w:r>
            <w:r w:rsidRPr="00D277A9">
              <w:rPr>
                <w:sz w:val="20"/>
                <w:szCs w:val="20"/>
                <w:lang w:val="fr-FR"/>
              </w:rPr>
              <w:t>(n = 393)</w:t>
            </w:r>
          </w:p>
        </w:tc>
        <w:tc>
          <w:tcPr>
            <w:tcW w:w="1992" w:type="dxa"/>
          </w:tcPr>
          <w:p w14:paraId="782DF908" w14:textId="291E3955" w:rsidR="00C91059" w:rsidRPr="00D277A9" w:rsidRDefault="00C91059" w:rsidP="00C712FC">
            <w:pPr>
              <w:pStyle w:val="TableParagraph"/>
              <w:adjustRightInd w:val="0"/>
              <w:snapToGrid w:val="0"/>
              <w:jc w:val="center"/>
              <w:rPr>
                <w:sz w:val="20"/>
                <w:szCs w:val="20"/>
                <w:lang w:val="fr-FR"/>
              </w:rPr>
            </w:pPr>
            <w:r w:rsidRPr="00D277A9">
              <w:rPr>
                <w:sz w:val="20"/>
                <w:szCs w:val="20"/>
                <w:lang w:val="fr-FR"/>
              </w:rPr>
              <w:t xml:space="preserve">CPB15+ </w:t>
            </w:r>
            <w:r w:rsidR="008344D8">
              <w:rPr>
                <w:sz w:val="20"/>
                <w:szCs w:val="20"/>
                <w:lang w:val="fr-FR"/>
              </w:rPr>
              <w:br/>
            </w:r>
            <w:r w:rsidRPr="00D277A9">
              <w:rPr>
                <w:sz w:val="20"/>
                <w:szCs w:val="20"/>
                <w:lang w:val="fr-FR"/>
              </w:rPr>
              <w:t>(n = 403)</w:t>
            </w:r>
          </w:p>
        </w:tc>
      </w:tr>
      <w:tr w:rsidR="00C91059" w:rsidRPr="00D277A9" w14:paraId="590DC4DD" w14:textId="77777777" w:rsidTr="00C91059">
        <w:trPr>
          <w:cantSplit/>
        </w:trPr>
        <w:tc>
          <w:tcPr>
            <w:tcW w:w="3186" w:type="dxa"/>
          </w:tcPr>
          <w:p w14:paraId="1B88B0A6" w14:textId="77777777" w:rsidR="00C91059" w:rsidRPr="00D277A9" w:rsidRDefault="00C91059" w:rsidP="00654D21">
            <w:pPr>
              <w:adjustRightInd w:val="0"/>
              <w:snapToGrid w:val="0"/>
              <w:jc w:val="center"/>
              <w:rPr>
                <w:sz w:val="20"/>
                <w:szCs w:val="20"/>
                <w:lang w:val="fr-FR"/>
              </w:rPr>
            </w:pPr>
            <w:r w:rsidRPr="00D277A9">
              <w:rPr>
                <w:sz w:val="20"/>
                <w:szCs w:val="20"/>
                <w:lang w:val="fr-FR"/>
              </w:rPr>
              <w:t>% de patientes avec une réponse objective</w:t>
            </w:r>
          </w:p>
        </w:tc>
        <w:tc>
          <w:tcPr>
            <w:tcW w:w="2105" w:type="dxa"/>
          </w:tcPr>
          <w:p w14:paraId="65ED9DC7" w14:textId="77777777" w:rsidR="00C91059" w:rsidRPr="00D277A9" w:rsidRDefault="00C91059" w:rsidP="00C91059">
            <w:pPr>
              <w:pStyle w:val="TableParagraph"/>
              <w:adjustRightInd w:val="0"/>
              <w:snapToGrid w:val="0"/>
              <w:jc w:val="center"/>
              <w:rPr>
                <w:sz w:val="20"/>
                <w:szCs w:val="20"/>
                <w:lang w:val="fr-FR"/>
              </w:rPr>
            </w:pPr>
            <w:r w:rsidRPr="00D277A9">
              <w:rPr>
                <w:sz w:val="20"/>
                <w:szCs w:val="20"/>
                <w:lang w:val="fr-FR"/>
              </w:rPr>
              <w:t>63,4</w:t>
            </w:r>
          </w:p>
        </w:tc>
        <w:tc>
          <w:tcPr>
            <w:tcW w:w="2105" w:type="dxa"/>
          </w:tcPr>
          <w:p w14:paraId="67CAD473" w14:textId="77777777" w:rsidR="00C91059" w:rsidRPr="00D277A9" w:rsidRDefault="00C91059" w:rsidP="00C91059">
            <w:pPr>
              <w:pStyle w:val="TableParagraph"/>
              <w:adjustRightInd w:val="0"/>
              <w:snapToGrid w:val="0"/>
              <w:jc w:val="center"/>
              <w:rPr>
                <w:sz w:val="20"/>
                <w:szCs w:val="20"/>
                <w:lang w:val="fr-FR"/>
              </w:rPr>
            </w:pPr>
            <w:r w:rsidRPr="00D277A9">
              <w:rPr>
                <w:sz w:val="20"/>
                <w:szCs w:val="20"/>
                <w:lang w:val="fr-FR"/>
              </w:rPr>
              <w:t>66,2</w:t>
            </w:r>
          </w:p>
        </w:tc>
        <w:tc>
          <w:tcPr>
            <w:tcW w:w="1992" w:type="dxa"/>
          </w:tcPr>
          <w:p w14:paraId="6B4534F6" w14:textId="77777777" w:rsidR="00C91059" w:rsidRPr="00D277A9" w:rsidRDefault="00C91059" w:rsidP="00C91059">
            <w:pPr>
              <w:pStyle w:val="TableParagraph"/>
              <w:adjustRightInd w:val="0"/>
              <w:snapToGrid w:val="0"/>
              <w:jc w:val="center"/>
              <w:rPr>
                <w:sz w:val="20"/>
                <w:szCs w:val="20"/>
                <w:lang w:val="fr-FR"/>
              </w:rPr>
            </w:pPr>
            <w:r w:rsidRPr="00D277A9">
              <w:rPr>
                <w:sz w:val="20"/>
                <w:szCs w:val="20"/>
                <w:lang w:val="fr-FR"/>
              </w:rPr>
              <w:t>66,0</w:t>
            </w:r>
          </w:p>
        </w:tc>
      </w:tr>
      <w:tr w:rsidR="00C91059" w:rsidRPr="00D277A9" w14:paraId="06D79F98" w14:textId="77777777" w:rsidTr="00C91059">
        <w:trPr>
          <w:cantSplit/>
        </w:trPr>
        <w:tc>
          <w:tcPr>
            <w:tcW w:w="3186" w:type="dxa"/>
          </w:tcPr>
          <w:p w14:paraId="00464A1A" w14:textId="77777777" w:rsidR="00C91059" w:rsidRPr="00D277A9" w:rsidRDefault="00C91059" w:rsidP="00654D21">
            <w:pPr>
              <w:pStyle w:val="TableParagraph"/>
              <w:adjustRightInd w:val="0"/>
              <w:snapToGrid w:val="0"/>
              <w:jc w:val="center"/>
              <w:rPr>
                <w:sz w:val="20"/>
                <w:szCs w:val="20"/>
                <w:lang w:val="fr-FR"/>
              </w:rPr>
            </w:pPr>
            <w:r w:rsidRPr="00D277A9">
              <w:rPr>
                <w:sz w:val="20"/>
                <w:szCs w:val="20"/>
                <w:lang w:val="fr-FR"/>
              </w:rPr>
              <w:t>Valeur du p</w:t>
            </w:r>
          </w:p>
        </w:tc>
        <w:tc>
          <w:tcPr>
            <w:tcW w:w="2105" w:type="dxa"/>
          </w:tcPr>
          <w:p w14:paraId="23956592" w14:textId="77777777" w:rsidR="00C91059" w:rsidRPr="00D277A9" w:rsidRDefault="00C91059" w:rsidP="00C712FC">
            <w:pPr>
              <w:pStyle w:val="TableParagraph"/>
              <w:adjustRightInd w:val="0"/>
              <w:snapToGrid w:val="0"/>
              <w:jc w:val="center"/>
              <w:rPr>
                <w:sz w:val="20"/>
                <w:szCs w:val="20"/>
                <w:lang w:val="fr-FR"/>
              </w:rPr>
            </w:pPr>
          </w:p>
        </w:tc>
        <w:tc>
          <w:tcPr>
            <w:tcW w:w="2105" w:type="dxa"/>
          </w:tcPr>
          <w:p w14:paraId="35664644" w14:textId="77777777" w:rsidR="00C91059" w:rsidRPr="00D277A9" w:rsidRDefault="00C91059" w:rsidP="00C712FC">
            <w:pPr>
              <w:pStyle w:val="TableParagraph"/>
              <w:adjustRightInd w:val="0"/>
              <w:snapToGrid w:val="0"/>
              <w:jc w:val="center"/>
              <w:rPr>
                <w:sz w:val="20"/>
                <w:szCs w:val="20"/>
                <w:lang w:val="fr-FR"/>
              </w:rPr>
            </w:pPr>
            <w:r w:rsidRPr="00D277A9">
              <w:rPr>
                <w:sz w:val="20"/>
                <w:szCs w:val="20"/>
                <w:lang w:val="fr-FR"/>
              </w:rPr>
              <w:t>0,2341</w:t>
            </w:r>
          </w:p>
        </w:tc>
        <w:tc>
          <w:tcPr>
            <w:tcW w:w="1992" w:type="dxa"/>
          </w:tcPr>
          <w:p w14:paraId="2FA277B8" w14:textId="77777777" w:rsidR="00C91059" w:rsidRPr="00D277A9" w:rsidRDefault="00C91059" w:rsidP="00C712FC">
            <w:pPr>
              <w:pStyle w:val="TableParagraph"/>
              <w:adjustRightInd w:val="0"/>
              <w:snapToGrid w:val="0"/>
              <w:jc w:val="center"/>
              <w:rPr>
                <w:sz w:val="20"/>
                <w:szCs w:val="20"/>
                <w:lang w:val="fr-FR"/>
              </w:rPr>
            </w:pPr>
            <w:r w:rsidRPr="00D277A9">
              <w:rPr>
                <w:sz w:val="20"/>
                <w:szCs w:val="20"/>
                <w:lang w:val="fr-FR"/>
              </w:rPr>
              <w:t>0,2041</w:t>
            </w:r>
          </w:p>
        </w:tc>
      </w:tr>
      <w:tr w:rsidR="004401F0" w:rsidRPr="00D277A9" w14:paraId="6CCFBC15" w14:textId="77777777" w:rsidTr="00C91059">
        <w:trPr>
          <w:cantSplit/>
        </w:trPr>
        <w:tc>
          <w:tcPr>
            <w:tcW w:w="9388" w:type="dxa"/>
            <w:gridSpan w:val="4"/>
          </w:tcPr>
          <w:p w14:paraId="19124437" w14:textId="6E134402" w:rsidR="004401F0" w:rsidRPr="00D277A9" w:rsidRDefault="00DF3C4F">
            <w:pPr>
              <w:pStyle w:val="TableParagraph"/>
              <w:adjustRightInd w:val="0"/>
              <w:snapToGrid w:val="0"/>
              <w:rPr>
                <w:sz w:val="20"/>
                <w:szCs w:val="20"/>
                <w:lang w:val="fr-FR"/>
              </w:rPr>
            </w:pPr>
            <w:r w:rsidRPr="00D277A9">
              <w:rPr>
                <w:sz w:val="20"/>
                <w:szCs w:val="20"/>
                <w:lang w:val="fr-FR"/>
              </w:rPr>
              <w:t xml:space="preserve">Survie </w:t>
            </w:r>
            <w:r w:rsidR="00A17B93">
              <w:rPr>
                <w:sz w:val="20"/>
                <w:szCs w:val="20"/>
                <w:lang w:val="fr-FR"/>
              </w:rPr>
              <w:t>g</w:t>
            </w:r>
            <w:r w:rsidRPr="00D277A9">
              <w:rPr>
                <w:sz w:val="20"/>
                <w:szCs w:val="20"/>
                <w:lang w:val="fr-FR"/>
              </w:rPr>
              <w:t xml:space="preserve">lobale </w:t>
            </w:r>
            <w:r w:rsidRPr="00D277A9">
              <w:rPr>
                <w:sz w:val="20"/>
                <w:szCs w:val="20"/>
                <w:vertAlign w:val="superscript"/>
                <w:lang w:val="fr-FR"/>
              </w:rPr>
              <w:t>6</w:t>
            </w:r>
          </w:p>
        </w:tc>
      </w:tr>
      <w:tr w:rsidR="00577162" w:rsidRPr="00D277A9" w14:paraId="1889661C" w14:textId="77777777" w:rsidTr="00C91059">
        <w:trPr>
          <w:cantSplit/>
        </w:trPr>
        <w:tc>
          <w:tcPr>
            <w:tcW w:w="3186" w:type="dxa"/>
          </w:tcPr>
          <w:p w14:paraId="786F641E" w14:textId="77777777" w:rsidR="00577162" w:rsidRPr="00D277A9" w:rsidRDefault="00577162" w:rsidP="00654D21">
            <w:pPr>
              <w:pStyle w:val="TableParagraph"/>
              <w:adjustRightInd w:val="0"/>
              <w:snapToGrid w:val="0"/>
              <w:jc w:val="center"/>
              <w:rPr>
                <w:sz w:val="20"/>
                <w:szCs w:val="20"/>
                <w:lang w:val="fr-FR"/>
              </w:rPr>
            </w:pPr>
          </w:p>
        </w:tc>
        <w:tc>
          <w:tcPr>
            <w:tcW w:w="2105" w:type="dxa"/>
          </w:tcPr>
          <w:p w14:paraId="6460C1B7" w14:textId="4391C22A" w:rsidR="00577162" w:rsidRPr="00D277A9" w:rsidRDefault="00577162" w:rsidP="00C712FC">
            <w:pPr>
              <w:pStyle w:val="TableParagraph"/>
              <w:adjustRightInd w:val="0"/>
              <w:snapToGrid w:val="0"/>
              <w:jc w:val="center"/>
              <w:rPr>
                <w:sz w:val="20"/>
                <w:szCs w:val="20"/>
                <w:lang w:val="fr-FR"/>
              </w:rPr>
            </w:pPr>
            <w:r w:rsidRPr="00D277A9">
              <w:rPr>
                <w:sz w:val="20"/>
                <w:szCs w:val="20"/>
                <w:lang w:val="fr-FR"/>
              </w:rPr>
              <w:t xml:space="preserve">CPP </w:t>
            </w:r>
            <w:r w:rsidR="008344D8">
              <w:rPr>
                <w:sz w:val="20"/>
                <w:szCs w:val="20"/>
                <w:lang w:val="fr-FR"/>
              </w:rPr>
              <w:br/>
            </w:r>
            <w:r w:rsidRPr="00D277A9">
              <w:rPr>
                <w:sz w:val="20"/>
                <w:szCs w:val="20"/>
                <w:lang w:val="fr-FR"/>
              </w:rPr>
              <w:t>(n = 625)</w:t>
            </w:r>
          </w:p>
        </w:tc>
        <w:tc>
          <w:tcPr>
            <w:tcW w:w="2105" w:type="dxa"/>
          </w:tcPr>
          <w:p w14:paraId="6EF47C31" w14:textId="42E270F8" w:rsidR="00577162" w:rsidRPr="00D277A9" w:rsidRDefault="00577162" w:rsidP="00C712FC">
            <w:pPr>
              <w:pStyle w:val="TableParagraph"/>
              <w:adjustRightInd w:val="0"/>
              <w:snapToGrid w:val="0"/>
              <w:jc w:val="center"/>
              <w:rPr>
                <w:sz w:val="20"/>
                <w:szCs w:val="20"/>
                <w:lang w:val="fr-FR"/>
              </w:rPr>
            </w:pPr>
            <w:r w:rsidRPr="00D277A9">
              <w:rPr>
                <w:sz w:val="20"/>
                <w:szCs w:val="20"/>
                <w:lang w:val="fr-FR"/>
              </w:rPr>
              <w:t xml:space="preserve">CPB15 </w:t>
            </w:r>
            <w:r w:rsidR="008344D8">
              <w:rPr>
                <w:sz w:val="20"/>
                <w:szCs w:val="20"/>
                <w:lang w:val="fr-FR"/>
              </w:rPr>
              <w:br/>
            </w:r>
            <w:r w:rsidRPr="00D277A9">
              <w:rPr>
                <w:sz w:val="20"/>
                <w:szCs w:val="20"/>
                <w:lang w:val="fr-FR"/>
              </w:rPr>
              <w:t>(n = 625)</w:t>
            </w:r>
          </w:p>
        </w:tc>
        <w:tc>
          <w:tcPr>
            <w:tcW w:w="1992" w:type="dxa"/>
          </w:tcPr>
          <w:p w14:paraId="344D6787" w14:textId="16599488" w:rsidR="00577162" w:rsidRPr="00D277A9" w:rsidRDefault="00577162" w:rsidP="00C712FC">
            <w:pPr>
              <w:pStyle w:val="TableParagraph"/>
              <w:adjustRightInd w:val="0"/>
              <w:snapToGrid w:val="0"/>
              <w:jc w:val="center"/>
              <w:rPr>
                <w:sz w:val="20"/>
                <w:szCs w:val="20"/>
                <w:lang w:val="fr-FR"/>
              </w:rPr>
            </w:pPr>
            <w:r w:rsidRPr="00D277A9">
              <w:rPr>
                <w:sz w:val="20"/>
                <w:szCs w:val="20"/>
                <w:lang w:val="fr-FR"/>
              </w:rPr>
              <w:t xml:space="preserve">CPB15+ </w:t>
            </w:r>
            <w:r w:rsidR="008344D8">
              <w:rPr>
                <w:sz w:val="20"/>
                <w:szCs w:val="20"/>
                <w:lang w:val="fr-FR"/>
              </w:rPr>
              <w:br/>
            </w:r>
            <w:r w:rsidRPr="00D277A9">
              <w:rPr>
                <w:sz w:val="20"/>
                <w:szCs w:val="20"/>
                <w:lang w:val="fr-FR"/>
              </w:rPr>
              <w:t>(n = 623)</w:t>
            </w:r>
          </w:p>
        </w:tc>
      </w:tr>
      <w:tr w:rsidR="00577162" w:rsidRPr="00D277A9" w14:paraId="12C3696B" w14:textId="77777777" w:rsidTr="00C91059">
        <w:trPr>
          <w:cantSplit/>
        </w:trPr>
        <w:tc>
          <w:tcPr>
            <w:tcW w:w="3186" w:type="dxa"/>
          </w:tcPr>
          <w:p w14:paraId="6A1EFF42" w14:textId="77777777" w:rsidR="00577162" w:rsidRPr="00D277A9" w:rsidRDefault="00577162" w:rsidP="00654D21">
            <w:pPr>
              <w:adjustRightInd w:val="0"/>
              <w:snapToGrid w:val="0"/>
              <w:jc w:val="center"/>
              <w:rPr>
                <w:sz w:val="20"/>
                <w:szCs w:val="20"/>
                <w:lang w:val="fr-FR"/>
              </w:rPr>
            </w:pPr>
            <w:r w:rsidRPr="00D277A9">
              <w:rPr>
                <w:sz w:val="20"/>
                <w:szCs w:val="20"/>
                <w:lang w:val="fr-FR"/>
              </w:rPr>
              <w:t>Médiane de survie globale (mois)</w:t>
            </w:r>
          </w:p>
        </w:tc>
        <w:tc>
          <w:tcPr>
            <w:tcW w:w="2105" w:type="dxa"/>
          </w:tcPr>
          <w:p w14:paraId="423384EE" w14:textId="77777777" w:rsidR="00577162" w:rsidRPr="00D277A9" w:rsidRDefault="00577162" w:rsidP="00577162">
            <w:pPr>
              <w:pStyle w:val="TableParagraph"/>
              <w:adjustRightInd w:val="0"/>
              <w:snapToGrid w:val="0"/>
              <w:jc w:val="center"/>
              <w:rPr>
                <w:sz w:val="20"/>
                <w:szCs w:val="20"/>
                <w:lang w:val="fr-FR"/>
              </w:rPr>
            </w:pPr>
            <w:r w:rsidRPr="00D277A9">
              <w:rPr>
                <w:sz w:val="20"/>
                <w:szCs w:val="20"/>
                <w:lang w:val="fr-FR"/>
              </w:rPr>
              <w:t>40,6</w:t>
            </w:r>
          </w:p>
        </w:tc>
        <w:tc>
          <w:tcPr>
            <w:tcW w:w="2105" w:type="dxa"/>
          </w:tcPr>
          <w:p w14:paraId="4D7F8543" w14:textId="77777777" w:rsidR="00577162" w:rsidRPr="00D277A9" w:rsidRDefault="00577162" w:rsidP="00577162">
            <w:pPr>
              <w:pStyle w:val="TableParagraph"/>
              <w:adjustRightInd w:val="0"/>
              <w:snapToGrid w:val="0"/>
              <w:jc w:val="center"/>
              <w:rPr>
                <w:sz w:val="20"/>
                <w:szCs w:val="20"/>
                <w:lang w:val="fr-FR"/>
              </w:rPr>
            </w:pPr>
            <w:r w:rsidRPr="00D277A9">
              <w:rPr>
                <w:sz w:val="20"/>
                <w:szCs w:val="20"/>
                <w:lang w:val="fr-FR"/>
              </w:rPr>
              <w:t>38,8</w:t>
            </w:r>
          </w:p>
        </w:tc>
        <w:tc>
          <w:tcPr>
            <w:tcW w:w="1992" w:type="dxa"/>
          </w:tcPr>
          <w:p w14:paraId="30283D46" w14:textId="77777777" w:rsidR="00577162" w:rsidRPr="00D277A9" w:rsidRDefault="00577162" w:rsidP="00577162">
            <w:pPr>
              <w:pStyle w:val="TableParagraph"/>
              <w:adjustRightInd w:val="0"/>
              <w:snapToGrid w:val="0"/>
              <w:jc w:val="center"/>
              <w:rPr>
                <w:sz w:val="20"/>
                <w:szCs w:val="20"/>
                <w:lang w:val="fr-FR"/>
              </w:rPr>
            </w:pPr>
            <w:r w:rsidRPr="00D277A9">
              <w:rPr>
                <w:sz w:val="20"/>
                <w:szCs w:val="20"/>
                <w:lang w:val="fr-FR"/>
              </w:rPr>
              <w:t>43,8</w:t>
            </w:r>
          </w:p>
        </w:tc>
      </w:tr>
      <w:tr w:rsidR="00C91059" w:rsidRPr="00D277A9" w14:paraId="409CAA92" w14:textId="77777777" w:rsidTr="00C91059">
        <w:trPr>
          <w:cantSplit/>
        </w:trPr>
        <w:tc>
          <w:tcPr>
            <w:tcW w:w="3186" w:type="dxa"/>
          </w:tcPr>
          <w:p w14:paraId="6DAFF02E" w14:textId="7424EAE6" w:rsidR="00C91059" w:rsidRPr="00D277A9" w:rsidRDefault="00C91059" w:rsidP="00654D21">
            <w:pPr>
              <w:pStyle w:val="TableParagraph"/>
              <w:adjustRightInd w:val="0"/>
              <w:snapToGrid w:val="0"/>
              <w:jc w:val="center"/>
              <w:rPr>
                <w:sz w:val="20"/>
                <w:szCs w:val="20"/>
                <w:lang w:val="fr-FR"/>
              </w:rPr>
            </w:pPr>
            <w:r w:rsidRPr="00D277A9">
              <w:rPr>
                <w:sz w:val="20"/>
                <w:szCs w:val="20"/>
                <w:lang w:val="fr-FR"/>
              </w:rPr>
              <w:t xml:space="preserve">Risque relatif (Hazard </w:t>
            </w:r>
            <w:r w:rsidR="00627326">
              <w:rPr>
                <w:sz w:val="20"/>
                <w:szCs w:val="20"/>
                <w:lang w:val="fr-FR"/>
              </w:rPr>
              <w:t>r</w:t>
            </w:r>
            <w:r w:rsidRPr="00D277A9">
              <w:rPr>
                <w:sz w:val="20"/>
                <w:szCs w:val="20"/>
                <w:lang w:val="fr-FR"/>
              </w:rPr>
              <w:t>atio) (Intervalle de confiance de</w:t>
            </w:r>
            <w:r w:rsidR="002A41A6">
              <w:rPr>
                <w:sz w:val="20"/>
                <w:szCs w:val="20"/>
                <w:lang w:val="fr-FR"/>
              </w:rPr>
              <w:t xml:space="preserve"> </w:t>
            </w:r>
            <w:r w:rsidRPr="00D277A9">
              <w:rPr>
                <w:sz w:val="20"/>
                <w:szCs w:val="20"/>
                <w:lang w:val="fr-FR"/>
              </w:rPr>
              <w:t xml:space="preserve">95 %) </w:t>
            </w:r>
            <w:r w:rsidRPr="00D277A9">
              <w:rPr>
                <w:sz w:val="20"/>
                <w:szCs w:val="20"/>
                <w:vertAlign w:val="superscript"/>
                <w:lang w:val="fr-FR"/>
              </w:rPr>
              <w:t>2</w:t>
            </w:r>
          </w:p>
        </w:tc>
        <w:tc>
          <w:tcPr>
            <w:tcW w:w="2105" w:type="dxa"/>
          </w:tcPr>
          <w:p w14:paraId="119E0B67" w14:textId="77777777" w:rsidR="00C91059" w:rsidRPr="00D277A9" w:rsidRDefault="00C91059" w:rsidP="00C712FC">
            <w:pPr>
              <w:pStyle w:val="TableParagraph"/>
              <w:adjustRightInd w:val="0"/>
              <w:snapToGrid w:val="0"/>
              <w:jc w:val="center"/>
              <w:rPr>
                <w:sz w:val="20"/>
                <w:szCs w:val="20"/>
                <w:lang w:val="fr-FR"/>
              </w:rPr>
            </w:pPr>
          </w:p>
        </w:tc>
        <w:tc>
          <w:tcPr>
            <w:tcW w:w="2105" w:type="dxa"/>
          </w:tcPr>
          <w:p w14:paraId="7728171A" w14:textId="4075E2B2" w:rsidR="00C91059" w:rsidRPr="00D277A9" w:rsidRDefault="00C91059" w:rsidP="00C712FC">
            <w:pPr>
              <w:pStyle w:val="TableParagraph"/>
              <w:adjustRightInd w:val="0"/>
              <w:snapToGrid w:val="0"/>
              <w:jc w:val="center"/>
              <w:rPr>
                <w:sz w:val="20"/>
                <w:szCs w:val="20"/>
                <w:lang w:val="fr-FR"/>
              </w:rPr>
            </w:pPr>
            <w:r w:rsidRPr="00D277A9">
              <w:rPr>
                <w:sz w:val="20"/>
                <w:szCs w:val="20"/>
                <w:lang w:val="fr-FR"/>
              </w:rPr>
              <w:t xml:space="preserve">1,07 </w:t>
            </w:r>
            <w:r w:rsidR="008344D8">
              <w:rPr>
                <w:sz w:val="20"/>
                <w:szCs w:val="20"/>
                <w:lang w:val="fr-FR"/>
              </w:rPr>
              <w:br/>
            </w:r>
            <w:r w:rsidRPr="00D277A9">
              <w:rPr>
                <w:sz w:val="20"/>
                <w:szCs w:val="20"/>
                <w:lang w:val="fr-FR"/>
              </w:rPr>
              <w:t>(0,91</w:t>
            </w:r>
            <w:r w:rsidR="00881CB8">
              <w:rPr>
                <w:sz w:val="20"/>
                <w:szCs w:val="20"/>
                <w:lang w:val="fr-FR"/>
              </w:rPr>
              <w:t xml:space="preserve"> ; </w:t>
            </w:r>
            <w:r w:rsidRPr="00D277A9">
              <w:rPr>
                <w:sz w:val="20"/>
                <w:szCs w:val="20"/>
                <w:lang w:val="fr-FR"/>
              </w:rPr>
              <w:t>1,25)</w:t>
            </w:r>
          </w:p>
        </w:tc>
        <w:tc>
          <w:tcPr>
            <w:tcW w:w="1992" w:type="dxa"/>
          </w:tcPr>
          <w:p w14:paraId="580B327C" w14:textId="0586A275" w:rsidR="00C91059" w:rsidRPr="00D277A9" w:rsidRDefault="00C91059" w:rsidP="00C712FC">
            <w:pPr>
              <w:pStyle w:val="TableParagraph"/>
              <w:adjustRightInd w:val="0"/>
              <w:snapToGrid w:val="0"/>
              <w:jc w:val="center"/>
              <w:rPr>
                <w:sz w:val="20"/>
                <w:szCs w:val="20"/>
                <w:lang w:val="fr-FR"/>
              </w:rPr>
            </w:pPr>
            <w:r w:rsidRPr="00D277A9">
              <w:rPr>
                <w:sz w:val="20"/>
                <w:szCs w:val="20"/>
                <w:lang w:val="fr-FR"/>
              </w:rPr>
              <w:t xml:space="preserve">0,88 </w:t>
            </w:r>
            <w:r w:rsidR="008344D8">
              <w:rPr>
                <w:sz w:val="20"/>
                <w:szCs w:val="20"/>
                <w:lang w:val="fr-FR"/>
              </w:rPr>
              <w:br/>
            </w:r>
            <w:r w:rsidRPr="00D277A9">
              <w:rPr>
                <w:sz w:val="20"/>
                <w:szCs w:val="20"/>
                <w:lang w:val="fr-FR"/>
              </w:rPr>
              <w:t>(0,75</w:t>
            </w:r>
            <w:r w:rsidR="00881CB8">
              <w:rPr>
                <w:sz w:val="20"/>
                <w:szCs w:val="20"/>
                <w:lang w:val="fr-FR"/>
              </w:rPr>
              <w:t xml:space="preserve"> ; </w:t>
            </w:r>
            <w:r w:rsidRPr="00D277A9">
              <w:rPr>
                <w:sz w:val="20"/>
                <w:szCs w:val="20"/>
                <w:lang w:val="fr-FR"/>
              </w:rPr>
              <w:t>1,04)</w:t>
            </w:r>
          </w:p>
        </w:tc>
      </w:tr>
      <w:tr w:rsidR="00C91059" w:rsidRPr="00D277A9" w14:paraId="7A2BE113" w14:textId="77777777" w:rsidTr="00C91059">
        <w:trPr>
          <w:cantSplit/>
        </w:trPr>
        <w:tc>
          <w:tcPr>
            <w:tcW w:w="3186" w:type="dxa"/>
          </w:tcPr>
          <w:p w14:paraId="55486F9D" w14:textId="77777777" w:rsidR="00C91059" w:rsidRPr="00D277A9" w:rsidRDefault="00C91059" w:rsidP="00654D21">
            <w:pPr>
              <w:pStyle w:val="TableParagraph"/>
              <w:adjustRightInd w:val="0"/>
              <w:snapToGrid w:val="0"/>
              <w:jc w:val="center"/>
              <w:rPr>
                <w:sz w:val="20"/>
                <w:szCs w:val="20"/>
                <w:lang w:val="fr-FR"/>
              </w:rPr>
            </w:pPr>
            <w:r w:rsidRPr="00D277A9">
              <w:rPr>
                <w:sz w:val="20"/>
                <w:szCs w:val="20"/>
                <w:lang w:val="fr-FR"/>
              </w:rPr>
              <w:t xml:space="preserve">Valeur du p </w:t>
            </w:r>
            <w:r w:rsidRPr="00D277A9">
              <w:rPr>
                <w:sz w:val="20"/>
                <w:szCs w:val="20"/>
                <w:vertAlign w:val="superscript"/>
                <w:lang w:val="fr-FR"/>
              </w:rPr>
              <w:t>3</w:t>
            </w:r>
          </w:p>
        </w:tc>
        <w:tc>
          <w:tcPr>
            <w:tcW w:w="2105" w:type="dxa"/>
          </w:tcPr>
          <w:p w14:paraId="56EECC4D" w14:textId="77777777" w:rsidR="00C91059" w:rsidRPr="00D277A9" w:rsidRDefault="00C91059" w:rsidP="00C712FC">
            <w:pPr>
              <w:pStyle w:val="TableParagraph"/>
              <w:adjustRightInd w:val="0"/>
              <w:snapToGrid w:val="0"/>
              <w:jc w:val="center"/>
              <w:rPr>
                <w:sz w:val="20"/>
                <w:szCs w:val="20"/>
                <w:lang w:val="fr-FR"/>
              </w:rPr>
            </w:pPr>
          </w:p>
        </w:tc>
        <w:tc>
          <w:tcPr>
            <w:tcW w:w="2105" w:type="dxa"/>
          </w:tcPr>
          <w:p w14:paraId="22207FE4" w14:textId="77777777" w:rsidR="00C91059" w:rsidRPr="00D277A9" w:rsidRDefault="00C91059" w:rsidP="00C712FC">
            <w:pPr>
              <w:pStyle w:val="TableParagraph"/>
              <w:adjustRightInd w:val="0"/>
              <w:snapToGrid w:val="0"/>
              <w:jc w:val="center"/>
              <w:rPr>
                <w:sz w:val="20"/>
                <w:szCs w:val="20"/>
                <w:lang w:val="fr-FR"/>
              </w:rPr>
            </w:pPr>
            <w:r w:rsidRPr="00D277A9">
              <w:rPr>
                <w:sz w:val="20"/>
                <w:szCs w:val="20"/>
                <w:lang w:val="fr-FR"/>
              </w:rPr>
              <w:t>0,2197</w:t>
            </w:r>
          </w:p>
        </w:tc>
        <w:tc>
          <w:tcPr>
            <w:tcW w:w="1992" w:type="dxa"/>
          </w:tcPr>
          <w:p w14:paraId="53D7001B" w14:textId="77777777" w:rsidR="00C91059" w:rsidRPr="00D277A9" w:rsidRDefault="00C91059" w:rsidP="00C712FC">
            <w:pPr>
              <w:pStyle w:val="TableParagraph"/>
              <w:adjustRightInd w:val="0"/>
              <w:snapToGrid w:val="0"/>
              <w:jc w:val="center"/>
              <w:rPr>
                <w:sz w:val="20"/>
                <w:szCs w:val="20"/>
                <w:lang w:val="fr-FR"/>
              </w:rPr>
            </w:pPr>
            <w:r w:rsidRPr="00D277A9">
              <w:rPr>
                <w:sz w:val="20"/>
                <w:szCs w:val="20"/>
                <w:lang w:val="fr-FR"/>
              </w:rPr>
              <w:t>0,0641</w:t>
            </w:r>
          </w:p>
        </w:tc>
      </w:tr>
    </w:tbl>
    <w:p w14:paraId="00668ADF" w14:textId="77777777" w:rsidR="005067B1" w:rsidRDefault="00DF3C4F" w:rsidP="00BD4C7C">
      <w:pPr>
        <w:adjustRightInd w:val="0"/>
        <w:snapToGrid w:val="0"/>
        <w:jc w:val="both"/>
        <w:rPr>
          <w:sz w:val="18"/>
          <w:szCs w:val="18"/>
          <w:lang w:val="fr-FR"/>
        </w:rPr>
      </w:pPr>
      <w:r w:rsidRPr="00D277A9">
        <w:rPr>
          <w:sz w:val="18"/>
          <w:szCs w:val="18"/>
          <w:vertAlign w:val="superscript"/>
          <w:lang w:val="fr-FR"/>
        </w:rPr>
        <w:t>1</w:t>
      </w:r>
      <w:r w:rsidRPr="00D277A9">
        <w:rPr>
          <w:sz w:val="18"/>
          <w:szCs w:val="18"/>
          <w:lang w:val="fr-FR"/>
        </w:rPr>
        <w:t xml:space="preserve"> Les investigateurs ont évalué l’analyse de la PFS spécifiée au protocole GOG (données de progression CA 125 et traitements hors protocole avant progression de la maladie non censurés) à la date du 25 février 2010 (cut-off). </w:t>
      </w:r>
    </w:p>
    <w:p w14:paraId="78EA2EF3" w14:textId="77777777" w:rsidR="004401F0" w:rsidRPr="00D277A9" w:rsidRDefault="00DF3C4F" w:rsidP="00BD4C7C">
      <w:pPr>
        <w:adjustRightInd w:val="0"/>
        <w:snapToGrid w:val="0"/>
        <w:jc w:val="both"/>
        <w:rPr>
          <w:sz w:val="18"/>
          <w:szCs w:val="18"/>
          <w:lang w:val="fr-FR"/>
        </w:rPr>
      </w:pPr>
      <w:r w:rsidRPr="00D277A9">
        <w:rPr>
          <w:sz w:val="18"/>
          <w:szCs w:val="18"/>
          <w:vertAlign w:val="superscript"/>
          <w:lang w:val="fr-FR"/>
        </w:rPr>
        <w:t>2</w:t>
      </w:r>
      <w:r w:rsidRPr="00D277A9">
        <w:rPr>
          <w:sz w:val="18"/>
          <w:szCs w:val="18"/>
          <w:lang w:val="fr-FR"/>
        </w:rPr>
        <w:t xml:space="preserve"> Relatif au bras contrôle. Valeur du p (test du log-rank unilatéral)</w:t>
      </w:r>
    </w:p>
    <w:p w14:paraId="4B182B58" w14:textId="77777777" w:rsidR="004401F0" w:rsidRPr="00D277A9" w:rsidRDefault="00DF3C4F" w:rsidP="00BD4C7C">
      <w:pPr>
        <w:adjustRightInd w:val="0"/>
        <w:snapToGrid w:val="0"/>
        <w:jc w:val="both"/>
        <w:rPr>
          <w:sz w:val="18"/>
          <w:szCs w:val="18"/>
          <w:lang w:val="fr-FR"/>
        </w:rPr>
      </w:pPr>
      <w:r w:rsidRPr="00D277A9">
        <w:rPr>
          <w:sz w:val="18"/>
          <w:szCs w:val="18"/>
          <w:vertAlign w:val="superscript"/>
          <w:lang w:val="fr-FR"/>
        </w:rPr>
        <w:t>3</w:t>
      </w:r>
      <w:r w:rsidRPr="00D277A9">
        <w:rPr>
          <w:sz w:val="18"/>
          <w:szCs w:val="18"/>
          <w:lang w:val="fr-FR"/>
        </w:rPr>
        <w:t xml:space="preserve"> Test du log-rank unilatéral</w:t>
      </w:r>
    </w:p>
    <w:p w14:paraId="7943BBFC" w14:textId="77777777" w:rsidR="004401F0" w:rsidRPr="00D277A9" w:rsidRDefault="00DF3C4F" w:rsidP="00BD4C7C">
      <w:pPr>
        <w:adjustRightInd w:val="0"/>
        <w:snapToGrid w:val="0"/>
        <w:jc w:val="both"/>
        <w:rPr>
          <w:sz w:val="18"/>
          <w:szCs w:val="18"/>
          <w:lang w:val="fr-FR"/>
        </w:rPr>
      </w:pPr>
      <w:r w:rsidRPr="00D277A9">
        <w:rPr>
          <w:sz w:val="18"/>
          <w:szCs w:val="18"/>
          <w:vertAlign w:val="superscript"/>
          <w:lang w:val="fr-FR"/>
        </w:rPr>
        <w:t>4</w:t>
      </w:r>
      <w:r w:rsidRPr="00D277A9">
        <w:rPr>
          <w:sz w:val="18"/>
          <w:szCs w:val="18"/>
          <w:lang w:val="fr-FR"/>
        </w:rPr>
        <w:t xml:space="preserve"> Soumis à une valeur seuil de p de 0,0116</w:t>
      </w:r>
    </w:p>
    <w:p w14:paraId="368FBDC4" w14:textId="77777777" w:rsidR="004401F0" w:rsidRPr="00D277A9" w:rsidRDefault="00DF3C4F" w:rsidP="00BD4C7C">
      <w:pPr>
        <w:adjustRightInd w:val="0"/>
        <w:snapToGrid w:val="0"/>
        <w:jc w:val="both"/>
        <w:rPr>
          <w:sz w:val="18"/>
          <w:szCs w:val="18"/>
          <w:lang w:val="fr-FR"/>
        </w:rPr>
      </w:pPr>
      <w:r w:rsidRPr="00D277A9">
        <w:rPr>
          <w:sz w:val="18"/>
          <w:szCs w:val="18"/>
          <w:vertAlign w:val="superscript"/>
          <w:lang w:val="fr-FR"/>
        </w:rPr>
        <w:t>5</w:t>
      </w:r>
      <w:r w:rsidRPr="00D277A9">
        <w:rPr>
          <w:sz w:val="18"/>
          <w:szCs w:val="18"/>
          <w:lang w:val="fr-FR"/>
        </w:rPr>
        <w:t xml:space="preserve"> Patiente ayant une maladie mesurable initialement</w:t>
      </w:r>
    </w:p>
    <w:p w14:paraId="436FCE90" w14:textId="0B4941D6" w:rsidR="004401F0" w:rsidRPr="00D277A9" w:rsidRDefault="00DF3C4F" w:rsidP="00BD4C7C">
      <w:pPr>
        <w:adjustRightInd w:val="0"/>
        <w:snapToGrid w:val="0"/>
        <w:jc w:val="both"/>
        <w:rPr>
          <w:sz w:val="18"/>
          <w:szCs w:val="18"/>
          <w:lang w:val="fr-FR"/>
        </w:rPr>
      </w:pPr>
      <w:r w:rsidRPr="00D277A9">
        <w:rPr>
          <w:sz w:val="18"/>
          <w:szCs w:val="18"/>
          <w:vertAlign w:val="superscript"/>
          <w:lang w:val="fr-FR"/>
        </w:rPr>
        <w:t>6</w:t>
      </w:r>
      <w:r w:rsidRPr="00D277A9">
        <w:rPr>
          <w:sz w:val="18"/>
          <w:szCs w:val="18"/>
          <w:lang w:val="fr-FR"/>
        </w:rPr>
        <w:t xml:space="preserve"> Analyse de </w:t>
      </w:r>
      <w:r w:rsidR="00803E4E">
        <w:rPr>
          <w:sz w:val="18"/>
          <w:szCs w:val="18"/>
          <w:lang w:val="fr-FR"/>
        </w:rPr>
        <w:t>l’OS</w:t>
      </w:r>
      <w:r w:rsidRPr="00D277A9">
        <w:rPr>
          <w:sz w:val="18"/>
          <w:szCs w:val="18"/>
          <w:lang w:val="fr-FR"/>
        </w:rPr>
        <w:t xml:space="preserve"> finale évaluée au moment où 46,9</w:t>
      </w:r>
      <w:r w:rsidR="00AF3AAA">
        <w:rPr>
          <w:sz w:val="18"/>
          <w:szCs w:val="18"/>
          <w:lang w:val="fr-FR"/>
        </w:rPr>
        <w:t xml:space="preserve"> % </w:t>
      </w:r>
      <w:r w:rsidRPr="00D277A9">
        <w:rPr>
          <w:sz w:val="18"/>
          <w:szCs w:val="18"/>
          <w:lang w:val="fr-FR"/>
        </w:rPr>
        <w:t>des patientes étaient décédées.</w:t>
      </w:r>
    </w:p>
    <w:p w14:paraId="3354334B" w14:textId="77777777" w:rsidR="004401F0" w:rsidRPr="007C119A" w:rsidRDefault="004401F0" w:rsidP="00BD4C7C">
      <w:pPr>
        <w:pStyle w:val="a3"/>
        <w:adjustRightInd w:val="0"/>
        <w:snapToGrid w:val="0"/>
        <w:rPr>
          <w:lang w:val="fr-FR"/>
        </w:rPr>
      </w:pPr>
    </w:p>
    <w:p w14:paraId="40409AF0" w14:textId="77777777" w:rsidR="004401F0" w:rsidRPr="00DA7718" w:rsidRDefault="00DF3C4F" w:rsidP="00654D21">
      <w:pPr>
        <w:pStyle w:val="a3"/>
        <w:keepNext/>
        <w:keepLines/>
        <w:adjustRightInd w:val="0"/>
        <w:snapToGrid w:val="0"/>
        <w:rPr>
          <w:lang w:val="fr-FR"/>
        </w:rPr>
      </w:pPr>
      <w:r w:rsidRPr="00DA7718">
        <w:rPr>
          <w:lang w:val="fr-FR"/>
        </w:rPr>
        <w:lastRenderedPageBreak/>
        <w:t>Des analyses pré-définies de la PFS ont été conduites, toutes avec un cut-off au 29 septembre 2009. Les résultats de ces analyses pré-définies sont comme suit :</w:t>
      </w:r>
    </w:p>
    <w:p w14:paraId="0984C919" w14:textId="77777777" w:rsidR="004401F0" w:rsidRPr="00DA7718" w:rsidRDefault="004401F0" w:rsidP="00654D21">
      <w:pPr>
        <w:pStyle w:val="a3"/>
        <w:keepNext/>
        <w:keepLines/>
        <w:adjustRightInd w:val="0"/>
        <w:snapToGrid w:val="0"/>
        <w:rPr>
          <w:lang w:val="fr-FR"/>
        </w:rPr>
      </w:pPr>
    </w:p>
    <w:p w14:paraId="46238ABD" w14:textId="4B464B64" w:rsidR="004401F0" w:rsidRPr="00DA7718" w:rsidRDefault="00BD4C7C" w:rsidP="00654D21">
      <w:pPr>
        <w:keepNext/>
        <w:keepLines/>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L’analyse prévue au protocole de la PFS évaluée par les investigateurs (données de progression CA 125 et traitements hors protocole non censurés) a montré un risque relatif stratifié de 0,71 (IC 95 %</w:t>
      </w:r>
      <w:r w:rsidR="00765A43">
        <w:rPr>
          <w:lang w:val="fr-FR"/>
        </w:rPr>
        <w:t xml:space="preserve"> : </w:t>
      </w:r>
      <w:r w:rsidR="00DF3C4F" w:rsidRPr="00DA7718">
        <w:rPr>
          <w:lang w:val="fr-FR"/>
        </w:rPr>
        <w:t>0,61-0,83, valeur de p du test du log-rank unilatéral &lt; 0,0001) quand le bras CPB15+ est comparé au bras CPP, avec une médiane de PFS de 10,4 mois dans le bras CPP et de 14,</w:t>
      </w:r>
      <w:r w:rsidR="00B25644" w:rsidRPr="00DA7718">
        <w:rPr>
          <w:lang w:val="fr-FR"/>
        </w:rPr>
        <w:t>1</w:t>
      </w:r>
      <w:r w:rsidR="00B25644">
        <w:rPr>
          <w:lang w:val="fr-FR"/>
        </w:rPr>
        <w:t> </w:t>
      </w:r>
      <w:r w:rsidR="00DF3C4F" w:rsidRPr="00DA7718">
        <w:rPr>
          <w:lang w:val="fr-FR"/>
        </w:rPr>
        <w:t>mois dans le bras CPB15+.</w:t>
      </w:r>
      <w:r w:rsidR="004628EC">
        <w:rPr>
          <w:lang w:val="fr-FR"/>
        </w:rPr>
        <w:br/>
      </w:r>
    </w:p>
    <w:p w14:paraId="5C8E5983" w14:textId="0BEE1400" w:rsidR="004401F0" w:rsidRPr="00DA7718" w:rsidRDefault="00BD4C7C" w:rsidP="00593DA4">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 xml:space="preserve">L’analyse primaire de la PFS évaluée par les investigateurs (données de progression CA 125 </w:t>
      </w:r>
      <w:r w:rsidR="00CB1387" w:rsidRPr="00DA7718">
        <w:rPr>
          <w:lang w:val="fr-FR"/>
        </w:rPr>
        <w:t>et</w:t>
      </w:r>
      <w:r w:rsidR="00CB1387">
        <w:rPr>
          <w:lang w:val="fr-FR"/>
        </w:rPr>
        <w:t> </w:t>
      </w:r>
      <w:r w:rsidR="00DF3C4F" w:rsidRPr="00DA7718">
        <w:rPr>
          <w:lang w:val="fr-FR"/>
        </w:rPr>
        <w:t>traitements hors protocole censurés) a montré un risque relatif stratifié de 0,62 (IC 95 %</w:t>
      </w:r>
      <w:r w:rsidR="00765A43">
        <w:rPr>
          <w:lang w:val="fr-FR"/>
        </w:rPr>
        <w:t xml:space="preserve"> : </w:t>
      </w:r>
      <w:r w:rsidR="00DF3C4F" w:rsidRPr="00DA7718">
        <w:rPr>
          <w:lang w:val="fr-FR"/>
        </w:rPr>
        <w:t>0,52-0,75, valeur de p du test du log-rank unilatéral &lt; 0,0001) quand le bras CPB15+ est comparé au bras CPP, avec une médiane de PFS de 12,0 mois dans le bras CPP et de 18,2 mois dans le bras CPB15+.</w:t>
      </w:r>
      <w:r w:rsidR="004628EC">
        <w:rPr>
          <w:lang w:val="fr-FR"/>
        </w:rPr>
        <w:br/>
      </w:r>
    </w:p>
    <w:p w14:paraId="5C0CE329" w14:textId="478208DC" w:rsidR="004401F0" w:rsidRPr="00DA7718" w:rsidRDefault="00BD4C7C" w:rsidP="00593DA4">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L’analyse de la PFS déterminée par le comité de revue indépendant (traitements hors protocole censurés) a montré un risque relatif stratifié de 0,62 (IC 95 %</w:t>
      </w:r>
      <w:r w:rsidR="00765A43">
        <w:rPr>
          <w:lang w:val="fr-FR"/>
        </w:rPr>
        <w:t xml:space="preserve"> : </w:t>
      </w:r>
      <w:r w:rsidR="00DF3C4F" w:rsidRPr="00DA7718">
        <w:rPr>
          <w:lang w:val="fr-FR"/>
        </w:rPr>
        <w:t>0,50-0,77, valeur de p du test du log-rank unilatéral &lt; 0,0001) quand le bras CPB15+ est comparé au bras CPP, avec une médiane de PFS de 13,1 mois dans le bras CPP et de 19,1 mois dans le bras CPB15+.</w:t>
      </w:r>
    </w:p>
    <w:p w14:paraId="75737D4C" w14:textId="77777777" w:rsidR="00BD4C7C" w:rsidRPr="00DA7718" w:rsidRDefault="00BD4C7C" w:rsidP="00BD4C7C">
      <w:pPr>
        <w:adjustRightInd w:val="0"/>
        <w:snapToGrid w:val="0"/>
        <w:rPr>
          <w:lang w:val="fr-FR"/>
        </w:rPr>
      </w:pPr>
    </w:p>
    <w:p w14:paraId="6A9AD1E8" w14:textId="77777777" w:rsidR="004401F0" w:rsidRPr="00DA7718" w:rsidRDefault="00DF3C4F" w:rsidP="00BD4C7C">
      <w:pPr>
        <w:pStyle w:val="a3"/>
        <w:adjustRightInd w:val="0"/>
        <w:snapToGrid w:val="0"/>
        <w:rPr>
          <w:lang w:val="fr-FR"/>
        </w:rPr>
      </w:pPr>
      <w:r w:rsidRPr="00DA7718">
        <w:rPr>
          <w:lang w:val="fr-FR"/>
        </w:rPr>
        <w:t>Des analyses de la PFS en sous-groupe, par stade de la maladie et statut de l’exérèse, sont résumées dans le Tableau 17. Ces résultats démontrent une robustesse de l’analyse de la PFS telle que présentée dans le Tableau 16.</w:t>
      </w:r>
    </w:p>
    <w:p w14:paraId="50739084" w14:textId="77777777" w:rsidR="004401F0" w:rsidRPr="00DA7718" w:rsidRDefault="004401F0" w:rsidP="00BD4C7C">
      <w:pPr>
        <w:pStyle w:val="a3"/>
        <w:adjustRightInd w:val="0"/>
        <w:snapToGrid w:val="0"/>
        <w:rPr>
          <w:lang w:val="fr-FR"/>
        </w:rPr>
      </w:pPr>
    </w:p>
    <w:p w14:paraId="7C7BEC9E" w14:textId="629AB6FD" w:rsidR="004401F0" w:rsidRPr="00AC582F" w:rsidRDefault="00DF3C4F" w:rsidP="00AC582F">
      <w:pPr>
        <w:ind w:left="1276" w:hanging="1276"/>
        <w:rPr>
          <w:b/>
          <w:bCs/>
          <w:lang w:val="fr-FR"/>
        </w:rPr>
      </w:pPr>
      <w:r w:rsidRPr="00AC582F">
        <w:rPr>
          <w:b/>
          <w:bCs/>
          <w:lang w:val="fr-FR"/>
        </w:rPr>
        <w:t>Tableau 17</w:t>
      </w:r>
      <w:r w:rsidRPr="00AC582F">
        <w:rPr>
          <w:b/>
          <w:bCs/>
          <w:lang w:val="fr-FR"/>
        </w:rPr>
        <w:tab/>
        <w:t>Résultats de la PFS</w:t>
      </w:r>
      <w:r w:rsidRPr="00AC582F">
        <w:rPr>
          <w:b/>
          <w:bCs/>
          <w:vertAlign w:val="superscript"/>
          <w:lang w:val="fr-FR"/>
        </w:rPr>
        <w:t>1</w:t>
      </w:r>
      <w:r w:rsidRPr="00AC582F">
        <w:rPr>
          <w:b/>
          <w:bCs/>
          <w:lang w:val="fr-FR"/>
        </w:rPr>
        <w:t xml:space="preserve"> par stade de la maladie et statut de l’exérèse de l’étude </w:t>
      </w:r>
      <w:r w:rsidR="005B2E83" w:rsidRPr="00AC582F">
        <w:rPr>
          <w:b/>
          <w:bCs/>
          <w:lang w:val="fr-FR"/>
        </w:rPr>
        <w:br/>
      </w:r>
      <w:r w:rsidRPr="00AC582F">
        <w:rPr>
          <w:b/>
          <w:bCs/>
          <w:lang w:val="fr-FR"/>
        </w:rPr>
        <w:t>GOG-0218</w:t>
      </w:r>
    </w:p>
    <w:p w14:paraId="39317358" w14:textId="77777777" w:rsidR="004401F0" w:rsidRPr="00DA7718" w:rsidRDefault="004401F0" w:rsidP="00BD4C7C">
      <w:pPr>
        <w:pStyle w:val="a3"/>
        <w:adjustRightInd w:val="0"/>
        <w:snapToGrid w:val="0"/>
        <w:rPr>
          <w:b/>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5"/>
        <w:gridCol w:w="2089"/>
        <w:gridCol w:w="2089"/>
        <w:gridCol w:w="2091"/>
      </w:tblGrid>
      <w:tr w:rsidR="004401F0" w:rsidRPr="000D7348" w14:paraId="0441CE73" w14:textId="77777777" w:rsidTr="00593DA4">
        <w:trPr>
          <w:cantSplit/>
        </w:trPr>
        <w:tc>
          <w:tcPr>
            <w:tcW w:w="9204" w:type="dxa"/>
            <w:gridSpan w:val="4"/>
          </w:tcPr>
          <w:p w14:paraId="3922B9E1"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Patientes randomisées ayant une maladie de stade III après exérèse optimale</w:t>
            </w:r>
            <w:r w:rsidRPr="00D277A9">
              <w:rPr>
                <w:sz w:val="20"/>
                <w:szCs w:val="20"/>
                <w:vertAlign w:val="superscript"/>
                <w:lang w:val="fr-FR"/>
              </w:rPr>
              <w:t>2,3</w:t>
            </w:r>
          </w:p>
        </w:tc>
      </w:tr>
      <w:tr w:rsidR="004401F0" w:rsidRPr="00D277A9" w14:paraId="24971D53" w14:textId="77777777" w:rsidTr="00593DA4">
        <w:trPr>
          <w:cantSplit/>
        </w:trPr>
        <w:tc>
          <w:tcPr>
            <w:tcW w:w="2839" w:type="dxa"/>
            <w:vMerge w:val="restart"/>
          </w:tcPr>
          <w:p w14:paraId="6B99BFDB" w14:textId="77777777" w:rsidR="004401F0" w:rsidRPr="00D277A9" w:rsidRDefault="004401F0" w:rsidP="00D277A9">
            <w:pPr>
              <w:pStyle w:val="TableParagraph"/>
              <w:adjustRightInd w:val="0"/>
              <w:snapToGrid w:val="0"/>
              <w:rPr>
                <w:b/>
                <w:sz w:val="20"/>
                <w:szCs w:val="20"/>
                <w:lang w:val="fr-FR"/>
              </w:rPr>
            </w:pPr>
          </w:p>
          <w:p w14:paraId="0462299A"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Médiane de la survie sans progression (mois)</w:t>
            </w:r>
          </w:p>
        </w:tc>
        <w:tc>
          <w:tcPr>
            <w:tcW w:w="2121" w:type="dxa"/>
          </w:tcPr>
          <w:p w14:paraId="44E2A1EE" w14:textId="183CE13A"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 xml:space="preserve">CPP </w:t>
            </w:r>
            <w:r w:rsidR="00822FF4">
              <w:rPr>
                <w:sz w:val="20"/>
                <w:szCs w:val="20"/>
                <w:lang w:val="fr-FR"/>
              </w:rPr>
              <w:br/>
            </w:r>
            <w:r w:rsidRPr="00D277A9">
              <w:rPr>
                <w:sz w:val="20"/>
                <w:szCs w:val="20"/>
                <w:lang w:val="fr-FR"/>
              </w:rPr>
              <w:t>(n = 219)</w:t>
            </w:r>
          </w:p>
        </w:tc>
        <w:tc>
          <w:tcPr>
            <w:tcW w:w="2121" w:type="dxa"/>
          </w:tcPr>
          <w:p w14:paraId="456B0F03" w14:textId="3A75279B"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 xml:space="preserve">CPB15 </w:t>
            </w:r>
            <w:r w:rsidR="00822FF4">
              <w:rPr>
                <w:sz w:val="20"/>
                <w:szCs w:val="20"/>
                <w:lang w:val="fr-FR"/>
              </w:rPr>
              <w:br/>
            </w:r>
            <w:r w:rsidRPr="00D277A9">
              <w:rPr>
                <w:sz w:val="20"/>
                <w:szCs w:val="20"/>
                <w:lang w:val="fr-FR"/>
              </w:rPr>
              <w:t>(n = 204)</w:t>
            </w:r>
          </w:p>
        </w:tc>
        <w:tc>
          <w:tcPr>
            <w:tcW w:w="2123" w:type="dxa"/>
          </w:tcPr>
          <w:p w14:paraId="372BC0FB" w14:textId="69FBDF62"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 xml:space="preserve">CPB15+ </w:t>
            </w:r>
            <w:r w:rsidR="00822FF4">
              <w:rPr>
                <w:sz w:val="20"/>
                <w:szCs w:val="20"/>
                <w:lang w:val="fr-FR"/>
              </w:rPr>
              <w:br/>
            </w:r>
            <w:r w:rsidRPr="00D277A9">
              <w:rPr>
                <w:sz w:val="20"/>
                <w:szCs w:val="20"/>
                <w:lang w:val="fr-FR"/>
              </w:rPr>
              <w:t>(n = 216)</w:t>
            </w:r>
          </w:p>
        </w:tc>
      </w:tr>
      <w:tr w:rsidR="004401F0" w:rsidRPr="00D277A9" w14:paraId="34D2A8A7" w14:textId="77777777" w:rsidTr="00593DA4">
        <w:trPr>
          <w:cantSplit/>
        </w:trPr>
        <w:tc>
          <w:tcPr>
            <w:tcW w:w="2839" w:type="dxa"/>
            <w:vMerge/>
          </w:tcPr>
          <w:p w14:paraId="544CBF36" w14:textId="77777777" w:rsidR="004401F0" w:rsidRPr="00D277A9" w:rsidRDefault="004401F0" w:rsidP="00D277A9">
            <w:pPr>
              <w:adjustRightInd w:val="0"/>
              <w:snapToGrid w:val="0"/>
              <w:rPr>
                <w:sz w:val="20"/>
                <w:szCs w:val="20"/>
                <w:lang w:val="fr-FR"/>
              </w:rPr>
            </w:pPr>
          </w:p>
        </w:tc>
        <w:tc>
          <w:tcPr>
            <w:tcW w:w="2121" w:type="dxa"/>
          </w:tcPr>
          <w:p w14:paraId="1F504E17"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12,4</w:t>
            </w:r>
          </w:p>
        </w:tc>
        <w:tc>
          <w:tcPr>
            <w:tcW w:w="2121" w:type="dxa"/>
          </w:tcPr>
          <w:p w14:paraId="66D0892B"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14,3</w:t>
            </w:r>
          </w:p>
        </w:tc>
        <w:tc>
          <w:tcPr>
            <w:tcW w:w="2123" w:type="dxa"/>
          </w:tcPr>
          <w:p w14:paraId="692B1507"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17,5</w:t>
            </w:r>
          </w:p>
        </w:tc>
      </w:tr>
      <w:tr w:rsidR="004401F0" w:rsidRPr="00D277A9" w14:paraId="392C704E" w14:textId="77777777" w:rsidTr="00593DA4">
        <w:trPr>
          <w:cantSplit/>
        </w:trPr>
        <w:tc>
          <w:tcPr>
            <w:tcW w:w="2839" w:type="dxa"/>
          </w:tcPr>
          <w:p w14:paraId="109CD2DB"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Risque relatif (IC 95 %)</w:t>
            </w:r>
            <w:r w:rsidRPr="00D277A9">
              <w:rPr>
                <w:sz w:val="20"/>
                <w:szCs w:val="20"/>
                <w:vertAlign w:val="superscript"/>
                <w:lang w:val="fr-FR"/>
              </w:rPr>
              <w:t>4</w:t>
            </w:r>
          </w:p>
        </w:tc>
        <w:tc>
          <w:tcPr>
            <w:tcW w:w="2121" w:type="dxa"/>
          </w:tcPr>
          <w:p w14:paraId="6B51DA45" w14:textId="77777777" w:rsidR="004401F0" w:rsidRPr="00D277A9" w:rsidRDefault="004401F0" w:rsidP="00593DA4">
            <w:pPr>
              <w:pStyle w:val="TableParagraph"/>
              <w:adjustRightInd w:val="0"/>
              <w:snapToGrid w:val="0"/>
              <w:jc w:val="center"/>
              <w:rPr>
                <w:sz w:val="20"/>
                <w:szCs w:val="20"/>
                <w:lang w:val="fr-FR"/>
              </w:rPr>
            </w:pPr>
          </w:p>
        </w:tc>
        <w:tc>
          <w:tcPr>
            <w:tcW w:w="2121" w:type="dxa"/>
          </w:tcPr>
          <w:p w14:paraId="3E2F8A8B"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0,81</w:t>
            </w:r>
          </w:p>
          <w:p w14:paraId="40E2CB8A" w14:textId="646AE44B"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(0,62</w:t>
            </w:r>
            <w:r w:rsidR="00822FF4">
              <w:rPr>
                <w:sz w:val="20"/>
                <w:szCs w:val="20"/>
                <w:lang w:val="fr-FR"/>
              </w:rPr>
              <w:t> </w:t>
            </w:r>
            <w:r w:rsidR="00881CB8">
              <w:rPr>
                <w:sz w:val="20"/>
                <w:szCs w:val="20"/>
                <w:lang w:val="fr-FR"/>
              </w:rPr>
              <w:t xml:space="preserve">; </w:t>
            </w:r>
            <w:r w:rsidRPr="00D277A9">
              <w:rPr>
                <w:sz w:val="20"/>
                <w:szCs w:val="20"/>
                <w:lang w:val="fr-FR"/>
              </w:rPr>
              <w:t>1,05)</w:t>
            </w:r>
          </w:p>
        </w:tc>
        <w:tc>
          <w:tcPr>
            <w:tcW w:w="2123" w:type="dxa"/>
          </w:tcPr>
          <w:p w14:paraId="57A74D31"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0,66</w:t>
            </w:r>
          </w:p>
          <w:p w14:paraId="48492565" w14:textId="73C51006"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(0,50</w:t>
            </w:r>
            <w:r w:rsidR="00822FF4">
              <w:rPr>
                <w:sz w:val="20"/>
                <w:szCs w:val="20"/>
                <w:lang w:val="fr-FR"/>
              </w:rPr>
              <w:t> </w:t>
            </w:r>
            <w:r w:rsidR="00881CB8">
              <w:rPr>
                <w:sz w:val="20"/>
                <w:szCs w:val="20"/>
                <w:lang w:val="fr-FR"/>
              </w:rPr>
              <w:t xml:space="preserve">; </w:t>
            </w:r>
            <w:r w:rsidRPr="00D277A9">
              <w:rPr>
                <w:sz w:val="20"/>
                <w:szCs w:val="20"/>
                <w:lang w:val="fr-FR"/>
              </w:rPr>
              <w:t>0,86)</w:t>
            </w:r>
          </w:p>
        </w:tc>
      </w:tr>
      <w:tr w:rsidR="004401F0" w:rsidRPr="000D7348" w14:paraId="5739429C" w14:textId="77777777" w:rsidTr="00593DA4">
        <w:trPr>
          <w:cantSplit/>
        </w:trPr>
        <w:tc>
          <w:tcPr>
            <w:tcW w:w="9204" w:type="dxa"/>
            <w:gridSpan w:val="4"/>
          </w:tcPr>
          <w:p w14:paraId="78DD274A"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 xml:space="preserve">Patientes randomisées ayant une maladie de stade III après exérèse suboptimale </w:t>
            </w:r>
            <w:r w:rsidRPr="00D277A9">
              <w:rPr>
                <w:sz w:val="20"/>
                <w:szCs w:val="20"/>
                <w:vertAlign w:val="superscript"/>
                <w:lang w:val="fr-FR"/>
              </w:rPr>
              <w:t>3</w:t>
            </w:r>
          </w:p>
        </w:tc>
      </w:tr>
      <w:tr w:rsidR="004401F0" w:rsidRPr="00D277A9" w14:paraId="01E8235E" w14:textId="77777777" w:rsidTr="00593DA4">
        <w:trPr>
          <w:cantSplit/>
        </w:trPr>
        <w:tc>
          <w:tcPr>
            <w:tcW w:w="2839" w:type="dxa"/>
            <w:vMerge w:val="restart"/>
          </w:tcPr>
          <w:p w14:paraId="4ABD36E9" w14:textId="77777777" w:rsidR="004401F0" w:rsidRPr="00D277A9" w:rsidRDefault="004401F0" w:rsidP="00D277A9">
            <w:pPr>
              <w:pStyle w:val="TableParagraph"/>
              <w:adjustRightInd w:val="0"/>
              <w:snapToGrid w:val="0"/>
              <w:rPr>
                <w:b/>
                <w:sz w:val="20"/>
                <w:szCs w:val="20"/>
                <w:lang w:val="fr-FR"/>
              </w:rPr>
            </w:pPr>
          </w:p>
          <w:p w14:paraId="57F0531F"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Médiane de la survie sans progression (mois)</w:t>
            </w:r>
          </w:p>
        </w:tc>
        <w:tc>
          <w:tcPr>
            <w:tcW w:w="2121" w:type="dxa"/>
          </w:tcPr>
          <w:p w14:paraId="39B1BB3B" w14:textId="6D6C79F8"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 xml:space="preserve">CPP </w:t>
            </w:r>
            <w:r w:rsidR="00822FF4">
              <w:rPr>
                <w:sz w:val="20"/>
                <w:szCs w:val="20"/>
                <w:lang w:val="fr-FR"/>
              </w:rPr>
              <w:br/>
            </w:r>
            <w:r w:rsidRPr="00D277A9">
              <w:rPr>
                <w:sz w:val="20"/>
                <w:szCs w:val="20"/>
                <w:lang w:val="fr-FR"/>
              </w:rPr>
              <w:t>(n = 253)</w:t>
            </w:r>
          </w:p>
        </w:tc>
        <w:tc>
          <w:tcPr>
            <w:tcW w:w="2121" w:type="dxa"/>
          </w:tcPr>
          <w:p w14:paraId="7268A0A5" w14:textId="7663FF9B"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 xml:space="preserve">CPB15 </w:t>
            </w:r>
            <w:r w:rsidR="00822FF4">
              <w:rPr>
                <w:sz w:val="20"/>
                <w:szCs w:val="20"/>
                <w:lang w:val="fr-FR"/>
              </w:rPr>
              <w:br/>
            </w:r>
            <w:r w:rsidRPr="00D277A9">
              <w:rPr>
                <w:sz w:val="20"/>
                <w:szCs w:val="20"/>
                <w:lang w:val="fr-FR"/>
              </w:rPr>
              <w:t>(n = 256)</w:t>
            </w:r>
          </w:p>
        </w:tc>
        <w:tc>
          <w:tcPr>
            <w:tcW w:w="2123" w:type="dxa"/>
          </w:tcPr>
          <w:p w14:paraId="32E7CE75" w14:textId="4F78903D"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 xml:space="preserve">CPB15+ </w:t>
            </w:r>
            <w:r w:rsidR="00822FF4">
              <w:rPr>
                <w:sz w:val="20"/>
                <w:szCs w:val="20"/>
                <w:lang w:val="fr-FR"/>
              </w:rPr>
              <w:br/>
            </w:r>
            <w:r w:rsidRPr="00D277A9">
              <w:rPr>
                <w:sz w:val="20"/>
                <w:szCs w:val="20"/>
                <w:lang w:val="fr-FR"/>
              </w:rPr>
              <w:t>(n = 242)</w:t>
            </w:r>
          </w:p>
        </w:tc>
      </w:tr>
      <w:tr w:rsidR="004401F0" w:rsidRPr="00D277A9" w14:paraId="5D236CF9" w14:textId="77777777" w:rsidTr="00593DA4">
        <w:trPr>
          <w:cantSplit/>
        </w:trPr>
        <w:tc>
          <w:tcPr>
            <w:tcW w:w="2839" w:type="dxa"/>
            <w:vMerge/>
          </w:tcPr>
          <w:p w14:paraId="41A17DDA" w14:textId="77777777" w:rsidR="004401F0" w:rsidRPr="00D277A9" w:rsidRDefault="004401F0" w:rsidP="00D277A9">
            <w:pPr>
              <w:adjustRightInd w:val="0"/>
              <w:snapToGrid w:val="0"/>
              <w:rPr>
                <w:sz w:val="20"/>
                <w:szCs w:val="20"/>
                <w:lang w:val="fr-FR"/>
              </w:rPr>
            </w:pPr>
          </w:p>
        </w:tc>
        <w:tc>
          <w:tcPr>
            <w:tcW w:w="2121" w:type="dxa"/>
          </w:tcPr>
          <w:p w14:paraId="6B65F095"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10,1</w:t>
            </w:r>
          </w:p>
        </w:tc>
        <w:tc>
          <w:tcPr>
            <w:tcW w:w="2121" w:type="dxa"/>
          </w:tcPr>
          <w:p w14:paraId="40CB738C"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10,9</w:t>
            </w:r>
          </w:p>
        </w:tc>
        <w:tc>
          <w:tcPr>
            <w:tcW w:w="2123" w:type="dxa"/>
          </w:tcPr>
          <w:p w14:paraId="581C9F98"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13,9</w:t>
            </w:r>
          </w:p>
        </w:tc>
      </w:tr>
      <w:tr w:rsidR="004401F0" w:rsidRPr="00D277A9" w14:paraId="3FF3DDC8" w14:textId="77777777" w:rsidTr="00593DA4">
        <w:trPr>
          <w:cantSplit/>
        </w:trPr>
        <w:tc>
          <w:tcPr>
            <w:tcW w:w="2839" w:type="dxa"/>
          </w:tcPr>
          <w:p w14:paraId="331875BB"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Risque relatif (IC 95 %)</w:t>
            </w:r>
            <w:r w:rsidRPr="00D277A9">
              <w:rPr>
                <w:sz w:val="20"/>
                <w:szCs w:val="20"/>
                <w:vertAlign w:val="superscript"/>
                <w:lang w:val="fr-FR"/>
              </w:rPr>
              <w:t>4</w:t>
            </w:r>
          </w:p>
        </w:tc>
        <w:tc>
          <w:tcPr>
            <w:tcW w:w="2121" w:type="dxa"/>
          </w:tcPr>
          <w:p w14:paraId="4C6968A4" w14:textId="77777777" w:rsidR="004401F0" w:rsidRPr="00D277A9" w:rsidRDefault="004401F0" w:rsidP="00593DA4">
            <w:pPr>
              <w:pStyle w:val="TableParagraph"/>
              <w:adjustRightInd w:val="0"/>
              <w:snapToGrid w:val="0"/>
              <w:jc w:val="center"/>
              <w:rPr>
                <w:sz w:val="20"/>
                <w:szCs w:val="20"/>
                <w:lang w:val="fr-FR"/>
              </w:rPr>
            </w:pPr>
          </w:p>
        </w:tc>
        <w:tc>
          <w:tcPr>
            <w:tcW w:w="2121" w:type="dxa"/>
          </w:tcPr>
          <w:p w14:paraId="02E03007"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0,93</w:t>
            </w:r>
          </w:p>
          <w:p w14:paraId="6D9F24DA" w14:textId="6A049CE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(0,77</w:t>
            </w:r>
            <w:r w:rsidR="00881CB8">
              <w:rPr>
                <w:sz w:val="20"/>
                <w:szCs w:val="20"/>
                <w:lang w:val="fr-FR"/>
              </w:rPr>
              <w:t xml:space="preserve"> ; </w:t>
            </w:r>
            <w:r w:rsidRPr="00D277A9">
              <w:rPr>
                <w:sz w:val="20"/>
                <w:szCs w:val="20"/>
                <w:lang w:val="fr-FR"/>
              </w:rPr>
              <w:t>1,14)</w:t>
            </w:r>
          </w:p>
        </w:tc>
        <w:tc>
          <w:tcPr>
            <w:tcW w:w="2123" w:type="dxa"/>
          </w:tcPr>
          <w:p w14:paraId="0D55B4C3"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0,78</w:t>
            </w:r>
          </w:p>
          <w:p w14:paraId="2C046718" w14:textId="4E044B52"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(0,63</w:t>
            </w:r>
            <w:r w:rsidR="00881CB8">
              <w:rPr>
                <w:sz w:val="20"/>
                <w:szCs w:val="20"/>
                <w:lang w:val="fr-FR"/>
              </w:rPr>
              <w:t xml:space="preserve"> ; </w:t>
            </w:r>
            <w:r w:rsidRPr="00D277A9">
              <w:rPr>
                <w:sz w:val="20"/>
                <w:szCs w:val="20"/>
                <w:lang w:val="fr-FR"/>
              </w:rPr>
              <w:t>0,96)</w:t>
            </w:r>
          </w:p>
        </w:tc>
      </w:tr>
      <w:tr w:rsidR="004401F0" w:rsidRPr="000D7348" w14:paraId="7A6452D2" w14:textId="77777777" w:rsidTr="00593DA4">
        <w:trPr>
          <w:cantSplit/>
        </w:trPr>
        <w:tc>
          <w:tcPr>
            <w:tcW w:w="9204" w:type="dxa"/>
            <w:gridSpan w:val="4"/>
          </w:tcPr>
          <w:p w14:paraId="0990283D"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Patientes randomisées ayant une maladie de stade IV</w:t>
            </w:r>
          </w:p>
        </w:tc>
      </w:tr>
      <w:tr w:rsidR="004401F0" w:rsidRPr="00D277A9" w14:paraId="14149C67" w14:textId="77777777" w:rsidTr="00593DA4">
        <w:trPr>
          <w:cantSplit/>
        </w:trPr>
        <w:tc>
          <w:tcPr>
            <w:tcW w:w="2839" w:type="dxa"/>
            <w:vMerge w:val="restart"/>
          </w:tcPr>
          <w:p w14:paraId="75CA3800" w14:textId="77777777" w:rsidR="004401F0" w:rsidRPr="00D277A9" w:rsidRDefault="004401F0" w:rsidP="00D277A9">
            <w:pPr>
              <w:pStyle w:val="TableParagraph"/>
              <w:adjustRightInd w:val="0"/>
              <w:snapToGrid w:val="0"/>
              <w:rPr>
                <w:b/>
                <w:sz w:val="20"/>
                <w:szCs w:val="20"/>
                <w:lang w:val="fr-FR"/>
              </w:rPr>
            </w:pPr>
          </w:p>
          <w:p w14:paraId="69D33FA0"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Médiane de la survie sans progression (mois)</w:t>
            </w:r>
          </w:p>
        </w:tc>
        <w:tc>
          <w:tcPr>
            <w:tcW w:w="2121" w:type="dxa"/>
          </w:tcPr>
          <w:p w14:paraId="683CBF0E" w14:textId="194EE4FE"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 xml:space="preserve">CPP </w:t>
            </w:r>
            <w:r w:rsidR="00822FF4">
              <w:rPr>
                <w:sz w:val="20"/>
                <w:szCs w:val="20"/>
                <w:lang w:val="fr-FR"/>
              </w:rPr>
              <w:br/>
            </w:r>
            <w:r w:rsidRPr="00D277A9">
              <w:rPr>
                <w:sz w:val="20"/>
                <w:szCs w:val="20"/>
                <w:lang w:val="fr-FR"/>
              </w:rPr>
              <w:t>(n = 153)</w:t>
            </w:r>
          </w:p>
        </w:tc>
        <w:tc>
          <w:tcPr>
            <w:tcW w:w="2121" w:type="dxa"/>
          </w:tcPr>
          <w:p w14:paraId="7D7A656F" w14:textId="7216EC4B"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 xml:space="preserve">CPB15 </w:t>
            </w:r>
            <w:r w:rsidR="00822FF4">
              <w:rPr>
                <w:sz w:val="20"/>
                <w:szCs w:val="20"/>
                <w:lang w:val="fr-FR"/>
              </w:rPr>
              <w:br/>
            </w:r>
            <w:r w:rsidRPr="00D277A9">
              <w:rPr>
                <w:sz w:val="20"/>
                <w:szCs w:val="20"/>
                <w:lang w:val="fr-FR"/>
              </w:rPr>
              <w:t>(n = 165)</w:t>
            </w:r>
          </w:p>
        </w:tc>
        <w:tc>
          <w:tcPr>
            <w:tcW w:w="2123" w:type="dxa"/>
          </w:tcPr>
          <w:p w14:paraId="5B923BFF" w14:textId="10768CA8"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 xml:space="preserve">CPB15+ </w:t>
            </w:r>
            <w:r w:rsidR="00822FF4">
              <w:rPr>
                <w:sz w:val="20"/>
                <w:szCs w:val="20"/>
                <w:lang w:val="fr-FR"/>
              </w:rPr>
              <w:br/>
            </w:r>
            <w:r w:rsidRPr="00D277A9">
              <w:rPr>
                <w:sz w:val="20"/>
                <w:szCs w:val="20"/>
                <w:lang w:val="fr-FR"/>
              </w:rPr>
              <w:t>(n = 165)</w:t>
            </w:r>
          </w:p>
        </w:tc>
      </w:tr>
      <w:tr w:rsidR="004401F0" w:rsidRPr="00D277A9" w14:paraId="3956EB1A" w14:textId="77777777" w:rsidTr="00593DA4">
        <w:trPr>
          <w:cantSplit/>
        </w:trPr>
        <w:tc>
          <w:tcPr>
            <w:tcW w:w="2839" w:type="dxa"/>
            <w:vMerge/>
          </w:tcPr>
          <w:p w14:paraId="75C0CB12" w14:textId="77777777" w:rsidR="004401F0" w:rsidRPr="00D277A9" w:rsidRDefault="004401F0" w:rsidP="00D277A9">
            <w:pPr>
              <w:adjustRightInd w:val="0"/>
              <w:snapToGrid w:val="0"/>
              <w:rPr>
                <w:sz w:val="20"/>
                <w:szCs w:val="20"/>
                <w:lang w:val="fr-FR"/>
              </w:rPr>
            </w:pPr>
          </w:p>
        </w:tc>
        <w:tc>
          <w:tcPr>
            <w:tcW w:w="2121" w:type="dxa"/>
          </w:tcPr>
          <w:p w14:paraId="003B5F77"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9,5</w:t>
            </w:r>
          </w:p>
        </w:tc>
        <w:tc>
          <w:tcPr>
            <w:tcW w:w="2121" w:type="dxa"/>
          </w:tcPr>
          <w:p w14:paraId="00C9F754"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10,4</w:t>
            </w:r>
          </w:p>
        </w:tc>
        <w:tc>
          <w:tcPr>
            <w:tcW w:w="2123" w:type="dxa"/>
          </w:tcPr>
          <w:p w14:paraId="5F22139A"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12,8</w:t>
            </w:r>
          </w:p>
        </w:tc>
      </w:tr>
      <w:tr w:rsidR="004401F0" w:rsidRPr="00D277A9" w14:paraId="453E8FBC" w14:textId="77777777" w:rsidTr="00593DA4">
        <w:trPr>
          <w:cantSplit/>
        </w:trPr>
        <w:tc>
          <w:tcPr>
            <w:tcW w:w="2839" w:type="dxa"/>
          </w:tcPr>
          <w:p w14:paraId="56860FAC"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Risque relatif (IC 95 %)</w:t>
            </w:r>
            <w:r w:rsidRPr="00D277A9">
              <w:rPr>
                <w:sz w:val="20"/>
                <w:szCs w:val="20"/>
                <w:vertAlign w:val="superscript"/>
                <w:lang w:val="fr-FR"/>
              </w:rPr>
              <w:t>4</w:t>
            </w:r>
          </w:p>
        </w:tc>
        <w:tc>
          <w:tcPr>
            <w:tcW w:w="2121" w:type="dxa"/>
          </w:tcPr>
          <w:p w14:paraId="70142168" w14:textId="77777777" w:rsidR="004401F0" w:rsidRPr="00D277A9" w:rsidRDefault="004401F0" w:rsidP="00593DA4">
            <w:pPr>
              <w:pStyle w:val="TableParagraph"/>
              <w:adjustRightInd w:val="0"/>
              <w:snapToGrid w:val="0"/>
              <w:jc w:val="center"/>
              <w:rPr>
                <w:sz w:val="20"/>
                <w:szCs w:val="20"/>
                <w:lang w:val="fr-FR"/>
              </w:rPr>
            </w:pPr>
          </w:p>
        </w:tc>
        <w:tc>
          <w:tcPr>
            <w:tcW w:w="2121" w:type="dxa"/>
          </w:tcPr>
          <w:p w14:paraId="4F529083"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0,90</w:t>
            </w:r>
          </w:p>
          <w:p w14:paraId="2D7EC3A3" w14:textId="15CA56DE"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(0,70</w:t>
            </w:r>
            <w:r w:rsidR="00881CB8">
              <w:rPr>
                <w:sz w:val="20"/>
                <w:szCs w:val="20"/>
                <w:lang w:val="fr-FR"/>
              </w:rPr>
              <w:t xml:space="preserve"> ; </w:t>
            </w:r>
            <w:r w:rsidRPr="00D277A9">
              <w:rPr>
                <w:sz w:val="20"/>
                <w:szCs w:val="20"/>
                <w:lang w:val="fr-FR"/>
              </w:rPr>
              <w:t>1,16)</w:t>
            </w:r>
          </w:p>
        </w:tc>
        <w:tc>
          <w:tcPr>
            <w:tcW w:w="2123" w:type="dxa"/>
          </w:tcPr>
          <w:p w14:paraId="73241A14"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0,64</w:t>
            </w:r>
          </w:p>
          <w:p w14:paraId="4B09779D" w14:textId="0E734078"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(0,49</w:t>
            </w:r>
            <w:r w:rsidR="00881CB8">
              <w:rPr>
                <w:sz w:val="20"/>
                <w:szCs w:val="20"/>
                <w:lang w:val="fr-FR"/>
              </w:rPr>
              <w:t xml:space="preserve"> ; </w:t>
            </w:r>
            <w:r w:rsidRPr="00D277A9">
              <w:rPr>
                <w:sz w:val="20"/>
                <w:szCs w:val="20"/>
                <w:lang w:val="fr-FR"/>
              </w:rPr>
              <w:t>0,82)</w:t>
            </w:r>
          </w:p>
        </w:tc>
      </w:tr>
    </w:tbl>
    <w:p w14:paraId="0C1D0700" w14:textId="77777777" w:rsidR="00CA02F4" w:rsidRDefault="00DF3C4F" w:rsidP="00654D21">
      <w:pPr>
        <w:adjustRightInd w:val="0"/>
        <w:snapToGrid w:val="0"/>
        <w:rPr>
          <w:sz w:val="18"/>
          <w:szCs w:val="18"/>
          <w:lang w:val="fr-FR"/>
        </w:rPr>
      </w:pPr>
      <w:r w:rsidRPr="00D277A9">
        <w:rPr>
          <w:sz w:val="18"/>
          <w:szCs w:val="18"/>
          <w:vertAlign w:val="superscript"/>
          <w:lang w:val="fr-FR"/>
        </w:rPr>
        <w:t>1</w:t>
      </w:r>
      <w:r w:rsidRPr="00D277A9">
        <w:rPr>
          <w:sz w:val="18"/>
          <w:szCs w:val="18"/>
          <w:lang w:val="fr-FR"/>
        </w:rPr>
        <w:t xml:space="preserve"> Les investigateurs ont évalué l’analyse de la PFS spécifiée au protocole GOG (données de progression CA 125 et traitements hors protocole avant progression de la maladie non censurés) à la date du 25 février 2010 (cut-off). </w:t>
      </w:r>
    </w:p>
    <w:p w14:paraId="50A24D76" w14:textId="77777777" w:rsidR="004401F0" w:rsidRPr="00D277A9" w:rsidRDefault="00DF3C4F" w:rsidP="00BD4C7C">
      <w:pPr>
        <w:adjustRightInd w:val="0"/>
        <w:snapToGrid w:val="0"/>
        <w:jc w:val="both"/>
        <w:rPr>
          <w:sz w:val="18"/>
          <w:szCs w:val="18"/>
          <w:lang w:val="fr-FR"/>
        </w:rPr>
      </w:pPr>
      <w:r w:rsidRPr="00D277A9">
        <w:rPr>
          <w:sz w:val="18"/>
          <w:szCs w:val="18"/>
          <w:vertAlign w:val="superscript"/>
          <w:lang w:val="fr-FR"/>
        </w:rPr>
        <w:t>2</w:t>
      </w:r>
      <w:r w:rsidRPr="00D277A9">
        <w:rPr>
          <w:sz w:val="18"/>
          <w:szCs w:val="18"/>
          <w:lang w:val="fr-FR"/>
        </w:rPr>
        <w:t xml:space="preserve"> Avec une maladie résiduelle macroscopique</w:t>
      </w:r>
    </w:p>
    <w:p w14:paraId="7D828620" w14:textId="767CE972" w:rsidR="004401F0" w:rsidRPr="00D277A9" w:rsidRDefault="00DF3C4F" w:rsidP="00BD4C7C">
      <w:pPr>
        <w:adjustRightInd w:val="0"/>
        <w:snapToGrid w:val="0"/>
        <w:jc w:val="both"/>
        <w:rPr>
          <w:sz w:val="18"/>
          <w:szCs w:val="18"/>
          <w:lang w:val="fr-FR"/>
        </w:rPr>
      </w:pPr>
      <w:r w:rsidRPr="00D277A9">
        <w:rPr>
          <w:sz w:val="18"/>
          <w:szCs w:val="18"/>
          <w:vertAlign w:val="superscript"/>
          <w:lang w:val="fr-FR"/>
        </w:rPr>
        <w:t>3</w:t>
      </w:r>
      <w:r w:rsidRPr="00D277A9">
        <w:rPr>
          <w:sz w:val="18"/>
          <w:szCs w:val="18"/>
          <w:lang w:val="fr-FR"/>
        </w:rPr>
        <w:t xml:space="preserve"> 3,7</w:t>
      </w:r>
      <w:r w:rsidR="00AF3AAA">
        <w:rPr>
          <w:sz w:val="18"/>
          <w:szCs w:val="18"/>
          <w:lang w:val="fr-FR"/>
        </w:rPr>
        <w:t xml:space="preserve"> % </w:t>
      </w:r>
      <w:r w:rsidRPr="00D277A9">
        <w:rPr>
          <w:sz w:val="18"/>
          <w:szCs w:val="18"/>
          <w:lang w:val="fr-FR"/>
        </w:rPr>
        <w:t>de la population globale de patientes randomisées avaient une maladie de stade IIIB</w:t>
      </w:r>
    </w:p>
    <w:p w14:paraId="136066CC" w14:textId="77777777" w:rsidR="004401F0" w:rsidRPr="00D277A9" w:rsidRDefault="00DF3C4F" w:rsidP="00BD4C7C">
      <w:pPr>
        <w:adjustRightInd w:val="0"/>
        <w:snapToGrid w:val="0"/>
        <w:jc w:val="both"/>
        <w:rPr>
          <w:sz w:val="18"/>
          <w:szCs w:val="18"/>
          <w:lang w:val="fr-FR"/>
        </w:rPr>
      </w:pPr>
      <w:r w:rsidRPr="00D277A9">
        <w:rPr>
          <w:sz w:val="18"/>
          <w:szCs w:val="18"/>
          <w:vertAlign w:val="superscript"/>
          <w:lang w:val="fr-FR"/>
        </w:rPr>
        <w:t>4</w:t>
      </w:r>
      <w:r w:rsidRPr="00D277A9">
        <w:rPr>
          <w:sz w:val="18"/>
          <w:szCs w:val="18"/>
          <w:lang w:val="fr-FR"/>
        </w:rPr>
        <w:t xml:space="preserve"> Relatif au bras contrôle.</w:t>
      </w:r>
    </w:p>
    <w:p w14:paraId="74546C9C" w14:textId="77777777" w:rsidR="004401F0" w:rsidRPr="00DA7718" w:rsidRDefault="004401F0" w:rsidP="00BD4C7C">
      <w:pPr>
        <w:pStyle w:val="a3"/>
        <w:adjustRightInd w:val="0"/>
        <w:snapToGrid w:val="0"/>
        <w:rPr>
          <w:lang w:val="fr-FR"/>
        </w:rPr>
      </w:pPr>
    </w:p>
    <w:p w14:paraId="65D787F8" w14:textId="77777777" w:rsidR="004401F0" w:rsidRPr="00DA7718" w:rsidRDefault="00DF3C4F" w:rsidP="00BD4C7C">
      <w:pPr>
        <w:adjustRightInd w:val="0"/>
        <w:snapToGrid w:val="0"/>
        <w:jc w:val="both"/>
        <w:rPr>
          <w:i/>
          <w:lang w:val="fr-FR"/>
        </w:rPr>
      </w:pPr>
      <w:r w:rsidRPr="00DA7718">
        <w:rPr>
          <w:i/>
          <w:lang w:val="fr-FR"/>
        </w:rPr>
        <w:t>BO17707 (ICON7)</w:t>
      </w:r>
    </w:p>
    <w:p w14:paraId="18881322" w14:textId="2DE1579E" w:rsidR="004401F0" w:rsidRPr="00DA7718" w:rsidRDefault="00DF3C4F" w:rsidP="00BD4C7C">
      <w:pPr>
        <w:pStyle w:val="a3"/>
        <w:adjustRightInd w:val="0"/>
        <w:snapToGrid w:val="0"/>
        <w:rPr>
          <w:lang w:val="fr-FR"/>
        </w:rPr>
      </w:pPr>
      <w:r w:rsidRPr="00DA7718">
        <w:rPr>
          <w:lang w:val="fr-FR"/>
        </w:rPr>
        <w:t>L’étude BO17707 était une étude de phase III, à deux bras, multicentrique, randomisée, contrôlée, en ouvert comparant l’effet de l’ajout d</w:t>
      </w:r>
      <w:r w:rsidR="008A71E4">
        <w:rPr>
          <w:lang w:val="fr-FR"/>
        </w:rPr>
        <w:t xml:space="preserve">e bevacizumab </w:t>
      </w:r>
      <w:r w:rsidRPr="00DA7718">
        <w:rPr>
          <w:lang w:val="fr-FR"/>
        </w:rPr>
        <w:t>à l’association carboplatine plus paclitaxel chez des patientes, atteintes d’un cancer épithélial de l’ovaire, des trompes de Fallope ou péritonéal primitif de stade FIGO I ou IIA (Grade 3 ou histologie à cellules claires uniquement</w:t>
      </w:r>
      <w:r w:rsidR="00881CB8">
        <w:rPr>
          <w:lang w:val="fr-FR"/>
        </w:rPr>
        <w:t xml:space="preserve"> ; </w:t>
      </w:r>
      <w:r w:rsidRPr="00DA7718">
        <w:rPr>
          <w:lang w:val="fr-FR"/>
        </w:rPr>
        <w:t>n=142), ou de stade de FIGO IIB – IV (tous les grades et tous les types histologiques</w:t>
      </w:r>
      <w:r w:rsidR="00881CB8">
        <w:rPr>
          <w:lang w:val="fr-FR"/>
        </w:rPr>
        <w:t xml:space="preserve"> ; </w:t>
      </w:r>
      <w:r w:rsidRPr="00DA7718">
        <w:rPr>
          <w:lang w:val="fr-FR"/>
        </w:rPr>
        <w:t>n=1386), après chirurgie (NCI-CTCAE v.3). La version datée de 1988 de la classification FIGO était utilisée dans cette étude.</w:t>
      </w:r>
    </w:p>
    <w:p w14:paraId="3752B141" w14:textId="77777777" w:rsidR="004401F0" w:rsidRPr="007C119A" w:rsidRDefault="004401F0" w:rsidP="00BD4C7C">
      <w:pPr>
        <w:pStyle w:val="a3"/>
        <w:adjustRightInd w:val="0"/>
        <w:snapToGrid w:val="0"/>
        <w:rPr>
          <w:lang w:val="fr-FR"/>
        </w:rPr>
      </w:pPr>
    </w:p>
    <w:p w14:paraId="7A66E366" w14:textId="38EB0B9C" w:rsidR="004401F0" w:rsidRPr="00DA7718" w:rsidRDefault="00DF3C4F" w:rsidP="00654D21">
      <w:pPr>
        <w:pStyle w:val="a3"/>
        <w:keepLines/>
        <w:adjustRightInd w:val="0"/>
        <w:snapToGrid w:val="0"/>
        <w:rPr>
          <w:lang w:val="fr-FR"/>
        </w:rPr>
      </w:pPr>
      <w:r w:rsidRPr="00DA7718">
        <w:rPr>
          <w:lang w:val="fr-FR"/>
        </w:rPr>
        <w:lastRenderedPageBreak/>
        <w:t>Les patientes ayant préalablement reçu pour un cancer de l’ovaire un traitement avec du bevacizumab, ou un traitement systémique anticancéreux (par exemple</w:t>
      </w:r>
      <w:r w:rsidR="00765A43">
        <w:rPr>
          <w:lang w:val="fr-FR"/>
        </w:rPr>
        <w:t xml:space="preserve"> : </w:t>
      </w:r>
      <w:r w:rsidRPr="00DA7718">
        <w:rPr>
          <w:lang w:val="fr-FR"/>
        </w:rPr>
        <w:t>chimiothérapie, traitement avec un anticorps monoclonal, traitement avec un inhibiteur de la tyrosine kinase ou un traitement hormonal) ou une radiothérapie abdominale ou pelvienne, étaient exclues de l’étude.</w:t>
      </w:r>
    </w:p>
    <w:p w14:paraId="582EC99F" w14:textId="77777777" w:rsidR="004401F0" w:rsidRPr="00DA7718" w:rsidRDefault="004401F0" w:rsidP="00BD4C7C">
      <w:pPr>
        <w:pStyle w:val="a3"/>
        <w:adjustRightInd w:val="0"/>
        <w:snapToGrid w:val="0"/>
        <w:rPr>
          <w:lang w:val="fr-FR"/>
        </w:rPr>
      </w:pPr>
    </w:p>
    <w:p w14:paraId="15F9C57C" w14:textId="77777777" w:rsidR="004401F0" w:rsidRPr="00DA7718" w:rsidRDefault="00DF3C4F" w:rsidP="00BD4C7C">
      <w:pPr>
        <w:pStyle w:val="a3"/>
        <w:adjustRightInd w:val="0"/>
        <w:snapToGrid w:val="0"/>
        <w:jc w:val="both"/>
        <w:rPr>
          <w:lang w:val="fr-FR"/>
        </w:rPr>
      </w:pPr>
      <w:r w:rsidRPr="00DA7718">
        <w:rPr>
          <w:lang w:val="fr-FR"/>
        </w:rPr>
        <w:t>Un total de 1528 patientes a été randomisé, en proportion égale, dans les deux bras suivants :</w:t>
      </w:r>
    </w:p>
    <w:p w14:paraId="2A19EF07" w14:textId="77777777" w:rsidR="004401F0" w:rsidRPr="007C119A" w:rsidRDefault="004401F0" w:rsidP="00BD4C7C">
      <w:pPr>
        <w:pStyle w:val="a3"/>
        <w:adjustRightInd w:val="0"/>
        <w:snapToGrid w:val="0"/>
        <w:rPr>
          <w:lang w:val="fr-FR"/>
        </w:rPr>
      </w:pPr>
    </w:p>
    <w:p w14:paraId="3FF3B63C" w14:textId="442B8CCA" w:rsidR="004401F0" w:rsidRPr="00DA7718" w:rsidRDefault="00BD4C7C" w:rsidP="00593DA4">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Bras CP</w:t>
      </w:r>
      <w:r w:rsidR="00765A43">
        <w:rPr>
          <w:lang w:val="fr-FR"/>
        </w:rPr>
        <w:t xml:space="preserve"> : </w:t>
      </w:r>
      <w:r w:rsidR="00DF3C4F" w:rsidRPr="00DA7718">
        <w:rPr>
          <w:lang w:val="fr-FR"/>
        </w:rPr>
        <w:t>carboplatine (ASC 6) et paclitaxel (175</w:t>
      </w:r>
      <w:r w:rsidR="00DA7718" w:rsidRPr="00DA7718">
        <w:rPr>
          <w:lang w:val="fr-FR"/>
        </w:rPr>
        <w:t> mg</w:t>
      </w:r>
      <w:r w:rsidR="00DF3C4F" w:rsidRPr="00DA7718">
        <w:rPr>
          <w:lang w:val="fr-FR"/>
        </w:rPr>
        <w:t xml:space="preserve">/m²) pendant 6 cycles d’une durée de </w:t>
      </w:r>
      <w:r w:rsidR="0024571F" w:rsidRPr="00DA7718">
        <w:rPr>
          <w:lang w:val="fr-FR"/>
        </w:rPr>
        <w:t>3</w:t>
      </w:r>
      <w:r w:rsidR="0024571F">
        <w:rPr>
          <w:lang w:val="fr-FR"/>
        </w:rPr>
        <w:t> </w:t>
      </w:r>
      <w:r w:rsidR="00DF3C4F" w:rsidRPr="00DA7718">
        <w:rPr>
          <w:lang w:val="fr-FR"/>
        </w:rPr>
        <w:t>semaines.</w:t>
      </w:r>
    </w:p>
    <w:p w14:paraId="03A2FBB6" w14:textId="79D1418E" w:rsidR="004401F0" w:rsidRPr="00DA7718" w:rsidRDefault="00BD4C7C" w:rsidP="00593DA4">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Bras CPB 7,5+</w:t>
      </w:r>
      <w:r w:rsidR="00765A43">
        <w:rPr>
          <w:lang w:val="fr-FR"/>
        </w:rPr>
        <w:t xml:space="preserve"> : </w:t>
      </w:r>
      <w:r w:rsidR="00DF3C4F" w:rsidRPr="00DA7718">
        <w:rPr>
          <w:lang w:val="fr-FR"/>
        </w:rPr>
        <w:t>carboplatine (ASC 6) et paclitaxel (175</w:t>
      </w:r>
      <w:r w:rsidR="00DA7718" w:rsidRPr="00DA7718">
        <w:rPr>
          <w:lang w:val="fr-FR"/>
        </w:rPr>
        <w:t> mg</w:t>
      </w:r>
      <w:r w:rsidR="00DF3C4F" w:rsidRPr="00DA7718">
        <w:rPr>
          <w:lang w:val="fr-FR"/>
        </w:rPr>
        <w:t xml:space="preserve">/m²) pendant 6 cycles d’une durée de 3 semaines plus </w:t>
      </w:r>
      <w:r w:rsidR="003523B4">
        <w:rPr>
          <w:lang w:val="fr-FR"/>
        </w:rPr>
        <w:t>bevacizumab</w:t>
      </w:r>
      <w:r w:rsidR="00DF3C4F" w:rsidRPr="00DA7718">
        <w:rPr>
          <w:lang w:val="fr-FR"/>
        </w:rPr>
        <w:t xml:space="preserve"> (7,5</w:t>
      </w:r>
      <w:r w:rsidR="00DA7718" w:rsidRPr="00DA7718">
        <w:rPr>
          <w:lang w:val="fr-FR"/>
        </w:rPr>
        <w:t> mg</w:t>
      </w:r>
      <w:r w:rsidR="00DF3C4F" w:rsidRPr="00DA7718">
        <w:rPr>
          <w:lang w:val="fr-FR"/>
        </w:rPr>
        <w:t>/kg toutes les 3 semaines) pendant 12 mois maximum (</w:t>
      </w:r>
      <w:r w:rsidR="003523B4">
        <w:rPr>
          <w:lang w:val="fr-FR"/>
        </w:rPr>
        <w:t>le bevacizumab</w:t>
      </w:r>
      <w:r w:rsidR="00DF3C4F" w:rsidRPr="00DA7718">
        <w:rPr>
          <w:lang w:val="fr-FR"/>
        </w:rPr>
        <w:t xml:space="preserve"> démarrait au cycle 2 de la chimiothérapie si le traitement avait été initié dans les 4 semaines suivant la chirurgie ou au cycle 1 si le traitement avait été initié plus de </w:t>
      </w:r>
      <w:r w:rsidR="0024571F" w:rsidRPr="00DA7718">
        <w:rPr>
          <w:lang w:val="fr-FR"/>
        </w:rPr>
        <w:t>4</w:t>
      </w:r>
      <w:r w:rsidR="0024571F">
        <w:rPr>
          <w:lang w:val="fr-FR"/>
        </w:rPr>
        <w:t> </w:t>
      </w:r>
      <w:r w:rsidR="00DF3C4F" w:rsidRPr="00DA7718">
        <w:rPr>
          <w:lang w:val="fr-FR"/>
        </w:rPr>
        <w:t>semaines après la chirurgie).</w:t>
      </w:r>
    </w:p>
    <w:p w14:paraId="1E9F156A" w14:textId="77777777" w:rsidR="00BD4C7C" w:rsidRPr="00DA7718" w:rsidRDefault="00BD4C7C" w:rsidP="00BD4C7C">
      <w:pPr>
        <w:adjustRightInd w:val="0"/>
        <w:snapToGrid w:val="0"/>
        <w:rPr>
          <w:lang w:val="fr-FR"/>
        </w:rPr>
      </w:pPr>
    </w:p>
    <w:p w14:paraId="580541FF" w14:textId="0D6B7662" w:rsidR="004401F0" w:rsidRPr="00DA7718" w:rsidRDefault="00DF3C4F" w:rsidP="00BD4C7C">
      <w:pPr>
        <w:pStyle w:val="a3"/>
        <w:adjustRightInd w:val="0"/>
        <w:snapToGrid w:val="0"/>
        <w:rPr>
          <w:lang w:val="fr-FR"/>
        </w:rPr>
      </w:pPr>
      <w:r w:rsidRPr="00DA7718">
        <w:rPr>
          <w:lang w:val="fr-FR"/>
        </w:rPr>
        <w:t>La majorité des patientes inclues dans l’étude était de type caucasien (96 %)</w:t>
      </w:r>
      <w:r w:rsidR="00881CB8">
        <w:rPr>
          <w:lang w:val="fr-FR"/>
        </w:rPr>
        <w:t xml:space="preserve"> ; </w:t>
      </w:r>
      <w:r w:rsidRPr="00DA7718">
        <w:rPr>
          <w:lang w:val="fr-FR"/>
        </w:rPr>
        <w:t xml:space="preserve">l’âge médian était de </w:t>
      </w:r>
      <w:r w:rsidR="0024571F" w:rsidRPr="00DA7718">
        <w:rPr>
          <w:lang w:val="fr-FR"/>
        </w:rPr>
        <w:t>57</w:t>
      </w:r>
      <w:r w:rsidR="0024571F">
        <w:rPr>
          <w:lang w:val="fr-FR"/>
        </w:rPr>
        <w:t> </w:t>
      </w:r>
      <w:r w:rsidRPr="00DA7718">
        <w:rPr>
          <w:lang w:val="fr-FR"/>
        </w:rPr>
        <w:t>ans dans les deux bras de traitement, 25</w:t>
      </w:r>
      <w:r w:rsidR="00AF3AAA">
        <w:rPr>
          <w:lang w:val="fr-FR"/>
        </w:rPr>
        <w:t xml:space="preserve"> % </w:t>
      </w:r>
      <w:r w:rsidRPr="00DA7718">
        <w:rPr>
          <w:lang w:val="fr-FR"/>
        </w:rPr>
        <w:t>des patientes de chaque bras avaient 65 ans ou plus et environ 50</w:t>
      </w:r>
      <w:r w:rsidR="00AF3AAA">
        <w:rPr>
          <w:lang w:val="fr-FR"/>
        </w:rPr>
        <w:t xml:space="preserve"> % </w:t>
      </w:r>
      <w:r w:rsidRPr="00DA7718">
        <w:rPr>
          <w:lang w:val="fr-FR"/>
        </w:rPr>
        <w:t>des patientes avaient un indice de performance ECOG de 1</w:t>
      </w:r>
      <w:r w:rsidR="00881CB8">
        <w:rPr>
          <w:lang w:val="fr-FR"/>
        </w:rPr>
        <w:t xml:space="preserve"> ; </w:t>
      </w:r>
      <w:r w:rsidRPr="00DA7718">
        <w:rPr>
          <w:lang w:val="fr-FR"/>
        </w:rPr>
        <w:t>7</w:t>
      </w:r>
      <w:r w:rsidR="00AF3AAA">
        <w:rPr>
          <w:lang w:val="fr-FR"/>
        </w:rPr>
        <w:t xml:space="preserve"> % </w:t>
      </w:r>
      <w:r w:rsidRPr="00DA7718">
        <w:rPr>
          <w:lang w:val="fr-FR"/>
        </w:rPr>
        <w:t>des patientes de chaque bras avaient un indice de performance ECOG de 2. La majorité des patientes était atteinte d’un cancer épithélial de l’ovaire (87,7 %)</w:t>
      </w:r>
      <w:r w:rsidR="00881CB8">
        <w:rPr>
          <w:lang w:val="fr-FR"/>
        </w:rPr>
        <w:t xml:space="preserve"> ; </w:t>
      </w:r>
      <w:r w:rsidRPr="00DA7718">
        <w:rPr>
          <w:lang w:val="fr-FR"/>
        </w:rPr>
        <w:t>viennent ensuite celles atteintes d’un cancer péritonéal primitif (6,9 %), puis celles atteintes d’un cancer des trompes de Fallope (3,7 %) ou celles ayant un mixte des 3 origines (1,7 %). La plupart des patientes étaient de stade FIGO III (68</w:t>
      </w:r>
      <w:r w:rsidR="00AF3AAA">
        <w:rPr>
          <w:lang w:val="fr-FR"/>
        </w:rPr>
        <w:t xml:space="preserve"> % </w:t>
      </w:r>
      <w:r w:rsidRPr="00DA7718">
        <w:rPr>
          <w:lang w:val="fr-FR"/>
        </w:rPr>
        <w:t>dans les deux bras), puis 13</w:t>
      </w:r>
      <w:r w:rsidR="00AF3AAA">
        <w:rPr>
          <w:lang w:val="fr-FR"/>
        </w:rPr>
        <w:t xml:space="preserve"> % </w:t>
      </w:r>
      <w:r w:rsidRPr="00DA7718">
        <w:rPr>
          <w:lang w:val="fr-FR"/>
        </w:rPr>
        <w:t>et 14</w:t>
      </w:r>
      <w:r w:rsidR="00AF3AAA">
        <w:rPr>
          <w:lang w:val="fr-FR"/>
        </w:rPr>
        <w:t xml:space="preserve"> % </w:t>
      </w:r>
      <w:r w:rsidRPr="00DA7718">
        <w:rPr>
          <w:lang w:val="fr-FR"/>
        </w:rPr>
        <w:t>de stade FIGO IV, 10</w:t>
      </w:r>
      <w:r w:rsidR="00AF3AAA">
        <w:rPr>
          <w:lang w:val="fr-FR"/>
        </w:rPr>
        <w:t xml:space="preserve"> % </w:t>
      </w:r>
      <w:r w:rsidRPr="00DA7718">
        <w:rPr>
          <w:lang w:val="fr-FR"/>
        </w:rPr>
        <w:t>et 11</w:t>
      </w:r>
      <w:r w:rsidR="00AF3AAA">
        <w:rPr>
          <w:lang w:val="fr-FR"/>
        </w:rPr>
        <w:t xml:space="preserve"> % </w:t>
      </w:r>
      <w:r w:rsidRPr="00DA7718">
        <w:rPr>
          <w:lang w:val="fr-FR"/>
        </w:rPr>
        <w:t>de stade FIGO II et 9</w:t>
      </w:r>
      <w:r w:rsidR="00AF3AAA">
        <w:rPr>
          <w:lang w:val="fr-FR"/>
        </w:rPr>
        <w:t xml:space="preserve"> % </w:t>
      </w:r>
      <w:r w:rsidRPr="00DA7718">
        <w:rPr>
          <w:lang w:val="fr-FR"/>
        </w:rPr>
        <w:t>et 7</w:t>
      </w:r>
      <w:r w:rsidR="00AF3AAA">
        <w:rPr>
          <w:lang w:val="fr-FR"/>
        </w:rPr>
        <w:t xml:space="preserve"> % </w:t>
      </w:r>
      <w:r w:rsidRPr="00DA7718">
        <w:rPr>
          <w:lang w:val="fr-FR"/>
        </w:rPr>
        <w:t>de stade FIGO I. La majorité des patientes de chaque bras de traitement (74</w:t>
      </w:r>
      <w:r w:rsidR="00AF3AAA">
        <w:rPr>
          <w:lang w:val="fr-FR"/>
        </w:rPr>
        <w:t xml:space="preserve"> % </w:t>
      </w:r>
      <w:r w:rsidRPr="00DA7718">
        <w:rPr>
          <w:lang w:val="fr-FR"/>
        </w:rPr>
        <w:t>et 71 %) avaient des tumeurs primaires peu différenciées (Grade 3) lors de la randomisation. L’incidence de chaque sous-type histologique du cancer épithélial de l’ovaire était similaire entre les deux bras de traitement</w:t>
      </w:r>
      <w:r w:rsidR="00881CB8">
        <w:rPr>
          <w:lang w:val="fr-FR"/>
        </w:rPr>
        <w:t xml:space="preserve"> ; </w:t>
      </w:r>
      <w:r w:rsidRPr="00DA7718">
        <w:rPr>
          <w:lang w:val="fr-FR"/>
        </w:rPr>
        <w:t>69</w:t>
      </w:r>
      <w:r w:rsidR="00AF3AAA">
        <w:rPr>
          <w:lang w:val="fr-FR"/>
        </w:rPr>
        <w:t xml:space="preserve"> % </w:t>
      </w:r>
      <w:r w:rsidRPr="00DA7718">
        <w:rPr>
          <w:lang w:val="fr-FR"/>
        </w:rPr>
        <w:t>des patientes dans chaque bras de traitement avaient un adénocarcinome de type histologique séreux.</w:t>
      </w:r>
    </w:p>
    <w:p w14:paraId="5CC1C035" w14:textId="77777777" w:rsidR="004401F0" w:rsidRPr="007C119A" w:rsidRDefault="004401F0" w:rsidP="00BD4C7C">
      <w:pPr>
        <w:pStyle w:val="a3"/>
        <w:adjustRightInd w:val="0"/>
        <w:snapToGrid w:val="0"/>
        <w:rPr>
          <w:lang w:val="fr-FR"/>
        </w:rPr>
      </w:pPr>
    </w:p>
    <w:p w14:paraId="0FF792AA" w14:textId="77777777" w:rsidR="004401F0" w:rsidRPr="00DA7718" w:rsidRDefault="00DF3C4F" w:rsidP="00BD4C7C">
      <w:pPr>
        <w:pStyle w:val="a3"/>
        <w:adjustRightInd w:val="0"/>
        <w:snapToGrid w:val="0"/>
        <w:rPr>
          <w:lang w:val="fr-FR"/>
        </w:rPr>
      </w:pPr>
      <w:r w:rsidRPr="00DA7718">
        <w:rPr>
          <w:lang w:val="fr-FR"/>
        </w:rPr>
        <w:t>Le critère principal était la survie sans progression (PFS), évaluée par les investigateurs selon RECIST.</w:t>
      </w:r>
    </w:p>
    <w:p w14:paraId="27C23C55" w14:textId="77777777" w:rsidR="004401F0" w:rsidRPr="007C119A" w:rsidRDefault="004401F0" w:rsidP="00BD4C7C">
      <w:pPr>
        <w:pStyle w:val="a3"/>
        <w:adjustRightInd w:val="0"/>
        <w:snapToGrid w:val="0"/>
        <w:rPr>
          <w:lang w:val="fr-FR"/>
        </w:rPr>
      </w:pPr>
    </w:p>
    <w:p w14:paraId="619141AC" w14:textId="77777777" w:rsidR="004401F0" w:rsidRPr="00DA7718" w:rsidRDefault="00DF3C4F" w:rsidP="00BD4C7C">
      <w:pPr>
        <w:pStyle w:val="a3"/>
        <w:adjustRightInd w:val="0"/>
        <w:snapToGrid w:val="0"/>
        <w:rPr>
          <w:lang w:val="fr-FR"/>
        </w:rPr>
      </w:pPr>
      <w:r w:rsidRPr="00DA7718">
        <w:rPr>
          <w:lang w:val="fr-FR"/>
        </w:rPr>
        <w:t>L’objectif principal d’amélioration de la PFS a été atteint. Les patientes ayant reçu du bevacizumab à la dose de 7,5</w:t>
      </w:r>
      <w:r w:rsidR="00DA7718" w:rsidRPr="00DA7718">
        <w:rPr>
          <w:lang w:val="fr-FR"/>
        </w:rPr>
        <w:t> mg</w:t>
      </w:r>
      <w:r w:rsidRPr="00DA7718">
        <w:rPr>
          <w:lang w:val="fr-FR"/>
        </w:rPr>
        <w:t>/kg toutes les 3 semaines en association à la chimiothérapie et ayant continué à recevoir du bevacizumab seul pendant 18 cycles au maximum, ont eu une amélioration de la PFS statistiquement significative comparée aux patientes traitées par chimiothérapie seule (carboplatine et paclitaxel) en première ligne.</w:t>
      </w:r>
    </w:p>
    <w:p w14:paraId="1C91578D" w14:textId="77777777" w:rsidR="004401F0" w:rsidRPr="007C119A" w:rsidRDefault="004401F0" w:rsidP="00BD4C7C">
      <w:pPr>
        <w:pStyle w:val="a3"/>
        <w:adjustRightInd w:val="0"/>
        <w:snapToGrid w:val="0"/>
        <w:rPr>
          <w:lang w:val="fr-FR"/>
        </w:rPr>
      </w:pPr>
    </w:p>
    <w:p w14:paraId="0ED87D90" w14:textId="77777777" w:rsidR="004401F0" w:rsidRPr="00DA7718" w:rsidRDefault="00DF3C4F" w:rsidP="00BD4C7C">
      <w:pPr>
        <w:pStyle w:val="a3"/>
        <w:adjustRightInd w:val="0"/>
        <w:snapToGrid w:val="0"/>
        <w:rPr>
          <w:lang w:val="fr-FR"/>
        </w:rPr>
      </w:pPr>
      <w:r w:rsidRPr="00DA7718">
        <w:rPr>
          <w:lang w:val="fr-FR"/>
        </w:rPr>
        <w:t>Les résultats de cette étude sont résumés dans le tableau 18.</w:t>
      </w:r>
    </w:p>
    <w:p w14:paraId="2255BFC7" w14:textId="77777777" w:rsidR="004401F0" w:rsidRPr="00DA7718" w:rsidRDefault="004401F0" w:rsidP="00BD4C7C">
      <w:pPr>
        <w:pStyle w:val="a3"/>
        <w:adjustRightInd w:val="0"/>
        <w:snapToGrid w:val="0"/>
        <w:rPr>
          <w:lang w:val="fr-FR"/>
        </w:rPr>
      </w:pPr>
    </w:p>
    <w:p w14:paraId="4EAAED30" w14:textId="77777777" w:rsidR="004401F0" w:rsidRPr="00AC582F" w:rsidRDefault="00DF3C4F" w:rsidP="00AC582F">
      <w:pPr>
        <w:keepNext/>
        <w:keepLines/>
        <w:ind w:left="1276" w:hanging="1276"/>
        <w:rPr>
          <w:b/>
          <w:bCs/>
          <w:lang w:val="fr-FR"/>
        </w:rPr>
      </w:pPr>
      <w:r w:rsidRPr="00AC582F">
        <w:rPr>
          <w:b/>
          <w:bCs/>
          <w:lang w:val="fr-FR"/>
        </w:rPr>
        <w:lastRenderedPageBreak/>
        <w:t>Tableau 18</w:t>
      </w:r>
      <w:r w:rsidRPr="00AC582F">
        <w:rPr>
          <w:b/>
          <w:bCs/>
          <w:lang w:val="fr-FR"/>
        </w:rPr>
        <w:tab/>
        <w:t>Résultats d’efficacité de l’étude BO17707 (ICON7)</w:t>
      </w:r>
    </w:p>
    <w:p w14:paraId="0E5A379D" w14:textId="77777777" w:rsidR="004401F0" w:rsidRPr="00DA7718" w:rsidRDefault="004401F0" w:rsidP="00654D21">
      <w:pPr>
        <w:pStyle w:val="a3"/>
        <w:keepNext/>
        <w:keepLines/>
        <w:adjustRightInd w:val="0"/>
        <w:snapToGrid w:val="0"/>
        <w:rPr>
          <w:b/>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6"/>
        <w:gridCol w:w="2906"/>
        <w:gridCol w:w="3022"/>
      </w:tblGrid>
      <w:tr w:rsidR="004401F0" w:rsidRPr="00D277A9" w14:paraId="3E532B69" w14:textId="77777777" w:rsidTr="00593DA4">
        <w:trPr>
          <w:cantSplit/>
        </w:trPr>
        <w:tc>
          <w:tcPr>
            <w:tcW w:w="9207" w:type="dxa"/>
            <w:gridSpan w:val="3"/>
          </w:tcPr>
          <w:p w14:paraId="3614281A"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Survie sans progression (PFS)</w:t>
            </w:r>
          </w:p>
        </w:tc>
      </w:tr>
      <w:tr w:rsidR="004401F0" w:rsidRPr="00D277A9" w14:paraId="5AC3AFE4" w14:textId="77777777" w:rsidTr="00593DA4">
        <w:trPr>
          <w:cantSplit/>
        </w:trPr>
        <w:tc>
          <w:tcPr>
            <w:tcW w:w="3185" w:type="dxa"/>
          </w:tcPr>
          <w:p w14:paraId="17B53D4E" w14:textId="77777777" w:rsidR="004401F0" w:rsidRPr="00D277A9" w:rsidRDefault="004401F0" w:rsidP="00654D21">
            <w:pPr>
              <w:pStyle w:val="TableParagraph"/>
              <w:keepNext/>
              <w:keepLines/>
              <w:adjustRightInd w:val="0"/>
              <w:snapToGrid w:val="0"/>
              <w:rPr>
                <w:sz w:val="20"/>
                <w:szCs w:val="20"/>
                <w:lang w:val="fr-FR"/>
              </w:rPr>
            </w:pPr>
          </w:p>
        </w:tc>
        <w:tc>
          <w:tcPr>
            <w:tcW w:w="2952" w:type="dxa"/>
          </w:tcPr>
          <w:p w14:paraId="7FC51C98"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CP</w:t>
            </w:r>
          </w:p>
          <w:p w14:paraId="47E6EB07"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(n = 764)</w:t>
            </w:r>
          </w:p>
        </w:tc>
        <w:tc>
          <w:tcPr>
            <w:tcW w:w="3070" w:type="dxa"/>
          </w:tcPr>
          <w:p w14:paraId="46A8F4C9"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CPB7,5+ (n =764)</w:t>
            </w:r>
          </w:p>
        </w:tc>
      </w:tr>
      <w:tr w:rsidR="004401F0" w:rsidRPr="00D277A9" w14:paraId="50C4D65E" w14:textId="77777777" w:rsidTr="00593DA4">
        <w:trPr>
          <w:cantSplit/>
        </w:trPr>
        <w:tc>
          <w:tcPr>
            <w:tcW w:w="3185" w:type="dxa"/>
          </w:tcPr>
          <w:p w14:paraId="203FA036" w14:textId="77777777" w:rsidR="004401F0" w:rsidRPr="00D277A9" w:rsidRDefault="00DF3C4F" w:rsidP="00654D21">
            <w:pPr>
              <w:pStyle w:val="TableParagraph"/>
              <w:keepNext/>
              <w:keepLines/>
              <w:adjustRightInd w:val="0"/>
              <w:snapToGrid w:val="0"/>
              <w:ind w:left="180"/>
              <w:rPr>
                <w:sz w:val="20"/>
                <w:szCs w:val="20"/>
                <w:lang w:val="fr-FR"/>
              </w:rPr>
            </w:pPr>
            <w:r w:rsidRPr="00D277A9">
              <w:rPr>
                <w:sz w:val="20"/>
                <w:szCs w:val="20"/>
                <w:lang w:val="fr-FR"/>
              </w:rPr>
              <w:t>Médiane de la survie sans</w:t>
            </w:r>
          </w:p>
          <w:p w14:paraId="43F1FE0D" w14:textId="77777777" w:rsidR="004401F0" w:rsidRPr="00D277A9" w:rsidRDefault="00DF3C4F" w:rsidP="00654D21">
            <w:pPr>
              <w:pStyle w:val="TableParagraph"/>
              <w:keepNext/>
              <w:keepLines/>
              <w:adjustRightInd w:val="0"/>
              <w:snapToGrid w:val="0"/>
              <w:ind w:left="180"/>
              <w:rPr>
                <w:sz w:val="20"/>
                <w:szCs w:val="20"/>
                <w:lang w:val="fr-FR"/>
              </w:rPr>
            </w:pPr>
            <w:r w:rsidRPr="00D277A9">
              <w:rPr>
                <w:sz w:val="20"/>
                <w:szCs w:val="20"/>
                <w:lang w:val="fr-FR"/>
              </w:rPr>
              <w:t xml:space="preserve">progression PFS (mois) </w:t>
            </w:r>
            <w:r w:rsidRPr="00D277A9">
              <w:rPr>
                <w:sz w:val="20"/>
                <w:szCs w:val="20"/>
                <w:vertAlign w:val="superscript"/>
                <w:lang w:val="fr-FR"/>
              </w:rPr>
              <w:t>2</w:t>
            </w:r>
          </w:p>
        </w:tc>
        <w:tc>
          <w:tcPr>
            <w:tcW w:w="2952" w:type="dxa"/>
          </w:tcPr>
          <w:p w14:paraId="35AC08AC"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16,9</w:t>
            </w:r>
          </w:p>
        </w:tc>
        <w:tc>
          <w:tcPr>
            <w:tcW w:w="3070" w:type="dxa"/>
          </w:tcPr>
          <w:p w14:paraId="23D5810F"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19,3</w:t>
            </w:r>
          </w:p>
        </w:tc>
      </w:tr>
      <w:tr w:rsidR="004401F0" w:rsidRPr="00D277A9" w14:paraId="26D2C3EC" w14:textId="77777777" w:rsidTr="00593DA4">
        <w:trPr>
          <w:cantSplit/>
        </w:trPr>
        <w:tc>
          <w:tcPr>
            <w:tcW w:w="3185" w:type="dxa"/>
          </w:tcPr>
          <w:p w14:paraId="2A60BDA6" w14:textId="77777777" w:rsidR="004401F0" w:rsidRPr="00D277A9" w:rsidRDefault="00DF3C4F" w:rsidP="00654D21">
            <w:pPr>
              <w:pStyle w:val="TableParagraph"/>
              <w:keepNext/>
              <w:keepLines/>
              <w:adjustRightInd w:val="0"/>
              <w:snapToGrid w:val="0"/>
              <w:ind w:left="180"/>
              <w:rPr>
                <w:sz w:val="20"/>
                <w:szCs w:val="20"/>
                <w:lang w:val="fr-FR"/>
              </w:rPr>
            </w:pPr>
            <w:r w:rsidRPr="00D277A9">
              <w:rPr>
                <w:sz w:val="20"/>
                <w:szCs w:val="20"/>
                <w:lang w:val="fr-FR"/>
              </w:rPr>
              <w:t xml:space="preserve">Risque relatif [Intervalle de confiance de 95 %] </w:t>
            </w:r>
            <w:r w:rsidRPr="00D277A9">
              <w:rPr>
                <w:sz w:val="20"/>
                <w:szCs w:val="20"/>
                <w:vertAlign w:val="superscript"/>
                <w:lang w:val="fr-FR"/>
              </w:rPr>
              <w:t>2</w:t>
            </w:r>
          </w:p>
        </w:tc>
        <w:tc>
          <w:tcPr>
            <w:tcW w:w="6022" w:type="dxa"/>
            <w:gridSpan w:val="2"/>
          </w:tcPr>
          <w:p w14:paraId="5C58598D" w14:textId="6EA93E14"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0,86 [0,75</w:t>
            </w:r>
            <w:r w:rsidR="00881CB8">
              <w:rPr>
                <w:sz w:val="20"/>
                <w:szCs w:val="20"/>
                <w:lang w:val="fr-FR"/>
              </w:rPr>
              <w:t xml:space="preserve"> ; </w:t>
            </w:r>
            <w:r w:rsidRPr="00D277A9">
              <w:rPr>
                <w:sz w:val="20"/>
                <w:szCs w:val="20"/>
                <w:lang w:val="fr-FR"/>
              </w:rPr>
              <w:t>0,98]</w:t>
            </w:r>
          </w:p>
          <w:p w14:paraId="447064AB"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(valeur du p = 0,0185)</w:t>
            </w:r>
          </w:p>
        </w:tc>
      </w:tr>
      <w:tr w:rsidR="004401F0" w:rsidRPr="00D277A9" w14:paraId="331573AD" w14:textId="77777777" w:rsidTr="00593DA4">
        <w:trPr>
          <w:cantSplit/>
        </w:trPr>
        <w:tc>
          <w:tcPr>
            <w:tcW w:w="9207" w:type="dxa"/>
            <w:gridSpan w:val="3"/>
          </w:tcPr>
          <w:p w14:paraId="7EB2F95D"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 xml:space="preserve">Taux de réponse objective </w:t>
            </w:r>
            <w:r w:rsidRPr="00D277A9">
              <w:rPr>
                <w:sz w:val="20"/>
                <w:szCs w:val="20"/>
                <w:vertAlign w:val="superscript"/>
                <w:lang w:val="fr-FR"/>
              </w:rPr>
              <w:t>1</w:t>
            </w:r>
          </w:p>
        </w:tc>
      </w:tr>
      <w:tr w:rsidR="004401F0" w:rsidRPr="00D277A9" w14:paraId="537A3434" w14:textId="77777777" w:rsidTr="00593DA4">
        <w:trPr>
          <w:cantSplit/>
        </w:trPr>
        <w:tc>
          <w:tcPr>
            <w:tcW w:w="3185" w:type="dxa"/>
          </w:tcPr>
          <w:p w14:paraId="19B8AE2D" w14:textId="6DBF731C" w:rsidR="004401F0" w:rsidRPr="00D277A9" w:rsidRDefault="004401F0" w:rsidP="00654D21">
            <w:pPr>
              <w:pStyle w:val="TableParagraph"/>
              <w:keepNext/>
              <w:keepLines/>
              <w:adjustRightInd w:val="0"/>
              <w:snapToGrid w:val="0"/>
              <w:rPr>
                <w:sz w:val="20"/>
                <w:szCs w:val="20"/>
                <w:lang w:val="fr-FR"/>
              </w:rPr>
            </w:pPr>
          </w:p>
        </w:tc>
        <w:tc>
          <w:tcPr>
            <w:tcW w:w="2952" w:type="dxa"/>
          </w:tcPr>
          <w:p w14:paraId="34393021" w14:textId="64AFDE19"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CP</w:t>
            </w:r>
            <w:r w:rsidR="005B2E83">
              <w:rPr>
                <w:sz w:val="20"/>
                <w:szCs w:val="20"/>
                <w:lang w:val="fr-FR"/>
              </w:rPr>
              <w:br/>
            </w:r>
            <w:r w:rsidRPr="00D277A9">
              <w:rPr>
                <w:sz w:val="20"/>
                <w:szCs w:val="20"/>
                <w:lang w:val="fr-FR"/>
              </w:rPr>
              <w:t>(n = 277)</w:t>
            </w:r>
          </w:p>
        </w:tc>
        <w:tc>
          <w:tcPr>
            <w:tcW w:w="3070" w:type="dxa"/>
          </w:tcPr>
          <w:p w14:paraId="1EBCFE73" w14:textId="49E858B2"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CPB7,5+(n = 272)</w:t>
            </w:r>
          </w:p>
        </w:tc>
      </w:tr>
      <w:tr w:rsidR="004401F0" w:rsidRPr="00D277A9" w14:paraId="765B2898" w14:textId="77777777" w:rsidTr="00593DA4">
        <w:trPr>
          <w:cantSplit/>
        </w:trPr>
        <w:tc>
          <w:tcPr>
            <w:tcW w:w="3185" w:type="dxa"/>
          </w:tcPr>
          <w:p w14:paraId="12319219" w14:textId="6E44C2E9" w:rsidR="004401F0" w:rsidRPr="00D277A9" w:rsidRDefault="00C2617F" w:rsidP="00654D21">
            <w:pPr>
              <w:keepNext/>
              <w:keepLines/>
              <w:adjustRightInd w:val="0"/>
              <w:snapToGrid w:val="0"/>
              <w:ind w:left="180"/>
              <w:rPr>
                <w:sz w:val="20"/>
                <w:szCs w:val="20"/>
                <w:lang w:val="fr-FR"/>
              </w:rPr>
            </w:pPr>
            <w:r w:rsidRPr="00D277A9">
              <w:rPr>
                <w:sz w:val="20"/>
                <w:szCs w:val="20"/>
                <w:lang w:val="fr-FR"/>
              </w:rPr>
              <w:t>Taux de réponse</w:t>
            </w:r>
          </w:p>
        </w:tc>
        <w:tc>
          <w:tcPr>
            <w:tcW w:w="2952" w:type="dxa"/>
          </w:tcPr>
          <w:p w14:paraId="12BE8F71"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54,9%</w:t>
            </w:r>
          </w:p>
        </w:tc>
        <w:tc>
          <w:tcPr>
            <w:tcW w:w="3070" w:type="dxa"/>
          </w:tcPr>
          <w:p w14:paraId="3391AB08"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64,7%</w:t>
            </w:r>
          </w:p>
        </w:tc>
      </w:tr>
      <w:tr w:rsidR="004401F0" w:rsidRPr="00D277A9" w14:paraId="580A25D0" w14:textId="77777777" w:rsidTr="00593DA4">
        <w:trPr>
          <w:cantSplit/>
        </w:trPr>
        <w:tc>
          <w:tcPr>
            <w:tcW w:w="3185" w:type="dxa"/>
          </w:tcPr>
          <w:p w14:paraId="2231557E" w14:textId="77777777" w:rsidR="004401F0" w:rsidRPr="00D277A9" w:rsidRDefault="004401F0" w:rsidP="00654D21">
            <w:pPr>
              <w:keepNext/>
              <w:keepLines/>
              <w:adjustRightInd w:val="0"/>
              <w:snapToGrid w:val="0"/>
              <w:rPr>
                <w:sz w:val="20"/>
                <w:szCs w:val="20"/>
                <w:lang w:val="fr-FR"/>
              </w:rPr>
            </w:pPr>
          </w:p>
        </w:tc>
        <w:tc>
          <w:tcPr>
            <w:tcW w:w="6022" w:type="dxa"/>
            <w:gridSpan w:val="2"/>
          </w:tcPr>
          <w:p w14:paraId="59A9896E"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(p-value = 0,0188)</w:t>
            </w:r>
          </w:p>
        </w:tc>
      </w:tr>
      <w:tr w:rsidR="004401F0" w:rsidRPr="00D277A9" w14:paraId="3DEEBEC2" w14:textId="77777777" w:rsidTr="00593DA4">
        <w:trPr>
          <w:cantSplit/>
        </w:trPr>
        <w:tc>
          <w:tcPr>
            <w:tcW w:w="9207" w:type="dxa"/>
            <w:gridSpan w:val="3"/>
          </w:tcPr>
          <w:p w14:paraId="18598923" w14:textId="77777777" w:rsidR="004401F0" w:rsidRPr="00D277A9" w:rsidRDefault="00DF3C4F" w:rsidP="00654D21">
            <w:pPr>
              <w:pStyle w:val="TableParagraph"/>
              <w:keepNext/>
              <w:keepLines/>
              <w:adjustRightInd w:val="0"/>
              <w:snapToGrid w:val="0"/>
              <w:rPr>
                <w:sz w:val="20"/>
                <w:szCs w:val="20"/>
                <w:lang w:val="fr-FR"/>
              </w:rPr>
            </w:pPr>
            <w:r w:rsidRPr="00D277A9">
              <w:rPr>
                <w:sz w:val="20"/>
                <w:szCs w:val="20"/>
                <w:lang w:val="fr-FR"/>
              </w:rPr>
              <w:t xml:space="preserve">Survie globale </w:t>
            </w:r>
            <w:r w:rsidRPr="00D277A9">
              <w:rPr>
                <w:sz w:val="20"/>
                <w:szCs w:val="20"/>
                <w:vertAlign w:val="superscript"/>
                <w:lang w:val="fr-FR"/>
              </w:rPr>
              <w:t>3</w:t>
            </w:r>
          </w:p>
        </w:tc>
      </w:tr>
      <w:tr w:rsidR="004401F0" w:rsidRPr="00D277A9" w14:paraId="749F8BB4" w14:textId="77777777" w:rsidTr="00593DA4">
        <w:trPr>
          <w:cantSplit/>
        </w:trPr>
        <w:tc>
          <w:tcPr>
            <w:tcW w:w="3185" w:type="dxa"/>
          </w:tcPr>
          <w:p w14:paraId="0B18F76A" w14:textId="77777777" w:rsidR="004401F0" w:rsidRPr="00D277A9" w:rsidRDefault="004401F0" w:rsidP="00654D21">
            <w:pPr>
              <w:pStyle w:val="TableParagraph"/>
              <w:keepNext/>
              <w:keepLines/>
              <w:adjustRightInd w:val="0"/>
              <w:snapToGrid w:val="0"/>
              <w:rPr>
                <w:sz w:val="20"/>
                <w:szCs w:val="20"/>
                <w:lang w:val="fr-FR"/>
              </w:rPr>
            </w:pPr>
          </w:p>
        </w:tc>
        <w:tc>
          <w:tcPr>
            <w:tcW w:w="2952" w:type="dxa"/>
          </w:tcPr>
          <w:p w14:paraId="2173BC0A" w14:textId="719F88EA"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CP</w:t>
            </w:r>
            <w:r w:rsidR="005B2E83">
              <w:rPr>
                <w:sz w:val="20"/>
                <w:szCs w:val="20"/>
                <w:lang w:val="fr-FR"/>
              </w:rPr>
              <w:br/>
            </w:r>
            <w:r w:rsidRPr="00D277A9">
              <w:rPr>
                <w:sz w:val="20"/>
                <w:szCs w:val="20"/>
                <w:lang w:val="fr-FR"/>
              </w:rPr>
              <w:t>(n = 764)</w:t>
            </w:r>
          </w:p>
        </w:tc>
        <w:tc>
          <w:tcPr>
            <w:tcW w:w="3070" w:type="dxa"/>
          </w:tcPr>
          <w:p w14:paraId="0689EEEC" w14:textId="10547A90"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CPB7.5+</w:t>
            </w:r>
            <w:r w:rsidR="0024571F">
              <w:rPr>
                <w:sz w:val="20"/>
                <w:szCs w:val="20"/>
                <w:lang w:val="fr-FR"/>
              </w:rPr>
              <w:t xml:space="preserve"> </w:t>
            </w:r>
            <w:r w:rsidRPr="00D277A9">
              <w:rPr>
                <w:sz w:val="20"/>
                <w:szCs w:val="20"/>
                <w:lang w:val="fr-FR"/>
              </w:rPr>
              <w:t>(n = 764)</w:t>
            </w:r>
          </w:p>
        </w:tc>
      </w:tr>
      <w:tr w:rsidR="004401F0" w:rsidRPr="00D277A9" w14:paraId="01F7B9DC" w14:textId="77777777" w:rsidTr="00593DA4">
        <w:trPr>
          <w:cantSplit/>
        </w:trPr>
        <w:tc>
          <w:tcPr>
            <w:tcW w:w="3185" w:type="dxa"/>
          </w:tcPr>
          <w:p w14:paraId="27BF6C88" w14:textId="77777777" w:rsidR="004401F0" w:rsidRPr="00D277A9" w:rsidRDefault="00DF3C4F" w:rsidP="00654D21">
            <w:pPr>
              <w:pStyle w:val="TableParagraph"/>
              <w:keepNext/>
              <w:keepLines/>
              <w:adjustRightInd w:val="0"/>
              <w:snapToGrid w:val="0"/>
              <w:ind w:left="180"/>
              <w:rPr>
                <w:sz w:val="20"/>
                <w:szCs w:val="20"/>
                <w:lang w:val="fr-FR"/>
              </w:rPr>
            </w:pPr>
            <w:r w:rsidRPr="00D277A9">
              <w:rPr>
                <w:sz w:val="20"/>
                <w:szCs w:val="20"/>
                <w:lang w:val="fr-FR"/>
              </w:rPr>
              <w:t>Médiane (mois)</w:t>
            </w:r>
          </w:p>
        </w:tc>
        <w:tc>
          <w:tcPr>
            <w:tcW w:w="2952" w:type="dxa"/>
          </w:tcPr>
          <w:p w14:paraId="75B365DC"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58,0</w:t>
            </w:r>
          </w:p>
        </w:tc>
        <w:tc>
          <w:tcPr>
            <w:tcW w:w="3070" w:type="dxa"/>
          </w:tcPr>
          <w:p w14:paraId="7E579B8F"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57,4</w:t>
            </w:r>
          </w:p>
        </w:tc>
      </w:tr>
      <w:tr w:rsidR="004401F0" w:rsidRPr="00D277A9" w14:paraId="699F0A07" w14:textId="77777777" w:rsidTr="00593DA4">
        <w:trPr>
          <w:cantSplit/>
        </w:trPr>
        <w:tc>
          <w:tcPr>
            <w:tcW w:w="3185" w:type="dxa"/>
          </w:tcPr>
          <w:p w14:paraId="17A1D89C" w14:textId="77777777" w:rsidR="004401F0" w:rsidRPr="00D277A9" w:rsidRDefault="00DF3C4F" w:rsidP="00654D21">
            <w:pPr>
              <w:pStyle w:val="TableParagraph"/>
              <w:keepNext/>
              <w:keepLines/>
              <w:adjustRightInd w:val="0"/>
              <w:snapToGrid w:val="0"/>
              <w:ind w:left="180"/>
              <w:rPr>
                <w:sz w:val="20"/>
                <w:szCs w:val="20"/>
                <w:lang w:val="fr-FR"/>
              </w:rPr>
            </w:pPr>
            <w:r w:rsidRPr="00D277A9">
              <w:rPr>
                <w:sz w:val="20"/>
                <w:szCs w:val="20"/>
                <w:lang w:val="fr-FR"/>
              </w:rPr>
              <w:t>Risque relatif [Intervalle de</w:t>
            </w:r>
          </w:p>
          <w:p w14:paraId="36FF882E" w14:textId="77777777" w:rsidR="004401F0" w:rsidRPr="00D277A9" w:rsidRDefault="00DF3C4F" w:rsidP="00654D21">
            <w:pPr>
              <w:pStyle w:val="TableParagraph"/>
              <w:keepNext/>
              <w:keepLines/>
              <w:adjustRightInd w:val="0"/>
              <w:snapToGrid w:val="0"/>
              <w:ind w:left="180"/>
              <w:rPr>
                <w:sz w:val="20"/>
                <w:szCs w:val="20"/>
                <w:lang w:val="fr-FR"/>
              </w:rPr>
            </w:pPr>
            <w:r w:rsidRPr="00D277A9">
              <w:rPr>
                <w:sz w:val="20"/>
                <w:szCs w:val="20"/>
                <w:lang w:val="fr-FR"/>
              </w:rPr>
              <w:t>confiance de 95 %]</w:t>
            </w:r>
          </w:p>
        </w:tc>
        <w:tc>
          <w:tcPr>
            <w:tcW w:w="6022" w:type="dxa"/>
            <w:gridSpan w:val="2"/>
          </w:tcPr>
          <w:p w14:paraId="04181D56" w14:textId="13EE9C0A"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0,99 [0,85</w:t>
            </w:r>
            <w:r w:rsidR="00881CB8">
              <w:rPr>
                <w:sz w:val="20"/>
                <w:szCs w:val="20"/>
                <w:lang w:val="fr-FR"/>
              </w:rPr>
              <w:t xml:space="preserve"> ; </w:t>
            </w:r>
            <w:r w:rsidRPr="00D277A9">
              <w:rPr>
                <w:sz w:val="20"/>
                <w:szCs w:val="20"/>
                <w:lang w:val="fr-FR"/>
              </w:rPr>
              <w:t>1,15]</w:t>
            </w:r>
          </w:p>
          <w:p w14:paraId="2C2A30CE" w14:textId="77777777" w:rsidR="004401F0" w:rsidRPr="00D277A9" w:rsidRDefault="00DF3C4F" w:rsidP="00654D21">
            <w:pPr>
              <w:pStyle w:val="TableParagraph"/>
              <w:keepNext/>
              <w:keepLines/>
              <w:adjustRightInd w:val="0"/>
              <w:snapToGrid w:val="0"/>
              <w:jc w:val="center"/>
              <w:rPr>
                <w:sz w:val="20"/>
                <w:szCs w:val="20"/>
                <w:lang w:val="fr-FR"/>
              </w:rPr>
            </w:pPr>
            <w:r w:rsidRPr="00D277A9">
              <w:rPr>
                <w:sz w:val="20"/>
                <w:szCs w:val="20"/>
                <w:lang w:val="fr-FR"/>
              </w:rPr>
              <w:t>(valeur du p = 0,8910)</w:t>
            </w:r>
          </w:p>
        </w:tc>
      </w:tr>
    </w:tbl>
    <w:p w14:paraId="15509B6B" w14:textId="77777777" w:rsidR="004401F0" w:rsidRPr="00654D21" w:rsidRDefault="00DF3C4F" w:rsidP="00654D21">
      <w:pPr>
        <w:keepNext/>
        <w:keepLines/>
        <w:adjustRightInd w:val="0"/>
        <w:snapToGrid w:val="0"/>
        <w:rPr>
          <w:sz w:val="18"/>
          <w:szCs w:val="18"/>
          <w:lang w:val="fr-FR"/>
        </w:rPr>
      </w:pPr>
      <w:r w:rsidRPr="00654D21">
        <w:rPr>
          <w:sz w:val="18"/>
          <w:szCs w:val="18"/>
          <w:vertAlign w:val="superscript"/>
          <w:lang w:val="fr-FR"/>
        </w:rPr>
        <w:t>1</w:t>
      </w:r>
      <w:r w:rsidRPr="00654D21">
        <w:rPr>
          <w:sz w:val="18"/>
          <w:szCs w:val="18"/>
          <w:lang w:val="fr-FR"/>
        </w:rPr>
        <w:t xml:space="preserve"> Chez les patientes ayant une maladie mesurable au moment de la randomisation.</w:t>
      </w:r>
    </w:p>
    <w:p w14:paraId="5067086D" w14:textId="77777777" w:rsidR="004401F0" w:rsidRPr="00654D21" w:rsidRDefault="00DF3C4F" w:rsidP="00654D21">
      <w:pPr>
        <w:keepNext/>
        <w:keepLines/>
        <w:adjustRightInd w:val="0"/>
        <w:snapToGrid w:val="0"/>
        <w:rPr>
          <w:sz w:val="18"/>
          <w:szCs w:val="18"/>
          <w:lang w:val="fr-FR"/>
        </w:rPr>
      </w:pPr>
      <w:r w:rsidRPr="00654D21">
        <w:rPr>
          <w:sz w:val="18"/>
          <w:szCs w:val="18"/>
          <w:vertAlign w:val="superscript"/>
          <w:lang w:val="fr-FR"/>
        </w:rPr>
        <w:t>2</w:t>
      </w:r>
      <w:r w:rsidRPr="00654D21">
        <w:rPr>
          <w:sz w:val="18"/>
          <w:szCs w:val="18"/>
          <w:lang w:val="fr-FR"/>
        </w:rPr>
        <w:t xml:space="preserve"> Analyse de la PFS évaluée par les investigateurs à la date du 30 novembre 2010 (cut-off).</w:t>
      </w:r>
    </w:p>
    <w:p w14:paraId="1BBB0C0D" w14:textId="0F85369D" w:rsidR="004401F0" w:rsidRPr="00654D21" w:rsidRDefault="00DF3C4F" w:rsidP="00BD4C7C">
      <w:pPr>
        <w:adjustRightInd w:val="0"/>
        <w:snapToGrid w:val="0"/>
        <w:rPr>
          <w:sz w:val="18"/>
          <w:szCs w:val="18"/>
          <w:lang w:val="fr-FR"/>
        </w:rPr>
      </w:pPr>
      <w:r w:rsidRPr="00654D21">
        <w:rPr>
          <w:sz w:val="18"/>
          <w:szCs w:val="18"/>
          <w:vertAlign w:val="superscript"/>
          <w:lang w:val="fr-FR"/>
        </w:rPr>
        <w:t>3</w:t>
      </w:r>
      <w:r w:rsidRPr="00654D21">
        <w:rPr>
          <w:sz w:val="18"/>
          <w:szCs w:val="18"/>
          <w:lang w:val="fr-FR"/>
        </w:rPr>
        <w:t xml:space="preserve"> Analyse de </w:t>
      </w:r>
      <w:r w:rsidR="00803E4E">
        <w:rPr>
          <w:sz w:val="18"/>
          <w:szCs w:val="18"/>
          <w:lang w:val="fr-FR"/>
        </w:rPr>
        <w:t>l’OS</w:t>
      </w:r>
      <w:r w:rsidRPr="00654D21">
        <w:rPr>
          <w:sz w:val="18"/>
          <w:szCs w:val="18"/>
          <w:lang w:val="fr-FR"/>
        </w:rPr>
        <w:t xml:space="preserve"> finale évaluée au moment où 46,7% des patients étaient décédés à la date du </w:t>
      </w:r>
      <w:r w:rsidR="00D118EC" w:rsidRPr="00654D21">
        <w:rPr>
          <w:sz w:val="18"/>
          <w:szCs w:val="18"/>
          <w:lang w:val="fr-FR"/>
        </w:rPr>
        <w:t>31 </w:t>
      </w:r>
      <w:r w:rsidRPr="00654D21">
        <w:rPr>
          <w:sz w:val="18"/>
          <w:szCs w:val="18"/>
          <w:lang w:val="fr-FR"/>
        </w:rPr>
        <w:t>mars 2013 (cut-off).</w:t>
      </w:r>
    </w:p>
    <w:p w14:paraId="71CA0904" w14:textId="77777777" w:rsidR="004401F0" w:rsidRPr="00DA7718" w:rsidRDefault="004401F0" w:rsidP="00BD4C7C">
      <w:pPr>
        <w:pStyle w:val="a3"/>
        <w:adjustRightInd w:val="0"/>
        <w:snapToGrid w:val="0"/>
        <w:rPr>
          <w:lang w:val="fr-FR"/>
        </w:rPr>
      </w:pPr>
    </w:p>
    <w:p w14:paraId="6EC8C46E" w14:textId="3E6B72A1" w:rsidR="004401F0" w:rsidRPr="00DA7718" w:rsidRDefault="00DF3C4F" w:rsidP="00BD4C7C">
      <w:pPr>
        <w:pStyle w:val="a3"/>
        <w:adjustRightInd w:val="0"/>
        <w:snapToGrid w:val="0"/>
        <w:rPr>
          <w:lang w:val="fr-FR"/>
        </w:rPr>
      </w:pPr>
      <w:r w:rsidRPr="00DA7718">
        <w:rPr>
          <w:lang w:val="fr-FR"/>
        </w:rPr>
        <w:t>L’analyse primaire de la PFS évaluée par les investigateurs à la date du 28 février 2010 (cut-off) montre un risque relatif non stratifié de 0,79 (IC 95 %</w:t>
      </w:r>
      <w:r w:rsidR="00765A43">
        <w:rPr>
          <w:lang w:val="fr-FR"/>
        </w:rPr>
        <w:t xml:space="preserve"> : </w:t>
      </w:r>
      <w:r w:rsidRPr="00DA7718">
        <w:rPr>
          <w:lang w:val="fr-FR"/>
        </w:rPr>
        <w:t>0,68</w:t>
      </w:r>
      <w:r w:rsidR="00881CB8">
        <w:rPr>
          <w:lang w:val="fr-FR"/>
        </w:rPr>
        <w:t xml:space="preserve"> ; </w:t>
      </w:r>
      <w:r w:rsidRPr="00DA7718">
        <w:rPr>
          <w:lang w:val="fr-FR"/>
        </w:rPr>
        <w:t>0,91, valeur du p du test du log-rank bilatéral 0,0010) avec une médiane de PFS de 16,0 mois dans le bras CP et de 18,3 mois dans le bras CPB 7,5+.</w:t>
      </w:r>
    </w:p>
    <w:p w14:paraId="2724920B" w14:textId="77777777" w:rsidR="00BD4C7C" w:rsidRPr="00DA7718" w:rsidRDefault="00BD4C7C" w:rsidP="00BD4C7C">
      <w:pPr>
        <w:adjustRightInd w:val="0"/>
        <w:snapToGrid w:val="0"/>
        <w:rPr>
          <w:lang w:val="fr-FR"/>
        </w:rPr>
      </w:pPr>
    </w:p>
    <w:p w14:paraId="410380FE" w14:textId="77777777" w:rsidR="004401F0" w:rsidRPr="00DA7718" w:rsidRDefault="00DF3C4F" w:rsidP="00BD4C7C">
      <w:pPr>
        <w:pStyle w:val="a3"/>
        <w:adjustRightInd w:val="0"/>
        <w:snapToGrid w:val="0"/>
        <w:rPr>
          <w:lang w:val="fr-FR"/>
        </w:rPr>
      </w:pPr>
      <w:r w:rsidRPr="00DA7718">
        <w:rPr>
          <w:lang w:val="fr-FR"/>
        </w:rPr>
        <w:t>Des analyses de la PFS en sous-groupe, par stade de la maladie et statut de l’exérèse, sont résumées dans le Tableau 19. Ces résultats démontrent une robustesse de l’analyse primaire de la PFS telle que présentée dans le Tableau 18.</w:t>
      </w:r>
    </w:p>
    <w:p w14:paraId="3E7877AD" w14:textId="77777777" w:rsidR="004401F0" w:rsidRPr="00DA7718" w:rsidRDefault="004401F0" w:rsidP="00BD4C7C">
      <w:pPr>
        <w:pStyle w:val="a3"/>
        <w:adjustRightInd w:val="0"/>
        <w:snapToGrid w:val="0"/>
        <w:rPr>
          <w:lang w:val="fr-FR"/>
        </w:rPr>
      </w:pPr>
    </w:p>
    <w:p w14:paraId="2E93F4CD" w14:textId="77777777" w:rsidR="004401F0" w:rsidRPr="00AC582F" w:rsidRDefault="00DF3C4F" w:rsidP="00AC582F">
      <w:pPr>
        <w:ind w:left="1276" w:hanging="1276"/>
        <w:rPr>
          <w:b/>
          <w:bCs/>
          <w:lang w:val="fr-FR"/>
        </w:rPr>
      </w:pPr>
      <w:r w:rsidRPr="00AC582F">
        <w:rPr>
          <w:b/>
          <w:bCs/>
          <w:lang w:val="fr-FR"/>
        </w:rPr>
        <w:t>Tableau 19</w:t>
      </w:r>
      <w:r w:rsidRPr="00AC582F">
        <w:rPr>
          <w:b/>
          <w:bCs/>
          <w:lang w:val="fr-FR"/>
        </w:rPr>
        <w:tab/>
        <w:t>Résultats de la PFS</w:t>
      </w:r>
      <w:r w:rsidRPr="00AC582F">
        <w:rPr>
          <w:b/>
          <w:bCs/>
          <w:vertAlign w:val="superscript"/>
          <w:lang w:val="fr-FR"/>
        </w:rPr>
        <w:t>1</w:t>
      </w:r>
      <w:r w:rsidRPr="00AC582F">
        <w:rPr>
          <w:b/>
          <w:bCs/>
          <w:lang w:val="fr-FR"/>
        </w:rPr>
        <w:t xml:space="preserve"> par stade de la maladie et statut de l’exérèse de l’étude BO17707 (ICON7)</w:t>
      </w:r>
    </w:p>
    <w:p w14:paraId="7D2324DA" w14:textId="77777777" w:rsidR="004401F0" w:rsidRPr="00DA7718" w:rsidRDefault="004401F0" w:rsidP="00593DA4">
      <w:pPr>
        <w:pStyle w:val="a3"/>
        <w:keepNext/>
        <w:keepLines/>
        <w:adjustRightInd w:val="0"/>
        <w:snapToGrid w:val="0"/>
        <w:rPr>
          <w:b/>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4"/>
        <w:gridCol w:w="3071"/>
        <w:gridCol w:w="2999"/>
      </w:tblGrid>
      <w:tr w:rsidR="004401F0" w:rsidRPr="000D7348" w14:paraId="4D2CE13C" w14:textId="77777777" w:rsidTr="00593DA4">
        <w:trPr>
          <w:cantSplit/>
        </w:trPr>
        <w:tc>
          <w:tcPr>
            <w:tcW w:w="9207" w:type="dxa"/>
            <w:gridSpan w:val="3"/>
          </w:tcPr>
          <w:p w14:paraId="4849AADE" w14:textId="77777777" w:rsidR="004401F0" w:rsidRPr="00D277A9" w:rsidRDefault="00DF3C4F" w:rsidP="00593DA4">
            <w:pPr>
              <w:pStyle w:val="TableParagraph"/>
              <w:keepNext/>
              <w:keepLines/>
              <w:adjustRightInd w:val="0"/>
              <w:snapToGrid w:val="0"/>
              <w:rPr>
                <w:sz w:val="20"/>
                <w:szCs w:val="20"/>
                <w:lang w:val="fr-FR"/>
              </w:rPr>
            </w:pPr>
            <w:r w:rsidRPr="00D277A9">
              <w:rPr>
                <w:sz w:val="20"/>
                <w:szCs w:val="20"/>
                <w:lang w:val="fr-FR"/>
              </w:rPr>
              <w:t xml:space="preserve">Patientes randomisées ayant une maladie de stade III après exérèse optimale </w:t>
            </w:r>
            <w:r w:rsidRPr="00D277A9">
              <w:rPr>
                <w:sz w:val="20"/>
                <w:szCs w:val="20"/>
                <w:vertAlign w:val="superscript"/>
                <w:lang w:val="fr-FR"/>
              </w:rPr>
              <w:t>2,3</w:t>
            </w:r>
          </w:p>
        </w:tc>
      </w:tr>
      <w:tr w:rsidR="004401F0" w:rsidRPr="00D277A9" w14:paraId="6AB831DD" w14:textId="77777777" w:rsidTr="00593DA4">
        <w:trPr>
          <w:cantSplit/>
        </w:trPr>
        <w:tc>
          <w:tcPr>
            <w:tcW w:w="3041" w:type="dxa"/>
          </w:tcPr>
          <w:p w14:paraId="4DC9ABCA" w14:textId="77777777" w:rsidR="004401F0" w:rsidRPr="00D277A9" w:rsidRDefault="004401F0" w:rsidP="00D277A9">
            <w:pPr>
              <w:pStyle w:val="TableParagraph"/>
              <w:adjustRightInd w:val="0"/>
              <w:snapToGrid w:val="0"/>
              <w:rPr>
                <w:sz w:val="20"/>
                <w:szCs w:val="20"/>
                <w:lang w:val="fr-FR"/>
              </w:rPr>
            </w:pPr>
          </w:p>
        </w:tc>
        <w:tc>
          <w:tcPr>
            <w:tcW w:w="3120" w:type="dxa"/>
          </w:tcPr>
          <w:p w14:paraId="4CD03AED"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CP</w:t>
            </w:r>
          </w:p>
          <w:p w14:paraId="6B716811"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(n = 368)</w:t>
            </w:r>
          </w:p>
        </w:tc>
        <w:tc>
          <w:tcPr>
            <w:tcW w:w="3046" w:type="dxa"/>
          </w:tcPr>
          <w:p w14:paraId="78B2496F"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CPB7,5+ (n = 383)</w:t>
            </w:r>
          </w:p>
        </w:tc>
      </w:tr>
      <w:tr w:rsidR="004401F0" w:rsidRPr="00D277A9" w14:paraId="19629972" w14:textId="77777777" w:rsidTr="00593DA4">
        <w:trPr>
          <w:cantSplit/>
        </w:trPr>
        <w:tc>
          <w:tcPr>
            <w:tcW w:w="3041" w:type="dxa"/>
          </w:tcPr>
          <w:p w14:paraId="375DE5F2"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Médiane de la survie sans</w:t>
            </w:r>
          </w:p>
          <w:p w14:paraId="284B35A7"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progression (mois)</w:t>
            </w:r>
          </w:p>
        </w:tc>
        <w:tc>
          <w:tcPr>
            <w:tcW w:w="3120" w:type="dxa"/>
          </w:tcPr>
          <w:p w14:paraId="68561F1B"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17,7</w:t>
            </w:r>
          </w:p>
        </w:tc>
        <w:tc>
          <w:tcPr>
            <w:tcW w:w="3046" w:type="dxa"/>
          </w:tcPr>
          <w:p w14:paraId="4AF44E09"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19,3</w:t>
            </w:r>
          </w:p>
        </w:tc>
      </w:tr>
      <w:tr w:rsidR="004401F0" w:rsidRPr="00D277A9" w14:paraId="1CA8D793" w14:textId="77777777" w:rsidTr="00593DA4">
        <w:trPr>
          <w:cantSplit/>
        </w:trPr>
        <w:tc>
          <w:tcPr>
            <w:tcW w:w="3041" w:type="dxa"/>
          </w:tcPr>
          <w:p w14:paraId="76A56CA6"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Risque relatif (IC 95 %)</w:t>
            </w:r>
            <w:r w:rsidRPr="00D277A9">
              <w:rPr>
                <w:sz w:val="20"/>
                <w:szCs w:val="20"/>
                <w:vertAlign w:val="superscript"/>
                <w:lang w:val="fr-FR"/>
              </w:rPr>
              <w:t>4</w:t>
            </w:r>
          </w:p>
        </w:tc>
        <w:tc>
          <w:tcPr>
            <w:tcW w:w="3120" w:type="dxa"/>
          </w:tcPr>
          <w:p w14:paraId="43460C06" w14:textId="77777777" w:rsidR="004401F0" w:rsidRPr="00D277A9" w:rsidRDefault="004401F0" w:rsidP="00593DA4">
            <w:pPr>
              <w:pStyle w:val="TableParagraph"/>
              <w:adjustRightInd w:val="0"/>
              <w:snapToGrid w:val="0"/>
              <w:jc w:val="center"/>
              <w:rPr>
                <w:sz w:val="20"/>
                <w:szCs w:val="20"/>
                <w:lang w:val="fr-FR"/>
              </w:rPr>
            </w:pPr>
          </w:p>
        </w:tc>
        <w:tc>
          <w:tcPr>
            <w:tcW w:w="3046" w:type="dxa"/>
          </w:tcPr>
          <w:p w14:paraId="7148156C"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0,89</w:t>
            </w:r>
          </w:p>
          <w:p w14:paraId="756AC8DE" w14:textId="3B195FAF"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(0,74</w:t>
            </w:r>
            <w:r w:rsidR="00881CB8">
              <w:rPr>
                <w:sz w:val="20"/>
                <w:szCs w:val="20"/>
                <w:lang w:val="fr-FR"/>
              </w:rPr>
              <w:t xml:space="preserve"> ; </w:t>
            </w:r>
            <w:r w:rsidRPr="00D277A9">
              <w:rPr>
                <w:sz w:val="20"/>
                <w:szCs w:val="20"/>
                <w:lang w:val="fr-FR"/>
              </w:rPr>
              <w:t>1,07)</w:t>
            </w:r>
          </w:p>
        </w:tc>
      </w:tr>
      <w:tr w:rsidR="004401F0" w:rsidRPr="000D7348" w14:paraId="2FDEDCF6" w14:textId="77777777" w:rsidTr="00593DA4">
        <w:trPr>
          <w:cantSplit/>
        </w:trPr>
        <w:tc>
          <w:tcPr>
            <w:tcW w:w="9207" w:type="dxa"/>
            <w:gridSpan w:val="3"/>
          </w:tcPr>
          <w:p w14:paraId="1462DDAC"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 xml:space="preserve">Patientes randomisées ayant une maladie de stade III après exérèse suboptimale </w:t>
            </w:r>
            <w:r w:rsidRPr="00D277A9">
              <w:rPr>
                <w:sz w:val="20"/>
                <w:szCs w:val="20"/>
                <w:vertAlign w:val="superscript"/>
                <w:lang w:val="fr-FR"/>
              </w:rPr>
              <w:t>3</w:t>
            </w:r>
          </w:p>
        </w:tc>
      </w:tr>
      <w:tr w:rsidR="004401F0" w:rsidRPr="00D277A9" w14:paraId="6193CB6E" w14:textId="77777777" w:rsidTr="00593DA4">
        <w:trPr>
          <w:cantSplit/>
        </w:trPr>
        <w:tc>
          <w:tcPr>
            <w:tcW w:w="3041" w:type="dxa"/>
          </w:tcPr>
          <w:p w14:paraId="13CF9C2A" w14:textId="77777777" w:rsidR="004401F0" w:rsidRPr="00D277A9" w:rsidRDefault="004401F0" w:rsidP="00D277A9">
            <w:pPr>
              <w:pStyle w:val="TableParagraph"/>
              <w:adjustRightInd w:val="0"/>
              <w:snapToGrid w:val="0"/>
              <w:rPr>
                <w:sz w:val="20"/>
                <w:szCs w:val="20"/>
                <w:lang w:val="fr-FR"/>
              </w:rPr>
            </w:pPr>
          </w:p>
        </w:tc>
        <w:tc>
          <w:tcPr>
            <w:tcW w:w="3120" w:type="dxa"/>
          </w:tcPr>
          <w:p w14:paraId="1EA6C616"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CP</w:t>
            </w:r>
          </w:p>
          <w:p w14:paraId="7F09F0C3"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(n = 154)</w:t>
            </w:r>
          </w:p>
        </w:tc>
        <w:tc>
          <w:tcPr>
            <w:tcW w:w="3046" w:type="dxa"/>
          </w:tcPr>
          <w:p w14:paraId="3B666093" w14:textId="3C81760C"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 xml:space="preserve">CPB7,5+ </w:t>
            </w:r>
            <w:r w:rsidR="000D4455">
              <w:rPr>
                <w:sz w:val="20"/>
                <w:szCs w:val="20"/>
                <w:lang w:val="fr-FR"/>
              </w:rPr>
              <w:br/>
            </w:r>
            <w:r w:rsidRPr="00D277A9">
              <w:rPr>
                <w:sz w:val="20"/>
                <w:szCs w:val="20"/>
                <w:lang w:val="fr-FR"/>
              </w:rPr>
              <w:t>(n = 140)</w:t>
            </w:r>
          </w:p>
        </w:tc>
      </w:tr>
      <w:tr w:rsidR="004401F0" w:rsidRPr="00D277A9" w14:paraId="2FCD6413" w14:textId="77777777" w:rsidTr="00593DA4">
        <w:trPr>
          <w:cantSplit/>
        </w:trPr>
        <w:tc>
          <w:tcPr>
            <w:tcW w:w="3041" w:type="dxa"/>
          </w:tcPr>
          <w:p w14:paraId="7DF0279A"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Médiane de la survie sans</w:t>
            </w:r>
          </w:p>
          <w:p w14:paraId="012C4DB0"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progression (mois)</w:t>
            </w:r>
          </w:p>
        </w:tc>
        <w:tc>
          <w:tcPr>
            <w:tcW w:w="3120" w:type="dxa"/>
          </w:tcPr>
          <w:p w14:paraId="1BAD0D77"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10,1</w:t>
            </w:r>
          </w:p>
        </w:tc>
        <w:tc>
          <w:tcPr>
            <w:tcW w:w="3046" w:type="dxa"/>
          </w:tcPr>
          <w:p w14:paraId="58EA4E5E"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16,9</w:t>
            </w:r>
          </w:p>
        </w:tc>
      </w:tr>
      <w:tr w:rsidR="004401F0" w:rsidRPr="00D277A9" w14:paraId="2ABA50BD" w14:textId="77777777" w:rsidTr="00593DA4">
        <w:trPr>
          <w:cantSplit/>
        </w:trPr>
        <w:tc>
          <w:tcPr>
            <w:tcW w:w="3041" w:type="dxa"/>
          </w:tcPr>
          <w:p w14:paraId="7584E8B1"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Risque relatif (IC 95 %)</w:t>
            </w:r>
            <w:r w:rsidRPr="00D277A9">
              <w:rPr>
                <w:sz w:val="20"/>
                <w:szCs w:val="20"/>
                <w:vertAlign w:val="superscript"/>
                <w:lang w:val="fr-FR"/>
              </w:rPr>
              <w:t>4</w:t>
            </w:r>
          </w:p>
        </w:tc>
        <w:tc>
          <w:tcPr>
            <w:tcW w:w="3120" w:type="dxa"/>
          </w:tcPr>
          <w:p w14:paraId="06DFCC8F" w14:textId="77777777" w:rsidR="004401F0" w:rsidRPr="00D277A9" w:rsidRDefault="004401F0" w:rsidP="00593DA4">
            <w:pPr>
              <w:pStyle w:val="TableParagraph"/>
              <w:adjustRightInd w:val="0"/>
              <w:snapToGrid w:val="0"/>
              <w:jc w:val="center"/>
              <w:rPr>
                <w:sz w:val="20"/>
                <w:szCs w:val="20"/>
                <w:lang w:val="fr-FR"/>
              </w:rPr>
            </w:pPr>
          </w:p>
        </w:tc>
        <w:tc>
          <w:tcPr>
            <w:tcW w:w="3046" w:type="dxa"/>
          </w:tcPr>
          <w:p w14:paraId="52B73FF9"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0,67</w:t>
            </w:r>
          </w:p>
          <w:p w14:paraId="5B1E0BDF" w14:textId="57788434"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(0,52</w:t>
            </w:r>
            <w:r w:rsidR="00881CB8">
              <w:rPr>
                <w:sz w:val="20"/>
                <w:szCs w:val="20"/>
                <w:lang w:val="fr-FR"/>
              </w:rPr>
              <w:t xml:space="preserve"> ; </w:t>
            </w:r>
            <w:r w:rsidRPr="00D277A9">
              <w:rPr>
                <w:sz w:val="20"/>
                <w:szCs w:val="20"/>
                <w:lang w:val="fr-FR"/>
              </w:rPr>
              <w:t>0,87)</w:t>
            </w:r>
          </w:p>
        </w:tc>
      </w:tr>
      <w:tr w:rsidR="004401F0" w:rsidRPr="000D7348" w14:paraId="5F20EA3B" w14:textId="77777777" w:rsidTr="00593DA4">
        <w:trPr>
          <w:cantSplit/>
        </w:trPr>
        <w:tc>
          <w:tcPr>
            <w:tcW w:w="9207" w:type="dxa"/>
            <w:gridSpan w:val="3"/>
          </w:tcPr>
          <w:p w14:paraId="48B83D9F"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Patientes randomisées ayant une maladie de stade IV</w:t>
            </w:r>
          </w:p>
        </w:tc>
      </w:tr>
      <w:tr w:rsidR="004401F0" w:rsidRPr="00D277A9" w14:paraId="5957E31A" w14:textId="77777777" w:rsidTr="00593DA4">
        <w:trPr>
          <w:cantSplit/>
        </w:trPr>
        <w:tc>
          <w:tcPr>
            <w:tcW w:w="3041" w:type="dxa"/>
          </w:tcPr>
          <w:p w14:paraId="0CC6C1BD" w14:textId="77777777" w:rsidR="004401F0" w:rsidRPr="00D277A9" w:rsidRDefault="004401F0" w:rsidP="00D277A9">
            <w:pPr>
              <w:pStyle w:val="TableParagraph"/>
              <w:adjustRightInd w:val="0"/>
              <w:snapToGrid w:val="0"/>
              <w:rPr>
                <w:sz w:val="20"/>
                <w:szCs w:val="20"/>
                <w:lang w:val="fr-FR"/>
              </w:rPr>
            </w:pPr>
          </w:p>
        </w:tc>
        <w:tc>
          <w:tcPr>
            <w:tcW w:w="3120" w:type="dxa"/>
          </w:tcPr>
          <w:p w14:paraId="40031D24"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CP (n = 97)</w:t>
            </w:r>
          </w:p>
        </w:tc>
        <w:tc>
          <w:tcPr>
            <w:tcW w:w="3046" w:type="dxa"/>
          </w:tcPr>
          <w:p w14:paraId="5281D1BB"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CPB7,5+ (n = 104)</w:t>
            </w:r>
          </w:p>
        </w:tc>
      </w:tr>
      <w:tr w:rsidR="004401F0" w:rsidRPr="00D277A9" w14:paraId="49A3D26E" w14:textId="77777777" w:rsidTr="00593DA4">
        <w:trPr>
          <w:cantSplit/>
        </w:trPr>
        <w:tc>
          <w:tcPr>
            <w:tcW w:w="3041" w:type="dxa"/>
          </w:tcPr>
          <w:p w14:paraId="1BB03311"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Médiane de la survie sans</w:t>
            </w:r>
          </w:p>
          <w:p w14:paraId="51A3C5C0"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progression (mois)</w:t>
            </w:r>
          </w:p>
        </w:tc>
        <w:tc>
          <w:tcPr>
            <w:tcW w:w="3120" w:type="dxa"/>
          </w:tcPr>
          <w:p w14:paraId="12E647E5"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10,1</w:t>
            </w:r>
          </w:p>
        </w:tc>
        <w:tc>
          <w:tcPr>
            <w:tcW w:w="3046" w:type="dxa"/>
          </w:tcPr>
          <w:p w14:paraId="2760DA4F"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13,5</w:t>
            </w:r>
          </w:p>
        </w:tc>
      </w:tr>
      <w:tr w:rsidR="004401F0" w:rsidRPr="00D277A9" w14:paraId="1A5BD5E1" w14:textId="77777777" w:rsidTr="00593DA4">
        <w:trPr>
          <w:cantSplit/>
        </w:trPr>
        <w:tc>
          <w:tcPr>
            <w:tcW w:w="3041" w:type="dxa"/>
          </w:tcPr>
          <w:p w14:paraId="2CCC959C" w14:textId="77777777" w:rsidR="004401F0" w:rsidRPr="00D277A9" w:rsidRDefault="00DF3C4F" w:rsidP="00D277A9">
            <w:pPr>
              <w:pStyle w:val="TableParagraph"/>
              <w:adjustRightInd w:val="0"/>
              <w:snapToGrid w:val="0"/>
              <w:rPr>
                <w:sz w:val="20"/>
                <w:szCs w:val="20"/>
                <w:lang w:val="fr-FR"/>
              </w:rPr>
            </w:pPr>
            <w:r w:rsidRPr="00D277A9">
              <w:rPr>
                <w:sz w:val="20"/>
                <w:szCs w:val="20"/>
                <w:lang w:val="fr-FR"/>
              </w:rPr>
              <w:t>Risque relatif (IC 95 %)</w:t>
            </w:r>
            <w:r w:rsidRPr="00D277A9">
              <w:rPr>
                <w:sz w:val="20"/>
                <w:szCs w:val="20"/>
                <w:vertAlign w:val="superscript"/>
                <w:lang w:val="fr-FR"/>
              </w:rPr>
              <w:t>4</w:t>
            </w:r>
          </w:p>
        </w:tc>
        <w:tc>
          <w:tcPr>
            <w:tcW w:w="3120" w:type="dxa"/>
          </w:tcPr>
          <w:p w14:paraId="3F945EBC" w14:textId="77777777" w:rsidR="004401F0" w:rsidRPr="00D277A9" w:rsidRDefault="004401F0" w:rsidP="00593DA4">
            <w:pPr>
              <w:pStyle w:val="TableParagraph"/>
              <w:adjustRightInd w:val="0"/>
              <w:snapToGrid w:val="0"/>
              <w:jc w:val="center"/>
              <w:rPr>
                <w:sz w:val="20"/>
                <w:szCs w:val="20"/>
                <w:lang w:val="fr-FR"/>
              </w:rPr>
            </w:pPr>
          </w:p>
        </w:tc>
        <w:tc>
          <w:tcPr>
            <w:tcW w:w="3046" w:type="dxa"/>
          </w:tcPr>
          <w:p w14:paraId="3A031CB4" w14:textId="77777777"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0,74</w:t>
            </w:r>
          </w:p>
          <w:p w14:paraId="2470E708" w14:textId="4574B19B" w:rsidR="004401F0" w:rsidRPr="00D277A9" w:rsidRDefault="00DF3C4F" w:rsidP="00593DA4">
            <w:pPr>
              <w:pStyle w:val="TableParagraph"/>
              <w:adjustRightInd w:val="0"/>
              <w:snapToGrid w:val="0"/>
              <w:jc w:val="center"/>
              <w:rPr>
                <w:sz w:val="20"/>
                <w:szCs w:val="20"/>
                <w:lang w:val="fr-FR"/>
              </w:rPr>
            </w:pPr>
            <w:r w:rsidRPr="00D277A9">
              <w:rPr>
                <w:sz w:val="20"/>
                <w:szCs w:val="20"/>
                <w:lang w:val="fr-FR"/>
              </w:rPr>
              <w:t>(0,55</w:t>
            </w:r>
            <w:r w:rsidR="00881CB8">
              <w:rPr>
                <w:sz w:val="20"/>
                <w:szCs w:val="20"/>
                <w:lang w:val="fr-FR"/>
              </w:rPr>
              <w:t xml:space="preserve"> ; </w:t>
            </w:r>
            <w:r w:rsidRPr="00D277A9">
              <w:rPr>
                <w:sz w:val="20"/>
                <w:szCs w:val="20"/>
                <w:lang w:val="fr-FR"/>
              </w:rPr>
              <w:t>1,01)</w:t>
            </w:r>
          </w:p>
        </w:tc>
      </w:tr>
    </w:tbl>
    <w:p w14:paraId="5028E683" w14:textId="77777777" w:rsidR="004401F0" w:rsidRPr="00D277A9" w:rsidRDefault="00DF3C4F" w:rsidP="00BD4C7C">
      <w:pPr>
        <w:adjustRightInd w:val="0"/>
        <w:snapToGrid w:val="0"/>
        <w:rPr>
          <w:sz w:val="18"/>
          <w:szCs w:val="18"/>
          <w:lang w:val="fr-FR"/>
        </w:rPr>
      </w:pPr>
      <w:r w:rsidRPr="00D277A9">
        <w:rPr>
          <w:sz w:val="18"/>
          <w:szCs w:val="18"/>
          <w:vertAlign w:val="superscript"/>
          <w:lang w:val="fr-FR"/>
        </w:rPr>
        <w:t>1</w:t>
      </w:r>
      <w:r w:rsidRPr="00D277A9">
        <w:rPr>
          <w:sz w:val="18"/>
          <w:szCs w:val="18"/>
          <w:lang w:val="fr-FR"/>
        </w:rPr>
        <w:t xml:space="preserve"> Les investigateurs ont évalué l’analyse de la PFS à la date du 30 novembre 2010 (cut-off).</w:t>
      </w:r>
    </w:p>
    <w:p w14:paraId="4C201E42" w14:textId="77777777" w:rsidR="004401F0" w:rsidRPr="00D277A9" w:rsidRDefault="00DF3C4F" w:rsidP="00BD4C7C">
      <w:pPr>
        <w:adjustRightInd w:val="0"/>
        <w:snapToGrid w:val="0"/>
        <w:rPr>
          <w:sz w:val="18"/>
          <w:szCs w:val="18"/>
          <w:lang w:val="fr-FR"/>
        </w:rPr>
      </w:pPr>
      <w:r w:rsidRPr="00D277A9">
        <w:rPr>
          <w:sz w:val="18"/>
          <w:szCs w:val="18"/>
          <w:vertAlign w:val="superscript"/>
          <w:lang w:val="fr-FR"/>
        </w:rPr>
        <w:t>2</w:t>
      </w:r>
      <w:r w:rsidRPr="00D277A9">
        <w:rPr>
          <w:sz w:val="18"/>
          <w:szCs w:val="18"/>
          <w:lang w:val="fr-FR"/>
        </w:rPr>
        <w:t xml:space="preserve"> Avec ou sans maladie résiduelle macroscopique</w:t>
      </w:r>
    </w:p>
    <w:p w14:paraId="0735AEAF" w14:textId="28CE64AC" w:rsidR="004401F0" w:rsidRPr="00D277A9" w:rsidRDefault="00DF3C4F" w:rsidP="00BD4C7C">
      <w:pPr>
        <w:adjustRightInd w:val="0"/>
        <w:snapToGrid w:val="0"/>
        <w:rPr>
          <w:sz w:val="18"/>
          <w:szCs w:val="18"/>
          <w:lang w:val="fr-FR"/>
        </w:rPr>
      </w:pPr>
      <w:r w:rsidRPr="00D277A9">
        <w:rPr>
          <w:sz w:val="18"/>
          <w:szCs w:val="18"/>
          <w:vertAlign w:val="superscript"/>
          <w:lang w:val="fr-FR"/>
        </w:rPr>
        <w:t>3</w:t>
      </w:r>
      <w:r w:rsidRPr="00D277A9">
        <w:rPr>
          <w:sz w:val="18"/>
          <w:szCs w:val="18"/>
          <w:lang w:val="fr-FR"/>
        </w:rPr>
        <w:t xml:space="preserve"> 5,8</w:t>
      </w:r>
      <w:r w:rsidR="00AF3AAA">
        <w:rPr>
          <w:sz w:val="18"/>
          <w:szCs w:val="18"/>
          <w:lang w:val="fr-FR"/>
        </w:rPr>
        <w:t xml:space="preserve"> % </w:t>
      </w:r>
      <w:r w:rsidRPr="00D277A9">
        <w:rPr>
          <w:sz w:val="18"/>
          <w:szCs w:val="18"/>
          <w:lang w:val="fr-FR"/>
        </w:rPr>
        <w:t>de la population globale de patientes randomisées avaient une maladie de stade IIIB</w:t>
      </w:r>
    </w:p>
    <w:p w14:paraId="317B27D9" w14:textId="77777777" w:rsidR="004401F0" w:rsidRPr="00D277A9" w:rsidRDefault="00DF3C4F" w:rsidP="00BD4C7C">
      <w:pPr>
        <w:adjustRightInd w:val="0"/>
        <w:snapToGrid w:val="0"/>
        <w:rPr>
          <w:sz w:val="18"/>
          <w:szCs w:val="18"/>
          <w:lang w:val="fr-FR"/>
        </w:rPr>
      </w:pPr>
      <w:r w:rsidRPr="00D277A9">
        <w:rPr>
          <w:sz w:val="18"/>
          <w:szCs w:val="18"/>
          <w:vertAlign w:val="superscript"/>
          <w:lang w:val="fr-FR"/>
        </w:rPr>
        <w:t>4</w:t>
      </w:r>
      <w:r w:rsidRPr="00D277A9">
        <w:rPr>
          <w:sz w:val="18"/>
          <w:szCs w:val="18"/>
          <w:lang w:val="fr-FR"/>
        </w:rPr>
        <w:t xml:space="preserve"> Relatif au bras contrôle.</w:t>
      </w:r>
    </w:p>
    <w:p w14:paraId="11B12416" w14:textId="77777777" w:rsidR="004401F0" w:rsidRPr="00F9256D" w:rsidRDefault="00DF3C4F" w:rsidP="00BD4C7C">
      <w:pPr>
        <w:adjustRightInd w:val="0"/>
        <w:snapToGrid w:val="0"/>
        <w:rPr>
          <w:i/>
          <w:u w:val="single"/>
          <w:lang w:val="fr-FR"/>
        </w:rPr>
      </w:pPr>
      <w:r w:rsidRPr="00F9256D">
        <w:rPr>
          <w:i/>
          <w:u w:val="single"/>
          <w:lang w:val="fr-FR"/>
        </w:rPr>
        <w:t>Cancer de l’ovaire en rechute</w:t>
      </w:r>
    </w:p>
    <w:p w14:paraId="53C21FD5" w14:textId="77777777" w:rsidR="004401F0" w:rsidRPr="00DA7718" w:rsidRDefault="004401F0" w:rsidP="00BD4C7C">
      <w:pPr>
        <w:pStyle w:val="a3"/>
        <w:adjustRightInd w:val="0"/>
        <w:snapToGrid w:val="0"/>
        <w:rPr>
          <w:i/>
          <w:lang w:val="fr-FR"/>
        </w:rPr>
      </w:pPr>
    </w:p>
    <w:p w14:paraId="594BFEED" w14:textId="10F8DA67" w:rsidR="004401F0" w:rsidRPr="00DA7718" w:rsidRDefault="00DF3C4F" w:rsidP="00BD4C7C">
      <w:pPr>
        <w:pStyle w:val="a3"/>
        <w:adjustRightInd w:val="0"/>
        <w:snapToGrid w:val="0"/>
        <w:rPr>
          <w:lang w:val="fr-FR"/>
        </w:rPr>
      </w:pPr>
      <w:r w:rsidRPr="00DA7718">
        <w:rPr>
          <w:lang w:val="fr-FR"/>
        </w:rPr>
        <w:t>La tolérance et l’efficacité d</w:t>
      </w:r>
      <w:r w:rsidR="00DA0BE8">
        <w:rPr>
          <w:lang w:val="fr-FR"/>
        </w:rPr>
        <w:t xml:space="preserve">u </w:t>
      </w:r>
      <w:r w:rsidR="00DA0BE8" w:rsidRPr="00DA7718">
        <w:rPr>
          <w:lang w:val="fr-FR"/>
        </w:rPr>
        <w:t>bevacizumab</w:t>
      </w:r>
      <w:r w:rsidRPr="00DA7718">
        <w:rPr>
          <w:lang w:val="fr-FR"/>
        </w:rPr>
        <w:t xml:space="preserve"> dans le traitement du cancer épithélial de l’ovaire, des trompes de Fallope ou péritonéal primitif, en rechute, ont été étudiées dans trois essais de phase III (AVF4095g, MO22224 et GOG-0213) chez différentes populations de patientes et avec différents protocoles de chimiothérapie.</w:t>
      </w:r>
    </w:p>
    <w:p w14:paraId="537FAE0D" w14:textId="77777777" w:rsidR="004401F0" w:rsidRPr="00DA7718" w:rsidRDefault="004401F0" w:rsidP="00BD4C7C">
      <w:pPr>
        <w:pStyle w:val="a3"/>
        <w:adjustRightInd w:val="0"/>
        <w:snapToGrid w:val="0"/>
        <w:rPr>
          <w:lang w:val="fr-FR"/>
        </w:rPr>
      </w:pPr>
    </w:p>
    <w:p w14:paraId="64450E66" w14:textId="77777777" w:rsidR="004401F0" w:rsidRPr="00DA7718" w:rsidRDefault="00BD4C7C" w:rsidP="00C60AF6">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AVF4095g a évalué l’efficacité et la tolérance du bevacizumab en association au carboplatine et à la gemcitabine, suivis du bevacizumab en monothérapie chez des patientes atteintes d’un cancer épithélial de l’ovaire, des trompes de Fallope ou péritonéal primitif, en rechute sensible aux sels de platine.</w:t>
      </w:r>
    </w:p>
    <w:p w14:paraId="48464B8D" w14:textId="77777777" w:rsidR="004401F0" w:rsidRPr="00DA7718" w:rsidRDefault="00BD4C7C" w:rsidP="00C60AF6">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GOG-0213 a évalué l’efficacité et la tolérance du bevacizumab en association au carboplatine et au paclitaxel, suivis du bevacizumab en monothérapie chez des patientes atteintes d’un cancer épithélial de l’ovaire, des trompes de Fallope ou péritonéal primitif, en rechute sensible aux sels de platine.</w:t>
      </w:r>
    </w:p>
    <w:p w14:paraId="4BCD3AA9" w14:textId="77777777" w:rsidR="004401F0" w:rsidRPr="00DA7718" w:rsidRDefault="00BD4C7C" w:rsidP="00C60AF6">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MO22224 a évalué l’efficacité et la tolérance du bevacizumab en association au paclitaxel, au topotécan ou à la doxorubicine liposomale pégylée chez des patientes atteintes d’un cancer épithélial de l’ovaire, des trompes de Fallope ou péritonéal primitif, en rechute résistant aux sels de platine.</w:t>
      </w:r>
    </w:p>
    <w:p w14:paraId="1B504874" w14:textId="77777777" w:rsidR="00BD4C7C" w:rsidRPr="00DA7718" w:rsidRDefault="00BD4C7C" w:rsidP="00BD4C7C">
      <w:pPr>
        <w:adjustRightInd w:val="0"/>
        <w:snapToGrid w:val="0"/>
        <w:rPr>
          <w:lang w:val="fr-FR"/>
        </w:rPr>
      </w:pPr>
    </w:p>
    <w:p w14:paraId="71F8428F" w14:textId="77777777" w:rsidR="004401F0" w:rsidRPr="00DA7718" w:rsidRDefault="00DF3C4F" w:rsidP="00BD4C7C">
      <w:pPr>
        <w:adjustRightInd w:val="0"/>
        <w:snapToGrid w:val="0"/>
        <w:rPr>
          <w:i/>
          <w:lang w:val="fr-FR"/>
        </w:rPr>
      </w:pPr>
      <w:r w:rsidRPr="00DA7718">
        <w:rPr>
          <w:i/>
          <w:lang w:val="fr-FR"/>
        </w:rPr>
        <w:t>AVF4095g</w:t>
      </w:r>
    </w:p>
    <w:p w14:paraId="5C1E5F89" w14:textId="44336BD8" w:rsidR="004401F0" w:rsidRPr="00DA7718" w:rsidRDefault="00DF3C4F" w:rsidP="00BD4C7C">
      <w:pPr>
        <w:pStyle w:val="a3"/>
        <w:adjustRightInd w:val="0"/>
        <w:snapToGrid w:val="0"/>
        <w:rPr>
          <w:lang w:val="fr-FR"/>
        </w:rPr>
      </w:pPr>
      <w:r w:rsidRPr="00DA7718">
        <w:rPr>
          <w:lang w:val="fr-FR"/>
        </w:rPr>
        <w:t xml:space="preserve">La tolérance et l’efficacité </w:t>
      </w:r>
      <w:r w:rsidR="00A71A17">
        <w:rPr>
          <w:lang w:val="fr-FR"/>
        </w:rPr>
        <w:t>du bevacizumab</w:t>
      </w:r>
      <w:r w:rsidR="00A71A17" w:rsidRPr="00DA7718">
        <w:rPr>
          <w:lang w:val="fr-FR"/>
        </w:rPr>
        <w:t xml:space="preserve"> </w:t>
      </w:r>
      <w:r w:rsidRPr="00DA7718">
        <w:rPr>
          <w:lang w:val="fr-FR"/>
        </w:rPr>
        <w:t>chez des patientes atteintes d’un cancer épithélial de l’ovaire, des trompes de Fallope ou péritonéal primitif, récidivant sensible aux sels de platine, qui n’avaient pas reçu précédemment de chimiothérapie dans le cadre de leur récidive ou de traitement antérieur par</w:t>
      </w:r>
      <w:r w:rsidR="00675F7E" w:rsidRPr="00F9256D">
        <w:rPr>
          <w:lang w:val="fr-FR"/>
        </w:rPr>
        <w:t xml:space="preserve"> bevacizumab</w:t>
      </w:r>
      <w:r w:rsidRPr="00DA7718">
        <w:rPr>
          <w:lang w:val="fr-FR"/>
        </w:rPr>
        <w:t xml:space="preserve">, ont été étudiées dans un essai de phase III randomisé, en double-aveugle, contrôlé versus placebo (AVF4095g). L’étude comparait l’effet de l’ajout </w:t>
      </w:r>
      <w:r w:rsidR="00A71A17">
        <w:rPr>
          <w:lang w:val="fr-FR"/>
        </w:rPr>
        <w:t>du bevacizumab</w:t>
      </w:r>
      <w:r w:rsidR="00A71A17" w:rsidRPr="00DA7718">
        <w:rPr>
          <w:lang w:val="fr-FR"/>
        </w:rPr>
        <w:t xml:space="preserve"> </w:t>
      </w:r>
      <w:r w:rsidRPr="00DA7718">
        <w:rPr>
          <w:lang w:val="fr-FR"/>
        </w:rPr>
        <w:t xml:space="preserve">à la chimiothérapie carboplatine et gemcitabine, suivi </w:t>
      </w:r>
      <w:r w:rsidR="00A71A17">
        <w:rPr>
          <w:lang w:val="fr-FR"/>
        </w:rPr>
        <w:t>du bevacizumab</w:t>
      </w:r>
      <w:r w:rsidR="00A71A17" w:rsidRPr="00DA7718">
        <w:rPr>
          <w:lang w:val="fr-FR"/>
        </w:rPr>
        <w:t xml:space="preserve"> </w:t>
      </w:r>
      <w:r w:rsidRPr="00DA7718">
        <w:rPr>
          <w:lang w:val="fr-FR"/>
        </w:rPr>
        <w:t>en monothérapie jusqu’à progression, à un traitement de chimiothérapie carboplatine et gemcitabine seul.</w:t>
      </w:r>
    </w:p>
    <w:p w14:paraId="1443E0B7" w14:textId="77777777" w:rsidR="004401F0" w:rsidRPr="007C119A" w:rsidRDefault="004401F0" w:rsidP="00BD4C7C">
      <w:pPr>
        <w:pStyle w:val="a3"/>
        <w:adjustRightInd w:val="0"/>
        <w:snapToGrid w:val="0"/>
        <w:rPr>
          <w:lang w:val="fr-FR"/>
        </w:rPr>
      </w:pPr>
    </w:p>
    <w:p w14:paraId="0B108D12" w14:textId="77777777" w:rsidR="004401F0" w:rsidRPr="00DA7718" w:rsidRDefault="00DF3C4F" w:rsidP="00BD4C7C">
      <w:pPr>
        <w:pStyle w:val="a3"/>
        <w:adjustRightInd w:val="0"/>
        <w:snapToGrid w:val="0"/>
        <w:rPr>
          <w:lang w:val="fr-FR"/>
        </w:rPr>
      </w:pPr>
      <w:r w:rsidRPr="00DA7718">
        <w:rPr>
          <w:lang w:val="fr-FR"/>
        </w:rPr>
        <w:t>Seules ont été inclues dans cette étude, les patientes atteintes d’un cancer de l’ovaire, péritonéal primitif ou des trompes de Fallope, histologiquement documenté et ayant récidivé plus de 6 mois après le traitement de chimiothérapie à base de sels de platine, qui n’avaient pas reçu préalablement de chimiothérapie dans le cadre de leur récidive et qui n’ont pas été traitées préalablement par du bevacizumab ou d’autres inhibiteurs du VEGF ou d’autres agents ciblant le récepteur du VEGF.</w:t>
      </w:r>
    </w:p>
    <w:p w14:paraId="1500B50C" w14:textId="77777777" w:rsidR="004401F0" w:rsidRPr="00DA7718" w:rsidRDefault="004401F0" w:rsidP="00BD4C7C">
      <w:pPr>
        <w:pStyle w:val="a3"/>
        <w:adjustRightInd w:val="0"/>
        <w:snapToGrid w:val="0"/>
        <w:rPr>
          <w:sz w:val="19"/>
          <w:lang w:val="fr-FR"/>
        </w:rPr>
      </w:pPr>
    </w:p>
    <w:p w14:paraId="572E481A" w14:textId="77777777" w:rsidR="004401F0" w:rsidRPr="00DA7718" w:rsidRDefault="00DF3C4F" w:rsidP="00BD4C7C">
      <w:pPr>
        <w:pStyle w:val="a3"/>
        <w:adjustRightInd w:val="0"/>
        <w:snapToGrid w:val="0"/>
        <w:rPr>
          <w:lang w:val="fr-FR"/>
        </w:rPr>
      </w:pPr>
      <w:r w:rsidRPr="00DA7718">
        <w:rPr>
          <w:lang w:val="fr-FR"/>
        </w:rPr>
        <w:t>Un total de 484 patientes atteintes d’une maladie mesurable a été randomisé, en proportion égale (1</w:t>
      </w:r>
      <w:r w:rsidR="00C60AF6">
        <w:rPr>
          <w:lang w:val="fr-FR"/>
        </w:rPr>
        <w:t> </w:t>
      </w:r>
      <w:r w:rsidRPr="00DA7718">
        <w:rPr>
          <w:lang w:val="fr-FR"/>
        </w:rPr>
        <w:t>:1), dans les deux bras suivants :</w:t>
      </w:r>
    </w:p>
    <w:p w14:paraId="2590F6DF" w14:textId="77777777" w:rsidR="004401F0" w:rsidRPr="00DA7718" w:rsidRDefault="00BD4C7C" w:rsidP="00C60AF6">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Carboplatine (ASC 4, Jour 1) et gemcitabine (1000</w:t>
      </w:r>
      <w:r w:rsidR="00DA7718" w:rsidRPr="00DA7718">
        <w:rPr>
          <w:lang w:val="fr-FR"/>
        </w:rPr>
        <w:t> mg</w:t>
      </w:r>
      <w:r w:rsidR="00DF3C4F" w:rsidRPr="00DA7718">
        <w:rPr>
          <w:lang w:val="fr-FR"/>
        </w:rPr>
        <w:t>/m², Jours 1 et 8) suivis du placebo toutes les 3 semaines pendant 6 cycles, et jusqu’à 10 cycles, suivis du placebo (toutes les 3 semaines) seul jusqu’à progression de la maladie ou toxicité inacceptable.</w:t>
      </w:r>
    </w:p>
    <w:p w14:paraId="455B924B" w14:textId="536F8ADF" w:rsidR="004401F0" w:rsidRPr="00DA7718" w:rsidRDefault="00BD4C7C" w:rsidP="00C60AF6">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Carboplatine (ASC 4, Jour 1) et gemcitabine (1000</w:t>
      </w:r>
      <w:r w:rsidR="00DA7718" w:rsidRPr="00DA7718">
        <w:rPr>
          <w:lang w:val="fr-FR"/>
        </w:rPr>
        <w:t> mg</w:t>
      </w:r>
      <w:r w:rsidR="00DF3C4F" w:rsidRPr="00DA7718">
        <w:rPr>
          <w:lang w:val="fr-FR"/>
        </w:rPr>
        <w:t xml:space="preserve">/m², Jours 1 et 8) suivis </w:t>
      </w:r>
      <w:r w:rsidR="003523B4">
        <w:rPr>
          <w:lang w:val="fr-FR"/>
        </w:rPr>
        <w:t>de bevacizumab</w:t>
      </w:r>
      <w:r w:rsidR="003523B4" w:rsidRPr="00DA7718">
        <w:rPr>
          <w:lang w:val="fr-FR"/>
        </w:rPr>
        <w:t xml:space="preserve"> </w:t>
      </w:r>
      <w:r w:rsidR="00DF3C4F" w:rsidRPr="00DA7718">
        <w:rPr>
          <w:lang w:val="fr-FR"/>
        </w:rPr>
        <w:t>(15</w:t>
      </w:r>
      <w:r w:rsidR="00DA7718" w:rsidRPr="00DA7718">
        <w:rPr>
          <w:lang w:val="fr-FR"/>
        </w:rPr>
        <w:t> mg</w:t>
      </w:r>
      <w:r w:rsidR="00DF3C4F" w:rsidRPr="00DA7718">
        <w:rPr>
          <w:lang w:val="fr-FR"/>
        </w:rPr>
        <w:t>/kg, Jour 1) toutes les 3 semaines pendant 6 cycles, et jusqu’à 10 cycles, suivis</w:t>
      </w:r>
      <w:r w:rsidR="00C60AF6">
        <w:rPr>
          <w:lang w:val="fr-FR"/>
        </w:rPr>
        <w:t xml:space="preserve"> </w:t>
      </w:r>
      <w:r w:rsidR="003523B4">
        <w:rPr>
          <w:lang w:val="fr-FR"/>
        </w:rPr>
        <w:t>de bevacizumab</w:t>
      </w:r>
      <w:r w:rsidR="003523B4" w:rsidRPr="00DA7718">
        <w:rPr>
          <w:lang w:val="fr-FR"/>
        </w:rPr>
        <w:t xml:space="preserve"> </w:t>
      </w:r>
      <w:r w:rsidR="00DF3C4F" w:rsidRPr="00DA7718">
        <w:rPr>
          <w:lang w:val="fr-FR"/>
        </w:rPr>
        <w:t>(15</w:t>
      </w:r>
      <w:r w:rsidR="00DA7718" w:rsidRPr="00DA7718">
        <w:rPr>
          <w:lang w:val="fr-FR"/>
        </w:rPr>
        <w:t> mg</w:t>
      </w:r>
      <w:r w:rsidR="00DF3C4F" w:rsidRPr="00DA7718">
        <w:rPr>
          <w:lang w:val="fr-FR"/>
        </w:rPr>
        <w:t>/kg toutes les 3 semaines) seul jusqu’à progression de la maladie ou toxicité inacceptable.</w:t>
      </w:r>
    </w:p>
    <w:p w14:paraId="4FC70670" w14:textId="77777777" w:rsidR="00653748" w:rsidRDefault="00653748" w:rsidP="00BD4C7C">
      <w:pPr>
        <w:pStyle w:val="a3"/>
        <w:adjustRightInd w:val="0"/>
        <w:snapToGrid w:val="0"/>
        <w:rPr>
          <w:lang w:val="fr-FR"/>
        </w:rPr>
      </w:pPr>
    </w:p>
    <w:p w14:paraId="65081372" w14:textId="0933D7DD" w:rsidR="004401F0" w:rsidRPr="00DA7718" w:rsidRDefault="00DF3C4F" w:rsidP="00BD4C7C">
      <w:pPr>
        <w:pStyle w:val="a3"/>
        <w:adjustRightInd w:val="0"/>
        <w:snapToGrid w:val="0"/>
        <w:rPr>
          <w:lang w:val="fr-FR"/>
        </w:rPr>
      </w:pPr>
      <w:r w:rsidRPr="00DA7718">
        <w:rPr>
          <w:lang w:val="fr-FR"/>
        </w:rPr>
        <w:t>Le critère principal était la PFS, évaluée par les investigateurs selon RECIST</w:t>
      </w:r>
    </w:p>
    <w:p w14:paraId="01DEF235" w14:textId="32B94A31" w:rsidR="004401F0" w:rsidRPr="00DA7718" w:rsidRDefault="00DF3C4F" w:rsidP="00654D21">
      <w:pPr>
        <w:pStyle w:val="a3"/>
        <w:numPr>
          <w:ilvl w:val="0"/>
          <w:numId w:val="13"/>
        </w:numPr>
        <w:adjustRightInd w:val="0"/>
        <w:snapToGrid w:val="0"/>
        <w:rPr>
          <w:lang w:val="fr-FR"/>
        </w:rPr>
      </w:pPr>
      <w:r w:rsidRPr="00DA7718">
        <w:rPr>
          <w:lang w:val="fr-FR"/>
        </w:rPr>
        <w:t xml:space="preserve">mis à jour. Les critères supplémentaires comprenaient la réponse objective, la durée de la réponse, </w:t>
      </w:r>
      <w:r w:rsidR="00803E4E">
        <w:rPr>
          <w:lang w:val="fr-FR"/>
        </w:rPr>
        <w:t>l’OS</w:t>
      </w:r>
      <w:r w:rsidRPr="00DA7718">
        <w:rPr>
          <w:lang w:val="fr-FR"/>
        </w:rPr>
        <w:t xml:space="preserve"> et la tolérance.</w:t>
      </w:r>
    </w:p>
    <w:p w14:paraId="60FE7D0B" w14:textId="77777777" w:rsidR="004401F0" w:rsidRPr="00DA7718" w:rsidRDefault="00DF3C4F" w:rsidP="00BD4C7C">
      <w:pPr>
        <w:pStyle w:val="a3"/>
        <w:adjustRightInd w:val="0"/>
        <w:snapToGrid w:val="0"/>
        <w:rPr>
          <w:lang w:val="fr-FR"/>
        </w:rPr>
      </w:pPr>
      <w:r w:rsidRPr="00DA7718">
        <w:rPr>
          <w:lang w:val="fr-FR"/>
        </w:rPr>
        <w:t>Une revue indépendante de critère principal a également été conduite.</w:t>
      </w:r>
    </w:p>
    <w:p w14:paraId="1E100C22" w14:textId="77777777" w:rsidR="00BD4C7C" w:rsidRPr="00DA7718" w:rsidRDefault="00BD4C7C" w:rsidP="00BD4C7C">
      <w:pPr>
        <w:adjustRightInd w:val="0"/>
        <w:snapToGrid w:val="0"/>
        <w:rPr>
          <w:lang w:val="fr-FR"/>
        </w:rPr>
      </w:pPr>
    </w:p>
    <w:p w14:paraId="68AE2581" w14:textId="77777777" w:rsidR="004401F0" w:rsidRPr="00DA7718" w:rsidRDefault="00DF3C4F" w:rsidP="00AC582F">
      <w:pPr>
        <w:pStyle w:val="a3"/>
        <w:adjustRightInd w:val="0"/>
        <w:snapToGrid w:val="0"/>
        <w:rPr>
          <w:lang w:val="fr-FR"/>
        </w:rPr>
      </w:pPr>
      <w:r w:rsidRPr="00DA7718">
        <w:rPr>
          <w:lang w:val="fr-FR"/>
        </w:rPr>
        <w:t>Les résultats de cette étude sont résumés dans le tableau 20</w:t>
      </w:r>
    </w:p>
    <w:p w14:paraId="7BE1A5B1" w14:textId="77777777" w:rsidR="004401F0" w:rsidRPr="00DA7718" w:rsidRDefault="004401F0" w:rsidP="00654D21">
      <w:pPr>
        <w:pStyle w:val="a3"/>
        <w:keepNext/>
        <w:keepLines/>
        <w:adjustRightInd w:val="0"/>
        <w:snapToGrid w:val="0"/>
        <w:rPr>
          <w:sz w:val="19"/>
          <w:lang w:val="fr-FR"/>
        </w:rPr>
      </w:pPr>
    </w:p>
    <w:p w14:paraId="1A9E83B8" w14:textId="77777777" w:rsidR="004401F0" w:rsidRPr="00AC582F" w:rsidRDefault="00DF3C4F" w:rsidP="00AC582F">
      <w:pPr>
        <w:keepNext/>
        <w:keepLines/>
        <w:ind w:left="1276" w:hanging="1276"/>
        <w:rPr>
          <w:b/>
          <w:bCs/>
          <w:lang w:val="fr-FR"/>
        </w:rPr>
      </w:pPr>
      <w:r w:rsidRPr="00AC582F">
        <w:rPr>
          <w:b/>
          <w:bCs/>
          <w:lang w:val="fr-FR"/>
        </w:rPr>
        <w:t>Tableau 20</w:t>
      </w:r>
      <w:r w:rsidRPr="00AC582F">
        <w:rPr>
          <w:b/>
          <w:bCs/>
          <w:lang w:val="fr-FR"/>
        </w:rPr>
        <w:tab/>
        <w:t>Résultats d’efficacité de l’étude AVF4095</w:t>
      </w:r>
    </w:p>
    <w:p w14:paraId="4E2FEC9B" w14:textId="77777777" w:rsidR="004401F0" w:rsidRPr="00DA7718" w:rsidRDefault="004401F0" w:rsidP="00AC582F">
      <w:pPr>
        <w:pStyle w:val="a3"/>
        <w:keepNext/>
        <w:keepLines/>
        <w:adjustRightInd w:val="0"/>
        <w:snapToGrid w:val="0"/>
        <w:rPr>
          <w:b/>
          <w:sz w:val="19"/>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7"/>
        <w:gridCol w:w="1644"/>
        <w:gridCol w:w="1840"/>
        <w:gridCol w:w="1536"/>
        <w:gridCol w:w="1767"/>
      </w:tblGrid>
      <w:tr w:rsidR="004401F0" w:rsidRPr="00D90DBD" w14:paraId="2A193DF4" w14:textId="77777777" w:rsidTr="00654D21">
        <w:trPr>
          <w:cantSplit/>
        </w:trPr>
        <w:tc>
          <w:tcPr>
            <w:tcW w:w="9290" w:type="dxa"/>
            <w:gridSpan w:val="5"/>
          </w:tcPr>
          <w:p w14:paraId="1F94CA15" w14:textId="77777777" w:rsidR="004401F0" w:rsidRPr="00C60AF6" w:rsidRDefault="00DF3C4F" w:rsidP="00654D21">
            <w:pPr>
              <w:pStyle w:val="TableParagraph"/>
              <w:keepNext/>
              <w:keepLines/>
              <w:adjustRightInd w:val="0"/>
              <w:snapToGrid w:val="0"/>
              <w:rPr>
                <w:b/>
                <w:bCs/>
                <w:sz w:val="20"/>
                <w:szCs w:val="20"/>
                <w:lang w:val="fr-FR"/>
              </w:rPr>
            </w:pPr>
            <w:r w:rsidRPr="00C60AF6">
              <w:rPr>
                <w:b/>
                <w:bCs/>
                <w:sz w:val="20"/>
                <w:szCs w:val="20"/>
                <w:u w:val="single"/>
                <w:lang w:val="fr-FR"/>
              </w:rPr>
              <w:t>Survie sans progression</w:t>
            </w:r>
          </w:p>
        </w:tc>
      </w:tr>
      <w:tr w:rsidR="004401F0" w:rsidRPr="000D7348" w14:paraId="24A78673" w14:textId="77777777" w:rsidTr="00654D21">
        <w:trPr>
          <w:cantSplit/>
        </w:trPr>
        <w:tc>
          <w:tcPr>
            <w:tcW w:w="2336" w:type="dxa"/>
          </w:tcPr>
          <w:p w14:paraId="256A8791" w14:textId="77777777" w:rsidR="004401F0" w:rsidRPr="00D90DBD" w:rsidRDefault="004401F0" w:rsidP="00654D21">
            <w:pPr>
              <w:pStyle w:val="TableParagraph"/>
              <w:keepNext/>
              <w:keepLines/>
              <w:adjustRightInd w:val="0"/>
              <w:snapToGrid w:val="0"/>
              <w:rPr>
                <w:sz w:val="20"/>
                <w:szCs w:val="20"/>
                <w:lang w:val="fr-FR"/>
              </w:rPr>
            </w:pPr>
          </w:p>
        </w:tc>
        <w:tc>
          <w:tcPr>
            <w:tcW w:w="3570" w:type="dxa"/>
            <w:gridSpan w:val="2"/>
          </w:tcPr>
          <w:p w14:paraId="02DF9BEC"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Evaluation des investigateurs</w:t>
            </w:r>
          </w:p>
        </w:tc>
        <w:tc>
          <w:tcPr>
            <w:tcW w:w="3384" w:type="dxa"/>
            <w:gridSpan w:val="2"/>
          </w:tcPr>
          <w:p w14:paraId="576D62D5"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u w:val="single"/>
                <w:lang w:val="fr-FR"/>
              </w:rPr>
              <w:t>Evaluation du Comité de Revue</w:t>
            </w:r>
          </w:p>
          <w:p w14:paraId="1A7564C5"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u w:val="single"/>
                <w:lang w:val="fr-FR"/>
              </w:rPr>
              <w:t>Indépendant</w:t>
            </w:r>
          </w:p>
        </w:tc>
      </w:tr>
      <w:tr w:rsidR="004401F0" w:rsidRPr="00D90DBD" w14:paraId="121EFCD0" w14:textId="77777777" w:rsidTr="00654D21">
        <w:trPr>
          <w:cantSplit/>
        </w:trPr>
        <w:tc>
          <w:tcPr>
            <w:tcW w:w="2336" w:type="dxa"/>
          </w:tcPr>
          <w:p w14:paraId="49DDBC0C" w14:textId="77777777" w:rsidR="004401F0" w:rsidRPr="00D90DBD" w:rsidRDefault="004401F0" w:rsidP="00654D21">
            <w:pPr>
              <w:pStyle w:val="TableParagraph"/>
              <w:keepNext/>
              <w:keepLines/>
              <w:adjustRightInd w:val="0"/>
              <w:snapToGrid w:val="0"/>
              <w:rPr>
                <w:sz w:val="20"/>
                <w:szCs w:val="20"/>
                <w:lang w:val="fr-FR"/>
              </w:rPr>
            </w:pPr>
          </w:p>
        </w:tc>
        <w:tc>
          <w:tcPr>
            <w:tcW w:w="1684" w:type="dxa"/>
          </w:tcPr>
          <w:p w14:paraId="5A840322"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Placebo+ C/G</w:t>
            </w:r>
          </w:p>
          <w:p w14:paraId="157902F9"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(n = 242)</w:t>
            </w:r>
          </w:p>
        </w:tc>
        <w:tc>
          <w:tcPr>
            <w:tcW w:w="1886" w:type="dxa"/>
          </w:tcPr>
          <w:p w14:paraId="5E73D935" w14:textId="2C5E15CA" w:rsidR="004401F0" w:rsidRPr="00D90DBD" w:rsidRDefault="003523B4" w:rsidP="00654D21">
            <w:pPr>
              <w:pStyle w:val="TableParagraph"/>
              <w:keepNext/>
              <w:keepLines/>
              <w:adjustRightInd w:val="0"/>
              <w:snapToGrid w:val="0"/>
              <w:jc w:val="center"/>
              <w:rPr>
                <w:sz w:val="20"/>
                <w:szCs w:val="20"/>
                <w:lang w:val="fr-FR"/>
              </w:rPr>
            </w:pPr>
            <w:r>
              <w:rPr>
                <w:sz w:val="20"/>
                <w:szCs w:val="20"/>
                <w:lang w:val="fr-FR"/>
              </w:rPr>
              <w:t>Bevacizumab</w:t>
            </w:r>
            <w:r w:rsidRPr="00D90DBD">
              <w:rPr>
                <w:sz w:val="20"/>
                <w:szCs w:val="20"/>
                <w:lang w:val="fr-FR"/>
              </w:rPr>
              <w:t xml:space="preserve"> </w:t>
            </w:r>
            <w:r w:rsidR="00DF3C4F" w:rsidRPr="00D90DBD">
              <w:rPr>
                <w:sz w:val="20"/>
                <w:szCs w:val="20"/>
                <w:lang w:val="fr-FR"/>
              </w:rPr>
              <w:t>+ C/G</w:t>
            </w:r>
          </w:p>
          <w:p w14:paraId="1D609C6D"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(n = 242)</w:t>
            </w:r>
          </w:p>
        </w:tc>
        <w:tc>
          <w:tcPr>
            <w:tcW w:w="1573" w:type="dxa"/>
          </w:tcPr>
          <w:p w14:paraId="1E5DB0BB"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Placebo+ C/G</w:t>
            </w:r>
          </w:p>
          <w:p w14:paraId="0B51B314"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(n = 242)</w:t>
            </w:r>
          </w:p>
        </w:tc>
        <w:tc>
          <w:tcPr>
            <w:tcW w:w="1811" w:type="dxa"/>
          </w:tcPr>
          <w:p w14:paraId="584FC222" w14:textId="3076AC4B" w:rsidR="004401F0" w:rsidRPr="00D90DBD" w:rsidRDefault="003523B4" w:rsidP="00654D21">
            <w:pPr>
              <w:pStyle w:val="TableParagraph"/>
              <w:keepNext/>
              <w:keepLines/>
              <w:adjustRightInd w:val="0"/>
              <w:snapToGrid w:val="0"/>
              <w:jc w:val="center"/>
              <w:rPr>
                <w:sz w:val="20"/>
                <w:szCs w:val="20"/>
                <w:lang w:val="fr-FR"/>
              </w:rPr>
            </w:pPr>
            <w:r>
              <w:rPr>
                <w:sz w:val="20"/>
                <w:szCs w:val="20"/>
                <w:lang w:val="fr-FR"/>
              </w:rPr>
              <w:t>Bevacizumab</w:t>
            </w:r>
            <w:r w:rsidRPr="00D90DBD">
              <w:rPr>
                <w:sz w:val="20"/>
                <w:szCs w:val="20"/>
                <w:lang w:val="fr-FR"/>
              </w:rPr>
              <w:t xml:space="preserve"> </w:t>
            </w:r>
            <w:r w:rsidR="00DF3C4F" w:rsidRPr="00D90DBD">
              <w:rPr>
                <w:sz w:val="20"/>
                <w:szCs w:val="20"/>
                <w:lang w:val="fr-FR"/>
              </w:rPr>
              <w:t>+ C/G</w:t>
            </w:r>
          </w:p>
          <w:p w14:paraId="06D77137"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(n = 242)</w:t>
            </w:r>
          </w:p>
        </w:tc>
      </w:tr>
      <w:tr w:rsidR="004401F0" w:rsidRPr="00BF2036" w14:paraId="53509D19" w14:textId="77777777" w:rsidTr="00654D21">
        <w:trPr>
          <w:cantSplit/>
        </w:trPr>
        <w:tc>
          <w:tcPr>
            <w:tcW w:w="2336" w:type="dxa"/>
          </w:tcPr>
          <w:p w14:paraId="49D56305" w14:textId="77777777" w:rsidR="004401F0" w:rsidRPr="00D90DBD" w:rsidRDefault="00DF3C4F" w:rsidP="00654D21">
            <w:pPr>
              <w:pStyle w:val="TableParagraph"/>
              <w:keepNext/>
              <w:keepLines/>
              <w:adjustRightInd w:val="0"/>
              <w:snapToGrid w:val="0"/>
              <w:rPr>
                <w:i/>
                <w:sz w:val="20"/>
                <w:szCs w:val="20"/>
                <w:lang w:val="fr-FR"/>
              </w:rPr>
            </w:pPr>
            <w:r w:rsidRPr="00D90DBD">
              <w:rPr>
                <w:i/>
                <w:sz w:val="20"/>
                <w:szCs w:val="20"/>
                <w:lang w:val="fr-FR"/>
              </w:rPr>
              <w:t>Traitements hors</w:t>
            </w:r>
          </w:p>
          <w:p w14:paraId="1A449E25" w14:textId="77777777" w:rsidR="004401F0" w:rsidRPr="00D90DBD" w:rsidRDefault="00DF3C4F" w:rsidP="00654D21">
            <w:pPr>
              <w:pStyle w:val="TableParagraph"/>
              <w:keepNext/>
              <w:keepLines/>
              <w:adjustRightInd w:val="0"/>
              <w:snapToGrid w:val="0"/>
              <w:rPr>
                <w:i/>
                <w:sz w:val="20"/>
                <w:szCs w:val="20"/>
                <w:lang w:val="fr-FR"/>
              </w:rPr>
            </w:pPr>
            <w:r w:rsidRPr="00D90DBD">
              <w:rPr>
                <w:i/>
                <w:sz w:val="20"/>
                <w:szCs w:val="20"/>
                <w:lang w:val="fr-FR"/>
              </w:rPr>
              <w:t>protocole non censurés</w:t>
            </w:r>
          </w:p>
        </w:tc>
        <w:tc>
          <w:tcPr>
            <w:tcW w:w="6954" w:type="dxa"/>
            <w:gridSpan w:val="4"/>
          </w:tcPr>
          <w:p w14:paraId="5573B76C" w14:textId="77777777" w:rsidR="004401F0" w:rsidRPr="00D90DBD" w:rsidRDefault="004401F0" w:rsidP="00654D21">
            <w:pPr>
              <w:pStyle w:val="TableParagraph"/>
              <w:keepNext/>
              <w:keepLines/>
              <w:adjustRightInd w:val="0"/>
              <w:snapToGrid w:val="0"/>
              <w:jc w:val="center"/>
              <w:rPr>
                <w:sz w:val="20"/>
                <w:szCs w:val="20"/>
                <w:lang w:val="fr-FR"/>
              </w:rPr>
            </w:pPr>
          </w:p>
        </w:tc>
      </w:tr>
      <w:tr w:rsidR="004401F0" w:rsidRPr="00D90DBD" w14:paraId="001F8695" w14:textId="77777777" w:rsidTr="00654D21">
        <w:trPr>
          <w:cantSplit/>
        </w:trPr>
        <w:tc>
          <w:tcPr>
            <w:tcW w:w="2336" w:type="dxa"/>
          </w:tcPr>
          <w:p w14:paraId="56A7B361" w14:textId="77777777" w:rsidR="004401F0" w:rsidRPr="00D90DBD" w:rsidRDefault="00DF3C4F" w:rsidP="00654D21">
            <w:pPr>
              <w:pStyle w:val="TableParagraph"/>
              <w:keepNext/>
              <w:keepLines/>
              <w:adjustRightInd w:val="0"/>
              <w:snapToGrid w:val="0"/>
              <w:rPr>
                <w:sz w:val="20"/>
                <w:szCs w:val="20"/>
                <w:lang w:val="fr-FR"/>
              </w:rPr>
            </w:pPr>
            <w:r w:rsidRPr="00D90DBD">
              <w:rPr>
                <w:sz w:val="20"/>
                <w:szCs w:val="20"/>
                <w:lang w:val="fr-FR"/>
              </w:rPr>
              <w:t>Médiane de la survie</w:t>
            </w:r>
          </w:p>
          <w:p w14:paraId="7A996E45" w14:textId="77777777" w:rsidR="004401F0" w:rsidRPr="00D90DBD" w:rsidRDefault="00DF3C4F" w:rsidP="00654D21">
            <w:pPr>
              <w:pStyle w:val="TableParagraph"/>
              <w:keepNext/>
              <w:keepLines/>
              <w:adjustRightInd w:val="0"/>
              <w:snapToGrid w:val="0"/>
              <w:rPr>
                <w:sz w:val="20"/>
                <w:szCs w:val="20"/>
                <w:lang w:val="fr-FR"/>
              </w:rPr>
            </w:pPr>
            <w:r w:rsidRPr="00D90DBD">
              <w:rPr>
                <w:sz w:val="20"/>
                <w:szCs w:val="20"/>
                <w:lang w:val="fr-FR"/>
              </w:rPr>
              <w:t>sans progression (mois)</w:t>
            </w:r>
          </w:p>
        </w:tc>
        <w:tc>
          <w:tcPr>
            <w:tcW w:w="1684" w:type="dxa"/>
          </w:tcPr>
          <w:p w14:paraId="6B284BB1"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8,4</w:t>
            </w:r>
          </w:p>
        </w:tc>
        <w:tc>
          <w:tcPr>
            <w:tcW w:w="1886" w:type="dxa"/>
          </w:tcPr>
          <w:p w14:paraId="03ECC49C"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12,4</w:t>
            </w:r>
          </w:p>
        </w:tc>
        <w:tc>
          <w:tcPr>
            <w:tcW w:w="1573" w:type="dxa"/>
          </w:tcPr>
          <w:p w14:paraId="2D3F392A"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8,6</w:t>
            </w:r>
          </w:p>
        </w:tc>
        <w:tc>
          <w:tcPr>
            <w:tcW w:w="1811" w:type="dxa"/>
          </w:tcPr>
          <w:p w14:paraId="6D80C557"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12,3</w:t>
            </w:r>
          </w:p>
        </w:tc>
      </w:tr>
      <w:tr w:rsidR="004401F0" w:rsidRPr="00D90DBD" w14:paraId="579607BE" w14:textId="77777777" w:rsidTr="00654D21">
        <w:trPr>
          <w:cantSplit/>
        </w:trPr>
        <w:tc>
          <w:tcPr>
            <w:tcW w:w="2336" w:type="dxa"/>
          </w:tcPr>
          <w:p w14:paraId="01201DCC" w14:textId="53BC7EC7" w:rsidR="004401F0" w:rsidRPr="00D90DBD" w:rsidRDefault="00DF3C4F" w:rsidP="00654D21">
            <w:pPr>
              <w:pStyle w:val="TableParagraph"/>
              <w:keepNext/>
              <w:keepLines/>
              <w:adjustRightInd w:val="0"/>
              <w:snapToGrid w:val="0"/>
              <w:rPr>
                <w:sz w:val="20"/>
                <w:szCs w:val="20"/>
                <w:lang w:val="fr-FR"/>
              </w:rPr>
            </w:pPr>
            <w:r w:rsidRPr="00D90DBD">
              <w:rPr>
                <w:sz w:val="20"/>
                <w:szCs w:val="20"/>
                <w:lang w:val="fr-FR"/>
              </w:rPr>
              <w:t>Risque relatif (IC</w:t>
            </w:r>
            <w:r w:rsidR="008F3780">
              <w:rPr>
                <w:sz w:val="20"/>
                <w:szCs w:val="20"/>
                <w:lang w:val="fr-FR"/>
              </w:rPr>
              <w:t xml:space="preserve"> </w:t>
            </w:r>
            <w:r w:rsidRPr="00D90DBD">
              <w:rPr>
                <w:sz w:val="20"/>
                <w:szCs w:val="20"/>
                <w:lang w:val="fr-FR"/>
              </w:rPr>
              <w:t>95 %)</w:t>
            </w:r>
          </w:p>
        </w:tc>
        <w:tc>
          <w:tcPr>
            <w:tcW w:w="3570" w:type="dxa"/>
            <w:gridSpan w:val="2"/>
          </w:tcPr>
          <w:p w14:paraId="4823DB2C" w14:textId="015887B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0,524 [0,425</w:t>
            </w:r>
            <w:r w:rsidR="00653748">
              <w:rPr>
                <w:sz w:val="20"/>
                <w:szCs w:val="20"/>
                <w:lang w:val="fr-FR"/>
              </w:rPr>
              <w:t> </w:t>
            </w:r>
            <w:r w:rsidR="00881CB8">
              <w:rPr>
                <w:sz w:val="20"/>
                <w:szCs w:val="20"/>
                <w:lang w:val="fr-FR"/>
              </w:rPr>
              <w:t xml:space="preserve">; </w:t>
            </w:r>
            <w:r w:rsidRPr="00D90DBD">
              <w:rPr>
                <w:sz w:val="20"/>
                <w:szCs w:val="20"/>
                <w:lang w:val="fr-FR"/>
              </w:rPr>
              <w:t>0,645]</w:t>
            </w:r>
          </w:p>
        </w:tc>
        <w:tc>
          <w:tcPr>
            <w:tcW w:w="3384" w:type="dxa"/>
            <w:gridSpan w:val="2"/>
          </w:tcPr>
          <w:p w14:paraId="229C0C71" w14:textId="3C5B2EC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0,480 [0,377</w:t>
            </w:r>
            <w:r w:rsidR="00653748">
              <w:rPr>
                <w:sz w:val="20"/>
                <w:szCs w:val="20"/>
                <w:lang w:val="fr-FR"/>
              </w:rPr>
              <w:t> </w:t>
            </w:r>
            <w:r w:rsidR="00881CB8">
              <w:rPr>
                <w:sz w:val="20"/>
                <w:szCs w:val="20"/>
                <w:lang w:val="fr-FR"/>
              </w:rPr>
              <w:t xml:space="preserve">; </w:t>
            </w:r>
            <w:r w:rsidRPr="00D90DBD">
              <w:rPr>
                <w:sz w:val="20"/>
                <w:szCs w:val="20"/>
                <w:lang w:val="fr-FR"/>
              </w:rPr>
              <w:t>0,613]</w:t>
            </w:r>
          </w:p>
        </w:tc>
      </w:tr>
      <w:tr w:rsidR="004401F0" w:rsidRPr="00D90DBD" w14:paraId="66D8E64C" w14:textId="77777777" w:rsidTr="00654D21">
        <w:trPr>
          <w:cantSplit/>
        </w:trPr>
        <w:tc>
          <w:tcPr>
            <w:tcW w:w="2336" w:type="dxa"/>
          </w:tcPr>
          <w:p w14:paraId="31B3E2CF"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Valeur du p</w:t>
            </w:r>
          </w:p>
        </w:tc>
        <w:tc>
          <w:tcPr>
            <w:tcW w:w="3570" w:type="dxa"/>
            <w:gridSpan w:val="2"/>
          </w:tcPr>
          <w:p w14:paraId="5D10F06C" w14:textId="77777777"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&lt;0,0001</w:t>
            </w:r>
          </w:p>
        </w:tc>
        <w:tc>
          <w:tcPr>
            <w:tcW w:w="3384" w:type="dxa"/>
            <w:gridSpan w:val="2"/>
          </w:tcPr>
          <w:p w14:paraId="6DE4352D" w14:textId="77777777"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&lt;0,0001</w:t>
            </w:r>
          </w:p>
        </w:tc>
      </w:tr>
      <w:tr w:rsidR="004401F0" w:rsidRPr="00D90DBD" w14:paraId="234BC8DE" w14:textId="77777777" w:rsidTr="00654D21">
        <w:trPr>
          <w:cantSplit/>
        </w:trPr>
        <w:tc>
          <w:tcPr>
            <w:tcW w:w="2336" w:type="dxa"/>
          </w:tcPr>
          <w:p w14:paraId="2A07E1A1" w14:textId="77777777" w:rsidR="004401F0" w:rsidRPr="00D90DBD" w:rsidRDefault="00DF3C4F" w:rsidP="00D90DBD">
            <w:pPr>
              <w:pStyle w:val="TableParagraph"/>
              <w:adjustRightInd w:val="0"/>
              <w:snapToGrid w:val="0"/>
              <w:rPr>
                <w:i/>
                <w:sz w:val="20"/>
                <w:szCs w:val="20"/>
                <w:lang w:val="fr-FR"/>
              </w:rPr>
            </w:pPr>
            <w:r w:rsidRPr="00D90DBD">
              <w:rPr>
                <w:i/>
                <w:sz w:val="20"/>
                <w:szCs w:val="20"/>
                <w:lang w:val="fr-FR"/>
              </w:rPr>
              <w:t>Traitements hors</w:t>
            </w:r>
          </w:p>
          <w:p w14:paraId="0B67A62C" w14:textId="77777777" w:rsidR="004401F0" w:rsidRPr="00D90DBD" w:rsidRDefault="00DF3C4F" w:rsidP="00D90DBD">
            <w:pPr>
              <w:pStyle w:val="TableParagraph"/>
              <w:adjustRightInd w:val="0"/>
              <w:snapToGrid w:val="0"/>
              <w:rPr>
                <w:i/>
                <w:sz w:val="20"/>
                <w:szCs w:val="20"/>
                <w:lang w:val="fr-FR"/>
              </w:rPr>
            </w:pPr>
            <w:r w:rsidRPr="00D90DBD">
              <w:rPr>
                <w:i/>
                <w:sz w:val="20"/>
                <w:szCs w:val="20"/>
                <w:lang w:val="fr-FR"/>
              </w:rPr>
              <w:t>protocole censurés</w:t>
            </w:r>
          </w:p>
        </w:tc>
        <w:tc>
          <w:tcPr>
            <w:tcW w:w="6954" w:type="dxa"/>
            <w:gridSpan w:val="4"/>
          </w:tcPr>
          <w:p w14:paraId="225EA0CE" w14:textId="77777777" w:rsidR="004401F0" w:rsidRPr="00D90DBD" w:rsidRDefault="004401F0" w:rsidP="00653748">
            <w:pPr>
              <w:pStyle w:val="TableParagraph"/>
              <w:adjustRightInd w:val="0"/>
              <w:snapToGrid w:val="0"/>
              <w:jc w:val="center"/>
              <w:rPr>
                <w:sz w:val="20"/>
                <w:szCs w:val="20"/>
                <w:lang w:val="fr-FR"/>
              </w:rPr>
            </w:pPr>
          </w:p>
        </w:tc>
      </w:tr>
      <w:tr w:rsidR="004401F0" w:rsidRPr="00D90DBD" w14:paraId="3A0E608D" w14:textId="77777777" w:rsidTr="00654D21">
        <w:trPr>
          <w:cantSplit/>
        </w:trPr>
        <w:tc>
          <w:tcPr>
            <w:tcW w:w="2336" w:type="dxa"/>
          </w:tcPr>
          <w:p w14:paraId="2D65B1CF"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Médiane de la survie sans progression (mois)</w:t>
            </w:r>
          </w:p>
        </w:tc>
        <w:tc>
          <w:tcPr>
            <w:tcW w:w="1684" w:type="dxa"/>
          </w:tcPr>
          <w:p w14:paraId="31631EC7" w14:textId="77777777" w:rsidR="004401F0" w:rsidRPr="00D90DBD" w:rsidRDefault="00DF3C4F" w:rsidP="00654D21">
            <w:pPr>
              <w:pStyle w:val="TableParagraph"/>
              <w:adjustRightInd w:val="0"/>
              <w:snapToGrid w:val="0"/>
              <w:jc w:val="center"/>
              <w:rPr>
                <w:sz w:val="20"/>
                <w:szCs w:val="20"/>
                <w:lang w:val="fr-FR"/>
              </w:rPr>
            </w:pPr>
            <w:r w:rsidRPr="00D90DBD">
              <w:rPr>
                <w:sz w:val="20"/>
                <w:szCs w:val="20"/>
                <w:lang w:val="fr-FR"/>
              </w:rPr>
              <w:t>8,4</w:t>
            </w:r>
          </w:p>
        </w:tc>
        <w:tc>
          <w:tcPr>
            <w:tcW w:w="1886" w:type="dxa"/>
          </w:tcPr>
          <w:p w14:paraId="42A08432" w14:textId="77777777"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12,4</w:t>
            </w:r>
          </w:p>
        </w:tc>
        <w:tc>
          <w:tcPr>
            <w:tcW w:w="1573" w:type="dxa"/>
          </w:tcPr>
          <w:p w14:paraId="22FC4C15" w14:textId="77777777"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8,6</w:t>
            </w:r>
          </w:p>
        </w:tc>
        <w:tc>
          <w:tcPr>
            <w:tcW w:w="1811" w:type="dxa"/>
          </w:tcPr>
          <w:p w14:paraId="43FF73E8" w14:textId="77777777"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12,3</w:t>
            </w:r>
          </w:p>
        </w:tc>
      </w:tr>
      <w:tr w:rsidR="004401F0" w:rsidRPr="00D90DBD" w14:paraId="08A6656A" w14:textId="77777777" w:rsidTr="00654D21">
        <w:trPr>
          <w:cantSplit/>
        </w:trPr>
        <w:tc>
          <w:tcPr>
            <w:tcW w:w="2336" w:type="dxa"/>
          </w:tcPr>
          <w:p w14:paraId="522399E2" w14:textId="111E6416" w:rsidR="004401F0" w:rsidRPr="00D90DBD" w:rsidRDefault="00DF3C4F" w:rsidP="008F3780">
            <w:pPr>
              <w:pStyle w:val="TableParagraph"/>
              <w:adjustRightInd w:val="0"/>
              <w:snapToGrid w:val="0"/>
              <w:rPr>
                <w:sz w:val="20"/>
                <w:szCs w:val="20"/>
                <w:lang w:val="fr-FR"/>
              </w:rPr>
            </w:pPr>
            <w:r w:rsidRPr="00D90DBD">
              <w:rPr>
                <w:sz w:val="20"/>
                <w:szCs w:val="20"/>
                <w:lang w:val="fr-FR"/>
              </w:rPr>
              <w:t>Risque relatif (IC</w:t>
            </w:r>
            <w:r w:rsidR="008F3780">
              <w:rPr>
                <w:sz w:val="20"/>
                <w:szCs w:val="20"/>
                <w:lang w:val="fr-FR"/>
              </w:rPr>
              <w:t xml:space="preserve"> </w:t>
            </w:r>
            <w:r w:rsidRPr="00D90DBD">
              <w:rPr>
                <w:sz w:val="20"/>
                <w:szCs w:val="20"/>
                <w:lang w:val="fr-FR"/>
              </w:rPr>
              <w:t>95 %)</w:t>
            </w:r>
          </w:p>
        </w:tc>
        <w:tc>
          <w:tcPr>
            <w:tcW w:w="3570" w:type="dxa"/>
            <w:gridSpan w:val="2"/>
          </w:tcPr>
          <w:p w14:paraId="3AD350D6" w14:textId="55F24C20"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0,484 [0,388</w:t>
            </w:r>
            <w:r w:rsidR="00653748">
              <w:rPr>
                <w:sz w:val="20"/>
                <w:szCs w:val="20"/>
                <w:lang w:val="fr-FR"/>
              </w:rPr>
              <w:t> </w:t>
            </w:r>
            <w:r w:rsidR="00881CB8">
              <w:rPr>
                <w:sz w:val="20"/>
                <w:szCs w:val="20"/>
                <w:lang w:val="fr-FR"/>
              </w:rPr>
              <w:t xml:space="preserve">; </w:t>
            </w:r>
            <w:r w:rsidRPr="00D90DBD">
              <w:rPr>
                <w:sz w:val="20"/>
                <w:szCs w:val="20"/>
                <w:lang w:val="fr-FR"/>
              </w:rPr>
              <w:t>0,605]</w:t>
            </w:r>
          </w:p>
        </w:tc>
        <w:tc>
          <w:tcPr>
            <w:tcW w:w="3384" w:type="dxa"/>
            <w:gridSpan w:val="2"/>
          </w:tcPr>
          <w:p w14:paraId="57D1047F" w14:textId="4B5F40F0"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0,451 [0,351</w:t>
            </w:r>
            <w:r w:rsidR="00653748">
              <w:rPr>
                <w:sz w:val="20"/>
                <w:szCs w:val="20"/>
                <w:lang w:val="fr-FR"/>
              </w:rPr>
              <w:t> </w:t>
            </w:r>
            <w:r w:rsidR="00881CB8">
              <w:rPr>
                <w:sz w:val="20"/>
                <w:szCs w:val="20"/>
                <w:lang w:val="fr-FR"/>
              </w:rPr>
              <w:t xml:space="preserve">; </w:t>
            </w:r>
            <w:r w:rsidRPr="00D90DBD">
              <w:rPr>
                <w:sz w:val="20"/>
                <w:szCs w:val="20"/>
                <w:lang w:val="fr-FR"/>
              </w:rPr>
              <w:t>0,580]</w:t>
            </w:r>
          </w:p>
        </w:tc>
      </w:tr>
      <w:tr w:rsidR="004401F0" w:rsidRPr="00D90DBD" w14:paraId="1E6843AF" w14:textId="77777777" w:rsidTr="00654D21">
        <w:trPr>
          <w:cantSplit/>
        </w:trPr>
        <w:tc>
          <w:tcPr>
            <w:tcW w:w="2336" w:type="dxa"/>
          </w:tcPr>
          <w:p w14:paraId="728D4ED9"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Valeur du p</w:t>
            </w:r>
          </w:p>
        </w:tc>
        <w:tc>
          <w:tcPr>
            <w:tcW w:w="3570" w:type="dxa"/>
            <w:gridSpan w:val="2"/>
          </w:tcPr>
          <w:p w14:paraId="3216D5A4" w14:textId="77777777"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&lt;0,0001</w:t>
            </w:r>
          </w:p>
        </w:tc>
        <w:tc>
          <w:tcPr>
            <w:tcW w:w="3384" w:type="dxa"/>
            <w:gridSpan w:val="2"/>
          </w:tcPr>
          <w:p w14:paraId="310EC354" w14:textId="77777777"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&lt;0,0001</w:t>
            </w:r>
          </w:p>
        </w:tc>
      </w:tr>
      <w:tr w:rsidR="004401F0" w:rsidRPr="00D90DBD" w14:paraId="1ACD7DAF" w14:textId="77777777" w:rsidTr="00654D21">
        <w:trPr>
          <w:cantSplit/>
        </w:trPr>
        <w:tc>
          <w:tcPr>
            <w:tcW w:w="9290" w:type="dxa"/>
            <w:gridSpan w:val="5"/>
          </w:tcPr>
          <w:p w14:paraId="20F96612"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Taux de réponse objective</w:t>
            </w:r>
          </w:p>
        </w:tc>
      </w:tr>
      <w:tr w:rsidR="00801DE9" w:rsidRPr="000D7348" w14:paraId="7C92AFC6" w14:textId="77777777" w:rsidTr="00622F9C">
        <w:trPr>
          <w:cantSplit/>
        </w:trPr>
        <w:tc>
          <w:tcPr>
            <w:tcW w:w="2336" w:type="dxa"/>
          </w:tcPr>
          <w:p w14:paraId="25055862" w14:textId="77777777" w:rsidR="00801DE9" w:rsidRPr="00D90DBD" w:rsidRDefault="00801DE9" w:rsidP="00801DE9">
            <w:pPr>
              <w:pStyle w:val="TableParagraph"/>
              <w:adjustRightInd w:val="0"/>
              <w:snapToGrid w:val="0"/>
              <w:rPr>
                <w:sz w:val="20"/>
                <w:szCs w:val="20"/>
                <w:lang w:val="fr-FR"/>
              </w:rPr>
            </w:pPr>
          </w:p>
        </w:tc>
        <w:tc>
          <w:tcPr>
            <w:tcW w:w="3570" w:type="dxa"/>
            <w:gridSpan w:val="2"/>
          </w:tcPr>
          <w:p w14:paraId="353FC1FE" w14:textId="4B245F25" w:rsidR="00801DE9" w:rsidRPr="00D90DBD" w:rsidDel="003523B4" w:rsidRDefault="00801DE9" w:rsidP="00801DE9">
            <w:pPr>
              <w:pStyle w:val="TableParagraph"/>
              <w:adjustRightInd w:val="0"/>
              <w:snapToGrid w:val="0"/>
              <w:jc w:val="center"/>
              <w:rPr>
                <w:sz w:val="20"/>
                <w:szCs w:val="20"/>
                <w:lang w:val="fr-FR"/>
              </w:rPr>
            </w:pPr>
            <w:r w:rsidRPr="00D90DBD">
              <w:rPr>
                <w:sz w:val="20"/>
                <w:szCs w:val="20"/>
                <w:lang w:val="fr-FR"/>
              </w:rPr>
              <w:t>Evaluation des investigateurs</w:t>
            </w:r>
          </w:p>
        </w:tc>
        <w:tc>
          <w:tcPr>
            <w:tcW w:w="3384" w:type="dxa"/>
            <w:gridSpan w:val="2"/>
          </w:tcPr>
          <w:p w14:paraId="4D62ED73" w14:textId="77777777" w:rsidR="00801DE9" w:rsidRPr="00D90DBD" w:rsidRDefault="00801DE9" w:rsidP="00801DE9">
            <w:pPr>
              <w:pStyle w:val="TableParagraph"/>
              <w:keepNext/>
              <w:keepLines/>
              <w:adjustRightInd w:val="0"/>
              <w:snapToGrid w:val="0"/>
              <w:jc w:val="center"/>
              <w:rPr>
                <w:sz w:val="20"/>
                <w:szCs w:val="20"/>
                <w:lang w:val="fr-FR"/>
              </w:rPr>
            </w:pPr>
            <w:r w:rsidRPr="00D90DBD">
              <w:rPr>
                <w:sz w:val="20"/>
                <w:szCs w:val="20"/>
                <w:u w:val="single"/>
                <w:lang w:val="fr-FR"/>
              </w:rPr>
              <w:t>Evaluation du Comité de Revue</w:t>
            </w:r>
          </w:p>
          <w:p w14:paraId="6828B41D" w14:textId="673C3AE7" w:rsidR="00801DE9" w:rsidRPr="00D90DBD" w:rsidDel="003523B4" w:rsidRDefault="00801DE9" w:rsidP="00801DE9">
            <w:pPr>
              <w:pStyle w:val="TableParagraph"/>
              <w:adjustRightInd w:val="0"/>
              <w:snapToGrid w:val="0"/>
              <w:jc w:val="center"/>
              <w:rPr>
                <w:sz w:val="20"/>
                <w:szCs w:val="20"/>
                <w:lang w:val="fr-FR"/>
              </w:rPr>
            </w:pPr>
            <w:r w:rsidRPr="00D90DBD">
              <w:rPr>
                <w:sz w:val="20"/>
                <w:szCs w:val="20"/>
                <w:u w:val="single"/>
                <w:lang w:val="fr-FR"/>
              </w:rPr>
              <w:t>Indépendant</w:t>
            </w:r>
          </w:p>
        </w:tc>
      </w:tr>
      <w:tr w:rsidR="004401F0" w:rsidRPr="00D90DBD" w14:paraId="55F6DDDB" w14:textId="77777777" w:rsidTr="00654D21">
        <w:trPr>
          <w:cantSplit/>
        </w:trPr>
        <w:tc>
          <w:tcPr>
            <w:tcW w:w="2336" w:type="dxa"/>
          </w:tcPr>
          <w:p w14:paraId="33AF7090" w14:textId="77777777" w:rsidR="004401F0" w:rsidRPr="00D90DBD" w:rsidRDefault="004401F0" w:rsidP="00D90DBD">
            <w:pPr>
              <w:pStyle w:val="TableParagraph"/>
              <w:adjustRightInd w:val="0"/>
              <w:snapToGrid w:val="0"/>
              <w:rPr>
                <w:sz w:val="20"/>
                <w:szCs w:val="20"/>
                <w:lang w:val="fr-FR"/>
              </w:rPr>
            </w:pPr>
          </w:p>
        </w:tc>
        <w:tc>
          <w:tcPr>
            <w:tcW w:w="1684" w:type="dxa"/>
          </w:tcPr>
          <w:p w14:paraId="6C7E10D0" w14:textId="1BD693C0" w:rsidR="004401F0" w:rsidRPr="00D90DBD" w:rsidRDefault="00DF3C4F" w:rsidP="00654D21">
            <w:pPr>
              <w:pStyle w:val="TableParagraph"/>
              <w:adjustRightInd w:val="0"/>
              <w:snapToGrid w:val="0"/>
              <w:jc w:val="center"/>
              <w:rPr>
                <w:sz w:val="20"/>
                <w:szCs w:val="20"/>
                <w:lang w:val="fr-FR"/>
              </w:rPr>
            </w:pPr>
            <w:r w:rsidRPr="00D90DBD">
              <w:rPr>
                <w:sz w:val="20"/>
                <w:szCs w:val="20"/>
                <w:lang w:val="fr-FR"/>
              </w:rPr>
              <w:t xml:space="preserve">Placebo+ C/G </w:t>
            </w:r>
            <w:r w:rsidR="00653748">
              <w:rPr>
                <w:sz w:val="20"/>
                <w:szCs w:val="20"/>
                <w:lang w:val="fr-FR"/>
              </w:rPr>
              <w:br/>
            </w:r>
            <w:r w:rsidRPr="00D90DBD">
              <w:rPr>
                <w:sz w:val="20"/>
                <w:szCs w:val="20"/>
                <w:lang w:val="fr-FR"/>
              </w:rPr>
              <w:t>(n = 242)</w:t>
            </w:r>
          </w:p>
        </w:tc>
        <w:tc>
          <w:tcPr>
            <w:tcW w:w="1886" w:type="dxa"/>
          </w:tcPr>
          <w:p w14:paraId="3B57E6DC" w14:textId="204B24CF" w:rsidR="004401F0" w:rsidRPr="00D90DBD" w:rsidRDefault="003523B4" w:rsidP="00653748">
            <w:pPr>
              <w:pStyle w:val="TableParagraph"/>
              <w:adjustRightInd w:val="0"/>
              <w:snapToGrid w:val="0"/>
              <w:jc w:val="center"/>
              <w:rPr>
                <w:sz w:val="20"/>
                <w:szCs w:val="20"/>
                <w:lang w:val="fr-FR"/>
              </w:rPr>
            </w:pPr>
            <w:r>
              <w:rPr>
                <w:sz w:val="20"/>
                <w:szCs w:val="20"/>
                <w:lang w:val="fr-FR"/>
              </w:rPr>
              <w:t>Bevacizumab</w:t>
            </w:r>
            <w:r w:rsidRPr="00D90DBD">
              <w:rPr>
                <w:sz w:val="20"/>
                <w:szCs w:val="20"/>
                <w:lang w:val="fr-FR"/>
              </w:rPr>
              <w:t xml:space="preserve"> </w:t>
            </w:r>
            <w:r w:rsidR="00DF3C4F" w:rsidRPr="00D90DBD">
              <w:rPr>
                <w:sz w:val="20"/>
                <w:szCs w:val="20"/>
                <w:lang w:val="fr-FR"/>
              </w:rPr>
              <w:t>+ C/G (n = 242)</w:t>
            </w:r>
          </w:p>
        </w:tc>
        <w:tc>
          <w:tcPr>
            <w:tcW w:w="1573" w:type="dxa"/>
          </w:tcPr>
          <w:p w14:paraId="364063F5" w14:textId="7DCFE912"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Placebo+ C/G (</w:t>
            </w:r>
            <w:r w:rsidR="00AA17BD" w:rsidRPr="00D90DBD">
              <w:rPr>
                <w:sz w:val="20"/>
                <w:szCs w:val="20"/>
                <w:lang w:val="fr-FR"/>
              </w:rPr>
              <w:t>n</w:t>
            </w:r>
            <w:r w:rsidR="00AA17BD">
              <w:rPr>
                <w:sz w:val="20"/>
                <w:szCs w:val="20"/>
                <w:lang w:val="fr-FR"/>
              </w:rPr>
              <w:t> </w:t>
            </w:r>
            <w:r w:rsidRPr="00D90DBD">
              <w:rPr>
                <w:sz w:val="20"/>
                <w:szCs w:val="20"/>
                <w:lang w:val="fr-FR"/>
              </w:rPr>
              <w:t>= 242)</w:t>
            </w:r>
          </w:p>
        </w:tc>
        <w:tc>
          <w:tcPr>
            <w:tcW w:w="1811" w:type="dxa"/>
          </w:tcPr>
          <w:p w14:paraId="5F478645" w14:textId="2C2D4982" w:rsidR="004401F0" w:rsidRPr="00D90DBD" w:rsidRDefault="003523B4" w:rsidP="00653748">
            <w:pPr>
              <w:pStyle w:val="TableParagraph"/>
              <w:adjustRightInd w:val="0"/>
              <w:snapToGrid w:val="0"/>
              <w:jc w:val="center"/>
              <w:rPr>
                <w:sz w:val="20"/>
                <w:szCs w:val="20"/>
                <w:lang w:val="fr-FR"/>
              </w:rPr>
            </w:pPr>
            <w:r>
              <w:rPr>
                <w:sz w:val="20"/>
                <w:szCs w:val="20"/>
                <w:lang w:val="fr-FR"/>
              </w:rPr>
              <w:t>Bevacizumab</w:t>
            </w:r>
            <w:r w:rsidRPr="00D90DBD">
              <w:rPr>
                <w:sz w:val="20"/>
                <w:szCs w:val="20"/>
                <w:lang w:val="fr-FR"/>
              </w:rPr>
              <w:t xml:space="preserve"> </w:t>
            </w:r>
            <w:r w:rsidR="00DF3C4F" w:rsidRPr="00D90DBD">
              <w:rPr>
                <w:sz w:val="20"/>
                <w:szCs w:val="20"/>
                <w:lang w:val="fr-FR"/>
              </w:rPr>
              <w:t>+ C/G (n = 242)</w:t>
            </w:r>
          </w:p>
        </w:tc>
      </w:tr>
      <w:tr w:rsidR="004401F0" w:rsidRPr="00D90DBD" w14:paraId="1DBF70E3" w14:textId="77777777" w:rsidTr="00654D21">
        <w:trPr>
          <w:cantSplit/>
        </w:trPr>
        <w:tc>
          <w:tcPr>
            <w:tcW w:w="2336" w:type="dxa"/>
          </w:tcPr>
          <w:p w14:paraId="7AA9FDC3"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 de patientes avec une</w:t>
            </w:r>
          </w:p>
          <w:p w14:paraId="66790E8F"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réponse objective</w:t>
            </w:r>
          </w:p>
        </w:tc>
        <w:tc>
          <w:tcPr>
            <w:tcW w:w="1684" w:type="dxa"/>
          </w:tcPr>
          <w:p w14:paraId="4D30735E" w14:textId="77777777" w:rsidR="004401F0" w:rsidRPr="00D90DBD" w:rsidRDefault="00DF3C4F" w:rsidP="00654D21">
            <w:pPr>
              <w:pStyle w:val="TableParagraph"/>
              <w:adjustRightInd w:val="0"/>
              <w:snapToGrid w:val="0"/>
              <w:jc w:val="center"/>
              <w:rPr>
                <w:sz w:val="20"/>
                <w:szCs w:val="20"/>
                <w:lang w:val="fr-FR"/>
              </w:rPr>
            </w:pPr>
            <w:r w:rsidRPr="00D90DBD">
              <w:rPr>
                <w:sz w:val="20"/>
                <w:szCs w:val="20"/>
                <w:lang w:val="fr-FR"/>
              </w:rPr>
              <w:t>57,4%</w:t>
            </w:r>
          </w:p>
        </w:tc>
        <w:tc>
          <w:tcPr>
            <w:tcW w:w="1886" w:type="dxa"/>
          </w:tcPr>
          <w:p w14:paraId="56C6BACF" w14:textId="77777777"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78,5%</w:t>
            </w:r>
          </w:p>
        </w:tc>
        <w:tc>
          <w:tcPr>
            <w:tcW w:w="1573" w:type="dxa"/>
          </w:tcPr>
          <w:p w14:paraId="20F972FD" w14:textId="77777777"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53,7%</w:t>
            </w:r>
          </w:p>
        </w:tc>
        <w:tc>
          <w:tcPr>
            <w:tcW w:w="1811" w:type="dxa"/>
          </w:tcPr>
          <w:p w14:paraId="1CBD1AF2" w14:textId="77777777"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74,8%</w:t>
            </w:r>
          </w:p>
        </w:tc>
      </w:tr>
      <w:tr w:rsidR="004401F0" w:rsidRPr="00D90DBD" w14:paraId="4254B63D" w14:textId="77777777" w:rsidTr="00654D21">
        <w:trPr>
          <w:cantSplit/>
        </w:trPr>
        <w:tc>
          <w:tcPr>
            <w:tcW w:w="2336" w:type="dxa"/>
          </w:tcPr>
          <w:p w14:paraId="545A6611"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Valeur du p</w:t>
            </w:r>
          </w:p>
        </w:tc>
        <w:tc>
          <w:tcPr>
            <w:tcW w:w="3570" w:type="dxa"/>
            <w:gridSpan w:val="2"/>
          </w:tcPr>
          <w:p w14:paraId="2B0A7D75" w14:textId="77777777"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&lt;0,0001</w:t>
            </w:r>
          </w:p>
        </w:tc>
        <w:tc>
          <w:tcPr>
            <w:tcW w:w="3384" w:type="dxa"/>
            <w:gridSpan w:val="2"/>
          </w:tcPr>
          <w:p w14:paraId="4C7BBED4" w14:textId="77777777" w:rsidR="004401F0" w:rsidRPr="00D90DBD" w:rsidRDefault="00DF3C4F" w:rsidP="00653748">
            <w:pPr>
              <w:pStyle w:val="TableParagraph"/>
              <w:adjustRightInd w:val="0"/>
              <w:snapToGrid w:val="0"/>
              <w:jc w:val="center"/>
              <w:rPr>
                <w:sz w:val="20"/>
                <w:szCs w:val="20"/>
                <w:lang w:val="fr-FR"/>
              </w:rPr>
            </w:pPr>
            <w:r w:rsidRPr="00D90DBD">
              <w:rPr>
                <w:sz w:val="20"/>
                <w:szCs w:val="20"/>
                <w:lang w:val="fr-FR"/>
              </w:rPr>
              <w:t>&lt;0,0001</w:t>
            </w:r>
          </w:p>
        </w:tc>
      </w:tr>
      <w:tr w:rsidR="004401F0" w:rsidRPr="00D90DBD" w14:paraId="1E34A276" w14:textId="77777777" w:rsidTr="00654D21">
        <w:trPr>
          <w:cantSplit/>
        </w:trPr>
        <w:tc>
          <w:tcPr>
            <w:tcW w:w="9290" w:type="dxa"/>
            <w:gridSpan w:val="5"/>
          </w:tcPr>
          <w:p w14:paraId="46E0193A"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Survie globale</w:t>
            </w:r>
          </w:p>
        </w:tc>
      </w:tr>
      <w:tr w:rsidR="004401F0" w:rsidRPr="00D90DBD" w14:paraId="79B27B3F" w14:textId="77777777" w:rsidTr="00654D21">
        <w:trPr>
          <w:cantSplit/>
        </w:trPr>
        <w:tc>
          <w:tcPr>
            <w:tcW w:w="2336" w:type="dxa"/>
          </w:tcPr>
          <w:p w14:paraId="64493AEB" w14:textId="77777777" w:rsidR="004401F0" w:rsidRPr="00D90DBD" w:rsidRDefault="004401F0" w:rsidP="00D90DBD">
            <w:pPr>
              <w:pStyle w:val="TableParagraph"/>
              <w:adjustRightInd w:val="0"/>
              <w:snapToGrid w:val="0"/>
              <w:rPr>
                <w:sz w:val="20"/>
                <w:szCs w:val="20"/>
                <w:lang w:val="fr-FR"/>
              </w:rPr>
            </w:pPr>
          </w:p>
        </w:tc>
        <w:tc>
          <w:tcPr>
            <w:tcW w:w="3570" w:type="dxa"/>
            <w:gridSpan w:val="2"/>
          </w:tcPr>
          <w:p w14:paraId="68663018" w14:textId="77777777" w:rsidR="004401F0" w:rsidRPr="00D90DBD" w:rsidRDefault="00DF3C4F" w:rsidP="00C60AF6">
            <w:pPr>
              <w:pStyle w:val="TableParagraph"/>
              <w:adjustRightInd w:val="0"/>
              <w:snapToGrid w:val="0"/>
              <w:jc w:val="center"/>
              <w:rPr>
                <w:sz w:val="20"/>
                <w:szCs w:val="20"/>
                <w:lang w:val="fr-FR"/>
              </w:rPr>
            </w:pPr>
            <w:r w:rsidRPr="00D90DBD">
              <w:rPr>
                <w:sz w:val="20"/>
                <w:szCs w:val="20"/>
                <w:lang w:val="fr-FR"/>
              </w:rPr>
              <w:t>Placebo+ C/G</w:t>
            </w:r>
          </w:p>
          <w:p w14:paraId="33500A0C" w14:textId="77777777" w:rsidR="004401F0" w:rsidRPr="00D90DBD" w:rsidRDefault="00DF3C4F" w:rsidP="00C60AF6">
            <w:pPr>
              <w:pStyle w:val="TableParagraph"/>
              <w:adjustRightInd w:val="0"/>
              <w:snapToGrid w:val="0"/>
              <w:jc w:val="center"/>
              <w:rPr>
                <w:sz w:val="20"/>
                <w:szCs w:val="20"/>
                <w:lang w:val="fr-FR"/>
              </w:rPr>
            </w:pPr>
            <w:r w:rsidRPr="00D90DBD">
              <w:rPr>
                <w:sz w:val="20"/>
                <w:szCs w:val="20"/>
                <w:lang w:val="fr-FR"/>
              </w:rPr>
              <w:t>(n = 242)</w:t>
            </w:r>
          </w:p>
        </w:tc>
        <w:tc>
          <w:tcPr>
            <w:tcW w:w="3384" w:type="dxa"/>
            <w:gridSpan w:val="2"/>
          </w:tcPr>
          <w:p w14:paraId="209E3578" w14:textId="095FFF0A" w:rsidR="004401F0" w:rsidRPr="00D90DBD" w:rsidRDefault="00A71A17" w:rsidP="00C60AF6">
            <w:pPr>
              <w:pStyle w:val="TableParagraph"/>
              <w:adjustRightInd w:val="0"/>
              <w:snapToGrid w:val="0"/>
              <w:jc w:val="center"/>
              <w:rPr>
                <w:sz w:val="20"/>
                <w:szCs w:val="20"/>
                <w:lang w:val="fr-FR"/>
              </w:rPr>
            </w:pPr>
            <w:r>
              <w:rPr>
                <w:sz w:val="20"/>
                <w:szCs w:val="20"/>
                <w:lang w:val="fr-FR"/>
              </w:rPr>
              <w:t>Bevacizumab</w:t>
            </w:r>
            <w:r w:rsidRPr="00D90DBD">
              <w:rPr>
                <w:sz w:val="20"/>
                <w:szCs w:val="20"/>
                <w:lang w:val="fr-FR"/>
              </w:rPr>
              <w:t xml:space="preserve"> </w:t>
            </w:r>
            <w:r w:rsidR="00DF3C4F" w:rsidRPr="00D90DBD">
              <w:rPr>
                <w:sz w:val="20"/>
                <w:szCs w:val="20"/>
                <w:lang w:val="fr-FR"/>
              </w:rPr>
              <w:t>+ C/G</w:t>
            </w:r>
          </w:p>
          <w:p w14:paraId="7075FE87" w14:textId="77777777" w:rsidR="004401F0" w:rsidRPr="00D90DBD" w:rsidRDefault="00DF3C4F" w:rsidP="00C60AF6">
            <w:pPr>
              <w:pStyle w:val="TableParagraph"/>
              <w:adjustRightInd w:val="0"/>
              <w:snapToGrid w:val="0"/>
              <w:jc w:val="center"/>
              <w:rPr>
                <w:sz w:val="20"/>
                <w:szCs w:val="20"/>
                <w:lang w:val="fr-FR"/>
              </w:rPr>
            </w:pPr>
            <w:r w:rsidRPr="00D90DBD">
              <w:rPr>
                <w:sz w:val="20"/>
                <w:szCs w:val="20"/>
                <w:lang w:val="fr-FR"/>
              </w:rPr>
              <w:t>(n = 242)</w:t>
            </w:r>
          </w:p>
        </w:tc>
      </w:tr>
      <w:tr w:rsidR="004401F0" w:rsidRPr="00D90DBD" w14:paraId="5BBF98B4" w14:textId="77777777" w:rsidTr="00654D21">
        <w:trPr>
          <w:cantSplit/>
        </w:trPr>
        <w:tc>
          <w:tcPr>
            <w:tcW w:w="2336" w:type="dxa"/>
          </w:tcPr>
          <w:p w14:paraId="4F2F29FB"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Médiane de la survie globale (mois)</w:t>
            </w:r>
          </w:p>
        </w:tc>
        <w:tc>
          <w:tcPr>
            <w:tcW w:w="3570" w:type="dxa"/>
            <w:gridSpan w:val="2"/>
          </w:tcPr>
          <w:p w14:paraId="5F6A5308" w14:textId="77777777" w:rsidR="004401F0" w:rsidRPr="00D90DBD" w:rsidRDefault="00DF3C4F" w:rsidP="00C60AF6">
            <w:pPr>
              <w:pStyle w:val="TableParagraph"/>
              <w:adjustRightInd w:val="0"/>
              <w:snapToGrid w:val="0"/>
              <w:jc w:val="center"/>
              <w:rPr>
                <w:sz w:val="20"/>
                <w:szCs w:val="20"/>
                <w:lang w:val="fr-FR"/>
              </w:rPr>
            </w:pPr>
            <w:r w:rsidRPr="00D90DBD">
              <w:rPr>
                <w:sz w:val="20"/>
                <w:szCs w:val="20"/>
                <w:lang w:val="fr-FR"/>
              </w:rPr>
              <w:t>32,9</w:t>
            </w:r>
          </w:p>
        </w:tc>
        <w:tc>
          <w:tcPr>
            <w:tcW w:w="3384" w:type="dxa"/>
            <w:gridSpan w:val="2"/>
          </w:tcPr>
          <w:p w14:paraId="0D003360" w14:textId="77777777" w:rsidR="004401F0" w:rsidRPr="00D90DBD" w:rsidRDefault="00DF3C4F" w:rsidP="00C60AF6">
            <w:pPr>
              <w:pStyle w:val="TableParagraph"/>
              <w:adjustRightInd w:val="0"/>
              <w:snapToGrid w:val="0"/>
              <w:jc w:val="center"/>
              <w:rPr>
                <w:sz w:val="20"/>
                <w:szCs w:val="20"/>
                <w:lang w:val="fr-FR"/>
              </w:rPr>
            </w:pPr>
            <w:r w:rsidRPr="00D90DBD">
              <w:rPr>
                <w:sz w:val="20"/>
                <w:szCs w:val="20"/>
                <w:lang w:val="fr-FR"/>
              </w:rPr>
              <w:t>33,6</w:t>
            </w:r>
          </w:p>
        </w:tc>
      </w:tr>
      <w:tr w:rsidR="004401F0" w:rsidRPr="00D90DBD" w14:paraId="4D5ED24C" w14:textId="77777777" w:rsidTr="00654D21">
        <w:trPr>
          <w:cantSplit/>
        </w:trPr>
        <w:tc>
          <w:tcPr>
            <w:tcW w:w="2336" w:type="dxa"/>
          </w:tcPr>
          <w:p w14:paraId="498AE551" w14:textId="6069BE57" w:rsidR="004401F0" w:rsidRPr="00D90DBD" w:rsidRDefault="00DF3C4F" w:rsidP="00D93D0C">
            <w:pPr>
              <w:pStyle w:val="TableParagraph"/>
              <w:adjustRightInd w:val="0"/>
              <w:snapToGrid w:val="0"/>
              <w:rPr>
                <w:sz w:val="20"/>
                <w:szCs w:val="20"/>
                <w:lang w:val="fr-FR"/>
              </w:rPr>
            </w:pPr>
            <w:r w:rsidRPr="00D90DBD">
              <w:rPr>
                <w:sz w:val="20"/>
                <w:szCs w:val="20"/>
                <w:lang w:val="fr-FR"/>
              </w:rPr>
              <w:t>Risque relatif (IC</w:t>
            </w:r>
            <w:r w:rsidR="00D93D0C">
              <w:rPr>
                <w:sz w:val="20"/>
                <w:szCs w:val="20"/>
                <w:lang w:val="fr-FR"/>
              </w:rPr>
              <w:t xml:space="preserve"> </w:t>
            </w:r>
            <w:r w:rsidRPr="00D90DBD">
              <w:rPr>
                <w:sz w:val="20"/>
                <w:szCs w:val="20"/>
                <w:lang w:val="fr-FR"/>
              </w:rPr>
              <w:t>95 %)</w:t>
            </w:r>
          </w:p>
        </w:tc>
        <w:tc>
          <w:tcPr>
            <w:tcW w:w="6954" w:type="dxa"/>
            <w:gridSpan w:val="4"/>
          </w:tcPr>
          <w:p w14:paraId="708C31C9" w14:textId="53B7FFB3" w:rsidR="004401F0" w:rsidRPr="00D90DBD" w:rsidRDefault="00DF3C4F" w:rsidP="00C60AF6">
            <w:pPr>
              <w:pStyle w:val="TableParagraph"/>
              <w:adjustRightInd w:val="0"/>
              <w:snapToGrid w:val="0"/>
              <w:jc w:val="center"/>
              <w:rPr>
                <w:sz w:val="20"/>
                <w:szCs w:val="20"/>
                <w:lang w:val="fr-FR"/>
              </w:rPr>
            </w:pPr>
            <w:r w:rsidRPr="00D90DBD">
              <w:rPr>
                <w:sz w:val="20"/>
                <w:szCs w:val="20"/>
                <w:lang w:val="fr-FR"/>
              </w:rPr>
              <w:t>0,952 [0,771</w:t>
            </w:r>
            <w:r w:rsidR="00881CB8">
              <w:rPr>
                <w:sz w:val="20"/>
                <w:szCs w:val="20"/>
                <w:lang w:val="fr-FR"/>
              </w:rPr>
              <w:t xml:space="preserve"> ; </w:t>
            </w:r>
            <w:r w:rsidRPr="00D90DBD">
              <w:rPr>
                <w:sz w:val="20"/>
                <w:szCs w:val="20"/>
                <w:lang w:val="fr-FR"/>
              </w:rPr>
              <w:t>1,176]</w:t>
            </w:r>
          </w:p>
        </w:tc>
      </w:tr>
      <w:tr w:rsidR="004401F0" w:rsidRPr="00D90DBD" w14:paraId="59B16472" w14:textId="77777777" w:rsidTr="00654D21">
        <w:trPr>
          <w:cantSplit/>
        </w:trPr>
        <w:tc>
          <w:tcPr>
            <w:tcW w:w="2336" w:type="dxa"/>
          </w:tcPr>
          <w:p w14:paraId="49B68533"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Valeur du p</w:t>
            </w:r>
          </w:p>
        </w:tc>
        <w:tc>
          <w:tcPr>
            <w:tcW w:w="6954" w:type="dxa"/>
            <w:gridSpan w:val="4"/>
          </w:tcPr>
          <w:p w14:paraId="7A20DC53" w14:textId="77777777" w:rsidR="004401F0" w:rsidRPr="00D90DBD" w:rsidRDefault="00DF3C4F" w:rsidP="00C60AF6">
            <w:pPr>
              <w:pStyle w:val="TableParagraph"/>
              <w:adjustRightInd w:val="0"/>
              <w:snapToGrid w:val="0"/>
              <w:jc w:val="center"/>
              <w:rPr>
                <w:sz w:val="20"/>
                <w:szCs w:val="20"/>
                <w:lang w:val="fr-FR"/>
              </w:rPr>
            </w:pPr>
            <w:r w:rsidRPr="00D90DBD">
              <w:rPr>
                <w:sz w:val="20"/>
                <w:szCs w:val="20"/>
                <w:lang w:val="fr-FR"/>
              </w:rPr>
              <w:t>0,6479</w:t>
            </w:r>
          </w:p>
        </w:tc>
      </w:tr>
    </w:tbl>
    <w:p w14:paraId="056752D8" w14:textId="77777777" w:rsidR="004401F0" w:rsidRPr="00DA7718" w:rsidRDefault="004401F0" w:rsidP="00BD4C7C">
      <w:pPr>
        <w:pStyle w:val="a3"/>
        <w:adjustRightInd w:val="0"/>
        <w:snapToGrid w:val="0"/>
        <w:rPr>
          <w:b/>
          <w:lang w:val="fr-FR"/>
        </w:rPr>
      </w:pPr>
    </w:p>
    <w:p w14:paraId="67E1CB62" w14:textId="77777777" w:rsidR="004401F0" w:rsidRPr="00DA7718" w:rsidRDefault="00DF3C4F" w:rsidP="00BD4C7C">
      <w:pPr>
        <w:pStyle w:val="a3"/>
        <w:adjustRightInd w:val="0"/>
        <w:snapToGrid w:val="0"/>
        <w:rPr>
          <w:lang w:val="fr-FR"/>
        </w:rPr>
      </w:pPr>
      <w:r w:rsidRPr="00DA7718">
        <w:rPr>
          <w:lang w:val="fr-FR"/>
        </w:rPr>
        <w:t>Les analyses de la survie sans progression en sous-groupe dépendant du moment de la rechute après le dernier traitement à base de sels de platine, sont résumées dans le tableau 21.</w:t>
      </w:r>
    </w:p>
    <w:p w14:paraId="5C44612A" w14:textId="77777777" w:rsidR="004401F0" w:rsidRPr="00DA7718" w:rsidRDefault="004401F0" w:rsidP="00BD4C7C">
      <w:pPr>
        <w:pStyle w:val="a3"/>
        <w:adjustRightInd w:val="0"/>
        <w:snapToGrid w:val="0"/>
        <w:rPr>
          <w:lang w:val="fr-FR"/>
        </w:rPr>
      </w:pPr>
    </w:p>
    <w:p w14:paraId="46507E0C" w14:textId="77777777" w:rsidR="004401F0" w:rsidRPr="00AC582F" w:rsidRDefault="00DF3C4F" w:rsidP="00AC582F">
      <w:pPr>
        <w:ind w:left="1276" w:hanging="1276"/>
        <w:rPr>
          <w:b/>
          <w:bCs/>
          <w:lang w:val="fr-FR"/>
        </w:rPr>
      </w:pPr>
      <w:r w:rsidRPr="00AC582F">
        <w:rPr>
          <w:b/>
          <w:bCs/>
          <w:lang w:val="fr-FR"/>
        </w:rPr>
        <w:t>Tableau 21</w:t>
      </w:r>
      <w:r w:rsidRPr="00AC582F">
        <w:rPr>
          <w:b/>
          <w:bCs/>
          <w:lang w:val="fr-FR"/>
        </w:rPr>
        <w:tab/>
        <w:t>Survie sans progression entre le dernier traitement à base de sels de platine et la rechute</w:t>
      </w:r>
    </w:p>
    <w:p w14:paraId="19005A85" w14:textId="77777777" w:rsidR="004401F0" w:rsidRPr="00DA7718" w:rsidRDefault="004401F0" w:rsidP="00BD4C7C">
      <w:pPr>
        <w:pStyle w:val="a3"/>
        <w:adjustRightInd w:val="0"/>
        <w:snapToGrid w:val="0"/>
        <w:rPr>
          <w:b/>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2898"/>
        <w:gridCol w:w="2900"/>
      </w:tblGrid>
      <w:tr w:rsidR="004401F0" w:rsidRPr="00D90DBD" w14:paraId="2F6640BF" w14:textId="77777777" w:rsidTr="00654D21">
        <w:trPr>
          <w:cantSplit/>
        </w:trPr>
        <w:tc>
          <w:tcPr>
            <w:tcW w:w="3348" w:type="dxa"/>
          </w:tcPr>
          <w:p w14:paraId="3D9D50B8" w14:textId="77777777" w:rsidR="004401F0" w:rsidRPr="00D90DBD" w:rsidRDefault="004401F0" w:rsidP="00D90DBD">
            <w:pPr>
              <w:pStyle w:val="TableParagraph"/>
              <w:adjustRightInd w:val="0"/>
              <w:snapToGrid w:val="0"/>
              <w:rPr>
                <w:sz w:val="20"/>
                <w:szCs w:val="20"/>
                <w:lang w:val="fr-FR"/>
              </w:rPr>
            </w:pPr>
          </w:p>
        </w:tc>
        <w:tc>
          <w:tcPr>
            <w:tcW w:w="5942" w:type="dxa"/>
            <w:gridSpan w:val="2"/>
          </w:tcPr>
          <w:p w14:paraId="572E89B8" w14:textId="77777777"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Evaluation des investigateurs</w:t>
            </w:r>
          </w:p>
        </w:tc>
      </w:tr>
      <w:tr w:rsidR="004401F0" w:rsidRPr="00D90DBD" w14:paraId="596A3C52" w14:textId="77777777" w:rsidTr="00654D21">
        <w:trPr>
          <w:cantSplit/>
        </w:trPr>
        <w:tc>
          <w:tcPr>
            <w:tcW w:w="3348" w:type="dxa"/>
          </w:tcPr>
          <w:p w14:paraId="1199E64D" w14:textId="54D945AD" w:rsidR="004401F0" w:rsidRPr="00D90DBD" w:rsidRDefault="00DF3C4F" w:rsidP="007B4C5E">
            <w:pPr>
              <w:pStyle w:val="TableParagraph"/>
              <w:adjustRightInd w:val="0"/>
              <w:snapToGrid w:val="0"/>
              <w:rPr>
                <w:sz w:val="20"/>
                <w:szCs w:val="20"/>
                <w:lang w:val="fr-FR"/>
              </w:rPr>
            </w:pPr>
            <w:r w:rsidRPr="00D90DBD">
              <w:rPr>
                <w:sz w:val="20"/>
                <w:szCs w:val="20"/>
                <w:lang w:val="fr-FR"/>
              </w:rPr>
              <w:t>Temps depuis le dernier traitement à base de sels de</w:t>
            </w:r>
            <w:r w:rsidR="007B4C5E">
              <w:rPr>
                <w:sz w:val="20"/>
                <w:szCs w:val="20"/>
                <w:lang w:val="fr-FR"/>
              </w:rPr>
              <w:t xml:space="preserve"> </w:t>
            </w:r>
            <w:r w:rsidRPr="00D90DBD">
              <w:rPr>
                <w:sz w:val="20"/>
                <w:szCs w:val="20"/>
                <w:lang w:val="fr-FR"/>
              </w:rPr>
              <w:t>platine et la rechute</w:t>
            </w:r>
          </w:p>
        </w:tc>
        <w:tc>
          <w:tcPr>
            <w:tcW w:w="2970" w:type="dxa"/>
          </w:tcPr>
          <w:p w14:paraId="5824E4C6" w14:textId="6FBFEF79"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 xml:space="preserve">Placebo+ C/G </w:t>
            </w:r>
            <w:r w:rsidR="00DC5CCF">
              <w:rPr>
                <w:sz w:val="20"/>
                <w:szCs w:val="20"/>
                <w:lang w:val="fr-FR"/>
              </w:rPr>
              <w:br/>
            </w:r>
            <w:r w:rsidRPr="00D90DBD">
              <w:rPr>
                <w:sz w:val="20"/>
                <w:szCs w:val="20"/>
                <w:lang w:val="fr-FR"/>
              </w:rPr>
              <w:t>(n = 242)</w:t>
            </w:r>
          </w:p>
        </w:tc>
        <w:tc>
          <w:tcPr>
            <w:tcW w:w="2972" w:type="dxa"/>
          </w:tcPr>
          <w:p w14:paraId="1A696C3E" w14:textId="2E52DAE9" w:rsidR="004401F0" w:rsidRPr="00D90DBD" w:rsidRDefault="003523B4" w:rsidP="00196CEA">
            <w:pPr>
              <w:pStyle w:val="TableParagraph"/>
              <w:adjustRightInd w:val="0"/>
              <w:snapToGrid w:val="0"/>
              <w:jc w:val="center"/>
              <w:rPr>
                <w:sz w:val="20"/>
                <w:szCs w:val="20"/>
                <w:lang w:val="fr-FR"/>
              </w:rPr>
            </w:pPr>
            <w:r>
              <w:rPr>
                <w:sz w:val="20"/>
                <w:szCs w:val="20"/>
                <w:lang w:val="fr-FR"/>
              </w:rPr>
              <w:t>Bevacizumab</w:t>
            </w:r>
            <w:r w:rsidRPr="00D90DBD">
              <w:rPr>
                <w:sz w:val="20"/>
                <w:szCs w:val="20"/>
                <w:lang w:val="fr-FR"/>
              </w:rPr>
              <w:t xml:space="preserve"> </w:t>
            </w:r>
            <w:r w:rsidR="00DF3C4F" w:rsidRPr="00D90DBD">
              <w:rPr>
                <w:sz w:val="20"/>
                <w:szCs w:val="20"/>
                <w:lang w:val="fr-FR"/>
              </w:rPr>
              <w:t xml:space="preserve">+ C/G </w:t>
            </w:r>
            <w:r w:rsidR="00DC5CCF">
              <w:rPr>
                <w:sz w:val="20"/>
                <w:szCs w:val="20"/>
                <w:lang w:val="fr-FR"/>
              </w:rPr>
              <w:br/>
            </w:r>
            <w:r w:rsidR="00DF3C4F" w:rsidRPr="00D90DBD">
              <w:rPr>
                <w:sz w:val="20"/>
                <w:szCs w:val="20"/>
                <w:lang w:val="fr-FR"/>
              </w:rPr>
              <w:t>(n = 242)</w:t>
            </w:r>
          </w:p>
        </w:tc>
      </w:tr>
      <w:tr w:rsidR="004401F0" w:rsidRPr="00D90DBD" w14:paraId="6ADDBD22" w14:textId="77777777" w:rsidTr="00654D21">
        <w:trPr>
          <w:cantSplit/>
        </w:trPr>
        <w:tc>
          <w:tcPr>
            <w:tcW w:w="3348" w:type="dxa"/>
          </w:tcPr>
          <w:p w14:paraId="5B98FFA9" w14:textId="77777777" w:rsidR="004401F0" w:rsidRPr="00D90DBD" w:rsidRDefault="00DF3C4F" w:rsidP="00D90DBD">
            <w:pPr>
              <w:pStyle w:val="TableParagraph"/>
              <w:adjustRightInd w:val="0"/>
              <w:snapToGrid w:val="0"/>
              <w:rPr>
                <w:b/>
                <w:sz w:val="20"/>
                <w:szCs w:val="20"/>
                <w:lang w:val="fr-FR"/>
              </w:rPr>
            </w:pPr>
            <w:r w:rsidRPr="00D90DBD">
              <w:rPr>
                <w:b/>
                <w:sz w:val="20"/>
                <w:szCs w:val="20"/>
                <w:lang w:val="fr-FR"/>
              </w:rPr>
              <w:t>6- 12 mois (n=202)</w:t>
            </w:r>
          </w:p>
        </w:tc>
        <w:tc>
          <w:tcPr>
            <w:tcW w:w="2970" w:type="dxa"/>
          </w:tcPr>
          <w:p w14:paraId="1794E97D" w14:textId="77777777" w:rsidR="004401F0" w:rsidRPr="00D90DBD" w:rsidRDefault="004401F0" w:rsidP="00196CEA">
            <w:pPr>
              <w:pStyle w:val="TableParagraph"/>
              <w:adjustRightInd w:val="0"/>
              <w:snapToGrid w:val="0"/>
              <w:jc w:val="center"/>
              <w:rPr>
                <w:sz w:val="20"/>
                <w:szCs w:val="20"/>
                <w:lang w:val="fr-FR"/>
              </w:rPr>
            </w:pPr>
          </w:p>
        </w:tc>
        <w:tc>
          <w:tcPr>
            <w:tcW w:w="2972" w:type="dxa"/>
          </w:tcPr>
          <w:p w14:paraId="46CE13E3" w14:textId="77777777" w:rsidR="004401F0" w:rsidRPr="00D90DBD" w:rsidRDefault="004401F0" w:rsidP="00196CEA">
            <w:pPr>
              <w:pStyle w:val="TableParagraph"/>
              <w:adjustRightInd w:val="0"/>
              <w:snapToGrid w:val="0"/>
              <w:jc w:val="center"/>
              <w:rPr>
                <w:sz w:val="20"/>
                <w:szCs w:val="20"/>
                <w:lang w:val="fr-FR"/>
              </w:rPr>
            </w:pPr>
          </w:p>
        </w:tc>
      </w:tr>
      <w:tr w:rsidR="004401F0" w:rsidRPr="00D90DBD" w14:paraId="564F7C0C" w14:textId="77777777" w:rsidTr="00654D21">
        <w:trPr>
          <w:cantSplit/>
        </w:trPr>
        <w:tc>
          <w:tcPr>
            <w:tcW w:w="3348" w:type="dxa"/>
          </w:tcPr>
          <w:p w14:paraId="57ADC11A" w14:textId="77777777" w:rsidR="004401F0" w:rsidRPr="00D90DBD" w:rsidRDefault="00DF3C4F" w:rsidP="00D90DBD">
            <w:pPr>
              <w:pStyle w:val="TableParagraph"/>
              <w:adjustRightInd w:val="0"/>
              <w:snapToGrid w:val="0"/>
              <w:rPr>
                <w:b/>
                <w:sz w:val="20"/>
                <w:szCs w:val="20"/>
                <w:lang w:val="fr-FR"/>
              </w:rPr>
            </w:pPr>
            <w:r w:rsidRPr="00D90DBD">
              <w:rPr>
                <w:b/>
                <w:sz w:val="20"/>
                <w:szCs w:val="20"/>
                <w:lang w:val="fr-FR"/>
              </w:rPr>
              <w:t>Médiane</w:t>
            </w:r>
          </w:p>
        </w:tc>
        <w:tc>
          <w:tcPr>
            <w:tcW w:w="2970" w:type="dxa"/>
          </w:tcPr>
          <w:p w14:paraId="3FD5F71C" w14:textId="77777777"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8,0</w:t>
            </w:r>
          </w:p>
        </w:tc>
        <w:tc>
          <w:tcPr>
            <w:tcW w:w="2972" w:type="dxa"/>
          </w:tcPr>
          <w:p w14:paraId="0E75BFE5" w14:textId="77777777"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11,9</w:t>
            </w:r>
          </w:p>
        </w:tc>
      </w:tr>
      <w:tr w:rsidR="004401F0" w:rsidRPr="00D90DBD" w14:paraId="05BE1119" w14:textId="77777777" w:rsidTr="00654D21">
        <w:trPr>
          <w:cantSplit/>
        </w:trPr>
        <w:tc>
          <w:tcPr>
            <w:tcW w:w="3348" w:type="dxa"/>
          </w:tcPr>
          <w:p w14:paraId="4256B99E"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Risque relatif (IC 95 %)</w:t>
            </w:r>
          </w:p>
        </w:tc>
        <w:tc>
          <w:tcPr>
            <w:tcW w:w="5942" w:type="dxa"/>
            <w:gridSpan w:val="2"/>
          </w:tcPr>
          <w:p w14:paraId="141BB366" w14:textId="77777777"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0,41 (0,29 - 0,58)</w:t>
            </w:r>
          </w:p>
        </w:tc>
      </w:tr>
      <w:tr w:rsidR="004401F0" w:rsidRPr="00D90DBD" w14:paraId="68992E84" w14:textId="77777777" w:rsidTr="00654D21">
        <w:trPr>
          <w:cantSplit/>
        </w:trPr>
        <w:tc>
          <w:tcPr>
            <w:tcW w:w="3348" w:type="dxa"/>
          </w:tcPr>
          <w:p w14:paraId="67A292AB" w14:textId="77777777" w:rsidR="004401F0" w:rsidRPr="00D90DBD" w:rsidRDefault="00DF3C4F" w:rsidP="00D90DBD">
            <w:pPr>
              <w:pStyle w:val="TableParagraph"/>
              <w:adjustRightInd w:val="0"/>
              <w:snapToGrid w:val="0"/>
              <w:rPr>
                <w:b/>
                <w:sz w:val="20"/>
                <w:szCs w:val="20"/>
                <w:lang w:val="fr-FR"/>
              </w:rPr>
            </w:pPr>
            <w:r w:rsidRPr="00D90DBD">
              <w:rPr>
                <w:b/>
                <w:sz w:val="20"/>
                <w:szCs w:val="20"/>
                <w:lang w:val="fr-FR"/>
              </w:rPr>
              <w:t>&gt; 12 mois (n=282)</w:t>
            </w:r>
          </w:p>
        </w:tc>
        <w:tc>
          <w:tcPr>
            <w:tcW w:w="2970" w:type="dxa"/>
          </w:tcPr>
          <w:p w14:paraId="62E198DD" w14:textId="77777777" w:rsidR="004401F0" w:rsidRPr="00D90DBD" w:rsidRDefault="004401F0" w:rsidP="00196CEA">
            <w:pPr>
              <w:pStyle w:val="TableParagraph"/>
              <w:adjustRightInd w:val="0"/>
              <w:snapToGrid w:val="0"/>
              <w:jc w:val="center"/>
              <w:rPr>
                <w:sz w:val="20"/>
                <w:szCs w:val="20"/>
                <w:lang w:val="fr-FR"/>
              </w:rPr>
            </w:pPr>
          </w:p>
        </w:tc>
        <w:tc>
          <w:tcPr>
            <w:tcW w:w="2972" w:type="dxa"/>
          </w:tcPr>
          <w:p w14:paraId="03B241F6" w14:textId="77777777" w:rsidR="004401F0" w:rsidRPr="00D90DBD" w:rsidRDefault="004401F0" w:rsidP="00196CEA">
            <w:pPr>
              <w:pStyle w:val="TableParagraph"/>
              <w:adjustRightInd w:val="0"/>
              <w:snapToGrid w:val="0"/>
              <w:jc w:val="center"/>
              <w:rPr>
                <w:sz w:val="20"/>
                <w:szCs w:val="20"/>
                <w:lang w:val="fr-FR"/>
              </w:rPr>
            </w:pPr>
          </w:p>
        </w:tc>
      </w:tr>
      <w:tr w:rsidR="004401F0" w:rsidRPr="00D90DBD" w14:paraId="497C365D" w14:textId="77777777" w:rsidTr="00654D21">
        <w:trPr>
          <w:cantSplit/>
        </w:trPr>
        <w:tc>
          <w:tcPr>
            <w:tcW w:w="3348" w:type="dxa"/>
          </w:tcPr>
          <w:p w14:paraId="579A67FA" w14:textId="77777777" w:rsidR="004401F0" w:rsidRPr="00D90DBD" w:rsidRDefault="00DF3C4F" w:rsidP="00D90DBD">
            <w:pPr>
              <w:pStyle w:val="TableParagraph"/>
              <w:adjustRightInd w:val="0"/>
              <w:snapToGrid w:val="0"/>
              <w:rPr>
                <w:b/>
                <w:sz w:val="20"/>
                <w:szCs w:val="20"/>
                <w:lang w:val="fr-FR"/>
              </w:rPr>
            </w:pPr>
            <w:r w:rsidRPr="00D90DBD">
              <w:rPr>
                <w:b/>
                <w:sz w:val="20"/>
                <w:szCs w:val="20"/>
                <w:lang w:val="fr-FR"/>
              </w:rPr>
              <w:t>Médiane</w:t>
            </w:r>
          </w:p>
        </w:tc>
        <w:tc>
          <w:tcPr>
            <w:tcW w:w="2970" w:type="dxa"/>
          </w:tcPr>
          <w:p w14:paraId="5993BC7B" w14:textId="77777777"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9,7</w:t>
            </w:r>
          </w:p>
        </w:tc>
        <w:tc>
          <w:tcPr>
            <w:tcW w:w="2972" w:type="dxa"/>
          </w:tcPr>
          <w:p w14:paraId="13B2B2A6" w14:textId="77777777"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12,4</w:t>
            </w:r>
          </w:p>
        </w:tc>
      </w:tr>
      <w:tr w:rsidR="004401F0" w:rsidRPr="00D90DBD" w14:paraId="5B33AC6E" w14:textId="77777777" w:rsidTr="00654D21">
        <w:trPr>
          <w:cantSplit/>
        </w:trPr>
        <w:tc>
          <w:tcPr>
            <w:tcW w:w="3348" w:type="dxa"/>
          </w:tcPr>
          <w:p w14:paraId="3D3E6022"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Risque relatif (IC 95 %)</w:t>
            </w:r>
          </w:p>
        </w:tc>
        <w:tc>
          <w:tcPr>
            <w:tcW w:w="5942" w:type="dxa"/>
            <w:gridSpan w:val="2"/>
          </w:tcPr>
          <w:p w14:paraId="1CFAC3BB" w14:textId="3BA4E70D"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 xml:space="preserve">0,55 (0,41 </w:t>
            </w:r>
            <w:r w:rsidR="007B4C5E">
              <w:rPr>
                <w:sz w:val="20"/>
                <w:szCs w:val="20"/>
                <w:lang w:val="fr-FR"/>
              </w:rPr>
              <w:t>-</w:t>
            </w:r>
            <w:r w:rsidR="007B4C5E" w:rsidRPr="00D90DBD">
              <w:rPr>
                <w:sz w:val="20"/>
                <w:szCs w:val="20"/>
                <w:lang w:val="fr-FR"/>
              </w:rPr>
              <w:t xml:space="preserve"> </w:t>
            </w:r>
            <w:r w:rsidRPr="00D90DBD">
              <w:rPr>
                <w:sz w:val="20"/>
                <w:szCs w:val="20"/>
                <w:lang w:val="fr-FR"/>
              </w:rPr>
              <w:t>0,73)</w:t>
            </w:r>
          </w:p>
        </w:tc>
      </w:tr>
    </w:tbl>
    <w:p w14:paraId="686AED72" w14:textId="77777777" w:rsidR="00BD4C7C" w:rsidRPr="00DA7718" w:rsidRDefault="00BD4C7C" w:rsidP="00BD4C7C">
      <w:pPr>
        <w:adjustRightInd w:val="0"/>
        <w:snapToGrid w:val="0"/>
        <w:jc w:val="center"/>
        <w:rPr>
          <w:lang w:val="fr-FR"/>
        </w:rPr>
      </w:pPr>
    </w:p>
    <w:p w14:paraId="6924276C" w14:textId="77777777" w:rsidR="004401F0" w:rsidRPr="00DA7718" w:rsidRDefault="00DF3C4F" w:rsidP="00654D21">
      <w:pPr>
        <w:keepNext/>
        <w:keepLines/>
        <w:adjustRightInd w:val="0"/>
        <w:snapToGrid w:val="0"/>
        <w:rPr>
          <w:i/>
          <w:lang w:val="fr-FR"/>
        </w:rPr>
      </w:pPr>
      <w:r w:rsidRPr="00DA7718">
        <w:rPr>
          <w:i/>
          <w:lang w:val="fr-FR"/>
        </w:rPr>
        <w:lastRenderedPageBreak/>
        <w:t>GOG-0213</w:t>
      </w:r>
    </w:p>
    <w:p w14:paraId="2B09417D" w14:textId="31C26241" w:rsidR="004401F0" w:rsidRDefault="00DF3C4F" w:rsidP="00801DE9">
      <w:pPr>
        <w:pStyle w:val="a3"/>
        <w:keepNext/>
        <w:keepLines/>
        <w:adjustRightInd w:val="0"/>
        <w:snapToGrid w:val="0"/>
        <w:rPr>
          <w:lang w:val="fr-FR"/>
        </w:rPr>
      </w:pPr>
      <w:r w:rsidRPr="00DA7718">
        <w:rPr>
          <w:lang w:val="fr-FR"/>
        </w:rPr>
        <w:t xml:space="preserve">GOG-0213, essai de phase III randomisé, contrôlé et ouvert, a évalué la tolérance et l’efficacité </w:t>
      </w:r>
      <w:r w:rsidR="003523B4">
        <w:rPr>
          <w:lang w:val="fr-FR"/>
        </w:rPr>
        <w:t>du bevacizumab</w:t>
      </w:r>
      <w:r w:rsidR="003523B4" w:rsidRPr="00DA7718">
        <w:rPr>
          <w:lang w:val="fr-FR"/>
        </w:rPr>
        <w:t xml:space="preserve"> </w:t>
      </w:r>
      <w:r w:rsidRPr="00DA7718">
        <w:rPr>
          <w:lang w:val="fr-FR"/>
        </w:rPr>
        <w:t xml:space="preserve">chez des patientes atteintes d’un cancer épithélial de l’ovaire, des trompes de Fallope ou péritonéal primitif, récidivant sensible aux sels de platine, qui n’avaient pas reçu précédemment de chimiothérapie dans le cadre de leur récidive. Il n’y avait pas de critère d’exclusion pour un traitement antérieur par anti-angiogénique. L’étude a évalué l’effet de l’ajout </w:t>
      </w:r>
      <w:r w:rsidR="003523B4">
        <w:rPr>
          <w:lang w:val="fr-FR"/>
        </w:rPr>
        <w:t>du bevacizumab</w:t>
      </w:r>
      <w:r w:rsidR="003523B4" w:rsidRPr="00DA7718">
        <w:rPr>
          <w:lang w:val="fr-FR"/>
        </w:rPr>
        <w:t xml:space="preserve"> </w:t>
      </w:r>
      <w:r w:rsidRPr="00DA7718">
        <w:rPr>
          <w:lang w:val="fr-FR"/>
        </w:rPr>
        <w:t xml:space="preserve">au carboplatine et au paclitaxel suivis </w:t>
      </w:r>
      <w:r w:rsidR="003523B4">
        <w:rPr>
          <w:lang w:val="fr-FR"/>
        </w:rPr>
        <w:t>du bevacizumab</w:t>
      </w:r>
      <w:r w:rsidR="003523B4" w:rsidRPr="00DA7718">
        <w:rPr>
          <w:lang w:val="fr-FR"/>
        </w:rPr>
        <w:t xml:space="preserve"> </w:t>
      </w:r>
      <w:r w:rsidRPr="00DA7718">
        <w:rPr>
          <w:lang w:val="fr-FR"/>
        </w:rPr>
        <w:t>en monothérapie jusqu’à progression de la maladie ou toxicité inacceptable comparé à un traitement par carboplatine et paclitaxel seul.</w:t>
      </w:r>
    </w:p>
    <w:p w14:paraId="03734A12" w14:textId="77777777" w:rsidR="00900847" w:rsidRPr="00DA7718" w:rsidRDefault="00900847" w:rsidP="00654D21">
      <w:pPr>
        <w:pStyle w:val="a3"/>
        <w:keepNext/>
        <w:keepLines/>
        <w:adjustRightInd w:val="0"/>
        <w:snapToGrid w:val="0"/>
        <w:rPr>
          <w:lang w:val="fr-FR"/>
        </w:rPr>
      </w:pPr>
    </w:p>
    <w:p w14:paraId="3FE98139" w14:textId="77777777" w:rsidR="004401F0" w:rsidRPr="00DA7718" w:rsidRDefault="00DF3C4F" w:rsidP="00BD4C7C">
      <w:pPr>
        <w:pStyle w:val="a3"/>
        <w:adjustRightInd w:val="0"/>
        <w:snapToGrid w:val="0"/>
        <w:rPr>
          <w:lang w:val="fr-FR"/>
        </w:rPr>
      </w:pPr>
      <w:r w:rsidRPr="00DA7718">
        <w:rPr>
          <w:lang w:val="fr-FR"/>
        </w:rPr>
        <w:t>Un total de 673 patientes a été randomisé, en proportion égale, dans les deux bras suivants :</w:t>
      </w:r>
    </w:p>
    <w:p w14:paraId="7C0F2C43" w14:textId="5AED3A89" w:rsidR="004401F0" w:rsidRPr="00DA7718" w:rsidRDefault="00BD4C7C" w:rsidP="00196CEA">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Bras CP</w:t>
      </w:r>
      <w:r w:rsidR="00765A43">
        <w:rPr>
          <w:lang w:val="fr-FR"/>
        </w:rPr>
        <w:t xml:space="preserve"> : </w:t>
      </w:r>
      <w:r w:rsidR="00DF3C4F" w:rsidRPr="00DA7718">
        <w:rPr>
          <w:lang w:val="fr-FR"/>
        </w:rPr>
        <w:t>Carboplatine (ASC 5) et paclitaxel (175</w:t>
      </w:r>
      <w:r w:rsidR="00DA7718" w:rsidRPr="00DA7718">
        <w:rPr>
          <w:lang w:val="fr-FR"/>
        </w:rPr>
        <w:t> mg</w:t>
      </w:r>
      <w:r w:rsidR="00DF3C4F" w:rsidRPr="00DA7718">
        <w:rPr>
          <w:lang w:val="fr-FR"/>
        </w:rPr>
        <w:t>/m</w:t>
      </w:r>
      <w:r w:rsidR="00DF3C4F" w:rsidRPr="00DA7718">
        <w:rPr>
          <w:vertAlign w:val="superscript"/>
          <w:lang w:val="fr-FR"/>
        </w:rPr>
        <w:t>2</w:t>
      </w:r>
      <w:r w:rsidR="00DF3C4F" w:rsidRPr="00DA7718">
        <w:rPr>
          <w:lang w:val="fr-FR"/>
        </w:rPr>
        <w:t xml:space="preserve"> </w:t>
      </w:r>
      <w:r w:rsidR="00D9100B">
        <w:rPr>
          <w:lang w:val="fr-FR"/>
        </w:rPr>
        <w:t>par voie</w:t>
      </w:r>
      <w:r w:rsidR="003523B4">
        <w:rPr>
          <w:lang w:val="fr-FR"/>
        </w:rPr>
        <w:t xml:space="preserve"> intraveineuse</w:t>
      </w:r>
      <w:r w:rsidR="00DF3C4F" w:rsidRPr="00DA7718">
        <w:rPr>
          <w:lang w:val="fr-FR"/>
        </w:rPr>
        <w:t xml:space="preserve">) toutes les </w:t>
      </w:r>
      <w:r w:rsidR="00DC5CCF" w:rsidRPr="00DA7718">
        <w:rPr>
          <w:lang w:val="fr-FR"/>
        </w:rPr>
        <w:t>3</w:t>
      </w:r>
      <w:r w:rsidR="00DC5CCF">
        <w:rPr>
          <w:lang w:val="fr-FR"/>
        </w:rPr>
        <w:t> </w:t>
      </w:r>
      <w:r w:rsidR="00DF3C4F" w:rsidRPr="00DA7718">
        <w:rPr>
          <w:lang w:val="fr-FR"/>
        </w:rPr>
        <w:t>semaines pendant 6 cycles, et jusqu’à 8 cycles.</w:t>
      </w:r>
    </w:p>
    <w:p w14:paraId="6D220E42" w14:textId="23C3CF49" w:rsidR="004401F0" w:rsidRPr="00DA7718" w:rsidRDefault="00BD4C7C" w:rsidP="00196CEA">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Bras CPB</w:t>
      </w:r>
      <w:r w:rsidR="00765A43">
        <w:rPr>
          <w:lang w:val="fr-FR"/>
        </w:rPr>
        <w:t xml:space="preserve"> : </w:t>
      </w:r>
      <w:r w:rsidR="00DF3C4F" w:rsidRPr="00DA7718">
        <w:rPr>
          <w:lang w:val="fr-FR"/>
        </w:rPr>
        <w:t>Carboplatine (ASC 5) et paclitaxel (175</w:t>
      </w:r>
      <w:r w:rsidR="00DA7718" w:rsidRPr="00DA7718">
        <w:rPr>
          <w:lang w:val="fr-FR"/>
        </w:rPr>
        <w:t> mg</w:t>
      </w:r>
      <w:r w:rsidR="00DF3C4F" w:rsidRPr="00DA7718">
        <w:rPr>
          <w:lang w:val="fr-FR"/>
        </w:rPr>
        <w:t>/m</w:t>
      </w:r>
      <w:r w:rsidR="00DF3C4F" w:rsidRPr="00DA7718">
        <w:rPr>
          <w:vertAlign w:val="superscript"/>
          <w:lang w:val="fr-FR"/>
        </w:rPr>
        <w:t>2</w:t>
      </w:r>
      <w:r w:rsidR="00DF3C4F" w:rsidRPr="00DA7718">
        <w:rPr>
          <w:lang w:val="fr-FR"/>
        </w:rPr>
        <w:t xml:space="preserve"> </w:t>
      </w:r>
      <w:r w:rsidR="00D9100B">
        <w:rPr>
          <w:lang w:val="fr-FR"/>
        </w:rPr>
        <w:t>par voie</w:t>
      </w:r>
      <w:r w:rsidR="003523B4">
        <w:rPr>
          <w:lang w:val="fr-FR"/>
        </w:rPr>
        <w:t xml:space="preserve"> intraveineuse</w:t>
      </w:r>
      <w:r w:rsidR="00DF3C4F" w:rsidRPr="00DA7718">
        <w:rPr>
          <w:lang w:val="fr-FR"/>
        </w:rPr>
        <w:t xml:space="preserve">) toutes les </w:t>
      </w:r>
      <w:r w:rsidR="00DC5CCF" w:rsidRPr="00DA7718">
        <w:rPr>
          <w:lang w:val="fr-FR"/>
        </w:rPr>
        <w:t>3</w:t>
      </w:r>
      <w:r w:rsidR="00DC5CCF">
        <w:rPr>
          <w:lang w:val="fr-FR"/>
        </w:rPr>
        <w:t> </w:t>
      </w:r>
      <w:r w:rsidR="00DF3C4F" w:rsidRPr="00DA7718">
        <w:rPr>
          <w:lang w:val="fr-FR"/>
        </w:rPr>
        <w:t xml:space="preserve">semaines pendant 6 cycles, et jusqu’à 8 cycles, suivis </w:t>
      </w:r>
      <w:r w:rsidR="003523B4">
        <w:rPr>
          <w:lang w:val="fr-FR"/>
        </w:rPr>
        <w:t>du bevacizumab</w:t>
      </w:r>
      <w:r w:rsidR="003523B4" w:rsidRPr="00DA7718">
        <w:rPr>
          <w:lang w:val="fr-FR"/>
        </w:rPr>
        <w:t xml:space="preserve"> </w:t>
      </w:r>
      <w:r w:rsidR="00DF3C4F" w:rsidRPr="00DA7718">
        <w:rPr>
          <w:lang w:val="fr-FR"/>
        </w:rPr>
        <w:t>(15</w:t>
      </w:r>
      <w:r w:rsidR="00DA7718" w:rsidRPr="00DA7718">
        <w:rPr>
          <w:lang w:val="fr-FR"/>
        </w:rPr>
        <w:t> mg</w:t>
      </w:r>
      <w:r w:rsidR="00DF3C4F" w:rsidRPr="00DA7718">
        <w:rPr>
          <w:lang w:val="fr-FR"/>
        </w:rPr>
        <w:t xml:space="preserve">/kg toutes les </w:t>
      </w:r>
      <w:r w:rsidR="00DC5CCF" w:rsidRPr="00DA7718">
        <w:rPr>
          <w:lang w:val="fr-FR"/>
        </w:rPr>
        <w:t>3</w:t>
      </w:r>
      <w:r w:rsidR="00DC5CCF">
        <w:rPr>
          <w:lang w:val="fr-FR"/>
        </w:rPr>
        <w:t> </w:t>
      </w:r>
      <w:r w:rsidR="00DF3C4F" w:rsidRPr="00DA7718">
        <w:rPr>
          <w:lang w:val="fr-FR"/>
        </w:rPr>
        <w:t>semaines) en monothérapie jusqu’à progression de la maladie ou toxicité inacceptable.</w:t>
      </w:r>
    </w:p>
    <w:p w14:paraId="4E89E6FF" w14:textId="77777777" w:rsidR="004401F0" w:rsidRPr="00DA7718" w:rsidRDefault="004401F0" w:rsidP="00BD4C7C">
      <w:pPr>
        <w:pStyle w:val="a3"/>
        <w:adjustRightInd w:val="0"/>
        <w:snapToGrid w:val="0"/>
        <w:rPr>
          <w:lang w:val="fr-FR"/>
        </w:rPr>
      </w:pPr>
    </w:p>
    <w:p w14:paraId="1B6FA991" w14:textId="33101ED4" w:rsidR="004401F0" w:rsidRPr="00DA7718" w:rsidRDefault="00DF3C4F" w:rsidP="00BD4C7C">
      <w:pPr>
        <w:pStyle w:val="a3"/>
        <w:adjustRightInd w:val="0"/>
        <w:snapToGrid w:val="0"/>
        <w:rPr>
          <w:lang w:val="fr-FR"/>
        </w:rPr>
      </w:pPr>
      <w:r w:rsidRPr="00DA7718">
        <w:rPr>
          <w:lang w:val="fr-FR"/>
        </w:rPr>
        <w:t>La majorité des patientes du bras CP (80,4%) et du bras CPB (78,9%) était de type caucasien. L’âge médian était de 60,0 ans dans le bras CP et de 59,0 ans dans le bras CPB. La majorité des patientes (CP</w:t>
      </w:r>
      <w:r w:rsidR="00765A43">
        <w:rPr>
          <w:lang w:val="fr-FR"/>
        </w:rPr>
        <w:t xml:space="preserve"> : </w:t>
      </w:r>
      <w:r w:rsidRPr="00DA7718">
        <w:rPr>
          <w:lang w:val="fr-FR"/>
        </w:rPr>
        <w:t>64,6%</w:t>
      </w:r>
      <w:r w:rsidR="00881CB8">
        <w:rPr>
          <w:lang w:val="fr-FR"/>
        </w:rPr>
        <w:t xml:space="preserve"> ; </w:t>
      </w:r>
      <w:r w:rsidRPr="00DA7718">
        <w:rPr>
          <w:lang w:val="fr-FR"/>
        </w:rPr>
        <w:t>CPB</w:t>
      </w:r>
      <w:r w:rsidR="00765A43">
        <w:rPr>
          <w:lang w:val="fr-FR"/>
        </w:rPr>
        <w:t xml:space="preserve"> : </w:t>
      </w:r>
      <w:r w:rsidRPr="00DA7718">
        <w:rPr>
          <w:lang w:val="fr-FR"/>
        </w:rPr>
        <w:t>68,8%) était âgée de moins de 65 ans. A l’inclusion, la majorité des patientes dans chaque bras de traitement avait un indice de performance GOG de 0 (CP</w:t>
      </w:r>
      <w:r w:rsidR="00765A43">
        <w:rPr>
          <w:lang w:val="fr-FR"/>
        </w:rPr>
        <w:t xml:space="preserve"> : </w:t>
      </w:r>
      <w:r w:rsidRPr="00DA7718">
        <w:rPr>
          <w:lang w:val="fr-FR"/>
        </w:rPr>
        <w:t>82,4%</w:t>
      </w:r>
      <w:r w:rsidR="00881CB8">
        <w:rPr>
          <w:lang w:val="fr-FR"/>
        </w:rPr>
        <w:t xml:space="preserve"> ; </w:t>
      </w:r>
      <w:r w:rsidRPr="00DA7718">
        <w:rPr>
          <w:lang w:val="fr-FR"/>
        </w:rPr>
        <w:t>CPB</w:t>
      </w:r>
      <w:r w:rsidR="00765A43">
        <w:rPr>
          <w:lang w:val="fr-FR"/>
        </w:rPr>
        <w:t xml:space="preserve"> : </w:t>
      </w:r>
      <w:r w:rsidRPr="00DA7718">
        <w:rPr>
          <w:lang w:val="fr-FR"/>
        </w:rPr>
        <w:t>80,7%) ou de 1 (CP</w:t>
      </w:r>
      <w:r w:rsidR="00765A43">
        <w:rPr>
          <w:lang w:val="fr-FR"/>
        </w:rPr>
        <w:t xml:space="preserve"> : </w:t>
      </w:r>
      <w:r w:rsidRPr="00DA7718">
        <w:rPr>
          <w:lang w:val="fr-FR"/>
        </w:rPr>
        <w:t>16.7%</w:t>
      </w:r>
      <w:r w:rsidR="00881CB8">
        <w:rPr>
          <w:lang w:val="fr-FR"/>
        </w:rPr>
        <w:t xml:space="preserve"> ; </w:t>
      </w:r>
      <w:r w:rsidRPr="00DA7718">
        <w:rPr>
          <w:lang w:val="fr-FR"/>
        </w:rPr>
        <w:t>CPB</w:t>
      </w:r>
      <w:r w:rsidR="00765A43">
        <w:rPr>
          <w:lang w:val="fr-FR"/>
        </w:rPr>
        <w:t xml:space="preserve"> : </w:t>
      </w:r>
      <w:r w:rsidRPr="00DA7718">
        <w:rPr>
          <w:lang w:val="fr-FR"/>
        </w:rPr>
        <w:t>18.1%). Un indice de performance GOG de 2 à l’inclusion a été rapporté chez 0,9% des patientes dans le bras CP et chez 1,2% des patientes dans le bras CPB.</w:t>
      </w:r>
    </w:p>
    <w:p w14:paraId="25C8ECDB" w14:textId="77777777" w:rsidR="004401F0" w:rsidRPr="00DA7718" w:rsidRDefault="004401F0" w:rsidP="00BD4C7C">
      <w:pPr>
        <w:pStyle w:val="a3"/>
        <w:adjustRightInd w:val="0"/>
        <w:snapToGrid w:val="0"/>
        <w:rPr>
          <w:lang w:val="fr-FR"/>
        </w:rPr>
      </w:pPr>
    </w:p>
    <w:p w14:paraId="2833447C" w14:textId="14D15E70" w:rsidR="004401F0" w:rsidRPr="00DA7718" w:rsidRDefault="00DF3C4F" w:rsidP="00BD4C7C">
      <w:pPr>
        <w:pStyle w:val="a3"/>
        <w:adjustRightInd w:val="0"/>
        <w:snapToGrid w:val="0"/>
        <w:rPr>
          <w:lang w:val="fr-FR"/>
        </w:rPr>
      </w:pPr>
      <w:r w:rsidRPr="00DA7718">
        <w:rPr>
          <w:lang w:val="fr-FR"/>
        </w:rPr>
        <w:t xml:space="preserve">Le critère principal d’efficacité était </w:t>
      </w:r>
      <w:r w:rsidR="003523B4">
        <w:rPr>
          <w:lang w:val="fr-FR"/>
        </w:rPr>
        <w:t>l’OS</w:t>
      </w:r>
      <w:r w:rsidRPr="00DA7718">
        <w:rPr>
          <w:lang w:val="fr-FR"/>
        </w:rPr>
        <w:t>. Le critère secondaire principal d’efficacité était la PFS. Les résultats sont présentés dans le tableau 22.</w:t>
      </w:r>
    </w:p>
    <w:p w14:paraId="51D701FE" w14:textId="77777777" w:rsidR="00BD4C7C" w:rsidRPr="00DA7718" w:rsidRDefault="00BD4C7C" w:rsidP="00BD4C7C">
      <w:pPr>
        <w:adjustRightInd w:val="0"/>
        <w:snapToGrid w:val="0"/>
        <w:rPr>
          <w:lang w:val="fr-FR"/>
        </w:rPr>
      </w:pPr>
    </w:p>
    <w:p w14:paraId="407448E9" w14:textId="0F22B780" w:rsidR="004401F0" w:rsidRPr="00AC582F" w:rsidRDefault="00DF3C4F" w:rsidP="00AC582F">
      <w:pPr>
        <w:ind w:left="1276" w:hanging="1276"/>
        <w:rPr>
          <w:b/>
          <w:bCs/>
          <w:lang w:val="fr-FR"/>
        </w:rPr>
      </w:pPr>
      <w:r w:rsidRPr="00AC582F">
        <w:rPr>
          <w:b/>
          <w:bCs/>
          <w:lang w:val="fr-FR"/>
        </w:rPr>
        <w:t xml:space="preserve">Tableau 22 </w:t>
      </w:r>
      <w:r w:rsidR="00DC5CCF" w:rsidRPr="00AC582F">
        <w:rPr>
          <w:b/>
          <w:bCs/>
          <w:lang w:val="fr-FR"/>
        </w:rPr>
        <w:tab/>
      </w:r>
      <w:r w:rsidRPr="00AC582F">
        <w:rPr>
          <w:b/>
          <w:bCs/>
          <w:lang w:val="fr-FR"/>
        </w:rPr>
        <w:t>Résultats d’efficacité</w:t>
      </w:r>
      <w:r w:rsidRPr="00AC582F">
        <w:rPr>
          <w:b/>
          <w:bCs/>
          <w:vertAlign w:val="superscript"/>
          <w:lang w:val="fr-FR"/>
        </w:rPr>
        <w:t>1,2</w:t>
      </w:r>
      <w:r w:rsidRPr="00AC582F">
        <w:rPr>
          <w:b/>
          <w:bCs/>
          <w:lang w:val="fr-FR"/>
        </w:rPr>
        <w:t xml:space="preserve"> de l’étude GOG-0213</w:t>
      </w:r>
    </w:p>
    <w:p w14:paraId="481DF21A" w14:textId="77777777" w:rsidR="004401F0" w:rsidRPr="00DA7718" w:rsidRDefault="004401F0" w:rsidP="00BD4C7C">
      <w:pPr>
        <w:pStyle w:val="a3"/>
        <w:adjustRightInd w:val="0"/>
        <w:snapToGrid w:val="0"/>
        <w:rPr>
          <w:b/>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6"/>
        <w:gridCol w:w="2288"/>
        <w:gridCol w:w="2610"/>
      </w:tblGrid>
      <w:tr w:rsidR="004401F0" w:rsidRPr="00D90DBD" w14:paraId="380FCC09" w14:textId="77777777" w:rsidTr="00D90DBD">
        <w:trPr>
          <w:cantSplit/>
        </w:trPr>
        <w:tc>
          <w:tcPr>
            <w:tcW w:w="8918" w:type="dxa"/>
            <w:gridSpan w:val="3"/>
          </w:tcPr>
          <w:p w14:paraId="3FDDB905" w14:textId="77777777" w:rsidR="004401F0" w:rsidRPr="00D90DBD" w:rsidRDefault="00DF3C4F" w:rsidP="00D90DBD">
            <w:pPr>
              <w:pStyle w:val="TableParagraph"/>
              <w:adjustRightInd w:val="0"/>
              <w:snapToGrid w:val="0"/>
              <w:rPr>
                <w:b/>
                <w:sz w:val="20"/>
                <w:szCs w:val="20"/>
                <w:lang w:val="fr-FR"/>
              </w:rPr>
            </w:pPr>
            <w:r w:rsidRPr="00D90DBD">
              <w:rPr>
                <w:b/>
                <w:sz w:val="20"/>
                <w:szCs w:val="20"/>
                <w:lang w:val="fr-FR"/>
              </w:rPr>
              <w:t>Critère principal</w:t>
            </w:r>
          </w:p>
        </w:tc>
      </w:tr>
      <w:tr w:rsidR="004401F0" w:rsidRPr="00D90DBD" w14:paraId="42642BF0" w14:textId="77777777" w:rsidTr="00654D21">
        <w:trPr>
          <w:cantSplit/>
        </w:trPr>
        <w:tc>
          <w:tcPr>
            <w:tcW w:w="4099" w:type="dxa"/>
            <w:vAlign w:val="center"/>
          </w:tcPr>
          <w:p w14:paraId="5113393B" w14:textId="42C7CFD1" w:rsidR="004401F0" w:rsidRPr="00622F9C" w:rsidRDefault="00DF3C4F" w:rsidP="00A82D1E">
            <w:pPr>
              <w:pStyle w:val="TableParagraph"/>
              <w:adjustRightInd w:val="0"/>
              <w:snapToGrid w:val="0"/>
              <w:rPr>
                <w:b/>
                <w:sz w:val="20"/>
                <w:szCs w:val="20"/>
                <w:lang w:val="fr-FR"/>
              </w:rPr>
            </w:pPr>
            <w:r w:rsidRPr="00F9256D">
              <w:rPr>
                <w:b/>
                <w:sz w:val="20"/>
                <w:szCs w:val="20"/>
                <w:lang w:val="fr-FR"/>
              </w:rPr>
              <w:t xml:space="preserve">Survie </w:t>
            </w:r>
            <w:r w:rsidR="00132DFF">
              <w:rPr>
                <w:b/>
                <w:sz w:val="20"/>
                <w:szCs w:val="20"/>
                <w:lang w:val="fr-FR"/>
              </w:rPr>
              <w:t>g</w:t>
            </w:r>
            <w:r w:rsidRPr="00F9256D">
              <w:rPr>
                <w:b/>
                <w:sz w:val="20"/>
                <w:szCs w:val="20"/>
                <w:lang w:val="fr-FR"/>
              </w:rPr>
              <w:t>lobale</w:t>
            </w:r>
          </w:p>
        </w:tc>
        <w:tc>
          <w:tcPr>
            <w:tcW w:w="2251" w:type="dxa"/>
          </w:tcPr>
          <w:p w14:paraId="69875C9B" w14:textId="6BC43FC5"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 xml:space="preserve">CP </w:t>
            </w:r>
            <w:r w:rsidR="00A82D1E">
              <w:rPr>
                <w:sz w:val="20"/>
                <w:szCs w:val="20"/>
                <w:lang w:val="fr-FR"/>
              </w:rPr>
              <w:br/>
            </w:r>
            <w:r w:rsidRPr="00D90DBD">
              <w:rPr>
                <w:sz w:val="20"/>
                <w:szCs w:val="20"/>
                <w:lang w:val="fr-FR"/>
              </w:rPr>
              <w:t>(n=336)</w:t>
            </w:r>
          </w:p>
        </w:tc>
        <w:tc>
          <w:tcPr>
            <w:tcW w:w="2568" w:type="dxa"/>
          </w:tcPr>
          <w:p w14:paraId="08F88DCA" w14:textId="73ABF36A"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 xml:space="preserve">CPB </w:t>
            </w:r>
            <w:r w:rsidR="00A82D1E">
              <w:rPr>
                <w:sz w:val="20"/>
                <w:szCs w:val="20"/>
                <w:lang w:val="fr-FR"/>
              </w:rPr>
              <w:br/>
            </w:r>
            <w:r w:rsidRPr="00D90DBD">
              <w:rPr>
                <w:sz w:val="20"/>
                <w:szCs w:val="20"/>
                <w:lang w:val="fr-FR"/>
              </w:rPr>
              <w:t>(n=337)</w:t>
            </w:r>
          </w:p>
        </w:tc>
      </w:tr>
      <w:tr w:rsidR="004401F0" w:rsidRPr="00D90DBD" w14:paraId="620E1128" w14:textId="77777777" w:rsidTr="00D90DBD">
        <w:trPr>
          <w:cantSplit/>
        </w:trPr>
        <w:tc>
          <w:tcPr>
            <w:tcW w:w="4099" w:type="dxa"/>
          </w:tcPr>
          <w:p w14:paraId="17F680D0"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Médiane de la survie globale (mois)</w:t>
            </w:r>
          </w:p>
        </w:tc>
        <w:tc>
          <w:tcPr>
            <w:tcW w:w="2251" w:type="dxa"/>
          </w:tcPr>
          <w:p w14:paraId="66B8713E" w14:textId="77777777"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37,3</w:t>
            </w:r>
          </w:p>
        </w:tc>
        <w:tc>
          <w:tcPr>
            <w:tcW w:w="2568" w:type="dxa"/>
          </w:tcPr>
          <w:p w14:paraId="4CDD54E1" w14:textId="77777777"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42,6</w:t>
            </w:r>
          </w:p>
        </w:tc>
      </w:tr>
      <w:tr w:rsidR="004401F0" w:rsidRPr="00D90DBD" w14:paraId="37B4CB87" w14:textId="77777777" w:rsidTr="00D90DBD">
        <w:trPr>
          <w:cantSplit/>
        </w:trPr>
        <w:tc>
          <w:tcPr>
            <w:tcW w:w="4099" w:type="dxa"/>
          </w:tcPr>
          <w:p w14:paraId="50B50811"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Risque relatif (IC 95%) (eCRF)</w:t>
            </w:r>
            <w:r w:rsidRPr="00D90DBD">
              <w:rPr>
                <w:sz w:val="20"/>
                <w:szCs w:val="20"/>
                <w:vertAlign w:val="superscript"/>
                <w:lang w:val="fr-FR"/>
              </w:rPr>
              <w:t>a</w:t>
            </w:r>
          </w:p>
        </w:tc>
        <w:tc>
          <w:tcPr>
            <w:tcW w:w="4819" w:type="dxa"/>
            <w:gridSpan w:val="2"/>
          </w:tcPr>
          <w:p w14:paraId="4C035A87" w14:textId="4D82E1DA"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0,823 [IC</w:t>
            </w:r>
            <w:r w:rsidR="00765A43">
              <w:rPr>
                <w:sz w:val="20"/>
                <w:szCs w:val="20"/>
                <w:lang w:val="fr-FR"/>
              </w:rPr>
              <w:t xml:space="preserve"> : </w:t>
            </w:r>
            <w:r w:rsidRPr="00D90DBD">
              <w:rPr>
                <w:sz w:val="20"/>
                <w:szCs w:val="20"/>
                <w:lang w:val="fr-FR"/>
              </w:rPr>
              <w:t>0,680</w:t>
            </w:r>
            <w:r w:rsidR="00881CB8">
              <w:rPr>
                <w:sz w:val="20"/>
                <w:szCs w:val="20"/>
                <w:lang w:val="fr-FR"/>
              </w:rPr>
              <w:t xml:space="preserve"> ; </w:t>
            </w:r>
            <w:r w:rsidRPr="00D90DBD">
              <w:rPr>
                <w:sz w:val="20"/>
                <w:szCs w:val="20"/>
                <w:lang w:val="fr-FR"/>
              </w:rPr>
              <w:t>0,996]</w:t>
            </w:r>
          </w:p>
        </w:tc>
      </w:tr>
      <w:tr w:rsidR="004401F0" w:rsidRPr="00D90DBD" w14:paraId="78D71A95" w14:textId="77777777" w:rsidTr="00D90DBD">
        <w:trPr>
          <w:cantSplit/>
        </w:trPr>
        <w:tc>
          <w:tcPr>
            <w:tcW w:w="4099" w:type="dxa"/>
          </w:tcPr>
          <w:p w14:paraId="2DF0D5C2"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Valeur du p</w:t>
            </w:r>
          </w:p>
        </w:tc>
        <w:tc>
          <w:tcPr>
            <w:tcW w:w="4819" w:type="dxa"/>
            <w:gridSpan w:val="2"/>
          </w:tcPr>
          <w:p w14:paraId="0B45338B" w14:textId="77777777"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0,0447</w:t>
            </w:r>
          </w:p>
        </w:tc>
      </w:tr>
      <w:tr w:rsidR="004401F0" w:rsidRPr="00D90DBD" w14:paraId="38857DD7" w14:textId="77777777" w:rsidTr="00D90DBD">
        <w:trPr>
          <w:cantSplit/>
        </w:trPr>
        <w:tc>
          <w:tcPr>
            <w:tcW w:w="4099" w:type="dxa"/>
          </w:tcPr>
          <w:p w14:paraId="6F23C415"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Risque relatif (IC 95%) (formulaire d’inscription)</w:t>
            </w:r>
            <w:r w:rsidRPr="00D90DBD">
              <w:rPr>
                <w:sz w:val="20"/>
                <w:szCs w:val="20"/>
                <w:vertAlign w:val="superscript"/>
                <w:lang w:val="fr-FR"/>
              </w:rPr>
              <w:t>b</w:t>
            </w:r>
          </w:p>
        </w:tc>
        <w:tc>
          <w:tcPr>
            <w:tcW w:w="4819" w:type="dxa"/>
            <w:gridSpan w:val="2"/>
          </w:tcPr>
          <w:p w14:paraId="4A264081" w14:textId="157798FD"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0,838 [IC</w:t>
            </w:r>
            <w:r w:rsidR="00765A43">
              <w:rPr>
                <w:sz w:val="20"/>
                <w:szCs w:val="20"/>
                <w:lang w:val="fr-FR"/>
              </w:rPr>
              <w:t xml:space="preserve"> : </w:t>
            </w:r>
            <w:r w:rsidRPr="00D90DBD">
              <w:rPr>
                <w:sz w:val="20"/>
                <w:szCs w:val="20"/>
                <w:lang w:val="fr-FR"/>
              </w:rPr>
              <w:t>0,693</w:t>
            </w:r>
            <w:r w:rsidR="00881CB8">
              <w:rPr>
                <w:sz w:val="20"/>
                <w:szCs w:val="20"/>
                <w:lang w:val="fr-FR"/>
              </w:rPr>
              <w:t xml:space="preserve"> ; </w:t>
            </w:r>
            <w:r w:rsidRPr="00D90DBD">
              <w:rPr>
                <w:sz w:val="20"/>
                <w:szCs w:val="20"/>
                <w:lang w:val="fr-FR"/>
              </w:rPr>
              <w:t>1,014]</w:t>
            </w:r>
          </w:p>
        </w:tc>
      </w:tr>
      <w:tr w:rsidR="004401F0" w:rsidRPr="00D90DBD" w14:paraId="77D84E25" w14:textId="77777777" w:rsidTr="00D90DBD">
        <w:trPr>
          <w:cantSplit/>
        </w:trPr>
        <w:tc>
          <w:tcPr>
            <w:tcW w:w="4099" w:type="dxa"/>
          </w:tcPr>
          <w:p w14:paraId="743966F0"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Valeur du p</w:t>
            </w:r>
          </w:p>
        </w:tc>
        <w:tc>
          <w:tcPr>
            <w:tcW w:w="4819" w:type="dxa"/>
            <w:gridSpan w:val="2"/>
          </w:tcPr>
          <w:p w14:paraId="592EEA1D" w14:textId="77777777"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0,0683</w:t>
            </w:r>
          </w:p>
        </w:tc>
      </w:tr>
      <w:tr w:rsidR="004401F0" w:rsidRPr="00D90DBD" w14:paraId="2F7ED6CA" w14:textId="77777777" w:rsidTr="00D90DBD">
        <w:trPr>
          <w:cantSplit/>
        </w:trPr>
        <w:tc>
          <w:tcPr>
            <w:tcW w:w="8918" w:type="dxa"/>
            <w:gridSpan w:val="3"/>
          </w:tcPr>
          <w:p w14:paraId="403AEC0F" w14:textId="77777777" w:rsidR="004401F0" w:rsidRPr="00D90DBD" w:rsidRDefault="00DF3C4F" w:rsidP="00D90DBD">
            <w:pPr>
              <w:pStyle w:val="TableParagraph"/>
              <w:adjustRightInd w:val="0"/>
              <w:snapToGrid w:val="0"/>
              <w:rPr>
                <w:b/>
                <w:sz w:val="20"/>
                <w:szCs w:val="20"/>
                <w:lang w:val="fr-FR"/>
              </w:rPr>
            </w:pPr>
            <w:r w:rsidRPr="00D90DBD">
              <w:rPr>
                <w:b/>
                <w:sz w:val="20"/>
                <w:szCs w:val="20"/>
                <w:lang w:val="fr-FR"/>
              </w:rPr>
              <w:t>Critère secondaire</w:t>
            </w:r>
          </w:p>
        </w:tc>
      </w:tr>
      <w:tr w:rsidR="004401F0" w:rsidRPr="00D90DBD" w14:paraId="3182097E" w14:textId="77777777" w:rsidTr="00654D21">
        <w:trPr>
          <w:cantSplit/>
        </w:trPr>
        <w:tc>
          <w:tcPr>
            <w:tcW w:w="4099" w:type="dxa"/>
            <w:vAlign w:val="center"/>
          </w:tcPr>
          <w:p w14:paraId="3002C6F8" w14:textId="2834EDE4" w:rsidR="004401F0" w:rsidRPr="00D90DBD" w:rsidRDefault="00DF3C4F" w:rsidP="00A82D1E">
            <w:pPr>
              <w:pStyle w:val="TableParagraph"/>
              <w:adjustRightInd w:val="0"/>
              <w:snapToGrid w:val="0"/>
              <w:rPr>
                <w:b/>
                <w:sz w:val="20"/>
                <w:szCs w:val="20"/>
                <w:lang w:val="fr-FR"/>
              </w:rPr>
            </w:pPr>
            <w:r w:rsidRPr="00D90DBD">
              <w:rPr>
                <w:b/>
                <w:sz w:val="20"/>
                <w:szCs w:val="20"/>
                <w:lang w:val="fr-FR"/>
              </w:rPr>
              <w:t>Survie sans progression</w:t>
            </w:r>
          </w:p>
        </w:tc>
        <w:tc>
          <w:tcPr>
            <w:tcW w:w="2251" w:type="dxa"/>
          </w:tcPr>
          <w:p w14:paraId="7597EBC9" w14:textId="2C91D9A9"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 xml:space="preserve">CP </w:t>
            </w:r>
            <w:r w:rsidR="00A82D1E">
              <w:rPr>
                <w:sz w:val="20"/>
                <w:szCs w:val="20"/>
                <w:lang w:val="fr-FR"/>
              </w:rPr>
              <w:br/>
            </w:r>
            <w:r w:rsidRPr="00D90DBD">
              <w:rPr>
                <w:sz w:val="20"/>
                <w:szCs w:val="20"/>
                <w:lang w:val="fr-FR"/>
              </w:rPr>
              <w:t>(n=336)</w:t>
            </w:r>
          </w:p>
        </w:tc>
        <w:tc>
          <w:tcPr>
            <w:tcW w:w="2568" w:type="dxa"/>
          </w:tcPr>
          <w:p w14:paraId="603D7A19" w14:textId="13143596"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 xml:space="preserve">CPB </w:t>
            </w:r>
            <w:r w:rsidR="00A82D1E">
              <w:rPr>
                <w:sz w:val="20"/>
                <w:szCs w:val="20"/>
                <w:lang w:val="fr-FR"/>
              </w:rPr>
              <w:br/>
            </w:r>
            <w:r w:rsidRPr="00D90DBD">
              <w:rPr>
                <w:sz w:val="20"/>
                <w:szCs w:val="20"/>
                <w:lang w:val="fr-FR"/>
              </w:rPr>
              <w:t>(n=337)</w:t>
            </w:r>
          </w:p>
        </w:tc>
      </w:tr>
      <w:tr w:rsidR="004401F0" w:rsidRPr="00D90DBD" w14:paraId="54C14BEB" w14:textId="77777777" w:rsidTr="00D90DBD">
        <w:trPr>
          <w:cantSplit/>
        </w:trPr>
        <w:tc>
          <w:tcPr>
            <w:tcW w:w="4099" w:type="dxa"/>
          </w:tcPr>
          <w:p w14:paraId="64B2FCA4"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Médiane de la Survie sans progression (mois)</w:t>
            </w:r>
          </w:p>
        </w:tc>
        <w:tc>
          <w:tcPr>
            <w:tcW w:w="2251" w:type="dxa"/>
          </w:tcPr>
          <w:p w14:paraId="4192FF90" w14:textId="77777777"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10,2</w:t>
            </w:r>
          </w:p>
        </w:tc>
        <w:tc>
          <w:tcPr>
            <w:tcW w:w="2568" w:type="dxa"/>
          </w:tcPr>
          <w:p w14:paraId="3F6304F0" w14:textId="77777777"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13,8</w:t>
            </w:r>
          </w:p>
        </w:tc>
      </w:tr>
      <w:tr w:rsidR="004401F0" w:rsidRPr="00D90DBD" w14:paraId="6412DF64" w14:textId="77777777" w:rsidTr="00D90DBD">
        <w:trPr>
          <w:cantSplit/>
        </w:trPr>
        <w:tc>
          <w:tcPr>
            <w:tcW w:w="4099" w:type="dxa"/>
          </w:tcPr>
          <w:p w14:paraId="168A6352"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Risque relatif (IC 95%)</w:t>
            </w:r>
          </w:p>
        </w:tc>
        <w:tc>
          <w:tcPr>
            <w:tcW w:w="4819" w:type="dxa"/>
            <w:gridSpan w:val="2"/>
          </w:tcPr>
          <w:p w14:paraId="5610F84F" w14:textId="68A870D9"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0,613 [IC</w:t>
            </w:r>
            <w:r w:rsidR="00765A43">
              <w:rPr>
                <w:sz w:val="20"/>
                <w:szCs w:val="20"/>
                <w:lang w:val="fr-FR"/>
              </w:rPr>
              <w:t xml:space="preserve"> : </w:t>
            </w:r>
            <w:r w:rsidRPr="00D90DBD">
              <w:rPr>
                <w:sz w:val="20"/>
                <w:szCs w:val="20"/>
                <w:lang w:val="fr-FR"/>
              </w:rPr>
              <w:t>0,521</w:t>
            </w:r>
            <w:r w:rsidR="00881CB8">
              <w:rPr>
                <w:sz w:val="20"/>
                <w:szCs w:val="20"/>
                <w:lang w:val="fr-FR"/>
              </w:rPr>
              <w:t xml:space="preserve"> ; </w:t>
            </w:r>
            <w:r w:rsidRPr="00D90DBD">
              <w:rPr>
                <w:sz w:val="20"/>
                <w:szCs w:val="20"/>
                <w:lang w:val="fr-FR"/>
              </w:rPr>
              <w:t>0,721]</w:t>
            </w:r>
          </w:p>
        </w:tc>
      </w:tr>
      <w:tr w:rsidR="004401F0" w:rsidRPr="00D90DBD" w14:paraId="26E08424" w14:textId="77777777" w:rsidTr="00D90DBD">
        <w:trPr>
          <w:cantSplit/>
        </w:trPr>
        <w:tc>
          <w:tcPr>
            <w:tcW w:w="4099" w:type="dxa"/>
          </w:tcPr>
          <w:p w14:paraId="4310E05C"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Valeur du p</w:t>
            </w:r>
          </w:p>
        </w:tc>
        <w:tc>
          <w:tcPr>
            <w:tcW w:w="4819" w:type="dxa"/>
            <w:gridSpan w:val="2"/>
          </w:tcPr>
          <w:p w14:paraId="797C0BE0" w14:textId="77777777" w:rsidR="004401F0" w:rsidRPr="00D90DBD" w:rsidRDefault="00DF3C4F" w:rsidP="00196CEA">
            <w:pPr>
              <w:pStyle w:val="TableParagraph"/>
              <w:adjustRightInd w:val="0"/>
              <w:snapToGrid w:val="0"/>
              <w:jc w:val="center"/>
              <w:rPr>
                <w:sz w:val="20"/>
                <w:szCs w:val="20"/>
                <w:lang w:val="fr-FR"/>
              </w:rPr>
            </w:pPr>
            <w:r w:rsidRPr="00D90DBD">
              <w:rPr>
                <w:sz w:val="20"/>
                <w:szCs w:val="20"/>
                <w:lang w:val="fr-FR"/>
              </w:rPr>
              <w:t>&lt;0,0001</w:t>
            </w:r>
          </w:p>
        </w:tc>
      </w:tr>
    </w:tbl>
    <w:p w14:paraId="0E3A24FC" w14:textId="77777777" w:rsidR="00196CEA" w:rsidRDefault="00DF3C4F" w:rsidP="00BD4C7C">
      <w:pPr>
        <w:adjustRightInd w:val="0"/>
        <w:snapToGrid w:val="0"/>
        <w:rPr>
          <w:sz w:val="18"/>
          <w:szCs w:val="18"/>
          <w:lang w:val="fr-FR"/>
        </w:rPr>
      </w:pPr>
      <w:r w:rsidRPr="00196CEA">
        <w:rPr>
          <w:sz w:val="18"/>
          <w:szCs w:val="18"/>
          <w:vertAlign w:val="superscript"/>
          <w:lang w:val="fr-FR"/>
        </w:rPr>
        <w:t>1</w:t>
      </w:r>
      <w:r w:rsidRPr="00196CEA">
        <w:rPr>
          <w:sz w:val="18"/>
          <w:szCs w:val="18"/>
          <w:lang w:val="fr-FR"/>
        </w:rPr>
        <w:t xml:space="preserve"> Analyse finale </w:t>
      </w:r>
    </w:p>
    <w:p w14:paraId="67A98B18" w14:textId="77777777" w:rsidR="004401F0" w:rsidRPr="00196CEA" w:rsidRDefault="00DF3C4F" w:rsidP="00BD4C7C">
      <w:pPr>
        <w:adjustRightInd w:val="0"/>
        <w:snapToGrid w:val="0"/>
        <w:rPr>
          <w:sz w:val="18"/>
          <w:szCs w:val="18"/>
          <w:lang w:val="fr-FR"/>
        </w:rPr>
      </w:pPr>
      <w:r w:rsidRPr="00196CEA">
        <w:rPr>
          <w:sz w:val="18"/>
          <w:szCs w:val="18"/>
          <w:vertAlign w:val="superscript"/>
          <w:lang w:val="fr-FR"/>
        </w:rPr>
        <w:t>2</w:t>
      </w:r>
      <w:r w:rsidRPr="00196CEA">
        <w:rPr>
          <w:sz w:val="18"/>
          <w:szCs w:val="18"/>
          <w:lang w:val="fr-FR"/>
        </w:rPr>
        <w:t xml:space="preserve"> L’analyse des tumeurs et les évaluations des réponses étaient déterminées par les investigateurs selon les critères GOG RECIST (directive RECIST révisée (version 1.1) Eur J Cancer. 2009;45:228Y247).</w:t>
      </w:r>
    </w:p>
    <w:p w14:paraId="2B568C7A" w14:textId="20FE30D7" w:rsidR="00196CEA" w:rsidRDefault="00DF3C4F" w:rsidP="00BD4C7C">
      <w:pPr>
        <w:adjustRightInd w:val="0"/>
        <w:snapToGrid w:val="0"/>
        <w:rPr>
          <w:sz w:val="18"/>
          <w:szCs w:val="18"/>
          <w:lang w:val="fr-FR"/>
        </w:rPr>
      </w:pPr>
      <w:r w:rsidRPr="00196CEA">
        <w:rPr>
          <w:sz w:val="18"/>
          <w:szCs w:val="18"/>
          <w:vertAlign w:val="superscript"/>
          <w:lang w:val="fr-FR"/>
        </w:rPr>
        <w:t>a</w:t>
      </w:r>
      <w:r w:rsidRPr="00196CEA">
        <w:rPr>
          <w:sz w:val="18"/>
          <w:szCs w:val="18"/>
          <w:lang w:val="fr-FR"/>
        </w:rPr>
        <w:t xml:space="preserve"> Le risque relatif était estimé selon les modèles de risques proportionnels de Cox stratifiés par la durée de l’intervalle sans sel de platine avant son inclusion dans cette étude par eCFR (formulaire de rapport électronique) et le statut de la réduction tumorale chirurgicale secondaire Oui/Non (Oui=randomisé pour subir une cytoréduction ou randomisé pour ne pas subir une cytoréduction</w:t>
      </w:r>
      <w:r w:rsidR="00881CB8">
        <w:rPr>
          <w:sz w:val="18"/>
          <w:szCs w:val="18"/>
          <w:lang w:val="fr-FR"/>
        </w:rPr>
        <w:t xml:space="preserve"> ; </w:t>
      </w:r>
      <w:r w:rsidRPr="00196CEA">
        <w:rPr>
          <w:sz w:val="18"/>
          <w:szCs w:val="18"/>
          <w:lang w:val="fr-FR"/>
        </w:rPr>
        <w:t xml:space="preserve">Non= n’est pas candidat ou ne consent pas à la cytoréduction). </w:t>
      </w:r>
    </w:p>
    <w:p w14:paraId="3257F312" w14:textId="77777777" w:rsidR="004401F0" w:rsidRPr="00196CEA" w:rsidRDefault="00DF3C4F" w:rsidP="00BD4C7C">
      <w:pPr>
        <w:adjustRightInd w:val="0"/>
        <w:snapToGrid w:val="0"/>
        <w:rPr>
          <w:sz w:val="18"/>
          <w:szCs w:val="18"/>
          <w:lang w:val="fr-FR"/>
        </w:rPr>
      </w:pPr>
      <w:r w:rsidRPr="00196CEA">
        <w:rPr>
          <w:sz w:val="18"/>
          <w:szCs w:val="18"/>
          <w:vertAlign w:val="superscript"/>
          <w:lang w:val="fr-FR"/>
        </w:rPr>
        <w:t>b</w:t>
      </w:r>
      <w:r w:rsidRPr="00196CEA">
        <w:rPr>
          <w:sz w:val="18"/>
          <w:szCs w:val="18"/>
          <w:lang w:val="fr-FR"/>
        </w:rPr>
        <w:t xml:space="preserve"> stratifiés par la durée de l’intervalle sans traitement avant son inclusion dans cette étude par le formulaire d’inscription et le statut de la réduction tumorale chirurgicale secondaire Oui/Non.</w:t>
      </w:r>
    </w:p>
    <w:p w14:paraId="7314CFB4" w14:textId="77777777" w:rsidR="004401F0" w:rsidRPr="00DA7718" w:rsidRDefault="004401F0" w:rsidP="00BD4C7C">
      <w:pPr>
        <w:pStyle w:val="a3"/>
        <w:adjustRightInd w:val="0"/>
        <w:snapToGrid w:val="0"/>
        <w:rPr>
          <w:lang w:val="fr-FR"/>
        </w:rPr>
      </w:pPr>
    </w:p>
    <w:p w14:paraId="00712840" w14:textId="09E3AC11" w:rsidR="004401F0" w:rsidRPr="00DA7718" w:rsidRDefault="00DF3C4F" w:rsidP="00BD4C7C">
      <w:pPr>
        <w:pStyle w:val="a3"/>
        <w:adjustRightInd w:val="0"/>
        <w:snapToGrid w:val="0"/>
        <w:rPr>
          <w:lang w:val="fr-FR"/>
        </w:rPr>
      </w:pPr>
      <w:r w:rsidRPr="00DA7718">
        <w:rPr>
          <w:lang w:val="fr-FR"/>
        </w:rPr>
        <w:t xml:space="preserve">L’essai a atteint son objectif principal d’amélioration de la survie globale. Les données issues des eCRF montrent que le traitement par </w:t>
      </w:r>
      <w:r w:rsidR="0012562C">
        <w:rPr>
          <w:lang w:val="fr-FR"/>
        </w:rPr>
        <w:t>bevacizumab</w:t>
      </w:r>
      <w:r w:rsidR="0012562C" w:rsidRPr="00DA7718">
        <w:rPr>
          <w:lang w:val="fr-FR"/>
        </w:rPr>
        <w:t xml:space="preserve"> </w:t>
      </w:r>
      <w:r w:rsidRPr="00DA7718">
        <w:rPr>
          <w:lang w:val="fr-FR"/>
        </w:rPr>
        <w:t>à 15</w:t>
      </w:r>
      <w:r w:rsidR="00DA7718" w:rsidRPr="00DA7718">
        <w:rPr>
          <w:lang w:val="fr-FR"/>
        </w:rPr>
        <w:t> mg</w:t>
      </w:r>
      <w:r w:rsidRPr="00DA7718">
        <w:rPr>
          <w:lang w:val="fr-FR"/>
        </w:rPr>
        <w:t xml:space="preserve">/kg toutes les 3 semaines en association à une chimiothérapie (carboplatine et paclitaxel) pendant 6 cycles, et jusqu’à 8 cycles, suivis </w:t>
      </w:r>
      <w:r w:rsidR="0012562C">
        <w:rPr>
          <w:lang w:val="fr-FR"/>
        </w:rPr>
        <w:t>du bevacizumab</w:t>
      </w:r>
      <w:r w:rsidR="0012562C" w:rsidRPr="00DA7718">
        <w:rPr>
          <w:lang w:val="fr-FR"/>
        </w:rPr>
        <w:t xml:space="preserve"> </w:t>
      </w:r>
      <w:r w:rsidRPr="00DA7718">
        <w:rPr>
          <w:lang w:val="fr-FR"/>
        </w:rPr>
        <w:t>jusqu’à progression de la maladie ou toxicité inacceptable, a entrainé une amélioration cliniquement pertinente et statistiquement significative de la survie globale (OS) comparé au traitement par carboplatine et paclitaxel seul.</w:t>
      </w:r>
    </w:p>
    <w:p w14:paraId="1021DC78" w14:textId="77777777" w:rsidR="004401F0" w:rsidRPr="00DA7718" w:rsidRDefault="004401F0" w:rsidP="00BD4C7C">
      <w:pPr>
        <w:pStyle w:val="a3"/>
        <w:adjustRightInd w:val="0"/>
        <w:snapToGrid w:val="0"/>
        <w:rPr>
          <w:lang w:val="fr-FR"/>
        </w:rPr>
      </w:pPr>
    </w:p>
    <w:p w14:paraId="7E13AA6D" w14:textId="77777777" w:rsidR="004401F0" w:rsidRPr="00DA7718" w:rsidRDefault="00DF3C4F" w:rsidP="00654D21">
      <w:pPr>
        <w:keepNext/>
        <w:keepLines/>
        <w:adjustRightInd w:val="0"/>
        <w:snapToGrid w:val="0"/>
        <w:rPr>
          <w:i/>
          <w:lang w:val="fr-FR"/>
        </w:rPr>
      </w:pPr>
      <w:r w:rsidRPr="00DA7718">
        <w:rPr>
          <w:i/>
          <w:lang w:val="fr-FR"/>
        </w:rPr>
        <w:t>MO22224</w:t>
      </w:r>
    </w:p>
    <w:p w14:paraId="537E2433" w14:textId="77777777" w:rsidR="004401F0" w:rsidRPr="00DA7718" w:rsidRDefault="00DF3C4F" w:rsidP="00654D21">
      <w:pPr>
        <w:pStyle w:val="a3"/>
        <w:keepNext/>
        <w:keepLines/>
        <w:adjustRightInd w:val="0"/>
        <w:snapToGrid w:val="0"/>
        <w:rPr>
          <w:lang w:val="fr-FR"/>
        </w:rPr>
      </w:pPr>
      <w:r w:rsidRPr="00DA7718">
        <w:rPr>
          <w:lang w:val="fr-FR"/>
        </w:rPr>
        <w:t>L’étude MO22224 a évalué l’efficacité et la tolérance du bevacizumab en association à une chimiothérapie dans le traitement du cancer épithélial de l’ovaire, des trompes de Fallope ou péritonéal primitif, en rechute, résistant aux sels de platine. Il s’agit d’une étude de phase III, en ouvert, randomisée, à deux bras, évaluant le bevacizumab plus la chimiothérapie (CT+BV) contre la chimiothérapie seule (CT).</w:t>
      </w:r>
    </w:p>
    <w:p w14:paraId="293F9FDB" w14:textId="77777777" w:rsidR="004401F0" w:rsidRPr="00DA7718" w:rsidRDefault="00DF3C4F" w:rsidP="00654D21">
      <w:pPr>
        <w:pStyle w:val="a3"/>
        <w:keepNext/>
        <w:keepLines/>
        <w:adjustRightInd w:val="0"/>
        <w:snapToGrid w:val="0"/>
        <w:rPr>
          <w:lang w:val="fr-FR"/>
        </w:rPr>
      </w:pPr>
      <w:r w:rsidRPr="00DA7718">
        <w:rPr>
          <w:lang w:val="fr-FR"/>
        </w:rPr>
        <w:t>Un total de 361 patientes a été inclus dans cette étude. Il leur a été administré soit une chimiothérapie seule (paclitaxel, topotécan ou doxorubicine liposomale pégylée (PLD)) soit une chimiothérapie en association au bevacizumab. :</w:t>
      </w:r>
    </w:p>
    <w:p w14:paraId="08E45A8C" w14:textId="77777777" w:rsidR="00BD4C7C" w:rsidRPr="00DA7718" w:rsidRDefault="00BD4C7C" w:rsidP="00BD4C7C">
      <w:pPr>
        <w:adjustRightInd w:val="0"/>
        <w:snapToGrid w:val="0"/>
        <w:rPr>
          <w:lang w:val="fr-FR"/>
        </w:rPr>
      </w:pPr>
    </w:p>
    <w:p w14:paraId="3B725300" w14:textId="77777777" w:rsidR="004401F0" w:rsidRPr="00DA7718" w:rsidRDefault="00BD4C7C" w:rsidP="00F452CD">
      <w:pPr>
        <w:adjustRightInd w:val="0"/>
        <w:snapToGrid w:val="0"/>
        <w:ind w:left="567" w:hanging="567"/>
        <w:jc w:val="both"/>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Bras CT (chimiothérapie seule) :</w:t>
      </w:r>
    </w:p>
    <w:p w14:paraId="2BE6EBF0" w14:textId="7E4CC16B" w:rsidR="004401F0" w:rsidRPr="00DA7718" w:rsidRDefault="00BD4C7C" w:rsidP="00654D21">
      <w:pPr>
        <w:adjustRightInd w:val="0"/>
        <w:snapToGrid w:val="0"/>
        <w:ind w:left="990" w:hanging="450"/>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Paclitaxel 80</w:t>
      </w:r>
      <w:r w:rsidR="00DA7718" w:rsidRPr="00DA7718">
        <w:rPr>
          <w:lang w:val="fr-FR"/>
        </w:rPr>
        <w:t> mg</w:t>
      </w:r>
      <w:r w:rsidR="00DF3C4F" w:rsidRPr="00DA7718">
        <w:rPr>
          <w:lang w:val="fr-FR"/>
        </w:rPr>
        <w:t xml:space="preserve">/m2 en perfusion </w:t>
      </w:r>
      <w:r w:rsidR="0012562C">
        <w:rPr>
          <w:lang w:val="fr-FR"/>
        </w:rPr>
        <w:t>intraveineuse</w:t>
      </w:r>
      <w:r w:rsidR="0012562C" w:rsidRPr="00DA7718">
        <w:rPr>
          <w:lang w:val="fr-FR"/>
        </w:rPr>
        <w:t xml:space="preserve"> </w:t>
      </w:r>
      <w:r w:rsidR="00DF3C4F" w:rsidRPr="00DA7718">
        <w:rPr>
          <w:lang w:val="fr-FR"/>
        </w:rPr>
        <w:t>d’1 heure aux jours 1, 8, 15 et 22 toutes les 4 semaines.</w:t>
      </w:r>
    </w:p>
    <w:p w14:paraId="54F60DDC" w14:textId="166507A7" w:rsidR="004401F0" w:rsidRPr="00DA7718" w:rsidRDefault="00BD4C7C" w:rsidP="00654D21">
      <w:pPr>
        <w:adjustRightInd w:val="0"/>
        <w:snapToGrid w:val="0"/>
        <w:ind w:left="990" w:hanging="450"/>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Topotécan 4</w:t>
      </w:r>
      <w:r w:rsidR="0012562C">
        <w:rPr>
          <w:lang w:val="fr-FR"/>
        </w:rPr>
        <w:t> </w:t>
      </w:r>
      <w:r w:rsidR="00DF3C4F" w:rsidRPr="00DA7718">
        <w:rPr>
          <w:lang w:val="fr-FR"/>
        </w:rPr>
        <w:t xml:space="preserve">mg/m2 en perfusion </w:t>
      </w:r>
      <w:r w:rsidR="0012562C">
        <w:rPr>
          <w:lang w:val="fr-FR"/>
        </w:rPr>
        <w:t>intraveineuse</w:t>
      </w:r>
      <w:r w:rsidR="0012562C" w:rsidRPr="00DA7718">
        <w:rPr>
          <w:lang w:val="fr-FR"/>
        </w:rPr>
        <w:t xml:space="preserve"> </w:t>
      </w:r>
      <w:r w:rsidR="00DF3C4F" w:rsidRPr="00DA7718">
        <w:rPr>
          <w:lang w:val="fr-FR"/>
        </w:rPr>
        <w:t>de 30 minutes aux jours 1, 8 et 15 toutes les 4 semaines. En alternative, une dose de 1,25</w:t>
      </w:r>
      <w:r w:rsidR="00DA7718" w:rsidRPr="00DA7718">
        <w:rPr>
          <w:lang w:val="fr-FR"/>
        </w:rPr>
        <w:t> mg</w:t>
      </w:r>
      <w:r w:rsidR="00DF3C4F" w:rsidRPr="00DA7718">
        <w:rPr>
          <w:lang w:val="fr-FR"/>
        </w:rPr>
        <w:t xml:space="preserve">/m2 pouvait être administrée sur </w:t>
      </w:r>
      <w:r w:rsidR="00F77870" w:rsidRPr="00DA7718">
        <w:rPr>
          <w:lang w:val="fr-FR"/>
        </w:rPr>
        <w:t>30</w:t>
      </w:r>
      <w:r w:rsidR="00F77870">
        <w:rPr>
          <w:lang w:val="fr-FR"/>
        </w:rPr>
        <w:t> </w:t>
      </w:r>
      <w:r w:rsidR="00DF3C4F" w:rsidRPr="00DA7718">
        <w:rPr>
          <w:lang w:val="fr-FR"/>
        </w:rPr>
        <w:t>minutes aux jours 1-5 toutes les 3 semaines.</w:t>
      </w:r>
    </w:p>
    <w:p w14:paraId="7E7E892F" w14:textId="7980E456" w:rsidR="004401F0" w:rsidRPr="00DA7718" w:rsidRDefault="00BD4C7C" w:rsidP="00654D21">
      <w:pPr>
        <w:adjustRightInd w:val="0"/>
        <w:snapToGrid w:val="0"/>
        <w:ind w:left="990" w:hanging="450"/>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Doxorubicine liposomale pégylée (PLD) 40</w:t>
      </w:r>
      <w:r w:rsidR="00DA7718" w:rsidRPr="00DA7718">
        <w:rPr>
          <w:lang w:val="fr-FR"/>
        </w:rPr>
        <w:t> mg</w:t>
      </w:r>
      <w:r w:rsidR="00DF3C4F" w:rsidRPr="00DA7718">
        <w:rPr>
          <w:lang w:val="fr-FR"/>
        </w:rPr>
        <w:t xml:space="preserve">/m2 en perfusion </w:t>
      </w:r>
      <w:r w:rsidR="0012562C">
        <w:rPr>
          <w:lang w:val="fr-FR"/>
        </w:rPr>
        <w:t>intraveineuse</w:t>
      </w:r>
      <w:r w:rsidR="0012562C" w:rsidRPr="00DA7718">
        <w:rPr>
          <w:lang w:val="fr-FR"/>
        </w:rPr>
        <w:t xml:space="preserve"> </w:t>
      </w:r>
      <w:r w:rsidR="00DF3C4F" w:rsidRPr="00DA7718">
        <w:rPr>
          <w:lang w:val="fr-FR"/>
        </w:rPr>
        <w:t>de 1</w:t>
      </w:r>
      <w:r w:rsidR="00DA7718" w:rsidRPr="00DA7718">
        <w:rPr>
          <w:lang w:val="fr-FR"/>
        </w:rPr>
        <w:t> mg</w:t>
      </w:r>
      <w:r w:rsidR="00DF3C4F" w:rsidRPr="00DA7718">
        <w:rPr>
          <w:lang w:val="fr-FR"/>
        </w:rPr>
        <w:t xml:space="preserve">/min au jour 1 uniquement toutes les 4 semaines. Après le cycle 1, le </w:t>
      </w:r>
      <w:r w:rsidR="0012562C">
        <w:rPr>
          <w:lang w:val="fr-FR"/>
        </w:rPr>
        <w:t>médicament</w:t>
      </w:r>
      <w:r w:rsidR="0012562C" w:rsidRPr="00DA7718">
        <w:rPr>
          <w:lang w:val="fr-FR"/>
        </w:rPr>
        <w:t xml:space="preserve"> </w:t>
      </w:r>
      <w:r w:rsidR="00DF3C4F" w:rsidRPr="00DA7718">
        <w:rPr>
          <w:lang w:val="fr-FR"/>
        </w:rPr>
        <w:t>pouvait être administré en perfusion d’1 heure.</w:t>
      </w:r>
    </w:p>
    <w:p w14:paraId="5761CF3A" w14:textId="77777777" w:rsidR="004401F0" w:rsidRPr="00DA7718" w:rsidRDefault="00BD4C7C" w:rsidP="00F452CD">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Bras CT+BV (chimiothérapie plus bevacizumab) :</w:t>
      </w:r>
    </w:p>
    <w:p w14:paraId="5E57C759" w14:textId="60C4C29B" w:rsidR="004401F0" w:rsidRPr="00DA7718" w:rsidRDefault="00BD4C7C" w:rsidP="00654D21">
      <w:pPr>
        <w:adjustRightInd w:val="0"/>
        <w:snapToGrid w:val="0"/>
        <w:ind w:left="990" w:hanging="450"/>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 xml:space="preserve">La chimiothérapie choisie était associée au bevacizumab 10mg/kg en perfusion </w:t>
      </w:r>
      <w:r w:rsidR="0012562C">
        <w:rPr>
          <w:lang w:val="fr-FR"/>
        </w:rPr>
        <w:t>intraveineuse</w:t>
      </w:r>
      <w:r w:rsidR="0012562C" w:rsidRPr="00DA7718">
        <w:rPr>
          <w:lang w:val="fr-FR"/>
        </w:rPr>
        <w:t xml:space="preserve"> </w:t>
      </w:r>
      <w:r w:rsidR="00DF3C4F" w:rsidRPr="00DA7718">
        <w:rPr>
          <w:lang w:val="fr-FR"/>
        </w:rPr>
        <w:t>toutes les 2 semaines (ou bevacizumab 15</w:t>
      </w:r>
      <w:r w:rsidR="00DA7718" w:rsidRPr="00DA7718">
        <w:rPr>
          <w:lang w:val="fr-FR"/>
        </w:rPr>
        <w:t> mg</w:t>
      </w:r>
      <w:r w:rsidR="00DF3C4F" w:rsidRPr="00DA7718">
        <w:rPr>
          <w:lang w:val="fr-FR"/>
        </w:rPr>
        <w:t>/kg toutes les 3 semaines s’il était utilisé en association au topotécan 1,25</w:t>
      </w:r>
      <w:r w:rsidR="00DA7718" w:rsidRPr="00DA7718">
        <w:rPr>
          <w:lang w:val="fr-FR"/>
        </w:rPr>
        <w:t> mg</w:t>
      </w:r>
      <w:r w:rsidR="00DF3C4F" w:rsidRPr="00DA7718">
        <w:rPr>
          <w:lang w:val="fr-FR"/>
        </w:rPr>
        <w:t>/m</w:t>
      </w:r>
      <w:r w:rsidR="00DF3C4F" w:rsidRPr="00DA7718">
        <w:rPr>
          <w:vertAlign w:val="superscript"/>
          <w:lang w:val="fr-FR"/>
        </w:rPr>
        <w:t>2</w:t>
      </w:r>
      <w:r w:rsidR="00DF3C4F" w:rsidRPr="00DA7718">
        <w:rPr>
          <w:lang w:val="fr-FR"/>
        </w:rPr>
        <w:t xml:space="preserve"> aux jours 1-5 toutes les 3 semaines).</w:t>
      </w:r>
    </w:p>
    <w:p w14:paraId="68879505" w14:textId="77777777" w:rsidR="004401F0" w:rsidRPr="007C119A" w:rsidRDefault="004401F0" w:rsidP="00BD4C7C">
      <w:pPr>
        <w:pStyle w:val="a3"/>
        <w:adjustRightInd w:val="0"/>
        <w:snapToGrid w:val="0"/>
        <w:rPr>
          <w:lang w:val="fr-FR"/>
        </w:rPr>
      </w:pPr>
    </w:p>
    <w:p w14:paraId="346CCC0A" w14:textId="37139BE9" w:rsidR="004401F0" w:rsidRPr="00DA7718" w:rsidRDefault="00DF3C4F" w:rsidP="00BD4C7C">
      <w:pPr>
        <w:pStyle w:val="a3"/>
        <w:adjustRightInd w:val="0"/>
        <w:snapToGrid w:val="0"/>
        <w:rPr>
          <w:lang w:val="fr-FR"/>
        </w:rPr>
      </w:pPr>
      <w:r w:rsidRPr="00DA7718">
        <w:rPr>
          <w:lang w:val="fr-FR"/>
        </w:rPr>
        <w:t>Les patientes éligibles étaient atteintes d’un cancer épithélial de l’ovaire, des trompes de Fallope ou péritonéal primitif ayant progressé dans les 6 mois après un précédent traitement à base de sels de platine composé d’un minimum de 4 cycles de traitement à base de sels de platine. Les patientes devaient avoir une espérance de vie de 12 semaines au moins et ne pas avoir reçu précédemment de radiothérapie pelvienne ou abdominale. La plupart des patientes était de stade FIGO IIIC ou IV. La majorité des patientes, dans les deux bras, avait un indice de performance ECOG de 0 (bras CT</w:t>
      </w:r>
      <w:r w:rsidR="00765A43">
        <w:rPr>
          <w:lang w:val="fr-FR"/>
        </w:rPr>
        <w:t xml:space="preserve"> : </w:t>
      </w:r>
      <w:r w:rsidRPr="00DA7718">
        <w:rPr>
          <w:lang w:val="fr-FR"/>
        </w:rPr>
        <w:t>56,4% vs bras CT + BV</w:t>
      </w:r>
      <w:r w:rsidR="00765A43">
        <w:rPr>
          <w:lang w:val="fr-FR"/>
        </w:rPr>
        <w:t xml:space="preserve"> : </w:t>
      </w:r>
      <w:r w:rsidRPr="00DA7718">
        <w:rPr>
          <w:lang w:val="fr-FR"/>
        </w:rPr>
        <w:t>61,2%). Le pourcentage des patientes avec un indice de performance ECOG de 1 ou ≥ 2 était de 38,7% et de 5,0% dans le bras CT et de 29,8% et 9,0% dans le bras CT + BV. L’origine ethnique était connue dans 29,3% des cas et la majorité des patientes était de type caucasien. L’âge médian des patientes était de 61,0 ans (amplitude</w:t>
      </w:r>
      <w:r w:rsidR="00765A43">
        <w:rPr>
          <w:lang w:val="fr-FR"/>
        </w:rPr>
        <w:t xml:space="preserve"> : </w:t>
      </w:r>
      <w:r w:rsidRPr="00DA7718">
        <w:rPr>
          <w:lang w:val="fr-FR"/>
        </w:rPr>
        <w:t>25-84 ans). Un total de 16 patientes (4,4%) était âgé de plus de 75 ans. Les taux globaux d’interruption en raison de survenue d’effets indésirables étaient de 8,8% dans le bras CT et de 43,6% dans le bras CT+BV (majoritairement en raison d’effets indésirables de grade 2-3) et le temps médian jusqu’à interruption était de 5,2 mois dans le bras CT+BV comparé à 2,4 mois dans le bras CT. Le taux d’interruption en raison de survenue d’effets indésirables chez les patientes âgées de plus de 65 ans était de 8,8% dans le bras CT comparé à 50,0% dans le bras CT+BV. Le risque relatif pour la survie sans progression dans les sous-groupes &lt; 65 ans et ≥ 65 ans était respectivement de 0,47 (IC 95%</w:t>
      </w:r>
      <w:r w:rsidR="00765A43">
        <w:rPr>
          <w:lang w:val="fr-FR"/>
        </w:rPr>
        <w:t xml:space="preserve"> : </w:t>
      </w:r>
      <w:r w:rsidRPr="00DA7718">
        <w:rPr>
          <w:lang w:val="fr-FR"/>
        </w:rPr>
        <w:t>0,35</w:t>
      </w:r>
      <w:r w:rsidR="00881CB8">
        <w:rPr>
          <w:lang w:val="fr-FR"/>
        </w:rPr>
        <w:t xml:space="preserve"> ; </w:t>
      </w:r>
      <w:r w:rsidRPr="00DA7718">
        <w:rPr>
          <w:lang w:val="fr-FR"/>
        </w:rPr>
        <w:t>0,62) et de 0,45 (IC 95%</w:t>
      </w:r>
      <w:r w:rsidR="00765A43">
        <w:rPr>
          <w:lang w:val="fr-FR"/>
        </w:rPr>
        <w:t xml:space="preserve"> : </w:t>
      </w:r>
      <w:r w:rsidRPr="00DA7718">
        <w:rPr>
          <w:lang w:val="fr-FR"/>
        </w:rPr>
        <w:t>0,31</w:t>
      </w:r>
      <w:r w:rsidR="00881CB8">
        <w:rPr>
          <w:lang w:val="fr-FR"/>
        </w:rPr>
        <w:t xml:space="preserve"> ; </w:t>
      </w:r>
      <w:r w:rsidRPr="00DA7718">
        <w:rPr>
          <w:lang w:val="fr-FR"/>
        </w:rPr>
        <w:t>0,67).</w:t>
      </w:r>
    </w:p>
    <w:p w14:paraId="4CDC72B3" w14:textId="6997960A" w:rsidR="004401F0" w:rsidRPr="00DA7718" w:rsidRDefault="00DF3C4F" w:rsidP="00BD4C7C">
      <w:pPr>
        <w:pStyle w:val="a3"/>
        <w:adjustRightInd w:val="0"/>
        <w:snapToGrid w:val="0"/>
        <w:rPr>
          <w:lang w:val="fr-FR"/>
        </w:rPr>
      </w:pPr>
      <w:r w:rsidRPr="00DA7718">
        <w:rPr>
          <w:lang w:val="fr-FR"/>
        </w:rPr>
        <w:t xml:space="preserve">Le critère principal était la survie sans progression et les critères secondaires incluaient le taux de réponse objective et </w:t>
      </w:r>
      <w:r w:rsidR="00803E4E">
        <w:rPr>
          <w:lang w:val="fr-FR"/>
        </w:rPr>
        <w:t>l’OS</w:t>
      </w:r>
      <w:r w:rsidRPr="00DA7718">
        <w:rPr>
          <w:lang w:val="fr-FR"/>
        </w:rPr>
        <w:t>. Les résultats sont présentés dans le tableau 23.</w:t>
      </w:r>
    </w:p>
    <w:p w14:paraId="4029196A" w14:textId="77777777" w:rsidR="00BD4C7C" w:rsidRPr="00DA7718" w:rsidRDefault="00BD4C7C" w:rsidP="00BD4C7C">
      <w:pPr>
        <w:adjustRightInd w:val="0"/>
        <w:snapToGrid w:val="0"/>
        <w:rPr>
          <w:lang w:val="fr-FR"/>
        </w:rPr>
      </w:pPr>
    </w:p>
    <w:p w14:paraId="03C0CFED" w14:textId="77777777" w:rsidR="004401F0" w:rsidRPr="00AC582F" w:rsidRDefault="00DF3C4F" w:rsidP="00AC582F">
      <w:pPr>
        <w:keepNext/>
        <w:keepLines/>
        <w:ind w:left="1276" w:hanging="1276"/>
        <w:rPr>
          <w:b/>
          <w:bCs/>
          <w:lang w:val="fr-FR"/>
        </w:rPr>
      </w:pPr>
      <w:r w:rsidRPr="00AC582F">
        <w:rPr>
          <w:b/>
          <w:bCs/>
          <w:lang w:val="fr-FR"/>
        </w:rPr>
        <w:lastRenderedPageBreak/>
        <w:t xml:space="preserve">Tableau 23 </w:t>
      </w:r>
      <w:r w:rsidR="00F452CD" w:rsidRPr="00AC582F">
        <w:rPr>
          <w:b/>
          <w:bCs/>
          <w:lang w:val="fr-FR"/>
        </w:rPr>
        <w:tab/>
      </w:r>
      <w:r w:rsidRPr="00AC582F">
        <w:rPr>
          <w:b/>
          <w:bCs/>
          <w:lang w:val="fr-FR"/>
        </w:rPr>
        <w:t>Résultats d’efficacité de l’étude MO22224</w:t>
      </w:r>
    </w:p>
    <w:p w14:paraId="16F57777" w14:textId="77777777" w:rsidR="004401F0" w:rsidRPr="00DA7718" w:rsidRDefault="004401F0" w:rsidP="00AC582F">
      <w:pPr>
        <w:pStyle w:val="a3"/>
        <w:keepNext/>
        <w:keepLines/>
        <w:adjustRightInd w:val="0"/>
        <w:snapToGrid w:val="0"/>
        <w:rPr>
          <w:b/>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7"/>
        <w:gridCol w:w="2075"/>
        <w:gridCol w:w="2532"/>
      </w:tblGrid>
      <w:tr w:rsidR="004401F0" w:rsidRPr="00D90DBD" w14:paraId="062FE67D" w14:textId="77777777" w:rsidTr="00D90DBD">
        <w:trPr>
          <w:cantSplit/>
        </w:trPr>
        <w:tc>
          <w:tcPr>
            <w:tcW w:w="9145" w:type="dxa"/>
            <w:gridSpan w:val="3"/>
          </w:tcPr>
          <w:p w14:paraId="61F4C4D4"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u w:val="single"/>
                <w:lang w:val="fr-FR"/>
              </w:rPr>
              <w:t>Critère principal</w:t>
            </w:r>
          </w:p>
        </w:tc>
      </w:tr>
      <w:tr w:rsidR="004401F0" w:rsidRPr="00D90DBD" w14:paraId="7482292D" w14:textId="77777777" w:rsidTr="00D90DBD">
        <w:trPr>
          <w:cantSplit/>
        </w:trPr>
        <w:tc>
          <w:tcPr>
            <w:tcW w:w="9145" w:type="dxa"/>
            <w:gridSpan w:val="3"/>
          </w:tcPr>
          <w:p w14:paraId="76AA0B58" w14:textId="77777777" w:rsidR="004401F0" w:rsidRPr="00D90DBD" w:rsidRDefault="00DF3C4F" w:rsidP="00654D21">
            <w:pPr>
              <w:pStyle w:val="TableParagraph"/>
              <w:keepNext/>
              <w:keepLines/>
              <w:adjustRightInd w:val="0"/>
              <w:snapToGrid w:val="0"/>
              <w:rPr>
                <w:sz w:val="20"/>
                <w:szCs w:val="20"/>
                <w:lang w:val="fr-FR"/>
              </w:rPr>
            </w:pPr>
            <w:r w:rsidRPr="00D90DBD">
              <w:rPr>
                <w:sz w:val="20"/>
                <w:szCs w:val="20"/>
                <w:lang w:val="fr-FR"/>
              </w:rPr>
              <w:t>Survie sans progression (PFS)*</w:t>
            </w:r>
          </w:p>
        </w:tc>
      </w:tr>
      <w:tr w:rsidR="004401F0" w:rsidRPr="00D90DBD" w14:paraId="3D447176" w14:textId="77777777" w:rsidTr="00D90DBD">
        <w:trPr>
          <w:cantSplit/>
        </w:trPr>
        <w:tc>
          <w:tcPr>
            <w:tcW w:w="4498" w:type="dxa"/>
          </w:tcPr>
          <w:p w14:paraId="40728714" w14:textId="77777777" w:rsidR="004401F0" w:rsidRPr="00D90DBD" w:rsidRDefault="004401F0" w:rsidP="00654D21">
            <w:pPr>
              <w:pStyle w:val="TableParagraph"/>
              <w:keepNext/>
              <w:keepLines/>
              <w:adjustRightInd w:val="0"/>
              <w:snapToGrid w:val="0"/>
              <w:rPr>
                <w:sz w:val="20"/>
                <w:szCs w:val="20"/>
                <w:lang w:val="fr-FR"/>
              </w:rPr>
            </w:pPr>
          </w:p>
        </w:tc>
        <w:tc>
          <w:tcPr>
            <w:tcW w:w="2093" w:type="dxa"/>
          </w:tcPr>
          <w:p w14:paraId="2946C100" w14:textId="065102B4"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CT</w:t>
            </w:r>
            <w:r w:rsidR="00FA054E">
              <w:rPr>
                <w:sz w:val="20"/>
                <w:szCs w:val="20"/>
                <w:lang w:val="fr-FR"/>
              </w:rPr>
              <w:t xml:space="preserve"> </w:t>
            </w:r>
            <w:r w:rsidRPr="00D90DBD">
              <w:rPr>
                <w:sz w:val="20"/>
                <w:szCs w:val="20"/>
                <w:lang w:val="fr-FR"/>
              </w:rPr>
              <w:t>(n=182)</w:t>
            </w:r>
          </w:p>
        </w:tc>
        <w:tc>
          <w:tcPr>
            <w:tcW w:w="2554" w:type="dxa"/>
          </w:tcPr>
          <w:p w14:paraId="7A662FCB" w14:textId="6CE16AAF"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CT+BV</w:t>
            </w:r>
            <w:r w:rsidR="00FA054E">
              <w:rPr>
                <w:sz w:val="20"/>
                <w:szCs w:val="20"/>
                <w:lang w:val="fr-FR"/>
              </w:rPr>
              <w:t xml:space="preserve"> </w:t>
            </w:r>
            <w:r w:rsidRPr="00D90DBD">
              <w:rPr>
                <w:sz w:val="20"/>
                <w:szCs w:val="20"/>
                <w:lang w:val="fr-FR"/>
              </w:rPr>
              <w:t>(n=179)</w:t>
            </w:r>
          </w:p>
        </w:tc>
      </w:tr>
      <w:tr w:rsidR="004401F0" w:rsidRPr="00D90DBD" w14:paraId="2E6899F2" w14:textId="77777777" w:rsidTr="00D90DBD">
        <w:trPr>
          <w:cantSplit/>
        </w:trPr>
        <w:tc>
          <w:tcPr>
            <w:tcW w:w="4498" w:type="dxa"/>
          </w:tcPr>
          <w:p w14:paraId="05C1994F" w14:textId="77777777" w:rsidR="004401F0" w:rsidRPr="00D90DBD" w:rsidRDefault="00DF3C4F" w:rsidP="00654D21">
            <w:pPr>
              <w:pStyle w:val="TableParagraph"/>
              <w:keepNext/>
              <w:keepLines/>
              <w:adjustRightInd w:val="0"/>
              <w:snapToGrid w:val="0"/>
              <w:ind w:left="450"/>
              <w:rPr>
                <w:sz w:val="20"/>
                <w:szCs w:val="20"/>
                <w:lang w:val="fr-FR"/>
              </w:rPr>
            </w:pPr>
            <w:r w:rsidRPr="00D90DBD">
              <w:rPr>
                <w:sz w:val="20"/>
                <w:szCs w:val="20"/>
                <w:lang w:val="fr-FR"/>
              </w:rPr>
              <w:t>Médiane (mois)</w:t>
            </w:r>
          </w:p>
        </w:tc>
        <w:tc>
          <w:tcPr>
            <w:tcW w:w="2093" w:type="dxa"/>
          </w:tcPr>
          <w:p w14:paraId="6F230C37"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3,4</w:t>
            </w:r>
          </w:p>
        </w:tc>
        <w:tc>
          <w:tcPr>
            <w:tcW w:w="2554" w:type="dxa"/>
          </w:tcPr>
          <w:p w14:paraId="2E9893BE"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6,7</w:t>
            </w:r>
          </w:p>
        </w:tc>
      </w:tr>
      <w:tr w:rsidR="004401F0" w:rsidRPr="00D90DBD" w14:paraId="1F970E9E" w14:textId="77777777" w:rsidTr="00D90DBD">
        <w:trPr>
          <w:cantSplit/>
        </w:trPr>
        <w:tc>
          <w:tcPr>
            <w:tcW w:w="4498" w:type="dxa"/>
          </w:tcPr>
          <w:p w14:paraId="7DE69C0C" w14:textId="77777777" w:rsidR="004401F0" w:rsidRPr="00D90DBD" w:rsidRDefault="00DF3C4F" w:rsidP="00654D21">
            <w:pPr>
              <w:pStyle w:val="TableParagraph"/>
              <w:keepNext/>
              <w:keepLines/>
              <w:adjustRightInd w:val="0"/>
              <w:snapToGrid w:val="0"/>
              <w:ind w:left="450"/>
              <w:rPr>
                <w:sz w:val="20"/>
                <w:szCs w:val="20"/>
                <w:lang w:val="fr-FR"/>
              </w:rPr>
            </w:pPr>
            <w:r w:rsidRPr="00D90DBD">
              <w:rPr>
                <w:sz w:val="20"/>
                <w:szCs w:val="20"/>
                <w:lang w:val="fr-FR"/>
              </w:rPr>
              <w:t>Risque relatif (HR) (IC 95%)</w:t>
            </w:r>
          </w:p>
        </w:tc>
        <w:tc>
          <w:tcPr>
            <w:tcW w:w="4647" w:type="dxa"/>
            <w:gridSpan w:val="2"/>
          </w:tcPr>
          <w:p w14:paraId="12FD6EF9" w14:textId="1EC6BDBA"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0,379 [0,296</w:t>
            </w:r>
            <w:r w:rsidR="00881CB8">
              <w:rPr>
                <w:sz w:val="20"/>
                <w:szCs w:val="20"/>
                <w:lang w:val="fr-FR"/>
              </w:rPr>
              <w:t xml:space="preserve"> ; </w:t>
            </w:r>
            <w:r w:rsidRPr="00D90DBD">
              <w:rPr>
                <w:sz w:val="20"/>
                <w:szCs w:val="20"/>
                <w:lang w:val="fr-FR"/>
              </w:rPr>
              <w:t>0,485]</w:t>
            </w:r>
          </w:p>
        </w:tc>
      </w:tr>
      <w:tr w:rsidR="004401F0" w:rsidRPr="00D90DBD" w14:paraId="29A64D3C" w14:textId="77777777" w:rsidTr="00D90DBD">
        <w:trPr>
          <w:cantSplit/>
        </w:trPr>
        <w:tc>
          <w:tcPr>
            <w:tcW w:w="4498" w:type="dxa"/>
          </w:tcPr>
          <w:p w14:paraId="011873CE" w14:textId="77777777" w:rsidR="004401F0" w:rsidRPr="00D90DBD" w:rsidRDefault="00DF3C4F" w:rsidP="00654D21">
            <w:pPr>
              <w:pStyle w:val="TableParagraph"/>
              <w:keepNext/>
              <w:keepLines/>
              <w:adjustRightInd w:val="0"/>
              <w:snapToGrid w:val="0"/>
              <w:ind w:left="450"/>
              <w:rPr>
                <w:sz w:val="20"/>
                <w:szCs w:val="20"/>
                <w:lang w:val="fr-FR"/>
              </w:rPr>
            </w:pPr>
            <w:r w:rsidRPr="00D90DBD">
              <w:rPr>
                <w:sz w:val="20"/>
                <w:szCs w:val="20"/>
                <w:lang w:val="fr-FR"/>
              </w:rPr>
              <w:t>Valeur du p</w:t>
            </w:r>
          </w:p>
        </w:tc>
        <w:tc>
          <w:tcPr>
            <w:tcW w:w="4647" w:type="dxa"/>
            <w:gridSpan w:val="2"/>
          </w:tcPr>
          <w:p w14:paraId="221F665A"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&lt;0,0001</w:t>
            </w:r>
          </w:p>
        </w:tc>
      </w:tr>
      <w:tr w:rsidR="004401F0" w:rsidRPr="00D90DBD" w14:paraId="1B183998" w14:textId="77777777" w:rsidTr="00D90DBD">
        <w:trPr>
          <w:cantSplit/>
        </w:trPr>
        <w:tc>
          <w:tcPr>
            <w:tcW w:w="9145" w:type="dxa"/>
            <w:gridSpan w:val="3"/>
          </w:tcPr>
          <w:p w14:paraId="6BEDC129"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u w:val="single"/>
                <w:lang w:val="fr-FR"/>
              </w:rPr>
              <w:t>Critères secondaires</w:t>
            </w:r>
          </w:p>
        </w:tc>
      </w:tr>
      <w:tr w:rsidR="004401F0" w:rsidRPr="00D90DBD" w14:paraId="6E1D64D8" w14:textId="77777777" w:rsidTr="00D90DBD">
        <w:trPr>
          <w:cantSplit/>
        </w:trPr>
        <w:tc>
          <w:tcPr>
            <w:tcW w:w="9145" w:type="dxa"/>
            <w:gridSpan w:val="3"/>
          </w:tcPr>
          <w:p w14:paraId="0B664979" w14:textId="77777777" w:rsidR="004401F0" w:rsidRPr="00D90DBD" w:rsidRDefault="00DF3C4F" w:rsidP="00654D21">
            <w:pPr>
              <w:pStyle w:val="TableParagraph"/>
              <w:keepNext/>
              <w:keepLines/>
              <w:adjustRightInd w:val="0"/>
              <w:snapToGrid w:val="0"/>
              <w:rPr>
                <w:sz w:val="20"/>
                <w:szCs w:val="20"/>
                <w:lang w:val="fr-FR"/>
              </w:rPr>
            </w:pPr>
            <w:r w:rsidRPr="00D90DBD">
              <w:rPr>
                <w:sz w:val="20"/>
                <w:szCs w:val="20"/>
                <w:lang w:val="fr-FR"/>
              </w:rPr>
              <w:t>Taux de réponse objective**</w:t>
            </w:r>
          </w:p>
        </w:tc>
      </w:tr>
      <w:tr w:rsidR="004401F0" w:rsidRPr="00D90DBD" w14:paraId="0250D3E4" w14:textId="77777777" w:rsidTr="00D90DBD">
        <w:trPr>
          <w:cantSplit/>
        </w:trPr>
        <w:tc>
          <w:tcPr>
            <w:tcW w:w="4498" w:type="dxa"/>
          </w:tcPr>
          <w:p w14:paraId="78B2B404" w14:textId="77777777" w:rsidR="004401F0" w:rsidRPr="00D90DBD" w:rsidRDefault="004401F0" w:rsidP="00654D21">
            <w:pPr>
              <w:pStyle w:val="TableParagraph"/>
              <w:keepNext/>
              <w:keepLines/>
              <w:adjustRightInd w:val="0"/>
              <w:snapToGrid w:val="0"/>
              <w:rPr>
                <w:sz w:val="20"/>
                <w:szCs w:val="20"/>
                <w:lang w:val="fr-FR"/>
              </w:rPr>
            </w:pPr>
          </w:p>
        </w:tc>
        <w:tc>
          <w:tcPr>
            <w:tcW w:w="2093" w:type="dxa"/>
          </w:tcPr>
          <w:p w14:paraId="735623E5" w14:textId="49694FAD"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CT</w:t>
            </w:r>
            <w:r w:rsidR="00FA054E">
              <w:rPr>
                <w:sz w:val="20"/>
                <w:szCs w:val="20"/>
                <w:lang w:val="fr-FR"/>
              </w:rPr>
              <w:t xml:space="preserve"> </w:t>
            </w:r>
            <w:r w:rsidRPr="00D90DBD">
              <w:rPr>
                <w:sz w:val="20"/>
                <w:szCs w:val="20"/>
                <w:lang w:val="fr-FR"/>
              </w:rPr>
              <w:t>(n=144)</w:t>
            </w:r>
          </w:p>
        </w:tc>
        <w:tc>
          <w:tcPr>
            <w:tcW w:w="2554" w:type="dxa"/>
          </w:tcPr>
          <w:p w14:paraId="44801FCD" w14:textId="68228825"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CT+BV</w:t>
            </w:r>
            <w:r w:rsidR="00FA054E">
              <w:rPr>
                <w:sz w:val="20"/>
                <w:szCs w:val="20"/>
                <w:lang w:val="fr-FR"/>
              </w:rPr>
              <w:t xml:space="preserve"> </w:t>
            </w:r>
            <w:r w:rsidRPr="00D90DBD">
              <w:rPr>
                <w:sz w:val="20"/>
                <w:szCs w:val="20"/>
                <w:lang w:val="fr-FR"/>
              </w:rPr>
              <w:t>(n=142)</w:t>
            </w:r>
          </w:p>
        </w:tc>
      </w:tr>
      <w:tr w:rsidR="004401F0" w:rsidRPr="00D90DBD" w14:paraId="61AB012A" w14:textId="77777777" w:rsidTr="00D90DBD">
        <w:trPr>
          <w:cantSplit/>
        </w:trPr>
        <w:tc>
          <w:tcPr>
            <w:tcW w:w="4498" w:type="dxa"/>
          </w:tcPr>
          <w:p w14:paraId="71DD9230" w14:textId="77777777" w:rsidR="004401F0" w:rsidRPr="00D90DBD" w:rsidRDefault="00DF3C4F" w:rsidP="00654D21">
            <w:pPr>
              <w:pStyle w:val="TableParagraph"/>
              <w:keepNext/>
              <w:keepLines/>
              <w:adjustRightInd w:val="0"/>
              <w:snapToGrid w:val="0"/>
              <w:rPr>
                <w:sz w:val="20"/>
                <w:szCs w:val="20"/>
                <w:lang w:val="fr-FR"/>
              </w:rPr>
            </w:pPr>
            <w:r w:rsidRPr="00D90DBD">
              <w:rPr>
                <w:sz w:val="20"/>
                <w:szCs w:val="20"/>
                <w:lang w:val="fr-FR"/>
              </w:rPr>
              <w:t>% de patientes avec une réponse objective</w:t>
            </w:r>
          </w:p>
        </w:tc>
        <w:tc>
          <w:tcPr>
            <w:tcW w:w="2093" w:type="dxa"/>
          </w:tcPr>
          <w:p w14:paraId="5C3E3CC4"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18 (12,5%)</w:t>
            </w:r>
          </w:p>
        </w:tc>
        <w:tc>
          <w:tcPr>
            <w:tcW w:w="2554" w:type="dxa"/>
          </w:tcPr>
          <w:p w14:paraId="5AAE0963"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40 (28,2%)</w:t>
            </w:r>
          </w:p>
        </w:tc>
      </w:tr>
      <w:tr w:rsidR="004401F0" w:rsidRPr="00D90DBD" w14:paraId="5BBEA53B" w14:textId="77777777" w:rsidTr="00D90DBD">
        <w:trPr>
          <w:cantSplit/>
        </w:trPr>
        <w:tc>
          <w:tcPr>
            <w:tcW w:w="4498" w:type="dxa"/>
          </w:tcPr>
          <w:p w14:paraId="78589F2A" w14:textId="77777777" w:rsidR="004401F0" w:rsidRPr="00D90DBD" w:rsidRDefault="00DF3C4F" w:rsidP="00654D21">
            <w:pPr>
              <w:pStyle w:val="TableParagraph"/>
              <w:keepNext/>
              <w:keepLines/>
              <w:adjustRightInd w:val="0"/>
              <w:snapToGrid w:val="0"/>
              <w:ind w:left="450"/>
              <w:rPr>
                <w:sz w:val="20"/>
                <w:szCs w:val="20"/>
                <w:lang w:val="fr-FR"/>
              </w:rPr>
            </w:pPr>
            <w:r w:rsidRPr="00D90DBD">
              <w:rPr>
                <w:sz w:val="20"/>
                <w:szCs w:val="20"/>
                <w:lang w:val="fr-FR"/>
              </w:rPr>
              <w:t>Valeur du p</w:t>
            </w:r>
          </w:p>
        </w:tc>
        <w:tc>
          <w:tcPr>
            <w:tcW w:w="4647" w:type="dxa"/>
            <w:gridSpan w:val="2"/>
          </w:tcPr>
          <w:p w14:paraId="7ADF1892"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0,0007</w:t>
            </w:r>
          </w:p>
        </w:tc>
      </w:tr>
      <w:tr w:rsidR="004401F0" w:rsidRPr="00D90DBD" w14:paraId="3CB13425" w14:textId="77777777" w:rsidTr="00D90DBD">
        <w:trPr>
          <w:cantSplit/>
        </w:trPr>
        <w:tc>
          <w:tcPr>
            <w:tcW w:w="4498" w:type="dxa"/>
          </w:tcPr>
          <w:p w14:paraId="3BD59C94" w14:textId="7763F91D" w:rsidR="004401F0" w:rsidRPr="00D90DBD" w:rsidRDefault="00DF3C4F" w:rsidP="00654D21">
            <w:pPr>
              <w:pStyle w:val="TableParagraph"/>
              <w:keepNext/>
              <w:keepLines/>
              <w:adjustRightInd w:val="0"/>
              <w:snapToGrid w:val="0"/>
              <w:rPr>
                <w:sz w:val="20"/>
                <w:szCs w:val="20"/>
                <w:lang w:val="fr-FR"/>
              </w:rPr>
            </w:pPr>
            <w:r w:rsidRPr="00D90DBD">
              <w:rPr>
                <w:sz w:val="20"/>
                <w:szCs w:val="20"/>
                <w:lang w:val="fr-FR"/>
              </w:rPr>
              <w:t xml:space="preserve">Survie </w:t>
            </w:r>
            <w:r w:rsidR="00132DFF">
              <w:rPr>
                <w:sz w:val="20"/>
                <w:szCs w:val="20"/>
                <w:lang w:val="fr-FR"/>
              </w:rPr>
              <w:t>g</w:t>
            </w:r>
            <w:r w:rsidRPr="00D90DBD">
              <w:rPr>
                <w:sz w:val="20"/>
                <w:szCs w:val="20"/>
                <w:lang w:val="fr-FR"/>
              </w:rPr>
              <w:t>lobale (analyse finale)***</w:t>
            </w:r>
          </w:p>
        </w:tc>
        <w:tc>
          <w:tcPr>
            <w:tcW w:w="4647" w:type="dxa"/>
            <w:gridSpan w:val="2"/>
          </w:tcPr>
          <w:p w14:paraId="0CE4B2EF" w14:textId="77777777" w:rsidR="004401F0" w:rsidRPr="00D90DBD" w:rsidRDefault="004401F0" w:rsidP="00654D21">
            <w:pPr>
              <w:pStyle w:val="TableParagraph"/>
              <w:keepNext/>
              <w:keepLines/>
              <w:adjustRightInd w:val="0"/>
              <w:snapToGrid w:val="0"/>
              <w:jc w:val="center"/>
              <w:rPr>
                <w:sz w:val="20"/>
                <w:szCs w:val="20"/>
                <w:lang w:val="fr-FR"/>
              </w:rPr>
            </w:pPr>
          </w:p>
        </w:tc>
      </w:tr>
      <w:tr w:rsidR="004401F0" w:rsidRPr="00D90DBD" w14:paraId="23C0954A" w14:textId="77777777" w:rsidTr="00D90DBD">
        <w:trPr>
          <w:cantSplit/>
        </w:trPr>
        <w:tc>
          <w:tcPr>
            <w:tcW w:w="4498" w:type="dxa"/>
          </w:tcPr>
          <w:p w14:paraId="752A478E" w14:textId="77777777" w:rsidR="004401F0" w:rsidRPr="00D90DBD" w:rsidRDefault="004401F0" w:rsidP="00654D21">
            <w:pPr>
              <w:pStyle w:val="TableParagraph"/>
              <w:keepNext/>
              <w:keepLines/>
              <w:adjustRightInd w:val="0"/>
              <w:snapToGrid w:val="0"/>
              <w:rPr>
                <w:sz w:val="20"/>
                <w:szCs w:val="20"/>
                <w:lang w:val="fr-FR"/>
              </w:rPr>
            </w:pPr>
          </w:p>
        </w:tc>
        <w:tc>
          <w:tcPr>
            <w:tcW w:w="2093" w:type="dxa"/>
          </w:tcPr>
          <w:p w14:paraId="720803CD"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CT (n=182)</w:t>
            </w:r>
          </w:p>
        </w:tc>
        <w:tc>
          <w:tcPr>
            <w:tcW w:w="2554" w:type="dxa"/>
          </w:tcPr>
          <w:p w14:paraId="3886BAFF"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CT+BV (n=179)</w:t>
            </w:r>
          </w:p>
        </w:tc>
      </w:tr>
      <w:tr w:rsidR="004401F0" w:rsidRPr="00D90DBD" w14:paraId="3FA3F95B" w14:textId="77777777" w:rsidTr="00D90DBD">
        <w:trPr>
          <w:cantSplit/>
        </w:trPr>
        <w:tc>
          <w:tcPr>
            <w:tcW w:w="4498" w:type="dxa"/>
          </w:tcPr>
          <w:p w14:paraId="2E2C0AC1" w14:textId="77777777" w:rsidR="004401F0" w:rsidRPr="00D90DBD" w:rsidRDefault="00DF3C4F" w:rsidP="00654D21">
            <w:pPr>
              <w:pStyle w:val="TableParagraph"/>
              <w:keepNext/>
              <w:keepLines/>
              <w:adjustRightInd w:val="0"/>
              <w:snapToGrid w:val="0"/>
              <w:ind w:left="450"/>
              <w:rPr>
                <w:sz w:val="20"/>
                <w:szCs w:val="20"/>
                <w:lang w:val="fr-FR"/>
              </w:rPr>
            </w:pPr>
            <w:r w:rsidRPr="00D90DBD">
              <w:rPr>
                <w:sz w:val="20"/>
                <w:szCs w:val="20"/>
                <w:lang w:val="fr-FR"/>
              </w:rPr>
              <w:t>Médiane de la survie globale (mois)</w:t>
            </w:r>
          </w:p>
        </w:tc>
        <w:tc>
          <w:tcPr>
            <w:tcW w:w="2093" w:type="dxa"/>
          </w:tcPr>
          <w:p w14:paraId="6AA563E7"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13,3</w:t>
            </w:r>
          </w:p>
        </w:tc>
        <w:tc>
          <w:tcPr>
            <w:tcW w:w="2554" w:type="dxa"/>
          </w:tcPr>
          <w:p w14:paraId="65F6944B"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16,6</w:t>
            </w:r>
          </w:p>
        </w:tc>
      </w:tr>
      <w:tr w:rsidR="004401F0" w:rsidRPr="00D90DBD" w14:paraId="75D3E6BB" w14:textId="77777777" w:rsidTr="00D90DBD">
        <w:trPr>
          <w:cantSplit/>
        </w:trPr>
        <w:tc>
          <w:tcPr>
            <w:tcW w:w="4498" w:type="dxa"/>
          </w:tcPr>
          <w:p w14:paraId="30C3EAFA" w14:textId="0FCDEDA7" w:rsidR="004401F0" w:rsidRPr="00D90DBD" w:rsidRDefault="00DF3C4F" w:rsidP="00654D21">
            <w:pPr>
              <w:pStyle w:val="TableParagraph"/>
              <w:keepNext/>
              <w:keepLines/>
              <w:adjustRightInd w:val="0"/>
              <w:snapToGrid w:val="0"/>
              <w:ind w:left="450"/>
              <w:rPr>
                <w:sz w:val="20"/>
                <w:szCs w:val="20"/>
                <w:lang w:val="fr-FR"/>
              </w:rPr>
            </w:pPr>
            <w:r w:rsidRPr="00D90DBD">
              <w:rPr>
                <w:sz w:val="20"/>
                <w:szCs w:val="20"/>
                <w:lang w:val="fr-FR"/>
              </w:rPr>
              <w:t>Risque relatif</w:t>
            </w:r>
            <w:r w:rsidR="007D44A4">
              <w:rPr>
                <w:sz w:val="20"/>
                <w:szCs w:val="20"/>
                <w:lang w:val="fr-FR"/>
              </w:rPr>
              <w:t xml:space="preserve"> </w:t>
            </w:r>
            <w:r w:rsidRPr="00D90DBD">
              <w:rPr>
                <w:sz w:val="20"/>
                <w:szCs w:val="20"/>
                <w:lang w:val="fr-FR"/>
              </w:rPr>
              <w:t>(IC 95%)</w:t>
            </w:r>
          </w:p>
        </w:tc>
        <w:tc>
          <w:tcPr>
            <w:tcW w:w="4647" w:type="dxa"/>
            <w:gridSpan w:val="2"/>
          </w:tcPr>
          <w:p w14:paraId="671A44F2" w14:textId="6A22DCF5"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0,870 [0,678</w:t>
            </w:r>
            <w:r w:rsidR="00881CB8">
              <w:rPr>
                <w:sz w:val="20"/>
                <w:szCs w:val="20"/>
                <w:lang w:val="fr-FR"/>
              </w:rPr>
              <w:t xml:space="preserve"> ; </w:t>
            </w:r>
            <w:r w:rsidRPr="00D90DBD">
              <w:rPr>
                <w:sz w:val="20"/>
                <w:szCs w:val="20"/>
                <w:lang w:val="fr-FR"/>
              </w:rPr>
              <w:t>1,116]</w:t>
            </w:r>
          </w:p>
        </w:tc>
      </w:tr>
      <w:tr w:rsidR="004401F0" w:rsidRPr="00D90DBD" w14:paraId="28BF94E3" w14:textId="77777777" w:rsidTr="00D90DBD">
        <w:trPr>
          <w:cantSplit/>
        </w:trPr>
        <w:tc>
          <w:tcPr>
            <w:tcW w:w="4498" w:type="dxa"/>
          </w:tcPr>
          <w:p w14:paraId="5D478693" w14:textId="77777777" w:rsidR="004401F0" w:rsidRPr="00D90DBD" w:rsidRDefault="00DF3C4F" w:rsidP="00654D21">
            <w:pPr>
              <w:pStyle w:val="TableParagraph"/>
              <w:keepNext/>
              <w:keepLines/>
              <w:adjustRightInd w:val="0"/>
              <w:snapToGrid w:val="0"/>
              <w:ind w:left="450"/>
              <w:rPr>
                <w:sz w:val="20"/>
                <w:szCs w:val="20"/>
                <w:lang w:val="fr-FR"/>
              </w:rPr>
            </w:pPr>
            <w:r w:rsidRPr="00D90DBD">
              <w:rPr>
                <w:sz w:val="20"/>
                <w:szCs w:val="20"/>
                <w:lang w:val="fr-FR"/>
              </w:rPr>
              <w:t>Valeur du p</w:t>
            </w:r>
          </w:p>
        </w:tc>
        <w:tc>
          <w:tcPr>
            <w:tcW w:w="4647" w:type="dxa"/>
            <w:gridSpan w:val="2"/>
          </w:tcPr>
          <w:p w14:paraId="1C028BF2" w14:textId="77777777" w:rsidR="004401F0" w:rsidRPr="00D90DBD" w:rsidRDefault="00DF3C4F" w:rsidP="00654D21">
            <w:pPr>
              <w:pStyle w:val="TableParagraph"/>
              <w:keepNext/>
              <w:keepLines/>
              <w:adjustRightInd w:val="0"/>
              <w:snapToGrid w:val="0"/>
              <w:jc w:val="center"/>
              <w:rPr>
                <w:sz w:val="20"/>
                <w:szCs w:val="20"/>
                <w:lang w:val="fr-FR"/>
              </w:rPr>
            </w:pPr>
            <w:r w:rsidRPr="00D90DBD">
              <w:rPr>
                <w:sz w:val="20"/>
                <w:szCs w:val="20"/>
                <w:lang w:val="fr-FR"/>
              </w:rPr>
              <w:t>0,2711</w:t>
            </w:r>
          </w:p>
        </w:tc>
      </w:tr>
    </w:tbl>
    <w:p w14:paraId="58BF975D" w14:textId="77777777" w:rsidR="004401F0" w:rsidRPr="00D90DBD" w:rsidRDefault="00DF3C4F" w:rsidP="00654D21">
      <w:pPr>
        <w:keepNext/>
        <w:keepLines/>
        <w:adjustRightInd w:val="0"/>
        <w:snapToGrid w:val="0"/>
        <w:rPr>
          <w:sz w:val="18"/>
          <w:szCs w:val="18"/>
          <w:lang w:val="fr-FR"/>
        </w:rPr>
      </w:pPr>
      <w:r w:rsidRPr="00D90DBD">
        <w:rPr>
          <w:sz w:val="18"/>
          <w:szCs w:val="18"/>
          <w:lang w:val="fr-FR"/>
        </w:rPr>
        <w:t>Toutes les analyses présentées dans ce tableau sont des analyses stratifiées.</w:t>
      </w:r>
    </w:p>
    <w:p w14:paraId="491EAEE4" w14:textId="77777777" w:rsidR="004401F0" w:rsidRPr="00D90DBD" w:rsidRDefault="00BD4C7C" w:rsidP="00654D21">
      <w:pPr>
        <w:keepNext/>
        <w:keepLines/>
        <w:adjustRightInd w:val="0"/>
        <w:snapToGrid w:val="0"/>
        <w:rPr>
          <w:sz w:val="18"/>
          <w:szCs w:val="18"/>
          <w:lang w:val="fr-FR"/>
        </w:rPr>
      </w:pPr>
      <w:r w:rsidRPr="00D90DBD">
        <w:rPr>
          <w:sz w:val="18"/>
          <w:szCs w:val="18"/>
          <w:lang w:val="fr-FR"/>
        </w:rPr>
        <w:t>*</w:t>
      </w:r>
      <w:r w:rsidR="00F452CD">
        <w:rPr>
          <w:sz w:val="18"/>
          <w:szCs w:val="18"/>
          <w:lang w:val="fr-FR"/>
        </w:rPr>
        <w:t xml:space="preserve"> </w:t>
      </w:r>
      <w:r w:rsidR="00DF3C4F" w:rsidRPr="00D90DBD">
        <w:rPr>
          <w:sz w:val="18"/>
          <w:szCs w:val="18"/>
          <w:lang w:val="fr-FR"/>
        </w:rPr>
        <w:t>L’analyse primaire a été réalisée le 14 Novembre 2011 (cut-off).</w:t>
      </w:r>
    </w:p>
    <w:p w14:paraId="39282E14" w14:textId="77777777" w:rsidR="004401F0" w:rsidRPr="00D90DBD" w:rsidRDefault="00DF3C4F" w:rsidP="00BD4C7C">
      <w:pPr>
        <w:adjustRightInd w:val="0"/>
        <w:snapToGrid w:val="0"/>
        <w:rPr>
          <w:sz w:val="18"/>
          <w:szCs w:val="18"/>
          <w:lang w:val="fr-FR"/>
        </w:rPr>
      </w:pPr>
      <w:r w:rsidRPr="00D90DBD">
        <w:rPr>
          <w:sz w:val="18"/>
          <w:szCs w:val="18"/>
          <w:lang w:val="fr-FR"/>
        </w:rPr>
        <w:t>**Patients randomisés dont la maladie était mesurable lors de l’entrée dans l’étude.</w:t>
      </w:r>
    </w:p>
    <w:p w14:paraId="557C9985" w14:textId="5313C8DC" w:rsidR="004401F0" w:rsidRPr="00D90DBD" w:rsidRDefault="00DF3C4F" w:rsidP="00BD4C7C">
      <w:pPr>
        <w:adjustRightInd w:val="0"/>
        <w:snapToGrid w:val="0"/>
        <w:rPr>
          <w:sz w:val="18"/>
          <w:szCs w:val="18"/>
          <w:lang w:val="fr-FR"/>
        </w:rPr>
      </w:pPr>
      <w:r w:rsidRPr="00D90DBD">
        <w:rPr>
          <w:sz w:val="18"/>
          <w:szCs w:val="18"/>
          <w:lang w:val="fr-FR"/>
        </w:rPr>
        <w:t xml:space="preserve">***L’analyse finale de </w:t>
      </w:r>
      <w:r w:rsidR="00803E4E">
        <w:rPr>
          <w:sz w:val="18"/>
          <w:szCs w:val="18"/>
          <w:lang w:val="fr-FR"/>
        </w:rPr>
        <w:t>l’OS</w:t>
      </w:r>
      <w:r w:rsidRPr="00D90DBD">
        <w:rPr>
          <w:sz w:val="18"/>
          <w:szCs w:val="18"/>
          <w:lang w:val="fr-FR"/>
        </w:rPr>
        <w:t xml:space="preserve"> a été réalisée après que la survenue de 266 décès, représentant 73,7% des patients inclus, ait été observée.</w:t>
      </w:r>
    </w:p>
    <w:p w14:paraId="281A5E82" w14:textId="77777777" w:rsidR="004401F0" w:rsidRPr="007C119A" w:rsidRDefault="004401F0" w:rsidP="00BD4C7C">
      <w:pPr>
        <w:pStyle w:val="a3"/>
        <w:adjustRightInd w:val="0"/>
        <w:snapToGrid w:val="0"/>
        <w:rPr>
          <w:lang w:val="fr-FR"/>
        </w:rPr>
      </w:pPr>
    </w:p>
    <w:p w14:paraId="16A856E1" w14:textId="77777777" w:rsidR="004401F0" w:rsidRPr="00DA7718" w:rsidRDefault="00DF3C4F" w:rsidP="00BD4C7C">
      <w:pPr>
        <w:pStyle w:val="a3"/>
        <w:adjustRightInd w:val="0"/>
        <w:snapToGrid w:val="0"/>
        <w:rPr>
          <w:lang w:val="fr-FR"/>
        </w:rPr>
      </w:pPr>
      <w:r w:rsidRPr="00DA7718">
        <w:rPr>
          <w:lang w:val="fr-FR"/>
        </w:rPr>
        <w:t>L’essai a atteint son objectif principal d’amélioration de la survie sans progression. Comparé aux patientes traitées par chimiothérapie seule (paclitaxel, topotécan ou PLD), en situation de rechute résistante aux sels de platine, les patientes traitées par le bevacizumab à la dose de 10</w:t>
      </w:r>
      <w:r w:rsidR="00DA7718" w:rsidRPr="00DA7718">
        <w:rPr>
          <w:lang w:val="fr-FR"/>
        </w:rPr>
        <w:t> mg</w:t>
      </w:r>
      <w:r w:rsidRPr="00DA7718">
        <w:rPr>
          <w:lang w:val="fr-FR"/>
        </w:rPr>
        <w:t>/kg toutes les 2 semaines (ou 15</w:t>
      </w:r>
      <w:r w:rsidR="00DA7718" w:rsidRPr="00DA7718">
        <w:rPr>
          <w:lang w:val="fr-FR"/>
        </w:rPr>
        <w:t> mg</w:t>
      </w:r>
      <w:r w:rsidRPr="00DA7718">
        <w:rPr>
          <w:lang w:val="fr-FR"/>
        </w:rPr>
        <w:t>/kg toutes les 3 semaines s’il était utilisé en association avec 1,25</w:t>
      </w:r>
      <w:r w:rsidR="00DA7718" w:rsidRPr="00DA7718">
        <w:rPr>
          <w:lang w:val="fr-FR"/>
        </w:rPr>
        <w:t> mg</w:t>
      </w:r>
      <w:r w:rsidRPr="00DA7718">
        <w:rPr>
          <w:lang w:val="fr-FR"/>
        </w:rPr>
        <w:t>/m</w:t>
      </w:r>
      <w:r w:rsidRPr="00DA7718">
        <w:rPr>
          <w:vertAlign w:val="superscript"/>
          <w:lang w:val="fr-FR"/>
        </w:rPr>
        <w:t>2</w:t>
      </w:r>
      <w:r w:rsidRPr="00DA7718">
        <w:rPr>
          <w:lang w:val="fr-FR"/>
        </w:rPr>
        <w:t xml:space="preserve"> de topotécan aux jours 1-5 toutes les 3 semaines) en association à la chimiothérapie et qui ont continué à recevoir le bevacizumab jusqu’à progression de la maladie ou toxicité inacceptable, avaient une amélioration statistiquement significative de la survie sans progression. Les analyses exploratoires de la survie sans progression et de la survie globale par cohorte de chimiothérapie (paclitaxel, topotécan et PLD) sont résumées dans le tableau 24.</w:t>
      </w:r>
    </w:p>
    <w:p w14:paraId="5319AB50" w14:textId="77777777" w:rsidR="00BD4C7C" w:rsidRPr="00DA7718" w:rsidRDefault="00BD4C7C" w:rsidP="00BD4C7C">
      <w:pPr>
        <w:adjustRightInd w:val="0"/>
        <w:snapToGrid w:val="0"/>
        <w:rPr>
          <w:lang w:val="fr-FR"/>
        </w:rPr>
      </w:pPr>
    </w:p>
    <w:p w14:paraId="1ACDF109" w14:textId="5E17B1C4" w:rsidR="004401F0" w:rsidRPr="00AC582F" w:rsidRDefault="00DF3C4F" w:rsidP="00AC582F">
      <w:pPr>
        <w:ind w:left="1276" w:hanging="1276"/>
        <w:rPr>
          <w:b/>
          <w:bCs/>
          <w:lang w:val="fr-FR"/>
        </w:rPr>
      </w:pPr>
      <w:r w:rsidRPr="00AC582F">
        <w:rPr>
          <w:b/>
          <w:bCs/>
          <w:lang w:val="fr-FR"/>
        </w:rPr>
        <w:t xml:space="preserve">Tableau 24 </w:t>
      </w:r>
      <w:r w:rsidR="007002A5" w:rsidRPr="00AC582F">
        <w:rPr>
          <w:b/>
          <w:bCs/>
          <w:lang w:val="fr-FR"/>
        </w:rPr>
        <w:tab/>
      </w:r>
      <w:r w:rsidRPr="00AC582F">
        <w:rPr>
          <w:b/>
          <w:bCs/>
          <w:lang w:val="fr-FR"/>
        </w:rPr>
        <w:t>Analyses exploratoire de la survie sans progression et de la survie globale par cohorte de chimiothérapie</w:t>
      </w:r>
    </w:p>
    <w:p w14:paraId="69A498FE" w14:textId="77777777" w:rsidR="004401F0" w:rsidRPr="007C119A" w:rsidRDefault="004401F0" w:rsidP="00BD4C7C">
      <w:pPr>
        <w:pStyle w:val="a3"/>
        <w:adjustRightInd w:val="0"/>
        <w:snapToGrid w:val="0"/>
        <w:rPr>
          <w:b/>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7"/>
        <w:gridCol w:w="3028"/>
        <w:gridCol w:w="2869"/>
      </w:tblGrid>
      <w:tr w:rsidR="004401F0" w:rsidRPr="00D90DBD" w14:paraId="56A94317" w14:textId="77777777" w:rsidTr="00F452CD">
        <w:trPr>
          <w:cantSplit/>
          <w:tblHeader/>
        </w:trPr>
        <w:tc>
          <w:tcPr>
            <w:tcW w:w="2971" w:type="dxa"/>
          </w:tcPr>
          <w:p w14:paraId="6A8E4759" w14:textId="77777777" w:rsidR="004401F0" w:rsidRPr="00D90DBD" w:rsidRDefault="004401F0" w:rsidP="00D90DBD">
            <w:pPr>
              <w:pStyle w:val="TableParagraph"/>
              <w:adjustRightInd w:val="0"/>
              <w:snapToGrid w:val="0"/>
              <w:rPr>
                <w:sz w:val="20"/>
                <w:szCs w:val="20"/>
                <w:lang w:val="fr-FR"/>
              </w:rPr>
            </w:pPr>
          </w:p>
        </w:tc>
        <w:tc>
          <w:tcPr>
            <w:tcW w:w="2841" w:type="dxa"/>
          </w:tcPr>
          <w:p w14:paraId="6F5423EE"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CT</w:t>
            </w:r>
          </w:p>
        </w:tc>
        <w:tc>
          <w:tcPr>
            <w:tcW w:w="2692" w:type="dxa"/>
          </w:tcPr>
          <w:p w14:paraId="09F3524E"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CT+BV</w:t>
            </w:r>
          </w:p>
        </w:tc>
      </w:tr>
      <w:tr w:rsidR="004401F0" w:rsidRPr="00D90DBD" w14:paraId="5E5E9A3F" w14:textId="77777777" w:rsidTr="00F452CD">
        <w:trPr>
          <w:cantSplit/>
        </w:trPr>
        <w:tc>
          <w:tcPr>
            <w:tcW w:w="2971" w:type="dxa"/>
          </w:tcPr>
          <w:p w14:paraId="367FB182" w14:textId="77777777" w:rsidR="004401F0" w:rsidRPr="00D90DBD" w:rsidRDefault="00DF3C4F" w:rsidP="00B40553">
            <w:pPr>
              <w:pStyle w:val="TableParagraph"/>
              <w:adjustRightInd w:val="0"/>
              <w:snapToGrid w:val="0"/>
              <w:jc w:val="center"/>
              <w:rPr>
                <w:b/>
                <w:sz w:val="20"/>
                <w:szCs w:val="20"/>
                <w:lang w:val="fr-FR"/>
              </w:rPr>
            </w:pPr>
            <w:r w:rsidRPr="00D90DBD">
              <w:rPr>
                <w:b/>
                <w:sz w:val="20"/>
                <w:szCs w:val="20"/>
                <w:lang w:val="fr-FR"/>
              </w:rPr>
              <w:t>Paclitaxel</w:t>
            </w:r>
          </w:p>
        </w:tc>
        <w:tc>
          <w:tcPr>
            <w:tcW w:w="5533" w:type="dxa"/>
            <w:gridSpan w:val="2"/>
          </w:tcPr>
          <w:p w14:paraId="5BC98E22"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n=115</w:t>
            </w:r>
          </w:p>
        </w:tc>
      </w:tr>
      <w:tr w:rsidR="004401F0" w:rsidRPr="00D90DBD" w14:paraId="2E03D69A" w14:textId="77777777" w:rsidTr="00F452CD">
        <w:trPr>
          <w:cantSplit/>
        </w:trPr>
        <w:tc>
          <w:tcPr>
            <w:tcW w:w="2971" w:type="dxa"/>
          </w:tcPr>
          <w:p w14:paraId="6E50524D"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Médiane de la survie sans</w:t>
            </w:r>
          </w:p>
          <w:p w14:paraId="1A725800"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progression (mois)</w:t>
            </w:r>
          </w:p>
        </w:tc>
        <w:tc>
          <w:tcPr>
            <w:tcW w:w="2841" w:type="dxa"/>
          </w:tcPr>
          <w:p w14:paraId="2FA6AD93"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3,9</w:t>
            </w:r>
          </w:p>
        </w:tc>
        <w:tc>
          <w:tcPr>
            <w:tcW w:w="2692" w:type="dxa"/>
          </w:tcPr>
          <w:p w14:paraId="285DB55F"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9,2</w:t>
            </w:r>
          </w:p>
        </w:tc>
      </w:tr>
      <w:tr w:rsidR="004401F0" w:rsidRPr="00D90DBD" w14:paraId="52B19E54" w14:textId="77777777" w:rsidTr="00F452CD">
        <w:trPr>
          <w:cantSplit/>
        </w:trPr>
        <w:tc>
          <w:tcPr>
            <w:tcW w:w="2971" w:type="dxa"/>
          </w:tcPr>
          <w:p w14:paraId="644CAAA9"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Risque Relatif (IC 95%)</w:t>
            </w:r>
          </w:p>
        </w:tc>
        <w:tc>
          <w:tcPr>
            <w:tcW w:w="5533" w:type="dxa"/>
            <w:gridSpan w:val="2"/>
          </w:tcPr>
          <w:p w14:paraId="6C3BF1A1" w14:textId="5683932C"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0,47 [0,31</w:t>
            </w:r>
            <w:r w:rsidR="00881CB8">
              <w:rPr>
                <w:sz w:val="20"/>
                <w:szCs w:val="20"/>
                <w:lang w:val="fr-FR"/>
              </w:rPr>
              <w:t xml:space="preserve"> ; </w:t>
            </w:r>
            <w:r w:rsidRPr="00D90DBD">
              <w:rPr>
                <w:sz w:val="20"/>
                <w:szCs w:val="20"/>
                <w:lang w:val="fr-FR"/>
              </w:rPr>
              <w:t>0,72]</w:t>
            </w:r>
          </w:p>
        </w:tc>
      </w:tr>
      <w:tr w:rsidR="004401F0" w:rsidRPr="00D90DBD" w14:paraId="7EB193F6" w14:textId="77777777" w:rsidTr="00F452CD">
        <w:trPr>
          <w:cantSplit/>
        </w:trPr>
        <w:tc>
          <w:tcPr>
            <w:tcW w:w="2971" w:type="dxa"/>
          </w:tcPr>
          <w:p w14:paraId="0313EBA3"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Médiane de la survie globale (mois)</w:t>
            </w:r>
          </w:p>
        </w:tc>
        <w:tc>
          <w:tcPr>
            <w:tcW w:w="2841" w:type="dxa"/>
          </w:tcPr>
          <w:p w14:paraId="2E438E01"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13,2</w:t>
            </w:r>
          </w:p>
        </w:tc>
        <w:tc>
          <w:tcPr>
            <w:tcW w:w="2692" w:type="dxa"/>
          </w:tcPr>
          <w:p w14:paraId="70AB8245"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22,4</w:t>
            </w:r>
          </w:p>
        </w:tc>
      </w:tr>
      <w:tr w:rsidR="004401F0" w:rsidRPr="00D90DBD" w14:paraId="66068B15" w14:textId="77777777" w:rsidTr="00F452CD">
        <w:trPr>
          <w:cantSplit/>
        </w:trPr>
        <w:tc>
          <w:tcPr>
            <w:tcW w:w="2971" w:type="dxa"/>
          </w:tcPr>
          <w:p w14:paraId="7D865127"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Risque Relatif (IC 95%)</w:t>
            </w:r>
          </w:p>
        </w:tc>
        <w:tc>
          <w:tcPr>
            <w:tcW w:w="5533" w:type="dxa"/>
            <w:gridSpan w:val="2"/>
          </w:tcPr>
          <w:p w14:paraId="24E45110" w14:textId="10B1D59B"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0,64 [0,41</w:t>
            </w:r>
            <w:r w:rsidR="00881CB8">
              <w:rPr>
                <w:sz w:val="20"/>
                <w:szCs w:val="20"/>
                <w:lang w:val="fr-FR"/>
              </w:rPr>
              <w:t xml:space="preserve"> ; </w:t>
            </w:r>
            <w:r w:rsidRPr="00D90DBD">
              <w:rPr>
                <w:sz w:val="20"/>
                <w:szCs w:val="20"/>
                <w:lang w:val="fr-FR"/>
              </w:rPr>
              <w:t>0,99]</w:t>
            </w:r>
          </w:p>
        </w:tc>
      </w:tr>
      <w:tr w:rsidR="004401F0" w:rsidRPr="00D90DBD" w14:paraId="6749B805" w14:textId="77777777" w:rsidTr="00F452CD">
        <w:trPr>
          <w:cantSplit/>
        </w:trPr>
        <w:tc>
          <w:tcPr>
            <w:tcW w:w="2971" w:type="dxa"/>
          </w:tcPr>
          <w:p w14:paraId="24128E48" w14:textId="77777777" w:rsidR="004401F0" w:rsidRPr="00D90DBD" w:rsidRDefault="00DF3C4F" w:rsidP="00B40553">
            <w:pPr>
              <w:pStyle w:val="TableParagraph"/>
              <w:adjustRightInd w:val="0"/>
              <w:snapToGrid w:val="0"/>
              <w:jc w:val="center"/>
              <w:rPr>
                <w:b/>
                <w:sz w:val="20"/>
                <w:szCs w:val="20"/>
                <w:lang w:val="fr-FR"/>
              </w:rPr>
            </w:pPr>
            <w:r w:rsidRPr="00D90DBD">
              <w:rPr>
                <w:b/>
                <w:sz w:val="20"/>
                <w:szCs w:val="20"/>
                <w:lang w:val="fr-FR"/>
              </w:rPr>
              <w:t>Topotécan</w:t>
            </w:r>
          </w:p>
        </w:tc>
        <w:tc>
          <w:tcPr>
            <w:tcW w:w="5533" w:type="dxa"/>
            <w:gridSpan w:val="2"/>
          </w:tcPr>
          <w:p w14:paraId="76E917FA"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n=120</w:t>
            </w:r>
          </w:p>
        </w:tc>
      </w:tr>
      <w:tr w:rsidR="004401F0" w:rsidRPr="00D90DBD" w14:paraId="7ED5428D" w14:textId="77777777" w:rsidTr="00F452CD">
        <w:trPr>
          <w:cantSplit/>
        </w:trPr>
        <w:tc>
          <w:tcPr>
            <w:tcW w:w="2971" w:type="dxa"/>
          </w:tcPr>
          <w:p w14:paraId="12258EBB"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Médiane de la survie sans progression (mois)</w:t>
            </w:r>
          </w:p>
        </w:tc>
        <w:tc>
          <w:tcPr>
            <w:tcW w:w="2841" w:type="dxa"/>
          </w:tcPr>
          <w:p w14:paraId="45E15986"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2,1</w:t>
            </w:r>
          </w:p>
        </w:tc>
        <w:tc>
          <w:tcPr>
            <w:tcW w:w="2692" w:type="dxa"/>
          </w:tcPr>
          <w:p w14:paraId="71344F5B"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6,2</w:t>
            </w:r>
          </w:p>
        </w:tc>
      </w:tr>
      <w:tr w:rsidR="004401F0" w:rsidRPr="00D90DBD" w14:paraId="5591BD73" w14:textId="77777777" w:rsidTr="00F452CD">
        <w:trPr>
          <w:cantSplit/>
        </w:trPr>
        <w:tc>
          <w:tcPr>
            <w:tcW w:w="2971" w:type="dxa"/>
          </w:tcPr>
          <w:p w14:paraId="56671C06"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Risque Relatif (IC 95%)</w:t>
            </w:r>
          </w:p>
        </w:tc>
        <w:tc>
          <w:tcPr>
            <w:tcW w:w="5533" w:type="dxa"/>
            <w:gridSpan w:val="2"/>
          </w:tcPr>
          <w:p w14:paraId="4CAAF54F" w14:textId="115C4DE3"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0,28 [0,18</w:t>
            </w:r>
            <w:r w:rsidR="00881CB8">
              <w:rPr>
                <w:sz w:val="20"/>
                <w:szCs w:val="20"/>
                <w:lang w:val="fr-FR"/>
              </w:rPr>
              <w:t xml:space="preserve"> ; </w:t>
            </w:r>
            <w:r w:rsidRPr="00D90DBD">
              <w:rPr>
                <w:sz w:val="20"/>
                <w:szCs w:val="20"/>
                <w:lang w:val="fr-FR"/>
              </w:rPr>
              <w:t>0,44]</w:t>
            </w:r>
          </w:p>
        </w:tc>
      </w:tr>
      <w:tr w:rsidR="004401F0" w:rsidRPr="00D90DBD" w14:paraId="40EE37E3" w14:textId="77777777" w:rsidTr="00F452CD">
        <w:trPr>
          <w:cantSplit/>
        </w:trPr>
        <w:tc>
          <w:tcPr>
            <w:tcW w:w="2971" w:type="dxa"/>
          </w:tcPr>
          <w:p w14:paraId="531DD83E"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Médiane de la survie globale</w:t>
            </w:r>
          </w:p>
          <w:p w14:paraId="3AFD98D7"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(mois)</w:t>
            </w:r>
          </w:p>
        </w:tc>
        <w:tc>
          <w:tcPr>
            <w:tcW w:w="2841" w:type="dxa"/>
          </w:tcPr>
          <w:p w14:paraId="2DDD5389"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13,3</w:t>
            </w:r>
          </w:p>
        </w:tc>
        <w:tc>
          <w:tcPr>
            <w:tcW w:w="2692" w:type="dxa"/>
          </w:tcPr>
          <w:p w14:paraId="1EDA8A09"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13,8</w:t>
            </w:r>
          </w:p>
        </w:tc>
      </w:tr>
      <w:tr w:rsidR="004401F0" w:rsidRPr="00D90DBD" w14:paraId="3D249612" w14:textId="77777777" w:rsidTr="00F452CD">
        <w:trPr>
          <w:cantSplit/>
        </w:trPr>
        <w:tc>
          <w:tcPr>
            <w:tcW w:w="2971" w:type="dxa"/>
          </w:tcPr>
          <w:p w14:paraId="0DE2D749"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Risque Relatif (IC 95%)</w:t>
            </w:r>
          </w:p>
        </w:tc>
        <w:tc>
          <w:tcPr>
            <w:tcW w:w="5533" w:type="dxa"/>
            <w:gridSpan w:val="2"/>
          </w:tcPr>
          <w:p w14:paraId="5269BA80" w14:textId="1D24C83F"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1,07 [0,70</w:t>
            </w:r>
            <w:r w:rsidR="00881CB8">
              <w:rPr>
                <w:sz w:val="20"/>
                <w:szCs w:val="20"/>
                <w:lang w:val="fr-FR"/>
              </w:rPr>
              <w:t xml:space="preserve"> ; </w:t>
            </w:r>
            <w:r w:rsidRPr="00D90DBD">
              <w:rPr>
                <w:sz w:val="20"/>
                <w:szCs w:val="20"/>
                <w:lang w:val="fr-FR"/>
              </w:rPr>
              <w:t>1,63]</w:t>
            </w:r>
          </w:p>
        </w:tc>
      </w:tr>
      <w:tr w:rsidR="004401F0" w:rsidRPr="00D90DBD" w14:paraId="2E2F5BBE" w14:textId="77777777" w:rsidTr="00F452CD">
        <w:trPr>
          <w:cantSplit/>
        </w:trPr>
        <w:tc>
          <w:tcPr>
            <w:tcW w:w="2971" w:type="dxa"/>
          </w:tcPr>
          <w:p w14:paraId="3F9DF4A6" w14:textId="77777777" w:rsidR="004401F0" w:rsidRPr="00D90DBD" w:rsidRDefault="00DF3C4F" w:rsidP="00B40553">
            <w:pPr>
              <w:pStyle w:val="TableParagraph"/>
              <w:adjustRightInd w:val="0"/>
              <w:snapToGrid w:val="0"/>
              <w:jc w:val="center"/>
              <w:rPr>
                <w:b/>
                <w:sz w:val="20"/>
                <w:szCs w:val="20"/>
                <w:lang w:val="fr-FR"/>
              </w:rPr>
            </w:pPr>
            <w:r w:rsidRPr="00D90DBD">
              <w:rPr>
                <w:b/>
                <w:sz w:val="20"/>
                <w:szCs w:val="20"/>
                <w:lang w:val="fr-FR"/>
              </w:rPr>
              <w:t>Doxorubicine liposomale pégylée (PLD)</w:t>
            </w:r>
          </w:p>
        </w:tc>
        <w:tc>
          <w:tcPr>
            <w:tcW w:w="5533" w:type="dxa"/>
            <w:gridSpan w:val="2"/>
          </w:tcPr>
          <w:p w14:paraId="29BF626B"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n=126</w:t>
            </w:r>
          </w:p>
        </w:tc>
      </w:tr>
      <w:tr w:rsidR="004401F0" w:rsidRPr="00D90DBD" w14:paraId="08D912BE" w14:textId="77777777" w:rsidTr="00F452CD">
        <w:trPr>
          <w:cantSplit/>
        </w:trPr>
        <w:tc>
          <w:tcPr>
            <w:tcW w:w="2971" w:type="dxa"/>
          </w:tcPr>
          <w:p w14:paraId="69DF5CB1"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Médiane de la survie sans</w:t>
            </w:r>
          </w:p>
          <w:p w14:paraId="38F3D5E2"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progression (mois)</w:t>
            </w:r>
          </w:p>
        </w:tc>
        <w:tc>
          <w:tcPr>
            <w:tcW w:w="2841" w:type="dxa"/>
          </w:tcPr>
          <w:p w14:paraId="7D6101EF"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3,5</w:t>
            </w:r>
          </w:p>
        </w:tc>
        <w:tc>
          <w:tcPr>
            <w:tcW w:w="2692" w:type="dxa"/>
          </w:tcPr>
          <w:p w14:paraId="0D942EEE"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5,1</w:t>
            </w:r>
          </w:p>
        </w:tc>
      </w:tr>
      <w:tr w:rsidR="004401F0" w:rsidRPr="00D90DBD" w14:paraId="14091C0C" w14:textId="77777777" w:rsidTr="00F452CD">
        <w:trPr>
          <w:cantSplit/>
        </w:trPr>
        <w:tc>
          <w:tcPr>
            <w:tcW w:w="2971" w:type="dxa"/>
          </w:tcPr>
          <w:p w14:paraId="0AB0B1EF"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Risque Relatif (IC 95%)</w:t>
            </w:r>
          </w:p>
        </w:tc>
        <w:tc>
          <w:tcPr>
            <w:tcW w:w="5533" w:type="dxa"/>
            <w:gridSpan w:val="2"/>
          </w:tcPr>
          <w:p w14:paraId="37A6C610" w14:textId="2722D701"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0,53 [0,36</w:t>
            </w:r>
            <w:r w:rsidR="00881CB8">
              <w:rPr>
                <w:sz w:val="20"/>
                <w:szCs w:val="20"/>
                <w:lang w:val="fr-FR"/>
              </w:rPr>
              <w:t xml:space="preserve"> ; </w:t>
            </w:r>
            <w:r w:rsidRPr="00D90DBD">
              <w:rPr>
                <w:sz w:val="20"/>
                <w:szCs w:val="20"/>
                <w:lang w:val="fr-FR"/>
              </w:rPr>
              <w:t>0,77]</w:t>
            </w:r>
          </w:p>
        </w:tc>
      </w:tr>
      <w:tr w:rsidR="004401F0" w:rsidRPr="00D90DBD" w14:paraId="47EB1166" w14:textId="77777777" w:rsidTr="00F452CD">
        <w:trPr>
          <w:cantSplit/>
        </w:trPr>
        <w:tc>
          <w:tcPr>
            <w:tcW w:w="2971" w:type="dxa"/>
          </w:tcPr>
          <w:p w14:paraId="3C85AFBB"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Médiane de la survie globale (mois)</w:t>
            </w:r>
          </w:p>
        </w:tc>
        <w:tc>
          <w:tcPr>
            <w:tcW w:w="2841" w:type="dxa"/>
          </w:tcPr>
          <w:p w14:paraId="6FB37BB0"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14,1</w:t>
            </w:r>
          </w:p>
        </w:tc>
        <w:tc>
          <w:tcPr>
            <w:tcW w:w="2692" w:type="dxa"/>
          </w:tcPr>
          <w:p w14:paraId="539CF836"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13,7</w:t>
            </w:r>
          </w:p>
        </w:tc>
      </w:tr>
      <w:tr w:rsidR="004401F0" w:rsidRPr="00D90DBD" w14:paraId="02300862" w14:textId="77777777" w:rsidTr="00F452CD">
        <w:trPr>
          <w:cantSplit/>
        </w:trPr>
        <w:tc>
          <w:tcPr>
            <w:tcW w:w="2971" w:type="dxa"/>
          </w:tcPr>
          <w:p w14:paraId="20075178" w14:textId="77777777" w:rsidR="004401F0" w:rsidRPr="00D90DBD" w:rsidRDefault="00DF3C4F" w:rsidP="00B40553">
            <w:pPr>
              <w:pStyle w:val="TableParagraph"/>
              <w:adjustRightInd w:val="0"/>
              <w:snapToGrid w:val="0"/>
              <w:jc w:val="center"/>
              <w:rPr>
                <w:sz w:val="20"/>
                <w:szCs w:val="20"/>
                <w:lang w:val="fr-FR"/>
              </w:rPr>
            </w:pPr>
            <w:r w:rsidRPr="00D90DBD">
              <w:rPr>
                <w:sz w:val="20"/>
                <w:szCs w:val="20"/>
                <w:lang w:val="fr-FR"/>
              </w:rPr>
              <w:t>Risque Relatif (IC 95%)</w:t>
            </w:r>
          </w:p>
        </w:tc>
        <w:tc>
          <w:tcPr>
            <w:tcW w:w="5533" w:type="dxa"/>
            <w:gridSpan w:val="2"/>
          </w:tcPr>
          <w:p w14:paraId="53CD3326" w14:textId="7E9F0B1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0,91 [0,61</w:t>
            </w:r>
            <w:r w:rsidR="00881CB8">
              <w:rPr>
                <w:sz w:val="20"/>
                <w:szCs w:val="20"/>
                <w:lang w:val="fr-FR"/>
              </w:rPr>
              <w:t xml:space="preserve"> ; </w:t>
            </w:r>
            <w:r w:rsidRPr="00D90DBD">
              <w:rPr>
                <w:sz w:val="20"/>
                <w:szCs w:val="20"/>
                <w:lang w:val="fr-FR"/>
              </w:rPr>
              <w:t>1,35]</w:t>
            </w:r>
          </w:p>
        </w:tc>
      </w:tr>
    </w:tbl>
    <w:p w14:paraId="07BE4756" w14:textId="77777777" w:rsidR="004401F0" w:rsidRPr="00DA7718" w:rsidRDefault="004401F0" w:rsidP="00BD4C7C">
      <w:pPr>
        <w:pStyle w:val="a3"/>
        <w:adjustRightInd w:val="0"/>
        <w:snapToGrid w:val="0"/>
        <w:rPr>
          <w:b/>
          <w:lang w:val="fr-FR"/>
        </w:rPr>
      </w:pPr>
    </w:p>
    <w:p w14:paraId="29C35668" w14:textId="77777777" w:rsidR="004401F0" w:rsidRPr="00DA7718" w:rsidRDefault="00DF3C4F" w:rsidP="00654D21">
      <w:pPr>
        <w:keepNext/>
        <w:keepLines/>
        <w:adjustRightInd w:val="0"/>
        <w:snapToGrid w:val="0"/>
        <w:rPr>
          <w:i/>
          <w:lang w:val="fr-FR"/>
        </w:rPr>
      </w:pPr>
      <w:r w:rsidRPr="00DA7718">
        <w:rPr>
          <w:i/>
          <w:u w:val="single"/>
          <w:lang w:val="fr-FR"/>
        </w:rPr>
        <w:lastRenderedPageBreak/>
        <w:t>Cancer du col de l’utérus</w:t>
      </w:r>
    </w:p>
    <w:p w14:paraId="45D6AC0A" w14:textId="77777777" w:rsidR="004401F0" w:rsidRPr="003F4D24" w:rsidRDefault="004401F0" w:rsidP="00654D21">
      <w:pPr>
        <w:pStyle w:val="a3"/>
        <w:keepNext/>
        <w:keepLines/>
        <w:adjustRightInd w:val="0"/>
        <w:snapToGrid w:val="0"/>
        <w:rPr>
          <w:i/>
          <w:lang w:val="fr-FR"/>
        </w:rPr>
      </w:pPr>
    </w:p>
    <w:p w14:paraId="5792C52C" w14:textId="77777777" w:rsidR="004401F0" w:rsidRPr="00DA7718" w:rsidRDefault="00DF3C4F" w:rsidP="00654D21">
      <w:pPr>
        <w:keepNext/>
        <w:keepLines/>
        <w:adjustRightInd w:val="0"/>
        <w:snapToGrid w:val="0"/>
        <w:rPr>
          <w:i/>
          <w:lang w:val="fr-FR"/>
        </w:rPr>
      </w:pPr>
      <w:r w:rsidRPr="00DA7718">
        <w:rPr>
          <w:i/>
          <w:lang w:val="fr-FR"/>
        </w:rPr>
        <w:t>GOG-0240</w:t>
      </w:r>
    </w:p>
    <w:p w14:paraId="34A320B9" w14:textId="390D83E1" w:rsidR="004401F0" w:rsidRPr="00DA7718" w:rsidRDefault="00DF3C4F" w:rsidP="00885892">
      <w:pPr>
        <w:pStyle w:val="a3"/>
        <w:adjustRightInd w:val="0"/>
        <w:snapToGrid w:val="0"/>
        <w:rPr>
          <w:lang w:val="fr-FR"/>
        </w:rPr>
      </w:pPr>
      <w:r w:rsidRPr="00DA7718">
        <w:rPr>
          <w:lang w:val="fr-FR"/>
        </w:rPr>
        <w:t xml:space="preserve">L’efficacité et la sécurité </w:t>
      </w:r>
      <w:r w:rsidR="0012562C">
        <w:rPr>
          <w:lang w:val="fr-FR"/>
        </w:rPr>
        <w:t>du bevacizumab</w:t>
      </w:r>
      <w:r w:rsidR="0012562C" w:rsidRPr="00DA7718">
        <w:rPr>
          <w:lang w:val="fr-FR"/>
        </w:rPr>
        <w:t xml:space="preserve"> </w:t>
      </w:r>
      <w:r w:rsidRPr="00DA7718">
        <w:rPr>
          <w:lang w:val="fr-FR"/>
        </w:rPr>
        <w:t>en association à une chimiothérapie (paclitaxel et cisplatine ou paclitaxel et topotécan) dans le traitement des patientes atteintes d’un carcinome du col de l’utérus persistant, en rechute ou métastatique, ont été évaluées dans le cadre de l’étude GOG-0240, un essai de phase III, randomisé, à quatre</w:t>
      </w:r>
      <w:r w:rsidR="00635A62">
        <w:rPr>
          <w:lang w:val="fr-FR"/>
        </w:rPr>
        <w:t xml:space="preserve"> </w:t>
      </w:r>
      <w:r w:rsidRPr="00DA7718">
        <w:rPr>
          <w:lang w:val="fr-FR"/>
        </w:rPr>
        <w:t>bras, en ouvert, multicentrique.</w:t>
      </w:r>
    </w:p>
    <w:p w14:paraId="712B16B8" w14:textId="77777777" w:rsidR="004401F0" w:rsidRPr="007C119A" w:rsidRDefault="004401F0" w:rsidP="00BD4C7C">
      <w:pPr>
        <w:pStyle w:val="a3"/>
        <w:adjustRightInd w:val="0"/>
        <w:snapToGrid w:val="0"/>
        <w:rPr>
          <w:lang w:val="fr-FR"/>
        </w:rPr>
      </w:pPr>
    </w:p>
    <w:p w14:paraId="1D1395EB" w14:textId="77777777" w:rsidR="004401F0" w:rsidRPr="00DA7718" w:rsidRDefault="00DF3C4F" w:rsidP="00BD4C7C">
      <w:pPr>
        <w:pStyle w:val="a3"/>
        <w:adjustRightInd w:val="0"/>
        <w:snapToGrid w:val="0"/>
        <w:rPr>
          <w:lang w:val="fr-FR"/>
        </w:rPr>
      </w:pPr>
      <w:r w:rsidRPr="00DA7718">
        <w:rPr>
          <w:lang w:val="fr-FR"/>
        </w:rPr>
        <w:t>Un total de 452 patientes a été randomisé afin de recevoir soit :</w:t>
      </w:r>
    </w:p>
    <w:p w14:paraId="136B22A1" w14:textId="77777777" w:rsidR="004401F0" w:rsidRPr="00DA7718" w:rsidRDefault="004401F0" w:rsidP="00BD4C7C">
      <w:pPr>
        <w:pStyle w:val="a3"/>
        <w:adjustRightInd w:val="0"/>
        <w:snapToGrid w:val="0"/>
        <w:rPr>
          <w:lang w:val="fr-FR"/>
        </w:rPr>
      </w:pPr>
    </w:p>
    <w:p w14:paraId="101C2E31" w14:textId="3350E7E5" w:rsidR="004401F0" w:rsidRPr="00DA7718" w:rsidRDefault="00BD4C7C" w:rsidP="00F452CD">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Paclitaxel 135</w:t>
      </w:r>
      <w:r w:rsidR="00DA7718" w:rsidRPr="00DA7718">
        <w:rPr>
          <w:lang w:val="fr-FR"/>
        </w:rPr>
        <w:t> mg</w:t>
      </w:r>
      <w:r w:rsidR="00DF3C4F" w:rsidRPr="00DA7718">
        <w:rPr>
          <w:lang w:val="fr-FR"/>
        </w:rPr>
        <w:t xml:space="preserve">/m² en perfusion </w:t>
      </w:r>
      <w:r w:rsidR="0012562C">
        <w:rPr>
          <w:lang w:val="fr-FR"/>
        </w:rPr>
        <w:t>intraveineuse</w:t>
      </w:r>
      <w:r w:rsidR="0012562C" w:rsidRPr="00DA7718">
        <w:rPr>
          <w:lang w:val="fr-FR"/>
        </w:rPr>
        <w:t xml:space="preserve"> </w:t>
      </w:r>
      <w:r w:rsidR="00DF3C4F" w:rsidRPr="00DA7718">
        <w:rPr>
          <w:lang w:val="fr-FR"/>
        </w:rPr>
        <w:t>de 24 heures au jour 1 et cisplatine 50</w:t>
      </w:r>
      <w:r w:rsidR="00DA7718" w:rsidRPr="00DA7718">
        <w:rPr>
          <w:lang w:val="fr-FR"/>
        </w:rPr>
        <w:t> mg</w:t>
      </w:r>
      <w:r w:rsidR="00DF3C4F" w:rsidRPr="00DA7718">
        <w:rPr>
          <w:lang w:val="fr-FR"/>
        </w:rPr>
        <w:t xml:space="preserve">/m² en perfusion </w:t>
      </w:r>
      <w:r w:rsidR="0012562C">
        <w:rPr>
          <w:lang w:val="fr-FR"/>
        </w:rPr>
        <w:t>intraveineuse</w:t>
      </w:r>
      <w:r w:rsidR="0012562C" w:rsidRPr="00DA7718">
        <w:rPr>
          <w:lang w:val="fr-FR"/>
        </w:rPr>
        <w:t xml:space="preserve"> </w:t>
      </w:r>
      <w:r w:rsidR="00DF3C4F" w:rsidRPr="00DA7718">
        <w:rPr>
          <w:lang w:val="fr-FR"/>
        </w:rPr>
        <w:t>au jour 2, toutes les trois semaines ou,</w:t>
      </w:r>
    </w:p>
    <w:p w14:paraId="2424CE04" w14:textId="55647376" w:rsidR="004401F0" w:rsidRPr="00DA7718" w:rsidRDefault="00F452CD" w:rsidP="00F452CD">
      <w:pPr>
        <w:pStyle w:val="a3"/>
        <w:adjustRightInd w:val="0"/>
        <w:snapToGrid w:val="0"/>
        <w:ind w:left="567" w:hanging="567"/>
        <w:rPr>
          <w:lang w:val="fr-FR"/>
        </w:rPr>
      </w:pPr>
      <w:r>
        <w:rPr>
          <w:lang w:val="fr-FR"/>
        </w:rPr>
        <w:tab/>
      </w:r>
      <w:r w:rsidR="00DF3C4F" w:rsidRPr="00DA7718">
        <w:rPr>
          <w:lang w:val="fr-FR"/>
        </w:rPr>
        <w:t>Paclitaxel 175</w:t>
      </w:r>
      <w:r w:rsidR="00DA7718" w:rsidRPr="00DA7718">
        <w:rPr>
          <w:lang w:val="fr-FR"/>
        </w:rPr>
        <w:t> mg</w:t>
      </w:r>
      <w:r w:rsidR="00DF3C4F" w:rsidRPr="00DA7718">
        <w:rPr>
          <w:lang w:val="fr-FR"/>
        </w:rPr>
        <w:t xml:space="preserve">/m² en perfusion </w:t>
      </w:r>
      <w:r w:rsidR="0012562C">
        <w:rPr>
          <w:lang w:val="fr-FR"/>
        </w:rPr>
        <w:t>intraveineuse</w:t>
      </w:r>
      <w:r w:rsidR="0012562C" w:rsidRPr="00DA7718">
        <w:rPr>
          <w:lang w:val="fr-FR"/>
        </w:rPr>
        <w:t xml:space="preserve"> </w:t>
      </w:r>
      <w:r w:rsidR="00DF3C4F" w:rsidRPr="00DA7718">
        <w:rPr>
          <w:lang w:val="fr-FR"/>
        </w:rPr>
        <w:t>de 3 heures au jour 1 et cisplatine 50</w:t>
      </w:r>
      <w:r w:rsidR="00DA7718" w:rsidRPr="00DA7718">
        <w:rPr>
          <w:lang w:val="fr-FR"/>
        </w:rPr>
        <w:t> mg</w:t>
      </w:r>
      <w:r w:rsidR="00DF3C4F" w:rsidRPr="00DA7718">
        <w:rPr>
          <w:lang w:val="fr-FR"/>
        </w:rPr>
        <w:t xml:space="preserve">/m² en perfusion </w:t>
      </w:r>
      <w:r w:rsidR="0012562C">
        <w:rPr>
          <w:lang w:val="fr-FR"/>
        </w:rPr>
        <w:t>intraveineuse</w:t>
      </w:r>
      <w:r w:rsidR="0012562C" w:rsidRPr="00DA7718">
        <w:rPr>
          <w:lang w:val="fr-FR"/>
        </w:rPr>
        <w:t xml:space="preserve"> </w:t>
      </w:r>
      <w:r w:rsidR="00DF3C4F" w:rsidRPr="00DA7718">
        <w:rPr>
          <w:lang w:val="fr-FR"/>
        </w:rPr>
        <w:t>au jour 2, toutes les trois semaines ou,</w:t>
      </w:r>
    </w:p>
    <w:p w14:paraId="33003C7B" w14:textId="029E7D1D" w:rsidR="004401F0" w:rsidRPr="00DA7718" w:rsidRDefault="00F452CD" w:rsidP="00F452CD">
      <w:pPr>
        <w:pStyle w:val="a3"/>
        <w:adjustRightInd w:val="0"/>
        <w:snapToGrid w:val="0"/>
        <w:ind w:left="567" w:hanging="567"/>
        <w:rPr>
          <w:lang w:val="fr-FR"/>
        </w:rPr>
      </w:pPr>
      <w:r>
        <w:rPr>
          <w:lang w:val="fr-FR"/>
        </w:rPr>
        <w:tab/>
      </w:r>
      <w:r w:rsidR="00DF3C4F" w:rsidRPr="00DA7718">
        <w:rPr>
          <w:lang w:val="fr-FR"/>
        </w:rPr>
        <w:t>Paclitaxel 175</w:t>
      </w:r>
      <w:r w:rsidR="00DA7718" w:rsidRPr="00DA7718">
        <w:rPr>
          <w:lang w:val="fr-FR"/>
        </w:rPr>
        <w:t> mg</w:t>
      </w:r>
      <w:r w:rsidR="00DF3C4F" w:rsidRPr="00DA7718">
        <w:rPr>
          <w:lang w:val="fr-FR"/>
        </w:rPr>
        <w:t xml:space="preserve">/m² en perfusion </w:t>
      </w:r>
      <w:r w:rsidR="0012562C">
        <w:rPr>
          <w:lang w:val="fr-FR"/>
        </w:rPr>
        <w:t xml:space="preserve">intraveineuse </w:t>
      </w:r>
      <w:r w:rsidR="00DF3C4F" w:rsidRPr="00DA7718">
        <w:rPr>
          <w:lang w:val="fr-FR"/>
        </w:rPr>
        <w:t>de 3 heures au jour 1 et cisplatine 50</w:t>
      </w:r>
      <w:r w:rsidR="00DA7718" w:rsidRPr="00DA7718">
        <w:rPr>
          <w:lang w:val="fr-FR"/>
        </w:rPr>
        <w:t> mg</w:t>
      </w:r>
      <w:r w:rsidR="00DF3C4F" w:rsidRPr="00DA7718">
        <w:rPr>
          <w:lang w:val="fr-FR"/>
        </w:rPr>
        <w:t xml:space="preserve">/m² en perfusion </w:t>
      </w:r>
      <w:r w:rsidR="0012562C">
        <w:rPr>
          <w:lang w:val="fr-FR"/>
        </w:rPr>
        <w:t>intraveineuse</w:t>
      </w:r>
      <w:r w:rsidR="0012562C" w:rsidRPr="00DA7718">
        <w:rPr>
          <w:lang w:val="fr-FR"/>
        </w:rPr>
        <w:t xml:space="preserve"> </w:t>
      </w:r>
      <w:r w:rsidR="00DF3C4F" w:rsidRPr="00DA7718">
        <w:rPr>
          <w:lang w:val="fr-FR"/>
        </w:rPr>
        <w:t>au jour 1, toutes les trois semaines.</w:t>
      </w:r>
    </w:p>
    <w:p w14:paraId="2B1D0A09" w14:textId="77777777" w:rsidR="004401F0" w:rsidRPr="007C119A" w:rsidRDefault="004401F0" w:rsidP="00F452CD">
      <w:pPr>
        <w:pStyle w:val="a3"/>
        <w:adjustRightInd w:val="0"/>
        <w:snapToGrid w:val="0"/>
        <w:ind w:left="567" w:hanging="567"/>
        <w:rPr>
          <w:lang w:val="fr-FR"/>
        </w:rPr>
      </w:pPr>
    </w:p>
    <w:p w14:paraId="4A7D75D4" w14:textId="77DC45CE" w:rsidR="004401F0" w:rsidRPr="00DA7718" w:rsidRDefault="00BD4C7C" w:rsidP="00F452CD">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Paclitaxel 135</w:t>
      </w:r>
      <w:r w:rsidR="00DA7718" w:rsidRPr="00DA7718">
        <w:rPr>
          <w:lang w:val="fr-FR"/>
        </w:rPr>
        <w:t> mg</w:t>
      </w:r>
      <w:r w:rsidR="00DF3C4F" w:rsidRPr="00DA7718">
        <w:rPr>
          <w:lang w:val="fr-FR"/>
        </w:rPr>
        <w:t xml:space="preserve">/m² en perfusion </w:t>
      </w:r>
      <w:r w:rsidR="0012562C">
        <w:rPr>
          <w:lang w:val="fr-FR"/>
        </w:rPr>
        <w:t>intraveineuse</w:t>
      </w:r>
      <w:r w:rsidR="0012562C" w:rsidRPr="00DA7718">
        <w:rPr>
          <w:lang w:val="fr-FR"/>
        </w:rPr>
        <w:t xml:space="preserve"> </w:t>
      </w:r>
      <w:r w:rsidR="00DF3C4F" w:rsidRPr="00DA7718">
        <w:rPr>
          <w:lang w:val="fr-FR"/>
        </w:rPr>
        <w:t>de 24 heures au jour 1 et cisplatine 50</w:t>
      </w:r>
      <w:r w:rsidR="00DA7718" w:rsidRPr="00DA7718">
        <w:rPr>
          <w:lang w:val="fr-FR"/>
        </w:rPr>
        <w:t> mg</w:t>
      </w:r>
      <w:r w:rsidR="00DF3C4F" w:rsidRPr="00DA7718">
        <w:rPr>
          <w:lang w:val="fr-FR"/>
        </w:rPr>
        <w:t xml:space="preserve">/m² en perfusion </w:t>
      </w:r>
      <w:r w:rsidR="0012562C">
        <w:rPr>
          <w:lang w:val="fr-FR"/>
        </w:rPr>
        <w:t>intraveineuse</w:t>
      </w:r>
      <w:r w:rsidR="0012562C" w:rsidRPr="00DA7718">
        <w:rPr>
          <w:lang w:val="fr-FR"/>
        </w:rPr>
        <w:t xml:space="preserve"> </w:t>
      </w:r>
      <w:r w:rsidR="00DF3C4F" w:rsidRPr="00DA7718">
        <w:rPr>
          <w:lang w:val="fr-FR"/>
        </w:rPr>
        <w:t>au jour 2, plus bevacizumab 15</w:t>
      </w:r>
      <w:r w:rsidR="00DA7718" w:rsidRPr="00DA7718">
        <w:rPr>
          <w:lang w:val="fr-FR"/>
        </w:rPr>
        <w:t> mg</w:t>
      </w:r>
      <w:r w:rsidR="00DF3C4F" w:rsidRPr="00DA7718">
        <w:rPr>
          <w:lang w:val="fr-FR"/>
        </w:rPr>
        <w:t xml:space="preserve">/kg en perfusion </w:t>
      </w:r>
      <w:r w:rsidR="0012562C">
        <w:rPr>
          <w:lang w:val="fr-FR"/>
        </w:rPr>
        <w:t>intraveineuse</w:t>
      </w:r>
      <w:r w:rsidR="0012562C" w:rsidRPr="00DA7718">
        <w:rPr>
          <w:lang w:val="fr-FR"/>
        </w:rPr>
        <w:t xml:space="preserve"> </w:t>
      </w:r>
      <w:r w:rsidR="00DF3C4F" w:rsidRPr="00DA7718">
        <w:rPr>
          <w:lang w:val="fr-FR"/>
        </w:rPr>
        <w:t>au jour 2, toutes les trois semaines ou,</w:t>
      </w:r>
      <w:r w:rsidR="009561F6">
        <w:rPr>
          <w:lang w:val="fr-FR"/>
        </w:rPr>
        <w:br/>
      </w:r>
      <w:r w:rsidR="00DF3C4F" w:rsidRPr="00DA7718">
        <w:rPr>
          <w:lang w:val="fr-FR"/>
        </w:rPr>
        <w:t>Paclitaxel 175</w:t>
      </w:r>
      <w:r w:rsidR="00DA7718" w:rsidRPr="00DA7718">
        <w:rPr>
          <w:lang w:val="fr-FR"/>
        </w:rPr>
        <w:t> mg</w:t>
      </w:r>
      <w:r w:rsidR="00DF3C4F" w:rsidRPr="00DA7718">
        <w:rPr>
          <w:lang w:val="fr-FR"/>
        </w:rPr>
        <w:t xml:space="preserve">/m² en perfusion </w:t>
      </w:r>
      <w:r w:rsidR="0012562C">
        <w:rPr>
          <w:lang w:val="fr-FR"/>
        </w:rPr>
        <w:t>intraveineuse</w:t>
      </w:r>
      <w:r w:rsidR="00DF3C4F" w:rsidRPr="00DA7718">
        <w:rPr>
          <w:lang w:val="fr-FR"/>
        </w:rPr>
        <w:t xml:space="preserve"> de 3 heures au jour 1 et cisplatine 50</w:t>
      </w:r>
      <w:r w:rsidR="00DA7718" w:rsidRPr="00DA7718">
        <w:rPr>
          <w:lang w:val="fr-FR"/>
        </w:rPr>
        <w:t> mg</w:t>
      </w:r>
      <w:r w:rsidR="00DF3C4F" w:rsidRPr="00DA7718">
        <w:rPr>
          <w:lang w:val="fr-FR"/>
        </w:rPr>
        <w:t xml:space="preserve">/m² en perfusion </w:t>
      </w:r>
      <w:r w:rsidR="0012562C">
        <w:rPr>
          <w:lang w:val="fr-FR"/>
        </w:rPr>
        <w:t>intraveineuse</w:t>
      </w:r>
      <w:r w:rsidR="00DF3C4F" w:rsidRPr="00DA7718">
        <w:rPr>
          <w:lang w:val="fr-FR"/>
        </w:rPr>
        <w:t xml:space="preserve"> au jour 2, plus bevacizumab 15</w:t>
      </w:r>
      <w:r w:rsidR="00DA7718" w:rsidRPr="00DA7718">
        <w:rPr>
          <w:lang w:val="fr-FR"/>
        </w:rPr>
        <w:t> mg</w:t>
      </w:r>
      <w:r w:rsidR="00DF3C4F" w:rsidRPr="00DA7718">
        <w:rPr>
          <w:lang w:val="fr-FR"/>
        </w:rPr>
        <w:t xml:space="preserve">/kg en perfusion </w:t>
      </w:r>
      <w:r w:rsidR="0012562C">
        <w:rPr>
          <w:lang w:val="fr-FR"/>
        </w:rPr>
        <w:t>intraveineuse</w:t>
      </w:r>
      <w:r w:rsidR="00DF3C4F" w:rsidRPr="00DA7718">
        <w:rPr>
          <w:lang w:val="fr-FR"/>
        </w:rPr>
        <w:t xml:space="preserve"> au jour 2, toutes les trois semaines ou, Paclitaxel 175</w:t>
      </w:r>
      <w:r w:rsidR="00DA7718" w:rsidRPr="00DA7718">
        <w:rPr>
          <w:lang w:val="fr-FR"/>
        </w:rPr>
        <w:t> mg</w:t>
      </w:r>
      <w:r w:rsidR="00DF3C4F" w:rsidRPr="00DA7718">
        <w:rPr>
          <w:lang w:val="fr-FR"/>
        </w:rPr>
        <w:t xml:space="preserve">/m² en perfusion </w:t>
      </w:r>
      <w:r w:rsidR="0012562C">
        <w:rPr>
          <w:lang w:val="fr-FR"/>
        </w:rPr>
        <w:t>intraveineuse</w:t>
      </w:r>
      <w:r w:rsidR="00DF3C4F" w:rsidRPr="00DA7718">
        <w:rPr>
          <w:lang w:val="fr-FR"/>
        </w:rPr>
        <w:t xml:space="preserve"> de 3 heures au jour 1 et cisplatine 50</w:t>
      </w:r>
      <w:r w:rsidR="00DA7718" w:rsidRPr="00DA7718">
        <w:rPr>
          <w:lang w:val="fr-FR"/>
        </w:rPr>
        <w:t> mg</w:t>
      </w:r>
      <w:r w:rsidR="00DF3C4F" w:rsidRPr="00DA7718">
        <w:rPr>
          <w:lang w:val="fr-FR"/>
        </w:rPr>
        <w:t xml:space="preserve">/m² en perfusion </w:t>
      </w:r>
      <w:r w:rsidR="0012562C">
        <w:rPr>
          <w:lang w:val="fr-FR"/>
        </w:rPr>
        <w:t>intraveineuse</w:t>
      </w:r>
      <w:r w:rsidR="00DF3C4F" w:rsidRPr="00DA7718">
        <w:rPr>
          <w:lang w:val="fr-FR"/>
        </w:rPr>
        <w:t xml:space="preserve"> au jour 1, plus bevacizumab 15</w:t>
      </w:r>
      <w:r w:rsidR="00DA7718" w:rsidRPr="00DA7718">
        <w:rPr>
          <w:lang w:val="fr-FR"/>
        </w:rPr>
        <w:t> mg</w:t>
      </w:r>
      <w:r w:rsidR="00DF3C4F" w:rsidRPr="00DA7718">
        <w:rPr>
          <w:lang w:val="fr-FR"/>
        </w:rPr>
        <w:t xml:space="preserve">/kg en perfusion </w:t>
      </w:r>
      <w:r w:rsidR="0012562C">
        <w:rPr>
          <w:lang w:val="fr-FR"/>
        </w:rPr>
        <w:t>intraveineuse</w:t>
      </w:r>
      <w:r w:rsidR="00DF3C4F" w:rsidRPr="00DA7718">
        <w:rPr>
          <w:lang w:val="fr-FR"/>
        </w:rPr>
        <w:t xml:space="preserve"> au jour 1, toutes les trois semaines.</w:t>
      </w:r>
    </w:p>
    <w:p w14:paraId="4A1E3270" w14:textId="77777777" w:rsidR="004401F0" w:rsidRPr="00DA7718" w:rsidRDefault="004401F0" w:rsidP="00F452CD">
      <w:pPr>
        <w:pStyle w:val="a3"/>
        <w:adjustRightInd w:val="0"/>
        <w:snapToGrid w:val="0"/>
        <w:ind w:left="567" w:hanging="567"/>
        <w:rPr>
          <w:lang w:val="fr-FR"/>
        </w:rPr>
      </w:pPr>
    </w:p>
    <w:p w14:paraId="0381C629" w14:textId="315D9401" w:rsidR="004401F0" w:rsidRPr="00DA7718" w:rsidRDefault="00BD4C7C" w:rsidP="00F452CD">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Paclitaxel 175</w:t>
      </w:r>
      <w:r w:rsidR="00DA7718" w:rsidRPr="00DA7718">
        <w:rPr>
          <w:lang w:val="fr-FR"/>
        </w:rPr>
        <w:t> mg</w:t>
      </w:r>
      <w:r w:rsidR="00DF3C4F" w:rsidRPr="00DA7718">
        <w:rPr>
          <w:lang w:val="fr-FR"/>
        </w:rPr>
        <w:t xml:space="preserve">/m² en perfusion </w:t>
      </w:r>
      <w:r w:rsidR="0012562C">
        <w:rPr>
          <w:lang w:val="fr-FR"/>
        </w:rPr>
        <w:t>intraveineuse</w:t>
      </w:r>
      <w:r w:rsidR="00DF3C4F" w:rsidRPr="00DA7718">
        <w:rPr>
          <w:lang w:val="fr-FR"/>
        </w:rPr>
        <w:t xml:space="preserve"> de 3 heures au jour 1 et topotécan 0,75</w:t>
      </w:r>
      <w:r w:rsidR="00DA7718" w:rsidRPr="00DA7718">
        <w:rPr>
          <w:lang w:val="fr-FR"/>
        </w:rPr>
        <w:t> mg</w:t>
      </w:r>
      <w:r w:rsidR="00DF3C4F" w:rsidRPr="00DA7718">
        <w:rPr>
          <w:lang w:val="fr-FR"/>
        </w:rPr>
        <w:t xml:space="preserve">/m² en perfusion </w:t>
      </w:r>
      <w:r w:rsidR="0012562C">
        <w:rPr>
          <w:lang w:val="fr-FR"/>
        </w:rPr>
        <w:t>intraveineuse</w:t>
      </w:r>
      <w:r w:rsidR="00DF3C4F" w:rsidRPr="00DA7718">
        <w:rPr>
          <w:lang w:val="fr-FR"/>
        </w:rPr>
        <w:t xml:space="preserve"> de 30 minutes aux jours 1 à 3, toutes les trois semaines.</w:t>
      </w:r>
    </w:p>
    <w:p w14:paraId="249BD3B6" w14:textId="77777777" w:rsidR="004401F0" w:rsidRPr="00DA7718" w:rsidRDefault="004401F0" w:rsidP="00F452CD">
      <w:pPr>
        <w:pStyle w:val="a3"/>
        <w:adjustRightInd w:val="0"/>
        <w:snapToGrid w:val="0"/>
        <w:ind w:left="567" w:hanging="567"/>
        <w:rPr>
          <w:lang w:val="fr-FR"/>
        </w:rPr>
      </w:pPr>
    </w:p>
    <w:p w14:paraId="0915A52B" w14:textId="348D7801" w:rsidR="004401F0" w:rsidRPr="00DA7718" w:rsidRDefault="00BD4C7C" w:rsidP="00F452CD">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Paclitaxel 175</w:t>
      </w:r>
      <w:r w:rsidR="00DA7718" w:rsidRPr="00DA7718">
        <w:rPr>
          <w:lang w:val="fr-FR"/>
        </w:rPr>
        <w:t> mg</w:t>
      </w:r>
      <w:r w:rsidR="00DF3C4F" w:rsidRPr="00DA7718">
        <w:rPr>
          <w:lang w:val="fr-FR"/>
        </w:rPr>
        <w:t xml:space="preserve">/m² en perfusion </w:t>
      </w:r>
      <w:r w:rsidR="0012562C">
        <w:rPr>
          <w:lang w:val="fr-FR"/>
        </w:rPr>
        <w:t>intraveineuse</w:t>
      </w:r>
      <w:r w:rsidR="00DF3C4F" w:rsidRPr="00DA7718">
        <w:rPr>
          <w:lang w:val="fr-FR"/>
        </w:rPr>
        <w:t xml:space="preserve"> de 3 heures au jour 1 et topotécan 0,75</w:t>
      </w:r>
      <w:r w:rsidR="00DA7718" w:rsidRPr="00DA7718">
        <w:rPr>
          <w:lang w:val="fr-FR"/>
        </w:rPr>
        <w:t> mg</w:t>
      </w:r>
      <w:r w:rsidR="00DF3C4F" w:rsidRPr="00DA7718">
        <w:rPr>
          <w:lang w:val="fr-FR"/>
        </w:rPr>
        <w:t xml:space="preserve">/m² en perfusion </w:t>
      </w:r>
      <w:r w:rsidR="0012562C">
        <w:rPr>
          <w:lang w:val="fr-FR"/>
        </w:rPr>
        <w:t>intraveineuse</w:t>
      </w:r>
      <w:r w:rsidR="00DF3C4F" w:rsidRPr="00DA7718">
        <w:rPr>
          <w:lang w:val="fr-FR"/>
        </w:rPr>
        <w:t xml:space="preserve"> de 30 minutes aux jours 1 à 3, plus bevacizumab 15mg/kg en perfusion </w:t>
      </w:r>
      <w:r w:rsidR="0012562C">
        <w:rPr>
          <w:lang w:val="fr-FR"/>
        </w:rPr>
        <w:t>intraveineuse</w:t>
      </w:r>
      <w:r w:rsidR="00DF3C4F" w:rsidRPr="00DA7718">
        <w:rPr>
          <w:lang w:val="fr-FR"/>
        </w:rPr>
        <w:t xml:space="preserve"> au jour 1, toutes les trois semaines.</w:t>
      </w:r>
    </w:p>
    <w:p w14:paraId="1E6E1101" w14:textId="77777777" w:rsidR="004401F0" w:rsidRPr="00DA7718" w:rsidRDefault="004401F0" w:rsidP="00BD4C7C">
      <w:pPr>
        <w:pStyle w:val="a3"/>
        <w:adjustRightInd w:val="0"/>
        <w:snapToGrid w:val="0"/>
        <w:rPr>
          <w:lang w:val="fr-FR"/>
        </w:rPr>
      </w:pPr>
    </w:p>
    <w:p w14:paraId="2F873AF0" w14:textId="32419AFA" w:rsidR="004401F0" w:rsidRPr="007C119A" w:rsidRDefault="00DF3C4F" w:rsidP="00235B6D">
      <w:pPr>
        <w:pStyle w:val="a3"/>
        <w:adjustRightInd w:val="0"/>
        <w:snapToGrid w:val="0"/>
        <w:rPr>
          <w:lang w:val="fr-FR"/>
        </w:rPr>
      </w:pPr>
      <w:r w:rsidRPr="00DA7718">
        <w:rPr>
          <w:lang w:val="fr-FR"/>
        </w:rPr>
        <w:t>Les patientes de l’essai étaient atteintes d’un carcinome épidermoïde, d’un carcinome adénosquameux, ou d’un adénocarcinome du col de l’utérus, persistant, en rechute ou métastatique, non éligibles au traitement curatif par chirurgie et/ou par radiothérapie, et n’ayant pas reçu un traitement préalable par bevacizumab ou d'autres inhibiteurs du VEGF ou d’autres agents ciblant le récepteur du VEGF.</w:t>
      </w:r>
    </w:p>
    <w:p w14:paraId="71ECE45F" w14:textId="2CE8EB0B" w:rsidR="004401F0" w:rsidRDefault="00DF3C4F" w:rsidP="00BD4C7C">
      <w:pPr>
        <w:pStyle w:val="a3"/>
        <w:adjustRightInd w:val="0"/>
        <w:snapToGrid w:val="0"/>
        <w:rPr>
          <w:lang w:val="fr-FR"/>
        </w:rPr>
      </w:pPr>
      <w:r w:rsidRPr="00DA7718">
        <w:rPr>
          <w:lang w:val="fr-FR"/>
        </w:rPr>
        <w:t>L’âge médian était de 46,0 ans (amplitude</w:t>
      </w:r>
      <w:r w:rsidR="00765A43">
        <w:rPr>
          <w:lang w:val="fr-FR"/>
        </w:rPr>
        <w:t xml:space="preserve"> : </w:t>
      </w:r>
      <w:r w:rsidRPr="00DA7718">
        <w:rPr>
          <w:lang w:val="fr-FR"/>
        </w:rPr>
        <w:t>20 à 83 ans) dans le groupe traité par chimiothérapie seule et de 48,0 ans (amplitude</w:t>
      </w:r>
      <w:r w:rsidR="00765A43">
        <w:rPr>
          <w:lang w:val="fr-FR"/>
        </w:rPr>
        <w:t xml:space="preserve"> : </w:t>
      </w:r>
      <w:r w:rsidRPr="00DA7718">
        <w:rPr>
          <w:lang w:val="fr-FR"/>
        </w:rPr>
        <w:t xml:space="preserve">22 à 85 ans) dans le groupe traité par chimiothérapie + </w:t>
      </w:r>
      <w:r w:rsidR="007C2B00">
        <w:rPr>
          <w:lang w:val="fr-FR"/>
        </w:rPr>
        <w:t>bevacizumab</w:t>
      </w:r>
      <w:r w:rsidR="00881CB8">
        <w:rPr>
          <w:lang w:val="fr-FR"/>
        </w:rPr>
        <w:t xml:space="preserve"> ; </w:t>
      </w:r>
      <w:r w:rsidRPr="00DA7718">
        <w:rPr>
          <w:lang w:val="fr-FR"/>
        </w:rPr>
        <w:t xml:space="preserve">9,3% des patientes dans le groupe traité par chimiothérapie seule et 7,5% des patientes dans le groupe traité par chimiothérapie + </w:t>
      </w:r>
      <w:r w:rsidR="007C2B00">
        <w:rPr>
          <w:lang w:val="fr-FR"/>
        </w:rPr>
        <w:t>bevacizumab</w:t>
      </w:r>
      <w:r w:rsidRPr="00DA7718">
        <w:rPr>
          <w:lang w:val="fr-FR"/>
        </w:rPr>
        <w:t>, avaient plus de 65 ans.</w:t>
      </w:r>
    </w:p>
    <w:p w14:paraId="1AF5ECDF" w14:textId="77777777" w:rsidR="00235B6D" w:rsidRPr="00DA7718" w:rsidRDefault="00235B6D" w:rsidP="00BD4C7C">
      <w:pPr>
        <w:pStyle w:val="a3"/>
        <w:adjustRightInd w:val="0"/>
        <w:snapToGrid w:val="0"/>
        <w:rPr>
          <w:lang w:val="fr-FR"/>
        </w:rPr>
      </w:pPr>
    </w:p>
    <w:p w14:paraId="280212E4" w14:textId="2CA8E034" w:rsidR="004401F0" w:rsidRPr="00DA7718" w:rsidRDefault="00DF3C4F" w:rsidP="00BD4C7C">
      <w:pPr>
        <w:pStyle w:val="a3"/>
        <w:adjustRightInd w:val="0"/>
        <w:snapToGrid w:val="0"/>
        <w:rPr>
          <w:lang w:val="fr-FR"/>
        </w:rPr>
      </w:pPr>
      <w:r w:rsidRPr="00DA7718">
        <w:rPr>
          <w:lang w:val="fr-FR"/>
        </w:rPr>
        <w:t xml:space="preserve">Parmi les 452 patientes randomisées initialement, la majorité des patientes était de type caucasien (80,0% dans le groupe traité par chimiothérapie seule et 75,3% dans le groupe traité par chimiothérapie + </w:t>
      </w:r>
      <w:r w:rsidR="007C2B00">
        <w:rPr>
          <w:lang w:val="fr-FR"/>
        </w:rPr>
        <w:t>bevacizumab</w:t>
      </w:r>
      <w:r w:rsidRPr="00DA7718">
        <w:rPr>
          <w:lang w:val="fr-FR"/>
        </w:rPr>
        <w:t>)</w:t>
      </w:r>
      <w:r w:rsidR="00881CB8">
        <w:rPr>
          <w:lang w:val="fr-FR"/>
        </w:rPr>
        <w:t xml:space="preserve"> ; </w:t>
      </w:r>
      <w:r w:rsidRPr="00DA7718">
        <w:rPr>
          <w:lang w:val="fr-FR"/>
        </w:rPr>
        <w:t xml:space="preserve">présentait un carcinome épidermoïde (67,1% dans le groupe traité par chimiothérapie seule et 69,6% dans le groupe traité par chimiothérapie + </w:t>
      </w:r>
      <w:r w:rsidR="007C2B00">
        <w:rPr>
          <w:lang w:val="fr-FR"/>
        </w:rPr>
        <w:t>bevacizumab</w:t>
      </w:r>
      <w:r w:rsidRPr="00DA7718">
        <w:rPr>
          <w:lang w:val="fr-FR"/>
        </w:rPr>
        <w:t>)</w:t>
      </w:r>
      <w:r w:rsidR="00881CB8">
        <w:rPr>
          <w:lang w:val="fr-FR"/>
        </w:rPr>
        <w:t xml:space="preserve"> ; </w:t>
      </w:r>
      <w:r w:rsidRPr="00DA7718">
        <w:rPr>
          <w:lang w:val="fr-FR"/>
        </w:rPr>
        <w:t xml:space="preserve">présentait une affection persistante / en rechute (83,6% dans le groupe traité par chimiothérapie seule et 82,8% dans le groupe traité par chimiothérapie + </w:t>
      </w:r>
      <w:r w:rsidR="007C2B00">
        <w:rPr>
          <w:lang w:val="fr-FR"/>
        </w:rPr>
        <w:t>bevacizumab</w:t>
      </w:r>
      <w:r w:rsidRPr="00DA7718">
        <w:rPr>
          <w:lang w:val="fr-FR"/>
        </w:rPr>
        <w:t>)</w:t>
      </w:r>
      <w:r w:rsidR="00881CB8">
        <w:rPr>
          <w:lang w:val="fr-FR"/>
        </w:rPr>
        <w:t xml:space="preserve"> ; </w:t>
      </w:r>
      <w:r w:rsidRPr="00DA7718">
        <w:rPr>
          <w:lang w:val="fr-FR"/>
        </w:rPr>
        <w:t xml:space="preserve">présentait 1 à 2 foyers métastatiques (72,0% dans le groupe traité par chimiothérapie seule et 76,2% dans le groupe traité par chimiothérapie + </w:t>
      </w:r>
      <w:r w:rsidR="007C2B00">
        <w:rPr>
          <w:lang w:val="fr-FR"/>
        </w:rPr>
        <w:t>bevacizumab</w:t>
      </w:r>
      <w:r w:rsidRPr="00DA7718">
        <w:rPr>
          <w:lang w:val="fr-FR"/>
        </w:rPr>
        <w:t>)</w:t>
      </w:r>
      <w:r w:rsidR="00881CB8">
        <w:rPr>
          <w:lang w:val="fr-FR"/>
        </w:rPr>
        <w:t xml:space="preserve"> ; </w:t>
      </w:r>
      <w:r w:rsidRPr="00DA7718">
        <w:rPr>
          <w:lang w:val="fr-FR"/>
        </w:rPr>
        <w:t xml:space="preserve">présentait une atteinte ganglionnaire (50,2% dans le groupe traité par chimiothérapie seule et 56,4% dans le groupe traité par chimiothérapie + </w:t>
      </w:r>
      <w:r w:rsidR="007C2B00">
        <w:rPr>
          <w:lang w:val="fr-FR"/>
        </w:rPr>
        <w:t>bevacizumab</w:t>
      </w:r>
      <w:r w:rsidRPr="00DA7718">
        <w:rPr>
          <w:lang w:val="fr-FR"/>
        </w:rPr>
        <w:t>)</w:t>
      </w:r>
      <w:r w:rsidR="00881CB8">
        <w:rPr>
          <w:lang w:val="fr-FR"/>
        </w:rPr>
        <w:t xml:space="preserve"> ; </w:t>
      </w:r>
      <w:r w:rsidRPr="00DA7718">
        <w:rPr>
          <w:lang w:val="fr-FR"/>
        </w:rPr>
        <w:t xml:space="preserve">et n’avait pas reçu de sels de platine depuis plus de 6 mois (72,5% dans le groupe traité par chimiothérapie seule et 64,4% dans le groupe traité par chimiothérapie + </w:t>
      </w:r>
      <w:r w:rsidR="007C2B00">
        <w:rPr>
          <w:lang w:val="fr-FR"/>
        </w:rPr>
        <w:t>bevacizumab</w:t>
      </w:r>
      <w:r w:rsidRPr="00DA7718">
        <w:rPr>
          <w:lang w:val="fr-FR"/>
        </w:rPr>
        <w:t>).</w:t>
      </w:r>
    </w:p>
    <w:p w14:paraId="729B6A66" w14:textId="77777777" w:rsidR="004401F0" w:rsidRPr="00DA7718" w:rsidRDefault="004401F0" w:rsidP="00BD4C7C">
      <w:pPr>
        <w:pStyle w:val="a3"/>
        <w:adjustRightInd w:val="0"/>
        <w:snapToGrid w:val="0"/>
        <w:rPr>
          <w:lang w:val="fr-FR"/>
        </w:rPr>
      </w:pPr>
    </w:p>
    <w:p w14:paraId="4F4DC663" w14:textId="37883FC8" w:rsidR="004401F0" w:rsidRPr="00DA7718" w:rsidRDefault="00DF3C4F" w:rsidP="00654D21">
      <w:pPr>
        <w:pStyle w:val="a3"/>
        <w:keepLines/>
        <w:adjustRightInd w:val="0"/>
        <w:snapToGrid w:val="0"/>
        <w:rPr>
          <w:lang w:val="fr-FR"/>
        </w:rPr>
      </w:pPr>
      <w:r w:rsidRPr="00DA7718">
        <w:rPr>
          <w:lang w:val="fr-FR"/>
        </w:rPr>
        <w:lastRenderedPageBreak/>
        <w:t xml:space="preserve">Le critère principal d’efficacité était </w:t>
      </w:r>
      <w:r w:rsidR="00803E4E">
        <w:rPr>
          <w:lang w:val="fr-FR"/>
        </w:rPr>
        <w:t>l’OS</w:t>
      </w:r>
      <w:r w:rsidRPr="00DA7718">
        <w:rPr>
          <w:lang w:val="fr-FR"/>
        </w:rPr>
        <w:t xml:space="preserve">. Les critères secondaires d’efficacité incluaient la </w:t>
      </w:r>
      <w:r w:rsidR="00614220">
        <w:rPr>
          <w:lang w:val="fr-FR"/>
        </w:rPr>
        <w:t>PFS</w:t>
      </w:r>
      <w:r w:rsidRPr="00DA7718">
        <w:rPr>
          <w:lang w:val="fr-FR"/>
        </w:rPr>
        <w:t xml:space="preserve"> et le taux de réponse objective. Les résultats de l’analyse primaire et de l’analyse de suivi sont présentés respectivement en fonction de l’ajout </w:t>
      </w:r>
      <w:r w:rsidR="007C2B00">
        <w:rPr>
          <w:lang w:val="fr-FR"/>
        </w:rPr>
        <w:t>du bevacizumab</w:t>
      </w:r>
      <w:r w:rsidR="007C2B00" w:rsidRPr="00DA7718">
        <w:rPr>
          <w:lang w:val="fr-FR"/>
        </w:rPr>
        <w:t xml:space="preserve"> </w:t>
      </w:r>
      <w:r w:rsidRPr="00DA7718">
        <w:rPr>
          <w:lang w:val="fr-FR"/>
        </w:rPr>
        <w:t>au traitement et en fonction du schéma de traitement dans les tableaux 25 et 26.</w:t>
      </w:r>
    </w:p>
    <w:p w14:paraId="75C09D34" w14:textId="77777777" w:rsidR="00BD4C7C" w:rsidRPr="00DA7718" w:rsidRDefault="00BD4C7C" w:rsidP="00BD4C7C">
      <w:pPr>
        <w:adjustRightInd w:val="0"/>
        <w:snapToGrid w:val="0"/>
        <w:rPr>
          <w:lang w:val="fr-FR"/>
        </w:rPr>
      </w:pPr>
    </w:p>
    <w:p w14:paraId="4552BAFB" w14:textId="77777777" w:rsidR="00AC582F" w:rsidRPr="00AC582F" w:rsidRDefault="00AC582F" w:rsidP="00AC582F">
      <w:pPr>
        <w:ind w:left="1276" w:hanging="1276"/>
        <w:rPr>
          <w:b/>
          <w:bCs/>
          <w:lang w:val="fr-FR"/>
        </w:rPr>
      </w:pPr>
      <w:r w:rsidRPr="00AC582F">
        <w:rPr>
          <w:b/>
          <w:bCs/>
          <w:lang w:val="fr-FR"/>
        </w:rPr>
        <w:t xml:space="preserve">Tableau 25 </w:t>
      </w:r>
      <w:r w:rsidRPr="00AC582F">
        <w:rPr>
          <w:b/>
          <w:bCs/>
          <w:lang w:val="fr-FR"/>
        </w:rPr>
        <w:tab/>
        <w:t>Résultats d’efficacité de l’étude GOG-0240 en fonction de l’ajout du bevacizumab au traitement</w:t>
      </w:r>
    </w:p>
    <w:p w14:paraId="4F103AA4" w14:textId="77777777" w:rsidR="004401F0" w:rsidRPr="007C119A" w:rsidRDefault="004401F0" w:rsidP="00BD4C7C">
      <w:pPr>
        <w:pStyle w:val="a3"/>
        <w:adjustRightInd w:val="0"/>
        <w:snapToGrid w:val="0"/>
        <w:rPr>
          <w:b/>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1"/>
        <w:gridCol w:w="2317"/>
        <w:gridCol w:w="122"/>
        <w:gridCol w:w="2444"/>
      </w:tblGrid>
      <w:tr w:rsidR="004401F0" w:rsidRPr="00D90DBD" w14:paraId="4B9A67D0" w14:textId="77777777" w:rsidTr="00D90DBD">
        <w:trPr>
          <w:cantSplit/>
        </w:trPr>
        <w:tc>
          <w:tcPr>
            <w:tcW w:w="4114" w:type="dxa"/>
          </w:tcPr>
          <w:p w14:paraId="3CA67ED1" w14:textId="77777777" w:rsidR="004401F0" w:rsidRPr="00D90DBD" w:rsidRDefault="004401F0" w:rsidP="00D90DBD">
            <w:pPr>
              <w:pStyle w:val="TableParagraph"/>
              <w:adjustRightInd w:val="0"/>
              <w:snapToGrid w:val="0"/>
              <w:rPr>
                <w:sz w:val="20"/>
                <w:szCs w:val="20"/>
                <w:lang w:val="fr-FR"/>
              </w:rPr>
            </w:pPr>
          </w:p>
        </w:tc>
        <w:tc>
          <w:tcPr>
            <w:tcW w:w="2280" w:type="dxa"/>
          </w:tcPr>
          <w:p w14:paraId="5A5BFE94"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Chimiothérapie</w:t>
            </w:r>
          </w:p>
          <w:p w14:paraId="164247C3"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(n=225)</w:t>
            </w:r>
          </w:p>
        </w:tc>
        <w:tc>
          <w:tcPr>
            <w:tcW w:w="2525" w:type="dxa"/>
            <w:gridSpan w:val="2"/>
          </w:tcPr>
          <w:p w14:paraId="07C7CF12" w14:textId="4F9681E3"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 xml:space="preserve">Chimiothérapie + </w:t>
            </w:r>
            <w:r w:rsidR="0058037C" w:rsidRPr="00654D21">
              <w:rPr>
                <w:sz w:val="20"/>
                <w:szCs w:val="20"/>
                <w:u w:val="single"/>
                <w:lang w:val="fr-FR"/>
              </w:rPr>
              <w:t>B</w:t>
            </w:r>
            <w:r w:rsidR="007C2B00" w:rsidRPr="00654D21">
              <w:rPr>
                <w:sz w:val="20"/>
                <w:szCs w:val="20"/>
                <w:u w:val="single"/>
                <w:lang w:val="fr-FR"/>
              </w:rPr>
              <w:t>evacizumab</w:t>
            </w:r>
          </w:p>
          <w:p w14:paraId="175FA71B"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(n=227)</w:t>
            </w:r>
          </w:p>
        </w:tc>
      </w:tr>
      <w:tr w:rsidR="004401F0" w:rsidRPr="00D90DBD" w14:paraId="34ED3ECD" w14:textId="77777777" w:rsidTr="00D90DBD">
        <w:trPr>
          <w:cantSplit/>
        </w:trPr>
        <w:tc>
          <w:tcPr>
            <w:tcW w:w="8919" w:type="dxa"/>
            <w:gridSpan w:val="4"/>
          </w:tcPr>
          <w:p w14:paraId="7D8D6875" w14:textId="77777777" w:rsidR="004401F0" w:rsidRPr="00D90DBD" w:rsidRDefault="00DF3C4F" w:rsidP="00654D21">
            <w:pPr>
              <w:pStyle w:val="TableParagraph"/>
              <w:adjustRightInd w:val="0"/>
              <w:snapToGrid w:val="0"/>
              <w:jc w:val="center"/>
              <w:rPr>
                <w:b/>
                <w:sz w:val="20"/>
                <w:szCs w:val="20"/>
                <w:lang w:val="fr-FR"/>
              </w:rPr>
            </w:pPr>
            <w:r w:rsidRPr="00D90DBD">
              <w:rPr>
                <w:b/>
                <w:sz w:val="20"/>
                <w:szCs w:val="20"/>
                <w:u w:val="single"/>
                <w:lang w:val="fr-FR"/>
              </w:rPr>
              <w:t>Critère principal</w:t>
            </w:r>
          </w:p>
        </w:tc>
      </w:tr>
      <w:tr w:rsidR="004401F0" w:rsidRPr="00D90DBD" w14:paraId="650CB01E" w14:textId="77777777" w:rsidTr="00D90DBD">
        <w:trPr>
          <w:cantSplit/>
        </w:trPr>
        <w:tc>
          <w:tcPr>
            <w:tcW w:w="8919" w:type="dxa"/>
            <w:gridSpan w:val="4"/>
          </w:tcPr>
          <w:p w14:paraId="0C8F0057" w14:textId="0103BEB7" w:rsidR="004401F0" w:rsidRPr="00D90DBD" w:rsidRDefault="00DF3C4F" w:rsidP="00D90DBD">
            <w:pPr>
              <w:pStyle w:val="TableParagraph"/>
              <w:adjustRightInd w:val="0"/>
              <w:snapToGrid w:val="0"/>
              <w:rPr>
                <w:b/>
                <w:sz w:val="20"/>
                <w:szCs w:val="20"/>
                <w:lang w:val="fr-FR"/>
              </w:rPr>
            </w:pPr>
            <w:r w:rsidRPr="00D90DBD">
              <w:rPr>
                <w:b/>
                <w:sz w:val="20"/>
                <w:szCs w:val="20"/>
                <w:lang w:val="fr-FR"/>
              </w:rPr>
              <w:t xml:space="preserve">Survie globale – </w:t>
            </w:r>
            <w:r w:rsidR="00275C52">
              <w:rPr>
                <w:b/>
                <w:sz w:val="20"/>
                <w:szCs w:val="20"/>
                <w:lang w:val="fr-FR"/>
              </w:rPr>
              <w:t>a</w:t>
            </w:r>
            <w:r w:rsidR="00275C52" w:rsidRPr="00D90DBD">
              <w:rPr>
                <w:b/>
                <w:sz w:val="20"/>
                <w:szCs w:val="20"/>
                <w:lang w:val="fr-FR"/>
              </w:rPr>
              <w:t xml:space="preserve">nalyse </w:t>
            </w:r>
            <w:r w:rsidRPr="00D90DBD">
              <w:rPr>
                <w:b/>
                <w:sz w:val="20"/>
                <w:szCs w:val="20"/>
                <w:lang w:val="fr-FR"/>
              </w:rPr>
              <w:t>primaire</w:t>
            </w:r>
            <w:r w:rsidRPr="00D90DBD">
              <w:rPr>
                <w:b/>
                <w:sz w:val="20"/>
                <w:szCs w:val="20"/>
                <w:vertAlign w:val="superscript"/>
                <w:lang w:val="fr-FR"/>
              </w:rPr>
              <w:t>6</w:t>
            </w:r>
          </w:p>
        </w:tc>
      </w:tr>
      <w:tr w:rsidR="004401F0" w:rsidRPr="00D90DBD" w14:paraId="6A3C9501" w14:textId="77777777" w:rsidTr="00D90DBD">
        <w:trPr>
          <w:cantSplit/>
        </w:trPr>
        <w:tc>
          <w:tcPr>
            <w:tcW w:w="4114" w:type="dxa"/>
          </w:tcPr>
          <w:p w14:paraId="32CD56AD"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Médiane (mois)</w:t>
            </w:r>
            <w:r w:rsidRPr="00D90DBD">
              <w:rPr>
                <w:sz w:val="20"/>
                <w:szCs w:val="20"/>
                <w:vertAlign w:val="superscript"/>
                <w:lang w:val="fr-FR"/>
              </w:rPr>
              <w:t>1</w:t>
            </w:r>
          </w:p>
        </w:tc>
        <w:tc>
          <w:tcPr>
            <w:tcW w:w="2280" w:type="dxa"/>
          </w:tcPr>
          <w:p w14:paraId="0A82F448"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12,9</w:t>
            </w:r>
          </w:p>
        </w:tc>
        <w:tc>
          <w:tcPr>
            <w:tcW w:w="2525" w:type="dxa"/>
            <w:gridSpan w:val="2"/>
          </w:tcPr>
          <w:p w14:paraId="5CE221EE"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16,8</w:t>
            </w:r>
          </w:p>
        </w:tc>
      </w:tr>
      <w:tr w:rsidR="004401F0" w:rsidRPr="00D90DBD" w14:paraId="0B1D1B9C" w14:textId="77777777" w:rsidTr="00D90DBD">
        <w:trPr>
          <w:cantSplit/>
        </w:trPr>
        <w:tc>
          <w:tcPr>
            <w:tcW w:w="4114" w:type="dxa"/>
          </w:tcPr>
          <w:p w14:paraId="312D36A2"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Risque relatif [IC 95%]</w:t>
            </w:r>
          </w:p>
        </w:tc>
        <w:tc>
          <w:tcPr>
            <w:tcW w:w="4805" w:type="dxa"/>
            <w:gridSpan w:val="3"/>
          </w:tcPr>
          <w:p w14:paraId="2E95B494" w14:textId="5C01C91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0,74 [0,58</w:t>
            </w:r>
            <w:r w:rsidR="00881CB8">
              <w:rPr>
                <w:sz w:val="20"/>
                <w:szCs w:val="20"/>
                <w:lang w:val="fr-FR"/>
              </w:rPr>
              <w:t xml:space="preserve"> ; </w:t>
            </w:r>
            <w:r w:rsidRPr="00D90DBD">
              <w:rPr>
                <w:sz w:val="20"/>
                <w:szCs w:val="20"/>
                <w:lang w:val="fr-FR"/>
              </w:rPr>
              <w:t>0,94]</w:t>
            </w:r>
          </w:p>
          <w:p w14:paraId="403D4F6F"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(p</w:t>
            </w:r>
            <w:r w:rsidRPr="00D90DBD">
              <w:rPr>
                <w:sz w:val="20"/>
                <w:szCs w:val="20"/>
                <w:vertAlign w:val="superscript"/>
                <w:lang w:val="fr-FR"/>
              </w:rPr>
              <w:t>5</w:t>
            </w:r>
            <w:r w:rsidRPr="00D90DBD">
              <w:rPr>
                <w:sz w:val="20"/>
                <w:szCs w:val="20"/>
                <w:lang w:val="fr-FR"/>
              </w:rPr>
              <w:t xml:space="preserve"> = 0,0132)</w:t>
            </w:r>
          </w:p>
        </w:tc>
      </w:tr>
      <w:tr w:rsidR="004401F0" w:rsidRPr="000D7348" w14:paraId="301CA163" w14:textId="77777777" w:rsidTr="00D90DBD">
        <w:trPr>
          <w:cantSplit/>
        </w:trPr>
        <w:tc>
          <w:tcPr>
            <w:tcW w:w="8919" w:type="dxa"/>
            <w:gridSpan w:val="4"/>
          </w:tcPr>
          <w:p w14:paraId="76B8F1AE" w14:textId="07B82AE8" w:rsidR="004401F0" w:rsidRPr="00D90DBD" w:rsidRDefault="00DF3C4F" w:rsidP="00D90DBD">
            <w:pPr>
              <w:pStyle w:val="TableParagraph"/>
              <w:adjustRightInd w:val="0"/>
              <w:snapToGrid w:val="0"/>
              <w:rPr>
                <w:b/>
                <w:sz w:val="20"/>
                <w:szCs w:val="20"/>
                <w:lang w:val="fr-FR"/>
              </w:rPr>
            </w:pPr>
            <w:r w:rsidRPr="00D90DBD">
              <w:rPr>
                <w:b/>
                <w:sz w:val="20"/>
                <w:szCs w:val="20"/>
                <w:lang w:val="fr-FR"/>
              </w:rPr>
              <w:t xml:space="preserve">Survie globale – </w:t>
            </w:r>
            <w:r w:rsidR="00275C52">
              <w:rPr>
                <w:b/>
                <w:sz w:val="20"/>
                <w:szCs w:val="20"/>
                <w:lang w:val="fr-FR"/>
              </w:rPr>
              <w:t>a</w:t>
            </w:r>
            <w:r w:rsidR="00275C52" w:rsidRPr="00D90DBD">
              <w:rPr>
                <w:b/>
                <w:sz w:val="20"/>
                <w:szCs w:val="20"/>
                <w:lang w:val="fr-FR"/>
              </w:rPr>
              <w:t xml:space="preserve">nalyse </w:t>
            </w:r>
            <w:r w:rsidRPr="00D90DBD">
              <w:rPr>
                <w:b/>
                <w:sz w:val="20"/>
                <w:szCs w:val="20"/>
                <w:lang w:val="fr-FR"/>
              </w:rPr>
              <w:t>de suivi</w:t>
            </w:r>
            <w:r w:rsidRPr="00D90DBD">
              <w:rPr>
                <w:b/>
                <w:sz w:val="20"/>
                <w:szCs w:val="20"/>
                <w:vertAlign w:val="superscript"/>
                <w:lang w:val="fr-FR"/>
              </w:rPr>
              <w:t>7</w:t>
            </w:r>
          </w:p>
        </w:tc>
      </w:tr>
      <w:tr w:rsidR="004401F0" w:rsidRPr="00D90DBD" w14:paraId="74A8DB08" w14:textId="77777777" w:rsidTr="00D90DBD">
        <w:trPr>
          <w:cantSplit/>
        </w:trPr>
        <w:tc>
          <w:tcPr>
            <w:tcW w:w="4114" w:type="dxa"/>
          </w:tcPr>
          <w:p w14:paraId="5568327F"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Médiane (mois)</w:t>
            </w:r>
            <w:r w:rsidRPr="00D90DBD">
              <w:rPr>
                <w:sz w:val="20"/>
                <w:szCs w:val="20"/>
                <w:vertAlign w:val="superscript"/>
                <w:lang w:val="fr-FR"/>
              </w:rPr>
              <w:t>1</w:t>
            </w:r>
          </w:p>
        </w:tc>
        <w:tc>
          <w:tcPr>
            <w:tcW w:w="2400" w:type="dxa"/>
            <w:gridSpan w:val="2"/>
          </w:tcPr>
          <w:p w14:paraId="196622AF"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13,3</w:t>
            </w:r>
          </w:p>
        </w:tc>
        <w:tc>
          <w:tcPr>
            <w:tcW w:w="2405" w:type="dxa"/>
          </w:tcPr>
          <w:p w14:paraId="7E4D404E"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16,8</w:t>
            </w:r>
          </w:p>
        </w:tc>
      </w:tr>
      <w:tr w:rsidR="004401F0" w:rsidRPr="00D90DBD" w14:paraId="1D3D2C5A" w14:textId="77777777" w:rsidTr="00D90DBD">
        <w:trPr>
          <w:cantSplit/>
        </w:trPr>
        <w:tc>
          <w:tcPr>
            <w:tcW w:w="4114" w:type="dxa"/>
          </w:tcPr>
          <w:p w14:paraId="0CE7B4ED"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Risque relatif [IC 95%]</w:t>
            </w:r>
          </w:p>
        </w:tc>
        <w:tc>
          <w:tcPr>
            <w:tcW w:w="4805" w:type="dxa"/>
            <w:gridSpan w:val="3"/>
          </w:tcPr>
          <w:p w14:paraId="301494AE" w14:textId="4B8C5936"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0,76 [0,62</w:t>
            </w:r>
            <w:r w:rsidR="00881CB8">
              <w:rPr>
                <w:sz w:val="20"/>
                <w:szCs w:val="20"/>
                <w:lang w:val="fr-FR"/>
              </w:rPr>
              <w:t xml:space="preserve"> ; </w:t>
            </w:r>
            <w:r w:rsidRPr="00D90DBD">
              <w:rPr>
                <w:sz w:val="20"/>
                <w:szCs w:val="20"/>
                <w:lang w:val="fr-FR"/>
              </w:rPr>
              <w:t>0,94]</w:t>
            </w:r>
          </w:p>
          <w:p w14:paraId="2098B3F9"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(p</w:t>
            </w:r>
            <w:r w:rsidRPr="00D90DBD">
              <w:rPr>
                <w:sz w:val="20"/>
                <w:szCs w:val="20"/>
                <w:vertAlign w:val="superscript"/>
                <w:lang w:val="fr-FR"/>
              </w:rPr>
              <w:t>5,</w:t>
            </w:r>
            <w:r w:rsidRPr="00D90DBD">
              <w:rPr>
                <w:sz w:val="20"/>
                <w:szCs w:val="20"/>
                <w:lang w:val="fr-FR"/>
              </w:rPr>
              <w:t xml:space="preserve"> </w:t>
            </w:r>
            <w:r w:rsidRPr="00D90DBD">
              <w:rPr>
                <w:sz w:val="20"/>
                <w:szCs w:val="20"/>
                <w:vertAlign w:val="superscript"/>
                <w:lang w:val="fr-FR"/>
              </w:rPr>
              <w:t>8</w:t>
            </w:r>
            <w:r w:rsidRPr="00D90DBD">
              <w:rPr>
                <w:sz w:val="20"/>
                <w:szCs w:val="20"/>
                <w:lang w:val="fr-FR"/>
              </w:rPr>
              <w:t xml:space="preserve"> = 0,0126)</w:t>
            </w:r>
          </w:p>
        </w:tc>
      </w:tr>
      <w:tr w:rsidR="004401F0" w:rsidRPr="00D90DBD" w14:paraId="4DD210C3" w14:textId="77777777" w:rsidTr="00D90DBD">
        <w:trPr>
          <w:cantSplit/>
        </w:trPr>
        <w:tc>
          <w:tcPr>
            <w:tcW w:w="8919" w:type="dxa"/>
            <w:gridSpan w:val="4"/>
          </w:tcPr>
          <w:p w14:paraId="4EDB4AD1" w14:textId="77777777" w:rsidR="004401F0" w:rsidRPr="00D90DBD" w:rsidRDefault="00DF3C4F" w:rsidP="00654D21">
            <w:pPr>
              <w:pStyle w:val="TableParagraph"/>
              <w:adjustRightInd w:val="0"/>
              <w:snapToGrid w:val="0"/>
              <w:jc w:val="center"/>
              <w:rPr>
                <w:b/>
                <w:sz w:val="20"/>
                <w:szCs w:val="20"/>
                <w:lang w:val="fr-FR"/>
              </w:rPr>
            </w:pPr>
            <w:r w:rsidRPr="00D90DBD">
              <w:rPr>
                <w:b/>
                <w:sz w:val="20"/>
                <w:szCs w:val="20"/>
                <w:u w:val="single"/>
                <w:lang w:val="fr-FR"/>
              </w:rPr>
              <w:t>Critères secondaires</w:t>
            </w:r>
          </w:p>
        </w:tc>
      </w:tr>
      <w:tr w:rsidR="004401F0" w:rsidRPr="000D7348" w14:paraId="58279B64" w14:textId="77777777" w:rsidTr="00D90DBD">
        <w:trPr>
          <w:cantSplit/>
        </w:trPr>
        <w:tc>
          <w:tcPr>
            <w:tcW w:w="8919" w:type="dxa"/>
            <w:gridSpan w:val="4"/>
          </w:tcPr>
          <w:p w14:paraId="0ED9E4B5" w14:textId="3F52B124" w:rsidR="004401F0" w:rsidRPr="00D90DBD" w:rsidRDefault="00DF3C4F" w:rsidP="00D90DBD">
            <w:pPr>
              <w:pStyle w:val="TableParagraph"/>
              <w:adjustRightInd w:val="0"/>
              <w:snapToGrid w:val="0"/>
              <w:rPr>
                <w:b/>
                <w:sz w:val="20"/>
                <w:szCs w:val="20"/>
                <w:lang w:val="fr-FR"/>
              </w:rPr>
            </w:pPr>
            <w:r w:rsidRPr="00D90DBD">
              <w:rPr>
                <w:b/>
                <w:sz w:val="20"/>
                <w:szCs w:val="20"/>
                <w:lang w:val="fr-FR"/>
              </w:rPr>
              <w:t xml:space="preserve">Survie sans progression – </w:t>
            </w:r>
            <w:r w:rsidR="00275C52">
              <w:rPr>
                <w:b/>
                <w:sz w:val="20"/>
                <w:szCs w:val="20"/>
                <w:lang w:val="fr-FR"/>
              </w:rPr>
              <w:t>a</w:t>
            </w:r>
            <w:r w:rsidR="00275C52" w:rsidRPr="00D90DBD">
              <w:rPr>
                <w:b/>
                <w:sz w:val="20"/>
                <w:szCs w:val="20"/>
                <w:lang w:val="fr-FR"/>
              </w:rPr>
              <w:t xml:space="preserve">nalyse </w:t>
            </w:r>
            <w:r w:rsidRPr="00D90DBD">
              <w:rPr>
                <w:b/>
                <w:sz w:val="20"/>
                <w:szCs w:val="20"/>
                <w:lang w:val="fr-FR"/>
              </w:rPr>
              <w:t>primaire</w:t>
            </w:r>
            <w:r w:rsidRPr="00D90DBD">
              <w:rPr>
                <w:b/>
                <w:sz w:val="20"/>
                <w:szCs w:val="20"/>
                <w:vertAlign w:val="superscript"/>
                <w:lang w:val="fr-FR"/>
              </w:rPr>
              <w:t>6</w:t>
            </w:r>
          </w:p>
        </w:tc>
      </w:tr>
      <w:tr w:rsidR="004401F0" w:rsidRPr="00D90DBD" w14:paraId="0297BD92" w14:textId="77777777" w:rsidTr="00D90DBD">
        <w:trPr>
          <w:cantSplit/>
        </w:trPr>
        <w:tc>
          <w:tcPr>
            <w:tcW w:w="4114" w:type="dxa"/>
          </w:tcPr>
          <w:p w14:paraId="0281288B"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Médiane de la survie sans progression (mois)</w:t>
            </w:r>
            <w:r w:rsidRPr="00D90DBD">
              <w:rPr>
                <w:sz w:val="20"/>
                <w:szCs w:val="20"/>
                <w:vertAlign w:val="superscript"/>
                <w:lang w:val="fr-FR"/>
              </w:rPr>
              <w:t>1</w:t>
            </w:r>
          </w:p>
        </w:tc>
        <w:tc>
          <w:tcPr>
            <w:tcW w:w="2280" w:type="dxa"/>
          </w:tcPr>
          <w:p w14:paraId="2FFD0E79"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6,0</w:t>
            </w:r>
          </w:p>
        </w:tc>
        <w:tc>
          <w:tcPr>
            <w:tcW w:w="2525" w:type="dxa"/>
            <w:gridSpan w:val="2"/>
          </w:tcPr>
          <w:p w14:paraId="1A2117B8"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8,3</w:t>
            </w:r>
          </w:p>
        </w:tc>
      </w:tr>
      <w:tr w:rsidR="004401F0" w:rsidRPr="00D90DBD" w14:paraId="0996A30E" w14:textId="77777777" w:rsidTr="00D90DBD">
        <w:trPr>
          <w:cantSplit/>
        </w:trPr>
        <w:tc>
          <w:tcPr>
            <w:tcW w:w="4114" w:type="dxa"/>
          </w:tcPr>
          <w:p w14:paraId="125047B5"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Risque relatif [IC 95%]</w:t>
            </w:r>
          </w:p>
        </w:tc>
        <w:tc>
          <w:tcPr>
            <w:tcW w:w="4805" w:type="dxa"/>
            <w:gridSpan w:val="3"/>
          </w:tcPr>
          <w:p w14:paraId="2CDBB10A" w14:textId="62474EFF"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0,66 [0,54</w:t>
            </w:r>
            <w:r w:rsidR="00881CB8">
              <w:rPr>
                <w:sz w:val="20"/>
                <w:szCs w:val="20"/>
                <w:lang w:val="fr-FR"/>
              </w:rPr>
              <w:t xml:space="preserve"> ; </w:t>
            </w:r>
            <w:r w:rsidRPr="00D90DBD">
              <w:rPr>
                <w:sz w:val="20"/>
                <w:szCs w:val="20"/>
                <w:lang w:val="fr-FR"/>
              </w:rPr>
              <w:t>0,81]</w:t>
            </w:r>
          </w:p>
          <w:p w14:paraId="0323A5A7"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(p &lt; 0,0001)</w:t>
            </w:r>
          </w:p>
        </w:tc>
      </w:tr>
      <w:tr w:rsidR="004401F0" w:rsidRPr="000D7348" w14:paraId="7D61A8B9" w14:textId="77777777" w:rsidTr="00D90DBD">
        <w:trPr>
          <w:cantSplit/>
        </w:trPr>
        <w:tc>
          <w:tcPr>
            <w:tcW w:w="8919" w:type="dxa"/>
            <w:gridSpan w:val="4"/>
          </w:tcPr>
          <w:p w14:paraId="72FA0A14" w14:textId="62629385" w:rsidR="004401F0" w:rsidRPr="00D90DBD" w:rsidRDefault="00DF3C4F" w:rsidP="00D90DBD">
            <w:pPr>
              <w:pStyle w:val="TableParagraph"/>
              <w:adjustRightInd w:val="0"/>
              <w:snapToGrid w:val="0"/>
              <w:rPr>
                <w:b/>
                <w:sz w:val="20"/>
                <w:szCs w:val="20"/>
                <w:lang w:val="fr-FR"/>
              </w:rPr>
            </w:pPr>
            <w:r w:rsidRPr="00D90DBD">
              <w:rPr>
                <w:b/>
                <w:sz w:val="20"/>
                <w:szCs w:val="20"/>
                <w:lang w:val="fr-FR"/>
              </w:rPr>
              <w:t xml:space="preserve">Meilleure réponse globale– </w:t>
            </w:r>
            <w:r w:rsidR="00275C52">
              <w:rPr>
                <w:b/>
                <w:sz w:val="20"/>
                <w:szCs w:val="20"/>
                <w:lang w:val="fr-FR"/>
              </w:rPr>
              <w:t>a</w:t>
            </w:r>
            <w:r w:rsidR="00275C52" w:rsidRPr="00D90DBD">
              <w:rPr>
                <w:b/>
                <w:sz w:val="20"/>
                <w:szCs w:val="20"/>
                <w:lang w:val="fr-FR"/>
              </w:rPr>
              <w:t xml:space="preserve">nalyse </w:t>
            </w:r>
            <w:r w:rsidRPr="00D90DBD">
              <w:rPr>
                <w:b/>
                <w:sz w:val="20"/>
                <w:szCs w:val="20"/>
                <w:lang w:val="fr-FR"/>
              </w:rPr>
              <w:t>primaire</w:t>
            </w:r>
            <w:r w:rsidRPr="00D90DBD">
              <w:rPr>
                <w:b/>
                <w:sz w:val="20"/>
                <w:szCs w:val="20"/>
                <w:vertAlign w:val="superscript"/>
                <w:lang w:val="fr-FR"/>
              </w:rPr>
              <w:t>6</w:t>
            </w:r>
          </w:p>
        </w:tc>
      </w:tr>
      <w:tr w:rsidR="004401F0" w:rsidRPr="00D90DBD" w14:paraId="0EA6D0D7" w14:textId="77777777" w:rsidTr="00D90DBD">
        <w:trPr>
          <w:cantSplit/>
        </w:trPr>
        <w:tc>
          <w:tcPr>
            <w:tcW w:w="4114" w:type="dxa"/>
          </w:tcPr>
          <w:p w14:paraId="6723EA1D" w14:textId="7AC24AF3" w:rsidR="004401F0" w:rsidRPr="00D90DBD" w:rsidRDefault="00DF3C4F" w:rsidP="00880997">
            <w:pPr>
              <w:pStyle w:val="TableParagraph"/>
              <w:adjustRightInd w:val="0"/>
              <w:snapToGrid w:val="0"/>
              <w:rPr>
                <w:sz w:val="20"/>
                <w:szCs w:val="20"/>
                <w:lang w:val="fr-FR"/>
              </w:rPr>
            </w:pPr>
            <w:r w:rsidRPr="00D90DBD">
              <w:rPr>
                <w:sz w:val="20"/>
                <w:szCs w:val="20"/>
                <w:lang w:val="fr-FR"/>
              </w:rPr>
              <w:t>Patientes répondant au traitement (</w:t>
            </w:r>
            <w:r w:rsidR="00275C52">
              <w:rPr>
                <w:sz w:val="20"/>
                <w:szCs w:val="20"/>
                <w:lang w:val="fr-FR"/>
              </w:rPr>
              <w:t>t</w:t>
            </w:r>
            <w:r w:rsidRPr="00D90DBD">
              <w:rPr>
                <w:sz w:val="20"/>
                <w:szCs w:val="20"/>
                <w:lang w:val="fr-FR"/>
              </w:rPr>
              <w:t>aux de</w:t>
            </w:r>
            <w:r w:rsidR="00880997">
              <w:rPr>
                <w:sz w:val="20"/>
                <w:szCs w:val="20"/>
                <w:lang w:val="fr-FR"/>
              </w:rPr>
              <w:t xml:space="preserve"> </w:t>
            </w:r>
            <w:r w:rsidRPr="00D90DBD">
              <w:rPr>
                <w:sz w:val="20"/>
                <w:szCs w:val="20"/>
                <w:lang w:val="fr-FR"/>
              </w:rPr>
              <w:t>réponse</w:t>
            </w:r>
            <w:r w:rsidRPr="00D90DBD">
              <w:rPr>
                <w:sz w:val="20"/>
                <w:szCs w:val="20"/>
                <w:vertAlign w:val="superscript"/>
                <w:lang w:val="fr-FR"/>
              </w:rPr>
              <w:t>2</w:t>
            </w:r>
            <w:r w:rsidRPr="00D90DBD">
              <w:rPr>
                <w:sz w:val="20"/>
                <w:szCs w:val="20"/>
                <w:lang w:val="fr-FR"/>
              </w:rPr>
              <w:t>)</w:t>
            </w:r>
          </w:p>
        </w:tc>
        <w:tc>
          <w:tcPr>
            <w:tcW w:w="2280" w:type="dxa"/>
          </w:tcPr>
          <w:p w14:paraId="67D94887"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76 (33,8 %)</w:t>
            </w:r>
          </w:p>
        </w:tc>
        <w:tc>
          <w:tcPr>
            <w:tcW w:w="2525" w:type="dxa"/>
            <w:gridSpan w:val="2"/>
          </w:tcPr>
          <w:p w14:paraId="15C055C3"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103 (45,4 %)</w:t>
            </w:r>
          </w:p>
        </w:tc>
      </w:tr>
      <w:tr w:rsidR="004401F0" w:rsidRPr="00D90DBD" w14:paraId="55450F3E" w14:textId="77777777" w:rsidTr="00D90DBD">
        <w:trPr>
          <w:cantSplit/>
        </w:trPr>
        <w:tc>
          <w:tcPr>
            <w:tcW w:w="4114" w:type="dxa"/>
          </w:tcPr>
          <w:p w14:paraId="30A68805"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IC à 95% pour les taux de réponse</w:t>
            </w:r>
            <w:r w:rsidRPr="00D90DBD">
              <w:rPr>
                <w:sz w:val="20"/>
                <w:szCs w:val="20"/>
                <w:vertAlign w:val="superscript"/>
                <w:lang w:val="fr-FR"/>
              </w:rPr>
              <w:t>3</w:t>
            </w:r>
          </w:p>
        </w:tc>
        <w:tc>
          <w:tcPr>
            <w:tcW w:w="2280" w:type="dxa"/>
          </w:tcPr>
          <w:p w14:paraId="7FBCFF54" w14:textId="7707BAFF"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[27,6</w:t>
            </w:r>
            <w:r w:rsidR="00AF3AAA">
              <w:rPr>
                <w:sz w:val="20"/>
                <w:szCs w:val="20"/>
                <w:lang w:val="fr-FR"/>
              </w:rPr>
              <w:t> %</w:t>
            </w:r>
            <w:r w:rsidR="00881CB8">
              <w:rPr>
                <w:sz w:val="20"/>
                <w:szCs w:val="20"/>
                <w:lang w:val="fr-FR"/>
              </w:rPr>
              <w:t xml:space="preserve"> ; </w:t>
            </w:r>
            <w:r w:rsidRPr="00D90DBD">
              <w:rPr>
                <w:sz w:val="20"/>
                <w:szCs w:val="20"/>
                <w:lang w:val="fr-FR"/>
              </w:rPr>
              <w:t>40,4 %]</w:t>
            </w:r>
          </w:p>
        </w:tc>
        <w:tc>
          <w:tcPr>
            <w:tcW w:w="2525" w:type="dxa"/>
            <w:gridSpan w:val="2"/>
          </w:tcPr>
          <w:p w14:paraId="109C3FB7" w14:textId="0725E6BC"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[38,8</w:t>
            </w:r>
            <w:r w:rsidR="00AF3AAA">
              <w:rPr>
                <w:sz w:val="20"/>
                <w:szCs w:val="20"/>
                <w:lang w:val="fr-FR"/>
              </w:rPr>
              <w:t> %</w:t>
            </w:r>
            <w:r w:rsidR="00881CB8">
              <w:rPr>
                <w:sz w:val="20"/>
                <w:szCs w:val="20"/>
                <w:lang w:val="fr-FR"/>
              </w:rPr>
              <w:t xml:space="preserve"> ; </w:t>
            </w:r>
            <w:r w:rsidRPr="00D90DBD">
              <w:rPr>
                <w:sz w:val="20"/>
                <w:szCs w:val="20"/>
                <w:lang w:val="fr-FR"/>
              </w:rPr>
              <w:t>52,1 %]</w:t>
            </w:r>
          </w:p>
        </w:tc>
      </w:tr>
      <w:tr w:rsidR="004401F0" w:rsidRPr="00D90DBD" w14:paraId="73A813A3" w14:textId="77777777" w:rsidTr="00D90DBD">
        <w:trPr>
          <w:cantSplit/>
        </w:trPr>
        <w:tc>
          <w:tcPr>
            <w:tcW w:w="4114" w:type="dxa"/>
          </w:tcPr>
          <w:p w14:paraId="5566AD77"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Différence entre les taux de réponse</w:t>
            </w:r>
          </w:p>
        </w:tc>
        <w:tc>
          <w:tcPr>
            <w:tcW w:w="4805" w:type="dxa"/>
            <w:gridSpan w:val="3"/>
          </w:tcPr>
          <w:p w14:paraId="5F19964E"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11,60 %</w:t>
            </w:r>
          </w:p>
        </w:tc>
      </w:tr>
      <w:tr w:rsidR="004401F0" w:rsidRPr="00D90DBD" w14:paraId="308E5B60" w14:textId="77777777" w:rsidTr="00D90DBD">
        <w:trPr>
          <w:cantSplit/>
        </w:trPr>
        <w:tc>
          <w:tcPr>
            <w:tcW w:w="4114" w:type="dxa"/>
          </w:tcPr>
          <w:p w14:paraId="1206443C" w14:textId="77777777" w:rsidR="004401F0" w:rsidRPr="00D90DBD" w:rsidRDefault="00DF3C4F" w:rsidP="00D90DBD">
            <w:pPr>
              <w:pStyle w:val="TableParagraph"/>
              <w:adjustRightInd w:val="0"/>
              <w:snapToGrid w:val="0"/>
              <w:rPr>
                <w:sz w:val="20"/>
                <w:szCs w:val="20"/>
                <w:lang w:val="fr-FR"/>
              </w:rPr>
            </w:pPr>
            <w:r w:rsidRPr="00D90DBD">
              <w:rPr>
                <w:sz w:val="20"/>
                <w:szCs w:val="20"/>
                <w:lang w:val="fr-FR"/>
              </w:rPr>
              <w:t xml:space="preserve">IC à 95% pour les différences entre les taux de réponse </w:t>
            </w:r>
            <w:r w:rsidRPr="00D90DBD">
              <w:rPr>
                <w:sz w:val="20"/>
                <w:szCs w:val="20"/>
                <w:vertAlign w:val="superscript"/>
                <w:lang w:val="fr-FR"/>
              </w:rPr>
              <w:t>4</w:t>
            </w:r>
          </w:p>
        </w:tc>
        <w:tc>
          <w:tcPr>
            <w:tcW w:w="4805" w:type="dxa"/>
            <w:gridSpan w:val="3"/>
          </w:tcPr>
          <w:p w14:paraId="15747A8E" w14:textId="3B4B5B00"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[2,4</w:t>
            </w:r>
            <w:r w:rsidR="00AF3AAA">
              <w:rPr>
                <w:sz w:val="20"/>
                <w:szCs w:val="20"/>
                <w:lang w:val="fr-FR"/>
              </w:rPr>
              <w:t> %</w:t>
            </w:r>
            <w:r w:rsidR="00881CB8">
              <w:rPr>
                <w:sz w:val="20"/>
                <w:szCs w:val="20"/>
                <w:lang w:val="fr-FR"/>
              </w:rPr>
              <w:t xml:space="preserve"> ; </w:t>
            </w:r>
            <w:r w:rsidRPr="00D90DBD">
              <w:rPr>
                <w:sz w:val="20"/>
                <w:szCs w:val="20"/>
                <w:lang w:val="fr-FR"/>
              </w:rPr>
              <w:t>20,8 %]</w:t>
            </w:r>
          </w:p>
        </w:tc>
      </w:tr>
      <w:tr w:rsidR="004401F0" w:rsidRPr="00D90DBD" w14:paraId="2F4913A4" w14:textId="77777777" w:rsidTr="00D90DBD">
        <w:trPr>
          <w:cantSplit/>
        </w:trPr>
        <w:tc>
          <w:tcPr>
            <w:tcW w:w="4114" w:type="dxa"/>
          </w:tcPr>
          <w:p w14:paraId="605437C8" w14:textId="0AC2533A" w:rsidR="004401F0" w:rsidRPr="00D90DBD" w:rsidRDefault="00DF3C4F" w:rsidP="00D90DBD">
            <w:pPr>
              <w:pStyle w:val="TableParagraph"/>
              <w:adjustRightInd w:val="0"/>
              <w:snapToGrid w:val="0"/>
              <w:rPr>
                <w:sz w:val="20"/>
                <w:szCs w:val="20"/>
                <w:lang w:val="fr-FR"/>
              </w:rPr>
            </w:pPr>
            <w:r w:rsidRPr="00D90DBD">
              <w:rPr>
                <w:sz w:val="20"/>
                <w:szCs w:val="20"/>
                <w:lang w:val="fr-FR"/>
              </w:rPr>
              <w:t>p (</w:t>
            </w:r>
            <w:r w:rsidR="00614220">
              <w:rPr>
                <w:sz w:val="20"/>
                <w:szCs w:val="20"/>
                <w:lang w:val="fr-FR"/>
              </w:rPr>
              <w:t>t</w:t>
            </w:r>
            <w:r w:rsidRPr="00D90DBD">
              <w:rPr>
                <w:sz w:val="20"/>
                <w:szCs w:val="20"/>
                <w:lang w:val="fr-FR"/>
              </w:rPr>
              <w:t>est du Chi-2)</w:t>
            </w:r>
          </w:p>
        </w:tc>
        <w:tc>
          <w:tcPr>
            <w:tcW w:w="4805" w:type="dxa"/>
            <w:gridSpan w:val="3"/>
          </w:tcPr>
          <w:p w14:paraId="19ECDF8E" w14:textId="77777777" w:rsidR="004401F0" w:rsidRPr="00D90DBD" w:rsidRDefault="00DF3C4F" w:rsidP="00F452CD">
            <w:pPr>
              <w:pStyle w:val="TableParagraph"/>
              <w:adjustRightInd w:val="0"/>
              <w:snapToGrid w:val="0"/>
              <w:jc w:val="center"/>
              <w:rPr>
                <w:sz w:val="20"/>
                <w:szCs w:val="20"/>
                <w:lang w:val="fr-FR"/>
              </w:rPr>
            </w:pPr>
            <w:r w:rsidRPr="00D90DBD">
              <w:rPr>
                <w:sz w:val="20"/>
                <w:szCs w:val="20"/>
                <w:lang w:val="fr-FR"/>
              </w:rPr>
              <w:t>0,0117</w:t>
            </w:r>
          </w:p>
        </w:tc>
      </w:tr>
    </w:tbl>
    <w:p w14:paraId="2183583E" w14:textId="77777777" w:rsidR="004401F0" w:rsidRPr="00D90DBD" w:rsidRDefault="00DF3C4F" w:rsidP="00BD4C7C">
      <w:pPr>
        <w:adjustRightInd w:val="0"/>
        <w:snapToGrid w:val="0"/>
        <w:rPr>
          <w:sz w:val="18"/>
          <w:szCs w:val="18"/>
          <w:lang w:val="fr-FR"/>
        </w:rPr>
      </w:pPr>
      <w:r w:rsidRPr="00D90DBD">
        <w:rPr>
          <w:sz w:val="18"/>
          <w:szCs w:val="18"/>
          <w:vertAlign w:val="superscript"/>
          <w:lang w:val="fr-FR"/>
        </w:rPr>
        <w:t>1</w:t>
      </w:r>
      <w:r w:rsidRPr="00D90DBD">
        <w:rPr>
          <w:sz w:val="18"/>
          <w:szCs w:val="18"/>
          <w:lang w:val="fr-FR"/>
        </w:rPr>
        <w:t xml:space="preserve"> Estimations de Kaplan-Meier</w:t>
      </w:r>
    </w:p>
    <w:p w14:paraId="46DCF7F2" w14:textId="54EEDB0D" w:rsidR="004401F0" w:rsidRPr="00D90DBD" w:rsidRDefault="00DF3C4F" w:rsidP="00BD4C7C">
      <w:pPr>
        <w:adjustRightInd w:val="0"/>
        <w:snapToGrid w:val="0"/>
        <w:rPr>
          <w:sz w:val="18"/>
          <w:szCs w:val="18"/>
          <w:lang w:val="fr-FR"/>
        </w:rPr>
      </w:pPr>
      <w:r w:rsidRPr="00D90DBD">
        <w:rPr>
          <w:sz w:val="18"/>
          <w:szCs w:val="18"/>
          <w:vertAlign w:val="superscript"/>
          <w:lang w:val="fr-FR"/>
        </w:rPr>
        <w:t>2</w:t>
      </w:r>
      <w:r w:rsidRPr="00D90DBD">
        <w:rPr>
          <w:sz w:val="18"/>
          <w:szCs w:val="18"/>
          <w:lang w:val="fr-FR"/>
        </w:rPr>
        <w:t xml:space="preserve"> Patientes et pourcentage de patientes avec une Réponse Complète ou une Réponse Partielle confirmées comme meilleure réponse globale</w:t>
      </w:r>
      <w:r w:rsidR="00881CB8">
        <w:rPr>
          <w:sz w:val="18"/>
          <w:szCs w:val="18"/>
          <w:lang w:val="fr-FR"/>
        </w:rPr>
        <w:t xml:space="preserve"> ; </w:t>
      </w:r>
      <w:r w:rsidRPr="00D90DBD">
        <w:rPr>
          <w:sz w:val="18"/>
          <w:szCs w:val="18"/>
          <w:lang w:val="fr-FR"/>
        </w:rPr>
        <w:t>pourcentage calculé chez les patientes avec maladie mesurable à l’inclusion</w:t>
      </w:r>
    </w:p>
    <w:p w14:paraId="2620EC50" w14:textId="77777777" w:rsidR="004401F0" w:rsidRPr="00D90DBD" w:rsidRDefault="00DF3C4F" w:rsidP="00BD4C7C">
      <w:pPr>
        <w:adjustRightInd w:val="0"/>
        <w:snapToGrid w:val="0"/>
        <w:rPr>
          <w:sz w:val="18"/>
          <w:szCs w:val="18"/>
          <w:lang w:val="fr-FR"/>
        </w:rPr>
      </w:pPr>
      <w:r w:rsidRPr="00D90DBD">
        <w:rPr>
          <w:sz w:val="18"/>
          <w:szCs w:val="18"/>
          <w:vertAlign w:val="superscript"/>
          <w:lang w:val="fr-FR"/>
        </w:rPr>
        <w:t>3</w:t>
      </w:r>
      <w:r w:rsidRPr="00D90DBD">
        <w:rPr>
          <w:sz w:val="18"/>
          <w:szCs w:val="18"/>
          <w:lang w:val="fr-FR"/>
        </w:rPr>
        <w:t xml:space="preserve"> IC à 95% pour un échantillon binomial utilisant la méthode de Pearson-Clopper</w:t>
      </w:r>
    </w:p>
    <w:p w14:paraId="58167408" w14:textId="77777777" w:rsidR="004401F0" w:rsidRPr="00D90DBD" w:rsidRDefault="00DF3C4F" w:rsidP="00BD4C7C">
      <w:pPr>
        <w:adjustRightInd w:val="0"/>
        <w:snapToGrid w:val="0"/>
        <w:rPr>
          <w:sz w:val="18"/>
          <w:szCs w:val="18"/>
          <w:lang w:val="fr-FR"/>
        </w:rPr>
      </w:pPr>
      <w:r w:rsidRPr="00D90DBD">
        <w:rPr>
          <w:sz w:val="18"/>
          <w:szCs w:val="18"/>
          <w:vertAlign w:val="superscript"/>
          <w:lang w:val="fr-FR"/>
        </w:rPr>
        <w:t>4</w:t>
      </w:r>
      <w:r w:rsidRPr="00D90DBD">
        <w:rPr>
          <w:sz w:val="18"/>
          <w:szCs w:val="18"/>
          <w:lang w:val="fr-FR"/>
        </w:rPr>
        <w:t xml:space="preserve"> IC à 95% approximatif pour la différence entre les deux taux utilisant la méthode d’Hauck-Anderson</w:t>
      </w:r>
    </w:p>
    <w:p w14:paraId="706E2EDF" w14:textId="77777777" w:rsidR="004401F0" w:rsidRPr="00D90DBD" w:rsidRDefault="00DF3C4F" w:rsidP="00BD4C7C">
      <w:pPr>
        <w:adjustRightInd w:val="0"/>
        <w:snapToGrid w:val="0"/>
        <w:rPr>
          <w:sz w:val="18"/>
          <w:szCs w:val="18"/>
          <w:lang w:val="fr-FR"/>
        </w:rPr>
      </w:pPr>
      <w:r w:rsidRPr="00D90DBD">
        <w:rPr>
          <w:sz w:val="18"/>
          <w:szCs w:val="18"/>
          <w:vertAlign w:val="superscript"/>
          <w:lang w:val="fr-FR"/>
        </w:rPr>
        <w:t>5</w:t>
      </w:r>
      <w:r w:rsidRPr="00D90DBD">
        <w:rPr>
          <w:sz w:val="18"/>
          <w:szCs w:val="18"/>
          <w:lang w:val="fr-FR"/>
        </w:rPr>
        <w:t xml:space="preserve"> Test du log-rank (ajusté)</w:t>
      </w:r>
    </w:p>
    <w:p w14:paraId="4E09044B" w14:textId="77777777" w:rsidR="004401F0" w:rsidRPr="00D90DBD" w:rsidRDefault="00DF3C4F" w:rsidP="00BD4C7C">
      <w:pPr>
        <w:adjustRightInd w:val="0"/>
        <w:snapToGrid w:val="0"/>
        <w:rPr>
          <w:sz w:val="18"/>
          <w:szCs w:val="18"/>
          <w:lang w:val="fr-FR"/>
        </w:rPr>
      </w:pPr>
      <w:r w:rsidRPr="00D90DBD">
        <w:rPr>
          <w:sz w:val="18"/>
          <w:szCs w:val="18"/>
          <w:vertAlign w:val="superscript"/>
          <w:lang w:val="fr-FR"/>
        </w:rPr>
        <w:t>6</w:t>
      </w:r>
      <w:r w:rsidRPr="00D90DBD">
        <w:rPr>
          <w:sz w:val="18"/>
          <w:szCs w:val="18"/>
          <w:lang w:val="fr-FR"/>
        </w:rPr>
        <w:t xml:space="preserve"> L’analyse primaire des données a été réalisée avec une date limite de recueil des données fixée au 12 décembre 2012 et est considérée comme l’analyse finale</w:t>
      </w:r>
    </w:p>
    <w:p w14:paraId="4AF67EA6" w14:textId="77777777" w:rsidR="004401F0" w:rsidRPr="00D90DBD" w:rsidRDefault="00DF3C4F" w:rsidP="00BD4C7C">
      <w:pPr>
        <w:adjustRightInd w:val="0"/>
        <w:snapToGrid w:val="0"/>
        <w:rPr>
          <w:sz w:val="18"/>
          <w:szCs w:val="18"/>
          <w:lang w:val="fr-FR"/>
        </w:rPr>
      </w:pPr>
      <w:r w:rsidRPr="00D90DBD">
        <w:rPr>
          <w:sz w:val="18"/>
          <w:szCs w:val="18"/>
          <w:vertAlign w:val="superscript"/>
          <w:lang w:val="fr-FR"/>
        </w:rPr>
        <w:t>7</w:t>
      </w:r>
      <w:r w:rsidRPr="00D90DBD">
        <w:rPr>
          <w:sz w:val="18"/>
          <w:szCs w:val="18"/>
          <w:lang w:val="fr-FR"/>
        </w:rPr>
        <w:t xml:space="preserve"> L’analyse de suivi des données a été réalisée en fonction de la date limite de recueil des données fixée au 7 mars 2014</w:t>
      </w:r>
    </w:p>
    <w:p w14:paraId="6D657221" w14:textId="77777777" w:rsidR="004401F0" w:rsidRPr="00D90DBD" w:rsidRDefault="00DF3C4F" w:rsidP="00BD4C7C">
      <w:pPr>
        <w:adjustRightInd w:val="0"/>
        <w:snapToGrid w:val="0"/>
        <w:rPr>
          <w:sz w:val="18"/>
          <w:szCs w:val="18"/>
          <w:lang w:val="fr-FR"/>
        </w:rPr>
      </w:pPr>
      <w:r w:rsidRPr="00D90DBD">
        <w:rPr>
          <w:sz w:val="18"/>
          <w:szCs w:val="18"/>
          <w:vertAlign w:val="superscript"/>
          <w:lang w:val="fr-FR"/>
        </w:rPr>
        <w:t>8</w:t>
      </w:r>
      <w:r w:rsidRPr="00D90DBD">
        <w:rPr>
          <w:sz w:val="18"/>
          <w:szCs w:val="18"/>
          <w:lang w:val="fr-FR"/>
        </w:rPr>
        <w:t xml:space="preserve"> La valeur du p a été donnée uniquement dans un but descriptif</w:t>
      </w:r>
    </w:p>
    <w:p w14:paraId="67D8554C" w14:textId="77777777" w:rsidR="00BD4C7C" w:rsidRPr="00DA7718" w:rsidRDefault="00BD4C7C" w:rsidP="00BD4C7C">
      <w:pPr>
        <w:adjustRightInd w:val="0"/>
        <w:snapToGrid w:val="0"/>
        <w:rPr>
          <w:sz w:val="20"/>
          <w:lang w:val="fr-FR"/>
        </w:rPr>
      </w:pPr>
    </w:p>
    <w:p w14:paraId="714D2171" w14:textId="77777777" w:rsidR="004401F0" w:rsidRPr="00AC582F" w:rsidRDefault="00DF3C4F" w:rsidP="00AC582F">
      <w:pPr>
        <w:ind w:left="1276" w:hanging="1276"/>
        <w:rPr>
          <w:b/>
          <w:bCs/>
          <w:lang w:val="fr-FR"/>
        </w:rPr>
      </w:pPr>
      <w:r w:rsidRPr="00AC582F">
        <w:rPr>
          <w:b/>
          <w:bCs/>
          <w:lang w:val="fr-FR"/>
        </w:rPr>
        <w:t xml:space="preserve">Tableau 26 </w:t>
      </w:r>
      <w:r w:rsidR="00B772E9" w:rsidRPr="00AC582F">
        <w:rPr>
          <w:b/>
          <w:bCs/>
          <w:lang w:val="fr-FR"/>
        </w:rPr>
        <w:tab/>
      </w:r>
      <w:r w:rsidRPr="00AC582F">
        <w:rPr>
          <w:b/>
          <w:bCs/>
          <w:lang w:val="fr-FR"/>
        </w:rPr>
        <w:t>Résultats de la survie globale de l’étude GOG-0240 en fonction du schéma de traitement</w:t>
      </w:r>
    </w:p>
    <w:p w14:paraId="3708EE47" w14:textId="77777777" w:rsidR="004401F0" w:rsidRPr="00DA7718" w:rsidRDefault="004401F0" w:rsidP="00BD4C7C">
      <w:pPr>
        <w:pStyle w:val="a3"/>
        <w:adjustRightInd w:val="0"/>
        <w:snapToGrid w:val="0"/>
        <w:rPr>
          <w:b/>
          <w:sz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1385"/>
        <w:gridCol w:w="3024"/>
        <w:gridCol w:w="3025"/>
      </w:tblGrid>
      <w:tr w:rsidR="004401F0" w:rsidRPr="000D7348" w14:paraId="162609B6" w14:textId="77777777" w:rsidTr="00B772E9">
        <w:trPr>
          <w:cantSplit/>
          <w:tblHeader/>
        </w:trPr>
        <w:tc>
          <w:tcPr>
            <w:tcW w:w="1668" w:type="dxa"/>
          </w:tcPr>
          <w:p w14:paraId="6CA9E7F1" w14:textId="77777777" w:rsidR="004401F0" w:rsidRPr="00D90DBD" w:rsidRDefault="00DF3C4F" w:rsidP="00B772E9">
            <w:pPr>
              <w:pStyle w:val="TableParagraph"/>
              <w:adjustRightInd w:val="0"/>
              <w:snapToGrid w:val="0"/>
              <w:jc w:val="center"/>
              <w:rPr>
                <w:sz w:val="20"/>
                <w:szCs w:val="20"/>
                <w:lang w:val="fr-FR"/>
              </w:rPr>
            </w:pPr>
            <w:r w:rsidRPr="00D90DBD">
              <w:rPr>
                <w:sz w:val="20"/>
                <w:szCs w:val="20"/>
                <w:lang w:val="fr-FR"/>
              </w:rPr>
              <w:t>Comparaison des traitements</w:t>
            </w:r>
          </w:p>
        </w:tc>
        <w:tc>
          <w:tcPr>
            <w:tcW w:w="1417" w:type="dxa"/>
          </w:tcPr>
          <w:p w14:paraId="4D33F3B3" w14:textId="77777777" w:rsidR="004401F0" w:rsidRPr="00D90DBD" w:rsidRDefault="00DF3C4F" w:rsidP="00B772E9">
            <w:pPr>
              <w:pStyle w:val="TableParagraph"/>
              <w:adjustRightInd w:val="0"/>
              <w:snapToGrid w:val="0"/>
              <w:jc w:val="center"/>
              <w:rPr>
                <w:sz w:val="20"/>
                <w:szCs w:val="20"/>
                <w:lang w:val="fr-FR"/>
              </w:rPr>
            </w:pPr>
            <w:r w:rsidRPr="00D90DBD">
              <w:rPr>
                <w:sz w:val="20"/>
                <w:szCs w:val="20"/>
                <w:lang w:val="fr-FR"/>
              </w:rPr>
              <w:t>Autres facteurs</w:t>
            </w:r>
          </w:p>
        </w:tc>
        <w:tc>
          <w:tcPr>
            <w:tcW w:w="3102" w:type="dxa"/>
          </w:tcPr>
          <w:p w14:paraId="5D18EA46" w14:textId="77777777" w:rsidR="004401F0" w:rsidRPr="00D90DBD" w:rsidRDefault="00DF3C4F" w:rsidP="00B772E9">
            <w:pPr>
              <w:pStyle w:val="TableParagraph"/>
              <w:adjustRightInd w:val="0"/>
              <w:snapToGrid w:val="0"/>
              <w:jc w:val="center"/>
              <w:rPr>
                <w:sz w:val="20"/>
                <w:szCs w:val="20"/>
                <w:lang w:val="fr-FR"/>
              </w:rPr>
            </w:pPr>
            <w:r w:rsidRPr="00D90DBD">
              <w:rPr>
                <w:sz w:val="20"/>
                <w:szCs w:val="20"/>
                <w:lang w:val="fr-FR"/>
              </w:rPr>
              <w:t>Survie globale – Analyse primaire</w:t>
            </w:r>
            <w:r w:rsidRPr="00D90DBD">
              <w:rPr>
                <w:sz w:val="20"/>
                <w:szCs w:val="20"/>
                <w:vertAlign w:val="superscript"/>
                <w:lang w:val="fr-FR"/>
              </w:rPr>
              <w:t>1</w:t>
            </w:r>
          </w:p>
          <w:p w14:paraId="1FE06DE0" w14:textId="77777777" w:rsidR="004401F0" w:rsidRPr="00D90DBD" w:rsidRDefault="00DF3C4F" w:rsidP="00B772E9">
            <w:pPr>
              <w:pStyle w:val="TableParagraph"/>
              <w:adjustRightInd w:val="0"/>
              <w:snapToGrid w:val="0"/>
              <w:jc w:val="center"/>
              <w:rPr>
                <w:sz w:val="20"/>
                <w:szCs w:val="20"/>
                <w:lang w:val="fr-FR"/>
              </w:rPr>
            </w:pPr>
            <w:r w:rsidRPr="00D90DBD">
              <w:rPr>
                <w:sz w:val="20"/>
                <w:szCs w:val="20"/>
                <w:lang w:val="fr-FR"/>
              </w:rPr>
              <w:t>Risque relatif (IC 95%)</w:t>
            </w:r>
          </w:p>
        </w:tc>
        <w:tc>
          <w:tcPr>
            <w:tcW w:w="3103" w:type="dxa"/>
          </w:tcPr>
          <w:p w14:paraId="7FE3FA2C" w14:textId="77777777" w:rsidR="004401F0" w:rsidRPr="00D90DBD" w:rsidRDefault="00DF3C4F" w:rsidP="00B772E9">
            <w:pPr>
              <w:pStyle w:val="TableParagraph"/>
              <w:adjustRightInd w:val="0"/>
              <w:snapToGrid w:val="0"/>
              <w:jc w:val="center"/>
              <w:rPr>
                <w:sz w:val="20"/>
                <w:szCs w:val="20"/>
                <w:lang w:val="fr-FR"/>
              </w:rPr>
            </w:pPr>
            <w:r w:rsidRPr="00D90DBD">
              <w:rPr>
                <w:sz w:val="20"/>
                <w:szCs w:val="20"/>
                <w:lang w:val="fr-FR"/>
              </w:rPr>
              <w:t>Survie globale – Analyse de suivi</w:t>
            </w:r>
            <w:r w:rsidRPr="00D90DBD">
              <w:rPr>
                <w:sz w:val="20"/>
                <w:szCs w:val="20"/>
                <w:vertAlign w:val="superscript"/>
                <w:lang w:val="fr-FR"/>
              </w:rPr>
              <w:t>2</w:t>
            </w:r>
          </w:p>
          <w:p w14:paraId="680154FB" w14:textId="77777777" w:rsidR="004401F0" w:rsidRPr="00D90DBD" w:rsidRDefault="00DF3C4F" w:rsidP="00B772E9">
            <w:pPr>
              <w:pStyle w:val="TableParagraph"/>
              <w:adjustRightInd w:val="0"/>
              <w:snapToGrid w:val="0"/>
              <w:jc w:val="center"/>
              <w:rPr>
                <w:sz w:val="20"/>
                <w:szCs w:val="20"/>
                <w:lang w:val="fr-FR"/>
              </w:rPr>
            </w:pPr>
            <w:r w:rsidRPr="00D90DBD">
              <w:rPr>
                <w:sz w:val="20"/>
                <w:szCs w:val="20"/>
                <w:lang w:val="fr-FR"/>
              </w:rPr>
              <w:t>Risque relatif (IC 95%)</w:t>
            </w:r>
          </w:p>
        </w:tc>
      </w:tr>
      <w:tr w:rsidR="007A5416" w:rsidRPr="00D90DBD" w14:paraId="63C003C9" w14:textId="77777777" w:rsidTr="00B772E9">
        <w:trPr>
          <w:cantSplit/>
        </w:trPr>
        <w:tc>
          <w:tcPr>
            <w:tcW w:w="1668" w:type="dxa"/>
            <w:vMerge w:val="restart"/>
          </w:tcPr>
          <w:p w14:paraId="4C4F4D81" w14:textId="7662827A" w:rsidR="007A5416" w:rsidRPr="00D90DBD" w:rsidRDefault="007A5416" w:rsidP="00D90DBD">
            <w:pPr>
              <w:pStyle w:val="TableParagraph"/>
              <w:adjustRightInd w:val="0"/>
              <w:snapToGrid w:val="0"/>
              <w:rPr>
                <w:sz w:val="20"/>
                <w:szCs w:val="20"/>
                <w:lang w:val="fr-FR"/>
              </w:rPr>
            </w:pPr>
            <w:r>
              <w:rPr>
                <w:sz w:val="20"/>
                <w:szCs w:val="20"/>
                <w:lang w:val="fr-FR"/>
              </w:rPr>
              <w:t>Bevacizumab</w:t>
            </w:r>
            <w:r w:rsidRPr="00D90DBD">
              <w:rPr>
                <w:sz w:val="20"/>
                <w:szCs w:val="20"/>
                <w:lang w:val="fr-FR"/>
              </w:rPr>
              <w:t xml:space="preserve"> vs. Sans </w:t>
            </w:r>
            <w:r w:rsidR="00614220">
              <w:rPr>
                <w:sz w:val="20"/>
                <w:szCs w:val="20"/>
                <w:lang w:val="fr-FR"/>
              </w:rPr>
              <w:t>bevacizumab</w:t>
            </w:r>
          </w:p>
        </w:tc>
        <w:tc>
          <w:tcPr>
            <w:tcW w:w="1417" w:type="dxa"/>
          </w:tcPr>
          <w:p w14:paraId="195D2528" w14:textId="77777777" w:rsidR="007A5416" w:rsidRPr="00D90DBD" w:rsidRDefault="007A5416" w:rsidP="00D90DBD">
            <w:pPr>
              <w:pStyle w:val="TableParagraph"/>
              <w:adjustRightInd w:val="0"/>
              <w:snapToGrid w:val="0"/>
              <w:rPr>
                <w:sz w:val="20"/>
                <w:szCs w:val="20"/>
                <w:lang w:val="fr-FR"/>
              </w:rPr>
            </w:pPr>
            <w:r w:rsidRPr="00D90DBD">
              <w:rPr>
                <w:sz w:val="20"/>
                <w:szCs w:val="20"/>
                <w:lang w:val="fr-FR"/>
              </w:rPr>
              <w:t>Cisplatine+ Paclitaxel</w:t>
            </w:r>
          </w:p>
        </w:tc>
        <w:tc>
          <w:tcPr>
            <w:tcW w:w="3102" w:type="dxa"/>
          </w:tcPr>
          <w:p w14:paraId="25673A76" w14:textId="101CFCCE" w:rsidR="007A5416" w:rsidRPr="00D90DBD" w:rsidRDefault="007A5416" w:rsidP="00B772E9">
            <w:pPr>
              <w:pStyle w:val="TableParagraph"/>
              <w:adjustRightInd w:val="0"/>
              <w:snapToGrid w:val="0"/>
              <w:jc w:val="center"/>
              <w:rPr>
                <w:sz w:val="20"/>
                <w:szCs w:val="20"/>
                <w:lang w:val="fr-FR"/>
              </w:rPr>
            </w:pPr>
            <w:r w:rsidRPr="00D90DBD">
              <w:rPr>
                <w:sz w:val="20"/>
                <w:szCs w:val="20"/>
                <w:lang w:val="fr-FR"/>
              </w:rPr>
              <w:t>0,72 (0,51</w:t>
            </w:r>
            <w:r>
              <w:rPr>
                <w:sz w:val="20"/>
                <w:szCs w:val="20"/>
                <w:lang w:val="fr-FR"/>
              </w:rPr>
              <w:t xml:space="preserve"> ; </w:t>
            </w:r>
            <w:r w:rsidRPr="00D90DBD">
              <w:rPr>
                <w:sz w:val="20"/>
                <w:szCs w:val="20"/>
                <w:lang w:val="fr-FR"/>
              </w:rPr>
              <w:t>1,02)</w:t>
            </w:r>
          </w:p>
          <w:p w14:paraId="553CFB39" w14:textId="431B1A7E" w:rsidR="007A5416" w:rsidRPr="00D90DBD" w:rsidRDefault="007A5416" w:rsidP="009707CD">
            <w:pPr>
              <w:pStyle w:val="TableParagraph"/>
              <w:adjustRightInd w:val="0"/>
              <w:snapToGrid w:val="0"/>
              <w:jc w:val="center"/>
              <w:rPr>
                <w:sz w:val="20"/>
                <w:szCs w:val="20"/>
                <w:lang w:val="fr-FR"/>
              </w:rPr>
            </w:pPr>
            <w:r w:rsidRPr="00D90DBD">
              <w:rPr>
                <w:sz w:val="20"/>
                <w:szCs w:val="20"/>
                <w:lang w:val="fr-FR"/>
              </w:rPr>
              <w:t>(17,5 vs. 14,3 mois</w:t>
            </w:r>
            <w:r w:rsidR="009707CD">
              <w:rPr>
                <w:sz w:val="20"/>
                <w:szCs w:val="20"/>
                <w:lang w:val="fr-FR"/>
              </w:rPr>
              <w:t> </w:t>
            </w:r>
            <w:r w:rsidRPr="00D90DBD">
              <w:rPr>
                <w:sz w:val="20"/>
                <w:szCs w:val="20"/>
                <w:lang w:val="fr-FR"/>
              </w:rPr>
              <w:t>;</w:t>
            </w:r>
            <w:r w:rsidR="009707CD">
              <w:rPr>
                <w:sz w:val="20"/>
                <w:szCs w:val="20"/>
                <w:lang w:val="fr-FR"/>
              </w:rPr>
              <w:t xml:space="preserve"> </w:t>
            </w:r>
            <w:r w:rsidRPr="00D90DBD">
              <w:rPr>
                <w:sz w:val="20"/>
                <w:szCs w:val="20"/>
                <w:lang w:val="fr-FR"/>
              </w:rPr>
              <w:t xml:space="preserve">p </w:t>
            </w:r>
            <w:r w:rsidRPr="00D90DBD">
              <w:rPr>
                <w:rFonts w:ascii="Symbol" w:hAnsi="Symbol"/>
                <w:sz w:val="20"/>
                <w:szCs w:val="20"/>
                <w:lang w:val="fr-FR"/>
              </w:rPr>
              <w:t></w:t>
            </w:r>
            <w:r w:rsidRPr="00D90DBD">
              <w:rPr>
                <w:sz w:val="20"/>
                <w:szCs w:val="20"/>
                <w:lang w:val="fr-FR"/>
              </w:rPr>
              <w:t xml:space="preserve"> 0,0609)</w:t>
            </w:r>
          </w:p>
        </w:tc>
        <w:tc>
          <w:tcPr>
            <w:tcW w:w="3103" w:type="dxa"/>
          </w:tcPr>
          <w:p w14:paraId="1F7E8A1B" w14:textId="01D41B56" w:rsidR="007A5416" w:rsidRPr="00D90DBD" w:rsidRDefault="007A5416" w:rsidP="00B772E9">
            <w:pPr>
              <w:pStyle w:val="TableParagraph"/>
              <w:adjustRightInd w:val="0"/>
              <w:snapToGrid w:val="0"/>
              <w:jc w:val="center"/>
              <w:rPr>
                <w:sz w:val="20"/>
                <w:szCs w:val="20"/>
                <w:lang w:val="fr-FR"/>
              </w:rPr>
            </w:pPr>
            <w:r w:rsidRPr="00D90DBD">
              <w:rPr>
                <w:sz w:val="20"/>
                <w:szCs w:val="20"/>
                <w:lang w:val="fr-FR"/>
              </w:rPr>
              <w:t>0,75 (0,55</w:t>
            </w:r>
            <w:r>
              <w:rPr>
                <w:sz w:val="20"/>
                <w:szCs w:val="20"/>
                <w:lang w:val="fr-FR"/>
              </w:rPr>
              <w:t xml:space="preserve"> ; </w:t>
            </w:r>
            <w:r w:rsidRPr="00D90DBD">
              <w:rPr>
                <w:sz w:val="20"/>
                <w:szCs w:val="20"/>
                <w:lang w:val="fr-FR"/>
              </w:rPr>
              <w:t>1,01)</w:t>
            </w:r>
          </w:p>
          <w:p w14:paraId="0DF0A393" w14:textId="41295143" w:rsidR="007A5416" w:rsidRPr="00D90DBD" w:rsidRDefault="007A5416" w:rsidP="009707CD">
            <w:pPr>
              <w:pStyle w:val="TableParagraph"/>
              <w:adjustRightInd w:val="0"/>
              <w:snapToGrid w:val="0"/>
              <w:jc w:val="center"/>
              <w:rPr>
                <w:sz w:val="20"/>
                <w:szCs w:val="20"/>
                <w:lang w:val="fr-FR"/>
              </w:rPr>
            </w:pPr>
            <w:r w:rsidRPr="00D90DBD">
              <w:rPr>
                <w:sz w:val="20"/>
                <w:szCs w:val="20"/>
                <w:lang w:val="fr-FR"/>
              </w:rPr>
              <w:t>(17,5 vs. 15,0 mois ;</w:t>
            </w:r>
            <w:r w:rsidR="009707CD">
              <w:rPr>
                <w:sz w:val="20"/>
                <w:szCs w:val="20"/>
                <w:lang w:val="fr-FR"/>
              </w:rPr>
              <w:t xml:space="preserve"> </w:t>
            </w:r>
            <w:r w:rsidRPr="00D90DBD">
              <w:rPr>
                <w:sz w:val="20"/>
                <w:szCs w:val="20"/>
                <w:lang w:val="fr-FR"/>
              </w:rPr>
              <w:t>p = 0,0584)</w:t>
            </w:r>
          </w:p>
        </w:tc>
      </w:tr>
      <w:tr w:rsidR="007A5416" w:rsidRPr="00D90DBD" w14:paraId="067E2B98" w14:textId="77777777" w:rsidTr="00B772E9">
        <w:trPr>
          <w:cantSplit/>
        </w:trPr>
        <w:tc>
          <w:tcPr>
            <w:tcW w:w="1668" w:type="dxa"/>
            <w:vMerge/>
          </w:tcPr>
          <w:p w14:paraId="585E1780" w14:textId="77777777" w:rsidR="007A5416" w:rsidRPr="00D90DBD" w:rsidRDefault="007A5416" w:rsidP="00D90DBD">
            <w:pPr>
              <w:pStyle w:val="TableParagraph"/>
              <w:adjustRightInd w:val="0"/>
              <w:snapToGrid w:val="0"/>
              <w:rPr>
                <w:sz w:val="20"/>
                <w:szCs w:val="20"/>
                <w:lang w:val="fr-FR"/>
              </w:rPr>
            </w:pPr>
          </w:p>
        </w:tc>
        <w:tc>
          <w:tcPr>
            <w:tcW w:w="1417" w:type="dxa"/>
          </w:tcPr>
          <w:p w14:paraId="2CB86F67" w14:textId="77777777" w:rsidR="007A5416" w:rsidRPr="00D90DBD" w:rsidRDefault="007A5416" w:rsidP="00D90DBD">
            <w:pPr>
              <w:pStyle w:val="TableParagraph"/>
              <w:adjustRightInd w:val="0"/>
              <w:snapToGrid w:val="0"/>
              <w:rPr>
                <w:sz w:val="20"/>
                <w:szCs w:val="20"/>
                <w:lang w:val="fr-FR"/>
              </w:rPr>
            </w:pPr>
            <w:r w:rsidRPr="00D90DBD">
              <w:rPr>
                <w:sz w:val="20"/>
                <w:szCs w:val="20"/>
                <w:lang w:val="fr-FR"/>
              </w:rPr>
              <w:t>Topotécan</w:t>
            </w:r>
          </w:p>
          <w:p w14:paraId="3A969D75" w14:textId="77777777" w:rsidR="007A5416" w:rsidRPr="00D90DBD" w:rsidRDefault="007A5416" w:rsidP="00D90DBD">
            <w:pPr>
              <w:pStyle w:val="TableParagraph"/>
              <w:adjustRightInd w:val="0"/>
              <w:snapToGrid w:val="0"/>
              <w:rPr>
                <w:sz w:val="20"/>
                <w:szCs w:val="20"/>
                <w:lang w:val="fr-FR"/>
              </w:rPr>
            </w:pPr>
            <w:r w:rsidRPr="00D90DBD">
              <w:rPr>
                <w:sz w:val="20"/>
                <w:szCs w:val="20"/>
                <w:lang w:val="fr-FR"/>
              </w:rPr>
              <w:t>+Paclitaxel</w:t>
            </w:r>
          </w:p>
        </w:tc>
        <w:tc>
          <w:tcPr>
            <w:tcW w:w="3102" w:type="dxa"/>
          </w:tcPr>
          <w:p w14:paraId="3F235F94" w14:textId="691F58D2" w:rsidR="007A5416" w:rsidRPr="00D90DBD" w:rsidRDefault="007A5416" w:rsidP="00B772E9">
            <w:pPr>
              <w:pStyle w:val="TableParagraph"/>
              <w:adjustRightInd w:val="0"/>
              <w:snapToGrid w:val="0"/>
              <w:jc w:val="center"/>
              <w:rPr>
                <w:sz w:val="20"/>
                <w:szCs w:val="20"/>
                <w:lang w:val="fr-FR"/>
              </w:rPr>
            </w:pPr>
            <w:r w:rsidRPr="00D90DBD">
              <w:rPr>
                <w:sz w:val="20"/>
                <w:szCs w:val="20"/>
                <w:lang w:val="fr-FR"/>
              </w:rPr>
              <w:t>0,76 (0,55</w:t>
            </w:r>
            <w:r>
              <w:rPr>
                <w:sz w:val="20"/>
                <w:szCs w:val="20"/>
                <w:lang w:val="fr-FR"/>
              </w:rPr>
              <w:t xml:space="preserve"> ; </w:t>
            </w:r>
            <w:r w:rsidRPr="00D90DBD">
              <w:rPr>
                <w:sz w:val="20"/>
                <w:szCs w:val="20"/>
                <w:lang w:val="fr-FR"/>
              </w:rPr>
              <w:t>1,06)</w:t>
            </w:r>
          </w:p>
          <w:p w14:paraId="3C5CDC22" w14:textId="729F6D31" w:rsidR="007A5416" w:rsidRPr="00D90DBD" w:rsidRDefault="007A5416" w:rsidP="009707CD">
            <w:pPr>
              <w:pStyle w:val="TableParagraph"/>
              <w:adjustRightInd w:val="0"/>
              <w:snapToGrid w:val="0"/>
              <w:jc w:val="center"/>
              <w:rPr>
                <w:sz w:val="20"/>
                <w:szCs w:val="20"/>
                <w:lang w:val="fr-FR"/>
              </w:rPr>
            </w:pPr>
            <w:r w:rsidRPr="00D90DBD">
              <w:rPr>
                <w:sz w:val="20"/>
                <w:szCs w:val="20"/>
                <w:lang w:val="fr-FR"/>
              </w:rPr>
              <w:t>(14,9 vs. 11,9 mois</w:t>
            </w:r>
            <w:r w:rsidR="009707CD">
              <w:rPr>
                <w:sz w:val="20"/>
                <w:szCs w:val="20"/>
                <w:lang w:val="fr-FR"/>
              </w:rPr>
              <w:t> </w:t>
            </w:r>
            <w:r w:rsidRPr="00D90DBD">
              <w:rPr>
                <w:sz w:val="20"/>
                <w:szCs w:val="20"/>
                <w:lang w:val="fr-FR"/>
              </w:rPr>
              <w:t>;</w:t>
            </w:r>
            <w:r w:rsidR="009707CD">
              <w:rPr>
                <w:sz w:val="20"/>
                <w:szCs w:val="20"/>
                <w:lang w:val="fr-FR"/>
              </w:rPr>
              <w:t xml:space="preserve"> </w:t>
            </w:r>
            <w:r w:rsidRPr="00D90DBD">
              <w:rPr>
                <w:sz w:val="20"/>
                <w:szCs w:val="20"/>
                <w:lang w:val="fr-FR"/>
              </w:rPr>
              <w:t xml:space="preserve">p </w:t>
            </w:r>
            <w:r w:rsidRPr="00D90DBD">
              <w:rPr>
                <w:rFonts w:ascii="Symbol" w:hAnsi="Symbol"/>
                <w:sz w:val="20"/>
                <w:szCs w:val="20"/>
                <w:lang w:val="fr-FR"/>
              </w:rPr>
              <w:t></w:t>
            </w:r>
            <w:r w:rsidRPr="00D90DBD">
              <w:rPr>
                <w:sz w:val="20"/>
                <w:szCs w:val="20"/>
                <w:lang w:val="fr-FR"/>
              </w:rPr>
              <w:t xml:space="preserve"> 0,1061)</w:t>
            </w:r>
          </w:p>
        </w:tc>
        <w:tc>
          <w:tcPr>
            <w:tcW w:w="3103" w:type="dxa"/>
          </w:tcPr>
          <w:p w14:paraId="5175E47C" w14:textId="692CE922" w:rsidR="007A5416" w:rsidRPr="00D90DBD" w:rsidRDefault="007A5416" w:rsidP="00B772E9">
            <w:pPr>
              <w:pStyle w:val="TableParagraph"/>
              <w:adjustRightInd w:val="0"/>
              <w:snapToGrid w:val="0"/>
              <w:jc w:val="center"/>
              <w:rPr>
                <w:sz w:val="20"/>
                <w:szCs w:val="20"/>
                <w:lang w:val="fr-FR"/>
              </w:rPr>
            </w:pPr>
            <w:r w:rsidRPr="00D90DBD">
              <w:rPr>
                <w:sz w:val="20"/>
                <w:szCs w:val="20"/>
                <w:lang w:val="fr-FR"/>
              </w:rPr>
              <w:t>0,79 (0,59</w:t>
            </w:r>
            <w:r>
              <w:rPr>
                <w:sz w:val="20"/>
                <w:szCs w:val="20"/>
                <w:lang w:val="fr-FR"/>
              </w:rPr>
              <w:t xml:space="preserve"> ; </w:t>
            </w:r>
            <w:r w:rsidRPr="00D90DBD">
              <w:rPr>
                <w:sz w:val="20"/>
                <w:szCs w:val="20"/>
                <w:lang w:val="fr-FR"/>
              </w:rPr>
              <w:t>1,07)</w:t>
            </w:r>
          </w:p>
          <w:p w14:paraId="3B13ED2A" w14:textId="7AF8B2C3" w:rsidR="007A5416" w:rsidRPr="00D90DBD" w:rsidRDefault="007A5416" w:rsidP="009707CD">
            <w:pPr>
              <w:pStyle w:val="TableParagraph"/>
              <w:adjustRightInd w:val="0"/>
              <w:snapToGrid w:val="0"/>
              <w:jc w:val="center"/>
              <w:rPr>
                <w:sz w:val="20"/>
                <w:szCs w:val="20"/>
                <w:lang w:val="fr-FR"/>
              </w:rPr>
            </w:pPr>
            <w:r w:rsidRPr="00D90DBD">
              <w:rPr>
                <w:sz w:val="20"/>
                <w:szCs w:val="20"/>
                <w:lang w:val="fr-FR"/>
              </w:rPr>
              <w:t>(16,2 vs. 12,0 mois ;</w:t>
            </w:r>
            <w:r w:rsidR="009707CD">
              <w:rPr>
                <w:sz w:val="20"/>
                <w:szCs w:val="20"/>
                <w:lang w:val="fr-FR"/>
              </w:rPr>
              <w:t xml:space="preserve"> </w:t>
            </w:r>
            <w:r w:rsidRPr="00D90DBD">
              <w:rPr>
                <w:sz w:val="20"/>
                <w:szCs w:val="20"/>
                <w:lang w:val="fr-FR"/>
              </w:rPr>
              <w:t>p = 0,1342)</w:t>
            </w:r>
          </w:p>
        </w:tc>
      </w:tr>
      <w:tr w:rsidR="007A5416" w:rsidRPr="00D90DBD" w14:paraId="4D4D54D0" w14:textId="77777777" w:rsidTr="00B772E9">
        <w:trPr>
          <w:cantSplit/>
        </w:trPr>
        <w:tc>
          <w:tcPr>
            <w:tcW w:w="1668" w:type="dxa"/>
            <w:vMerge w:val="restart"/>
          </w:tcPr>
          <w:p w14:paraId="315B16B3" w14:textId="3445F70C" w:rsidR="007A5416" w:rsidRPr="00D90DBD" w:rsidRDefault="007A5416" w:rsidP="00D90DBD">
            <w:pPr>
              <w:pStyle w:val="TableParagraph"/>
              <w:adjustRightInd w:val="0"/>
              <w:snapToGrid w:val="0"/>
              <w:rPr>
                <w:sz w:val="20"/>
                <w:szCs w:val="20"/>
                <w:lang w:val="fr-FR"/>
              </w:rPr>
            </w:pPr>
            <w:r w:rsidRPr="00D90DBD">
              <w:rPr>
                <w:sz w:val="20"/>
                <w:szCs w:val="20"/>
                <w:lang w:val="fr-FR"/>
              </w:rPr>
              <w:t>Topotécan+</w:t>
            </w:r>
            <w:r w:rsidR="00955DEA">
              <w:rPr>
                <w:sz w:val="20"/>
                <w:szCs w:val="20"/>
                <w:lang w:val="fr-FR"/>
              </w:rPr>
              <w:br/>
            </w:r>
            <w:r w:rsidRPr="00D90DBD">
              <w:rPr>
                <w:sz w:val="20"/>
                <w:szCs w:val="20"/>
                <w:lang w:val="fr-FR"/>
              </w:rPr>
              <w:t>Paclitaxel vs.</w:t>
            </w:r>
          </w:p>
          <w:p w14:paraId="0E829883" w14:textId="392FCD7B" w:rsidR="007A5416" w:rsidRPr="00D90DBD" w:rsidRDefault="007A5416" w:rsidP="00D90DBD">
            <w:pPr>
              <w:pStyle w:val="TableParagraph"/>
              <w:adjustRightInd w:val="0"/>
              <w:snapToGrid w:val="0"/>
              <w:rPr>
                <w:sz w:val="20"/>
                <w:szCs w:val="20"/>
                <w:lang w:val="fr-FR"/>
              </w:rPr>
            </w:pPr>
            <w:r w:rsidRPr="00D90DBD">
              <w:rPr>
                <w:sz w:val="20"/>
                <w:szCs w:val="20"/>
                <w:lang w:val="fr-FR"/>
              </w:rPr>
              <w:t>Cisplatine+</w:t>
            </w:r>
            <w:r w:rsidR="00955DEA">
              <w:rPr>
                <w:sz w:val="20"/>
                <w:szCs w:val="20"/>
                <w:lang w:val="fr-FR"/>
              </w:rPr>
              <w:br/>
            </w:r>
            <w:r w:rsidRPr="00D90DBD">
              <w:rPr>
                <w:sz w:val="20"/>
                <w:szCs w:val="20"/>
                <w:lang w:val="fr-FR"/>
              </w:rPr>
              <w:t>Paclitaxel</w:t>
            </w:r>
          </w:p>
        </w:tc>
        <w:tc>
          <w:tcPr>
            <w:tcW w:w="1417" w:type="dxa"/>
          </w:tcPr>
          <w:p w14:paraId="43219801" w14:textId="3C346E25" w:rsidR="007A5416" w:rsidRPr="00D90DBD" w:rsidRDefault="00614220" w:rsidP="00D90DBD">
            <w:pPr>
              <w:pStyle w:val="TableParagraph"/>
              <w:adjustRightInd w:val="0"/>
              <w:snapToGrid w:val="0"/>
              <w:rPr>
                <w:sz w:val="20"/>
                <w:szCs w:val="20"/>
                <w:lang w:val="fr-FR"/>
              </w:rPr>
            </w:pPr>
            <w:r>
              <w:rPr>
                <w:sz w:val="20"/>
                <w:szCs w:val="20"/>
                <w:lang w:val="fr-FR"/>
              </w:rPr>
              <w:t>Bevacizumab</w:t>
            </w:r>
          </w:p>
        </w:tc>
        <w:tc>
          <w:tcPr>
            <w:tcW w:w="3102" w:type="dxa"/>
          </w:tcPr>
          <w:p w14:paraId="7AD143F6" w14:textId="31EED4E2" w:rsidR="007A5416" w:rsidRPr="00D90DBD" w:rsidRDefault="007A5416" w:rsidP="00B772E9">
            <w:pPr>
              <w:pStyle w:val="TableParagraph"/>
              <w:adjustRightInd w:val="0"/>
              <w:snapToGrid w:val="0"/>
              <w:jc w:val="center"/>
              <w:rPr>
                <w:sz w:val="20"/>
                <w:szCs w:val="20"/>
                <w:lang w:val="fr-FR"/>
              </w:rPr>
            </w:pPr>
            <w:r w:rsidRPr="00D90DBD">
              <w:rPr>
                <w:sz w:val="20"/>
                <w:szCs w:val="20"/>
                <w:lang w:val="fr-FR"/>
              </w:rPr>
              <w:t>1,15 (0,82</w:t>
            </w:r>
            <w:r>
              <w:rPr>
                <w:sz w:val="20"/>
                <w:szCs w:val="20"/>
                <w:lang w:val="fr-FR"/>
              </w:rPr>
              <w:t xml:space="preserve"> ; </w:t>
            </w:r>
            <w:r w:rsidRPr="00D90DBD">
              <w:rPr>
                <w:sz w:val="20"/>
                <w:szCs w:val="20"/>
                <w:lang w:val="fr-FR"/>
              </w:rPr>
              <w:t>1,61)</w:t>
            </w:r>
          </w:p>
          <w:p w14:paraId="4E93029C" w14:textId="3269A743" w:rsidR="007A5416" w:rsidRPr="00D90DBD" w:rsidRDefault="007A5416" w:rsidP="009707CD">
            <w:pPr>
              <w:pStyle w:val="TableParagraph"/>
              <w:adjustRightInd w:val="0"/>
              <w:snapToGrid w:val="0"/>
              <w:jc w:val="center"/>
              <w:rPr>
                <w:sz w:val="20"/>
                <w:szCs w:val="20"/>
                <w:lang w:val="fr-FR"/>
              </w:rPr>
            </w:pPr>
            <w:r w:rsidRPr="00D90DBD">
              <w:rPr>
                <w:sz w:val="20"/>
                <w:szCs w:val="20"/>
                <w:lang w:val="fr-FR"/>
              </w:rPr>
              <w:t>(14,9 vs. 17,5 mois ;</w:t>
            </w:r>
            <w:r w:rsidR="009707CD">
              <w:rPr>
                <w:sz w:val="20"/>
                <w:szCs w:val="20"/>
                <w:lang w:val="fr-FR"/>
              </w:rPr>
              <w:t xml:space="preserve"> </w:t>
            </w:r>
            <w:r w:rsidRPr="00D90DBD">
              <w:rPr>
                <w:sz w:val="20"/>
                <w:szCs w:val="20"/>
                <w:lang w:val="fr-FR"/>
              </w:rPr>
              <w:t xml:space="preserve">p </w:t>
            </w:r>
            <w:r w:rsidRPr="00D90DBD">
              <w:rPr>
                <w:rFonts w:ascii="Symbol" w:hAnsi="Symbol"/>
                <w:sz w:val="20"/>
                <w:szCs w:val="20"/>
                <w:lang w:val="fr-FR"/>
              </w:rPr>
              <w:t></w:t>
            </w:r>
            <w:r w:rsidRPr="00D90DBD">
              <w:rPr>
                <w:sz w:val="20"/>
                <w:szCs w:val="20"/>
                <w:lang w:val="fr-FR"/>
              </w:rPr>
              <w:t xml:space="preserve"> 0,4146)</w:t>
            </w:r>
          </w:p>
        </w:tc>
        <w:tc>
          <w:tcPr>
            <w:tcW w:w="3103" w:type="dxa"/>
          </w:tcPr>
          <w:p w14:paraId="78D80451" w14:textId="1A4281EB" w:rsidR="007A5416" w:rsidRPr="00D90DBD" w:rsidRDefault="007A5416" w:rsidP="00B772E9">
            <w:pPr>
              <w:pStyle w:val="TableParagraph"/>
              <w:adjustRightInd w:val="0"/>
              <w:snapToGrid w:val="0"/>
              <w:jc w:val="center"/>
              <w:rPr>
                <w:sz w:val="20"/>
                <w:szCs w:val="20"/>
                <w:lang w:val="fr-FR"/>
              </w:rPr>
            </w:pPr>
            <w:r w:rsidRPr="00D90DBD">
              <w:rPr>
                <w:sz w:val="20"/>
                <w:szCs w:val="20"/>
                <w:lang w:val="fr-FR"/>
              </w:rPr>
              <w:t>1,15 (0,85</w:t>
            </w:r>
            <w:r>
              <w:rPr>
                <w:sz w:val="20"/>
                <w:szCs w:val="20"/>
                <w:lang w:val="fr-FR"/>
              </w:rPr>
              <w:t xml:space="preserve"> ; </w:t>
            </w:r>
            <w:r w:rsidRPr="00D90DBD">
              <w:rPr>
                <w:sz w:val="20"/>
                <w:szCs w:val="20"/>
                <w:lang w:val="fr-FR"/>
              </w:rPr>
              <w:t>1,56)</w:t>
            </w:r>
          </w:p>
          <w:p w14:paraId="07AE85BD" w14:textId="047EE047" w:rsidR="007A5416" w:rsidRPr="00D90DBD" w:rsidRDefault="007A5416" w:rsidP="009707CD">
            <w:pPr>
              <w:pStyle w:val="TableParagraph"/>
              <w:adjustRightInd w:val="0"/>
              <w:snapToGrid w:val="0"/>
              <w:jc w:val="center"/>
              <w:rPr>
                <w:sz w:val="20"/>
                <w:szCs w:val="20"/>
                <w:lang w:val="fr-FR"/>
              </w:rPr>
            </w:pPr>
            <w:r w:rsidRPr="00D90DBD">
              <w:rPr>
                <w:sz w:val="20"/>
                <w:szCs w:val="20"/>
                <w:lang w:val="fr-FR"/>
              </w:rPr>
              <w:t>(16,2 vs. 17,5 mois ;</w:t>
            </w:r>
            <w:r w:rsidR="009707CD">
              <w:rPr>
                <w:sz w:val="20"/>
                <w:szCs w:val="20"/>
                <w:lang w:val="fr-FR"/>
              </w:rPr>
              <w:t xml:space="preserve"> </w:t>
            </w:r>
            <w:r w:rsidRPr="00D90DBD">
              <w:rPr>
                <w:sz w:val="20"/>
                <w:szCs w:val="20"/>
                <w:lang w:val="fr-FR"/>
              </w:rPr>
              <w:t>p = 0,3769)</w:t>
            </w:r>
          </w:p>
        </w:tc>
      </w:tr>
      <w:tr w:rsidR="007A5416" w:rsidRPr="00D90DBD" w14:paraId="2D2828F0" w14:textId="77777777" w:rsidTr="00B772E9">
        <w:trPr>
          <w:cantSplit/>
        </w:trPr>
        <w:tc>
          <w:tcPr>
            <w:tcW w:w="1668" w:type="dxa"/>
            <w:vMerge/>
          </w:tcPr>
          <w:p w14:paraId="2ABB8F66" w14:textId="77777777" w:rsidR="007A5416" w:rsidRPr="00D90DBD" w:rsidRDefault="007A5416" w:rsidP="00D90DBD">
            <w:pPr>
              <w:pStyle w:val="TableParagraph"/>
              <w:adjustRightInd w:val="0"/>
              <w:snapToGrid w:val="0"/>
              <w:rPr>
                <w:sz w:val="20"/>
                <w:szCs w:val="20"/>
                <w:lang w:val="fr-FR"/>
              </w:rPr>
            </w:pPr>
          </w:p>
        </w:tc>
        <w:tc>
          <w:tcPr>
            <w:tcW w:w="1417" w:type="dxa"/>
          </w:tcPr>
          <w:p w14:paraId="7878FBBE" w14:textId="4272439A" w:rsidR="007A5416" w:rsidRPr="00D90DBD" w:rsidRDefault="007A5416" w:rsidP="00D90DBD">
            <w:pPr>
              <w:pStyle w:val="TableParagraph"/>
              <w:adjustRightInd w:val="0"/>
              <w:snapToGrid w:val="0"/>
              <w:rPr>
                <w:sz w:val="20"/>
                <w:szCs w:val="20"/>
                <w:lang w:val="fr-FR"/>
              </w:rPr>
            </w:pPr>
            <w:r w:rsidRPr="00D90DBD">
              <w:rPr>
                <w:sz w:val="20"/>
                <w:szCs w:val="20"/>
                <w:lang w:val="fr-FR"/>
              </w:rPr>
              <w:t xml:space="preserve">Sans </w:t>
            </w:r>
            <w:r w:rsidR="00614220">
              <w:rPr>
                <w:sz w:val="20"/>
                <w:szCs w:val="20"/>
                <w:lang w:val="fr-FR"/>
              </w:rPr>
              <w:t>bevacizumab</w:t>
            </w:r>
          </w:p>
        </w:tc>
        <w:tc>
          <w:tcPr>
            <w:tcW w:w="3102" w:type="dxa"/>
          </w:tcPr>
          <w:p w14:paraId="545E90FF" w14:textId="126EB759" w:rsidR="007A5416" w:rsidRPr="00D90DBD" w:rsidRDefault="007A5416" w:rsidP="00B772E9">
            <w:pPr>
              <w:pStyle w:val="TableParagraph"/>
              <w:adjustRightInd w:val="0"/>
              <w:snapToGrid w:val="0"/>
              <w:jc w:val="center"/>
              <w:rPr>
                <w:sz w:val="20"/>
                <w:szCs w:val="20"/>
                <w:lang w:val="fr-FR"/>
              </w:rPr>
            </w:pPr>
            <w:r w:rsidRPr="00D90DBD">
              <w:rPr>
                <w:sz w:val="20"/>
                <w:szCs w:val="20"/>
                <w:lang w:val="fr-FR"/>
              </w:rPr>
              <w:t>1,13 (0, 81</w:t>
            </w:r>
            <w:r>
              <w:rPr>
                <w:sz w:val="20"/>
                <w:szCs w:val="20"/>
                <w:lang w:val="fr-FR"/>
              </w:rPr>
              <w:t xml:space="preserve"> ; </w:t>
            </w:r>
            <w:r w:rsidRPr="00D90DBD">
              <w:rPr>
                <w:sz w:val="20"/>
                <w:szCs w:val="20"/>
                <w:lang w:val="fr-FR"/>
              </w:rPr>
              <w:t>1,57)</w:t>
            </w:r>
          </w:p>
          <w:p w14:paraId="125E1A2E" w14:textId="3C7C839C" w:rsidR="007A5416" w:rsidRPr="00D90DBD" w:rsidRDefault="007A5416" w:rsidP="009707CD">
            <w:pPr>
              <w:pStyle w:val="TableParagraph"/>
              <w:adjustRightInd w:val="0"/>
              <w:snapToGrid w:val="0"/>
              <w:jc w:val="center"/>
              <w:rPr>
                <w:sz w:val="20"/>
                <w:szCs w:val="20"/>
                <w:lang w:val="fr-FR"/>
              </w:rPr>
            </w:pPr>
            <w:r w:rsidRPr="00D90DBD">
              <w:rPr>
                <w:sz w:val="20"/>
                <w:szCs w:val="20"/>
                <w:lang w:val="fr-FR"/>
              </w:rPr>
              <w:t>(11,9 vs.14,3 mois</w:t>
            </w:r>
            <w:r w:rsidR="009707CD">
              <w:rPr>
                <w:sz w:val="20"/>
                <w:szCs w:val="20"/>
                <w:lang w:val="fr-FR"/>
              </w:rPr>
              <w:t> </w:t>
            </w:r>
            <w:r w:rsidRPr="00D90DBD">
              <w:rPr>
                <w:sz w:val="20"/>
                <w:szCs w:val="20"/>
                <w:lang w:val="fr-FR"/>
              </w:rPr>
              <w:t>;</w:t>
            </w:r>
            <w:r w:rsidR="009707CD">
              <w:rPr>
                <w:sz w:val="20"/>
                <w:szCs w:val="20"/>
                <w:lang w:val="fr-FR"/>
              </w:rPr>
              <w:t xml:space="preserve"> </w:t>
            </w:r>
            <w:r w:rsidRPr="00D90DBD">
              <w:rPr>
                <w:sz w:val="20"/>
                <w:szCs w:val="20"/>
                <w:lang w:val="fr-FR"/>
              </w:rPr>
              <w:t xml:space="preserve">p </w:t>
            </w:r>
            <w:r w:rsidRPr="00D90DBD">
              <w:rPr>
                <w:rFonts w:ascii="Symbol" w:hAnsi="Symbol"/>
                <w:sz w:val="20"/>
                <w:szCs w:val="20"/>
                <w:lang w:val="fr-FR"/>
              </w:rPr>
              <w:t></w:t>
            </w:r>
            <w:r w:rsidRPr="00D90DBD">
              <w:rPr>
                <w:sz w:val="20"/>
                <w:szCs w:val="20"/>
                <w:lang w:val="fr-FR"/>
              </w:rPr>
              <w:t xml:space="preserve"> 0,4825)</w:t>
            </w:r>
          </w:p>
        </w:tc>
        <w:tc>
          <w:tcPr>
            <w:tcW w:w="3103" w:type="dxa"/>
          </w:tcPr>
          <w:p w14:paraId="3F1F1FC4" w14:textId="0FD1CCF2" w:rsidR="007A5416" w:rsidRPr="00D90DBD" w:rsidRDefault="007A5416" w:rsidP="00B772E9">
            <w:pPr>
              <w:pStyle w:val="TableParagraph"/>
              <w:adjustRightInd w:val="0"/>
              <w:snapToGrid w:val="0"/>
              <w:jc w:val="center"/>
              <w:rPr>
                <w:sz w:val="20"/>
                <w:szCs w:val="20"/>
                <w:lang w:val="fr-FR"/>
              </w:rPr>
            </w:pPr>
            <w:r w:rsidRPr="00D90DBD">
              <w:rPr>
                <w:sz w:val="20"/>
                <w:szCs w:val="20"/>
                <w:lang w:val="fr-FR"/>
              </w:rPr>
              <w:t>1,08 (0,80</w:t>
            </w:r>
            <w:r>
              <w:rPr>
                <w:sz w:val="20"/>
                <w:szCs w:val="20"/>
                <w:lang w:val="fr-FR"/>
              </w:rPr>
              <w:t xml:space="preserve"> ; </w:t>
            </w:r>
            <w:r w:rsidRPr="00D90DBD">
              <w:rPr>
                <w:sz w:val="20"/>
                <w:szCs w:val="20"/>
                <w:lang w:val="fr-FR"/>
              </w:rPr>
              <w:t>1,45)</w:t>
            </w:r>
          </w:p>
          <w:p w14:paraId="68C01D12" w14:textId="7EB00826" w:rsidR="007A5416" w:rsidRPr="00D90DBD" w:rsidRDefault="007A5416" w:rsidP="009707CD">
            <w:pPr>
              <w:pStyle w:val="TableParagraph"/>
              <w:adjustRightInd w:val="0"/>
              <w:snapToGrid w:val="0"/>
              <w:jc w:val="center"/>
              <w:rPr>
                <w:sz w:val="20"/>
                <w:szCs w:val="20"/>
                <w:lang w:val="fr-FR"/>
              </w:rPr>
            </w:pPr>
            <w:r w:rsidRPr="00D90DBD">
              <w:rPr>
                <w:sz w:val="20"/>
                <w:szCs w:val="20"/>
                <w:lang w:val="fr-FR"/>
              </w:rPr>
              <w:t>(12,0 vs. 15,0 mois ;</w:t>
            </w:r>
            <w:r w:rsidR="009707CD">
              <w:rPr>
                <w:sz w:val="20"/>
                <w:szCs w:val="20"/>
                <w:lang w:val="fr-FR"/>
              </w:rPr>
              <w:t xml:space="preserve"> </w:t>
            </w:r>
            <w:r w:rsidRPr="00D90DBD">
              <w:rPr>
                <w:sz w:val="20"/>
                <w:szCs w:val="20"/>
                <w:lang w:val="fr-FR"/>
              </w:rPr>
              <w:t>p = 0,6267)</w:t>
            </w:r>
          </w:p>
        </w:tc>
      </w:tr>
    </w:tbl>
    <w:p w14:paraId="78B73A27" w14:textId="77777777" w:rsidR="004401F0" w:rsidRPr="00D90DBD" w:rsidRDefault="00DF3C4F" w:rsidP="00BD4C7C">
      <w:pPr>
        <w:adjustRightInd w:val="0"/>
        <w:snapToGrid w:val="0"/>
        <w:rPr>
          <w:sz w:val="18"/>
          <w:szCs w:val="18"/>
          <w:lang w:val="fr-FR"/>
        </w:rPr>
      </w:pPr>
      <w:r w:rsidRPr="00D90DBD">
        <w:rPr>
          <w:sz w:val="18"/>
          <w:szCs w:val="18"/>
          <w:vertAlign w:val="superscript"/>
          <w:lang w:val="fr-FR"/>
        </w:rPr>
        <w:t>1</w:t>
      </w:r>
      <w:r w:rsidRPr="00D90DBD">
        <w:rPr>
          <w:sz w:val="18"/>
          <w:szCs w:val="18"/>
          <w:lang w:val="fr-FR"/>
        </w:rPr>
        <w:t xml:space="preserve"> L’analyse primaire des données a été réalisée en fonction de la date limite de recueil des données fixée au 12 décembre 2012 et est considérée comme l’analyse finale</w:t>
      </w:r>
    </w:p>
    <w:p w14:paraId="283EE880" w14:textId="77777777" w:rsidR="004401F0" w:rsidRPr="00D90DBD" w:rsidRDefault="00DF3C4F" w:rsidP="00BD4C7C">
      <w:pPr>
        <w:adjustRightInd w:val="0"/>
        <w:snapToGrid w:val="0"/>
        <w:rPr>
          <w:sz w:val="18"/>
          <w:szCs w:val="18"/>
          <w:lang w:val="fr-FR"/>
        </w:rPr>
      </w:pPr>
      <w:r w:rsidRPr="00D90DBD">
        <w:rPr>
          <w:sz w:val="18"/>
          <w:szCs w:val="18"/>
          <w:vertAlign w:val="superscript"/>
          <w:lang w:val="fr-FR"/>
        </w:rPr>
        <w:t>2</w:t>
      </w:r>
      <w:r w:rsidRPr="00D90DBD">
        <w:rPr>
          <w:sz w:val="18"/>
          <w:szCs w:val="18"/>
          <w:lang w:val="fr-FR"/>
        </w:rPr>
        <w:t xml:space="preserve"> L’analyse de suivi des données a été réalisée avec une date limite de recueil des données fixée au 7 mars 2014, toutes les valeurs du p ont été données dans un but descriptif uniquement</w:t>
      </w:r>
    </w:p>
    <w:p w14:paraId="106A3392" w14:textId="77777777" w:rsidR="004401F0" w:rsidRPr="00DA7718" w:rsidRDefault="004401F0" w:rsidP="00BD4C7C">
      <w:pPr>
        <w:pStyle w:val="a3"/>
        <w:adjustRightInd w:val="0"/>
        <w:snapToGrid w:val="0"/>
        <w:rPr>
          <w:sz w:val="19"/>
          <w:lang w:val="fr-FR"/>
        </w:rPr>
      </w:pPr>
    </w:p>
    <w:p w14:paraId="55491CF0" w14:textId="77777777" w:rsidR="004401F0" w:rsidRPr="00F9256D" w:rsidRDefault="00DF3C4F" w:rsidP="00BD4C7C">
      <w:pPr>
        <w:adjustRightInd w:val="0"/>
        <w:snapToGrid w:val="0"/>
        <w:rPr>
          <w:lang w:val="fr-FR"/>
        </w:rPr>
      </w:pPr>
      <w:r w:rsidRPr="00F9256D">
        <w:rPr>
          <w:u w:val="single"/>
          <w:lang w:val="fr-FR"/>
        </w:rPr>
        <w:t>Population pédiatrique</w:t>
      </w:r>
    </w:p>
    <w:p w14:paraId="70E8062A" w14:textId="77777777" w:rsidR="004401F0" w:rsidRPr="00DA7718" w:rsidRDefault="00DF3C4F" w:rsidP="00BD4C7C">
      <w:pPr>
        <w:pStyle w:val="a3"/>
        <w:adjustRightInd w:val="0"/>
        <w:snapToGrid w:val="0"/>
        <w:rPr>
          <w:lang w:val="fr-FR"/>
        </w:rPr>
      </w:pPr>
      <w:r w:rsidRPr="00DA7718">
        <w:rPr>
          <w:lang w:val="fr-FR"/>
        </w:rPr>
        <w:t>L’Agence Européenne du Médicament a accordé une dérogation à l’obligation de soumettre les résultats d’études réalisées avec le bevacizumab dans tous les sous-groupes de la population pédiatrique, dans le carcinome mammaire, l’adénocarcinome du côlon et du rectum, le carcinome bronchique (carcinomes à petites cellules et non à petites cellules), le carcinome du rein et le carcinome urothélial (à l’exclusion du néphroblastome, de la néphroblastomatose, du sarcome à cellules claires, du néphrome mésoblastique, du carcinome médullaire du rein, du carcinome et de la tumeur rhabdoïde du rein), le carcinome ovarien (à l’exclusion du rhabdomyosarcome et des tumeurs à cellules germinales), le carcinome des trompes de Fallope (à l’exclusion du rhabdomyosarcome et des tumeurs à cellules germinales), le carcinome péritonéal (à l’exclusion des blastomes et des sarcomes) et le carcinome du col et du corps utérin.</w:t>
      </w:r>
    </w:p>
    <w:p w14:paraId="10417771" w14:textId="77777777" w:rsidR="004401F0" w:rsidRPr="00DA7718" w:rsidRDefault="004401F0" w:rsidP="00BD4C7C">
      <w:pPr>
        <w:pStyle w:val="a3"/>
        <w:adjustRightInd w:val="0"/>
        <w:snapToGrid w:val="0"/>
        <w:rPr>
          <w:lang w:val="fr-FR"/>
        </w:rPr>
      </w:pPr>
    </w:p>
    <w:p w14:paraId="3A8FD908" w14:textId="77777777" w:rsidR="004401F0" w:rsidRPr="00F9256D" w:rsidRDefault="00DF3C4F" w:rsidP="00BD4C7C">
      <w:pPr>
        <w:adjustRightInd w:val="0"/>
        <w:snapToGrid w:val="0"/>
        <w:rPr>
          <w:i/>
          <w:u w:val="single"/>
          <w:lang w:val="fr-FR"/>
        </w:rPr>
      </w:pPr>
      <w:r w:rsidRPr="00F9256D">
        <w:rPr>
          <w:i/>
          <w:u w:val="single"/>
          <w:lang w:val="fr-FR"/>
        </w:rPr>
        <w:t>Gliome de haut grade</w:t>
      </w:r>
    </w:p>
    <w:p w14:paraId="3B85DD7A" w14:textId="77777777" w:rsidR="004401F0" w:rsidRDefault="00DF3C4F" w:rsidP="00BD4C7C">
      <w:pPr>
        <w:pStyle w:val="a3"/>
        <w:adjustRightInd w:val="0"/>
        <w:snapToGrid w:val="0"/>
        <w:rPr>
          <w:lang w:val="fr-FR"/>
        </w:rPr>
      </w:pPr>
      <w:r w:rsidRPr="00DA7718">
        <w:rPr>
          <w:lang w:val="fr-FR"/>
        </w:rPr>
        <w:t>Aucune activité anti-tumorale n’a été observée dans le cadre de deux précédentes études parmi un total de 30 enfants âgés de plus de 3 ans, atteints d’un gliome de haut grade en récidive ou en progression, traités par du bevacizumab et de l’irinotecan (CPT-11). Il n’y a pas assez d’informations permettant de déterminer la tolérance et l’efficacité du bevacizumab chez des enfants atteints d’un gliome de haut grade nouvellement diagnostiqué.</w:t>
      </w:r>
    </w:p>
    <w:p w14:paraId="198E556F" w14:textId="77777777" w:rsidR="00B772E9" w:rsidRPr="00DA7718" w:rsidRDefault="00B772E9" w:rsidP="00BD4C7C">
      <w:pPr>
        <w:pStyle w:val="a3"/>
        <w:adjustRightInd w:val="0"/>
        <w:snapToGrid w:val="0"/>
        <w:rPr>
          <w:lang w:val="fr-FR"/>
        </w:rPr>
      </w:pPr>
    </w:p>
    <w:p w14:paraId="04703B13" w14:textId="77777777" w:rsidR="004401F0" w:rsidRPr="00DA7718" w:rsidRDefault="00BD4C7C" w:rsidP="00B772E9">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Dans une étude à un seul bras (PBTC-022), 18 enfants atteints d’un gliome de haut grade en récidive ou en progression autre que pontique (dont 8 patients atteints d’un glioblastome [de grade IV selon la classification de l’OMS], 9 d’un astrocytome anaplasique [grade III] et 1 d’un oligodendrogliome anaplasique [grade III]) ont été traités par du bevacizumab (10mg/kg) à deux semaines d’intervalle puis par du bevacizumab en association au CPT-11 (125-350</w:t>
      </w:r>
      <w:r w:rsidR="00DA7718" w:rsidRPr="00DA7718">
        <w:rPr>
          <w:lang w:val="fr-FR"/>
        </w:rPr>
        <w:t> mg</w:t>
      </w:r>
      <w:r w:rsidR="00DF3C4F" w:rsidRPr="00DA7718">
        <w:rPr>
          <w:lang w:val="fr-FR"/>
        </w:rPr>
        <w:t>/m²) une fois toutes les deux semaines jusqu’à progression. Aucune réponse radiologique objective (partielle ou complète) (selon les critères de MacDonald) n’a été observée. La toxicité et les effets indésirables comprenaient l’hypertension artérielle, la fatigue ainsi que des ischémies du SNC avec déficit neurologique aigu.</w:t>
      </w:r>
    </w:p>
    <w:p w14:paraId="609700C5" w14:textId="77777777" w:rsidR="00BD4C7C" w:rsidRPr="00DA7718" w:rsidRDefault="00BD4C7C" w:rsidP="00B772E9">
      <w:pPr>
        <w:adjustRightInd w:val="0"/>
        <w:snapToGrid w:val="0"/>
        <w:ind w:left="567" w:hanging="567"/>
        <w:rPr>
          <w:lang w:val="fr-FR"/>
        </w:rPr>
      </w:pPr>
    </w:p>
    <w:p w14:paraId="1C05809A" w14:textId="77777777" w:rsidR="004401F0" w:rsidRPr="00DA7718" w:rsidRDefault="00BD4C7C" w:rsidP="00B772E9">
      <w:pPr>
        <w:adjustRightInd w:val="0"/>
        <w:snapToGrid w:val="0"/>
        <w:ind w:left="567"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Dans une série rétrospective monocentrique, 12 enfants atteints d’un gliome de haut grade en rechute ou en progression (3 de grade IV selon la classification de l’OMS, 9 de grade III), ont été traités de manière consécutive (de 2005 à 2008) par du bevacizumab (10</w:t>
      </w:r>
      <w:r w:rsidR="00DA7718" w:rsidRPr="00DA7718">
        <w:rPr>
          <w:lang w:val="fr-FR"/>
        </w:rPr>
        <w:t> mg</w:t>
      </w:r>
      <w:r w:rsidR="00DF3C4F" w:rsidRPr="00DA7718">
        <w:rPr>
          <w:lang w:val="fr-FR"/>
        </w:rPr>
        <w:t>/kg) et de l’irinotecan (125</w:t>
      </w:r>
      <w:r w:rsidR="00DA7718" w:rsidRPr="00DA7718">
        <w:rPr>
          <w:lang w:val="fr-FR"/>
        </w:rPr>
        <w:t> mg</w:t>
      </w:r>
      <w:r w:rsidR="00DF3C4F" w:rsidRPr="00DA7718">
        <w:rPr>
          <w:lang w:val="fr-FR"/>
        </w:rPr>
        <w:t>/m²) toutes les deux semaines. Il n’y a eu aucune réponse complète et deux réponses partielles (selon les critères de MacDonald).</w:t>
      </w:r>
    </w:p>
    <w:p w14:paraId="1A23512A" w14:textId="77777777" w:rsidR="004401F0" w:rsidRPr="00DA7718" w:rsidRDefault="004401F0" w:rsidP="00BD4C7C">
      <w:pPr>
        <w:pStyle w:val="a3"/>
        <w:adjustRightInd w:val="0"/>
        <w:snapToGrid w:val="0"/>
        <w:rPr>
          <w:lang w:val="fr-FR"/>
        </w:rPr>
      </w:pPr>
    </w:p>
    <w:p w14:paraId="57ED7B18" w14:textId="42358866" w:rsidR="004401F0" w:rsidRPr="00DA7718" w:rsidRDefault="00DF3C4F" w:rsidP="00BD4C7C">
      <w:pPr>
        <w:pStyle w:val="a3"/>
        <w:adjustRightInd w:val="0"/>
        <w:snapToGrid w:val="0"/>
        <w:rPr>
          <w:lang w:val="fr-FR"/>
        </w:rPr>
      </w:pPr>
      <w:r w:rsidRPr="00DA7718">
        <w:rPr>
          <w:lang w:val="fr-FR"/>
        </w:rPr>
        <w:t>Dans une étude randomisée de phase II (BO25041) 121 patients âgés de ≥ 3 ans à &lt;18 ans, atteints d’un gliome de haut grade sus-tentoriel, sous-tentoriel cérébelleux ou pédonculaire nouvellement diagnostiqué, ont été traités par radiothérapie post-opératoire associée au temozolomide en adjuvant avec ou sans bevacizumab</w:t>
      </w:r>
      <w:r w:rsidR="00765A43">
        <w:rPr>
          <w:lang w:val="fr-FR"/>
        </w:rPr>
        <w:t xml:space="preserve"> : </w:t>
      </w:r>
      <w:r w:rsidRPr="00DA7718">
        <w:rPr>
          <w:lang w:val="fr-FR"/>
        </w:rPr>
        <w:t>10</w:t>
      </w:r>
      <w:r w:rsidR="00DA7718" w:rsidRPr="00DA7718">
        <w:rPr>
          <w:lang w:val="fr-FR"/>
        </w:rPr>
        <w:t> mg</w:t>
      </w:r>
      <w:r w:rsidRPr="00DA7718">
        <w:rPr>
          <w:lang w:val="fr-FR"/>
        </w:rPr>
        <w:t>/kg toutes les 2 semaines en IV.</w:t>
      </w:r>
    </w:p>
    <w:p w14:paraId="4C982275" w14:textId="77777777" w:rsidR="004401F0" w:rsidRPr="007C119A" w:rsidRDefault="004401F0" w:rsidP="00BD4C7C">
      <w:pPr>
        <w:pStyle w:val="a3"/>
        <w:adjustRightInd w:val="0"/>
        <w:snapToGrid w:val="0"/>
        <w:rPr>
          <w:lang w:val="fr-FR"/>
        </w:rPr>
      </w:pPr>
    </w:p>
    <w:p w14:paraId="036EBB13" w14:textId="52CFAAF4" w:rsidR="004401F0" w:rsidRPr="00DA7718" w:rsidRDefault="00DF3C4F" w:rsidP="00BD4C7C">
      <w:pPr>
        <w:pStyle w:val="a3"/>
        <w:adjustRightInd w:val="0"/>
        <w:snapToGrid w:val="0"/>
        <w:rPr>
          <w:lang w:val="fr-FR"/>
        </w:rPr>
      </w:pPr>
      <w:r w:rsidRPr="00DA7718">
        <w:rPr>
          <w:lang w:val="fr-FR"/>
        </w:rPr>
        <w:t xml:space="preserve">L’étude n’a pas atteint son critère de jugement principal consistant à démontrer une amélioration significative de la survie sans événement (SSE) (évaluée par le Comité Central d’Examen de Radiologie (CRRC)) lorsque </w:t>
      </w:r>
      <w:r w:rsidR="008865B4">
        <w:rPr>
          <w:lang w:val="fr-FR"/>
        </w:rPr>
        <w:t>bevacizumab</w:t>
      </w:r>
      <w:r w:rsidRPr="00DA7718">
        <w:rPr>
          <w:lang w:val="fr-FR"/>
        </w:rPr>
        <w:t xml:space="preserve"> était associé au bras radiothérapie + temozolomide comparé au bras radiothérapie + temozolomide seul (HR=1,44</w:t>
      </w:r>
      <w:r w:rsidR="00881CB8">
        <w:rPr>
          <w:lang w:val="fr-FR"/>
        </w:rPr>
        <w:t xml:space="preserve"> ; </w:t>
      </w:r>
      <w:r w:rsidRPr="00DA7718">
        <w:rPr>
          <w:lang w:val="fr-FR"/>
        </w:rPr>
        <w:t>IC 95% :0,90 – 2,30). Ces résultats étaient cohérents avec ceux issus de nombreuses analyses de sensibilité et dans des sous-groupes cliniquement pertinents. Les résultats pour tous les critères secondaires (la survie sans événement évaluée par l’investigateur, le taux de réponse global et la survie globale) étaient cohérents en ne montrant aucune amélioration associée à l’adjonction du bevacizumab au bras radiothérapie + temozolomide comparé au bras radiothérapie + temozolomide seul.</w:t>
      </w:r>
    </w:p>
    <w:p w14:paraId="4A0B6FD7" w14:textId="77777777" w:rsidR="004401F0" w:rsidRPr="007C119A" w:rsidRDefault="004401F0" w:rsidP="00BD4C7C">
      <w:pPr>
        <w:pStyle w:val="a3"/>
        <w:adjustRightInd w:val="0"/>
        <w:snapToGrid w:val="0"/>
        <w:rPr>
          <w:lang w:val="fr-FR"/>
        </w:rPr>
      </w:pPr>
    </w:p>
    <w:p w14:paraId="33CE5DD4" w14:textId="71F34178" w:rsidR="004401F0" w:rsidRPr="00DA7718" w:rsidRDefault="00DF3C4F" w:rsidP="00BD4C7C">
      <w:pPr>
        <w:pStyle w:val="a3"/>
        <w:adjustRightInd w:val="0"/>
        <w:snapToGrid w:val="0"/>
        <w:rPr>
          <w:lang w:val="fr-FR"/>
        </w:rPr>
      </w:pPr>
      <w:r w:rsidRPr="00DA7718">
        <w:rPr>
          <w:lang w:val="fr-FR"/>
        </w:rPr>
        <w:t xml:space="preserve">L’association </w:t>
      </w:r>
      <w:r w:rsidR="007C2B00">
        <w:rPr>
          <w:lang w:val="fr-FR"/>
        </w:rPr>
        <w:t>du bevacizumab</w:t>
      </w:r>
      <w:r w:rsidR="007C2B00" w:rsidRPr="00DA7718">
        <w:rPr>
          <w:lang w:val="fr-FR"/>
        </w:rPr>
        <w:t xml:space="preserve"> </w:t>
      </w:r>
      <w:r w:rsidRPr="00DA7718">
        <w:rPr>
          <w:lang w:val="fr-FR"/>
        </w:rPr>
        <w:t xml:space="preserve">à la radiothérapie + temozolomide n’a pas démontré de bénéfice clinique dans l’étude BO25041 portant sur 60 patients pédiatriques évaluables, atteints d’un gliome de haut grade sus-tentoriel, sous-tentoriel cérébelleux ou pédonculaire nouvellement diagnostiqué (voir </w:t>
      </w:r>
      <w:r w:rsidR="00BC7C97">
        <w:rPr>
          <w:lang w:val="fr-FR"/>
        </w:rPr>
        <w:t xml:space="preserve">rubrique 4.2 pour les </w:t>
      </w:r>
      <w:r w:rsidRPr="00DA7718">
        <w:rPr>
          <w:lang w:val="fr-FR"/>
        </w:rPr>
        <w:t>information</w:t>
      </w:r>
      <w:r w:rsidR="00BC7C97">
        <w:rPr>
          <w:lang w:val="fr-FR"/>
        </w:rPr>
        <w:t>s</w:t>
      </w:r>
      <w:r w:rsidRPr="00DA7718">
        <w:rPr>
          <w:lang w:val="fr-FR"/>
        </w:rPr>
        <w:t xml:space="preserve"> </w:t>
      </w:r>
      <w:r w:rsidR="00BC7C97">
        <w:rPr>
          <w:lang w:val="fr-FR"/>
        </w:rPr>
        <w:t xml:space="preserve">concernant </w:t>
      </w:r>
      <w:r w:rsidRPr="00DA7718">
        <w:rPr>
          <w:lang w:val="fr-FR"/>
        </w:rPr>
        <w:t>l’u</w:t>
      </w:r>
      <w:r w:rsidR="00BC7C97">
        <w:rPr>
          <w:lang w:val="fr-FR"/>
        </w:rPr>
        <w:t>sage</w:t>
      </w:r>
      <w:r w:rsidRPr="00DA7718">
        <w:rPr>
          <w:lang w:val="fr-FR"/>
        </w:rPr>
        <w:t xml:space="preserve"> pédiatrique).</w:t>
      </w:r>
    </w:p>
    <w:p w14:paraId="0EF255E0" w14:textId="77777777" w:rsidR="004401F0" w:rsidRPr="00DA7718" w:rsidRDefault="004401F0" w:rsidP="00BD4C7C">
      <w:pPr>
        <w:pStyle w:val="a3"/>
        <w:adjustRightInd w:val="0"/>
        <w:snapToGrid w:val="0"/>
        <w:rPr>
          <w:lang w:val="fr-FR"/>
        </w:rPr>
      </w:pPr>
    </w:p>
    <w:p w14:paraId="01D52D46" w14:textId="77777777" w:rsidR="004401F0" w:rsidRPr="00F9256D" w:rsidRDefault="00DF3C4F" w:rsidP="00654D21">
      <w:pPr>
        <w:keepNext/>
        <w:keepLines/>
        <w:adjustRightInd w:val="0"/>
        <w:snapToGrid w:val="0"/>
        <w:jc w:val="both"/>
        <w:rPr>
          <w:i/>
          <w:u w:val="single"/>
          <w:lang w:val="fr-FR"/>
        </w:rPr>
      </w:pPr>
      <w:r w:rsidRPr="00F9256D">
        <w:rPr>
          <w:i/>
          <w:u w:val="single"/>
          <w:lang w:val="fr-FR"/>
        </w:rPr>
        <w:lastRenderedPageBreak/>
        <w:t>Sarcome des tissus mous</w:t>
      </w:r>
    </w:p>
    <w:p w14:paraId="48022A37" w14:textId="1C237A14" w:rsidR="004401F0" w:rsidRPr="00DA7718" w:rsidRDefault="00DF3C4F" w:rsidP="00654D21">
      <w:pPr>
        <w:pStyle w:val="a3"/>
        <w:keepNext/>
        <w:keepLines/>
        <w:adjustRightInd w:val="0"/>
        <w:snapToGrid w:val="0"/>
        <w:rPr>
          <w:lang w:val="fr-FR"/>
        </w:rPr>
      </w:pPr>
      <w:r w:rsidRPr="00DA7718">
        <w:rPr>
          <w:lang w:val="fr-FR"/>
        </w:rPr>
        <w:t>Dans une étude randomisée de phase II (BO20924) un total de 154 patients âgés de ≥ 6 mois à &lt;</w:t>
      </w:r>
      <w:r w:rsidR="00AB15CA" w:rsidRPr="00DA7718">
        <w:rPr>
          <w:lang w:val="fr-FR"/>
        </w:rPr>
        <w:t>18</w:t>
      </w:r>
      <w:r w:rsidR="00AB15CA">
        <w:rPr>
          <w:lang w:val="fr-FR"/>
        </w:rPr>
        <w:t> </w:t>
      </w:r>
      <w:r w:rsidRPr="00DA7718">
        <w:rPr>
          <w:lang w:val="fr-FR"/>
        </w:rPr>
        <w:t>ans, nouvellement diagnostiqués atteints de rhabdomyosarcome et de sarcome des tissus mous non- rhabdomyosarcome métastatiques, a été traité par le traitement de référence (induction IVADO/IVA</w:t>
      </w:r>
      <w:r w:rsidR="00AB15CA">
        <w:rPr>
          <w:lang w:val="fr-FR"/>
        </w:rPr>
        <w:t xml:space="preserve"> </w:t>
      </w:r>
      <w:r w:rsidR="00614220" w:rsidRPr="00F9256D">
        <w:rPr>
          <w:spacing w:val="-1"/>
          <w:lang w:val="fr-FR"/>
        </w:rPr>
        <w:t>±</w:t>
      </w:r>
      <w:r w:rsidRPr="00DA7718">
        <w:rPr>
          <w:lang w:val="fr-FR"/>
        </w:rPr>
        <w:t xml:space="preserve"> thérapie locale suivi de Vinorelbine en maintenance et de cyclophosphamide) avec ou sans bevacizumab (2,5</w:t>
      </w:r>
      <w:r w:rsidR="00DA7718" w:rsidRPr="00DA7718">
        <w:rPr>
          <w:lang w:val="fr-FR"/>
        </w:rPr>
        <w:t> mg</w:t>
      </w:r>
      <w:r w:rsidRPr="00DA7718">
        <w:rPr>
          <w:lang w:val="fr-FR"/>
        </w:rPr>
        <w:t>/kg/semaine) pour une durée de traitement d’environ 18 mois. Au moment de l’analyse primaire finale, le critère principal de survie sans évènements basée sur une revue centrale indépendante n’a pas montré une différence statistiquement significative entre les deux bras de traitement, avec un HR de 0,93 (95% IC</w:t>
      </w:r>
      <w:r w:rsidR="00765A43">
        <w:rPr>
          <w:lang w:val="fr-FR"/>
        </w:rPr>
        <w:t xml:space="preserve"> : </w:t>
      </w:r>
      <w:r w:rsidRPr="00DA7718">
        <w:rPr>
          <w:lang w:val="fr-FR"/>
        </w:rPr>
        <w:t>0,61 – 1,41</w:t>
      </w:r>
      <w:r w:rsidR="00881CB8">
        <w:rPr>
          <w:lang w:val="fr-FR"/>
        </w:rPr>
        <w:t xml:space="preserve"> ; </w:t>
      </w:r>
      <w:r w:rsidRPr="00DA7718">
        <w:rPr>
          <w:lang w:val="fr-FR"/>
        </w:rPr>
        <w:t>p = 0,72). La différence de taux de réponse objective par revue centrale indépendante était de 18% (IC</w:t>
      </w:r>
      <w:r w:rsidR="00765A43">
        <w:rPr>
          <w:lang w:val="fr-FR"/>
        </w:rPr>
        <w:t xml:space="preserve"> : </w:t>
      </w:r>
      <w:r w:rsidRPr="00DA7718">
        <w:rPr>
          <w:lang w:val="fr-FR"/>
        </w:rPr>
        <w:t xml:space="preserve">0,6% - 35,3%) entre les deux </w:t>
      </w:r>
      <w:r w:rsidR="00AB15CA" w:rsidRPr="00DA7718">
        <w:rPr>
          <w:lang w:val="fr-FR"/>
        </w:rPr>
        <w:t>bras</w:t>
      </w:r>
      <w:r w:rsidR="00AB15CA">
        <w:rPr>
          <w:lang w:val="fr-FR"/>
        </w:rPr>
        <w:t> </w:t>
      </w:r>
      <w:r w:rsidRPr="00DA7718">
        <w:rPr>
          <w:lang w:val="fr-FR"/>
        </w:rPr>
        <w:t xml:space="preserve">de traitement chez les quelques patients ayant une tumeur évaluable à l’inclusion et une </w:t>
      </w:r>
      <w:r w:rsidR="00AB15CA" w:rsidRPr="00DA7718">
        <w:rPr>
          <w:lang w:val="fr-FR"/>
        </w:rPr>
        <w:t>réponse</w:t>
      </w:r>
      <w:r w:rsidR="00AB15CA">
        <w:rPr>
          <w:lang w:val="fr-FR"/>
        </w:rPr>
        <w:t> </w:t>
      </w:r>
      <w:r w:rsidRPr="00DA7718">
        <w:rPr>
          <w:lang w:val="fr-FR"/>
        </w:rPr>
        <w:t>confirmée avant de recevoir une thérapie locale</w:t>
      </w:r>
      <w:r w:rsidR="00765A43">
        <w:rPr>
          <w:lang w:val="fr-FR"/>
        </w:rPr>
        <w:t xml:space="preserve"> : </w:t>
      </w:r>
      <w:r w:rsidRPr="00DA7718">
        <w:rPr>
          <w:lang w:val="fr-FR"/>
        </w:rPr>
        <w:t>27 patients sur 75 (36,0%, IC à 95%</w:t>
      </w:r>
      <w:r w:rsidR="00765A43">
        <w:rPr>
          <w:lang w:val="fr-FR"/>
        </w:rPr>
        <w:t xml:space="preserve"> : </w:t>
      </w:r>
      <w:r w:rsidRPr="00DA7718">
        <w:rPr>
          <w:lang w:val="fr-FR"/>
        </w:rPr>
        <w:t>25,2</w:t>
      </w:r>
      <w:r w:rsidR="00AB15CA" w:rsidRPr="00DA7718">
        <w:rPr>
          <w:lang w:val="fr-FR"/>
        </w:rPr>
        <w:t>%</w:t>
      </w:r>
      <w:r w:rsidR="00AB15CA">
        <w:rPr>
          <w:lang w:val="fr-FR"/>
        </w:rPr>
        <w:t> </w:t>
      </w:r>
      <w:r w:rsidRPr="00DA7718">
        <w:rPr>
          <w:lang w:val="fr-FR"/>
        </w:rPr>
        <w:t>- 47,9%) dans le bras chimiothérapie et 34 patients sur 63 (54,0%, IC à 95%</w:t>
      </w:r>
      <w:r w:rsidR="00765A43">
        <w:rPr>
          <w:lang w:val="fr-FR"/>
        </w:rPr>
        <w:t xml:space="preserve"> : </w:t>
      </w:r>
      <w:r w:rsidRPr="00DA7718">
        <w:rPr>
          <w:lang w:val="fr-FR"/>
        </w:rPr>
        <w:t xml:space="preserve">40,9%, 66,6%) dans le bras bevacizumab + chimiothérapie. Les analyses finales </w:t>
      </w:r>
      <w:r w:rsidR="007C2B00">
        <w:rPr>
          <w:lang w:val="fr-FR"/>
        </w:rPr>
        <w:t>d’</w:t>
      </w:r>
      <w:r w:rsidRPr="00DA7718">
        <w:rPr>
          <w:lang w:val="fr-FR"/>
        </w:rPr>
        <w:t>OS n'ont montré aucun bénéfice clinique significatif de l'ajout du bevacizumab à la chimiothérapie dans cette population de patients.</w:t>
      </w:r>
    </w:p>
    <w:p w14:paraId="161A63F0" w14:textId="77777777" w:rsidR="004401F0" w:rsidRPr="007C119A" w:rsidRDefault="004401F0" w:rsidP="00BD4C7C">
      <w:pPr>
        <w:pStyle w:val="a3"/>
        <w:adjustRightInd w:val="0"/>
        <w:snapToGrid w:val="0"/>
        <w:rPr>
          <w:lang w:val="fr-FR"/>
        </w:rPr>
      </w:pPr>
    </w:p>
    <w:p w14:paraId="0D78AD81" w14:textId="45197404" w:rsidR="004401F0" w:rsidRPr="00DA7718" w:rsidRDefault="00DF3C4F" w:rsidP="00BD4C7C">
      <w:pPr>
        <w:pStyle w:val="a3"/>
        <w:adjustRightInd w:val="0"/>
        <w:snapToGrid w:val="0"/>
        <w:rPr>
          <w:lang w:val="fr-FR"/>
        </w:rPr>
      </w:pPr>
      <w:r w:rsidRPr="00DA7718">
        <w:rPr>
          <w:lang w:val="fr-FR"/>
        </w:rPr>
        <w:t xml:space="preserve">L’association </w:t>
      </w:r>
      <w:r w:rsidR="007C2B00">
        <w:rPr>
          <w:lang w:val="fr-FR"/>
        </w:rPr>
        <w:t>du bevacizumab</w:t>
      </w:r>
      <w:r w:rsidR="007C2B00" w:rsidRPr="00DA7718">
        <w:rPr>
          <w:lang w:val="fr-FR"/>
        </w:rPr>
        <w:t xml:space="preserve"> </w:t>
      </w:r>
      <w:r w:rsidRPr="00DA7718">
        <w:rPr>
          <w:lang w:val="fr-FR"/>
        </w:rPr>
        <w:t>au traitement de référence n’a pas démontré de bénéfice clinique dans l’essai clinique BO20924, chez 71 patients pédiatriques évaluables (âgés de 6 mois à moins de 18 ans) atteints de rhabdomyosarcome et de sarcome des tissus mous non-rhabdomyosarcome métastatiques (voir rubrique 4.2 pour des informations sur l’utilisation pédiatrique).</w:t>
      </w:r>
    </w:p>
    <w:p w14:paraId="69A4F3FE" w14:textId="77777777" w:rsidR="004401F0" w:rsidRPr="007C119A" w:rsidRDefault="004401F0" w:rsidP="00BD4C7C">
      <w:pPr>
        <w:pStyle w:val="a3"/>
        <w:adjustRightInd w:val="0"/>
        <w:snapToGrid w:val="0"/>
        <w:rPr>
          <w:lang w:val="fr-FR"/>
        </w:rPr>
      </w:pPr>
    </w:p>
    <w:p w14:paraId="78315812" w14:textId="77777777" w:rsidR="004401F0" w:rsidRPr="00DA7718" w:rsidRDefault="00DF3C4F" w:rsidP="00BD4C7C">
      <w:pPr>
        <w:pStyle w:val="a3"/>
        <w:adjustRightInd w:val="0"/>
        <w:snapToGrid w:val="0"/>
        <w:rPr>
          <w:lang w:val="fr-FR"/>
        </w:rPr>
      </w:pPr>
      <w:r w:rsidRPr="00DA7718">
        <w:rPr>
          <w:lang w:val="fr-FR"/>
        </w:rPr>
        <w:t>L’incidence des effets indésirables, dont des effets indésirables de Grade ≥ 3 et des effets indésirables graves, était similaire entre les deux bras de traitement. Aucun effet indésirable d’évolution fatale n’a eu lieu dans l’un ou l’autre des bras de traitement, tous les décès étant liés à la progression de la maladie. Le bevacizumab en association avec le traitement multimodal standard semble avoir été toléré dans cette population pédiatrique.</w:t>
      </w:r>
    </w:p>
    <w:p w14:paraId="180CB3F6" w14:textId="77777777" w:rsidR="00BD4C7C" w:rsidRPr="00DA7718" w:rsidRDefault="00BD4C7C" w:rsidP="00BD4C7C">
      <w:pPr>
        <w:adjustRightInd w:val="0"/>
        <w:snapToGrid w:val="0"/>
        <w:rPr>
          <w:lang w:val="fr-FR"/>
        </w:rPr>
      </w:pPr>
    </w:p>
    <w:p w14:paraId="3A609CF0" w14:textId="77777777" w:rsidR="004401F0" w:rsidRPr="00DA7718" w:rsidRDefault="00BD4C7C" w:rsidP="00BD4C7C">
      <w:pPr>
        <w:pStyle w:val="2"/>
        <w:adjustRightInd w:val="0"/>
        <w:snapToGrid w:val="0"/>
        <w:ind w:left="0"/>
        <w:rPr>
          <w:lang w:val="fr-FR"/>
        </w:rPr>
      </w:pPr>
      <w:r w:rsidRPr="00DA7718">
        <w:rPr>
          <w:lang w:val="fr-FR"/>
        </w:rPr>
        <w:t>5.2</w:t>
      </w:r>
      <w:r w:rsidRPr="00DA7718">
        <w:rPr>
          <w:lang w:val="fr-FR"/>
        </w:rPr>
        <w:tab/>
      </w:r>
      <w:r w:rsidR="00DF3C4F" w:rsidRPr="00DA7718">
        <w:rPr>
          <w:lang w:val="fr-FR"/>
        </w:rPr>
        <w:t>Propriétés pharmacocinétiques</w:t>
      </w:r>
    </w:p>
    <w:p w14:paraId="27718259" w14:textId="77777777" w:rsidR="004401F0" w:rsidRPr="007C119A" w:rsidRDefault="004401F0" w:rsidP="00BD4C7C">
      <w:pPr>
        <w:pStyle w:val="a3"/>
        <w:adjustRightInd w:val="0"/>
        <w:snapToGrid w:val="0"/>
        <w:rPr>
          <w:b/>
          <w:lang w:val="fr-FR"/>
        </w:rPr>
      </w:pPr>
    </w:p>
    <w:p w14:paraId="48A25E08" w14:textId="7C84A394" w:rsidR="004401F0" w:rsidRPr="00DA7718" w:rsidRDefault="00DF3C4F" w:rsidP="00BD4C7C">
      <w:pPr>
        <w:pStyle w:val="a3"/>
        <w:adjustRightInd w:val="0"/>
        <w:snapToGrid w:val="0"/>
        <w:rPr>
          <w:lang w:val="fr-FR"/>
        </w:rPr>
      </w:pPr>
      <w:r w:rsidRPr="00DA7718">
        <w:rPr>
          <w:lang w:val="fr-FR"/>
        </w:rPr>
        <w:t xml:space="preserve">Les données pharmacocinétiques disponibles pour le bevacizumab proviennent de dix études cliniques réalisées chez des patients atteints de tumeurs solides. Dans toutes les études cliniques, le bevacizumab était administré par perfusion </w:t>
      </w:r>
      <w:r w:rsidR="007C2B00">
        <w:rPr>
          <w:lang w:val="fr-FR"/>
        </w:rPr>
        <w:t>intraveineuse</w:t>
      </w:r>
      <w:r w:rsidRPr="00DA7718">
        <w:rPr>
          <w:lang w:val="fr-FR"/>
        </w:rPr>
        <w:t>. La vitesse de perfusion était ajustée en fonction de la tolérance, la durée de la perfusion initiale étant de 90 minutes. La pharmacocinétique du bevacizumab était linéaire aux doses allant de 1 à 10</w:t>
      </w:r>
      <w:r w:rsidR="00DA7718" w:rsidRPr="00DA7718">
        <w:rPr>
          <w:lang w:val="fr-FR"/>
        </w:rPr>
        <w:t> mg</w:t>
      </w:r>
      <w:r w:rsidRPr="00DA7718">
        <w:rPr>
          <w:lang w:val="fr-FR"/>
        </w:rPr>
        <w:t>/kg.</w:t>
      </w:r>
    </w:p>
    <w:p w14:paraId="17FE409C" w14:textId="77777777" w:rsidR="004401F0" w:rsidRPr="00DA7718" w:rsidRDefault="004401F0" w:rsidP="00BD4C7C">
      <w:pPr>
        <w:pStyle w:val="a3"/>
        <w:adjustRightInd w:val="0"/>
        <w:snapToGrid w:val="0"/>
        <w:rPr>
          <w:lang w:val="fr-FR"/>
        </w:rPr>
      </w:pPr>
    </w:p>
    <w:p w14:paraId="10016323" w14:textId="77777777" w:rsidR="004401F0" w:rsidRPr="00DA7718" w:rsidRDefault="00DF3C4F" w:rsidP="00BD4C7C">
      <w:pPr>
        <w:pStyle w:val="a3"/>
        <w:adjustRightInd w:val="0"/>
        <w:snapToGrid w:val="0"/>
        <w:rPr>
          <w:lang w:val="fr-FR"/>
        </w:rPr>
      </w:pPr>
      <w:r w:rsidRPr="00DA7718">
        <w:rPr>
          <w:u w:val="single"/>
          <w:lang w:val="fr-FR"/>
        </w:rPr>
        <w:t>Distribution</w:t>
      </w:r>
    </w:p>
    <w:p w14:paraId="2044ED9D" w14:textId="77777777" w:rsidR="004401F0" w:rsidRPr="00DA7718" w:rsidRDefault="00DF3C4F" w:rsidP="00BD4C7C">
      <w:pPr>
        <w:pStyle w:val="a3"/>
        <w:adjustRightInd w:val="0"/>
        <w:snapToGrid w:val="0"/>
        <w:rPr>
          <w:lang w:val="fr-FR"/>
        </w:rPr>
      </w:pPr>
      <w:r w:rsidRPr="00DA7718">
        <w:rPr>
          <w:position w:val="2"/>
          <w:lang w:val="fr-FR"/>
        </w:rPr>
        <w:t>La valeur caractéristique du volume du compartiment central (V</w:t>
      </w:r>
      <w:r w:rsidRPr="003F4D24">
        <w:rPr>
          <w:lang w:val="fr-FR"/>
        </w:rPr>
        <w:t>c</w:t>
      </w:r>
      <w:r w:rsidRPr="00DA7718">
        <w:rPr>
          <w:position w:val="2"/>
          <w:lang w:val="fr-FR"/>
        </w:rPr>
        <w:t xml:space="preserve">) des patients était de 2,73 L pour les </w:t>
      </w:r>
      <w:r w:rsidRPr="00DA7718">
        <w:rPr>
          <w:lang w:val="fr-FR"/>
        </w:rPr>
        <w:t xml:space="preserve">femmes et de 3,28 L pour les hommes, ce qui est dans l’intervalle des valeurs rapportées pour les IgGs et les autres anticorps monoclonaux. La valeur caractéristique du volume du compartiment </w:t>
      </w:r>
      <w:r w:rsidRPr="00DA7718">
        <w:rPr>
          <w:position w:val="2"/>
          <w:lang w:val="fr-FR"/>
        </w:rPr>
        <w:t>périphérique (V</w:t>
      </w:r>
      <w:r w:rsidRPr="003F4D24">
        <w:rPr>
          <w:lang w:val="fr-FR"/>
        </w:rPr>
        <w:t>p</w:t>
      </w:r>
      <w:r w:rsidRPr="00DA7718">
        <w:rPr>
          <w:position w:val="2"/>
          <w:lang w:val="fr-FR"/>
        </w:rPr>
        <w:t xml:space="preserve">) était de 1,69 L pour les femmes et de 2,35 L pour les hommes lorsque le </w:t>
      </w:r>
      <w:r w:rsidRPr="00DA7718">
        <w:rPr>
          <w:lang w:val="fr-FR"/>
        </w:rPr>
        <w:t xml:space="preserve">bevacizumab est administré avec des agents antinéoplasiques. Après correction selon le poids </w:t>
      </w:r>
      <w:r w:rsidRPr="00DA7718">
        <w:rPr>
          <w:position w:val="2"/>
          <w:lang w:val="fr-FR"/>
        </w:rPr>
        <w:t>corporel, le V</w:t>
      </w:r>
      <w:r w:rsidRPr="003F4D24">
        <w:rPr>
          <w:lang w:val="fr-FR"/>
        </w:rPr>
        <w:t xml:space="preserve">c </w:t>
      </w:r>
      <w:r w:rsidRPr="00DA7718">
        <w:rPr>
          <w:position w:val="2"/>
          <w:lang w:val="fr-FR"/>
        </w:rPr>
        <w:t>était plus important (</w:t>
      </w:r>
      <w:r w:rsidRPr="00DA7718">
        <w:rPr>
          <w:rFonts w:ascii="Symbol" w:hAnsi="Symbol"/>
          <w:position w:val="2"/>
          <w:lang w:val="fr-FR"/>
        </w:rPr>
        <w:t></w:t>
      </w:r>
      <w:r w:rsidRPr="00DA7718">
        <w:rPr>
          <w:position w:val="2"/>
          <w:lang w:val="fr-FR"/>
        </w:rPr>
        <w:t xml:space="preserve"> 20 %) chez les hommes que chez les femmes.</w:t>
      </w:r>
    </w:p>
    <w:p w14:paraId="0F5C66D8" w14:textId="77777777" w:rsidR="004401F0" w:rsidRPr="007C119A" w:rsidRDefault="004401F0" w:rsidP="00BD4C7C">
      <w:pPr>
        <w:pStyle w:val="a3"/>
        <w:adjustRightInd w:val="0"/>
        <w:snapToGrid w:val="0"/>
        <w:rPr>
          <w:lang w:val="fr-FR"/>
        </w:rPr>
      </w:pPr>
    </w:p>
    <w:p w14:paraId="66E238E5" w14:textId="77777777" w:rsidR="004401F0" w:rsidRPr="00DA7718" w:rsidRDefault="00DF3C4F" w:rsidP="00BD4C7C">
      <w:pPr>
        <w:pStyle w:val="a3"/>
        <w:adjustRightInd w:val="0"/>
        <w:snapToGrid w:val="0"/>
        <w:rPr>
          <w:lang w:val="fr-FR"/>
        </w:rPr>
      </w:pPr>
      <w:r w:rsidRPr="00DA7718">
        <w:rPr>
          <w:u w:val="single"/>
          <w:lang w:val="fr-FR"/>
        </w:rPr>
        <w:t>Biotransformation</w:t>
      </w:r>
    </w:p>
    <w:p w14:paraId="101B097A" w14:textId="7AB28BFA" w:rsidR="004401F0" w:rsidRPr="00DA7718" w:rsidRDefault="00DF3C4F" w:rsidP="00E22855">
      <w:pPr>
        <w:pStyle w:val="a3"/>
        <w:adjustRightInd w:val="0"/>
        <w:snapToGrid w:val="0"/>
        <w:rPr>
          <w:lang w:val="fr-FR"/>
        </w:rPr>
      </w:pPr>
      <w:r w:rsidRPr="00DA7718">
        <w:rPr>
          <w:lang w:val="fr-FR"/>
        </w:rPr>
        <w:t xml:space="preserve">L’évaluation du métabolisme du bevacizumab chez le lapin après administration </w:t>
      </w:r>
      <w:r w:rsidR="007C2B00">
        <w:rPr>
          <w:lang w:val="fr-FR"/>
        </w:rPr>
        <w:t>intraveineuse</w:t>
      </w:r>
      <w:r w:rsidRPr="00DA7718">
        <w:rPr>
          <w:lang w:val="fr-FR"/>
        </w:rPr>
        <w:t xml:space="preserve"> unique de</w:t>
      </w:r>
      <w:r w:rsidR="00E22855">
        <w:rPr>
          <w:lang w:val="fr-FR"/>
        </w:rPr>
        <w:t xml:space="preserve"> </w:t>
      </w:r>
      <w:r w:rsidRPr="00DA7718">
        <w:rPr>
          <w:vertAlign w:val="superscript"/>
          <w:lang w:val="fr-FR"/>
        </w:rPr>
        <w:t>125</w:t>
      </w:r>
      <w:r w:rsidRPr="00DA7718">
        <w:rPr>
          <w:lang w:val="fr-FR"/>
        </w:rPr>
        <w:t>I-bevacizumab indiquait que le profil métabolique était similaire à celui attendu pour une molécule d’IgG native ne se liant pas au VEGF. Le métabolisme et l’élimination du bevacizumab sont similaires à ceux de l’IgG endogène, principalement via un catabolisme protéolytique dans l’ensemble du corps, y compris les cellules endothéliales, et ne sont pas intrinsèquement liés à une élimination rénale et hépatique. La liaison de l’IgG au récepteur FcRn conduit à la protection vis-à-vis du métabolisme cellulaire et à la longue demi-vie terminale.</w:t>
      </w:r>
    </w:p>
    <w:p w14:paraId="78473ED8" w14:textId="77777777" w:rsidR="004401F0" w:rsidRPr="00DA7718" w:rsidRDefault="004401F0" w:rsidP="00BD4C7C">
      <w:pPr>
        <w:pStyle w:val="a3"/>
        <w:adjustRightInd w:val="0"/>
        <w:snapToGrid w:val="0"/>
        <w:rPr>
          <w:lang w:val="fr-FR"/>
        </w:rPr>
      </w:pPr>
    </w:p>
    <w:p w14:paraId="6042E724" w14:textId="77777777" w:rsidR="004401F0" w:rsidRPr="00DA7718" w:rsidRDefault="00DF3C4F" w:rsidP="00654D21">
      <w:pPr>
        <w:pStyle w:val="a3"/>
        <w:keepNext/>
        <w:keepLines/>
        <w:adjustRightInd w:val="0"/>
        <w:snapToGrid w:val="0"/>
        <w:rPr>
          <w:lang w:val="fr-FR"/>
        </w:rPr>
      </w:pPr>
      <w:r w:rsidRPr="00DA7718">
        <w:rPr>
          <w:u w:val="single"/>
          <w:lang w:val="fr-FR"/>
        </w:rPr>
        <w:lastRenderedPageBreak/>
        <w:t>Élimination</w:t>
      </w:r>
    </w:p>
    <w:p w14:paraId="01AA47E5" w14:textId="2EB0E910" w:rsidR="004401F0" w:rsidRPr="00DA7718" w:rsidRDefault="00DF3C4F" w:rsidP="00654D21">
      <w:pPr>
        <w:pStyle w:val="a3"/>
        <w:keepNext/>
        <w:keepLines/>
        <w:adjustRightInd w:val="0"/>
        <w:snapToGrid w:val="0"/>
        <w:rPr>
          <w:lang w:val="fr-FR"/>
        </w:rPr>
      </w:pPr>
      <w:r w:rsidRPr="00654D21">
        <w:rPr>
          <w:spacing w:val="-4"/>
          <w:lang w:val="fr-FR"/>
        </w:rPr>
        <w:t>La valeur de la clairance des patients est en moyenne égale à 0,188 L/jour chez la femme et à 0,</w:t>
      </w:r>
      <w:r w:rsidR="0021630D" w:rsidRPr="00654D21">
        <w:rPr>
          <w:spacing w:val="-4"/>
          <w:lang w:val="fr-FR"/>
        </w:rPr>
        <w:t>220 </w:t>
      </w:r>
      <w:r w:rsidRPr="00654D21">
        <w:rPr>
          <w:spacing w:val="-4"/>
          <w:lang w:val="fr-FR"/>
        </w:rPr>
        <w:t>L/jour</w:t>
      </w:r>
      <w:r w:rsidRPr="00DA7718">
        <w:rPr>
          <w:lang w:val="fr-FR"/>
        </w:rPr>
        <w:t xml:space="preserve"> chez l’homme. Après correction selon le poids corporel, la clairance du bevacizumab était plus importante (</w:t>
      </w:r>
      <w:r w:rsidRPr="00DA7718">
        <w:rPr>
          <w:rFonts w:ascii="Symbol" w:hAnsi="Symbol"/>
          <w:lang w:val="fr-FR"/>
        </w:rPr>
        <w:t></w:t>
      </w:r>
      <w:r w:rsidRPr="00DA7718">
        <w:rPr>
          <w:lang w:val="fr-FR"/>
        </w:rPr>
        <w:t xml:space="preserve"> 17 %) chez les hommes que chez les femmes. Selon un modèle à deux compartiments, la demi-vie d’élimination de référence est de 18 jours pour une femme et de 20 jours pour un homme.</w:t>
      </w:r>
    </w:p>
    <w:p w14:paraId="7C94BA4F" w14:textId="77777777" w:rsidR="004401F0" w:rsidRPr="007C119A" w:rsidRDefault="004401F0" w:rsidP="00BD4C7C">
      <w:pPr>
        <w:pStyle w:val="a3"/>
        <w:adjustRightInd w:val="0"/>
        <w:snapToGrid w:val="0"/>
        <w:rPr>
          <w:lang w:val="fr-FR"/>
        </w:rPr>
      </w:pPr>
    </w:p>
    <w:p w14:paraId="70BC69A6" w14:textId="4B52563E" w:rsidR="004401F0" w:rsidRPr="00DA7718" w:rsidRDefault="00DF3C4F" w:rsidP="00BD4C7C">
      <w:pPr>
        <w:pStyle w:val="a3"/>
        <w:adjustRightInd w:val="0"/>
        <w:snapToGrid w:val="0"/>
        <w:rPr>
          <w:lang w:val="fr-FR"/>
        </w:rPr>
      </w:pPr>
      <w:r w:rsidRPr="00DA7718">
        <w:rPr>
          <w:lang w:val="fr-FR"/>
        </w:rPr>
        <w:t>Une albuminémie basse et une charge tumorale élevée sont généralement indicateurs d’une sévérité de la maladie. La clairance du bevacizumab était accélérée d’environ 30</w:t>
      </w:r>
      <w:r w:rsidR="00AF3AAA">
        <w:rPr>
          <w:lang w:val="fr-FR"/>
        </w:rPr>
        <w:t xml:space="preserve"> % </w:t>
      </w:r>
      <w:r w:rsidRPr="00DA7718">
        <w:rPr>
          <w:lang w:val="fr-FR"/>
        </w:rPr>
        <w:t>chez les patients avec un taux bas d’albumine et de 7</w:t>
      </w:r>
      <w:r w:rsidR="00AF3AAA">
        <w:rPr>
          <w:lang w:val="fr-FR"/>
        </w:rPr>
        <w:t xml:space="preserve"> % </w:t>
      </w:r>
      <w:r w:rsidRPr="00DA7718">
        <w:rPr>
          <w:lang w:val="fr-FR"/>
        </w:rPr>
        <w:t>chez les patients avec charge tumorale élevée comparés à des patients typiques avec des valeurs médianes d’albuminémie et de charge tumorale.</w:t>
      </w:r>
    </w:p>
    <w:p w14:paraId="072E01EA" w14:textId="77777777" w:rsidR="004401F0" w:rsidRPr="007C119A" w:rsidRDefault="004401F0" w:rsidP="00BD4C7C">
      <w:pPr>
        <w:pStyle w:val="a3"/>
        <w:adjustRightInd w:val="0"/>
        <w:snapToGrid w:val="0"/>
        <w:rPr>
          <w:lang w:val="fr-FR"/>
        </w:rPr>
      </w:pPr>
    </w:p>
    <w:p w14:paraId="0B0C242F" w14:textId="77777777" w:rsidR="004401F0" w:rsidRPr="00DA7718" w:rsidRDefault="00DF3C4F" w:rsidP="00BD4C7C">
      <w:pPr>
        <w:pStyle w:val="a3"/>
        <w:adjustRightInd w:val="0"/>
        <w:snapToGrid w:val="0"/>
        <w:rPr>
          <w:lang w:val="fr-FR"/>
        </w:rPr>
      </w:pPr>
      <w:r w:rsidRPr="00DA7718">
        <w:rPr>
          <w:u w:val="single"/>
          <w:lang w:val="fr-FR"/>
        </w:rPr>
        <w:t>Pharmacocinétique dans des populations particulières</w:t>
      </w:r>
    </w:p>
    <w:p w14:paraId="6BD4DF10" w14:textId="77777777" w:rsidR="004401F0" w:rsidRPr="00DA7718" w:rsidRDefault="00DF3C4F" w:rsidP="00BD4C7C">
      <w:pPr>
        <w:pStyle w:val="a3"/>
        <w:adjustRightInd w:val="0"/>
        <w:snapToGrid w:val="0"/>
        <w:rPr>
          <w:lang w:val="fr-FR"/>
        </w:rPr>
      </w:pPr>
      <w:r w:rsidRPr="00DA7718">
        <w:rPr>
          <w:lang w:val="fr-FR"/>
        </w:rPr>
        <w:t>La pharmacocinétique de population a été analysée chez des patients adultes et pédiatriques afin d’évaluer les effets de caractéristiques démographiques. Chez les adultes, les résultats obtenus n’ont révélé aucune différence significative des paramètres pharmacocinétiques du bevacizumab en fonction de l’âge.</w:t>
      </w:r>
    </w:p>
    <w:p w14:paraId="607E474C" w14:textId="77777777" w:rsidR="004401F0" w:rsidRPr="007C119A" w:rsidRDefault="004401F0" w:rsidP="00BD4C7C">
      <w:pPr>
        <w:pStyle w:val="a3"/>
        <w:adjustRightInd w:val="0"/>
        <w:snapToGrid w:val="0"/>
        <w:rPr>
          <w:lang w:val="fr-FR"/>
        </w:rPr>
      </w:pPr>
    </w:p>
    <w:p w14:paraId="67820A65" w14:textId="77777777" w:rsidR="004401F0" w:rsidRPr="00F9256D" w:rsidRDefault="00DF3C4F" w:rsidP="00BD4C7C">
      <w:pPr>
        <w:adjustRightInd w:val="0"/>
        <w:snapToGrid w:val="0"/>
        <w:rPr>
          <w:i/>
          <w:u w:val="single"/>
          <w:lang w:val="fr-FR"/>
        </w:rPr>
      </w:pPr>
      <w:r w:rsidRPr="00F9256D">
        <w:rPr>
          <w:i/>
          <w:u w:val="single"/>
          <w:lang w:val="fr-FR"/>
        </w:rPr>
        <w:t>Insuffisants rénaux</w:t>
      </w:r>
    </w:p>
    <w:p w14:paraId="02D5B217" w14:textId="77777777" w:rsidR="004401F0" w:rsidRPr="00DA7718" w:rsidRDefault="00DF3C4F" w:rsidP="00BD4C7C">
      <w:pPr>
        <w:pStyle w:val="a3"/>
        <w:adjustRightInd w:val="0"/>
        <w:snapToGrid w:val="0"/>
        <w:rPr>
          <w:lang w:val="fr-FR"/>
        </w:rPr>
      </w:pPr>
      <w:r w:rsidRPr="00DA7718">
        <w:rPr>
          <w:lang w:val="fr-FR"/>
        </w:rPr>
        <w:t>La pharmacocinétique du bevacizumab n’a pas été étudiée chez l’insuffisant rénal, puisque le rein n’est pas un organe majeur du métabolisme ou de l’excrétion du bevacizumab.</w:t>
      </w:r>
    </w:p>
    <w:p w14:paraId="5B1DD753" w14:textId="77777777" w:rsidR="004401F0" w:rsidRPr="007C119A" w:rsidRDefault="004401F0" w:rsidP="00BD4C7C">
      <w:pPr>
        <w:pStyle w:val="a3"/>
        <w:adjustRightInd w:val="0"/>
        <w:snapToGrid w:val="0"/>
        <w:rPr>
          <w:lang w:val="fr-FR"/>
        </w:rPr>
      </w:pPr>
    </w:p>
    <w:p w14:paraId="22DA631F" w14:textId="77777777" w:rsidR="004401F0" w:rsidRPr="00F9256D" w:rsidRDefault="00DF3C4F" w:rsidP="00BD4C7C">
      <w:pPr>
        <w:adjustRightInd w:val="0"/>
        <w:snapToGrid w:val="0"/>
        <w:rPr>
          <w:i/>
          <w:u w:val="single"/>
          <w:lang w:val="fr-FR"/>
        </w:rPr>
      </w:pPr>
      <w:r w:rsidRPr="00F9256D">
        <w:rPr>
          <w:i/>
          <w:u w:val="single"/>
          <w:lang w:val="fr-FR"/>
        </w:rPr>
        <w:t>Insuffisants hépatiques</w:t>
      </w:r>
    </w:p>
    <w:p w14:paraId="2F19702F" w14:textId="77777777" w:rsidR="004401F0" w:rsidRPr="00DA7718" w:rsidRDefault="00DF3C4F" w:rsidP="00BD4C7C">
      <w:pPr>
        <w:pStyle w:val="a3"/>
        <w:adjustRightInd w:val="0"/>
        <w:snapToGrid w:val="0"/>
        <w:rPr>
          <w:lang w:val="fr-FR"/>
        </w:rPr>
      </w:pPr>
      <w:r w:rsidRPr="00DA7718">
        <w:rPr>
          <w:lang w:val="fr-FR"/>
        </w:rPr>
        <w:t>La pharmacocinétique du bevacizumab n’a pas été étudiée chez l’insuffisant hépatique, puisque le foie n’est pas un organe majeur de l’élimination ou de l’excrétion du bevacizumab.</w:t>
      </w:r>
    </w:p>
    <w:p w14:paraId="7DF17F55" w14:textId="77777777" w:rsidR="004401F0" w:rsidRPr="007C119A" w:rsidRDefault="004401F0" w:rsidP="00BD4C7C">
      <w:pPr>
        <w:pStyle w:val="a3"/>
        <w:adjustRightInd w:val="0"/>
        <w:snapToGrid w:val="0"/>
        <w:rPr>
          <w:lang w:val="fr-FR"/>
        </w:rPr>
      </w:pPr>
    </w:p>
    <w:p w14:paraId="34AECBED" w14:textId="77777777" w:rsidR="004401F0" w:rsidRPr="00DA7718" w:rsidRDefault="00DF3C4F" w:rsidP="00BD4C7C">
      <w:pPr>
        <w:adjustRightInd w:val="0"/>
        <w:snapToGrid w:val="0"/>
        <w:rPr>
          <w:i/>
          <w:lang w:val="fr-FR"/>
        </w:rPr>
      </w:pPr>
      <w:r w:rsidRPr="00F9256D">
        <w:rPr>
          <w:i/>
          <w:u w:val="single"/>
          <w:lang w:val="fr-FR"/>
        </w:rPr>
        <w:t>Population pédiatrique</w:t>
      </w:r>
      <w:r w:rsidRPr="00DA7718">
        <w:rPr>
          <w:i/>
          <w:lang w:val="fr-FR"/>
        </w:rPr>
        <w:t xml:space="preserve"> :</w:t>
      </w:r>
    </w:p>
    <w:p w14:paraId="30D21A3E" w14:textId="30C35A6C" w:rsidR="004401F0" w:rsidRPr="00DA7718" w:rsidRDefault="00DF3C4F" w:rsidP="00BD4C7C">
      <w:pPr>
        <w:pStyle w:val="a3"/>
        <w:adjustRightInd w:val="0"/>
        <w:snapToGrid w:val="0"/>
        <w:rPr>
          <w:lang w:val="fr-FR"/>
        </w:rPr>
      </w:pPr>
      <w:r w:rsidRPr="00DA7718">
        <w:rPr>
          <w:lang w:val="fr-FR"/>
        </w:rPr>
        <w:t>La pharmacocinétique du bevacizumab a été évaluée chez 152 enfants, adolescents et jeunes adultes (</w:t>
      </w:r>
      <w:r w:rsidR="006A4461" w:rsidRPr="00DA7718">
        <w:rPr>
          <w:lang w:val="fr-FR"/>
        </w:rPr>
        <w:t>7</w:t>
      </w:r>
      <w:r w:rsidR="006A4461">
        <w:rPr>
          <w:lang w:val="fr-FR"/>
        </w:rPr>
        <w:t> </w:t>
      </w:r>
      <w:r w:rsidRPr="00DA7718">
        <w:rPr>
          <w:lang w:val="fr-FR"/>
        </w:rPr>
        <w:t>mois à 21 ans, pesant entre 5,9 et 125 kg) au cours de 4 études cliniques utilisant un modèle de population pharmacocinétique. Les résultats pharmacocinétiques montrent que la clairance et le volume de distribution du bevacizumab étaient comparables entre les patients pédiatriques et les jeunes adultes lorsqu’ils étaient normalisés au poids corporel, avec une exposition à la baisse lorsque</w:t>
      </w:r>
    </w:p>
    <w:p w14:paraId="07457985" w14:textId="77777777" w:rsidR="004401F0" w:rsidRPr="00DA7718" w:rsidRDefault="00DF3C4F" w:rsidP="00BD4C7C">
      <w:pPr>
        <w:pStyle w:val="a3"/>
        <w:adjustRightInd w:val="0"/>
        <w:snapToGrid w:val="0"/>
        <w:rPr>
          <w:lang w:val="fr-FR"/>
        </w:rPr>
      </w:pPr>
      <w:r w:rsidRPr="00DA7718">
        <w:rPr>
          <w:lang w:val="fr-FR"/>
        </w:rPr>
        <w:t>le poids corporel diminuait. L’âge n’était pas associé avec la pharmacocinétique du bevacizumab lorsque le poids corporel était pris en compte.</w:t>
      </w:r>
    </w:p>
    <w:p w14:paraId="0F539140" w14:textId="77777777" w:rsidR="004401F0" w:rsidRPr="007C119A" w:rsidRDefault="004401F0" w:rsidP="00BD4C7C">
      <w:pPr>
        <w:pStyle w:val="a3"/>
        <w:adjustRightInd w:val="0"/>
        <w:snapToGrid w:val="0"/>
        <w:rPr>
          <w:lang w:val="fr-FR"/>
        </w:rPr>
      </w:pPr>
    </w:p>
    <w:p w14:paraId="13F804FE" w14:textId="6A16987B" w:rsidR="004401F0" w:rsidRPr="00DA7718" w:rsidRDefault="00DF3C4F" w:rsidP="00BD4C7C">
      <w:pPr>
        <w:pStyle w:val="a3"/>
        <w:adjustRightInd w:val="0"/>
        <w:snapToGrid w:val="0"/>
        <w:rPr>
          <w:lang w:val="fr-FR"/>
        </w:rPr>
      </w:pPr>
      <w:r w:rsidRPr="00DA7718">
        <w:rPr>
          <w:lang w:val="fr-FR"/>
        </w:rPr>
        <w:t>La pharmacocinétique du bevacizumab a bien été caractérisée par le modèle pharmacocinétique de la population pédiatrique chez 70 patients dans l’étude BO20924 (de 1,4 à 17,6 ans</w:t>
      </w:r>
      <w:r w:rsidR="00881CB8">
        <w:rPr>
          <w:lang w:val="fr-FR"/>
        </w:rPr>
        <w:t xml:space="preserve"> ; </w:t>
      </w:r>
      <w:r w:rsidRPr="00DA7718">
        <w:rPr>
          <w:lang w:val="fr-FR"/>
        </w:rPr>
        <w:t>avec un poids compris entre 11,6 et 77,5 kg) et chez 59 patients dans l’étude BO25041 (de 1 à 17 ans</w:t>
      </w:r>
      <w:r w:rsidR="00881CB8">
        <w:rPr>
          <w:lang w:val="fr-FR"/>
        </w:rPr>
        <w:t xml:space="preserve"> ; </w:t>
      </w:r>
      <w:r w:rsidRPr="00DA7718">
        <w:rPr>
          <w:lang w:val="fr-FR"/>
        </w:rPr>
        <w:t>avec un poids compris entre 11,2 et 82,3 kg). Dans l’étude BO20924, l’exposition au bevacizumab était généralement moindre, comparativement à un patient adulte typique à la même dose. Dans l’étude BO25041, l’exposition au bevacizumab était généralement similaire, comparativement à un patient adulte typique à la même dose. Dans les deux études, l’exposition au bevacizumab avait une tendance à la baisse lorsque le poids corporel diminuait.</w:t>
      </w:r>
    </w:p>
    <w:p w14:paraId="2CE4355A" w14:textId="77777777" w:rsidR="004401F0" w:rsidRPr="00DA7718" w:rsidRDefault="004401F0" w:rsidP="00BD4C7C">
      <w:pPr>
        <w:pStyle w:val="a3"/>
        <w:adjustRightInd w:val="0"/>
        <w:snapToGrid w:val="0"/>
        <w:rPr>
          <w:lang w:val="fr-FR"/>
        </w:rPr>
      </w:pPr>
    </w:p>
    <w:p w14:paraId="49DF968F" w14:textId="77777777" w:rsidR="004401F0" w:rsidRPr="00DA7718" w:rsidRDefault="00BD4C7C" w:rsidP="00BD4C7C">
      <w:pPr>
        <w:pStyle w:val="2"/>
        <w:adjustRightInd w:val="0"/>
        <w:snapToGrid w:val="0"/>
        <w:ind w:left="0"/>
        <w:rPr>
          <w:lang w:val="fr-FR"/>
        </w:rPr>
      </w:pPr>
      <w:r w:rsidRPr="00DA7718">
        <w:rPr>
          <w:lang w:val="fr-FR"/>
        </w:rPr>
        <w:t>5.3</w:t>
      </w:r>
      <w:r w:rsidRPr="00DA7718">
        <w:rPr>
          <w:lang w:val="fr-FR"/>
        </w:rPr>
        <w:tab/>
      </w:r>
      <w:r w:rsidR="00DF3C4F" w:rsidRPr="00DA7718">
        <w:rPr>
          <w:lang w:val="fr-FR"/>
        </w:rPr>
        <w:t>Données de sécurité préclinique</w:t>
      </w:r>
    </w:p>
    <w:p w14:paraId="219FD620" w14:textId="77777777" w:rsidR="004401F0" w:rsidRPr="007C119A" w:rsidRDefault="004401F0" w:rsidP="00BD4C7C">
      <w:pPr>
        <w:pStyle w:val="a3"/>
        <w:adjustRightInd w:val="0"/>
        <w:snapToGrid w:val="0"/>
        <w:rPr>
          <w:b/>
          <w:lang w:val="fr-FR"/>
        </w:rPr>
      </w:pPr>
    </w:p>
    <w:p w14:paraId="0BE64BDD" w14:textId="77777777" w:rsidR="004401F0" w:rsidRPr="00DA7718" w:rsidRDefault="00DF3C4F" w:rsidP="00BD4C7C">
      <w:pPr>
        <w:pStyle w:val="a3"/>
        <w:adjustRightInd w:val="0"/>
        <w:snapToGrid w:val="0"/>
        <w:rPr>
          <w:lang w:val="fr-FR"/>
        </w:rPr>
      </w:pPr>
      <w:r w:rsidRPr="00DA7718">
        <w:rPr>
          <w:lang w:val="fr-FR"/>
        </w:rPr>
        <w:t>Lors d’études d’une durée atteignant 26 semaines chez le singe cynomolgus, à des concentrations sériques moyennes en bevacizumab inférieures aux concentrations thérapeutiques moyennes attendues en clinique, une dysplasie physaire a été observée chez les jeunes animaux dont les cartilages de conjugaison n’étaient pas soudés. Chez les lapins, le bevacizumab a inhibé la cicatrisation de plaies à des doses inférieures à celles proposées en clinique. Ces effets sur la cicatrisation des plaies se sont avérés totalement réversibles.</w:t>
      </w:r>
    </w:p>
    <w:p w14:paraId="1CF926A4" w14:textId="77777777" w:rsidR="004401F0" w:rsidRPr="00DA7718" w:rsidRDefault="004401F0" w:rsidP="00BD4C7C">
      <w:pPr>
        <w:pStyle w:val="a3"/>
        <w:adjustRightInd w:val="0"/>
        <w:snapToGrid w:val="0"/>
        <w:rPr>
          <w:lang w:val="fr-FR"/>
        </w:rPr>
      </w:pPr>
    </w:p>
    <w:p w14:paraId="1D4C34C0" w14:textId="77777777" w:rsidR="004401F0" w:rsidRPr="00DA7718" w:rsidRDefault="00DF3C4F" w:rsidP="00BD4C7C">
      <w:pPr>
        <w:pStyle w:val="a3"/>
        <w:adjustRightInd w:val="0"/>
        <w:snapToGrid w:val="0"/>
        <w:rPr>
          <w:lang w:val="fr-FR"/>
        </w:rPr>
      </w:pPr>
      <w:r w:rsidRPr="00DA7718">
        <w:rPr>
          <w:lang w:val="fr-FR"/>
        </w:rPr>
        <w:t>Aucune étude n’a été réalisée afin d'évaluer le potentiel mutagène et carcinogène du bevacizumab.</w:t>
      </w:r>
    </w:p>
    <w:p w14:paraId="0F90750E" w14:textId="77777777" w:rsidR="004401F0" w:rsidRPr="007C119A" w:rsidRDefault="004401F0" w:rsidP="00BD4C7C">
      <w:pPr>
        <w:pStyle w:val="a3"/>
        <w:adjustRightInd w:val="0"/>
        <w:snapToGrid w:val="0"/>
        <w:rPr>
          <w:lang w:val="fr-FR"/>
        </w:rPr>
      </w:pPr>
    </w:p>
    <w:p w14:paraId="33E7629E" w14:textId="77777777" w:rsidR="004401F0" w:rsidRPr="00DA7718" w:rsidRDefault="00DF3C4F" w:rsidP="00654D21">
      <w:pPr>
        <w:pStyle w:val="a3"/>
        <w:keepLines/>
        <w:adjustRightInd w:val="0"/>
        <w:snapToGrid w:val="0"/>
        <w:rPr>
          <w:lang w:val="fr-FR"/>
        </w:rPr>
      </w:pPr>
      <w:r w:rsidRPr="00DA7718">
        <w:rPr>
          <w:lang w:val="fr-FR"/>
        </w:rPr>
        <w:lastRenderedPageBreak/>
        <w:t>Aucune étude spécifique n’a été réalisée chez l’animal afin d’évaluer l’effet sur la fertilité. Un effet indésirable sur la fécondité féminine est cependant prévisible, car des études de la toxicité par administration réitérée chez l’animal ont révélé une inhibition de la maturation des follicules ovariens, une raréfaction ou absence des corps jaunes et une diminution associée du poids des ovaires et de l’utérus ainsi qu’une réduction du nombre de cycles menstruels.</w:t>
      </w:r>
    </w:p>
    <w:p w14:paraId="4EBF1AA5" w14:textId="77777777" w:rsidR="004401F0" w:rsidRPr="007C119A" w:rsidRDefault="004401F0" w:rsidP="00BD4C7C">
      <w:pPr>
        <w:pStyle w:val="a3"/>
        <w:adjustRightInd w:val="0"/>
        <w:snapToGrid w:val="0"/>
        <w:rPr>
          <w:lang w:val="fr-FR"/>
        </w:rPr>
      </w:pPr>
    </w:p>
    <w:p w14:paraId="146DFE37" w14:textId="77777777" w:rsidR="004401F0" w:rsidRPr="00DA7718" w:rsidRDefault="00DF3C4F" w:rsidP="00BD4C7C">
      <w:pPr>
        <w:pStyle w:val="a3"/>
        <w:adjustRightInd w:val="0"/>
        <w:snapToGrid w:val="0"/>
        <w:rPr>
          <w:lang w:val="fr-FR"/>
        </w:rPr>
      </w:pPr>
      <w:r w:rsidRPr="00DA7718">
        <w:rPr>
          <w:lang w:val="fr-FR"/>
        </w:rPr>
        <w:t>Le bevacizumab s’est révélé embryotoxique et tératogène après administration chez le lapin. Les effets observés incluaient des diminutions du poids corporel maternel et fœtal, un nombre accru de résorptions fœtales et une majoration de l’incidence d’altérations fœtales squelettiques et macroscopiques spécifiques. Une issue fœtale défavorable a été observée à toutes les doses examinées, dont la plus basse a résulté en des concentrations sériques moyennes près de 3 fois plus élevées que chez des patients recevant 5</w:t>
      </w:r>
      <w:r w:rsidR="00DA7718" w:rsidRPr="00DA7718">
        <w:rPr>
          <w:lang w:val="fr-FR"/>
        </w:rPr>
        <w:t> mg</w:t>
      </w:r>
      <w:r w:rsidRPr="00DA7718">
        <w:rPr>
          <w:lang w:val="fr-FR"/>
        </w:rPr>
        <w:t>/kg toutes les 2 semaines. Des informations relatives aux malformations fœtales observées après commercialisation figurent en rubrique 4.6 Fertilité, grossesse et allaitement et 4.8 Effets indésirables.</w:t>
      </w:r>
    </w:p>
    <w:p w14:paraId="5ABE4864" w14:textId="77777777" w:rsidR="004401F0" w:rsidRPr="00DB59CD" w:rsidRDefault="004401F0" w:rsidP="00BD4C7C">
      <w:pPr>
        <w:pStyle w:val="a3"/>
        <w:adjustRightInd w:val="0"/>
        <w:snapToGrid w:val="0"/>
        <w:rPr>
          <w:lang w:val="fr-FR"/>
        </w:rPr>
      </w:pPr>
    </w:p>
    <w:p w14:paraId="50EBF7F3" w14:textId="77777777" w:rsidR="004401F0" w:rsidRPr="00DA7718" w:rsidRDefault="004401F0" w:rsidP="00BD4C7C">
      <w:pPr>
        <w:pStyle w:val="a3"/>
        <w:adjustRightInd w:val="0"/>
        <w:snapToGrid w:val="0"/>
        <w:rPr>
          <w:sz w:val="20"/>
          <w:lang w:val="fr-FR"/>
        </w:rPr>
      </w:pPr>
    </w:p>
    <w:p w14:paraId="0793F408" w14:textId="77777777" w:rsidR="004401F0" w:rsidRPr="00DA7718" w:rsidRDefault="00BD4C7C" w:rsidP="00BD4C7C">
      <w:pPr>
        <w:pStyle w:val="1"/>
        <w:adjustRightInd w:val="0"/>
        <w:snapToGrid w:val="0"/>
        <w:spacing w:before="0"/>
        <w:ind w:left="0"/>
        <w:rPr>
          <w:lang w:val="fr-FR"/>
        </w:rPr>
      </w:pPr>
      <w:r w:rsidRPr="00DA7718">
        <w:rPr>
          <w:lang w:val="fr-FR"/>
        </w:rPr>
        <w:t>6.</w:t>
      </w:r>
      <w:r w:rsidRPr="00DA7718">
        <w:rPr>
          <w:lang w:val="fr-FR"/>
        </w:rPr>
        <w:tab/>
      </w:r>
      <w:r w:rsidR="00DF3C4F" w:rsidRPr="00DA7718">
        <w:rPr>
          <w:lang w:val="fr-FR"/>
        </w:rPr>
        <w:t>DONNEES PHARMACEUTIQUES</w:t>
      </w:r>
    </w:p>
    <w:p w14:paraId="520586B6" w14:textId="77777777" w:rsidR="004401F0" w:rsidRPr="00DA7718" w:rsidRDefault="004401F0" w:rsidP="00BD4C7C">
      <w:pPr>
        <w:pStyle w:val="a3"/>
        <w:adjustRightInd w:val="0"/>
        <w:snapToGrid w:val="0"/>
        <w:rPr>
          <w:b/>
          <w:lang w:val="fr-FR"/>
        </w:rPr>
      </w:pPr>
    </w:p>
    <w:p w14:paraId="390DC99C" w14:textId="77777777" w:rsidR="004401F0" w:rsidRPr="00DA7718" w:rsidRDefault="00BD4C7C" w:rsidP="00BD4C7C">
      <w:pPr>
        <w:pStyle w:val="2"/>
        <w:adjustRightInd w:val="0"/>
        <w:snapToGrid w:val="0"/>
        <w:ind w:left="0"/>
        <w:rPr>
          <w:lang w:val="fr-FR"/>
        </w:rPr>
      </w:pPr>
      <w:r w:rsidRPr="00DA7718">
        <w:rPr>
          <w:lang w:val="fr-FR"/>
        </w:rPr>
        <w:t>6.1</w:t>
      </w:r>
      <w:r w:rsidRPr="00DA7718">
        <w:rPr>
          <w:lang w:val="fr-FR"/>
        </w:rPr>
        <w:tab/>
      </w:r>
      <w:r w:rsidR="00DF3C4F" w:rsidRPr="00DA7718">
        <w:rPr>
          <w:lang w:val="fr-FR"/>
        </w:rPr>
        <w:t>Liste des excipients</w:t>
      </w:r>
    </w:p>
    <w:p w14:paraId="60FC492D" w14:textId="77777777" w:rsidR="004401F0" w:rsidRPr="007C119A" w:rsidRDefault="004401F0" w:rsidP="00BD4C7C">
      <w:pPr>
        <w:pStyle w:val="a3"/>
        <w:adjustRightInd w:val="0"/>
        <w:snapToGrid w:val="0"/>
        <w:rPr>
          <w:b/>
          <w:lang w:val="fr-FR"/>
        </w:rPr>
      </w:pPr>
    </w:p>
    <w:p w14:paraId="49902594" w14:textId="77777777" w:rsidR="009154F3" w:rsidRDefault="00DF3C4F" w:rsidP="00BD4C7C">
      <w:pPr>
        <w:pStyle w:val="a3"/>
        <w:adjustRightInd w:val="0"/>
        <w:snapToGrid w:val="0"/>
        <w:rPr>
          <w:lang w:val="fr-FR"/>
        </w:rPr>
      </w:pPr>
      <w:r w:rsidRPr="00DA7718">
        <w:rPr>
          <w:lang w:val="fr-FR"/>
        </w:rPr>
        <w:t xml:space="preserve">Dihydrate de tréhalose </w:t>
      </w:r>
    </w:p>
    <w:p w14:paraId="39FE7DA0" w14:textId="77777777" w:rsidR="009154F3" w:rsidRDefault="00DF3C4F" w:rsidP="00BD4C7C">
      <w:pPr>
        <w:pStyle w:val="a3"/>
        <w:adjustRightInd w:val="0"/>
        <w:snapToGrid w:val="0"/>
        <w:rPr>
          <w:lang w:val="fr-FR"/>
        </w:rPr>
      </w:pPr>
      <w:r w:rsidRPr="00DA7718">
        <w:rPr>
          <w:lang w:val="fr-FR"/>
        </w:rPr>
        <w:t xml:space="preserve">Phosphate de sodium </w:t>
      </w:r>
    </w:p>
    <w:p w14:paraId="73263B50" w14:textId="77777777" w:rsidR="004401F0" w:rsidRPr="00DA7718" w:rsidRDefault="00DF3C4F" w:rsidP="00BD4C7C">
      <w:pPr>
        <w:pStyle w:val="a3"/>
        <w:adjustRightInd w:val="0"/>
        <w:snapToGrid w:val="0"/>
        <w:rPr>
          <w:lang w:val="fr-FR"/>
        </w:rPr>
      </w:pPr>
      <w:r w:rsidRPr="00DA7718">
        <w:rPr>
          <w:lang w:val="fr-FR"/>
        </w:rPr>
        <w:t>Polysorbate 20</w:t>
      </w:r>
    </w:p>
    <w:p w14:paraId="1CBE6440" w14:textId="77777777" w:rsidR="004401F0" w:rsidRPr="00DA7718" w:rsidRDefault="00DF3C4F" w:rsidP="00BD4C7C">
      <w:pPr>
        <w:pStyle w:val="a3"/>
        <w:adjustRightInd w:val="0"/>
        <w:snapToGrid w:val="0"/>
        <w:rPr>
          <w:lang w:val="fr-FR"/>
        </w:rPr>
      </w:pPr>
      <w:r w:rsidRPr="00DA7718">
        <w:rPr>
          <w:lang w:val="fr-FR"/>
        </w:rPr>
        <w:t>Eau pour préparations injectables</w:t>
      </w:r>
    </w:p>
    <w:p w14:paraId="4F18AC36" w14:textId="77777777" w:rsidR="004401F0" w:rsidRPr="00DA7718" w:rsidRDefault="004401F0" w:rsidP="00BD4C7C">
      <w:pPr>
        <w:pStyle w:val="a3"/>
        <w:adjustRightInd w:val="0"/>
        <w:snapToGrid w:val="0"/>
        <w:rPr>
          <w:lang w:val="fr-FR"/>
        </w:rPr>
      </w:pPr>
    </w:p>
    <w:p w14:paraId="00937FF8" w14:textId="77777777" w:rsidR="004401F0" w:rsidRPr="00DA7718" w:rsidRDefault="00BD4C7C" w:rsidP="00BD4C7C">
      <w:pPr>
        <w:pStyle w:val="2"/>
        <w:adjustRightInd w:val="0"/>
        <w:snapToGrid w:val="0"/>
        <w:ind w:left="0"/>
        <w:rPr>
          <w:lang w:val="fr-FR"/>
        </w:rPr>
      </w:pPr>
      <w:r w:rsidRPr="00DA7718">
        <w:rPr>
          <w:lang w:val="fr-FR"/>
        </w:rPr>
        <w:t>6.2</w:t>
      </w:r>
      <w:r w:rsidRPr="00DA7718">
        <w:rPr>
          <w:lang w:val="fr-FR"/>
        </w:rPr>
        <w:tab/>
      </w:r>
      <w:r w:rsidR="00DF3C4F" w:rsidRPr="00DA7718">
        <w:rPr>
          <w:lang w:val="fr-FR"/>
        </w:rPr>
        <w:t>Incompatibilités</w:t>
      </w:r>
    </w:p>
    <w:p w14:paraId="35A0F33C" w14:textId="77777777" w:rsidR="004401F0" w:rsidRPr="007C119A" w:rsidRDefault="004401F0" w:rsidP="00BD4C7C">
      <w:pPr>
        <w:pStyle w:val="a3"/>
        <w:adjustRightInd w:val="0"/>
        <w:snapToGrid w:val="0"/>
        <w:rPr>
          <w:b/>
          <w:lang w:val="fr-FR"/>
        </w:rPr>
      </w:pPr>
    </w:p>
    <w:p w14:paraId="7AA009BB" w14:textId="77777777" w:rsidR="004401F0" w:rsidRPr="00DA7718" w:rsidRDefault="00DF3C4F" w:rsidP="00BD4C7C">
      <w:pPr>
        <w:pStyle w:val="a3"/>
        <w:adjustRightInd w:val="0"/>
        <w:snapToGrid w:val="0"/>
        <w:rPr>
          <w:lang w:val="fr-FR"/>
        </w:rPr>
      </w:pPr>
      <w:r w:rsidRPr="00DA7718">
        <w:rPr>
          <w:lang w:val="fr-FR"/>
        </w:rPr>
        <w:t>Ce médicament ne doit pas être mélangé avec d’autres médicaments à l’exception de ceux mentionnés dans la rubrique 6.6.</w:t>
      </w:r>
    </w:p>
    <w:p w14:paraId="68A2346E" w14:textId="77777777" w:rsidR="004401F0" w:rsidRPr="007C119A" w:rsidRDefault="004401F0" w:rsidP="00BD4C7C">
      <w:pPr>
        <w:pStyle w:val="a3"/>
        <w:adjustRightInd w:val="0"/>
        <w:snapToGrid w:val="0"/>
        <w:rPr>
          <w:lang w:val="fr-FR"/>
        </w:rPr>
      </w:pPr>
    </w:p>
    <w:p w14:paraId="31C25693" w14:textId="77777777" w:rsidR="004401F0" w:rsidRPr="00DA7718" w:rsidRDefault="00DF3C4F" w:rsidP="00BD4C7C">
      <w:pPr>
        <w:pStyle w:val="a3"/>
        <w:adjustRightInd w:val="0"/>
        <w:snapToGrid w:val="0"/>
        <w:rPr>
          <w:lang w:val="fr-FR"/>
        </w:rPr>
      </w:pPr>
      <w:r w:rsidRPr="00DA7718">
        <w:rPr>
          <w:lang w:val="fr-FR"/>
        </w:rPr>
        <w:t>Un profil de dégradation concentration dépendant a été observé pour bevacizumab après dilution dans des solutions de glucose (5 %).</w:t>
      </w:r>
    </w:p>
    <w:p w14:paraId="07800D7D" w14:textId="77777777" w:rsidR="00BD4C7C" w:rsidRPr="00DA7718" w:rsidRDefault="00BD4C7C" w:rsidP="00BD4C7C">
      <w:pPr>
        <w:adjustRightInd w:val="0"/>
        <w:snapToGrid w:val="0"/>
        <w:rPr>
          <w:lang w:val="fr-FR"/>
        </w:rPr>
      </w:pPr>
    </w:p>
    <w:p w14:paraId="56921DD8" w14:textId="77777777" w:rsidR="004401F0" w:rsidRPr="00DA7718" w:rsidRDefault="00BD4C7C" w:rsidP="00BD4C7C">
      <w:pPr>
        <w:pStyle w:val="2"/>
        <w:adjustRightInd w:val="0"/>
        <w:snapToGrid w:val="0"/>
        <w:ind w:left="0"/>
        <w:rPr>
          <w:lang w:val="fr-FR"/>
        </w:rPr>
      </w:pPr>
      <w:r w:rsidRPr="00DA7718">
        <w:rPr>
          <w:lang w:val="fr-FR"/>
        </w:rPr>
        <w:t>6.3</w:t>
      </w:r>
      <w:r w:rsidRPr="00DA7718">
        <w:rPr>
          <w:lang w:val="fr-FR"/>
        </w:rPr>
        <w:tab/>
      </w:r>
      <w:r w:rsidR="00DF3C4F" w:rsidRPr="00DA7718">
        <w:rPr>
          <w:lang w:val="fr-FR"/>
        </w:rPr>
        <w:t>Durée de conservation</w:t>
      </w:r>
    </w:p>
    <w:p w14:paraId="3E8FD277" w14:textId="77777777" w:rsidR="004401F0" w:rsidRPr="007C119A" w:rsidRDefault="004401F0" w:rsidP="00BD4C7C">
      <w:pPr>
        <w:pStyle w:val="a3"/>
        <w:adjustRightInd w:val="0"/>
        <w:snapToGrid w:val="0"/>
        <w:rPr>
          <w:b/>
          <w:lang w:val="fr-FR"/>
        </w:rPr>
      </w:pPr>
    </w:p>
    <w:p w14:paraId="2E8A07C2" w14:textId="77777777" w:rsidR="00217BF6" w:rsidRPr="00DA7718" w:rsidRDefault="00217BF6" w:rsidP="00217BF6">
      <w:pPr>
        <w:pStyle w:val="a3"/>
        <w:adjustRightInd w:val="0"/>
        <w:snapToGrid w:val="0"/>
        <w:rPr>
          <w:lang w:val="fr-FR"/>
        </w:rPr>
      </w:pPr>
      <w:r w:rsidRPr="00DA7718">
        <w:rPr>
          <w:u w:val="single"/>
          <w:lang w:val="fr-FR"/>
        </w:rPr>
        <w:t>Flacon non ouvert</w:t>
      </w:r>
    </w:p>
    <w:p w14:paraId="00585FDE" w14:textId="77777777" w:rsidR="00217BF6" w:rsidRPr="003F4D24" w:rsidRDefault="00217BF6" w:rsidP="00217BF6">
      <w:pPr>
        <w:pStyle w:val="a3"/>
        <w:adjustRightInd w:val="0"/>
        <w:snapToGrid w:val="0"/>
        <w:rPr>
          <w:lang w:val="fr-FR"/>
        </w:rPr>
      </w:pPr>
    </w:p>
    <w:p w14:paraId="59627893" w14:textId="733A0FFA" w:rsidR="00217BF6" w:rsidRDefault="0020108A" w:rsidP="00217BF6">
      <w:pPr>
        <w:pStyle w:val="a3"/>
        <w:adjustRightInd w:val="0"/>
        <w:snapToGrid w:val="0"/>
        <w:rPr>
          <w:lang w:val="fr-FR"/>
        </w:rPr>
      </w:pPr>
      <w:r>
        <w:rPr>
          <w:rFonts w:eastAsia="맑은 고딕" w:hint="eastAsia"/>
          <w:lang w:val="fr-FR" w:eastAsia="ko-KR"/>
        </w:rPr>
        <w:t>4</w:t>
      </w:r>
      <w:r w:rsidR="00236655">
        <w:rPr>
          <w:lang w:val="fr-FR"/>
        </w:rPr>
        <w:t> </w:t>
      </w:r>
      <w:r w:rsidR="00217BF6" w:rsidRPr="00DA7718">
        <w:rPr>
          <w:lang w:val="fr-FR"/>
        </w:rPr>
        <w:t>ans</w:t>
      </w:r>
      <w:r w:rsidR="00217BF6">
        <w:rPr>
          <w:lang w:val="fr-FR"/>
        </w:rPr>
        <w:t xml:space="preserve"> (100 mg / 4 ml)</w:t>
      </w:r>
      <w:r w:rsidR="00217BF6" w:rsidRPr="00DA7718">
        <w:rPr>
          <w:lang w:val="fr-FR"/>
        </w:rPr>
        <w:t>.</w:t>
      </w:r>
    </w:p>
    <w:p w14:paraId="31B890B2" w14:textId="5FCDD2D0" w:rsidR="00217BF6" w:rsidRDefault="00217BF6" w:rsidP="00217BF6">
      <w:pPr>
        <w:pStyle w:val="a3"/>
        <w:adjustRightInd w:val="0"/>
        <w:snapToGrid w:val="0"/>
        <w:rPr>
          <w:lang w:val="fr-FR"/>
        </w:rPr>
      </w:pPr>
      <w:r>
        <w:rPr>
          <w:lang w:val="fr-FR"/>
        </w:rPr>
        <w:t>4 ans (400 mg / 16 ml).</w:t>
      </w:r>
    </w:p>
    <w:p w14:paraId="761D6CEC" w14:textId="20FC78E9" w:rsidR="006A4461" w:rsidRDefault="006A4461" w:rsidP="00217BF6">
      <w:pPr>
        <w:pStyle w:val="a3"/>
        <w:adjustRightInd w:val="0"/>
        <w:snapToGrid w:val="0"/>
        <w:rPr>
          <w:lang w:val="fr-FR"/>
        </w:rPr>
      </w:pPr>
    </w:p>
    <w:p w14:paraId="10B7463C" w14:textId="77777777" w:rsidR="006A4461" w:rsidRDefault="006A4461" w:rsidP="00217BF6">
      <w:pPr>
        <w:pStyle w:val="a3"/>
        <w:adjustRightInd w:val="0"/>
        <w:snapToGrid w:val="0"/>
        <w:rPr>
          <w:lang w:val="fr-FR"/>
        </w:rPr>
      </w:pPr>
    </w:p>
    <w:p w14:paraId="00B7844A" w14:textId="7FF1DA82" w:rsidR="004401F0" w:rsidRDefault="00DF3C4F" w:rsidP="00BD4C7C">
      <w:pPr>
        <w:pStyle w:val="a3"/>
        <w:adjustRightInd w:val="0"/>
        <w:snapToGrid w:val="0"/>
        <w:rPr>
          <w:u w:val="single"/>
          <w:lang w:val="fr-FR"/>
        </w:rPr>
      </w:pPr>
      <w:r w:rsidRPr="00DA7718">
        <w:rPr>
          <w:u w:val="single"/>
          <w:lang w:val="fr-FR"/>
        </w:rPr>
        <w:t>Médicament dilué</w:t>
      </w:r>
    </w:p>
    <w:p w14:paraId="34279EFC" w14:textId="77777777" w:rsidR="00BC3347" w:rsidRPr="00DA7718" w:rsidRDefault="00BC3347" w:rsidP="00BD4C7C">
      <w:pPr>
        <w:pStyle w:val="a3"/>
        <w:adjustRightInd w:val="0"/>
        <w:snapToGrid w:val="0"/>
        <w:rPr>
          <w:lang w:val="fr-FR"/>
        </w:rPr>
      </w:pPr>
    </w:p>
    <w:p w14:paraId="1B5AB5BF" w14:textId="53DF5B06" w:rsidR="004401F0" w:rsidRPr="00DA7718" w:rsidRDefault="00DF3C4F" w:rsidP="00BD4C7C">
      <w:pPr>
        <w:pStyle w:val="a3"/>
        <w:adjustRightInd w:val="0"/>
        <w:snapToGrid w:val="0"/>
        <w:rPr>
          <w:lang w:val="fr-FR"/>
        </w:rPr>
      </w:pPr>
      <w:r w:rsidRPr="00DA7718">
        <w:rPr>
          <w:lang w:val="fr-FR"/>
        </w:rPr>
        <w:t xml:space="preserve">La stabilité chimique et physique en cours d’utilisation a été démontrée pendant </w:t>
      </w:r>
      <w:r w:rsidR="00217BF6">
        <w:rPr>
          <w:lang w:val="fr-FR"/>
        </w:rPr>
        <w:t>un</w:t>
      </w:r>
      <w:r w:rsidR="0058037C">
        <w:rPr>
          <w:lang w:val="fr-FR"/>
        </w:rPr>
        <w:t>e</w:t>
      </w:r>
      <w:r w:rsidR="00217BF6">
        <w:rPr>
          <w:lang w:val="fr-FR"/>
        </w:rPr>
        <w:t xml:space="preserve"> période de </w:t>
      </w:r>
      <w:r w:rsidR="0058037C">
        <w:rPr>
          <w:lang w:val="fr-FR"/>
        </w:rPr>
        <w:t>6</w:t>
      </w:r>
      <w:r w:rsidRPr="00DA7718">
        <w:rPr>
          <w:lang w:val="fr-FR"/>
        </w:rPr>
        <w:t>0</w:t>
      </w:r>
      <w:r w:rsidR="007F735F">
        <w:rPr>
          <w:lang w:val="fr-FR"/>
        </w:rPr>
        <w:t> </w:t>
      </w:r>
      <w:r w:rsidRPr="00DA7718">
        <w:rPr>
          <w:lang w:val="fr-FR"/>
        </w:rPr>
        <w:t xml:space="preserve">jours </w:t>
      </w:r>
      <w:r w:rsidR="00217BF6">
        <w:rPr>
          <w:lang w:val="fr-FR"/>
        </w:rPr>
        <w:t xml:space="preserve">maximum </w:t>
      </w:r>
      <w:r w:rsidRPr="00DA7718">
        <w:rPr>
          <w:lang w:val="fr-FR"/>
        </w:rPr>
        <w:t xml:space="preserve">entre 2°C et 8°C </w:t>
      </w:r>
      <w:r w:rsidR="00217BF6">
        <w:rPr>
          <w:lang w:val="fr-FR"/>
        </w:rPr>
        <w:t xml:space="preserve">après dilution et une période de 7 jours maximum à des températures ne dépassant pas </w:t>
      </w:r>
      <w:r w:rsidRPr="00DA7718">
        <w:rPr>
          <w:lang w:val="fr-FR"/>
        </w:rPr>
        <w:t>30°C dans une solution injectable de chlorure de sodium à 9</w:t>
      </w:r>
      <w:r w:rsidR="00DA7718" w:rsidRPr="00DA7718">
        <w:rPr>
          <w:lang w:val="fr-FR"/>
        </w:rPr>
        <w:t> mg</w:t>
      </w:r>
      <w:r w:rsidRPr="00DA7718">
        <w:rPr>
          <w:lang w:val="fr-FR"/>
        </w:rPr>
        <w:t>/ml (0,</w:t>
      </w:r>
      <w:r w:rsidR="007F735F" w:rsidRPr="00DA7718">
        <w:rPr>
          <w:lang w:val="fr-FR"/>
        </w:rPr>
        <w:t>9</w:t>
      </w:r>
      <w:r w:rsidR="007F735F">
        <w:rPr>
          <w:lang w:val="fr-FR"/>
        </w:rPr>
        <w:t> </w:t>
      </w:r>
      <w:r w:rsidRPr="00DA7718">
        <w:rPr>
          <w:lang w:val="fr-FR"/>
        </w:rPr>
        <w:t>%). D’un point de vue microbiologique, une utilisation immédiate est recommandée. Si le produit n’est pas utilisé immédiatement après reconstitution, les délais et conditions de conservation relèvent de la responsabilité de l’utilisateur et ne devraient normalement pas excéder 24 heures entre 2°C et 8°C, sauf si la dilution a été effectuée dans des conditions d’asepsie contrôlées.</w:t>
      </w:r>
    </w:p>
    <w:p w14:paraId="01FB0FF9" w14:textId="77777777" w:rsidR="004401F0" w:rsidRPr="00DA7718" w:rsidRDefault="004401F0" w:rsidP="00BD4C7C">
      <w:pPr>
        <w:pStyle w:val="a3"/>
        <w:adjustRightInd w:val="0"/>
        <w:snapToGrid w:val="0"/>
        <w:rPr>
          <w:lang w:val="fr-FR"/>
        </w:rPr>
      </w:pPr>
    </w:p>
    <w:p w14:paraId="17A06930" w14:textId="77777777" w:rsidR="004401F0" w:rsidRPr="00DA7718" w:rsidRDefault="00BD4C7C" w:rsidP="00654D21">
      <w:pPr>
        <w:pStyle w:val="2"/>
        <w:keepNext/>
        <w:keepLines/>
        <w:adjustRightInd w:val="0"/>
        <w:snapToGrid w:val="0"/>
        <w:ind w:left="0"/>
        <w:rPr>
          <w:lang w:val="fr-FR"/>
        </w:rPr>
      </w:pPr>
      <w:r w:rsidRPr="00DA7718">
        <w:rPr>
          <w:lang w:val="fr-FR"/>
        </w:rPr>
        <w:lastRenderedPageBreak/>
        <w:t>6.4</w:t>
      </w:r>
      <w:r w:rsidRPr="00DA7718">
        <w:rPr>
          <w:lang w:val="fr-FR"/>
        </w:rPr>
        <w:tab/>
      </w:r>
      <w:r w:rsidR="00DF3C4F" w:rsidRPr="00DA7718">
        <w:rPr>
          <w:lang w:val="fr-FR"/>
        </w:rPr>
        <w:t>Précautions particulières de conservation</w:t>
      </w:r>
    </w:p>
    <w:p w14:paraId="7FF0083A" w14:textId="77777777" w:rsidR="004401F0" w:rsidRPr="007C119A" w:rsidRDefault="004401F0" w:rsidP="00654D21">
      <w:pPr>
        <w:pStyle w:val="a3"/>
        <w:keepNext/>
        <w:keepLines/>
        <w:adjustRightInd w:val="0"/>
        <w:snapToGrid w:val="0"/>
        <w:rPr>
          <w:b/>
          <w:lang w:val="fr-FR"/>
        </w:rPr>
      </w:pPr>
    </w:p>
    <w:p w14:paraId="36789198" w14:textId="77777777" w:rsidR="004401F0" w:rsidRPr="00DA7718" w:rsidRDefault="00DF3C4F" w:rsidP="00654D21">
      <w:pPr>
        <w:pStyle w:val="a3"/>
        <w:keepNext/>
        <w:keepLines/>
        <w:adjustRightInd w:val="0"/>
        <w:snapToGrid w:val="0"/>
        <w:rPr>
          <w:lang w:val="fr-FR"/>
        </w:rPr>
      </w:pPr>
      <w:r w:rsidRPr="00DA7718">
        <w:rPr>
          <w:lang w:val="fr-FR"/>
        </w:rPr>
        <w:t>A conserver au réfrigérateur (entre 2</w:t>
      </w:r>
      <w:r w:rsidRPr="00DA7718">
        <w:rPr>
          <w:rFonts w:ascii="Symbol" w:hAnsi="Symbol"/>
          <w:lang w:val="fr-FR"/>
        </w:rPr>
        <w:t></w:t>
      </w:r>
      <w:r w:rsidRPr="00DA7718">
        <w:rPr>
          <w:lang w:val="fr-FR"/>
        </w:rPr>
        <w:t>C et 8</w:t>
      </w:r>
      <w:r w:rsidRPr="00DA7718">
        <w:rPr>
          <w:rFonts w:ascii="Symbol" w:hAnsi="Symbol"/>
          <w:lang w:val="fr-FR"/>
        </w:rPr>
        <w:t></w:t>
      </w:r>
      <w:r w:rsidRPr="00DA7718">
        <w:rPr>
          <w:lang w:val="fr-FR"/>
        </w:rPr>
        <w:t>C). Ne pas congeler.</w:t>
      </w:r>
    </w:p>
    <w:p w14:paraId="4A764178" w14:textId="77777777" w:rsidR="004401F0" w:rsidRPr="00DA7718" w:rsidRDefault="00DF3C4F" w:rsidP="00654D21">
      <w:pPr>
        <w:pStyle w:val="a3"/>
        <w:keepNext/>
        <w:keepLines/>
        <w:adjustRightInd w:val="0"/>
        <w:snapToGrid w:val="0"/>
        <w:rPr>
          <w:lang w:val="fr-FR"/>
        </w:rPr>
      </w:pPr>
      <w:r w:rsidRPr="00DA7718">
        <w:rPr>
          <w:lang w:val="fr-FR"/>
        </w:rPr>
        <w:t>Conserver le flacon dans l’emballage extérieur à l’abri de la lumière.</w:t>
      </w:r>
    </w:p>
    <w:p w14:paraId="35BA7CD9" w14:textId="77777777" w:rsidR="004401F0" w:rsidRPr="00DA7718" w:rsidRDefault="004401F0" w:rsidP="00654D21">
      <w:pPr>
        <w:pStyle w:val="a3"/>
        <w:keepNext/>
        <w:keepLines/>
        <w:adjustRightInd w:val="0"/>
        <w:snapToGrid w:val="0"/>
        <w:rPr>
          <w:lang w:val="fr-FR"/>
        </w:rPr>
      </w:pPr>
    </w:p>
    <w:p w14:paraId="4E546C05" w14:textId="0C779820" w:rsidR="004401F0" w:rsidRPr="00DA7718" w:rsidRDefault="00DF3C4F" w:rsidP="00654D21">
      <w:pPr>
        <w:pStyle w:val="a3"/>
        <w:keepNext/>
        <w:keepLines/>
        <w:adjustRightInd w:val="0"/>
        <w:snapToGrid w:val="0"/>
        <w:rPr>
          <w:lang w:val="fr-FR"/>
        </w:rPr>
      </w:pPr>
      <w:r w:rsidRPr="00DA7718">
        <w:rPr>
          <w:lang w:val="fr-FR"/>
        </w:rPr>
        <w:t xml:space="preserve">Pour les conditions de conservation du médicament après dilution, voir </w:t>
      </w:r>
      <w:r w:rsidR="00B97D5B">
        <w:rPr>
          <w:lang w:val="fr-FR"/>
        </w:rPr>
        <w:t xml:space="preserve">la </w:t>
      </w:r>
      <w:r w:rsidRPr="00DA7718">
        <w:rPr>
          <w:lang w:val="fr-FR"/>
        </w:rPr>
        <w:t>rubrique 6.3.</w:t>
      </w:r>
    </w:p>
    <w:p w14:paraId="17C0D7D5" w14:textId="77777777" w:rsidR="004401F0" w:rsidRPr="00DA7718" w:rsidRDefault="004401F0" w:rsidP="00BD4C7C">
      <w:pPr>
        <w:pStyle w:val="a3"/>
        <w:adjustRightInd w:val="0"/>
        <w:snapToGrid w:val="0"/>
        <w:rPr>
          <w:lang w:val="fr-FR"/>
        </w:rPr>
      </w:pPr>
    </w:p>
    <w:p w14:paraId="5C24BBF4" w14:textId="77777777" w:rsidR="004401F0" w:rsidRPr="00DA7718" w:rsidRDefault="00BD4C7C" w:rsidP="00BD4C7C">
      <w:pPr>
        <w:pStyle w:val="2"/>
        <w:adjustRightInd w:val="0"/>
        <w:snapToGrid w:val="0"/>
        <w:ind w:left="0"/>
        <w:rPr>
          <w:lang w:val="fr-FR"/>
        </w:rPr>
      </w:pPr>
      <w:r w:rsidRPr="00DA7718">
        <w:rPr>
          <w:lang w:val="fr-FR"/>
        </w:rPr>
        <w:t>6.5</w:t>
      </w:r>
      <w:r w:rsidRPr="00DA7718">
        <w:rPr>
          <w:lang w:val="fr-FR"/>
        </w:rPr>
        <w:tab/>
      </w:r>
      <w:r w:rsidR="00DF3C4F" w:rsidRPr="00DA7718">
        <w:rPr>
          <w:lang w:val="fr-FR"/>
        </w:rPr>
        <w:t>Nature et contenu de l’emballage extérieur</w:t>
      </w:r>
    </w:p>
    <w:p w14:paraId="084B549D" w14:textId="77777777" w:rsidR="004401F0" w:rsidRPr="00DA7718" w:rsidRDefault="004401F0" w:rsidP="00BD4C7C">
      <w:pPr>
        <w:pStyle w:val="a3"/>
        <w:adjustRightInd w:val="0"/>
        <w:snapToGrid w:val="0"/>
        <w:rPr>
          <w:b/>
          <w:lang w:val="fr-FR"/>
        </w:rPr>
      </w:pPr>
    </w:p>
    <w:p w14:paraId="23F1BA8F" w14:textId="3AB3E3B3" w:rsidR="004401F0" w:rsidRPr="00DA7718" w:rsidRDefault="00DF3C4F" w:rsidP="00BC3347">
      <w:pPr>
        <w:pStyle w:val="a3"/>
        <w:adjustRightInd w:val="0"/>
        <w:snapToGrid w:val="0"/>
        <w:rPr>
          <w:lang w:val="fr-FR"/>
        </w:rPr>
      </w:pPr>
      <w:r w:rsidRPr="00DA7718">
        <w:rPr>
          <w:lang w:val="fr-FR"/>
        </w:rPr>
        <w:t>4</w:t>
      </w:r>
      <w:r w:rsidR="00DA7718" w:rsidRPr="00DA7718">
        <w:rPr>
          <w:lang w:val="fr-FR"/>
        </w:rPr>
        <w:t> ml</w:t>
      </w:r>
      <w:r w:rsidRPr="00DA7718">
        <w:rPr>
          <w:lang w:val="fr-FR"/>
        </w:rPr>
        <w:t xml:space="preserve"> de solution en flacon (verre de type I) muni d’un bouchon (caoutchouc </w:t>
      </w:r>
      <w:r w:rsidR="00217BF6">
        <w:rPr>
          <w:lang w:val="fr-FR"/>
        </w:rPr>
        <w:t>chloro</w:t>
      </w:r>
      <w:r w:rsidRPr="00DA7718">
        <w:rPr>
          <w:lang w:val="fr-FR"/>
        </w:rPr>
        <w:t>butylé), contenant 100</w:t>
      </w:r>
      <w:r w:rsidR="00DA7718" w:rsidRPr="00DA7718">
        <w:rPr>
          <w:lang w:val="fr-FR"/>
        </w:rPr>
        <w:t> mg</w:t>
      </w:r>
      <w:r w:rsidRPr="00DA7718">
        <w:rPr>
          <w:lang w:val="fr-FR"/>
        </w:rPr>
        <w:t xml:space="preserve"> de bevacizumab.</w:t>
      </w:r>
    </w:p>
    <w:p w14:paraId="289B5A61" w14:textId="77777777" w:rsidR="00F16A3E" w:rsidRDefault="00F16A3E" w:rsidP="00F16A3E">
      <w:pPr>
        <w:pStyle w:val="a3"/>
        <w:adjustRightInd w:val="0"/>
        <w:snapToGrid w:val="0"/>
        <w:rPr>
          <w:lang w:val="fr-FR"/>
        </w:rPr>
      </w:pPr>
      <w:r>
        <w:rPr>
          <w:lang w:val="fr-FR"/>
        </w:rPr>
        <w:t>Présentations</w:t>
      </w:r>
      <w:r w:rsidRPr="00DA7718">
        <w:rPr>
          <w:lang w:val="fr-FR"/>
        </w:rPr>
        <w:t xml:space="preserve"> de 1 </w:t>
      </w:r>
      <w:r>
        <w:rPr>
          <w:lang w:val="fr-FR"/>
        </w:rPr>
        <w:t>et 10 </w:t>
      </w:r>
      <w:r w:rsidRPr="00DA7718">
        <w:rPr>
          <w:lang w:val="fr-FR"/>
        </w:rPr>
        <w:t>flacon</w:t>
      </w:r>
      <w:r>
        <w:rPr>
          <w:lang w:val="fr-FR"/>
        </w:rPr>
        <w:t>s</w:t>
      </w:r>
      <w:r w:rsidRPr="00DA7718">
        <w:rPr>
          <w:lang w:val="fr-FR"/>
        </w:rPr>
        <w:t>.</w:t>
      </w:r>
    </w:p>
    <w:p w14:paraId="573FE984" w14:textId="77777777" w:rsidR="00F16A3E" w:rsidRDefault="00F16A3E" w:rsidP="00BD4C7C">
      <w:pPr>
        <w:pStyle w:val="a3"/>
        <w:adjustRightInd w:val="0"/>
        <w:snapToGrid w:val="0"/>
        <w:rPr>
          <w:rFonts w:eastAsia="맑은 고딕"/>
          <w:lang w:val="fr-FR" w:eastAsia="ko-KR"/>
        </w:rPr>
      </w:pPr>
    </w:p>
    <w:p w14:paraId="0B8EB5D4" w14:textId="6D75B223" w:rsidR="004401F0" w:rsidRPr="00DA7718" w:rsidRDefault="00DF3C4F" w:rsidP="00BD4C7C">
      <w:pPr>
        <w:pStyle w:val="a3"/>
        <w:adjustRightInd w:val="0"/>
        <w:snapToGrid w:val="0"/>
        <w:rPr>
          <w:lang w:val="fr-FR"/>
        </w:rPr>
      </w:pPr>
      <w:r w:rsidRPr="00DA7718">
        <w:rPr>
          <w:lang w:val="fr-FR"/>
        </w:rPr>
        <w:t>16</w:t>
      </w:r>
      <w:r w:rsidR="00DA7718" w:rsidRPr="00DA7718">
        <w:rPr>
          <w:lang w:val="fr-FR"/>
        </w:rPr>
        <w:t> ml</w:t>
      </w:r>
      <w:r w:rsidRPr="00DA7718">
        <w:rPr>
          <w:lang w:val="fr-FR"/>
        </w:rPr>
        <w:t xml:space="preserve"> de solution en flacon (verre de type I) muni d’un bouchon (caoutchouc </w:t>
      </w:r>
      <w:r w:rsidR="00217BF6">
        <w:rPr>
          <w:lang w:val="fr-FR"/>
        </w:rPr>
        <w:t>chloro</w:t>
      </w:r>
      <w:r w:rsidRPr="00DA7718">
        <w:rPr>
          <w:lang w:val="fr-FR"/>
        </w:rPr>
        <w:t>butylé), contenant 400</w:t>
      </w:r>
      <w:r w:rsidR="00DA7718" w:rsidRPr="00DA7718">
        <w:rPr>
          <w:lang w:val="fr-FR"/>
        </w:rPr>
        <w:t> mg</w:t>
      </w:r>
      <w:r w:rsidRPr="00DA7718">
        <w:rPr>
          <w:lang w:val="fr-FR"/>
        </w:rPr>
        <w:t xml:space="preserve"> de bevacizumab.</w:t>
      </w:r>
    </w:p>
    <w:p w14:paraId="0B7722F6" w14:textId="23068726" w:rsidR="004401F0" w:rsidRDefault="00217BF6" w:rsidP="00BD4C7C">
      <w:pPr>
        <w:pStyle w:val="a3"/>
        <w:adjustRightInd w:val="0"/>
        <w:snapToGrid w:val="0"/>
        <w:rPr>
          <w:lang w:val="fr-FR"/>
        </w:rPr>
      </w:pPr>
      <w:r>
        <w:rPr>
          <w:lang w:val="fr-FR"/>
        </w:rPr>
        <w:t>Présentations</w:t>
      </w:r>
      <w:r w:rsidRPr="00DA7718">
        <w:rPr>
          <w:lang w:val="fr-FR"/>
        </w:rPr>
        <w:t xml:space="preserve"> </w:t>
      </w:r>
      <w:r w:rsidR="00DF3C4F" w:rsidRPr="00DA7718">
        <w:rPr>
          <w:lang w:val="fr-FR"/>
        </w:rPr>
        <w:t>de 1</w:t>
      </w:r>
      <w:r w:rsidR="00F16A3E">
        <w:rPr>
          <w:rFonts w:eastAsia="맑은 고딕" w:hint="eastAsia"/>
          <w:lang w:val="fr-FR" w:eastAsia="ko-KR"/>
        </w:rPr>
        <w:t>, 2</w:t>
      </w:r>
      <w:r w:rsidR="00F16A3E">
        <w:rPr>
          <w:lang w:val="fr-FR"/>
        </w:rPr>
        <w:t> </w:t>
      </w:r>
      <w:r w:rsidR="00F16A3E" w:rsidRPr="00DA7718">
        <w:rPr>
          <w:lang w:val="fr-FR"/>
        </w:rPr>
        <w:t>flacon</w:t>
      </w:r>
      <w:r w:rsidR="00F16A3E">
        <w:rPr>
          <w:lang w:val="fr-FR"/>
        </w:rPr>
        <w:t>s</w:t>
      </w:r>
      <w:r w:rsidR="00DF3C4F" w:rsidRPr="00DA7718">
        <w:rPr>
          <w:lang w:val="fr-FR"/>
        </w:rPr>
        <w:t xml:space="preserve"> </w:t>
      </w:r>
      <w:r>
        <w:rPr>
          <w:lang w:val="fr-FR"/>
        </w:rPr>
        <w:t>et 10 </w:t>
      </w:r>
      <w:r w:rsidR="00DF3C4F" w:rsidRPr="00DA7718">
        <w:rPr>
          <w:lang w:val="fr-FR"/>
        </w:rPr>
        <w:t>flacon</w:t>
      </w:r>
      <w:r>
        <w:rPr>
          <w:lang w:val="fr-FR"/>
        </w:rPr>
        <w:t>s</w:t>
      </w:r>
      <w:r w:rsidR="00DF3C4F" w:rsidRPr="00DA7718">
        <w:rPr>
          <w:lang w:val="fr-FR"/>
        </w:rPr>
        <w:t>.</w:t>
      </w:r>
    </w:p>
    <w:p w14:paraId="5A5858EA" w14:textId="77777777" w:rsidR="00F16A3E" w:rsidRDefault="00F16A3E" w:rsidP="00BD4C7C">
      <w:pPr>
        <w:pStyle w:val="a3"/>
        <w:adjustRightInd w:val="0"/>
        <w:snapToGrid w:val="0"/>
        <w:rPr>
          <w:rFonts w:eastAsia="맑은 고딕"/>
          <w:lang w:val="fr-FR" w:eastAsia="ko-KR"/>
        </w:rPr>
      </w:pPr>
    </w:p>
    <w:p w14:paraId="7484EB4A" w14:textId="25376CDE" w:rsidR="00217BF6" w:rsidRPr="00DA7718" w:rsidRDefault="00217BF6" w:rsidP="00BD4C7C">
      <w:pPr>
        <w:pStyle w:val="a3"/>
        <w:adjustRightInd w:val="0"/>
        <w:snapToGrid w:val="0"/>
        <w:rPr>
          <w:lang w:val="fr-FR"/>
        </w:rPr>
      </w:pPr>
      <w:r>
        <w:rPr>
          <w:lang w:val="fr-FR"/>
        </w:rPr>
        <w:t>Toutes les présentations peuvent ne pas être commercialisées.</w:t>
      </w:r>
    </w:p>
    <w:p w14:paraId="2A43715E" w14:textId="77777777" w:rsidR="004401F0" w:rsidRPr="00DA7718" w:rsidRDefault="004401F0" w:rsidP="00BD4C7C">
      <w:pPr>
        <w:pStyle w:val="a3"/>
        <w:adjustRightInd w:val="0"/>
        <w:snapToGrid w:val="0"/>
        <w:rPr>
          <w:lang w:val="fr-FR"/>
        </w:rPr>
      </w:pPr>
    </w:p>
    <w:p w14:paraId="7860E3CF" w14:textId="77777777" w:rsidR="004401F0" w:rsidRPr="00DA7718" w:rsidRDefault="00BD4C7C" w:rsidP="00DA0222">
      <w:pPr>
        <w:pStyle w:val="2"/>
        <w:keepNext/>
        <w:keepLines/>
        <w:adjustRightInd w:val="0"/>
        <w:snapToGrid w:val="0"/>
        <w:ind w:left="0"/>
        <w:rPr>
          <w:lang w:val="fr-FR"/>
        </w:rPr>
      </w:pPr>
      <w:r w:rsidRPr="00DA7718">
        <w:rPr>
          <w:lang w:val="fr-FR"/>
        </w:rPr>
        <w:t>6.6</w:t>
      </w:r>
      <w:r w:rsidRPr="00DA7718">
        <w:rPr>
          <w:lang w:val="fr-FR"/>
        </w:rPr>
        <w:tab/>
      </w:r>
      <w:r w:rsidR="00DF3C4F" w:rsidRPr="00DA7718">
        <w:rPr>
          <w:lang w:val="fr-FR"/>
        </w:rPr>
        <w:t>Précautions particulières d’élimination et manipulation</w:t>
      </w:r>
    </w:p>
    <w:p w14:paraId="38107309" w14:textId="77777777" w:rsidR="004401F0" w:rsidRPr="007C119A" w:rsidRDefault="004401F0" w:rsidP="00DA0222">
      <w:pPr>
        <w:pStyle w:val="a3"/>
        <w:keepNext/>
        <w:keepLines/>
        <w:adjustRightInd w:val="0"/>
        <w:snapToGrid w:val="0"/>
        <w:rPr>
          <w:b/>
          <w:lang w:val="fr-FR"/>
        </w:rPr>
      </w:pPr>
    </w:p>
    <w:p w14:paraId="6CDECC0C" w14:textId="27550E22" w:rsidR="004401F0" w:rsidRPr="00DA7718" w:rsidRDefault="00F05208" w:rsidP="00BD4C7C">
      <w:pPr>
        <w:pStyle w:val="a3"/>
        <w:adjustRightInd w:val="0"/>
        <w:snapToGrid w:val="0"/>
        <w:rPr>
          <w:lang w:val="fr-FR"/>
        </w:rPr>
      </w:pPr>
      <w:r>
        <w:rPr>
          <w:lang w:val="fr-FR"/>
        </w:rPr>
        <w:t>Vegzelma</w:t>
      </w:r>
      <w:r w:rsidR="00217BF6" w:rsidRPr="00DA7718">
        <w:rPr>
          <w:lang w:val="fr-FR"/>
        </w:rPr>
        <w:t xml:space="preserve"> </w:t>
      </w:r>
      <w:r w:rsidR="00DF3C4F" w:rsidRPr="00DA7718">
        <w:rPr>
          <w:lang w:val="fr-FR"/>
        </w:rPr>
        <w:t xml:space="preserve">doit être préparé par un professionnel de santé en respectant les règles d’asepsie afin d’assurer la stérilité de la solution préparée. Une aiguille et une seringue stériles doivent être utilisées pour préparer </w:t>
      </w:r>
      <w:r>
        <w:rPr>
          <w:lang w:val="fr-FR"/>
        </w:rPr>
        <w:t>Vegzelma</w:t>
      </w:r>
      <w:r w:rsidR="00DF3C4F" w:rsidRPr="00DA7718">
        <w:rPr>
          <w:lang w:val="fr-FR"/>
        </w:rPr>
        <w:t>.</w:t>
      </w:r>
    </w:p>
    <w:p w14:paraId="3A46C712" w14:textId="77777777" w:rsidR="004401F0" w:rsidRPr="00DA7718" w:rsidRDefault="004401F0" w:rsidP="00BD4C7C">
      <w:pPr>
        <w:pStyle w:val="a3"/>
        <w:adjustRightInd w:val="0"/>
        <w:snapToGrid w:val="0"/>
        <w:rPr>
          <w:lang w:val="fr-FR"/>
        </w:rPr>
      </w:pPr>
    </w:p>
    <w:p w14:paraId="484FDEDF" w14:textId="050BE8BA" w:rsidR="004401F0" w:rsidRPr="00DA7718" w:rsidRDefault="00DF3C4F" w:rsidP="00BD4C7C">
      <w:pPr>
        <w:pStyle w:val="a3"/>
        <w:adjustRightInd w:val="0"/>
        <w:snapToGrid w:val="0"/>
        <w:rPr>
          <w:lang w:val="fr-FR"/>
        </w:rPr>
      </w:pPr>
      <w:r w:rsidRPr="00DA7718">
        <w:rPr>
          <w:lang w:val="fr-FR"/>
        </w:rPr>
        <w:t>Le volume de bevacizumab nécessaire doit être prélevé et dilué dans le volume d’administration requis avec une solution injectable de chlorure de sodium à 9</w:t>
      </w:r>
      <w:r w:rsidR="00DA7718" w:rsidRPr="00DA7718">
        <w:rPr>
          <w:lang w:val="fr-FR"/>
        </w:rPr>
        <w:t> mg</w:t>
      </w:r>
      <w:r w:rsidRPr="00DA7718">
        <w:rPr>
          <w:lang w:val="fr-FR"/>
        </w:rPr>
        <w:t>/ml (0,9 %). La concentration de la solution finale de bevacizumab doit être maintenue entre 1,4</w:t>
      </w:r>
      <w:r w:rsidR="00DA7718" w:rsidRPr="00DA7718">
        <w:rPr>
          <w:lang w:val="fr-FR"/>
        </w:rPr>
        <w:t> mg</w:t>
      </w:r>
      <w:r w:rsidRPr="00DA7718">
        <w:rPr>
          <w:lang w:val="fr-FR"/>
        </w:rPr>
        <w:t>/ml et 16,5</w:t>
      </w:r>
      <w:r w:rsidR="00DA7718" w:rsidRPr="00DA7718">
        <w:rPr>
          <w:lang w:val="fr-FR"/>
        </w:rPr>
        <w:t> mg</w:t>
      </w:r>
      <w:r w:rsidRPr="00DA7718">
        <w:rPr>
          <w:lang w:val="fr-FR"/>
        </w:rPr>
        <w:t xml:space="preserve">/ml. Dans la majorité des cas, le volume </w:t>
      </w:r>
      <w:r w:rsidR="00217BF6">
        <w:rPr>
          <w:lang w:val="fr-FR"/>
        </w:rPr>
        <w:t xml:space="preserve">de </w:t>
      </w:r>
      <w:r w:rsidR="00F05208">
        <w:rPr>
          <w:lang w:val="fr-FR"/>
        </w:rPr>
        <w:t>Vegzelma</w:t>
      </w:r>
      <w:r w:rsidR="00217BF6" w:rsidRPr="00DA7718">
        <w:rPr>
          <w:lang w:val="fr-FR"/>
        </w:rPr>
        <w:t xml:space="preserve"> </w:t>
      </w:r>
      <w:r w:rsidRPr="00DA7718">
        <w:rPr>
          <w:lang w:val="fr-FR"/>
        </w:rPr>
        <w:t>nécessaire peut être dilué avec une solution injectable de chlorure de sodium à 0,9% dans un volume total de 100</w:t>
      </w:r>
      <w:r w:rsidR="00DA7718" w:rsidRPr="00DA7718">
        <w:rPr>
          <w:lang w:val="fr-FR"/>
        </w:rPr>
        <w:t> ml</w:t>
      </w:r>
      <w:r w:rsidRPr="00DA7718">
        <w:rPr>
          <w:lang w:val="fr-FR"/>
        </w:rPr>
        <w:t>.</w:t>
      </w:r>
    </w:p>
    <w:p w14:paraId="3B25E8FA" w14:textId="77777777" w:rsidR="004401F0" w:rsidRPr="007C119A" w:rsidRDefault="004401F0" w:rsidP="00BD4C7C">
      <w:pPr>
        <w:pStyle w:val="a3"/>
        <w:adjustRightInd w:val="0"/>
        <w:snapToGrid w:val="0"/>
        <w:rPr>
          <w:lang w:val="fr-FR"/>
        </w:rPr>
      </w:pPr>
    </w:p>
    <w:p w14:paraId="3867A21A" w14:textId="77777777" w:rsidR="004401F0" w:rsidRPr="00DA7718" w:rsidRDefault="00DF3C4F" w:rsidP="00BD4C7C">
      <w:pPr>
        <w:pStyle w:val="a3"/>
        <w:adjustRightInd w:val="0"/>
        <w:snapToGrid w:val="0"/>
        <w:rPr>
          <w:lang w:val="fr-FR"/>
        </w:rPr>
      </w:pPr>
      <w:r w:rsidRPr="00DA7718">
        <w:rPr>
          <w:lang w:val="fr-FR"/>
        </w:rPr>
        <w:t>Les médicaments parentéraux doivent être inspectés visuellement pour détecter des particules et des décolorations avant leur administration.</w:t>
      </w:r>
    </w:p>
    <w:p w14:paraId="7AC28CC5" w14:textId="77777777" w:rsidR="004401F0" w:rsidRPr="007C119A" w:rsidRDefault="004401F0" w:rsidP="00BD4C7C">
      <w:pPr>
        <w:pStyle w:val="a3"/>
        <w:adjustRightInd w:val="0"/>
        <w:snapToGrid w:val="0"/>
        <w:rPr>
          <w:lang w:val="fr-FR"/>
        </w:rPr>
      </w:pPr>
    </w:p>
    <w:p w14:paraId="149F4CCB" w14:textId="34EBC7CA" w:rsidR="004401F0" w:rsidRPr="00DA7718" w:rsidRDefault="00DF3C4F" w:rsidP="00BD4C7C">
      <w:pPr>
        <w:pStyle w:val="a3"/>
        <w:adjustRightInd w:val="0"/>
        <w:snapToGrid w:val="0"/>
        <w:rPr>
          <w:lang w:val="fr-FR"/>
        </w:rPr>
      </w:pPr>
      <w:r w:rsidRPr="00DA7718">
        <w:rPr>
          <w:lang w:val="fr-FR"/>
        </w:rPr>
        <w:t xml:space="preserve">Aucune incompatibilité entre </w:t>
      </w:r>
      <w:r w:rsidR="00F05208">
        <w:rPr>
          <w:lang w:val="fr-FR"/>
        </w:rPr>
        <w:t>Vegzelma</w:t>
      </w:r>
      <w:r w:rsidRPr="00DA7718">
        <w:rPr>
          <w:lang w:val="fr-FR"/>
        </w:rPr>
        <w:t xml:space="preserve"> et les poches ou les dispositifs de perfusion en polyoléfine n’a été observée.</w:t>
      </w:r>
    </w:p>
    <w:p w14:paraId="3E51B886" w14:textId="77777777" w:rsidR="004401F0" w:rsidRPr="007C119A" w:rsidRDefault="004401F0" w:rsidP="00BD4C7C">
      <w:pPr>
        <w:pStyle w:val="a3"/>
        <w:adjustRightInd w:val="0"/>
        <w:snapToGrid w:val="0"/>
        <w:rPr>
          <w:lang w:val="fr-FR"/>
        </w:rPr>
      </w:pPr>
    </w:p>
    <w:p w14:paraId="6020D008" w14:textId="545C6E44"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est à usage unique compte tenu qu’il ne contient pas de conservateur. Tout médicament non utilisé ou déchet doit être éliminé conformément à la réglementation en vigueur.</w:t>
      </w:r>
    </w:p>
    <w:p w14:paraId="65D9BD90" w14:textId="77777777" w:rsidR="00BD4C7C" w:rsidRDefault="00BD4C7C" w:rsidP="00BD4C7C">
      <w:pPr>
        <w:adjustRightInd w:val="0"/>
        <w:snapToGrid w:val="0"/>
        <w:rPr>
          <w:lang w:val="fr-FR"/>
        </w:rPr>
      </w:pPr>
    </w:p>
    <w:p w14:paraId="6D4A2469" w14:textId="77777777" w:rsidR="00D90DBD" w:rsidRPr="00DA7718" w:rsidRDefault="00D90DBD" w:rsidP="00BD4C7C">
      <w:pPr>
        <w:adjustRightInd w:val="0"/>
        <w:snapToGrid w:val="0"/>
        <w:rPr>
          <w:lang w:val="fr-FR"/>
        </w:rPr>
      </w:pPr>
    </w:p>
    <w:p w14:paraId="5063CDF3" w14:textId="77777777" w:rsidR="004401F0" w:rsidRPr="00DA7718" w:rsidRDefault="00BD4C7C" w:rsidP="00BD4C7C">
      <w:pPr>
        <w:pStyle w:val="1"/>
        <w:adjustRightInd w:val="0"/>
        <w:snapToGrid w:val="0"/>
        <w:spacing w:before="0"/>
        <w:ind w:left="0"/>
        <w:rPr>
          <w:lang w:val="fr-FR"/>
        </w:rPr>
      </w:pPr>
      <w:r w:rsidRPr="00DA7718">
        <w:rPr>
          <w:lang w:val="fr-FR"/>
        </w:rPr>
        <w:t>7.</w:t>
      </w:r>
      <w:r w:rsidRPr="00DA7718">
        <w:rPr>
          <w:lang w:val="fr-FR"/>
        </w:rPr>
        <w:tab/>
      </w:r>
      <w:r w:rsidR="00DF3C4F" w:rsidRPr="00DA7718">
        <w:rPr>
          <w:lang w:val="fr-FR"/>
        </w:rPr>
        <w:t>TITULAIRE DE L’AUTORISATION DE MISE SUR LE MARCHE</w:t>
      </w:r>
    </w:p>
    <w:p w14:paraId="1FE0BC38" w14:textId="77777777" w:rsidR="004401F0" w:rsidRPr="007C119A" w:rsidRDefault="004401F0" w:rsidP="00BD4C7C">
      <w:pPr>
        <w:pStyle w:val="a3"/>
        <w:adjustRightInd w:val="0"/>
        <w:snapToGrid w:val="0"/>
        <w:rPr>
          <w:b/>
          <w:lang w:val="fr-FR"/>
        </w:rPr>
      </w:pPr>
    </w:p>
    <w:p w14:paraId="0BA17B20" w14:textId="77777777" w:rsidR="00217BF6" w:rsidRPr="00F014C7" w:rsidRDefault="00217BF6" w:rsidP="00217BF6">
      <w:pPr>
        <w:pStyle w:val="a3"/>
        <w:keepNext/>
        <w:keepLines/>
        <w:widowControl/>
        <w:kinsoku w:val="0"/>
        <w:overflowPunct w:val="0"/>
        <w:adjustRightInd w:val="0"/>
        <w:snapToGrid w:val="0"/>
        <w:rPr>
          <w:color w:val="000000"/>
          <w:lang w:val="en-GB"/>
        </w:rPr>
      </w:pPr>
      <w:r w:rsidRPr="00F014C7">
        <w:rPr>
          <w:color w:val="000000"/>
          <w:lang w:val="en-GB"/>
        </w:rPr>
        <w:t>Celltrion Healthcare Hungary Kft.</w:t>
      </w:r>
    </w:p>
    <w:p w14:paraId="4CFD38BD" w14:textId="77777777" w:rsidR="00217BF6" w:rsidRPr="00F014C7" w:rsidRDefault="00217BF6" w:rsidP="00217BF6">
      <w:pPr>
        <w:pStyle w:val="a3"/>
        <w:keepNext/>
        <w:keepLines/>
        <w:widowControl/>
        <w:kinsoku w:val="0"/>
        <w:overflowPunct w:val="0"/>
        <w:adjustRightInd w:val="0"/>
        <w:snapToGrid w:val="0"/>
        <w:rPr>
          <w:color w:val="000000"/>
          <w:lang w:val="en-GB"/>
        </w:rPr>
      </w:pPr>
      <w:r w:rsidRPr="00F014C7">
        <w:rPr>
          <w:color w:val="000000"/>
          <w:lang w:val="en-GB"/>
        </w:rPr>
        <w:t>1062 Budapest</w:t>
      </w:r>
    </w:p>
    <w:p w14:paraId="29769AC1" w14:textId="77777777" w:rsidR="00217BF6" w:rsidRPr="00C16207" w:rsidRDefault="00217BF6" w:rsidP="00217BF6">
      <w:pPr>
        <w:pStyle w:val="a3"/>
        <w:keepNext/>
        <w:keepLines/>
        <w:widowControl/>
        <w:kinsoku w:val="0"/>
        <w:overflowPunct w:val="0"/>
        <w:adjustRightInd w:val="0"/>
        <w:snapToGrid w:val="0"/>
        <w:rPr>
          <w:color w:val="000000"/>
          <w:lang w:val="en-GB"/>
        </w:rPr>
      </w:pPr>
      <w:r w:rsidRPr="00F014C7">
        <w:rPr>
          <w:color w:val="000000"/>
          <w:lang w:val="en-GB"/>
        </w:rPr>
        <w:t xml:space="preserve">Váci út 1-3. </w:t>
      </w:r>
      <w:r w:rsidRPr="00C16207">
        <w:rPr>
          <w:color w:val="000000"/>
          <w:lang w:val="en-GB"/>
        </w:rPr>
        <w:t>WestEnd Office Building B torony</w:t>
      </w:r>
    </w:p>
    <w:p w14:paraId="461BADC3" w14:textId="77777777" w:rsidR="00217BF6" w:rsidRPr="00C16207" w:rsidRDefault="00217BF6" w:rsidP="00217BF6">
      <w:pPr>
        <w:pStyle w:val="a3"/>
        <w:keepNext/>
        <w:keepLines/>
        <w:widowControl/>
        <w:adjustRightInd w:val="0"/>
        <w:snapToGrid w:val="0"/>
        <w:rPr>
          <w:color w:val="000000"/>
          <w:lang w:val="en-GB"/>
        </w:rPr>
      </w:pPr>
      <w:r>
        <w:rPr>
          <w:color w:val="000000"/>
          <w:lang w:val="en-GB"/>
        </w:rPr>
        <w:t>Hongrie</w:t>
      </w:r>
    </w:p>
    <w:p w14:paraId="25A0E69F" w14:textId="77777777" w:rsidR="004401F0" w:rsidRPr="00F9256D" w:rsidRDefault="004401F0" w:rsidP="00BD4C7C">
      <w:pPr>
        <w:pStyle w:val="a3"/>
        <w:adjustRightInd w:val="0"/>
        <w:snapToGrid w:val="0"/>
        <w:rPr>
          <w:sz w:val="19"/>
        </w:rPr>
      </w:pPr>
    </w:p>
    <w:p w14:paraId="28BC2A12" w14:textId="77777777" w:rsidR="000D25FB" w:rsidRPr="00F9256D" w:rsidRDefault="000D25FB" w:rsidP="00BD4C7C">
      <w:pPr>
        <w:pStyle w:val="a3"/>
        <w:adjustRightInd w:val="0"/>
        <w:snapToGrid w:val="0"/>
        <w:rPr>
          <w:sz w:val="19"/>
        </w:rPr>
      </w:pPr>
    </w:p>
    <w:p w14:paraId="55A6B2E1" w14:textId="77777777" w:rsidR="004401F0" w:rsidRPr="00DA7718" w:rsidRDefault="00BD4C7C" w:rsidP="00BD4C7C">
      <w:pPr>
        <w:pStyle w:val="1"/>
        <w:adjustRightInd w:val="0"/>
        <w:snapToGrid w:val="0"/>
        <w:spacing w:before="0"/>
        <w:ind w:left="0"/>
        <w:rPr>
          <w:lang w:val="fr-FR"/>
        </w:rPr>
      </w:pPr>
      <w:r w:rsidRPr="00DA7718">
        <w:rPr>
          <w:lang w:val="fr-FR"/>
        </w:rPr>
        <w:t>8.</w:t>
      </w:r>
      <w:r w:rsidRPr="00DA7718">
        <w:rPr>
          <w:lang w:val="fr-FR"/>
        </w:rPr>
        <w:tab/>
      </w:r>
      <w:r w:rsidR="00DF3C4F" w:rsidRPr="00DA7718">
        <w:rPr>
          <w:lang w:val="fr-FR"/>
        </w:rPr>
        <w:t>NUMERO(S) D’AUTORISATION DE MISE SUR LE MARCHE</w:t>
      </w:r>
    </w:p>
    <w:p w14:paraId="7729405F" w14:textId="77777777" w:rsidR="004401F0" w:rsidRPr="00DA7718" w:rsidRDefault="004401F0" w:rsidP="00BD4C7C">
      <w:pPr>
        <w:pStyle w:val="a3"/>
        <w:adjustRightInd w:val="0"/>
        <w:snapToGrid w:val="0"/>
        <w:rPr>
          <w:b/>
          <w:lang w:val="fr-FR"/>
        </w:rPr>
      </w:pPr>
    </w:p>
    <w:p w14:paraId="0497662A" w14:textId="78FF1764" w:rsidR="00217BF6" w:rsidRPr="00F9256D" w:rsidRDefault="00F05208" w:rsidP="00217BF6">
      <w:pPr>
        <w:widowControl/>
        <w:adjustRightInd w:val="0"/>
        <w:snapToGrid w:val="0"/>
        <w:rPr>
          <w:color w:val="000000"/>
          <w:u w:val="single"/>
          <w:lang w:val="pt-BR" w:eastAsia="ko-KR"/>
        </w:rPr>
      </w:pPr>
      <w:r>
        <w:rPr>
          <w:color w:val="000000"/>
          <w:u w:val="single"/>
          <w:lang w:val="pt-BR" w:eastAsia="ko-KR"/>
        </w:rPr>
        <w:t>Vegzelma</w:t>
      </w:r>
      <w:r w:rsidR="00217BF6" w:rsidRPr="00F9256D">
        <w:rPr>
          <w:color w:val="000000"/>
          <w:u w:val="single"/>
          <w:lang w:val="pt-BR" w:eastAsia="ko-KR"/>
        </w:rPr>
        <w:t xml:space="preserve"> 100 mg</w:t>
      </w:r>
    </w:p>
    <w:p w14:paraId="0E40B62A" w14:textId="77777777" w:rsidR="00830393" w:rsidRPr="00F014C7" w:rsidRDefault="00830393" w:rsidP="00830393">
      <w:pPr>
        <w:adjustRightInd w:val="0"/>
        <w:snapToGrid w:val="0"/>
        <w:spacing w:before="4"/>
        <w:rPr>
          <w:lang w:val="de-DE" w:eastAsia="ko-KR"/>
        </w:rPr>
      </w:pPr>
      <w:bookmarkStart w:id="5" w:name="_Hlk107231018"/>
      <w:r w:rsidRPr="00F014C7">
        <w:rPr>
          <w:lang w:val="de-DE" w:eastAsia="ko-KR"/>
        </w:rPr>
        <w:t>EU/1/22/1667/001</w:t>
      </w:r>
    </w:p>
    <w:p w14:paraId="217CDF78" w14:textId="51A0CB71" w:rsidR="00830393" w:rsidRPr="00F9256D" w:rsidRDefault="00830393" w:rsidP="00830393">
      <w:pPr>
        <w:widowControl/>
        <w:adjustRightInd w:val="0"/>
        <w:snapToGrid w:val="0"/>
        <w:rPr>
          <w:color w:val="000000"/>
          <w:lang w:val="pt-BR" w:eastAsia="ko-KR"/>
        </w:rPr>
      </w:pPr>
      <w:r w:rsidRPr="00F014C7">
        <w:rPr>
          <w:lang w:val="de-DE" w:eastAsia="ko-KR"/>
        </w:rPr>
        <w:t>EU/1/22/1667/003</w:t>
      </w:r>
      <w:bookmarkEnd w:id="5"/>
    </w:p>
    <w:p w14:paraId="213929ED" w14:textId="77777777" w:rsidR="00217BF6" w:rsidRPr="00F9256D" w:rsidRDefault="00217BF6" w:rsidP="00217BF6">
      <w:pPr>
        <w:widowControl/>
        <w:adjustRightInd w:val="0"/>
        <w:snapToGrid w:val="0"/>
        <w:rPr>
          <w:color w:val="000000"/>
          <w:u w:val="single"/>
          <w:lang w:val="pt-BR" w:eastAsia="ko-KR"/>
        </w:rPr>
      </w:pPr>
    </w:p>
    <w:p w14:paraId="290A2771" w14:textId="6D315EB9" w:rsidR="00217BF6" w:rsidRPr="00F9256D" w:rsidRDefault="00F05208" w:rsidP="00217BF6">
      <w:pPr>
        <w:widowControl/>
        <w:adjustRightInd w:val="0"/>
        <w:snapToGrid w:val="0"/>
        <w:rPr>
          <w:color w:val="000000"/>
          <w:u w:val="single"/>
          <w:lang w:val="pt-BR" w:eastAsia="ko-KR"/>
        </w:rPr>
      </w:pPr>
      <w:r>
        <w:rPr>
          <w:color w:val="000000"/>
          <w:u w:val="single"/>
          <w:lang w:val="pt-BR" w:eastAsia="ko-KR"/>
        </w:rPr>
        <w:t>Vegzelma</w:t>
      </w:r>
      <w:r w:rsidR="00217BF6" w:rsidRPr="00F9256D">
        <w:rPr>
          <w:color w:val="000000"/>
          <w:u w:val="single"/>
          <w:lang w:val="pt-BR" w:eastAsia="ko-KR"/>
        </w:rPr>
        <w:t xml:space="preserve"> 400 mg</w:t>
      </w:r>
    </w:p>
    <w:p w14:paraId="7F1294C6" w14:textId="77777777" w:rsidR="00830393" w:rsidRDefault="00830393" w:rsidP="00830393">
      <w:pPr>
        <w:adjustRightInd w:val="0"/>
        <w:snapToGrid w:val="0"/>
        <w:spacing w:before="4"/>
        <w:rPr>
          <w:lang w:val="fr-CA" w:eastAsia="ko-KR"/>
        </w:rPr>
      </w:pPr>
      <w:bookmarkStart w:id="6" w:name="_Hlk107231025"/>
      <w:bookmarkStart w:id="7" w:name="_Hlk107293088"/>
      <w:r w:rsidRPr="004A14D4">
        <w:rPr>
          <w:lang w:val="fr-CA" w:eastAsia="ko-KR"/>
        </w:rPr>
        <w:t>EU/1/22/1667/002</w:t>
      </w:r>
    </w:p>
    <w:p w14:paraId="586F70BA" w14:textId="0E7C7FDF" w:rsidR="00830393" w:rsidRDefault="00830393" w:rsidP="00830393">
      <w:pPr>
        <w:widowControl/>
        <w:adjustRightInd w:val="0"/>
        <w:snapToGrid w:val="0"/>
        <w:rPr>
          <w:rFonts w:eastAsia="맑은 고딕"/>
          <w:lang w:val="fr-CA" w:eastAsia="ko-KR"/>
        </w:rPr>
      </w:pPr>
      <w:r w:rsidRPr="004A14D4">
        <w:rPr>
          <w:lang w:val="fr-CA" w:eastAsia="ko-KR"/>
        </w:rPr>
        <w:lastRenderedPageBreak/>
        <w:t>EU/1/22/1667/004</w:t>
      </w:r>
      <w:bookmarkEnd w:id="6"/>
      <w:bookmarkEnd w:id="7"/>
    </w:p>
    <w:p w14:paraId="3066A9D0" w14:textId="5814BB38" w:rsidR="00F7466B" w:rsidRPr="00F7466B" w:rsidRDefault="00F7466B" w:rsidP="00830393">
      <w:pPr>
        <w:widowControl/>
        <w:adjustRightInd w:val="0"/>
        <w:snapToGrid w:val="0"/>
        <w:rPr>
          <w:rFonts w:eastAsia="맑은 고딕"/>
          <w:color w:val="000000"/>
          <w:lang w:val="fr-FR" w:eastAsia="ko-KR"/>
        </w:rPr>
      </w:pPr>
      <w:r>
        <w:rPr>
          <w:rFonts w:eastAsia="맑은 고딕" w:hint="eastAsia"/>
          <w:lang w:val="fr-CA" w:eastAsia="ko-KR"/>
        </w:rPr>
        <w:t>EU/1/22/1667/005</w:t>
      </w:r>
    </w:p>
    <w:p w14:paraId="4504D6C3" w14:textId="77777777" w:rsidR="00830393" w:rsidRPr="00654D21" w:rsidRDefault="00830393" w:rsidP="00217BF6">
      <w:pPr>
        <w:widowControl/>
        <w:adjustRightInd w:val="0"/>
        <w:snapToGrid w:val="0"/>
        <w:rPr>
          <w:color w:val="000000"/>
          <w:lang w:val="fr-FR" w:eastAsia="ko-KR"/>
        </w:rPr>
      </w:pPr>
    </w:p>
    <w:p w14:paraId="59150FDF" w14:textId="77777777" w:rsidR="00217BF6" w:rsidRPr="000C517C" w:rsidRDefault="00217BF6" w:rsidP="00217BF6">
      <w:pPr>
        <w:widowControl/>
        <w:adjustRightInd w:val="0"/>
        <w:snapToGrid w:val="0"/>
        <w:rPr>
          <w:color w:val="000000"/>
          <w:u w:val="single"/>
          <w:lang w:val="fr-FR" w:eastAsia="ko-KR"/>
        </w:rPr>
      </w:pPr>
    </w:p>
    <w:p w14:paraId="4E3BED8F" w14:textId="77777777" w:rsidR="004401F0" w:rsidRPr="00DA7718" w:rsidRDefault="00BD4C7C" w:rsidP="00654D21">
      <w:pPr>
        <w:pStyle w:val="1"/>
        <w:adjustRightInd w:val="0"/>
        <w:snapToGrid w:val="0"/>
        <w:spacing w:before="0"/>
        <w:ind w:left="540" w:hanging="540"/>
        <w:rPr>
          <w:lang w:val="fr-FR"/>
        </w:rPr>
      </w:pPr>
      <w:r w:rsidRPr="00DA7718">
        <w:rPr>
          <w:lang w:val="fr-FR"/>
        </w:rPr>
        <w:t>9.</w:t>
      </w:r>
      <w:r w:rsidRPr="00DA7718">
        <w:rPr>
          <w:lang w:val="fr-FR"/>
        </w:rPr>
        <w:tab/>
      </w:r>
      <w:r w:rsidR="00DF3C4F" w:rsidRPr="00DA7718">
        <w:rPr>
          <w:lang w:val="fr-FR"/>
        </w:rPr>
        <w:t>DATE DE PREMIERE AUTORISATION/DE RENOUVELLEMENT DE L’AUTORISATION</w:t>
      </w:r>
    </w:p>
    <w:p w14:paraId="6C156163" w14:textId="77777777" w:rsidR="004401F0" w:rsidRPr="007C119A" w:rsidRDefault="004401F0" w:rsidP="00BD4C7C">
      <w:pPr>
        <w:pStyle w:val="a3"/>
        <w:adjustRightInd w:val="0"/>
        <w:snapToGrid w:val="0"/>
        <w:rPr>
          <w:b/>
          <w:lang w:val="fr-FR"/>
        </w:rPr>
      </w:pPr>
    </w:p>
    <w:p w14:paraId="0B45F606" w14:textId="4BC1B72F" w:rsidR="00AB5D09" w:rsidRDefault="00DF3C4F" w:rsidP="00BD4C7C">
      <w:pPr>
        <w:pStyle w:val="a3"/>
        <w:adjustRightInd w:val="0"/>
        <w:snapToGrid w:val="0"/>
        <w:rPr>
          <w:lang w:val="fr-FR"/>
        </w:rPr>
      </w:pPr>
      <w:r w:rsidRPr="00DA7718">
        <w:rPr>
          <w:lang w:val="fr-FR"/>
        </w:rPr>
        <w:t>Date de la première autorisation</w:t>
      </w:r>
      <w:r w:rsidR="00765A43">
        <w:rPr>
          <w:lang w:val="fr-FR"/>
        </w:rPr>
        <w:t xml:space="preserve"> : </w:t>
      </w:r>
      <w:r w:rsidR="002F50B7" w:rsidRPr="002F50B7">
        <w:rPr>
          <w:lang w:val="fr-FR"/>
        </w:rPr>
        <w:t>17 août 2022</w:t>
      </w:r>
    </w:p>
    <w:p w14:paraId="15FBFCC1" w14:textId="40084ABB" w:rsidR="004401F0" w:rsidRPr="00DA7718" w:rsidRDefault="00DF3C4F" w:rsidP="00BD4C7C">
      <w:pPr>
        <w:pStyle w:val="a3"/>
        <w:adjustRightInd w:val="0"/>
        <w:snapToGrid w:val="0"/>
        <w:rPr>
          <w:lang w:val="fr-FR"/>
        </w:rPr>
      </w:pPr>
      <w:r w:rsidRPr="00DA7718">
        <w:rPr>
          <w:lang w:val="fr-FR"/>
        </w:rPr>
        <w:t>Date du dernier renouvellement</w:t>
      </w:r>
      <w:r w:rsidR="00765A43">
        <w:rPr>
          <w:lang w:val="fr-FR"/>
        </w:rPr>
        <w:t xml:space="preserve"> : </w:t>
      </w:r>
    </w:p>
    <w:p w14:paraId="7F1C30E8" w14:textId="77777777" w:rsidR="004401F0" w:rsidRPr="00DB59CD" w:rsidRDefault="004401F0" w:rsidP="00BD4C7C">
      <w:pPr>
        <w:pStyle w:val="a3"/>
        <w:adjustRightInd w:val="0"/>
        <w:snapToGrid w:val="0"/>
        <w:rPr>
          <w:lang w:val="fr-FR"/>
        </w:rPr>
      </w:pPr>
    </w:p>
    <w:p w14:paraId="778D2858" w14:textId="77777777" w:rsidR="004401F0" w:rsidRPr="00DA7718" w:rsidRDefault="004401F0" w:rsidP="00BD4C7C">
      <w:pPr>
        <w:pStyle w:val="a3"/>
        <w:adjustRightInd w:val="0"/>
        <w:snapToGrid w:val="0"/>
        <w:rPr>
          <w:sz w:val="20"/>
          <w:lang w:val="fr-FR"/>
        </w:rPr>
      </w:pPr>
    </w:p>
    <w:p w14:paraId="7D519FBE" w14:textId="77777777" w:rsidR="004401F0" w:rsidRPr="00DA7718" w:rsidRDefault="00BD4C7C" w:rsidP="00BD4C7C">
      <w:pPr>
        <w:pStyle w:val="1"/>
        <w:adjustRightInd w:val="0"/>
        <w:snapToGrid w:val="0"/>
        <w:spacing w:before="0"/>
        <w:ind w:left="0"/>
        <w:rPr>
          <w:lang w:val="fr-FR"/>
        </w:rPr>
      </w:pPr>
      <w:r w:rsidRPr="00DA7718">
        <w:rPr>
          <w:lang w:val="fr-FR"/>
        </w:rPr>
        <w:t>10.</w:t>
      </w:r>
      <w:r w:rsidRPr="00DA7718">
        <w:rPr>
          <w:lang w:val="fr-FR"/>
        </w:rPr>
        <w:tab/>
      </w:r>
      <w:r w:rsidR="00DF3C4F" w:rsidRPr="00DA7718">
        <w:rPr>
          <w:lang w:val="fr-FR"/>
        </w:rPr>
        <w:t>DATE DE MISE A JOUR DU TEXTE</w:t>
      </w:r>
    </w:p>
    <w:p w14:paraId="3F6A2BE4" w14:textId="77777777" w:rsidR="004401F0" w:rsidRPr="007C119A" w:rsidRDefault="004401F0" w:rsidP="00BD4C7C">
      <w:pPr>
        <w:pStyle w:val="a3"/>
        <w:adjustRightInd w:val="0"/>
        <w:snapToGrid w:val="0"/>
        <w:rPr>
          <w:b/>
          <w:lang w:val="fr-FR"/>
        </w:rPr>
      </w:pPr>
    </w:p>
    <w:p w14:paraId="6722AB02" w14:textId="1A0BC1BE" w:rsidR="004401F0" w:rsidRPr="00850855" w:rsidRDefault="00DF3C4F" w:rsidP="00BD4C7C">
      <w:pPr>
        <w:pStyle w:val="a3"/>
        <w:adjustRightInd w:val="0"/>
        <w:snapToGrid w:val="0"/>
        <w:rPr>
          <w:lang w:val="fr-CA"/>
        </w:rPr>
      </w:pPr>
      <w:r w:rsidRPr="00DA7718">
        <w:rPr>
          <w:lang w:val="fr-FR"/>
        </w:rPr>
        <w:t>Des informations détaillées sur ce médicament sont disponibles sur le site de l’Agence européenne du médicament (EMA)</w:t>
      </w:r>
      <w:r w:rsidR="00765A43">
        <w:rPr>
          <w:lang w:val="fr-FR"/>
        </w:rPr>
        <w:t xml:space="preserve"> : </w:t>
      </w:r>
      <w:hyperlink w:history="1">
        <w:r w:rsidR="003E0A60" w:rsidRPr="009E2922">
          <w:rPr>
            <w:rStyle w:val="ac"/>
            <w:snapToGrid w:val="0"/>
            <w:lang w:val="de-DE"/>
          </w:rPr>
          <w:t>https://www.ema.europa.eu</w:t>
        </w:r>
      </w:hyperlink>
    </w:p>
    <w:p w14:paraId="38075C1F" w14:textId="77777777" w:rsidR="000D25FB" w:rsidRDefault="000D25FB">
      <w:pPr>
        <w:rPr>
          <w:lang w:val="fr-FR"/>
        </w:rPr>
      </w:pPr>
      <w:r>
        <w:rPr>
          <w:lang w:val="fr-FR"/>
        </w:rPr>
        <w:br w:type="page"/>
      </w:r>
    </w:p>
    <w:p w14:paraId="0D65D66D" w14:textId="77777777" w:rsidR="00BD4C7C" w:rsidRPr="00DA0222" w:rsidRDefault="00BD4C7C" w:rsidP="00BD4C7C">
      <w:pPr>
        <w:adjustRightInd w:val="0"/>
        <w:snapToGrid w:val="0"/>
        <w:rPr>
          <w:lang w:val="fr-FR"/>
        </w:rPr>
      </w:pPr>
    </w:p>
    <w:p w14:paraId="16DFB9D0" w14:textId="77777777" w:rsidR="004401F0" w:rsidRPr="00DA0222" w:rsidRDefault="004401F0" w:rsidP="00BD4C7C">
      <w:pPr>
        <w:pStyle w:val="a3"/>
        <w:adjustRightInd w:val="0"/>
        <w:snapToGrid w:val="0"/>
        <w:rPr>
          <w:lang w:val="fr-FR"/>
        </w:rPr>
      </w:pPr>
    </w:p>
    <w:p w14:paraId="1FE82C78" w14:textId="77777777" w:rsidR="004401F0" w:rsidRPr="00DA0222" w:rsidRDefault="004401F0" w:rsidP="00BD4C7C">
      <w:pPr>
        <w:pStyle w:val="a3"/>
        <w:adjustRightInd w:val="0"/>
        <w:snapToGrid w:val="0"/>
        <w:rPr>
          <w:lang w:val="fr-FR"/>
        </w:rPr>
      </w:pPr>
    </w:p>
    <w:p w14:paraId="28FEAB25" w14:textId="77777777" w:rsidR="004401F0" w:rsidRPr="00DA0222" w:rsidRDefault="004401F0" w:rsidP="00BD4C7C">
      <w:pPr>
        <w:pStyle w:val="a3"/>
        <w:adjustRightInd w:val="0"/>
        <w:snapToGrid w:val="0"/>
        <w:rPr>
          <w:lang w:val="fr-FR"/>
        </w:rPr>
      </w:pPr>
    </w:p>
    <w:p w14:paraId="4CF88315" w14:textId="77777777" w:rsidR="004401F0" w:rsidRPr="00DA0222" w:rsidRDefault="004401F0" w:rsidP="00BD4C7C">
      <w:pPr>
        <w:pStyle w:val="a3"/>
        <w:adjustRightInd w:val="0"/>
        <w:snapToGrid w:val="0"/>
        <w:rPr>
          <w:lang w:val="fr-FR"/>
        </w:rPr>
      </w:pPr>
    </w:p>
    <w:p w14:paraId="74C991E5" w14:textId="77777777" w:rsidR="004401F0" w:rsidRPr="00DA0222" w:rsidRDefault="004401F0" w:rsidP="00BD4C7C">
      <w:pPr>
        <w:pStyle w:val="a3"/>
        <w:adjustRightInd w:val="0"/>
        <w:snapToGrid w:val="0"/>
        <w:rPr>
          <w:lang w:val="fr-FR"/>
        </w:rPr>
      </w:pPr>
    </w:p>
    <w:p w14:paraId="73EEF327" w14:textId="77777777" w:rsidR="004401F0" w:rsidRPr="00DA0222" w:rsidRDefault="004401F0" w:rsidP="00BD4C7C">
      <w:pPr>
        <w:pStyle w:val="a3"/>
        <w:adjustRightInd w:val="0"/>
        <w:snapToGrid w:val="0"/>
        <w:rPr>
          <w:lang w:val="fr-FR"/>
        </w:rPr>
      </w:pPr>
    </w:p>
    <w:p w14:paraId="30F30DD7" w14:textId="77777777" w:rsidR="004401F0" w:rsidRPr="00DA0222" w:rsidRDefault="004401F0" w:rsidP="00BD4C7C">
      <w:pPr>
        <w:pStyle w:val="a3"/>
        <w:adjustRightInd w:val="0"/>
        <w:snapToGrid w:val="0"/>
        <w:rPr>
          <w:lang w:val="fr-FR"/>
        </w:rPr>
      </w:pPr>
    </w:p>
    <w:p w14:paraId="7766AF85" w14:textId="77777777" w:rsidR="004401F0" w:rsidRPr="00DA0222" w:rsidRDefault="004401F0" w:rsidP="00BD4C7C">
      <w:pPr>
        <w:pStyle w:val="a3"/>
        <w:adjustRightInd w:val="0"/>
        <w:snapToGrid w:val="0"/>
        <w:rPr>
          <w:lang w:val="fr-FR"/>
        </w:rPr>
      </w:pPr>
    </w:p>
    <w:p w14:paraId="396866EB" w14:textId="77777777" w:rsidR="004401F0" w:rsidRPr="00DA0222" w:rsidRDefault="004401F0" w:rsidP="00BD4C7C">
      <w:pPr>
        <w:pStyle w:val="a3"/>
        <w:adjustRightInd w:val="0"/>
        <w:snapToGrid w:val="0"/>
        <w:rPr>
          <w:lang w:val="fr-FR"/>
        </w:rPr>
      </w:pPr>
    </w:p>
    <w:p w14:paraId="75412AE5" w14:textId="77777777" w:rsidR="004401F0" w:rsidRPr="00DA0222" w:rsidRDefault="004401F0" w:rsidP="00BD4C7C">
      <w:pPr>
        <w:pStyle w:val="a3"/>
        <w:adjustRightInd w:val="0"/>
        <w:snapToGrid w:val="0"/>
        <w:rPr>
          <w:lang w:val="fr-FR"/>
        </w:rPr>
      </w:pPr>
    </w:p>
    <w:p w14:paraId="6017981D" w14:textId="77777777" w:rsidR="004401F0" w:rsidRPr="00DA0222" w:rsidRDefault="004401F0" w:rsidP="00BD4C7C">
      <w:pPr>
        <w:pStyle w:val="a3"/>
        <w:adjustRightInd w:val="0"/>
        <w:snapToGrid w:val="0"/>
        <w:rPr>
          <w:lang w:val="fr-FR"/>
        </w:rPr>
      </w:pPr>
    </w:p>
    <w:p w14:paraId="0433735F" w14:textId="77777777" w:rsidR="004401F0" w:rsidRPr="00DA0222" w:rsidRDefault="004401F0" w:rsidP="00BD4C7C">
      <w:pPr>
        <w:pStyle w:val="a3"/>
        <w:adjustRightInd w:val="0"/>
        <w:snapToGrid w:val="0"/>
        <w:rPr>
          <w:lang w:val="fr-FR"/>
        </w:rPr>
      </w:pPr>
    </w:p>
    <w:p w14:paraId="44DDA707" w14:textId="77777777" w:rsidR="004401F0" w:rsidRPr="00DA0222" w:rsidRDefault="004401F0" w:rsidP="00BD4C7C">
      <w:pPr>
        <w:pStyle w:val="a3"/>
        <w:adjustRightInd w:val="0"/>
        <w:snapToGrid w:val="0"/>
        <w:rPr>
          <w:lang w:val="fr-FR"/>
        </w:rPr>
      </w:pPr>
    </w:p>
    <w:p w14:paraId="065D9522" w14:textId="77777777" w:rsidR="004401F0" w:rsidRPr="00DA0222" w:rsidRDefault="004401F0" w:rsidP="00BD4C7C">
      <w:pPr>
        <w:pStyle w:val="a3"/>
        <w:adjustRightInd w:val="0"/>
        <w:snapToGrid w:val="0"/>
        <w:rPr>
          <w:lang w:val="fr-FR"/>
        </w:rPr>
      </w:pPr>
    </w:p>
    <w:p w14:paraId="4F2EE7CE" w14:textId="77777777" w:rsidR="004401F0" w:rsidRPr="00DA0222" w:rsidRDefault="004401F0" w:rsidP="00BD4C7C">
      <w:pPr>
        <w:pStyle w:val="a3"/>
        <w:adjustRightInd w:val="0"/>
        <w:snapToGrid w:val="0"/>
        <w:rPr>
          <w:lang w:val="fr-FR"/>
        </w:rPr>
      </w:pPr>
    </w:p>
    <w:p w14:paraId="557FBB5A" w14:textId="77777777" w:rsidR="004401F0" w:rsidRPr="00DA0222" w:rsidRDefault="004401F0" w:rsidP="00BD4C7C">
      <w:pPr>
        <w:pStyle w:val="a3"/>
        <w:adjustRightInd w:val="0"/>
        <w:snapToGrid w:val="0"/>
        <w:rPr>
          <w:lang w:val="fr-FR"/>
        </w:rPr>
      </w:pPr>
    </w:p>
    <w:p w14:paraId="20434CA8" w14:textId="77777777" w:rsidR="004401F0" w:rsidRPr="00DA0222" w:rsidRDefault="004401F0" w:rsidP="00BD4C7C">
      <w:pPr>
        <w:pStyle w:val="a3"/>
        <w:adjustRightInd w:val="0"/>
        <w:snapToGrid w:val="0"/>
        <w:rPr>
          <w:lang w:val="fr-FR"/>
        </w:rPr>
      </w:pPr>
    </w:p>
    <w:p w14:paraId="50E07E28" w14:textId="77777777" w:rsidR="004401F0" w:rsidRPr="00DA0222" w:rsidRDefault="004401F0" w:rsidP="00BD4C7C">
      <w:pPr>
        <w:pStyle w:val="a3"/>
        <w:adjustRightInd w:val="0"/>
        <w:snapToGrid w:val="0"/>
        <w:rPr>
          <w:lang w:val="fr-FR"/>
        </w:rPr>
      </w:pPr>
    </w:p>
    <w:p w14:paraId="4F54960D" w14:textId="77777777" w:rsidR="004401F0" w:rsidRPr="00DA0222" w:rsidRDefault="004401F0" w:rsidP="00BD4C7C">
      <w:pPr>
        <w:pStyle w:val="a3"/>
        <w:adjustRightInd w:val="0"/>
        <w:snapToGrid w:val="0"/>
        <w:rPr>
          <w:lang w:val="fr-FR"/>
        </w:rPr>
      </w:pPr>
    </w:p>
    <w:p w14:paraId="7B0D6289" w14:textId="77777777" w:rsidR="004401F0" w:rsidRPr="00DA0222" w:rsidRDefault="004401F0" w:rsidP="00BD4C7C">
      <w:pPr>
        <w:pStyle w:val="a3"/>
        <w:adjustRightInd w:val="0"/>
        <w:snapToGrid w:val="0"/>
        <w:rPr>
          <w:lang w:val="fr-FR"/>
        </w:rPr>
      </w:pPr>
    </w:p>
    <w:p w14:paraId="4B8A1E9A" w14:textId="77777777" w:rsidR="004401F0" w:rsidRPr="00DA0222" w:rsidRDefault="004401F0" w:rsidP="00BD4C7C">
      <w:pPr>
        <w:pStyle w:val="a3"/>
        <w:adjustRightInd w:val="0"/>
        <w:snapToGrid w:val="0"/>
        <w:rPr>
          <w:lang w:val="fr-FR"/>
        </w:rPr>
      </w:pPr>
    </w:p>
    <w:p w14:paraId="0CC4C51A" w14:textId="77777777" w:rsidR="004401F0" w:rsidRPr="00DA7718" w:rsidRDefault="00DF3C4F" w:rsidP="00BD4C7C">
      <w:pPr>
        <w:adjustRightInd w:val="0"/>
        <w:snapToGrid w:val="0"/>
        <w:jc w:val="center"/>
        <w:rPr>
          <w:b/>
          <w:lang w:val="fr-FR"/>
        </w:rPr>
      </w:pPr>
      <w:r w:rsidRPr="00DA7718">
        <w:rPr>
          <w:b/>
          <w:lang w:val="fr-FR"/>
        </w:rPr>
        <w:t>ANNEXE II</w:t>
      </w:r>
    </w:p>
    <w:p w14:paraId="73CA3109" w14:textId="77777777" w:rsidR="004401F0" w:rsidRPr="00DA7718" w:rsidRDefault="004401F0" w:rsidP="00BD4C7C">
      <w:pPr>
        <w:pStyle w:val="a3"/>
        <w:adjustRightInd w:val="0"/>
        <w:snapToGrid w:val="0"/>
        <w:rPr>
          <w:b/>
          <w:lang w:val="fr-FR"/>
        </w:rPr>
      </w:pPr>
    </w:p>
    <w:p w14:paraId="2EC8281F" w14:textId="77777777" w:rsidR="004401F0" w:rsidRPr="00DA7718" w:rsidRDefault="00BD4C7C" w:rsidP="00DA0222">
      <w:pPr>
        <w:adjustRightInd w:val="0"/>
        <w:snapToGrid w:val="0"/>
        <w:ind w:left="1134" w:hanging="567"/>
        <w:rPr>
          <w:b/>
          <w:lang w:val="fr-FR"/>
        </w:rPr>
      </w:pPr>
      <w:r w:rsidRPr="00DA7718">
        <w:rPr>
          <w:b/>
          <w:bCs/>
          <w:spacing w:val="-2"/>
          <w:lang w:val="fr-FR"/>
        </w:rPr>
        <w:t>A.</w:t>
      </w:r>
      <w:r w:rsidRPr="00DA7718">
        <w:rPr>
          <w:b/>
          <w:bCs/>
          <w:spacing w:val="-2"/>
          <w:lang w:val="fr-FR"/>
        </w:rPr>
        <w:tab/>
      </w:r>
      <w:r w:rsidR="00DF3C4F" w:rsidRPr="00DA7718">
        <w:rPr>
          <w:b/>
          <w:lang w:val="fr-FR"/>
        </w:rPr>
        <w:t>FABRICANTS DE LA SUBSTANCE ACTIVE D’ORIGINE BIOLOGIQUE ET FABRICANTS RESPONSABLES DE LA LIBERATION DES LOTS</w:t>
      </w:r>
    </w:p>
    <w:p w14:paraId="4FB7FEDC" w14:textId="77777777" w:rsidR="004401F0" w:rsidRPr="007C119A" w:rsidRDefault="004401F0" w:rsidP="00DA0222">
      <w:pPr>
        <w:pStyle w:val="a3"/>
        <w:adjustRightInd w:val="0"/>
        <w:snapToGrid w:val="0"/>
        <w:ind w:left="1134" w:hanging="567"/>
        <w:rPr>
          <w:b/>
          <w:lang w:val="fr-FR"/>
        </w:rPr>
      </w:pPr>
    </w:p>
    <w:p w14:paraId="60B91057" w14:textId="77777777" w:rsidR="004401F0" w:rsidRPr="00DA7718" w:rsidRDefault="00BD4C7C" w:rsidP="00DA0222">
      <w:pPr>
        <w:adjustRightInd w:val="0"/>
        <w:snapToGrid w:val="0"/>
        <w:ind w:left="1134" w:hanging="567"/>
        <w:rPr>
          <w:b/>
          <w:lang w:val="fr-FR"/>
        </w:rPr>
      </w:pPr>
      <w:r w:rsidRPr="00DA7718">
        <w:rPr>
          <w:b/>
          <w:bCs/>
          <w:spacing w:val="-2"/>
          <w:lang w:val="fr-FR"/>
        </w:rPr>
        <w:t>B.</w:t>
      </w:r>
      <w:r w:rsidRPr="00DA7718">
        <w:rPr>
          <w:b/>
          <w:bCs/>
          <w:spacing w:val="-2"/>
          <w:lang w:val="fr-FR"/>
        </w:rPr>
        <w:tab/>
      </w:r>
      <w:r w:rsidR="00DF3C4F" w:rsidRPr="00DA7718">
        <w:rPr>
          <w:b/>
          <w:lang w:val="fr-FR"/>
        </w:rPr>
        <w:t>CONDITIONS OU RESTRICTION DE DELIVRANCE ET D’UTILISATION</w:t>
      </w:r>
    </w:p>
    <w:p w14:paraId="36B4D251" w14:textId="77777777" w:rsidR="004401F0" w:rsidRPr="007C119A" w:rsidRDefault="004401F0" w:rsidP="00DA0222">
      <w:pPr>
        <w:pStyle w:val="a3"/>
        <w:adjustRightInd w:val="0"/>
        <w:snapToGrid w:val="0"/>
        <w:ind w:left="1134" w:hanging="567"/>
        <w:rPr>
          <w:b/>
          <w:lang w:val="fr-FR"/>
        </w:rPr>
      </w:pPr>
    </w:p>
    <w:p w14:paraId="51F538CE" w14:textId="77777777" w:rsidR="004401F0" w:rsidRPr="00DA7718" w:rsidRDefault="00BD4C7C" w:rsidP="00DA0222">
      <w:pPr>
        <w:adjustRightInd w:val="0"/>
        <w:snapToGrid w:val="0"/>
        <w:ind w:left="1134" w:hanging="567"/>
        <w:rPr>
          <w:b/>
          <w:lang w:val="fr-FR"/>
        </w:rPr>
      </w:pPr>
      <w:r w:rsidRPr="00DA7718">
        <w:rPr>
          <w:b/>
          <w:bCs/>
          <w:spacing w:val="-2"/>
          <w:lang w:val="fr-FR"/>
        </w:rPr>
        <w:t>C.</w:t>
      </w:r>
      <w:r w:rsidRPr="00DA7718">
        <w:rPr>
          <w:b/>
          <w:bCs/>
          <w:spacing w:val="-2"/>
          <w:lang w:val="fr-FR"/>
        </w:rPr>
        <w:tab/>
      </w:r>
      <w:r w:rsidR="00DF3C4F" w:rsidRPr="00DA7718">
        <w:rPr>
          <w:b/>
          <w:lang w:val="fr-FR"/>
        </w:rPr>
        <w:t>AUTRES CONDITIONS ET OBLIGATIONS DE L’AUTORISATION DE MISE SUR LE MARCHE</w:t>
      </w:r>
    </w:p>
    <w:p w14:paraId="47910656" w14:textId="77777777" w:rsidR="004401F0" w:rsidRPr="00DA7718" w:rsidRDefault="004401F0" w:rsidP="00DA0222">
      <w:pPr>
        <w:pStyle w:val="a3"/>
        <w:adjustRightInd w:val="0"/>
        <w:snapToGrid w:val="0"/>
        <w:ind w:left="1134" w:hanging="567"/>
        <w:rPr>
          <w:b/>
          <w:lang w:val="fr-FR"/>
        </w:rPr>
      </w:pPr>
    </w:p>
    <w:p w14:paraId="21ACE05E" w14:textId="77777777" w:rsidR="004401F0" w:rsidRPr="00DA7718" w:rsidRDefault="00BD4C7C" w:rsidP="00DA0222">
      <w:pPr>
        <w:adjustRightInd w:val="0"/>
        <w:snapToGrid w:val="0"/>
        <w:ind w:left="1134" w:hanging="567"/>
        <w:rPr>
          <w:b/>
          <w:lang w:val="fr-FR"/>
        </w:rPr>
      </w:pPr>
      <w:r w:rsidRPr="00DA7718">
        <w:rPr>
          <w:b/>
          <w:bCs/>
          <w:spacing w:val="-2"/>
          <w:lang w:val="fr-FR"/>
        </w:rPr>
        <w:t>D.</w:t>
      </w:r>
      <w:r w:rsidRPr="00DA7718">
        <w:rPr>
          <w:b/>
          <w:bCs/>
          <w:spacing w:val="-2"/>
          <w:lang w:val="fr-FR"/>
        </w:rPr>
        <w:tab/>
      </w:r>
      <w:r w:rsidR="00DF3C4F" w:rsidRPr="00DA7718">
        <w:rPr>
          <w:b/>
          <w:lang w:val="fr-FR"/>
        </w:rPr>
        <w:t>CONDITIONS OU RESTRICTIONS EN VUE D’UNE UTILISATION SÛRE ET EFFICACE DU MÉDICAMENT</w:t>
      </w:r>
    </w:p>
    <w:p w14:paraId="002848CC" w14:textId="77777777" w:rsidR="00BD4C7C" w:rsidRPr="00DA7718" w:rsidRDefault="00BD4C7C" w:rsidP="00BD4C7C">
      <w:pPr>
        <w:adjustRightInd w:val="0"/>
        <w:snapToGrid w:val="0"/>
        <w:rPr>
          <w:lang w:val="fr-FR"/>
        </w:rPr>
      </w:pPr>
    </w:p>
    <w:p w14:paraId="247D7B00" w14:textId="77777777" w:rsidR="00DA0222" w:rsidRDefault="00DA0222">
      <w:pPr>
        <w:rPr>
          <w:b/>
          <w:lang w:val="fr-FR"/>
        </w:rPr>
      </w:pPr>
      <w:r>
        <w:rPr>
          <w:b/>
          <w:lang w:val="fr-FR"/>
        </w:rPr>
        <w:br w:type="page"/>
      </w:r>
    </w:p>
    <w:p w14:paraId="7CE46E03" w14:textId="22BD9E58" w:rsidR="004401F0" w:rsidRPr="00DA7718" w:rsidRDefault="00DF3C4F" w:rsidP="00E84257">
      <w:pPr>
        <w:pStyle w:val="TitleB"/>
        <w:outlineLvl w:val="0"/>
      </w:pPr>
      <w:bookmarkStart w:id="8" w:name="A_FABRICANTS"/>
      <w:r w:rsidRPr="00DA7718">
        <w:lastRenderedPageBreak/>
        <w:t>A.</w:t>
      </w:r>
      <w:r w:rsidRPr="00DA7718">
        <w:tab/>
        <w:t xml:space="preserve">FABRICANTS </w:t>
      </w:r>
      <w:bookmarkEnd w:id="8"/>
      <w:r w:rsidRPr="00DA7718">
        <w:t xml:space="preserve">DE LA SUBSTANCE ACTIVE D’ORIGINE BIOLOGIQUE ET </w:t>
      </w:r>
      <w:bookmarkStart w:id="9" w:name="_Hlk106369665"/>
      <w:r w:rsidRPr="00DA7718">
        <w:t>FABRICAN</w:t>
      </w:r>
      <w:r w:rsidR="005C5320">
        <w:t>TS</w:t>
      </w:r>
      <w:r w:rsidRPr="00DA7718">
        <w:t xml:space="preserve"> RESPONSABLE</w:t>
      </w:r>
      <w:r w:rsidR="005C5320">
        <w:t>S</w:t>
      </w:r>
      <w:r w:rsidRPr="00DA7718">
        <w:t xml:space="preserve"> DE LA LIBERATION DES LOTS</w:t>
      </w:r>
    </w:p>
    <w:bookmarkEnd w:id="9"/>
    <w:p w14:paraId="625D6E76" w14:textId="77777777" w:rsidR="004401F0" w:rsidRPr="007C119A" w:rsidRDefault="004401F0" w:rsidP="00BD4C7C">
      <w:pPr>
        <w:pStyle w:val="a3"/>
        <w:adjustRightInd w:val="0"/>
        <w:snapToGrid w:val="0"/>
        <w:rPr>
          <w:b/>
          <w:lang w:val="fr-FR"/>
        </w:rPr>
      </w:pPr>
    </w:p>
    <w:p w14:paraId="35638AFF" w14:textId="77777777" w:rsidR="004401F0" w:rsidRPr="00DA7718" w:rsidRDefault="00DF3C4F" w:rsidP="00BD4C7C">
      <w:pPr>
        <w:pStyle w:val="a3"/>
        <w:adjustRightInd w:val="0"/>
        <w:snapToGrid w:val="0"/>
        <w:rPr>
          <w:lang w:val="fr-FR"/>
        </w:rPr>
      </w:pPr>
      <w:r w:rsidRPr="00DA7718">
        <w:rPr>
          <w:u w:val="single"/>
          <w:lang w:val="fr-FR"/>
        </w:rPr>
        <w:t>Nom et adresse des fabricants de la substance active d'origine biologique</w:t>
      </w:r>
    </w:p>
    <w:p w14:paraId="3CE6F452" w14:textId="77777777" w:rsidR="00850855" w:rsidRDefault="00850855" w:rsidP="001C3ED8">
      <w:pPr>
        <w:widowControl/>
        <w:adjustRightInd w:val="0"/>
        <w:snapToGrid w:val="0"/>
        <w:rPr>
          <w:rFonts w:eastAsia="맑은 고딕"/>
          <w:color w:val="000000"/>
          <w:lang w:val="fr-FR" w:eastAsia="ko-KR"/>
        </w:rPr>
      </w:pPr>
    </w:p>
    <w:p w14:paraId="46D82237" w14:textId="25B21BF3" w:rsidR="001C3ED8" w:rsidRPr="000C517C" w:rsidRDefault="001C3ED8" w:rsidP="001C3ED8">
      <w:pPr>
        <w:widowControl/>
        <w:adjustRightInd w:val="0"/>
        <w:snapToGrid w:val="0"/>
        <w:rPr>
          <w:rFonts w:eastAsia="SimSun"/>
          <w:color w:val="000000"/>
          <w:lang w:val="fr-FR" w:eastAsia="en-GB"/>
        </w:rPr>
      </w:pPr>
      <w:r w:rsidRPr="000C517C">
        <w:rPr>
          <w:rFonts w:eastAsia="SimSun"/>
          <w:color w:val="000000"/>
          <w:lang w:val="fr-FR" w:eastAsia="en-GB"/>
        </w:rPr>
        <w:t>CELLTRION INC.</w:t>
      </w:r>
      <w:r w:rsidRPr="000C517C">
        <w:rPr>
          <w:rFonts w:eastAsia="SimSun"/>
          <w:color w:val="000000"/>
          <w:lang w:val="fr-FR" w:eastAsia="en-GB"/>
        </w:rPr>
        <w:br/>
        <w:t>20 Academy</w:t>
      </w:r>
      <w:r w:rsidRPr="000C517C">
        <w:rPr>
          <w:rFonts w:eastAsia="SimSun"/>
          <w:color w:val="000000"/>
          <w:lang w:val="fr-FR" w:eastAsia="en-GB"/>
        </w:rPr>
        <w:noBreakHyphen/>
        <w:t>ro 51 beon</w:t>
      </w:r>
      <w:r w:rsidRPr="000C517C">
        <w:rPr>
          <w:rFonts w:eastAsia="SimSun"/>
          <w:color w:val="000000"/>
          <w:lang w:val="fr-FR" w:eastAsia="en-GB"/>
        </w:rPr>
        <w:noBreakHyphen/>
        <w:t>gil</w:t>
      </w:r>
      <w:r w:rsidRPr="000C517C">
        <w:rPr>
          <w:rFonts w:eastAsia="SimSun"/>
          <w:color w:val="000000"/>
          <w:lang w:val="fr-FR" w:eastAsia="en-GB"/>
        </w:rPr>
        <w:br/>
        <w:t>Yeonsu</w:t>
      </w:r>
      <w:r w:rsidRPr="000C517C">
        <w:rPr>
          <w:rFonts w:eastAsia="SimSun"/>
          <w:color w:val="000000"/>
          <w:lang w:val="fr-FR" w:eastAsia="en-GB"/>
        </w:rPr>
        <w:noBreakHyphen/>
        <w:t>gu</w:t>
      </w:r>
      <w:r w:rsidRPr="000C517C">
        <w:rPr>
          <w:rFonts w:eastAsia="SimSun"/>
          <w:color w:val="000000"/>
          <w:lang w:val="fr-FR" w:eastAsia="en-GB"/>
        </w:rPr>
        <w:br/>
        <w:t>22014 Incheon</w:t>
      </w:r>
      <w:r w:rsidRPr="000C517C">
        <w:rPr>
          <w:rFonts w:eastAsia="SimSun"/>
          <w:color w:val="000000"/>
          <w:lang w:val="fr-FR" w:eastAsia="en-GB"/>
        </w:rPr>
        <w:br/>
        <w:t>République de Corée</w:t>
      </w:r>
    </w:p>
    <w:p w14:paraId="160F4778" w14:textId="77777777" w:rsidR="004401F0" w:rsidRPr="00DA7718" w:rsidRDefault="004401F0" w:rsidP="00BD4C7C">
      <w:pPr>
        <w:pStyle w:val="a3"/>
        <w:adjustRightInd w:val="0"/>
        <w:snapToGrid w:val="0"/>
        <w:rPr>
          <w:lang w:val="fr-FR"/>
        </w:rPr>
      </w:pPr>
    </w:p>
    <w:p w14:paraId="63358EBF" w14:textId="77777777" w:rsidR="004401F0" w:rsidRPr="00DA7718" w:rsidRDefault="00DF3C4F" w:rsidP="00BD4C7C">
      <w:pPr>
        <w:pStyle w:val="a3"/>
        <w:adjustRightInd w:val="0"/>
        <w:snapToGrid w:val="0"/>
        <w:rPr>
          <w:lang w:val="fr-FR"/>
        </w:rPr>
      </w:pPr>
      <w:r w:rsidRPr="00DA7718">
        <w:rPr>
          <w:u w:val="single"/>
          <w:lang w:val="fr-FR"/>
        </w:rPr>
        <w:t>Nom et adresse du fabricant responsable de la libération des lots</w:t>
      </w:r>
    </w:p>
    <w:p w14:paraId="0EB5B45F" w14:textId="77777777" w:rsidR="00850855" w:rsidRDefault="00850855" w:rsidP="001C3ED8">
      <w:pPr>
        <w:widowControl/>
        <w:adjustRightInd w:val="0"/>
        <w:snapToGrid w:val="0"/>
        <w:rPr>
          <w:rFonts w:eastAsia="맑은 고딕"/>
          <w:color w:val="000000"/>
          <w:lang w:val="de-DE" w:eastAsia="ko-KR"/>
        </w:rPr>
      </w:pPr>
    </w:p>
    <w:p w14:paraId="55E52DA8" w14:textId="0337CCBA" w:rsidR="001C3ED8" w:rsidRPr="00F014C7" w:rsidRDefault="001C3ED8" w:rsidP="001C3ED8">
      <w:pPr>
        <w:widowControl/>
        <w:adjustRightInd w:val="0"/>
        <w:snapToGrid w:val="0"/>
        <w:rPr>
          <w:color w:val="000000"/>
          <w:lang w:val="de-DE"/>
        </w:rPr>
      </w:pPr>
      <w:r w:rsidRPr="00F014C7">
        <w:rPr>
          <w:color w:val="000000"/>
          <w:lang w:val="de-DE"/>
        </w:rPr>
        <w:t>Nuvisan GmbH</w:t>
      </w:r>
    </w:p>
    <w:p w14:paraId="541579F2" w14:textId="77777777" w:rsidR="001C3ED8" w:rsidRPr="00F014C7" w:rsidRDefault="001C3ED8" w:rsidP="001C3ED8">
      <w:pPr>
        <w:widowControl/>
        <w:adjustRightInd w:val="0"/>
        <w:snapToGrid w:val="0"/>
        <w:rPr>
          <w:color w:val="000000"/>
          <w:lang w:val="de-DE"/>
        </w:rPr>
      </w:pPr>
      <w:r w:rsidRPr="00F014C7">
        <w:rPr>
          <w:color w:val="000000"/>
          <w:lang w:val="de-DE"/>
        </w:rPr>
        <w:t>Wegenerstraße 13</w:t>
      </w:r>
    </w:p>
    <w:p w14:paraId="56F412AD" w14:textId="5014441B" w:rsidR="001C3ED8" w:rsidRPr="00F014C7" w:rsidRDefault="001C3ED8" w:rsidP="001C3ED8">
      <w:pPr>
        <w:widowControl/>
        <w:adjustRightInd w:val="0"/>
        <w:snapToGrid w:val="0"/>
        <w:rPr>
          <w:color w:val="000000"/>
          <w:lang w:val="de-DE"/>
        </w:rPr>
      </w:pPr>
      <w:r w:rsidRPr="00F014C7">
        <w:rPr>
          <w:color w:val="000000"/>
          <w:lang w:val="de-DE"/>
        </w:rPr>
        <w:t>89231 Neu</w:t>
      </w:r>
      <w:r w:rsidR="00F7466B">
        <w:rPr>
          <w:rFonts w:eastAsia="맑은 고딕" w:hint="eastAsia"/>
          <w:color w:val="000000"/>
          <w:lang w:val="de-DE" w:eastAsia="ko-KR"/>
        </w:rPr>
        <w:t>-</w:t>
      </w:r>
      <w:r w:rsidRPr="00F014C7">
        <w:rPr>
          <w:color w:val="000000"/>
          <w:lang w:val="de-DE"/>
        </w:rPr>
        <w:t>Ulm</w:t>
      </w:r>
    </w:p>
    <w:p w14:paraId="12DECAC7" w14:textId="77777777" w:rsidR="004401F0" w:rsidRPr="00F014C7" w:rsidRDefault="001C3ED8" w:rsidP="00BD4C7C">
      <w:pPr>
        <w:pStyle w:val="a3"/>
        <w:adjustRightInd w:val="0"/>
        <w:snapToGrid w:val="0"/>
        <w:rPr>
          <w:lang w:val="de-DE"/>
        </w:rPr>
      </w:pPr>
      <w:r w:rsidRPr="00F014C7">
        <w:rPr>
          <w:lang w:val="de-DE"/>
        </w:rPr>
        <w:t>Allemagne</w:t>
      </w:r>
    </w:p>
    <w:p w14:paraId="0815ECF1" w14:textId="77777777" w:rsidR="001C3ED8" w:rsidRPr="00F014C7" w:rsidRDefault="001C3ED8" w:rsidP="00BD4C7C">
      <w:pPr>
        <w:pStyle w:val="a3"/>
        <w:adjustRightInd w:val="0"/>
        <w:snapToGrid w:val="0"/>
        <w:rPr>
          <w:lang w:val="de-DE"/>
        </w:rPr>
      </w:pPr>
    </w:p>
    <w:p w14:paraId="4C2F9950" w14:textId="77777777" w:rsidR="001C3ED8" w:rsidRPr="000C517C" w:rsidRDefault="001C3ED8" w:rsidP="001C3ED8">
      <w:pPr>
        <w:widowControl/>
        <w:adjustRightInd w:val="0"/>
        <w:snapToGrid w:val="0"/>
        <w:rPr>
          <w:color w:val="000000"/>
          <w:lang w:val="fr-FR"/>
        </w:rPr>
      </w:pPr>
      <w:r w:rsidRPr="000C517C">
        <w:rPr>
          <w:color w:val="000000"/>
          <w:lang w:val="fr-FR"/>
        </w:rPr>
        <w:t>Nuvisan France SARL</w:t>
      </w:r>
    </w:p>
    <w:p w14:paraId="59198201" w14:textId="77777777" w:rsidR="001C3ED8" w:rsidRPr="000C517C" w:rsidRDefault="001C3ED8" w:rsidP="001C3ED8">
      <w:pPr>
        <w:widowControl/>
        <w:adjustRightInd w:val="0"/>
        <w:snapToGrid w:val="0"/>
        <w:rPr>
          <w:color w:val="000000"/>
          <w:lang w:val="fr-FR"/>
        </w:rPr>
      </w:pPr>
      <w:r w:rsidRPr="000C517C">
        <w:rPr>
          <w:color w:val="000000"/>
          <w:lang w:val="fr-FR"/>
        </w:rPr>
        <w:t>2400, Route des Colles</w:t>
      </w:r>
    </w:p>
    <w:p w14:paraId="429D4870" w14:textId="34858E7C" w:rsidR="001C3ED8" w:rsidRPr="00F7466B" w:rsidRDefault="001C3ED8" w:rsidP="001C3ED8">
      <w:pPr>
        <w:widowControl/>
        <w:adjustRightInd w:val="0"/>
        <w:snapToGrid w:val="0"/>
        <w:rPr>
          <w:color w:val="000000"/>
          <w:lang w:val="fr-FR"/>
        </w:rPr>
      </w:pPr>
      <w:r w:rsidRPr="000C517C">
        <w:rPr>
          <w:color w:val="000000"/>
          <w:lang w:val="fr-FR"/>
        </w:rPr>
        <w:t xml:space="preserve">06410, </w:t>
      </w:r>
      <w:r w:rsidR="00F7466B">
        <w:rPr>
          <w:rFonts w:eastAsia="맑은 고딕" w:hint="eastAsia"/>
          <w:color w:val="000000"/>
          <w:lang w:val="fr-FR" w:eastAsia="ko-KR"/>
        </w:rPr>
        <w:t>Biot</w:t>
      </w:r>
    </w:p>
    <w:p w14:paraId="26F0D5FE" w14:textId="77777777" w:rsidR="001C3ED8" w:rsidRPr="000C517C" w:rsidRDefault="001C3ED8" w:rsidP="001C3ED8">
      <w:pPr>
        <w:widowControl/>
        <w:adjustRightInd w:val="0"/>
        <w:snapToGrid w:val="0"/>
        <w:rPr>
          <w:color w:val="000000"/>
          <w:lang w:val="fr-FR"/>
        </w:rPr>
      </w:pPr>
      <w:r w:rsidRPr="00654D21">
        <w:rPr>
          <w:color w:val="000000"/>
          <w:lang w:val="fr-FR"/>
        </w:rPr>
        <w:t>France</w:t>
      </w:r>
    </w:p>
    <w:p w14:paraId="004E3AEF" w14:textId="77777777" w:rsidR="001C3ED8" w:rsidRDefault="001C3ED8" w:rsidP="00BD4C7C">
      <w:pPr>
        <w:pStyle w:val="a3"/>
        <w:adjustRightInd w:val="0"/>
        <w:snapToGrid w:val="0"/>
        <w:rPr>
          <w:lang w:val="fr-FR"/>
        </w:rPr>
      </w:pPr>
    </w:p>
    <w:p w14:paraId="12F0526C" w14:textId="77777777" w:rsidR="000B1F30" w:rsidRPr="00AD3921" w:rsidRDefault="000B1F30" w:rsidP="000B1F30">
      <w:pPr>
        <w:adjustRightInd w:val="0"/>
        <w:snapToGrid w:val="0"/>
        <w:rPr>
          <w:snapToGrid w:val="0"/>
          <w:color w:val="000000"/>
          <w:lang w:val="fr-FR"/>
        </w:rPr>
      </w:pPr>
      <w:r w:rsidRPr="00AD3921">
        <w:rPr>
          <w:snapToGrid w:val="0"/>
          <w:color w:val="000000"/>
          <w:lang w:val="fr-FR"/>
        </w:rPr>
        <w:t>Kymos S.L.</w:t>
      </w:r>
    </w:p>
    <w:p w14:paraId="2896C18B" w14:textId="77777777" w:rsidR="000B1F30" w:rsidRPr="00AD3921" w:rsidRDefault="000B1F30" w:rsidP="000B1F30">
      <w:pPr>
        <w:adjustRightInd w:val="0"/>
        <w:snapToGrid w:val="0"/>
        <w:rPr>
          <w:snapToGrid w:val="0"/>
          <w:color w:val="000000"/>
          <w:lang w:val="fr-FR"/>
        </w:rPr>
      </w:pPr>
      <w:r w:rsidRPr="00AD3921">
        <w:rPr>
          <w:snapToGrid w:val="0"/>
          <w:color w:val="000000"/>
          <w:lang w:val="fr-FR"/>
        </w:rPr>
        <w:t>Ronda Can Fatjo 7B</w:t>
      </w:r>
    </w:p>
    <w:p w14:paraId="3A8BAFD6" w14:textId="60028F4D" w:rsidR="000B1F30" w:rsidRPr="00AD3921" w:rsidRDefault="000B1F30" w:rsidP="000B1F30">
      <w:pPr>
        <w:adjustRightInd w:val="0"/>
        <w:snapToGrid w:val="0"/>
        <w:rPr>
          <w:snapToGrid w:val="0"/>
          <w:color w:val="000000"/>
          <w:lang w:val="fr-FR"/>
        </w:rPr>
      </w:pPr>
      <w:r w:rsidRPr="00AD3921">
        <w:rPr>
          <w:snapToGrid w:val="0"/>
          <w:color w:val="000000"/>
          <w:lang w:val="fr-FR"/>
        </w:rPr>
        <w:t>(Parque Technologique d</w:t>
      </w:r>
      <w:r>
        <w:rPr>
          <w:snapToGrid w:val="0"/>
          <w:color w:val="000000"/>
          <w:lang w:val="fr-FR"/>
        </w:rPr>
        <w:t>el</w:t>
      </w:r>
      <w:r w:rsidRPr="00AD3921">
        <w:rPr>
          <w:snapToGrid w:val="0"/>
          <w:color w:val="000000"/>
          <w:lang w:val="fr-FR"/>
        </w:rPr>
        <w:t xml:space="preserve"> Vallès)</w:t>
      </w:r>
      <w:r>
        <w:rPr>
          <w:snapToGrid w:val="0"/>
          <w:color w:val="000000"/>
          <w:lang w:val="fr-FR"/>
        </w:rPr>
        <w:t xml:space="preserve"> </w:t>
      </w:r>
      <w:r w:rsidRPr="00AD3921">
        <w:rPr>
          <w:snapToGrid w:val="0"/>
          <w:color w:val="000000"/>
          <w:lang w:val="fr-FR"/>
        </w:rPr>
        <w:t>Cerdanyola del Vallès</w:t>
      </w:r>
    </w:p>
    <w:p w14:paraId="1BE58361" w14:textId="1492101C" w:rsidR="000B1F30" w:rsidRPr="00AD3921" w:rsidRDefault="000B1F30" w:rsidP="000B1F30">
      <w:pPr>
        <w:adjustRightInd w:val="0"/>
        <w:snapToGrid w:val="0"/>
        <w:rPr>
          <w:snapToGrid w:val="0"/>
          <w:color w:val="000000"/>
          <w:lang w:val="fr-FR"/>
        </w:rPr>
      </w:pPr>
      <w:r w:rsidRPr="00AD3921">
        <w:rPr>
          <w:snapToGrid w:val="0"/>
          <w:color w:val="000000"/>
          <w:lang w:val="fr-FR"/>
        </w:rPr>
        <w:t>08290 Barcelone</w:t>
      </w:r>
    </w:p>
    <w:p w14:paraId="28278BD1" w14:textId="77777777" w:rsidR="00CE09D0" w:rsidRPr="00850855" w:rsidRDefault="00CE09D0" w:rsidP="00CE09D0">
      <w:pPr>
        <w:spacing w:before="10" w:line="240" w:lineRule="exact"/>
        <w:rPr>
          <w:lang w:val="fr-CA"/>
        </w:rPr>
      </w:pPr>
      <w:r w:rsidRPr="00850855">
        <w:rPr>
          <w:lang w:val="fr-CA"/>
        </w:rPr>
        <w:t>Espagne</w:t>
      </w:r>
    </w:p>
    <w:p w14:paraId="643EDCA9" w14:textId="77777777" w:rsidR="00CE09D0" w:rsidRDefault="00CE09D0" w:rsidP="00BD4C7C">
      <w:pPr>
        <w:pStyle w:val="a3"/>
        <w:adjustRightInd w:val="0"/>
        <w:snapToGrid w:val="0"/>
        <w:rPr>
          <w:lang w:val="fr-FR"/>
        </w:rPr>
      </w:pPr>
    </w:p>
    <w:p w14:paraId="7E5CDE6E" w14:textId="77777777" w:rsidR="000D0141" w:rsidRPr="00850855" w:rsidRDefault="000D0141" w:rsidP="000D0141">
      <w:pPr>
        <w:rPr>
          <w:lang w:val="fr-CA"/>
        </w:rPr>
      </w:pPr>
      <w:r w:rsidRPr="00850855">
        <w:rPr>
          <w:spacing w:val="-5"/>
          <w:lang w:val="fr-CA"/>
        </w:rPr>
        <w:t>Midas Pharma GmbH</w:t>
      </w:r>
    </w:p>
    <w:p w14:paraId="4BCE21B7" w14:textId="77777777" w:rsidR="000D0141" w:rsidRPr="00850855" w:rsidRDefault="000D0141" w:rsidP="000D0141">
      <w:pPr>
        <w:rPr>
          <w:lang w:val="fr-CA"/>
        </w:rPr>
      </w:pPr>
      <w:r w:rsidRPr="00850855">
        <w:rPr>
          <w:lang w:val="fr-CA"/>
        </w:rPr>
        <w:t>Rheinstraße 49</w:t>
      </w:r>
    </w:p>
    <w:p w14:paraId="3DF037C8" w14:textId="77777777" w:rsidR="000D0141" w:rsidRPr="00850855" w:rsidRDefault="000D0141" w:rsidP="000D0141">
      <w:pPr>
        <w:rPr>
          <w:lang w:val="fr-CA" w:eastAsia="ko-KR"/>
        </w:rPr>
      </w:pPr>
      <w:r w:rsidRPr="00850855">
        <w:rPr>
          <w:lang w:val="fr-CA"/>
        </w:rPr>
        <w:t>55218 Ingelheim am Rhein</w:t>
      </w:r>
    </w:p>
    <w:p w14:paraId="4398C661" w14:textId="77777777" w:rsidR="000D0141" w:rsidRPr="00850855" w:rsidRDefault="000D0141" w:rsidP="000D0141">
      <w:pPr>
        <w:spacing w:before="10" w:line="240" w:lineRule="exact"/>
        <w:rPr>
          <w:lang w:val="fr-CA"/>
        </w:rPr>
      </w:pPr>
      <w:r w:rsidRPr="00850855">
        <w:rPr>
          <w:lang w:val="fr-CA"/>
        </w:rPr>
        <w:t>Allemagne</w:t>
      </w:r>
    </w:p>
    <w:p w14:paraId="6310B233" w14:textId="77777777" w:rsidR="000D0141" w:rsidRDefault="000D0141" w:rsidP="00BD4C7C">
      <w:pPr>
        <w:pStyle w:val="a3"/>
        <w:adjustRightInd w:val="0"/>
        <w:snapToGrid w:val="0"/>
        <w:rPr>
          <w:lang w:val="fr-FR"/>
        </w:rPr>
      </w:pPr>
    </w:p>
    <w:p w14:paraId="54378524" w14:textId="5AC027F0" w:rsidR="001C3ED8" w:rsidRPr="000C517C" w:rsidRDefault="001C3ED8" w:rsidP="001C3ED8">
      <w:pPr>
        <w:pStyle w:val="a3"/>
        <w:adjustRightInd w:val="0"/>
        <w:snapToGrid w:val="0"/>
        <w:rPr>
          <w:lang w:val="fr-FR"/>
        </w:rPr>
      </w:pPr>
      <w:r w:rsidRPr="000C517C">
        <w:rPr>
          <w:lang w:val="fr-FR"/>
        </w:rPr>
        <w:t xml:space="preserve">Le nom et l’adresse du fabricant responsable de la libération du lot concerné doivent figurer sur la notice du </w:t>
      </w:r>
      <w:r w:rsidR="00FF1BC7" w:rsidRPr="00FF1BC7">
        <w:rPr>
          <w:lang w:val="fr-FR"/>
        </w:rPr>
        <w:t>médicament</w:t>
      </w:r>
      <w:r w:rsidR="00801AED" w:rsidRPr="000C517C">
        <w:rPr>
          <w:lang w:val="fr-FR"/>
        </w:rPr>
        <w:t>.</w:t>
      </w:r>
    </w:p>
    <w:p w14:paraId="70FB9742" w14:textId="77777777" w:rsidR="001C3ED8" w:rsidRPr="00DB59CD" w:rsidRDefault="001C3ED8" w:rsidP="00BD4C7C">
      <w:pPr>
        <w:pStyle w:val="a3"/>
        <w:adjustRightInd w:val="0"/>
        <w:snapToGrid w:val="0"/>
        <w:rPr>
          <w:lang w:val="fr-FR"/>
        </w:rPr>
      </w:pPr>
    </w:p>
    <w:p w14:paraId="7EE6BDC0" w14:textId="77777777" w:rsidR="004401F0" w:rsidRPr="00DA7718" w:rsidRDefault="004401F0" w:rsidP="00BD4C7C">
      <w:pPr>
        <w:pStyle w:val="a3"/>
        <w:adjustRightInd w:val="0"/>
        <w:snapToGrid w:val="0"/>
        <w:rPr>
          <w:sz w:val="20"/>
          <w:lang w:val="fr-FR"/>
        </w:rPr>
      </w:pPr>
    </w:p>
    <w:p w14:paraId="750A7BD6" w14:textId="77777777" w:rsidR="004401F0" w:rsidRPr="00DA7718" w:rsidRDefault="00BD4C7C" w:rsidP="00E84257">
      <w:pPr>
        <w:pStyle w:val="TitleB"/>
        <w:outlineLvl w:val="0"/>
      </w:pPr>
      <w:bookmarkStart w:id="10" w:name="B._CONDITIONS_OU_RESTRICTION_DE_DELIVRAN"/>
      <w:bookmarkEnd w:id="10"/>
      <w:r w:rsidRPr="00DA7718">
        <w:t>B.</w:t>
      </w:r>
      <w:r w:rsidRPr="00DA7718">
        <w:tab/>
      </w:r>
      <w:r w:rsidR="00DF3C4F" w:rsidRPr="00DA7718">
        <w:t>CONDITIONS OU RESTRICTION DE DELIVRANCE ET D’UTILISATION</w:t>
      </w:r>
    </w:p>
    <w:p w14:paraId="2E3DC225" w14:textId="77777777" w:rsidR="004401F0" w:rsidRPr="007C119A" w:rsidRDefault="004401F0" w:rsidP="00BD4C7C">
      <w:pPr>
        <w:pStyle w:val="a3"/>
        <w:adjustRightInd w:val="0"/>
        <w:snapToGrid w:val="0"/>
        <w:rPr>
          <w:b/>
          <w:lang w:val="fr-FR"/>
        </w:rPr>
      </w:pPr>
    </w:p>
    <w:p w14:paraId="124DD398" w14:textId="77777777" w:rsidR="004401F0" w:rsidRPr="00DA7718" w:rsidRDefault="00DF3C4F" w:rsidP="00BD4C7C">
      <w:pPr>
        <w:pStyle w:val="a3"/>
        <w:adjustRightInd w:val="0"/>
        <w:snapToGrid w:val="0"/>
        <w:rPr>
          <w:lang w:val="fr-FR"/>
        </w:rPr>
      </w:pPr>
      <w:r w:rsidRPr="00DA7718">
        <w:rPr>
          <w:lang w:val="fr-FR"/>
        </w:rPr>
        <w:t>Médicament soumis à prescription médicale restreinte (voir Annexe I: Résumé des Caractéristiques du Produit, rubrique 4.2).</w:t>
      </w:r>
    </w:p>
    <w:p w14:paraId="4EBB3301" w14:textId="77777777" w:rsidR="004401F0" w:rsidRPr="00DB59CD" w:rsidRDefault="004401F0" w:rsidP="00BD4C7C">
      <w:pPr>
        <w:pStyle w:val="a3"/>
        <w:adjustRightInd w:val="0"/>
        <w:snapToGrid w:val="0"/>
        <w:rPr>
          <w:lang w:val="fr-FR"/>
        </w:rPr>
      </w:pPr>
    </w:p>
    <w:p w14:paraId="7EA07D75" w14:textId="77777777" w:rsidR="004401F0" w:rsidRPr="00DA7718" w:rsidRDefault="004401F0" w:rsidP="00BD4C7C">
      <w:pPr>
        <w:pStyle w:val="a3"/>
        <w:adjustRightInd w:val="0"/>
        <w:snapToGrid w:val="0"/>
        <w:rPr>
          <w:sz w:val="20"/>
          <w:lang w:val="fr-FR"/>
        </w:rPr>
      </w:pPr>
    </w:p>
    <w:p w14:paraId="6DF9F85F" w14:textId="77777777" w:rsidR="004401F0" w:rsidRPr="00DA7718" w:rsidRDefault="00BD4C7C" w:rsidP="00E84257">
      <w:pPr>
        <w:pStyle w:val="TitleB"/>
        <w:outlineLvl w:val="0"/>
      </w:pPr>
      <w:bookmarkStart w:id="11" w:name="C._AUTRES_CONDITIONS_ET_OBLIGATIONS_DE_L"/>
      <w:bookmarkEnd w:id="11"/>
      <w:r w:rsidRPr="00DA7718">
        <w:t>C.</w:t>
      </w:r>
      <w:r w:rsidRPr="00DA7718">
        <w:tab/>
      </w:r>
      <w:r w:rsidR="00DF3C4F" w:rsidRPr="00DA7718">
        <w:t>AUTRES CONDITIONS ET OBLIGATIONS DE L’AUTORISATION DE MISE SUR LE MARCHE</w:t>
      </w:r>
    </w:p>
    <w:p w14:paraId="29BA52EB" w14:textId="77777777" w:rsidR="004401F0" w:rsidRPr="00DA7718" w:rsidRDefault="004401F0" w:rsidP="00BD4C7C">
      <w:pPr>
        <w:pStyle w:val="a3"/>
        <w:adjustRightInd w:val="0"/>
        <w:snapToGrid w:val="0"/>
        <w:rPr>
          <w:b/>
          <w:lang w:val="fr-FR"/>
        </w:rPr>
      </w:pPr>
    </w:p>
    <w:p w14:paraId="6C0BC554" w14:textId="29E6FC0D" w:rsidR="004401F0" w:rsidRPr="004E68C4" w:rsidRDefault="00BD4C7C" w:rsidP="004E68C4">
      <w:pPr>
        <w:rPr>
          <w:b/>
          <w:bCs/>
          <w:lang w:val="fr-FR"/>
        </w:rPr>
      </w:pPr>
      <w:r w:rsidRPr="004E68C4">
        <w:rPr>
          <w:rFonts w:ascii="Symbol" w:eastAsia="Symbol" w:hAnsi="Symbol" w:cs="Symbol"/>
          <w:b/>
          <w:bCs/>
          <w:lang w:val="fr-FR"/>
        </w:rPr>
        <w:t></w:t>
      </w:r>
      <w:r w:rsidRPr="004E68C4">
        <w:rPr>
          <w:rFonts w:ascii="Symbol" w:eastAsia="Symbol" w:hAnsi="Symbol" w:cs="Symbol"/>
          <w:b/>
          <w:bCs/>
          <w:lang w:val="fr-FR"/>
        </w:rPr>
        <w:tab/>
      </w:r>
      <w:r w:rsidR="00DF3C4F" w:rsidRPr="004E68C4">
        <w:rPr>
          <w:b/>
          <w:bCs/>
          <w:lang w:val="fr-FR"/>
        </w:rPr>
        <w:t>Rapports périodiques actualisés de sécurité (PSUR</w:t>
      </w:r>
      <w:r w:rsidR="00BC7C97" w:rsidRPr="004E68C4">
        <w:rPr>
          <w:b/>
          <w:bCs/>
          <w:lang w:val="fr-FR"/>
        </w:rPr>
        <w:t>s</w:t>
      </w:r>
      <w:r w:rsidR="00DF3C4F" w:rsidRPr="004E68C4">
        <w:rPr>
          <w:b/>
          <w:bCs/>
          <w:lang w:val="fr-FR"/>
        </w:rPr>
        <w:t>)</w:t>
      </w:r>
    </w:p>
    <w:p w14:paraId="1A9E1E0E" w14:textId="77777777" w:rsidR="004401F0" w:rsidRPr="007C119A" w:rsidRDefault="004401F0" w:rsidP="00BD4C7C">
      <w:pPr>
        <w:pStyle w:val="a3"/>
        <w:adjustRightInd w:val="0"/>
        <w:snapToGrid w:val="0"/>
        <w:rPr>
          <w:b/>
          <w:lang w:val="fr-FR"/>
        </w:rPr>
      </w:pPr>
    </w:p>
    <w:p w14:paraId="3EF3C059" w14:textId="77777777" w:rsidR="004401F0" w:rsidRPr="00DA7718" w:rsidRDefault="00DF3C4F" w:rsidP="00BD4C7C">
      <w:pPr>
        <w:pStyle w:val="a3"/>
        <w:adjustRightInd w:val="0"/>
        <w:snapToGrid w:val="0"/>
        <w:rPr>
          <w:lang w:val="fr-FR"/>
        </w:rPr>
      </w:pPr>
      <w:r w:rsidRPr="00DA7718">
        <w:rPr>
          <w:lang w:val="fr-FR"/>
        </w:rP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14:paraId="2826F831" w14:textId="77777777" w:rsidR="00BD4C7C" w:rsidRDefault="00BD4C7C" w:rsidP="00BD4C7C">
      <w:pPr>
        <w:adjustRightInd w:val="0"/>
        <w:snapToGrid w:val="0"/>
        <w:rPr>
          <w:lang w:val="fr-FR"/>
        </w:rPr>
      </w:pPr>
    </w:p>
    <w:p w14:paraId="7A0C2BD1" w14:textId="77777777" w:rsidR="00DA0222" w:rsidRPr="00DA7718" w:rsidRDefault="00DA0222" w:rsidP="00BD4C7C">
      <w:pPr>
        <w:adjustRightInd w:val="0"/>
        <w:snapToGrid w:val="0"/>
        <w:rPr>
          <w:lang w:val="fr-FR"/>
        </w:rPr>
      </w:pPr>
    </w:p>
    <w:p w14:paraId="3FF9DDB9" w14:textId="77777777" w:rsidR="004401F0" w:rsidRPr="00DA7718" w:rsidRDefault="00BD4C7C" w:rsidP="00E84257">
      <w:pPr>
        <w:pStyle w:val="TitleB"/>
        <w:outlineLvl w:val="0"/>
      </w:pPr>
      <w:bookmarkStart w:id="12" w:name="D._CONDITIONS_OU_RESTRICTIONS_EN_VUE_D’U"/>
      <w:bookmarkEnd w:id="12"/>
      <w:r w:rsidRPr="00DA7718">
        <w:t>D.</w:t>
      </w:r>
      <w:r w:rsidRPr="00DA7718">
        <w:tab/>
      </w:r>
      <w:r w:rsidR="00DF3C4F" w:rsidRPr="00DA7718">
        <w:t>CONDITIONS OU RESTRICTIONS EN VUE D’UNE UTILISATION SÛRE ET EFFICACE DU MÉDICAMENT</w:t>
      </w:r>
    </w:p>
    <w:p w14:paraId="6FBBD227" w14:textId="77777777" w:rsidR="004401F0" w:rsidRPr="007C119A" w:rsidRDefault="004401F0" w:rsidP="00BD4C7C">
      <w:pPr>
        <w:pStyle w:val="a3"/>
        <w:adjustRightInd w:val="0"/>
        <w:snapToGrid w:val="0"/>
        <w:rPr>
          <w:b/>
          <w:lang w:val="fr-FR"/>
        </w:rPr>
      </w:pPr>
    </w:p>
    <w:p w14:paraId="137A1B1B" w14:textId="77777777" w:rsidR="004401F0" w:rsidRPr="00DA7718" w:rsidRDefault="00BD4C7C" w:rsidP="004E68C4">
      <w:pPr>
        <w:rPr>
          <w:lang w:val="fr-FR"/>
        </w:rPr>
      </w:pPr>
      <w:r w:rsidRPr="00DA7718">
        <w:rPr>
          <w:rFonts w:ascii="Symbol" w:eastAsia="Symbol" w:hAnsi="Symbol" w:cs="Symbol"/>
          <w:lang w:val="fr-FR"/>
        </w:rPr>
        <w:lastRenderedPageBreak/>
        <w:t></w:t>
      </w:r>
      <w:r w:rsidRPr="00DA7718">
        <w:rPr>
          <w:rFonts w:ascii="Symbol" w:eastAsia="Symbol" w:hAnsi="Symbol" w:cs="Symbol"/>
          <w:lang w:val="fr-FR"/>
        </w:rPr>
        <w:tab/>
      </w:r>
      <w:r w:rsidR="00DF3C4F" w:rsidRPr="004E68C4">
        <w:rPr>
          <w:b/>
          <w:bCs/>
          <w:lang w:val="fr-FR"/>
        </w:rPr>
        <w:t>Plan de Gestion des Risques (PGR)</w:t>
      </w:r>
    </w:p>
    <w:p w14:paraId="4E6E94E1" w14:textId="77777777" w:rsidR="004401F0" w:rsidRPr="007C119A" w:rsidRDefault="004401F0" w:rsidP="00BD4C7C">
      <w:pPr>
        <w:pStyle w:val="a3"/>
        <w:adjustRightInd w:val="0"/>
        <w:snapToGrid w:val="0"/>
        <w:rPr>
          <w:b/>
          <w:lang w:val="fr-FR"/>
        </w:rPr>
      </w:pPr>
    </w:p>
    <w:p w14:paraId="03524CD1" w14:textId="77777777" w:rsidR="004401F0" w:rsidRPr="00DA7718" w:rsidRDefault="00DF3C4F" w:rsidP="00BD4C7C">
      <w:pPr>
        <w:pStyle w:val="a3"/>
        <w:adjustRightInd w:val="0"/>
        <w:snapToGrid w:val="0"/>
        <w:rPr>
          <w:lang w:val="fr-FR"/>
        </w:rPr>
      </w:pPr>
      <w:r w:rsidRPr="00DA7718">
        <w:rPr>
          <w:lang w:val="fr-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07598F93" w14:textId="77777777" w:rsidR="004401F0" w:rsidRPr="00DA7718" w:rsidRDefault="004401F0" w:rsidP="00BD4C7C">
      <w:pPr>
        <w:pStyle w:val="a3"/>
        <w:adjustRightInd w:val="0"/>
        <w:snapToGrid w:val="0"/>
        <w:rPr>
          <w:lang w:val="fr-FR"/>
        </w:rPr>
      </w:pPr>
    </w:p>
    <w:p w14:paraId="11E59CE0" w14:textId="77777777" w:rsidR="004401F0" w:rsidRPr="00DA7718" w:rsidRDefault="00DF3C4F" w:rsidP="00BD4C7C">
      <w:pPr>
        <w:pStyle w:val="a3"/>
        <w:adjustRightInd w:val="0"/>
        <w:snapToGrid w:val="0"/>
        <w:rPr>
          <w:lang w:val="fr-FR"/>
        </w:rPr>
      </w:pPr>
      <w:r w:rsidRPr="00DA7718">
        <w:rPr>
          <w:lang w:val="fr-FR"/>
        </w:rPr>
        <w:t>De plus, un PGR actualisé doit être soumis :</w:t>
      </w:r>
    </w:p>
    <w:p w14:paraId="30BFF6C3" w14:textId="77777777" w:rsidR="004401F0" w:rsidRPr="00DA7718" w:rsidRDefault="00BD4C7C" w:rsidP="00DA0222">
      <w:pPr>
        <w:adjustRightInd w:val="0"/>
        <w:snapToGrid w:val="0"/>
        <w:ind w:left="1134"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à la demande de l’Agence européenne des médicaments ;</w:t>
      </w:r>
    </w:p>
    <w:p w14:paraId="4F6A66AD" w14:textId="77777777" w:rsidR="004401F0" w:rsidRPr="00DA7718" w:rsidRDefault="00BD4C7C" w:rsidP="00DA0222">
      <w:pPr>
        <w:adjustRightInd w:val="0"/>
        <w:snapToGrid w:val="0"/>
        <w:ind w:left="1134" w:hanging="567"/>
        <w:rPr>
          <w:lang w:val="fr-FR"/>
        </w:rPr>
      </w:pPr>
      <w:r w:rsidRPr="00DA7718">
        <w:rPr>
          <w:rFonts w:ascii="Symbol" w:eastAsia="Symbol" w:hAnsi="Symbol" w:cs="Symbol"/>
          <w:lang w:val="fr-FR"/>
        </w:rPr>
        <w:t></w:t>
      </w:r>
      <w:r w:rsidRPr="00DA7718">
        <w:rPr>
          <w:rFonts w:ascii="Symbol" w:eastAsia="Symbol" w:hAnsi="Symbol" w:cs="Symbol"/>
          <w:lang w:val="fr-FR"/>
        </w:rPr>
        <w:tab/>
      </w:r>
      <w:r w:rsidR="00DF3C4F" w:rsidRPr="00DA7718">
        <w:rPr>
          <w:lang w:val="fr-FR"/>
        </w:rPr>
        <w:t>dès lors que le système de gestion des risques est modifié, notamment en cas de réception de nouvelles informations pouvant entraîner un changement significatif du profil bénéfice/risque, ou lorsqu’une étape importante (pharmacovigilance ou minimisation des risques) est franchie.</w:t>
      </w:r>
    </w:p>
    <w:p w14:paraId="3FF1D626" w14:textId="77777777" w:rsidR="00DA0222" w:rsidRDefault="00DA0222">
      <w:pPr>
        <w:rPr>
          <w:lang w:val="fr-FR"/>
        </w:rPr>
      </w:pPr>
      <w:r>
        <w:rPr>
          <w:lang w:val="fr-FR"/>
        </w:rPr>
        <w:br w:type="page"/>
      </w:r>
    </w:p>
    <w:p w14:paraId="3BB14320" w14:textId="77777777" w:rsidR="00BD4C7C" w:rsidRPr="00DA7718" w:rsidRDefault="00BD4C7C" w:rsidP="00BD4C7C">
      <w:pPr>
        <w:adjustRightInd w:val="0"/>
        <w:snapToGrid w:val="0"/>
        <w:rPr>
          <w:lang w:val="fr-FR"/>
        </w:rPr>
      </w:pPr>
    </w:p>
    <w:p w14:paraId="1A68FBDE" w14:textId="77777777" w:rsidR="004401F0" w:rsidRPr="00DA7718" w:rsidRDefault="004401F0" w:rsidP="00BD4C7C">
      <w:pPr>
        <w:pStyle w:val="a3"/>
        <w:adjustRightInd w:val="0"/>
        <w:snapToGrid w:val="0"/>
        <w:rPr>
          <w:sz w:val="20"/>
          <w:lang w:val="fr-FR"/>
        </w:rPr>
      </w:pPr>
    </w:p>
    <w:p w14:paraId="489333F0" w14:textId="77777777" w:rsidR="004401F0" w:rsidRPr="00DA7718" w:rsidRDefault="004401F0" w:rsidP="00BD4C7C">
      <w:pPr>
        <w:pStyle w:val="a3"/>
        <w:adjustRightInd w:val="0"/>
        <w:snapToGrid w:val="0"/>
        <w:rPr>
          <w:sz w:val="20"/>
          <w:lang w:val="fr-FR"/>
        </w:rPr>
      </w:pPr>
    </w:p>
    <w:p w14:paraId="523C522E" w14:textId="77777777" w:rsidR="004401F0" w:rsidRPr="00DA7718" w:rsidRDefault="004401F0" w:rsidP="00BD4C7C">
      <w:pPr>
        <w:pStyle w:val="a3"/>
        <w:adjustRightInd w:val="0"/>
        <w:snapToGrid w:val="0"/>
        <w:rPr>
          <w:sz w:val="20"/>
          <w:lang w:val="fr-FR"/>
        </w:rPr>
      </w:pPr>
    </w:p>
    <w:p w14:paraId="6F29A04D" w14:textId="77777777" w:rsidR="004401F0" w:rsidRPr="00DA7718" w:rsidRDefault="004401F0" w:rsidP="00BD4C7C">
      <w:pPr>
        <w:pStyle w:val="a3"/>
        <w:adjustRightInd w:val="0"/>
        <w:snapToGrid w:val="0"/>
        <w:rPr>
          <w:sz w:val="20"/>
          <w:lang w:val="fr-FR"/>
        </w:rPr>
      </w:pPr>
    </w:p>
    <w:p w14:paraId="2AF791E6" w14:textId="77777777" w:rsidR="004401F0" w:rsidRPr="00DA7718" w:rsidRDefault="004401F0" w:rsidP="00BD4C7C">
      <w:pPr>
        <w:pStyle w:val="a3"/>
        <w:adjustRightInd w:val="0"/>
        <w:snapToGrid w:val="0"/>
        <w:rPr>
          <w:sz w:val="20"/>
          <w:lang w:val="fr-FR"/>
        </w:rPr>
      </w:pPr>
    </w:p>
    <w:p w14:paraId="76A4FBFE" w14:textId="77777777" w:rsidR="004401F0" w:rsidRPr="00DA7718" w:rsidRDefault="004401F0" w:rsidP="00BD4C7C">
      <w:pPr>
        <w:pStyle w:val="a3"/>
        <w:adjustRightInd w:val="0"/>
        <w:snapToGrid w:val="0"/>
        <w:rPr>
          <w:sz w:val="20"/>
          <w:lang w:val="fr-FR"/>
        </w:rPr>
      </w:pPr>
    </w:p>
    <w:p w14:paraId="32643E81" w14:textId="77777777" w:rsidR="004401F0" w:rsidRPr="00DA7718" w:rsidRDefault="004401F0" w:rsidP="00BD4C7C">
      <w:pPr>
        <w:pStyle w:val="a3"/>
        <w:adjustRightInd w:val="0"/>
        <w:snapToGrid w:val="0"/>
        <w:rPr>
          <w:sz w:val="20"/>
          <w:lang w:val="fr-FR"/>
        </w:rPr>
      </w:pPr>
    </w:p>
    <w:p w14:paraId="4ABE9ED3" w14:textId="77777777" w:rsidR="004401F0" w:rsidRPr="00DA7718" w:rsidRDefault="004401F0" w:rsidP="00BD4C7C">
      <w:pPr>
        <w:pStyle w:val="a3"/>
        <w:adjustRightInd w:val="0"/>
        <w:snapToGrid w:val="0"/>
        <w:rPr>
          <w:sz w:val="20"/>
          <w:lang w:val="fr-FR"/>
        </w:rPr>
      </w:pPr>
    </w:p>
    <w:p w14:paraId="0DDFD4D4" w14:textId="77777777" w:rsidR="004401F0" w:rsidRPr="00DA7718" w:rsidRDefault="004401F0" w:rsidP="00BD4C7C">
      <w:pPr>
        <w:pStyle w:val="a3"/>
        <w:adjustRightInd w:val="0"/>
        <w:snapToGrid w:val="0"/>
        <w:rPr>
          <w:sz w:val="20"/>
          <w:lang w:val="fr-FR"/>
        </w:rPr>
      </w:pPr>
    </w:p>
    <w:p w14:paraId="5EF48A20" w14:textId="77777777" w:rsidR="004401F0" w:rsidRPr="00DA7718" w:rsidRDefault="004401F0" w:rsidP="00BD4C7C">
      <w:pPr>
        <w:pStyle w:val="a3"/>
        <w:adjustRightInd w:val="0"/>
        <w:snapToGrid w:val="0"/>
        <w:rPr>
          <w:sz w:val="20"/>
          <w:lang w:val="fr-FR"/>
        </w:rPr>
      </w:pPr>
    </w:p>
    <w:p w14:paraId="6663E7E8" w14:textId="77777777" w:rsidR="004401F0" w:rsidRPr="00DA7718" w:rsidRDefault="004401F0" w:rsidP="00BD4C7C">
      <w:pPr>
        <w:pStyle w:val="a3"/>
        <w:adjustRightInd w:val="0"/>
        <w:snapToGrid w:val="0"/>
        <w:rPr>
          <w:sz w:val="20"/>
          <w:lang w:val="fr-FR"/>
        </w:rPr>
      </w:pPr>
    </w:p>
    <w:p w14:paraId="21C499E8" w14:textId="77777777" w:rsidR="004401F0" w:rsidRPr="00DA7718" w:rsidRDefault="004401F0" w:rsidP="00BD4C7C">
      <w:pPr>
        <w:pStyle w:val="a3"/>
        <w:adjustRightInd w:val="0"/>
        <w:snapToGrid w:val="0"/>
        <w:rPr>
          <w:sz w:val="20"/>
          <w:lang w:val="fr-FR"/>
        </w:rPr>
      </w:pPr>
    </w:p>
    <w:p w14:paraId="0E511EF8" w14:textId="77777777" w:rsidR="004401F0" w:rsidRPr="00DA7718" w:rsidRDefault="004401F0" w:rsidP="00BD4C7C">
      <w:pPr>
        <w:pStyle w:val="a3"/>
        <w:adjustRightInd w:val="0"/>
        <w:snapToGrid w:val="0"/>
        <w:rPr>
          <w:sz w:val="20"/>
          <w:lang w:val="fr-FR"/>
        </w:rPr>
      </w:pPr>
    </w:p>
    <w:p w14:paraId="591DC0B9" w14:textId="77777777" w:rsidR="004401F0" w:rsidRPr="00DA7718" w:rsidRDefault="004401F0" w:rsidP="00BD4C7C">
      <w:pPr>
        <w:pStyle w:val="a3"/>
        <w:adjustRightInd w:val="0"/>
        <w:snapToGrid w:val="0"/>
        <w:rPr>
          <w:sz w:val="20"/>
          <w:lang w:val="fr-FR"/>
        </w:rPr>
      </w:pPr>
    </w:p>
    <w:p w14:paraId="65774EA0" w14:textId="77777777" w:rsidR="004401F0" w:rsidRPr="00DA7718" w:rsidRDefault="004401F0" w:rsidP="00BD4C7C">
      <w:pPr>
        <w:pStyle w:val="a3"/>
        <w:adjustRightInd w:val="0"/>
        <w:snapToGrid w:val="0"/>
        <w:rPr>
          <w:sz w:val="20"/>
          <w:lang w:val="fr-FR"/>
        </w:rPr>
      </w:pPr>
    </w:p>
    <w:p w14:paraId="2D102CAA" w14:textId="77777777" w:rsidR="004401F0" w:rsidRPr="00DA7718" w:rsidRDefault="004401F0" w:rsidP="00BD4C7C">
      <w:pPr>
        <w:pStyle w:val="a3"/>
        <w:adjustRightInd w:val="0"/>
        <w:snapToGrid w:val="0"/>
        <w:rPr>
          <w:sz w:val="20"/>
          <w:lang w:val="fr-FR"/>
        </w:rPr>
      </w:pPr>
    </w:p>
    <w:p w14:paraId="608E35BF" w14:textId="77777777" w:rsidR="004401F0" w:rsidRPr="00DA7718" w:rsidRDefault="004401F0" w:rsidP="00BD4C7C">
      <w:pPr>
        <w:pStyle w:val="a3"/>
        <w:adjustRightInd w:val="0"/>
        <w:snapToGrid w:val="0"/>
        <w:rPr>
          <w:sz w:val="20"/>
          <w:lang w:val="fr-FR"/>
        </w:rPr>
      </w:pPr>
    </w:p>
    <w:p w14:paraId="4AB0BEDF" w14:textId="77777777" w:rsidR="004401F0" w:rsidRPr="00DA7718" w:rsidRDefault="004401F0" w:rsidP="00BD4C7C">
      <w:pPr>
        <w:pStyle w:val="a3"/>
        <w:adjustRightInd w:val="0"/>
        <w:snapToGrid w:val="0"/>
        <w:rPr>
          <w:sz w:val="20"/>
          <w:lang w:val="fr-FR"/>
        </w:rPr>
      </w:pPr>
    </w:p>
    <w:p w14:paraId="79974CB9" w14:textId="77777777" w:rsidR="004401F0" w:rsidRPr="00DA7718" w:rsidRDefault="004401F0" w:rsidP="00BD4C7C">
      <w:pPr>
        <w:pStyle w:val="a3"/>
        <w:adjustRightInd w:val="0"/>
        <w:snapToGrid w:val="0"/>
        <w:rPr>
          <w:sz w:val="20"/>
          <w:lang w:val="fr-FR"/>
        </w:rPr>
      </w:pPr>
    </w:p>
    <w:p w14:paraId="3C673BA2" w14:textId="77777777" w:rsidR="004401F0" w:rsidRPr="00DA7718" w:rsidRDefault="004401F0" w:rsidP="00BD4C7C">
      <w:pPr>
        <w:pStyle w:val="a3"/>
        <w:adjustRightInd w:val="0"/>
        <w:snapToGrid w:val="0"/>
        <w:rPr>
          <w:sz w:val="20"/>
          <w:lang w:val="fr-FR"/>
        </w:rPr>
      </w:pPr>
    </w:p>
    <w:p w14:paraId="5F679B61" w14:textId="77777777" w:rsidR="004401F0" w:rsidRPr="00DA7718" w:rsidRDefault="004401F0" w:rsidP="00BD4C7C">
      <w:pPr>
        <w:pStyle w:val="a3"/>
        <w:adjustRightInd w:val="0"/>
        <w:snapToGrid w:val="0"/>
        <w:rPr>
          <w:sz w:val="17"/>
          <w:lang w:val="fr-FR"/>
        </w:rPr>
      </w:pPr>
    </w:p>
    <w:p w14:paraId="24C0B6CD" w14:textId="66F50F76" w:rsidR="00DA0222" w:rsidRPr="007646B1" w:rsidRDefault="00DF3C4F" w:rsidP="007646B1">
      <w:pPr>
        <w:jc w:val="center"/>
        <w:rPr>
          <w:b/>
          <w:bCs/>
          <w:lang w:val="fr-FR"/>
        </w:rPr>
      </w:pPr>
      <w:r w:rsidRPr="007646B1">
        <w:rPr>
          <w:b/>
          <w:bCs/>
          <w:lang w:val="fr-FR"/>
        </w:rPr>
        <w:t>ANNEXE III</w:t>
      </w:r>
    </w:p>
    <w:p w14:paraId="103192CB" w14:textId="77777777" w:rsidR="00DA0222" w:rsidRPr="007646B1" w:rsidRDefault="00DA0222" w:rsidP="007646B1">
      <w:pPr>
        <w:jc w:val="center"/>
        <w:rPr>
          <w:b/>
          <w:bCs/>
          <w:lang w:val="fr-FR"/>
        </w:rPr>
      </w:pPr>
    </w:p>
    <w:p w14:paraId="58D931B0" w14:textId="77777777" w:rsidR="004401F0" w:rsidRPr="007646B1" w:rsidRDefault="00DF3C4F" w:rsidP="007646B1">
      <w:pPr>
        <w:jc w:val="center"/>
        <w:rPr>
          <w:b/>
          <w:bCs/>
          <w:lang w:val="fr-FR"/>
        </w:rPr>
      </w:pPr>
      <w:r w:rsidRPr="007646B1">
        <w:rPr>
          <w:b/>
          <w:bCs/>
          <w:lang w:val="fr-FR"/>
        </w:rPr>
        <w:t>ETIQUETAGE ET NOTICE</w:t>
      </w:r>
    </w:p>
    <w:p w14:paraId="1F5412C4" w14:textId="77777777" w:rsidR="00BD4C7C" w:rsidRPr="00DA7718" w:rsidRDefault="00BD4C7C" w:rsidP="00BD4C7C">
      <w:pPr>
        <w:adjustRightInd w:val="0"/>
        <w:snapToGrid w:val="0"/>
        <w:jc w:val="center"/>
        <w:rPr>
          <w:lang w:val="fr-FR"/>
        </w:rPr>
      </w:pPr>
    </w:p>
    <w:p w14:paraId="7760BD45" w14:textId="77777777" w:rsidR="00DA0222" w:rsidRDefault="00DA0222">
      <w:pPr>
        <w:rPr>
          <w:b/>
          <w:sz w:val="20"/>
          <w:lang w:val="fr-FR"/>
        </w:rPr>
      </w:pPr>
      <w:r>
        <w:rPr>
          <w:b/>
          <w:sz w:val="20"/>
          <w:lang w:val="fr-FR"/>
        </w:rPr>
        <w:br w:type="page"/>
      </w:r>
    </w:p>
    <w:p w14:paraId="5549F8A0" w14:textId="77777777" w:rsidR="004401F0" w:rsidRPr="00DA0222" w:rsidRDefault="004401F0" w:rsidP="00BD4C7C">
      <w:pPr>
        <w:pStyle w:val="a3"/>
        <w:adjustRightInd w:val="0"/>
        <w:snapToGrid w:val="0"/>
        <w:rPr>
          <w:b/>
          <w:lang w:val="fr-FR"/>
        </w:rPr>
      </w:pPr>
    </w:p>
    <w:p w14:paraId="11D3F602" w14:textId="77777777" w:rsidR="004401F0" w:rsidRPr="00DA0222" w:rsidRDefault="004401F0" w:rsidP="00BD4C7C">
      <w:pPr>
        <w:pStyle w:val="a3"/>
        <w:adjustRightInd w:val="0"/>
        <w:snapToGrid w:val="0"/>
        <w:rPr>
          <w:b/>
          <w:lang w:val="fr-FR"/>
        </w:rPr>
      </w:pPr>
    </w:p>
    <w:p w14:paraId="0B916313" w14:textId="77777777" w:rsidR="004401F0" w:rsidRPr="00DA0222" w:rsidRDefault="004401F0" w:rsidP="00BD4C7C">
      <w:pPr>
        <w:pStyle w:val="a3"/>
        <w:adjustRightInd w:val="0"/>
        <w:snapToGrid w:val="0"/>
        <w:rPr>
          <w:b/>
          <w:lang w:val="fr-FR"/>
        </w:rPr>
      </w:pPr>
    </w:p>
    <w:p w14:paraId="63929A28" w14:textId="77777777" w:rsidR="004401F0" w:rsidRPr="00DA0222" w:rsidRDefault="004401F0" w:rsidP="00BD4C7C">
      <w:pPr>
        <w:pStyle w:val="a3"/>
        <w:adjustRightInd w:val="0"/>
        <w:snapToGrid w:val="0"/>
        <w:rPr>
          <w:b/>
          <w:lang w:val="fr-FR"/>
        </w:rPr>
      </w:pPr>
    </w:p>
    <w:p w14:paraId="0A30CA99" w14:textId="77777777" w:rsidR="004401F0" w:rsidRPr="00DA0222" w:rsidRDefault="004401F0" w:rsidP="00BD4C7C">
      <w:pPr>
        <w:pStyle w:val="a3"/>
        <w:adjustRightInd w:val="0"/>
        <w:snapToGrid w:val="0"/>
        <w:rPr>
          <w:b/>
          <w:lang w:val="fr-FR"/>
        </w:rPr>
      </w:pPr>
    </w:p>
    <w:p w14:paraId="0CD90FCD" w14:textId="77777777" w:rsidR="004401F0" w:rsidRPr="00DA0222" w:rsidRDefault="004401F0" w:rsidP="00BD4C7C">
      <w:pPr>
        <w:pStyle w:val="a3"/>
        <w:adjustRightInd w:val="0"/>
        <w:snapToGrid w:val="0"/>
        <w:rPr>
          <w:b/>
          <w:lang w:val="fr-FR"/>
        </w:rPr>
      </w:pPr>
    </w:p>
    <w:p w14:paraId="7E3FD222" w14:textId="77777777" w:rsidR="004401F0" w:rsidRPr="00DA0222" w:rsidRDefault="004401F0" w:rsidP="00BD4C7C">
      <w:pPr>
        <w:pStyle w:val="a3"/>
        <w:adjustRightInd w:val="0"/>
        <w:snapToGrid w:val="0"/>
        <w:rPr>
          <w:b/>
          <w:lang w:val="fr-FR"/>
        </w:rPr>
      </w:pPr>
    </w:p>
    <w:p w14:paraId="716D5810" w14:textId="77777777" w:rsidR="004401F0" w:rsidRPr="00DA0222" w:rsidRDefault="004401F0" w:rsidP="00BD4C7C">
      <w:pPr>
        <w:pStyle w:val="a3"/>
        <w:adjustRightInd w:val="0"/>
        <w:snapToGrid w:val="0"/>
        <w:rPr>
          <w:b/>
          <w:lang w:val="fr-FR"/>
        </w:rPr>
      </w:pPr>
    </w:p>
    <w:p w14:paraId="0AD84571" w14:textId="77777777" w:rsidR="004401F0" w:rsidRPr="00DA0222" w:rsidRDefault="004401F0" w:rsidP="00BD4C7C">
      <w:pPr>
        <w:pStyle w:val="a3"/>
        <w:adjustRightInd w:val="0"/>
        <w:snapToGrid w:val="0"/>
        <w:rPr>
          <w:b/>
          <w:lang w:val="fr-FR"/>
        </w:rPr>
      </w:pPr>
    </w:p>
    <w:p w14:paraId="25ECBB9F" w14:textId="77777777" w:rsidR="004401F0" w:rsidRPr="00DA0222" w:rsidRDefault="004401F0" w:rsidP="00BD4C7C">
      <w:pPr>
        <w:pStyle w:val="a3"/>
        <w:adjustRightInd w:val="0"/>
        <w:snapToGrid w:val="0"/>
        <w:rPr>
          <w:b/>
          <w:lang w:val="fr-FR"/>
        </w:rPr>
      </w:pPr>
    </w:p>
    <w:p w14:paraId="05E685C0" w14:textId="77777777" w:rsidR="004401F0" w:rsidRPr="00DA0222" w:rsidRDefault="004401F0" w:rsidP="00BD4C7C">
      <w:pPr>
        <w:pStyle w:val="a3"/>
        <w:adjustRightInd w:val="0"/>
        <w:snapToGrid w:val="0"/>
        <w:rPr>
          <w:b/>
          <w:lang w:val="fr-FR"/>
        </w:rPr>
      </w:pPr>
    </w:p>
    <w:p w14:paraId="77A5D90F" w14:textId="77777777" w:rsidR="004401F0" w:rsidRPr="00DA0222" w:rsidRDefault="004401F0" w:rsidP="00BD4C7C">
      <w:pPr>
        <w:pStyle w:val="a3"/>
        <w:adjustRightInd w:val="0"/>
        <w:snapToGrid w:val="0"/>
        <w:rPr>
          <w:b/>
          <w:lang w:val="fr-FR"/>
        </w:rPr>
      </w:pPr>
    </w:p>
    <w:p w14:paraId="30850B23" w14:textId="77777777" w:rsidR="004401F0" w:rsidRPr="00DA0222" w:rsidRDefault="004401F0" w:rsidP="00BD4C7C">
      <w:pPr>
        <w:pStyle w:val="a3"/>
        <w:adjustRightInd w:val="0"/>
        <w:snapToGrid w:val="0"/>
        <w:rPr>
          <w:b/>
          <w:lang w:val="fr-FR"/>
        </w:rPr>
      </w:pPr>
    </w:p>
    <w:p w14:paraId="7B090CC3" w14:textId="77777777" w:rsidR="004401F0" w:rsidRPr="00DA0222" w:rsidRDefault="004401F0" w:rsidP="00BD4C7C">
      <w:pPr>
        <w:pStyle w:val="a3"/>
        <w:adjustRightInd w:val="0"/>
        <w:snapToGrid w:val="0"/>
        <w:rPr>
          <w:b/>
          <w:lang w:val="fr-FR"/>
        </w:rPr>
      </w:pPr>
    </w:p>
    <w:p w14:paraId="253B86E2" w14:textId="77777777" w:rsidR="004401F0" w:rsidRPr="00DA0222" w:rsidRDefault="004401F0" w:rsidP="00BD4C7C">
      <w:pPr>
        <w:pStyle w:val="a3"/>
        <w:adjustRightInd w:val="0"/>
        <w:snapToGrid w:val="0"/>
        <w:rPr>
          <w:b/>
          <w:lang w:val="fr-FR"/>
        </w:rPr>
      </w:pPr>
    </w:p>
    <w:p w14:paraId="77B25142" w14:textId="77777777" w:rsidR="004401F0" w:rsidRPr="00DA0222" w:rsidRDefault="004401F0" w:rsidP="00BD4C7C">
      <w:pPr>
        <w:pStyle w:val="a3"/>
        <w:adjustRightInd w:val="0"/>
        <w:snapToGrid w:val="0"/>
        <w:rPr>
          <w:b/>
          <w:lang w:val="fr-FR"/>
        </w:rPr>
      </w:pPr>
    </w:p>
    <w:p w14:paraId="0EE443EB" w14:textId="77777777" w:rsidR="004401F0" w:rsidRPr="00DA0222" w:rsidRDefault="004401F0" w:rsidP="00BD4C7C">
      <w:pPr>
        <w:pStyle w:val="a3"/>
        <w:adjustRightInd w:val="0"/>
        <w:snapToGrid w:val="0"/>
        <w:rPr>
          <w:b/>
          <w:lang w:val="fr-FR"/>
        </w:rPr>
      </w:pPr>
    </w:p>
    <w:p w14:paraId="660E5A6C" w14:textId="77777777" w:rsidR="004401F0" w:rsidRPr="00DA0222" w:rsidRDefault="004401F0" w:rsidP="00BD4C7C">
      <w:pPr>
        <w:pStyle w:val="a3"/>
        <w:adjustRightInd w:val="0"/>
        <w:snapToGrid w:val="0"/>
        <w:rPr>
          <w:b/>
          <w:lang w:val="fr-FR"/>
        </w:rPr>
      </w:pPr>
    </w:p>
    <w:p w14:paraId="4FAFC916" w14:textId="77777777" w:rsidR="004401F0" w:rsidRPr="00DA0222" w:rsidRDefault="004401F0" w:rsidP="00BD4C7C">
      <w:pPr>
        <w:pStyle w:val="a3"/>
        <w:adjustRightInd w:val="0"/>
        <w:snapToGrid w:val="0"/>
        <w:rPr>
          <w:b/>
          <w:lang w:val="fr-FR"/>
        </w:rPr>
      </w:pPr>
    </w:p>
    <w:p w14:paraId="25C22164" w14:textId="77777777" w:rsidR="004401F0" w:rsidRPr="00DA0222" w:rsidRDefault="004401F0" w:rsidP="00BD4C7C">
      <w:pPr>
        <w:pStyle w:val="a3"/>
        <w:adjustRightInd w:val="0"/>
        <w:snapToGrid w:val="0"/>
        <w:rPr>
          <w:b/>
          <w:lang w:val="fr-FR"/>
        </w:rPr>
      </w:pPr>
    </w:p>
    <w:p w14:paraId="2387CF59" w14:textId="77777777" w:rsidR="004401F0" w:rsidRPr="00DA0222" w:rsidRDefault="004401F0" w:rsidP="00BD4C7C">
      <w:pPr>
        <w:pStyle w:val="a3"/>
        <w:adjustRightInd w:val="0"/>
        <w:snapToGrid w:val="0"/>
        <w:rPr>
          <w:b/>
          <w:lang w:val="fr-FR"/>
        </w:rPr>
      </w:pPr>
    </w:p>
    <w:p w14:paraId="2C2A50E4" w14:textId="77777777" w:rsidR="004401F0" w:rsidRPr="00DA0222" w:rsidRDefault="004401F0" w:rsidP="00BD4C7C">
      <w:pPr>
        <w:pStyle w:val="a3"/>
        <w:adjustRightInd w:val="0"/>
        <w:snapToGrid w:val="0"/>
        <w:rPr>
          <w:b/>
          <w:lang w:val="fr-FR"/>
        </w:rPr>
      </w:pPr>
    </w:p>
    <w:p w14:paraId="6E6E0036" w14:textId="77777777" w:rsidR="004401F0" w:rsidRPr="00DA7718" w:rsidRDefault="00BD4C7C" w:rsidP="00E84257">
      <w:pPr>
        <w:pStyle w:val="TitleA"/>
        <w:outlineLvl w:val="0"/>
        <w:rPr>
          <w:lang w:val="fr-FR"/>
        </w:rPr>
      </w:pPr>
      <w:bookmarkStart w:id="13" w:name="A._ETIQUETAGE"/>
      <w:bookmarkEnd w:id="13"/>
      <w:r w:rsidRPr="00DA7718">
        <w:rPr>
          <w:bCs/>
          <w:spacing w:val="-2"/>
          <w:lang w:val="fr-FR"/>
        </w:rPr>
        <w:t>A.</w:t>
      </w:r>
      <w:r w:rsidR="00DA0222">
        <w:rPr>
          <w:bCs/>
          <w:spacing w:val="-2"/>
          <w:lang w:val="fr-FR"/>
        </w:rPr>
        <w:t xml:space="preserve"> </w:t>
      </w:r>
      <w:r w:rsidR="00DF3C4F" w:rsidRPr="00DA7718">
        <w:rPr>
          <w:lang w:val="fr-FR"/>
        </w:rPr>
        <w:t>ETIQUETAGE</w:t>
      </w:r>
    </w:p>
    <w:p w14:paraId="0D0AF91A" w14:textId="77777777" w:rsidR="00DA0222" w:rsidRDefault="00DA0222">
      <w:pPr>
        <w:rPr>
          <w:lang w:val="fr-FR"/>
        </w:rPr>
      </w:pPr>
      <w:r>
        <w:rPr>
          <w:lang w:val="fr-FR"/>
        </w:rPr>
        <w:br w:type="page"/>
      </w:r>
    </w:p>
    <w:p w14:paraId="79031A0E"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lastRenderedPageBreak/>
        <w:t>MENTIONS DEVANT FIGURER SUR L’EMBALLAGE EXTERIEUR</w:t>
      </w:r>
    </w:p>
    <w:p w14:paraId="070B9376" w14:textId="77777777" w:rsidR="007F2143" w:rsidRPr="000C517C" w:rsidRDefault="007F2143" w:rsidP="003A208A">
      <w:pPr>
        <w:pStyle w:val="a3"/>
        <w:pBdr>
          <w:top w:val="single" w:sz="4" w:space="1" w:color="auto"/>
          <w:left w:val="single" w:sz="4" w:space="4" w:color="auto"/>
          <w:bottom w:val="single" w:sz="4" w:space="1" w:color="auto"/>
          <w:right w:val="single" w:sz="4" w:space="4" w:color="auto"/>
        </w:pBdr>
        <w:adjustRightInd w:val="0"/>
        <w:snapToGrid w:val="0"/>
        <w:rPr>
          <w:b/>
          <w:lang w:val="fr-FR"/>
        </w:rPr>
      </w:pPr>
    </w:p>
    <w:p w14:paraId="6224B975"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ETUI</w:t>
      </w:r>
    </w:p>
    <w:p w14:paraId="35EBA20F" w14:textId="77777777" w:rsidR="004401F0" w:rsidRDefault="004401F0" w:rsidP="00315813">
      <w:pPr>
        <w:pStyle w:val="a3"/>
        <w:adjustRightInd w:val="0"/>
        <w:snapToGrid w:val="0"/>
        <w:rPr>
          <w:b/>
          <w:sz w:val="20"/>
          <w:lang w:val="fr-FR"/>
        </w:rPr>
      </w:pPr>
    </w:p>
    <w:p w14:paraId="2BB4EA26" w14:textId="77777777" w:rsidR="003A208A" w:rsidRPr="00315813" w:rsidRDefault="003A208A" w:rsidP="00315813">
      <w:pPr>
        <w:pStyle w:val="a3"/>
        <w:adjustRightInd w:val="0"/>
        <w:snapToGrid w:val="0"/>
        <w:rPr>
          <w:b/>
          <w:sz w:val="20"/>
          <w:lang w:val="fr-FR"/>
        </w:rPr>
      </w:pPr>
    </w:p>
    <w:p w14:paraId="56877F55"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w:t>
      </w:r>
      <w:r w:rsidRPr="000C517C">
        <w:rPr>
          <w:b/>
          <w:lang w:val="fr-FR"/>
        </w:rPr>
        <w:tab/>
        <w:t>DENOMINATION DU MEDICAMENT</w:t>
      </w:r>
    </w:p>
    <w:p w14:paraId="272CBD51" w14:textId="77777777" w:rsidR="004401F0" w:rsidRPr="00315813" w:rsidRDefault="004401F0" w:rsidP="00315813">
      <w:pPr>
        <w:pStyle w:val="a3"/>
        <w:adjustRightInd w:val="0"/>
        <w:snapToGrid w:val="0"/>
        <w:rPr>
          <w:b/>
          <w:lang w:val="fr-FR"/>
        </w:rPr>
      </w:pPr>
    </w:p>
    <w:p w14:paraId="7A67934E" w14:textId="02B7FA40" w:rsidR="00AB5D09" w:rsidRDefault="00F05208" w:rsidP="00315813">
      <w:pPr>
        <w:pStyle w:val="a3"/>
        <w:adjustRightInd w:val="0"/>
        <w:snapToGrid w:val="0"/>
        <w:rPr>
          <w:lang w:val="fr-FR"/>
        </w:rPr>
      </w:pPr>
      <w:r>
        <w:rPr>
          <w:lang w:val="fr-FR"/>
        </w:rPr>
        <w:t>Vegzelma</w:t>
      </w:r>
      <w:r w:rsidR="00ED5ABA">
        <w:rPr>
          <w:rFonts w:eastAsia="맑은 고딕" w:hint="eastAsia"/>
          <w:lang w:val="fr-FR" w:eastAsia="ko-KR"/>
        </w:rPr>
        <w:t xml:space="preserve"> </w:t>
      </w:r>
      <w:r w:rsidR="00DF3C4F" w:rsidRPr="00315813">
        <w:rPr>
          <w:lang w:val="fr-FR"/>
        </w:rPr>
        <w:t>25</w:t>
      </w:r>
      <w:r w:rsidR="00DA7718" w:rsidRPr="00315813">
        <w:rPr>
          <w:lang w:val="fr-FR"/>
        </w:rPr>
        <w:t> mg</w:t>
      </w:r>
      <w:r w:rsidR="00DF3C4F" w:rsidRPr="00315813">
        <w:rPr>
          <w:lang w:val="fr-FR"/>
        </w:rPr>
        <w:t xml:space="preserve">/ml solution à diluer pour perfusion </w:t>
      </w:r>
    </w:p>
    <w:p w14:paraId="728B1117" w14:textId="77777777" w:rsidR="004401F0" w:rsidRPr="00315813" w:rsidRDefault="00DF3C4F" w:rsidP="00315813">
      <w:pPr>
        <w:pStyle w:val="a3"/>
        <w:adjustRightInd w:val="0"/>
        <w:snapToGrid w:val="0"/>
        <w:rPr>
          <w:lang w:val="fr-FR"/>
        </w:rPr>
      </w:pPr>
      <w:r w:rsidRPr="00315813">
        <w:rPr>
          <w:lang w:val="fr-FR"/>
        </w:rPr>
        <w:t>bevacizumab</w:t>
      </w:r>
    </w:p>
    <w:p w14:paraId="5C1BA600" w14:textId="77777777" w:rsidR="004401F0" w:rsidRDefault="004401F0" w:rsidP="00315813">
      <w:pPr>
        <w:pStyle w:val="a3"/>
        <w:adjustRightInd w:val="0"/>
        <w:snapToGrid w:val="0"/>
        <w:rPr>
          <w:sz w:val="20"/>
          <w:lang w:val="fr-FR"/>
        </w:rPr>
      </w:pPr>
    </w:p>
    <w:p w14:paraId="2BBC3793" w14:textId="77777777" w:rsidR="003A208A" w:rsidRPr="00315813" w:rsidRDefault="003A208A" w:rsidP="00315813">
      <w:pPr>
        <w:pStyle w:val="a3"/>
        <w:adjustRightInd w:val="0"/>
        <w:snapToGrid w:val="0"/>
        <w:rPr>
          <w:sz w:val="20"/>
          <w:lang w:val="fr-FR"/>
        </w:rPr>
      </w:pPr>
    </w:p>
    <w:p w14:paraId="6EACD99E"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2.</w:t>
      </w:r>
      <w:r w:rsidRPr="000C517C">
        <w:rPr>
          <w:b/>
          <w:lang w:val="fr-FR"/>
        </w:rPr>
        <w:tab/>
        <w:t>COMPOSITION EN SUBSTANCE(S) ACTIVE(S)</w:t>
      </w:r>
    </w:p>
    <w:p w14:paraId="78256CB8" w14:textId="77777777" w:rsidR="004401F0" w:rsidRPr="00315813" w:rsidRDefault="004401F0" w:rsidP="00315813">
      <w:pPr>
        <w:pStyle w:val="a3"/>
        <w:adjustRightInd w:val="0"/>
        <w:snapToGrid w:val="0"/>
        <w:rPr>
          <w:lang w:val="fr-FR"/>
        </w:rPr>
      </w:pPr>
    </w:p>
    <w:p w14:paraId="4EC8C574" w14:textId="77777777" w:rsidR="004401F0" w:rsidRPr="00315813" w:rsidRDefault="00DF3C4F" w:rsidP="00315813">
      <w:pPr>
        <w:pStyle w:val="a3"/>
        <w:adjustRightInd w:val="0"/>
        <w:snapToGrid w:val="0"/>
        <w:rPr>
          <w:lang w:val="fr-FR"/>
        </w:rPr>
      </w:pPr>
      <w:r w:rsidRPr="00315813">
        <w:rPr>
          <w:lang w:val="fr-FR"/>
        </w:rPr>
        <w:t>Chaque flacon contient 100</w:t>
      </w:r>
      <w:r w:rsidR="00DA7718" w:rsidRPr="00315813">
        <w:rPr>
          <w:lang w:val="fr-FR"/>
        </w:rPr>
        <w:t> mg</w:t>
      </w:r>
      <w:r w:rsidRPr="00315813">
        <w:rPr>
          <w:lang w:val="fr-FR"/>
        </w:rPr>
        <w:t xml:space="preserve"> de bevacizumab</w:t>
      </w:r>
      <w:r w:rsidR="00211594">
        <w:rPr>
          <w:lang w:val="fr-FR"/>
        </w:rPr>
        <w:t xml:space="preserve"> dans 4 ml de solution à diluer</w:t>
      </w:r>
      <w:r w:rsidRPr="00315813">
        <w:rPr>
          <w:lang w:val="fr-FR"/>
        </w:rPr>
        <w:t>.</w:t>
      </w:r>
    </w:p>
    <w:p w14:paraId="074BE1AA" w14:textId="77777777" w:rsidR="004401F0" w:rsidRDefault="004401F0" w:rsidP="00315813">
      <w:pPr>
        <w:pStyle w:val="a3"/>
        <w:adjustRightInd w:val="0"/>
        <w:snapToGrid w:val="0"/>
        <w:rPr>
          <w:sz w:val="20"/>
          <w:lang w:val="fr-FR"/>
        </w:rPr>
      </w:pPr>
    </w:p>
    <w:p w14:paraId="051CE72A" w14:textId="77777777" w:rsidR="003A208A" w:rsidRPr="00315813" w:rsidRDefault="003A208A" w:rsidP="00315813">
      <w:pPr>
        <w:pStyle w:val="a3"/>
        <w:adjustRightInd w:val="0"/>
        <w:snapToGrid w:val="0"/>
        <w:rPr>
          <w:sz w:val="20"/>
          <w:lang w:val="fr-FR"/>
        </w:rPr>
      </w:pPr>
    </w:p>
    <w:p w14:paraId="40DCF6C5"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3.</w:t>
      </w:r>
      <w:r w:rsidRPr="000C517C">
        <w:rPr>
          <w:b/>
          <w:lang w:val="fr-FR"/>
        </w:rPr>
        <w:tab/>
        <w:t>LISTE DES EXCIPIENTS</w:t>
      </w:r>
    </w:p>
    <w:p w14:paraId="77F3CC77" w14:textId="77777777" w:rsidR="004401F0" w:rsidRPr="00315813" w:rsidRDefault="004401F0" w:rsidP="00315813">
      <w:pPr>
        <w:pStyle w:val="a3"/>
        <w:adjustRightInd w:val="0"/>
        <w:snapToGrid w:val="0"/>
        <w:rPr>
          <w:lang w:val="fr-FR"/>
        </w:rPr>
      </w:pPr>
    </w:p>
    <w:p w14:paraId="5EF7D675" w14:textId="77777777" w:rsidR="004401F0" w:rsidRPr="00315813" w:rsidRDefault="00DF3C4F" w:rsidP="00315813">
      <w:pPr>
        <w:pStyle w:val="a3"/>
        <w:adjustRightInd w:val="0"/>
        <w:snapToGrid w:val="0"/>
        <w:rPr>
          <w:lang w:val="fr-FR"/>
        </w:rPr>
      </w:pPr>
      <w:r w:rsidRPr="00315813">
        <w:rPr>
          <w:lang w:val="fr-FR"/>
        </w:rPr>
        <w:t>Dihydrate de tréhalose, phosphate de sodium, polysorbate 20, eau pour préparations injectables.</w:t>
      </w:r>
    </w:p>
    <w:p w14:paraId="64EB2FA0" w14:textId="77777777" w:rsidR="004401F0" w:rsidRDefault="004401F0" w:rsidP="00315813">
      <w:pPr>
        <w:pStyle w:val="a3"/>
        <w:adjustRightInd w:val="0"/>
        <w:snapToGrid w:val="0"/>
        <w:rPr>
          <w:sz w:val="20"/>
          <w:lang w:val="fr-FR"/>
        </w:rPr>
      </w:pPr>
    </w:p>
    <w:p w14:paraId="2D8F0742" w14:textId="77777777" w:rsidR="003A208A" w:rsidRPr="00315813" w:rsidRDefault="003A208A" w:rsidP="00315813">
      <w:pPr>
        <w:pStyle w:val="a3"/>
        <w:adjustRightInd w:val="0"/>
        <w:snapToGrid w:val="0"/>
        <w:rPr>
          <w:sz w:val="20"/>
          <w:lang w:val="fr-FR"/>
        </w:rPr>
      </w:pPr>
    </w:p>
    <w:p w14:paraId="63164BA9"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4.</w:t>
      </w:r>
      <w:r w:rsidRPr="000C517C">
        <w:rPr>
          <w:b/>
          <w:lang w:val="fr-FR"/>
        </w:rPr>
        <w:tab/>
        <w:t>FORME PHARMACEUTIQUE ET CONTENU</w:t>
      </w:r>
    </w:p>
    <w:p w14:paraId="696186AE" w14:textId="77777777" w:rsidR="004401F0" w:rsidRPr="00315813" w:rsidRDefault="004401F0" w:rsidP="00315813">
      <w:pPr>
        <w:pStyle w:val="a3"/>
        <w:adjustRightInd w:val="0"/>
        <w:snapToGrid w:val="0"/>
        <w:rPr>
          <w:lang w:val="fr-FR"/>
        </w:rPr>
      </w:pPr>
    </w:p>
    <w:p w14:paraId="5D78BDD1" w14:textId="5040CE0A" w:rsidR="0092540A" w:rsidRDefault="00DF3C4F" w:rsidP="00315813">
      <w:pPr>
        <w:pStyle w:val="a3"/>
        <w:adjustRightInd w:val="0"/>
        <w:snapToGrid w:val="0"/>
        <w:rPr>
          <w:lang w:val="fr-FR"/>
        </w:rPr>
      </w:pPr>
      <w:r w:rsidRPr="00F518B5">
        <w:rPr>
          <w:highlight w:val="lightGray"/>
          <w:lang w:val="fr-FR"/>
        </w:rPr>
        <w:t>Solution à diluer pour perfusion</w:t>
      </w:r>
    </w:p>
    <w:p w14:paraId="2521D22B" w14:textId="77777777" w:rsidR="00830393" w:rsidRDefault="00830393" w:rsidP="00315813">
      <w:pPr>
        <w:pStyle w:val="a3"/>
        <w:adjustRightInd w:val="0"/>
        <w:snapToGrid w:val="0"/>
        <w:rPr>
          <w:lang w:val="fr-FR"/>
        </w:rPr>
      </w:pPr>
    </w:p>
    <w:p w14:paraId="7C16D762" w14:textId="77777777" w:rsidR="004401F0" w:rsidRPr="00F518B5" w:rsidRDefault="00DF3C4F" w:rsidP="00315813">
      <w:pPr>
        <w:pStyle w:val="a3"/>
        <w:adjustRightInd w:val="0"/>
        <w:snapToGrid w:val="0"/>
        <w:rPr>
          <w:highlight w:val="lightGray"/>
          <w:lang w:val="fr-FR"/>
        </w:rPr>
      </w:pPr>
      <w:r w:rsidRPr="00315813">
        <w:rPr>
          <w:lang w:val="fr-FR"/>
        </w:rPr>
        <w:t xml:space="preserve">1 flacon </w:t>
      </w:r>
      <w:r w:rsidRPr="00F518B5">
        <w:rPr>
          <w:highlight w:val="lightGray"/>
          <w:lang w:val="fr-FR"/>
        </w:rPr>
        <w:t>de 4</w:t>
      </w:r>
      <w:r w:rsidR="00DA7718" w:rsidRPr="00F518B5">
        <w:rPr>
          <w:highlight w:val="lightGray"/>
          <w:lang w:val="fr-FR"/>
        </w:rPr>
        <w:t> ml</w:t>
      </w:r>
    </w:p>
    <w:p w14:paraId="1351D05A" w14:textId="1D888B33" w:rsidR="00211594" w:rsidRDefault="00211594" w:rsidP="00315813">
      <w:pPr>
        <w:pStyle w:val="a3"/>
        <w:adjustRightInd w:val="0"/>
        <w:snapToGrid w:val="0"/>
        <w:rPr>
          <w:lang w:val="fr-FR"/>
        </w:rPr>
      </w:pPr>
      <w:r w:rsidRPr="00F518B5">
        <w:rPr>
          <w:highlight w:val="lightGray"/>
          <w:lang w:val="fr-FR"/>
        </w:rPr>
        <w:t>10 flacons de 4 ml</w:t>
      </w:r>
    </w:p>
    <w:p w14:paraId="1A50D342" w14:textId="77777777" w:rsidR="00830393" w:rsidRPr="00315813" w:rsidRDefault="00830393" w:rsidP="00315813">
      <w:pPr>
        <w:pStyle w:val="a3"/>
        <w:adjustRightInd w:val="0"/>
        <w:snapToGrid w:val="0"/>
        <w:rPr>
          <w:lang w:val="fr-FR"/>
        </w:rPr>
      </w:pPr>
    </w:p>
    <w:p w14:paraId="44B2C903" w14:textId="77777777" w:rsidR="004401F0" w:rsidRPr="00315813" w:rsidRDefault="00DF3C4F" w:rsidP="00315813">
      <w:pPr>
        <w:pStyle w:val="a3"/>
        <w:adjustRightInd w:val="0"/>
        <w:snapToGrid w:val="0"/>
        <w:rPr>
          <w:lang w:val="fr-FR"/>
        </w:rPr>
      </w:pPr>
      <w:r w:rsidRPr="00315813">
        <w:rPr>
          <w:lang w:val="fr-FR"/>
        </w:rPr>
        <w:t>100</w:t>
      </w:r>
      <w:r w:rsidR="00DA7718" w:rsidRPr="00315813">
        <w:rPr>
          <w:lang w:val="fr-FR"/>
        </w:rPr>
        <w:t> mg</w:t>
      </w:r>
      <w:r w:rsidRPr="00315813">
        <w:rPr>
          <w:lang w:val="fr-FR"/>
        </w:rPr>
        <w:t>/4</w:t>
      </w:r>
      <w:r w:rsidR="00DA7718" w:rsidRPr="00315813">
        <w:rPr>
          <w:lang w:val="fr-FR"/>
        </w:rPr>
        <w:t> ml</w:t>
      </w:r>
    </w:p>
    <w:p w14:paraId="19D65A66" w14:textId="77777777" w:rsidR="004401F0" w:rsidRDefault="004401F0" w:rsidP="00315813">
      <w:pPr>
        <w:pStyle w:val="a3"/>
        <w:adjustRightInd w:val="0"/>
        <w:snapToGrid w:val="0"/>
        <w:rPr>
          <w:sz w:val="20"/>
          <w:lang w:val="fr-FR"/>
        </w:rPr>
      </w:pPr>
    </w:p>
    <w:p w14:paraId="4F56BA85" w14:textId="77777777" w:rsidR="003A208A" w:rsidRPr="00315813" w:rsidRDefault="003A208A" w:rsidP="00315813">
      <w:pPr>
        <w:pStyle w:val="a3"/>
        <w:adjustRightInd w:val="0"/>
        <w:snapToGrid w:val="0"/>
        <w:rPr>
          <w:sz w:val="20"/>
          <w:lang w:val="fr-FR"/>
        </w:rPr>
      </w:pPr>
    </w:p>
    <w:p w14:paraId="4D3E5463"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5.</w:t>
      </w:r>
      <w:r w:rsidRPr="000C517C">
        <w:rPr>
          <w:b/>
          <w:lang w:val="fr-FR"/>
        </w:rPr>
        <w:tab/>
        <w:t>MODE ET VOIE(S) D’ADMINISTRATION</w:t>
      </w:r>
    </w:p>
    <w:p w14:paraId="6B382C29" w14:textId="77777777" w:rsidR="004401F0" w:rsidRPr="00315813" w:rsidRDefault="004401F0" w:rsidP="00315813">
      <w:pPr>
        <w:pStyle w:val="a3"/>
        <w:adjustRightInd w:val="0"/>
        <w:snapToGrid w:val="0"/>
        <w:rPr>
          <w:lang w:val="fr-FR"/>
        </w:rPr>
      </w:pPr>
    </w:p>
    <w:p w14:paraId="650304B2" w14:textId="77777777" w:rsidR="004401F0" w:rsidRPr="00315813" w:rsidRDefault="00DF3C4F" w:rsidP="00315813">
      <w:pPr>
        <w:pStyle w:val="a3"/>
        <w:adjustRightInd w:val="0"/>
        <w:snapToGrid w:val="0"/>
        <w:rPr>
          <w:lang w:val="fr-FR"/>
        </w:rPr>
      </w:pPr>
      <w:r w:rsidRPr="00315813">
        <w:rPr>
          <w:lang w:val="fr-FR"/>
        </w:rPr>
        <w:t>Voie intraveineuse après dilution Lire la notice avant utilisation</w:t>
      </w:r>
    </w:p>
    <w:p w14:paraId="3FD81EC5" w14:textId="7DFFBBCC" w:rsidR="004401F0" w:rsidRDefault="004401F0" w:rsidP="00315813">
      <w:pPr>
        <w:pStyle w:val="a3"/>
        <w:adjustRightInd w:val="0"/>
        <w:snapToGrid w:val="0"/>
        <w:rPr>
          <w:sz w:val="20"/>
          <w:lang w:val="fr-FR"/>
        </w:rPr>
      </w:pPr>
    </w:p>
    <w:p w14:paraId="56D47FD0" w14:textId="77777777" w:rsidR="00EA035A" w:rsidRPr="00315813" w:rsidRDefault="00EA035A" w:rsidP="00315813">
      <w:pPr>
        <w:pStyle w:val="a3"/>
        <w:adjustRightInd w:val="0"/>
        <w:snapToGrid w:val="0"/>
        <w:rPr>
          <w:sz w:val="20"/>
          <w:lang w:val="fr-FR"/>
        </w:rPr>
      </w:pPr>
    </w:p>
    <w:p w14:paraId="612139F1" w14:textId="77777777" w:rsidR="007F2143" w:rsidRPr="000C517C" w:rsidRDefault="003A208A" w:rsidP="003A208A">
      <w:pPr>
        <w:pBdr>
          <w:top w:val="single" w:sz="4" w:space="1" w:color="auto"/>
          <w:left w:val="single" w:sz="4" w:space="4" w:color="auto"/>
          <w:bottom w:val="single" w:sz="4" w:space="1" w:color="auto"/>
          <w:right w:val="single" w:sz="4" w:space="4" w:color="auto"/>
        </w:pBdr>
        <w:adjustRightInd w:val="0"/>
        <w:snapToGrid w:val="0"/>
        <w:ind w:left="567" w:hanging="567"/>
        <w:rPr>
          <w:b/>
          <w:lang w:val="fr-FR"/>
        </w:rPr>
      </w:pPr>
      <w:r w:rsidRPr="000C517C">
        <w:rPr>
          <w:b/>
          <w:lang w:val="fr-FR"/>
        </w:rPr>
        <w:t>6.</w:t>
      </w:r>
      <w:r w:rsidRPr="000C517C">
        <w:rPr>
          <w:b/>
          <w:lang w:val="fr-FR"/>
        </w:rPr>
        <w:tab/>
      </w:r>
      <w:r w:rsidR="007F2143" w:rsidRPr="000C517C">
        <w:rPr>
          <w:b/>
          <w:lang w:val="fr-FR"/>
        </w:rPr>
        <w:t>MISE EN GARDE SPECIALE INDIQUANT QUE LE MEDICAMENT DOIT ETRE CONSERVE HORS DE VUE ET DE PORTEE DES ENFANTS</w:t>
      </w:r>
    </w:p>
    <w:p w14:paraId="52B8AC3D" w14:textId="77777777" w:rsidR="004401F0" w:rsidRPr="00315813" w:rsidRDefault="004401F0" w:rsidP="00315813">
      <w:pPr>
        <w:pStyle w:val="a3"/>
        <w:adjustRightInd w:val="0"/>
        <w:snapToGrid w:val="0"/>
        <w:rPr>
          <w:lang w:val="fr-FR"/>
        </w:rPr>
      </w:pPr>
    </w:p>
    <w:p w14:paraId="11B48A43" w14:textId="77777777" w:rsidR="004401F0" w:rsidRPr="00315813" w:rsidRDefault="00DF3C4F" w:rsidP="00315813">
      <w:pPr>
        <w:pStyle w:val="a3"/>
        <w:adjustRightInd w:val="0"/>
        <w:snapToGrid w:val="0"/>
        <w:rPr>
          <w:lang w:val="fr-FR"/>
        </w:rPr>
      </w:pPr>
      <w:r w:rsidRPr="00315813">
        <w:rPr>
          <w:lang w:val="fr-FR"/>
        </w:rPr>
        <w:t>Tenir hors de la vue et de la portée des enfants</w:t>
      </w:r>
    </w:p>
    <w:p w14:paraId="5628E79B" w14:textId="77777777" w:rsidR="004401F0" w:rsidRDefault="004401F0" w:rsidP="00315813">
      <w:pPr>
        <w:pStyle w:val="a3"/>
        <w:adjustRightInd w:val="0"/>
        <w:snapToGrid w:val="0"/>
        <w:rPr>
          <w:sz w:val="20"/>
          <w:lang w:val="fr-FR"/>
        </w:rPr>
      </w:pPr>
    </w:p>
    <w:p w14:paraId="7A4A1925" w14:textId="77777777" w:rsidR="003A208A" w:rsidRPr="00315813" w:rsidRDefault="003A208A" w:rsidP="00315813">
      <w:pPr>
        <w:pStyle w:val="a3"/>
        <w:adjustRightInd w:val="0"/>
        <w:snapToGrid w:val="0"/>
        <w:rPr>
          <w:sz w:val="20"/>
          <w:lang w:val="fr-FR"/>
        </w:rPr>
      </w:pPr>
    </w:p>
    <w:p w14:paraId="07B3999B"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7.</w:t>
      </w:r>
      <w:r w:rsidRPr="000C517C">
        <w:rPr>
          <w:b/>
          <w:lang w:val="fr-FR"/>
        </w:rPr>
        <w:tab/>
        <w:t>AUTRE(S) MISE(S) EN GARDE SPECIALE(S), SI NECESSAIRE</w:t>
      </w:r>
    </w:p>
    <w:p w14:paraId="2E703DA8" w14:textId="77777777" w:rsidR="004401F0" w:rsidRDefault="004401F0" w:rsidP="00315813">
      <w:pPr>
        <w:pStyle w:val="a3"/>
        <w:adjustRightInd w:val="0"/>
        <w:snapToGrid w:val="0"/>
        <w:rPr>
          <w:sz w:val="20"/>
          <w:lang w:val="fr-FR"/>
        </w:rPr>
      </w:pPr>
    </w:p>
    <w:p w14:paraId="22FA13ED" w14:textId="77777777" w:rsidR="003A208A" w:rsidRPr="00315813" w:rsidRDefault="003A208A" w:rsidP="00315813">
      <w:pPr>
        <w:pStyle w:val="a3"/>
        <w:adjustRightInd w:val="0"/>
        <w:snapToGrid w:val="0"/>
        <w:rPr>
          <w:sz w:val="20"/>
          <w:lang w:val="fr-FR"/>
        </w:rPr>
      </w:pPr>
    </w:p>
    <w:p w14:paraId="6EDB1FEB"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8.</w:t>
      </w:r>
      <w:r w:rsidRPr="000C517C">
        <w:rPr>
          <w:b/>
          <w:lang w:val="fr-FR"/>
        </w:rPr>
        <w:tab/>
        <w:t>DATE DE PEREMPTION</w:t>
      </w:r>
    </w:p>
    <w:p w14:paraId="67647CBF" w14:textId="77777777" w:rsidR="004401F0" w:rsidRPr="00315813" w:rsidRDefault="004401F0" w:rsidP="00315813">
      <w:pPr>
        <w:pStyle w:val="a3"/>
        <w:adjustRightInd w:val="0"/>
        <w:snapToGrid w:val="0"/>
        <w:rPr>
          <w:lang w:val="fr-FR"/>
        </w:rPr>
      </w:pPr>
    </w:p>
    <w:p w14:paraId="15128754" w14:textId="77777777" w:rsidR="004401F0" w:rsidRPr="00315813" w:rsidRDefault="00DF3C4F" w:rsidP="00315813">
      <w:pPr>
        <w:pStyle w:val="a3"/>
        <w:adjustRightInd w:val="0"/>
        <w:snapToGrid w:val="0"/>
        <w:rPr>
          <w:lang w:val="fr-FR"/>
        </w:rPr>
      </w:pPr>
      <w:r w:rsidRPr="00315813">
        <w:rPr>
          <w:lang w:val="fr-FR"/>
        </w:rPr>
        <w:t>EXP</w:t>
      </w:r>
    </w:p>
    <w:p w14:paraId="25B48E5A" w14:textId="77777777" w:rsidR="00BD4C7C" w:rsidRDefault="00BD4C7C" w:rsidP="00315813">
      <w:pPr>
        <w:adjustRightInd w:val="0"/>
        <w:snapToGrid w:val="0"/>
        <w:rPr>
          <w:lang w:val="fr-FR"/>
        </w:rPr>
      </w:pPr>
    </w:p>
    <w:p w14:paraId="1AC5EB6A" w14:textId="77777777" w:rsidR="003A208A" w:rsidRPr="00315813" w:rsidRDefault="003A208A" w:rsidP="00315813">
      <w:pPr>
        <w:adjustRightInd w:val="0"/>
        <w:snapToGrid w:val="0"/>
        <w:rPr>
          <w:lang w:val="fr-FR"/>
        </w:rPr>
      </w:pPr>
    </w:p>
    <w:p w14:paraId="35E50E63"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9.</w:t>
      </w:r>
      <w:r w:rsidRPr="000C517C">
        <w:rPr>
          <w:b/>
          <w:lang w:val="fr-FR"/>
        </w:rPr>
        <w:tab/>
        <w:t>PRECAUTIONS PARTICULIERES DE CONSERVATION</w:t>
      </w:r>
    </w:p>
    <w:p w14:paraId="2F65AD61" w14:textId="77777777" w:rsidR="007F2143" w:rsidRPr="00315813" w:rsidRDefault="007F2143" w:rsidP="00315813">
      <w:pPr>
        <w:pStyle w:val="a3"/>
        <w:adjustRightInd w:val="0"/>
        <w:snapToGrid w:val="0"/>
        <w:rPr>
          <w:lang w:val="fr-FR"/>
        </w:rPr>
      </w:pPr>
    </w:p>
    <w:p w14:paraId="6AB92BAA" w14:textId="77777777" w:rsidR="0092540A" w:rsidRDefault="00DF3C4F" w:rsidP="00315813">
      <w:pPr>
        <w:pStyle w:val="a3"/>
        <w:adjustRightInd w:val="0"/>
        <w:snapToGrid w:val="0"/>
        <w:rPr>
          <w:lang w:val="fr-FR"/>
        </w:rPr>
      </w:pPr>
      <w:r w:rsidRPr="00315813">
        <w:rPr>
          <w:lang w:val="fr-FR"/>
        </w:rPr>
        <w:t xml:space="preserve">A conserver au réfrigérateur (entre 2°C et 8°C) </w:t>
      </w:r>
    </w:p>
    <w:p w14:paraId="5CCD1942" w14:textId="77777777" w:rsidR="004401F0" w:rsidRPr="00315813" w:rsidRDefault="00DF3C4F" w:rsidP="00315813">
      <w:pPr>
        <w:pStyle w:val="a3"/>
        <w:adjustRightInd w:val="0"/>
        <w:snapToGrid w:val="0"/>
        <w:rPr>
          <w:lang w:val="fr-FR"/>
        </w:rPr>
      </w:pPr>
      <w:r w:rsidRPr="00315813">
        <w:rPr>
          <w:lang w:val="fr-FR"/>
        </w:rPr>
        <w:t>Ne pas congeler</w:t>
      </w:r>
    </w:p>
    <w:p w14:paraId="434EE686" w14:textId="77777777" w:rsidR="004401F0" w:rsidRPr="00315813" w:rsidRDefault="00DF3C4F" w:rsidP="00315813">
      <w:pPr>
        <w:pStyle w:val="a3"/>
        <w:adjustRightInd w:val="0"/>
        <w:snapToGrid w:val="0"/>
        <w:rPr>
          <w:lang w:val="fr-FR"/>
        </w:rPr>
      </w:pPr>
      <w:r w:rsidRPr="00315813">
        <w:rPr>
          <w:lang w:val="fr-FR"/>
        </w:rPr>
        <w:t>Conserver le flacon dans l’emballage extérieur</w:t>
      </w:r>
      <w:r w:rsidR="00211594">
        <w:rPr>
          <w:lang w:val="fr-FR"/>
        </w:rPr>
        <w:t xml:space="preserve"> à l’abri de la lumière.</w:t>
      </w:r>
    </w:p>
    <w:p w14:paraId="44EE6B96" w14:textId="77777777" w:rsidR="004401F0" w:rsidRDefault="004401F0" w:rsidP="00315813">
      <w:pPr>
        <w:pStyle w:val="a3"/>
        <w:adjustRightInd w:val="0"/>
        <w:snapToGrid w:val="0"/>
        <w:rPr>
          <w:sz w:val="20"/>
          <w:lang w:val="fr-FR"/>
        </w:rPr>
      </w:pPr>
    </w:p>
    <w:p w14:paraId="2D140703"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ind w:left="567" w:hanging="567"/>
        <w:rPr>
          <w:b/>
          <w:lang w:val="fr-FR"/>
        </w:rPr>
      </w:pPr>
      <w:r w:rsidRPr="000C517C">
        <w:rPr>
          <w:b/>
          <w:lang w:val="fr-FR"/>
        </w:rPr>
        <w:lastRenderedPageBreak/>
        <w:t>10.</w:t>
      </w:r>
      <w:r w:rsidRPr="000C517C">
        <w:rPr>
          <w:b/>
          <w:lang w:val="fr-FR"/>
        </w:rPr>
        <w:tab/>
        <w:t>PRECAUTIONS PARTICULIERES D’ELIMINATION DES MEDICAMENTS NON UTILISES OU DES DECHETS PROVENANT DE CES MEDICAMENTS S’IL Y A LIEU</w:t>
      </w:r>
    </w:p>
    <w:p w14:paraId="745DC45F" w14:textId="77777777" w:rsidR="004401F0" w:rsidRDefault="004401F0" w:rsidP="00315813">
      <w:pPr>
        <w:pStyle w:val="a3"/>
        <w:adjustRightInd w:val="0"/>
        <w:snapToGrid w:val="0"/>
        <w:rPr>
          <w:sz w:val="20"/>
          <w:lang w:val="fr-FR"/>
        </w:rPr>
      </w:pPr>
    </w:p>
    <w:p w14:paraId="4C4358E3" w14:textId="77777777" w:rsidR="003A208A" w:rsidRPr="00315813" w:rsidRDefault="003A208A" w:rsidP="00315813">
      <w:pPr>
        <w:pStyle w:val="a3"/>
        <w:adjustRightInd w:val="0"/>
        <w:snapToGrid w:val="0"/>
        <w:rPr>
          <w:sz w:val="20"/>
          <w:lang w:val="fr-FR"/>
        </w:rPr>
      </w:pPr>
    </w:p>
    <w:p w14:paraId="4EB5D75A"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ind w:left="567" w:hanging="567"/>
        <w:rPr>
          <w:b/>
          <w:lang w:val="fr-FR"/>
        </w:rPr>
      </w:pPr>
      <w:r w:rsidRPr="000C517C">
        <w:rPr>
          <w:b/>
          <w:lang w:val="fr-FR"/>
        </w:rPr>
        <w:t>11.</w:t>
      </w:r>
      <w:r w:rsidRPr="000C517C">
        <w:rPr>
          <w:b/>
          <w:lang w:val="fr-FR"/>
        </w:rPr>
        <w:tab/>
        <w:t>NOM ET ADRESSE DU TITULAIRE DE L’AUTORISATION DE MISE SUR LE MARCHE</w:t>
      </w:r>
    </w:p>
    <w:p w14:paraId="31137E33" w14:textId="77777777" w:rsidR="004401F0" w:rsidRPr="00315813" w:rsidRDefault="004401F0" w:rsidP="00315813">
      <w:pPr>
        <w:pStyle w:val="a3"/>
        <w:adjustRightInd w:val="0"/>
        <w:snapToGrid w:val="0"/>
        <w:rPr>
          <w:lang w:val="fr-FR"/>
        </w:rPr>
      </w:pPr>
    </w:p>
    <w:p w14:paraId="53DD3096" w14:textId="77777777" w:rsidR="00211594" w:rsidRPr="00F014C7" w:rsidRDefault="00211594" w:rsidP="00211594">
      <w:pPr>
        <w:widowControl/>
        <w:adjustRightInd w:val="0"/>
        <w:snapToGrid w:val="0"/>
        <w:rPr>
          <w:color w:val="000000"/>
          <w:lang w:val="en-GB" w:eastAsia="ko-KR"/>
        </w:rPr>
      </w:pPr>
      <w:r w:rsidRPr="00F014C7">
        <w:rPr>
          <w:color w:val="000000"/>
          <w:lang w:val="en-GB" w:eastAsia="ko-KR"/>
        </w:rPr>
        <w:t xml:space="preserve">Celltrion Healthcare Hungary Kft. </w:t>
      </w:r>
    </w:p>
    <w:p w14:paraId="679DBDF6" w14:textId="77777777" w:rsidR="00211594" w:rsidRPr="00F014C7" w:rsidRDefault="00211594" w:rsidP="00211594">
      <w:pPr>
        <w:widowControl/>
        <w:adjustRightInd w:val="0"/>
        <w:snapToGrid w:val="0"/>
        <w:rPr>
          <w:color w:val="000000"/>
          <w:lang w:val="en-GB" w:eastAsia="ko-KR"/>
        </w:rPr>
      </w:pPr>
      <w:r w:rsidRPr="00F014C7">
        <w:rPr>
          <w:rFonts w:eastAsia="바탕"/>
          <w:color w:val="000000"/>
          <w:lang w:val="en-GB"/>
        </w:rPr>
        <w:t xml:space="preserve">1062 </w:t>
      </w:r>
      <w:r w:rsidRPr="00F014C7">
        <w:rPr>
          <w:color w:val="000000"/>
          <w:lang w:val="en-GB" w:eastAsia="ko-KR"/>
        </w:rPr>
        <w:t>Budapest</w:t>
      </w:r>
    </w:p>
    <w:p w14:paraId="298D6D8C" w14:textId="5831734C" w:rsidR="00211594" w:rsidRPr="00C16207" w:rsidRDefault="00211594" w:rsidP="00211594">
      <w:pPr>
        <w:widowControl/>
        <w:adjustRightInd w:val="0"/>
        <w:snapToGrid w:val="0"/>
        <w:rPr>
          <w:rFonts w:eastAsia="바탕"/>
          <w:color w:val="000000"/>
          <w:lang w:val="en-GB"/>
        </w:rPr>
      </w:pPr>
      <w:r w:rsidRPr="00F014C7">
        <w:rPr>
          <w:rFonts w:eastAsia="바탕"/>
          <w:color w:val="000000"/>
          <w:lang w:val="en-GB"/>
        </w:rPr>
        <w:t>Váci</w:t>
      </w:r>
      <w:r w:rsidR="006D2D6F" w:rsidRPr="00F014C7">
        <w:rPr>
          <w:rFonts w:eastAsia="바탕"/>
          <w:color w:val="000000"/>
          <w:lang w:val="en-GB"/>
        </w:rPr>
        <w:t xml:space="preserve"> </w:t>
      </w:r>
      <w:r w:rsidRPr="00F014C7">
        <w:rPr>
          <w:rFonts w:eastAsia="바탕"/>
          <w:color w:val="000000"/>
          <w:lang w:val="en-GB"/>
        </w:rPr>
        <w:t xml:space="preserve">út 1-3. </w:t>
      </w:r>
      <w:r w:rsidRPr="00C16207">
        <w:rPr>
          <w:rFonts w:eastAsia="바탕"/>
          <w:color w:val="000000"/>
          <w:lang w:val="en-GB"/>
        </w:rPr>
        <w:t>WestEnd Office Building B torony</w:t>
      </w:r>
    </w:p>
    <w:p w14:paraId="31B04BE8" w14:textId="77777777" w:rsidR="00211594" w:rsidRPr="00C16207" w:rsidRDefault="00211594" w:rsidP="00211594">
      <w:pPr>
        <w:widowControl/>
        <w:adjustRightInd w:val="0"/>
        <w:snapToGrid w:val="0"/>
        <w:rPr>
          <w:color w:val="000000"/>
          <w:lang w:val="en-GB" w:eastAsia="ko-KR"/>
        </w:rPr>
      </w:pPr>
      <w:r>
        <w:rPr>
          <w:color w:val="000000"/>
          <w:lang w:val="en-GB" w:eastAsia="ko-KR"/>
        </w:rPr>
        <w:t>Hongrie</w:t>
      </w:r>
    </w:p>
    <w:p w14:paraId="64C318EA" w14:textId="77777777" w:rsidR="004401F0" w:rsidRPr="00F9256D" w:rsidRDefault="004401F0" w:rsidP="00315813">
      <w:pPr>
        <w:pStyle w:val="a3"/>
        <w:adjustRightInd w:val="0"/>
        <w:snapToGrid w:val="0"/>
        <w:rPr>
          <w:sz w:val="20"/>
        </w:rPr>
      </w:pPr>
    </w:p>
    <w:p w14:paraId="2B9FA911" w14:textId="77777777" w:rsidR="003A208A" w:rsidRPr="00F9256D" w:rsidRDefault="003A208A" w:rsidP="00315813">
      <w:pPr>
        <w:pStyle w:val="a3"/>
        <w:adjustRightInd w:val="0"/>
        <w:snapToGrid w:val="0"/>
        <w:rPr>
          <w:sz w:val="20"/>
        </w:rPr>
      </w:pPr>
    </w:p>
    <w:p w14:paraId="2725C5C6"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12.</w:t>
      </w:r>
      <w:r w:rsidRPr="000C517C">
        <w:rPr>
          <w:b/>
          <w:lang w:val="fr-FR"/>
        </w:rPr>
        <w:tab/>
        <w:t>NUMERO(S) D’AUTORISATION DE MISE SUR LE MARCHE</w:t>
      </w:r>
    </w:p>
    <w:p w14:paraId="6F20F32D" w14:textId="77777777" w:rsidR="004401F0" w:rsidRPr="00315813" w:rsidRDefault="004401F0" w:rsidP="00315813">
      <w:pPr>
        <w:pStyle w:val="a3"/>
        <w:adjustRightInd w:val="0"/>
        <w:snapToGrid w:val="0"/>
        <w:rPr>
          <w:lang w:val="fr-FR"/>
        </w:rPr>
      </w:pPr>
    </w:p>
    <w:p w14:paraId="5E1DF2AB" w14:textId="55B5784D" w:rsidR="00211594" w:rsidRPr="00F518B5" w:rsidRDefault="00830393" w:rsidP="00211594">
      <w:pPr>
        <w:pStyle w:val="a3"/>
        <w:adjustRightInd w:val="0"/>
        <w:snapToGrid w:val="0"/>
        <w:rPr>
          <w:highlight w:val="lightGray"/>
          <w:lang w:val="fr-FR"/>
        </w:rPr>
      </w:pPr>
      <w:r w:rsidRPr="00830393">
        <w:rPr>
          <w:lang w:val="fr-FR"/>
        </w:rPr>
        <w:t xml:space="preserve">EU/1/22/1667/001 </w:t>
      </w:r>
      <w:r w:rsidR="00211594" w:rsidRPr="00F518B5">
        <w:rPr>
          <w:highlight w:val="lightGray"/>
          <w:lang w:val="fr-FR"/>
        </w:rPr>
        <w:t>1 flacon</w:t>
      </w:r>
    </w:p>
    <w:p w14:paraId="3DF3648F" w14:textId="2DD4F512" w:rsidR="00211594" w:rsidRPr="00315813" w:rsidRDefault="00830393" w:rsidP="00211594">
      <w:pPr>
        <w:pStyle w:val="a3"/>
        <w:adjustRightInd w:val="0"/>
        <w:snapToGrid w:val="0"/>
        <w:rPr>
          <w:lang w:val="fr-FR"/>
        </w:rPr>
      </w:pPr>
      <w:r w:rsidRPr="00F518B5">
        <w:rPr>
          <w:highlight w:val="lightGray"/>
          <w:lang w:val="fr-FR"/>
        </w:rPr>
        <w:t xml:space="preserve">EU/1/22/1667/003 </w:t>
      </w:r>
      <w:r w:rsidR="00211594" w:rsidRPr="00F518B5">
        <w:rPr>
          <w:highlight w:val="lightGray"/>
          <w:lang w:val="fr-FR"/>
        </w:rPr>
        <w:t>10 flacons</w:t>
      </w:r>
    </w:p>
    <w:p w14:paraId="7F77F625" w14:textId="77777777" w:rsidR="004401F0" w:rsidRDefault="004401F0" w:rsidP="00315813">
      <w:pPr>
        <w:pStyle w:val="a3"/>
        <w:adjustRightInd w:val="0"/>
        <w:snapToGrid w:val="0"/>
        <w:rPr>
          <w:sz w:val="20"/>
          <w:lang w:val="fr-FR"/>
        </w:rPr>
      </w:pPr>
    </w:p>
    <w:p w14:paraId="382AE107" w14:textId="77777777" w:rsidR="003A208A" w:rsidRPr="00315813" w:rsidRDefault="003A208A" w:rsidP="00315813">
      <w:pPr>
        <w:pStyle w:val="a3"/>
        <w:adjustRightInd w:val="0"/>
        <w:snapToGrid w:val="0"/>
        <w:rPr>
          <w:sz w:val="20"/>
          <w:lang w:val="fr-FR"/>
        </w:rPr>
      </w:pPr>
    </w:p>
    <w:p w14:paraId="60079F7C"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13.</w:t>
      </w:r>
      <w:r w:rsidRPr="000C517C">
        <w:rPr>
          <w:b/>
          <w:lang w:val="fr-FR"/>
        </w:rPr>
        <w:tab/>
        <w:t>NUMERO DU LOT</w:t>
      </w:r>
    </w:p>
    <w:p w14:paraId="1F7E3F00" w14:textId="77777777" w:rsidR="004401F0" w:rsidRPr="00315813" w:rsidRDefault="004401F0" w:rsidP="00315813">
      <w:pPr>
        <w:pStyle w:val="a3"/>
        <w:adjustRightInd w:val="0"/>
        <w:snapToGrid w:val="0"/>
        <w:rPr>
          <w:lang w:val="fr-FR"/>
        </w:rPr>
      </w:pPr>
    </w:p>
    <w:p w14:paraId="4943AC81" w14:textId="77777777" w:rsidR="004401F0" w:rsidRPr="00315813" w:rsidRDefault="00DF3C4F" w:rsidP="00315813">
      <w:pPr>
        <w:pStyle w:val="a3"/>
        <w:adjustRightInd w:val="0"/>
        <w:snapToGrid w:val="0"/>
        <w:rPr>
          <w:lang w:val="fr-FR"/>
        </w:rPr>
      </w:pPr>
      <w:r w:rsidRPr="00315813">
        <w:rPr>
          <w:lang w:val="fr-FR"/>
        </w:rPr>
        <w:t>Lot</w:t>
      </w:r>
      <w:r w:rsidR="00716F38">
        <w:rPr>
          <w:lang w:val="fr-FR"/>
        </w:rPr>
        <w:t> :</w:t>
      </w:r>
    </w:p>
    <w:p w14:paraId="443DB1F8" w14:textId="77777777" w:rsidR="004401F0" w:rsidRDefault="004401F0" w:rsidP="00315813">
      <w:pPr>
        <w:pStyle w:val="a3"/>
        <w:adjustRightInd w:val="0"/>
        <w:snapToGrid w:val="0"/>
        <w:rPr>
          <w:sz w:val="20"/>
          <w:lang w:val="fr-FR"/>
        </w:rPr>
      </w:pPr>
    </w:p>
    <w:p w14:paraId="0DE16085" w14:textId="77777777" w:rsidR="003A208A" w:rsidRPr="00315813" w:rsidRDefault="003A208A" w:rsidP="00315813">
      <w:pPr>
        <w:pStyle w:val="a3"/>
        <w:adjustRightInd w:val="0"/>
        <w:snapToGrid w:val="0"/>
        <w:rPr>
          <w:sz w:val="20"/>
          <w:lang w:val="fr-FR"/>
        </w:rPr>
      </w:pPr>
    </w:p>
    <w:p w14:paraId="1A409799"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14.</w:t>
      </w:r>
      <w:r w:rsidRPr="000C517C">
        <w:rPr>
          <w:b/>
          <w:lang w:val="fr-FR"/>
        </w:rPr>
        <w:tab/>
        <w:t>CONDITIONS DE PRESCRIPTION ET DE DELIVRANCE</w:t>
      </w:r>
    </w:p>
    <w:p w14:paraId="3B0494C9" w14:textId="77777777" w:rsidR="004401F0" w:rsidRPr="00315813" w:rsidRDefault="004401F0" w:rsidP="00315813">
      <w:pPr>
        <w:pStyle w:val="a3"/>
        <w:adjustRightInd w:val="0"/>
        <w:snapToGrid w:val="0"/>
        <w:rPr>
          <w:lang w:val="fr-FR"/>
        </w:rPr>
      </w:pPr>
    </w:p>
    <w:p w14:paraId="39CCB272" w14:textId="77777777" w:rsidR="004401F0" w:rsidRPr="00315813" w:rsidRDefault="00DF3C4F" w:rsidP="00315813">
      <w:pPr>
        <w:pStyle w:val="a3"/>
        <w:adjustRightInd w:val="0"/>
        <w:snapToGrid w:val="0"/>
        <w:rPr>
          <w:lang w:val="fr-FR"/>
        </w:rPr>
      </w:pPr>
      <w:r w:rsidRPr="00315813">
        <w:rPr>
          <w:lang w:val="fr-FR"/>
        </w:rPr>
        <w:t>Médicament soumis à prescription médicale</w:t>
      </w:r>
    </w:p>
    <w:p w14:paraId="7CE68791" w14:textId="77777777" w:rsidR="004401F0" w:rsidRDefault="004401F0" w:rsidP="00315813">
      <w:pPr>
        <w:pStyle w:val="a3"/>
        <w:adjustRightInd w:val="0"/>
        <w:snapToGrid w:val="0"/>
        <w:rPr>
          <w:sz w:val="20"/>
          <w:lang w:val="fr-FR"/>
        </w:rPr>
      </w:pPr>
    </w:p>
    <w:p w14:paraId="32EBC2CF" w14:textId="77777777" w:rsidR="003A208A" w:rsidRPr="00315813" w:rsidRDefault="003A208A" w:rsidP="00315813">
      <w:pPr>
        <w:pStyle w:val="a3"/>
        <w:adjustRightInd w:val="0"/>
        <w:snapToGrid w:val="0"/>
        <w:rPr>
          <w:sz w:val="20"/>
          <w:lang w:val="fr-FR"/>
        </w:rPr>
      </w:pPr>
    </w:p>
    <w:p w14:paraId="199D3FDD"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15.</w:t>
      </w:r>
      <w:r w:rsidRPr="000C517C">
        <w:rPr>
          <w:b/>
          <w:lang w:val="fr-FR"/>
        </w:rPr>
        <w:tab/>
        <w:t>INDICATIONS D’UTILISATION</w:t>
      </w:r>
    </w:p>
    <w:p w14:paraId="40A7D1C2" w14:textId="77777777" w:rsidR="004401F0" w:rsidRDefault="004401F0" w:rsidP="00315813">
      <w:pPr>
        <w:pStyle w:val="a3"/>
        <w:adjustRightInd w:val="0"/>
        <w:snapToGrid w:val="0"/>
        <w:rPr>
          <w:sz w:val="20"/>
          <w:lang w:val="fr-FR"/>
        </w:rPr>
      </w:pPr>
    </w:p>
    <w:p w14:paraId="0126DC77" w14:textId="77777777" w:rsidR="003A208A" w:rsidRPr="00315813" w:rsidRDefault="003A208A" w:rsidP="00315813">
      <w:pPr>
        <w:pStyle w:val="a3"/>
        <w:adjustRightInd w:val="0"/>
        <w:snapToGrid w:val="0"/>
        <w:rPr>
          <w:sz w:val="20"/>
          <w:lang w:val="fr-FR"/>
        </w:rPr>
      </w:pPr>
    </w:p>
    <w:p w14:paraId="4AE484AA"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16.</w:t>
      </w:r>
      <w:r w:rsidRPr="000C517C">
        <w:rPr>
          <w:b/>
          <w:lang w:val="fr-FR"/>
        </w:rPr>
        <w:tab/>
        <w:t>INFORMATIONS EN BRAILLE</w:t>
      </w:r>
    </w:p>
    <w:p w14:paraId="3BC259E2" w14:textId="77777777" w:rsidR="004401F0" w:rsidRPr="00315813" w:rsidRDefault="004401F0" w:rsidP="00315813">
      <w:pPr>
        <w:pStyle w:val="a3"/>
        <w:adjustRightInd w:val="0"/>
        <w:snapToGrid w:val="0"/>
        <w:rPr>
          <w:lang w:val="fr-FR"/>
        </w:rPr>
      </w:pPr>
    </w:p>
    <w:p w14:paraId="29FEF62A" w14:textId="77777777" w:rsidR="004401F0" w:rsidRPr="00315813" w:rsidRDefault="00DF3C4F" w:rsidP="00315813">
      <w:pPr>
        <w:pStyle w:val="a3"/>
        <w:adjustRightInd w:val="0"/>
        <w:snapToGrid w:val="0"/>
        <w:rPr>
          <w:lang w:val="fr-FR"/>
        </w:rPr>
      </w:pPr>
      <w:r w:rsidRPr="00315813">
        <w:rPr>
          <w:color w:val="000000"/>
          <w:shd w:val="clear" w:color="auto" w:fill="C1C1C1"/>
          <w:lang w:val="fr-FR"/>
        </w:rPr>
        <w:t>Justification de ne pas inclure l’information en Braille acceptée</w:t>
      </w:r>
    </w:p>
    <w:p w14:paraId="3536728A" w14:textId="77777777" w:rsidR="004401F0" w:rsidRDefault="004401F0" w:rsidP="00315813">
      <w:pPr>
        <w:pStyle w:val="a3"/>
        <w:adjustRightInd w:val="0"/>
        <w:snapToGrid w:val="0"/>
        <w:rPr>
          <w:sz w:val="20"/>
          <w:lang w:val="fr-FR"/>
        </w:rPr>
      </w:pPr>
    </w:p>
    <w:p w14:paraId="04D4E457" w14:textId="77777777" w:rsidR="003A208A" w:rsidRPr="00315813" w:rsidRDefault="003A208A" w:rsidP="00315813">
      <w:pPr>
        <w:pStyle w:val="a3"/>
        <w:adjustRightInd w:val="0"/>
        <w:snapToGrid w:val="0"/>
        <w:rPr>
          <w:sz w:val="20"/>
          <w:lang w:val="fr-FR"/>
        </w:rPr>
      </w:pPr>
    </w:p>
    <w:p w14:paraId="764886AA"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17.</w:t>
      </w:r>
      <w:r w:rsidRPr="000C517C">
        <w:rPr>
          <w:b/>
          <w:lang w:val="fr-FR"/>
        </w:rPr>
        <w:tab/>
        <w:t>IDENTIFIANT UNIQUE - CODE-BARRES 2D</w:t>
      </w:r>
    </w:p>
    <w:p w14:paraId="57631647" w14:textId="77777777" w:rsidR="004401F0" w:rsidRPr="00315813" w:rsidRDefault="004401F0" w:rsidP="00315813">
      <w:pPr>
        <w:pStyle w:val="a3"/>
        <w:adjustRightInd w:val="0"/>
        <w:snapToGrid w:val="0"/>
        <w:rPr>
          <w:lang w:val="fr-FR"/>
        </w:rPr>
      </w:pPr>
    </w:p>
    <w:p w14:paraId="0F5A78A3" w14:textId="77777777" w:rsidR="004401F0" w:rsidRPr="00315813" w:rsidRDefault="00DF3C4F" w:rsidP="00315813">
      <w:pPr>
        <w:pStyle w:val="a3"/>
        <w:adjustRightInd w:val="0"/>
        <w:snapToGrid w:val="0"/>
        <w:rPr>
          <w:lang w:val="fr-FR"/>
        </w:rPr>
      </w:pPr>
      <w:r w:rsidRPr="00315813">
        <w:rPr>
          <w:color w:val="000000"/>
          <w:shd w:val="clear" w:color="auto" w:fill="C1C1C1"/>
          <w:lang w:val="fr-FR"/>
        </w:rPr>
        <w:t>&lt;code-barres 2D portant l'identifiant unique inclus.&gt;</w:t>
      </w:r>
    </w:p>
    <w:p w14:paraId="1CD2CCB3" w14:textId="77777777" w:rsidR="004401F0" w:rsidRDefault="004401F0" w:rsidP="00315813">
      <w:pPr>
        <w:pStyle w:val="a3"/>
        <w:adjustRightInd w:val="0"/>
        <w:snapToGrid w:val="0"/>
        <w:rPr>
          <w:sz w:val="20"/>
          <w:lang w:val="fr-FR"/>
        </w:rPr>
      </w:pPr>
    </w:p>
    <w:p w14:paraId="5E03AD71" w14:textId="77777777" w:rsidR="003A208A" w:rsidRPr="00315813" w:rsidRDefault="003A208A" w:rsidP="00315813">
      <w:pPr>
        <w:pStyle w:val="a3"/>
        <w:adjustRightInd w:val="0"/>
        <w:snapToGrid w:val="0"/>
        <w:rPr>
          <w:sz w:val="20"/>
          <w:lang w:val="fr-FR"/>
        </w:rPr>
      </w:pPr>
    </w:p>
    <w:p w14:paraId="4E21ADA7"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18.</w:t>
      </w:r>
      <w:r w:rsidRPr="000C517C">
        <w:rPr>
          <w:b/>
          <w:lang w:val="fr-FR"/>
        </w:rPr>
        <w:tab/>
        <w:t>IDENTIFIANT UNIQUE - DONNÉES LISIBLES PAR LES HUMAINS</w:t>
      </w:r>
    </w:p>
    <w:p w14:paraId="7D0FC531" w14:textId="77777777" w:rsidR="004401F0" w:rsidRPr="00315813" w:rsidRDefault="004401F0" w:rsidP="00315813">
      <w:pPr>
        <w:pStyle w:val="a3"/>
        <w:adjustRightInd w:val="0"/>
        <w:snapToGrid w:val="0"/>
        <w:rPr>
          <w:lang w:val="fr-FR"/>
        </w:rPr>
      </w:pPr>
    </w:p>
    <w:p w14:paraId="610CEDB9" w14:textId="77777777" w:rsidR="003A208A" w:rsidRDefault="00DF3C4F" w:rsidP="00315813">
      <w:pPr>
        <w:pStyle w:val="a3"/>
        <w:adjustRightInd w:val="0"/>
        <w:snapToGrid w:val="0"/>
        <w:jc w:val="both"/>
        <w:rPr>
          <w:lang w:val="fr-FR"/>
        </w:rPr>
      </w:pPr>
      <w:r w:rsidRPr="00315813">
        <w:rPr>
          <w:lang w:val="fr-FR"/>
        </w:rPr>
        <w:t xml:space="preserve">PC </w:t>
      </w:r>
    </w:p>
    <w:p w14:paraId="4808B50A" w14:textId="77777777" w:rsidR="003A208A" w:rsidRDefault="00DF3C4F" w:rsidP="00315813">
      <w:pPr>
        <w:pStyle w:val="a3"/>
        <w:adjustRightInd w:val="0"/>
        <w:snapToGrid w:val="0"/>
        <w:jc w:val="both"/>
        <w:rPr>
          <w:lang w:val="fr-FR"/>
        </w:rPr>
      </w:pPr>
      <w:r w:rsidRPr="00315813">
        <w:rPr>
          <w:lang w:val="fr-FR"/>
        </w:rPr>
        <w:t xml:space="preserve">SN </w:t>
      </w:r>
    </w:p>
    <w:p w14:paraId="11160A84" w14:textId="77777777" w:rsidR="004401F0" w:rsidRPr="00315813" w:rsidRDefault="00DF3C4F" w:rsidP="00315813">
      <w:pPr>
        <w:pStyle w:val="a3"/>
        <w:adjustRightInd w:val="0"/>
        <w:snapToGrid w:val="0"/>
        <w:jc w:val="both"/>
        <w:rPr>
          <w:lang w:val="fr-FR"/>
        </w:rPr>
      </w:pPr>
      <w:r w:rsidRPr="00315813">
        <w:rPr>
          <w:lang w:val="fr-FR"/>
        </w:rPr>
        <w:t>NN</w:t>
      </w:r>
    </w:p>
    <w:p w14:paraId="159E212E" w14:textId="77777777" w:rsidR="007F2143" w:rsidRPr="00315813" w:rsidRDefault="007F2143" w:rsidP="00315813">
      <w:pPr>
        <w:adjustRightInd w:val="0"/>
        <w:snapToGrid w:val="0"/>
        <w:rPr>
          <w:lang w:val="fr-FR"/>
        </w:rPr>
      </w:pPr>
      <w:r w:rsidRPr="00315813">
        <w:rPr>
          <w:lang w:val="fr-FR"/>
        </w:rPr>
        <w:br w:type="page"/>
      </w:r>
    </w:p>
    <w:p w14:paraId="6E6B902A"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lastRenderedPageBreak/>
        <w:t>MENTIONS MINIMALES DEVANT FIGURER SUR LES PETITS CONDITIONNEMENTS PRIMAIRES</w:t>
      </w:r>
    </w:p>
    <w:p w14:paraId="2F868CC7" w14:textId="77777777" w:rsidR="007F2143" w:rsidRPr="000C517C" w:rsidRDefault="007F2143" w:rsidP="003A208A">
      <w:pPr>
        <w:pStyle w:val="a3"/>
        <w:pBdr>
          <w:top w:val="single" w:sz="4" w:space="1" w:color="auto"/>
          <w:left w:val="single" w:sz="4" w:space="4" w:color="auto"/>
          <w:bottom w:val="single" w:sz="4" w:space="1" w:color="auto"/>
          <w:right w:val="single" w:sz="4" w:space="4" w:color="auto"/>
        </w:pBdr>
        <w:adjustRightInd w:val="0"/>
        <w:snapToGrid w:val="0"/>
        <w:rPr>
          <w:b/>
          <w:lang w:val="fr-FR"/>
        </w:rPr>
      </w:pPr>
    </w:p>
    <w:p w14:paraId="57D368F6" w14:textId="77777777" w:rsidR="007F2143" w:rsidRPr="000C517C" w:rsidRDefault="00184315"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 xml:space="preserve">ÉTIQUETTE DU </w:t>
      </w:r>
      <w:r w:rsidR="007F2143" w:rsidRPr="000C517C">
        <w:rPr>
          <w:b/>
          <w:lang w:val="fr-FR"/>
        </w:rPr>
        <w:t>FLACON</w:t>
      </w:r>
    </w:p>
    <w:p w14:paraId="646E87D2" w14:textId="77777777" w:rsidR="00BD4C7C" w:rsidRPr="00315813" w:rsidRDefault="00BD4C7C" w:rsidP="00315813">
      <w:pPr>
        <w:adjustRightInd w:val="0"/>
        <w:snapToGrid w:val="0"/>
        <w:jc w:val="both"/>
        <w:rPr>
          <w:lang w:val="fr-FR"/>
        </w:rPr>
      </w:pPr>
    </w:p>
    <w:p w14:paraId="7F5D770D" w14:textId="77777777" w:rsidR="004401F0" w:rsidRPr="00315813" w:rsidRDefault="004401F0" w:rsidP="00315813">
      <w:pPr>
        <w:pStyle w:val="a3"/>
        <w:adjustRightInd w:val="0"/>
        <w:snapToGrid w:val="0"/>
        <w:rPr>
          <w:sz w:val="20"/>
          <w:lang w:val="fr-FR"/>
        </w:rPr>
      </w:pPr>
    </w:p>
    <w:p w14:paraId="3FAD1FEA"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w:t>
      </w:r>
      <w:r w:rsidRPr="000C517C">
        <w:rPr>
          <w:b/>
          <w:lang w:val="fr-FR"/>
        </w:rPr>
        <w:tab/>
        <w:t>DENOMINATION DU MEDICAMENT ET VOIE(S) D’ADMINISTRATION</w:t>
      </w:r>
    </w:p>
    <w:p w14:paraId="6FAE26F3" w14:textId="77777777" w:rsidR="004401F0" w:rsidRPr="00315813" w:rsidRDefault="004401F0" w:rsidP="00315813">
      <w:pPr>
        <w:pStyle w:val="a3"/>
        <w:adjustRightInd w:val="0"/>
        <w:snapToGrid w:val="0"/>
        <w:rPr>
          <w:lang w:val="fr-FR"/>
        </w:rPr>
      </w:pPr>
    </w:p>
    <w:p w14:paraId="07193B68" w14:textId="67081C80" w:rsidR="002B7A66" w:rsidRDefault="00F05208" w:rsidP="00315813">
      <w:pPr>
        <w:pStyle w:val="a3"/>
        <w:adjustRightInd w:val="0"/>
        <w:snapToGrid w:val="0"/>
        <w:rPr>
          <w:lang w:val="fr-FR"/>
        </w:rPr>
      </w:pPr>
      <w:r>
        <w:rPr>
          <w:lang w:val="fr-FR"/>
        </w:rPr>
        <w:t>Vegzelma</w:t>
      </w:r>
      <w:r w:rsidR="00ED5ABA">
        <w:rPr>
          <w:rFonts w:eastAsia="맑은 고딕" w:hint="eastAsia"/>
          <w:lang w:val="fr-FR" w:eastAsia="ko-KR"/>
        </w:rPr>
        <w:t xml:space="preserve"> </w:t>
      </w:r>
      <w:r w:rsidR="00DF3C4F" w:rsidRPr="00315813">
        <w:rPr>
          <w:lang w:val="fr-FR"/>
        </w:rPr>
        <w:t>25</w:t>
      </w:r>
      <w:r w:rsidR="00DA7718" w:rsidRPr="00315813">
        <w:rPr>
          <w:lang w:val="fr-FR"/>
        </w:rPr>
        <w:t> mg</w:t>
      </w:r>
      <w:r w:rsidR="00DF3C4F" w:rsidRPr="00315813">
        <w:rPr>
          <w:lang w:val="fr-FR"/>
        </w:rPr>
        <w:t xml:space="preserve">/ml </w:t>
      </w:r>
      <w:r w:rsidR="005963EB" w:rsidRPr="009D1080">
        <w:rPr>
          <w:lang w:val="fr-FR"/>
        </w:rPr>
        <w:t>Concentré</w:t>
      </w:r>
      <w:r w:rsidR="005963EB">
        <w:rPr>
          <w:lang w:val="fr-FR"/>
        </w:rPr>
        <w:t xml:space="preserve"> </w:t>
      </w:r>
      <w:r w:rsidR="005963EB" w:rsidRPr="009D1080">
        <w:rPr>
          <w:lang w:val="fr-FR"/>
        </w:rPr>
        <w:t>stérile</w:t>
      </w:r>
    </w:p>
    <w:p w14:paraId="6E08B376" w14:textId="77777777" w:rsidR="004401F0" w:rsidRPr="00315813" w:rsidRDefault="00DF3C4F" w:rsidP="00315813">
      <w:pPr>
        <w:pStyle w:val="a3"/>
        <w:adjustRightInd w:val="0"/>
        <w:snapToGrid w:val="0"/>
        <w:rPr>
          <w:lang w:val="fr-FR"/>
        </w:rPr>
      </w:pPr>
      <w:r w:rsidRPr="00315813">
        <w:rPr>
          <w:lang w:val="fr-FR"/>
        </w:rPr>
        <w:t>bevacizumab</w:t>
      </w:r>
    </w:p>
    <w:p w14:paraId="5ED995EC" w14:textId="77777777" w:rsidR="004401F0" w:rsidRPr="00315813" w:rsidRDefault="00DF3C4F" w:rsidP="00315813">
      <w:pPr>
        <w:pStyle w:val="a3"/>
        <w:adjustRightInd w:val="0"/>
        <w:snapToGrid w:val="0"/>
        <w:rPr>
          <w:lang w:val="fr-FR"/>
        </w:rPr>
      </w:pPr>
      <w:r w:rsidRPr="00315813">
        <w:rPr>
          <w:lang w:val="fr-FR"/>
        </w:rPr>
        <w:t>IV</w:t>
      </w:r>
    </w:p>
    <w:p w14:paraId="5C5979D7" w14:textId="77777777" w:rsidR="004401F0" w:rsidRDefault="004401F0" w:rsidP="00315813">
      <w:pPr>
        <w:pStyle w:val="a3"/>
        <w:adjustRightInd w:val="0"/>
        <w:snapToGrid w:val="0"/>
        <w:rPr>
          <w:sz w:val="20"/>
          <w:lang w:val="fr-FR"/>
        </w:rPr>
      </w:pPr>
    </w:p>
    <w:p w14:paraId="6FA417A7" w14:textId="77777777" w:rsidR="003A208A" w:rsidRPr="00315813" w:rsidRDefault="003A208A" w:rsidP="00315813">
      <w:pPr>
        <w:pStyle w:val="a3"/>
        <w:adjustRightInd w:val="0"/>
        <w:snapToGrid w:val="0"/>
        <w:rPr>
          <w:sz w:val="20"/>
          <w:lang w:val="fr-FR"/>
        </w:rPr>
      </w:pPr>
    </w:p>
    <w:p w14:paraId="052C46C0"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2.</w:t>
      </w:r>
      <w:r w:rsidRPr="000C517C">
        <w:rPr>
          <w:b/>
          <w:lang w:val="fr-FR"/>
        </w:rPr>
        <w:tab/>
        <w:t>MODE D’ADMINISTRATION</w:t>
      </w:r>
    </w:p>
    <w:p w14:paraId="0EA2E894" w14:textId="77777777" w:rsidR="004401F0" w:rsidRPr="00315813" w:rsidRDefault="004401F0" w:rsidP="00315813">
      <w:pPr>
        <w:pStyle w:val="a3"/>
        <w:adjustRightInd w:val="0"/>
        <w:snapToGrid w:val="0"/>
        <w:rPr>
          <w:lang w:val="fr-FR"/>
        </w:rPr>
      </w:pPr>
    </w:p>
    <w:p w14:paraId="1AC12B6B" w14:textId="43AC746A" w:rsidR="004401F0" w:rsidRPr="00315813" w:rsidRDefault="00DF3C4F" w:rsidP="00315813">
      <w:pPr>
        <w:pStyle w:val="a3"/>
        <w:adjustRightInd w:val="0"/>
        <w:snapToGrid w:val="0"/>
        <w:rPr>
          <w:lang w:val="fr-FR"/>
        </w:rPr>
      </w:pPr>
      <w:r w:rsidRPr="00315813">
        <w:rPr>
          <w:lang w:val="fr-FR"/>
        </w:rPr>
        <w:t xml:space="preserve">Voie </w:t>
      </w:r>
      <w:r w:rsidR="00830393" w:rsidRPr="00F014C7">
        <w:rPr>
          <w:lang w:val="fr-FR"/>
        </w:rPr>
        <w:t>IV</w:t>
      </w:r>
      <w:r w:rsidRPr="00315813">
        <w:rPr>
          <w:lang w:val="fr-FR"/>
        </w:rPr>
        <w:t xml:space="preserve"> après dilution</w:t>
      </w:r>
    </w:p>
    <w:p w14:paraId="7FAB5D71" w14:textId="77777777" w:rsidR="004401F0" w:rsidRDefault="004401F0" w:rsidP="00315813">
      <w:pPr>
        <w:pStyle w:val="a3"/>
        <w:adjustRightInd w:val="0"/>
        <w:snapToGrid w:val="0"/>
        <w:rPr>
          <w:sz w:val="20"/>
          <w:lang w:val="fr-FR"/>
        </w:rPr>
      </w:pPr>
    </w:p>
    <w:p w14:paraId="6C2CB361" w14:textId="77777777" w:rsidR="003A208A" w:rsidRPr="00315813" w:rsidRDefault="003A208A" w:rsidP="00315813">
      <w:pPr>
        <w:pStyle w:val="a3"/>
        <w:adjustRightInd w:val="0"/>
        <w:snapToGrid w:val="0"/>
        <w:rPr>
          <w:sz w:val="20"/>
          <w:lang w:val="fr-FR"/>
        </w:rPr>
      </w:pPr>
    </w:p>
    <w:p w14:paraId="09EA8FD8"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3.</w:t>
      </w:r>
      <w:r w:rsidRPr="000C517C">
        <w:rPr>
          <w:b/>
          <w:lang w:val="fr-FR"/>
        </w:rPr>
        <w:tab/>
        <w:t>DATE DE PEREMPTION</w:t>
      </w:r>
    </w:p>
    <w:p w14:paraId="069D11D6" w14:textId="77777777" w:rsidR="004401F0" w:rsidRPr="00315813" w:rsidRDefault="004401F0" w:rsidP="00315813">
      <w:pPr>
        <w:pStyle w:val="a3"/>
        <w:adjustRightInd w:val="0"/>
        <w:snapToGrid w:val="0"/>
        <w:rPr>
          <w:lang w:val="fr-FR"/>
        </w:rPr>
      </w:pPr>
    </w:p>
    <w:p w14:paraId="52C1F357" w14:textId="77777777" w:rsidR="004401F0" w:rsidRPr="00315813" w:rsidRDefault="00DF3C4F" w:rsidP="00315813">
      <w:pPr>
        <w:pStyle w:val="a3"/>
        <w:adjustRightInd w:val="0"/>
        <w:snapToGrid w:val="0"/>
        <w:rPr>
          <w:lang w:val="fr-FR"/>
        </w:rPr>
      </w:pPr>
      <w:r w:rsidRPr="00315813">
        <w:rPr>
          <w:lang w:val="fr-FR"/>
        </w:rPr>
        <w:t>EXP</w:t>
      </w:r>
    </w:p>
    <w:p w14:paraId="75A13E13" w14:textId="77777777" w:rsidR="004401F0" w:rsidRDefault="004401F0" w:rsidP="00315813">
      <w:pPr>
        <w:pStyle w:val="a3"/>
        <w:adjustRightInd w:val="0"/>
        <w:snapToGrid w:val="0"/>
        <w:rPr>
          <w:sz w:val="20"/>
          <w:lang w:val="fr-FR"/>
        </w:rPr>
      </w:pPr>
    </w:p>
    <w:p w14:paraId="45D74734" w14:textId="77777777" w:rsidR="003A208A" w:rsidRPr="00315813" w:rsidRDefault="003A208A" w:rsidP="00315813">
      <w:pPr>
        <w:pStyle w:val="a3"/>
        <w:adjustRightInd w:val="0"/>
        <w:snapToGrid w:val="0"/>
        <w:rPr>
          <w:sz w:val="20"/>
          <w:lang w:val="fr-FR"/>
        </w:rPr>
      </w:pPr>
    </w:p>
    <w:p w14:paraId="6ED369BC"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4.</w:t>
      </w:r>
      <w:r w:rsidRPr="000C517C">
        <w:rPr>
          <w:b/>
          <w:lang w:val="fr-FR"/>
        </w:rPr>
        <w:tab/>
        <w:t>NUMERO DU LOT</w:t>
      </w:r>
    </w:p>
    <w:p w14:paraId="3F8C34F4" w14:textId="77777777" w:rsidR="004401F0" w:rsidRPr="00315813" w:rsidRDefault="004401F0" w:rsidP="00315813">
      <w:pPr>
        <w:pStyle w:val="a3"/>
        <w:adjustRightInd w:val="0"/>
        <w:snapToGrid w:val="0"/>
        <w:rPr>
          <w:lang w:val="fr-FR"/>
        </w:rPr>
      </w:pPr>
    </w:p>
    <w:p w14:paraId="00D83E99" w14:textId="77777777" w:rsidR="004401F0" w:rsidRPr="00315813" w:rsidRDefault="00DF3C4F" w:rsidP="00315813">
      <w:pPr>
        <w:pStyle w:val="a3"/>
        <w:adjustRightInd w:val="0"/>
        <w:snapToGrid w:val="0"/>
        <w:rPr>
          <w:lang w:val="fr-FR"/>
        </w:rPr>
      </w:pPr>
      <w:r w:rsidRPr="00315813">
        <w:rPr>
          <w:lang w:val="fr-FR"/>
        </w:rPr>
        <w:t>Lot</w:t>
      </w:r>
    </w:p>
    <w:p w14:paraId="02E631C7" w14:textId="77777777" w:rsidR="004401F0" w:rsidRDefault="004401F0" w:rsidP="00315813">
      <w:pPr>
        <w:pStyle w:val="a3"/>
        <w:adjustRightInd w:val="0"/>
        <w:snapToGrid w:val="0"/>
        <w:rPr>
          <w:sz w:val="20"/>
          <w:lang w:val="fr-FR"/>
        </w:rPr>
      </w:pPr>
    </w:p>
    <w:p w14:paraId="541049A1" w14:textId="77777777" w:rsidR="003A208A" w:rsidRPr="00315813" w:rsidRDefault="003A208A" w:rsidP="00315813">
      <w:pPr>
        <w:pStyle w:val="a3"/>
        <w:adjustRightInd w:val="0"/>
        <w:snapToGrid w:val="0"/>
        <w:rPr>
          <w:sz w:val="20"/>
          <w:lang w:val="fr-FR"/>
        </w:rPr>
      </w:pPr>
    </w:p>
    <w:p w14:paraId="0FE57C85"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5.</w:t>
      </w:r>
      <w:r w:rsidRPr="000C517C">
        <w:rPr>
          <w:b/>
          <w:lang w:val="fr-FR"/>
        </w:rPr>
        <w:tab/>
        <w:t>CONTENU EN POIDS, VOLUME OU UNITE</w:t>
      </w:r>
    </w:p>
    <w:p w14:paraId="71E6A912" w14:textId="77777777" w:rsidR="004401F0" w:rsidRPr="00315813" w:rsidRDefault="004401F0" w:rsidP="00315813">
      <w:pPr>
        <w:pStyle w:val="a3"/>
        <w:adjustRightInd w:val="0"/>
        <w:snapToGrid w:val="0"/>
        <w:rPr>
          <w:lang w:val="fr-FR"/>
        </w:rPr>
      </w:pPr>
    </w:p>
    <w:p w14:paraId="38F0FE91" w14:textId="77777777" w:rsidR="004401F0" w:rsidRPr="00315813" w:rsidRDefault="00DF3C4F" w:rsidP="00315813">
      <w:pPr>
        <w:pStyle w:val="a3"/>
        <w:adjustRightInd w:val="0"/>
        <w:snapToGrid w:val="0"/>
        <w:rPr>
          <w:lang w:val="fr-FR"/>
        </w:rPr>
      </w:pPr>
      <w:r w:rsidRPr="00315813">
        <w:rPr>
          <w:lang w:val="fr-FR"/>
        </w:rPr>
        <w:t>100</w:t>
      </w:r>
      <w:r w:rsidR="00DA7718" w:rsidRPr="00315813">
        <w:rPr>
          <w:lang w:val="fr-FR"/>
        </w:rPr>
        <w:t> mg</w:t>
      </w:r>
      <w:r w:rsidRPr="00315813">
        <w:rPr>
          <w:lang w:val="fr-FR"/>
        </w:rPr>
        <w:t>/4</w:t>
      </w:r>
      <w:r w:rsidR="00DA7718" w:rsidRPr="00315813">
        <w:rPr>
          <w:lang w:val="fr-FR"/>
        </w:rPr>
        <w:t> ml</w:t>
      </w:r>
    </w:p>
    <w:p w14:paraId="1062D13A" w14:textId="77777777" w:rsidR="004401F0" w:rsidRDefault="004401F0" w:rsidP="00315813">
      <w:pPr>
        <w:pStyle w:val="a3"/>
        <w:adjustRightInd w:val="0"/>
        <w:snapToGrid w:val="0"/>
        <w:rPr>
          <w:sz w:val="20"/>
          <w:lang w:val="fr-FR"/>
        </w:rPr>
      </w:pPr>
    </w:p>
    <w:p w14:paraId="3A015BA9" w14:textId="77777777" w:rsidR="003A208A" w:rsidRPr="00315813" w:rsidRDefault="003A208A" w:rsidP="00315813">
      <w:pPr>
        <w:pStyle w:val="a3"/>
        <w:adjustRightInd w:val="0"/>
        <w:snapToGrid w:val="0"/>
        <w:rPr>
          <w:sz w:val="20"/>
          <w:lang w:val="fr-FR"/>
        </w:rPr>
      </w:pPr>
    </w:p>
    <w:p w14:paraId="61264812" w14:textId="77777777" w:rsidR="007F2143" w:rsidRPr="000C517C" w:rsidRDefault="007F2143"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6.</w:t>
      </w:r>
      <w:r w:rsidRPr="000C517C">
        <w:rPr>
          <w:b/>
          <w:lang w:val="fr-FR"/>
        </w:rPr>
        <w:tab/>
        <w:t>AUTRES</w:t>
      </w:r>
    </w:p>
    <w:p w14:paraId="14A7C70A" w14:textId="77777777" w:rsidR="003A208A" w:rsidRDefault="003A208A" w:rsidP="00315813">
      <w:pPr>
        <w:adjustRightInd w:val="0"/>
        <w:snapToGrid w:val="0"/>
        <w:rPr>
          <w:lang w:val="fr-FR"/>
        </w:rPr>
      </w:pPr>
    </w:p>
    <w:p w14:paraId="038B7EB6" w14:textId="77777777" w:rsidR="003A208A" w:rsidRDefault="003A208A" w:rsidP="00315813">
      <w:pPr>
        <w:adjustRightInd w:val="0"/>
        <w:snapToGrid w:val="0"/>
        <w:rPr>
          <w:lang w:val="fr-FR"/>
        </w:rPr>
      </w:pPr>
    </w:p>
    <w:p w14:paraId="1988C8D0" w14:textId="77777777" w:rsidR="007F2143" w:rsidRPr="00315813" w:rsidRDefault="007F2143" w:rsidP="00315813">
      <w:pPr>
        <w:adjustRightInd w:val="0"/>
        <w:snapToGrid w:val="0"/>
        <w:rPr>
          <w:lang w:val="fr-FR"/>
        </w:rPr>
      </w:pPr>
      <w:r w:rsidRPr="00315813">
        <w:rPr>
          <w:lang w:val="fr-FR"/>
        </w:rPr>
        <w:br w:type="page"/>
      </w:r>
    </w:p>
    <w:p w14:paraId="2F8C8BFC"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lastRenderedPageBreak/>
        <w:t>MENTIONS DEVANT FIGURER SUR L’EMBALLAGE EXTERIEUR</w:t>
      </w:r>
    </w:p>
    <w:p w14:paraId="3DE313C5" w14:textId="77777777" w:rsidR="00B33336" w:rsidRPr="000C517C" w:rsidRDefault="00B33336" w:rsidP="003A208A">
      <w:pPr>
        <w:pStyle w:val="a3"/>
        <w:pBdr>
          <w:top w:val="single" w:sz="4" w:space="1" w:color="auto"/>
          <w:left w:val="single" w:sz="4" w:space="4" w:color="auto"/>
          <w:bottom w:val="single" w:sz="4" w:space="1" w:color="auto"/>
          <w:right w:val="single" w:sz="4" w:space="4" w:color="auto"/>
        </w:pBdr>
        <w:adjustRightInd w:val="0"/>
        <w:snapToGrid w:val="0"/>
        <w:rPr>
          <w:b/>
          <w:lang w:val="fr-FR"/>
        </w:rPr>
      </w:pPr>
    </w:p>
    <w:p w14:paraId="4B7A4282"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ETUI</w:t>
      </w:r>
    </w:p>
    <w:p w14:paraId="2C565C2E" w14:textId="77777777" w:rsidR="003A208A" w:rsidRPr="000C517C" w:rsidRDefault="003A208A" w:rsidP="00315813">
      <w:pPr>
        <w:adjustRightInd w:val="0"/>
        <w:snapToGrid w:val="0"/>
        <w:rPr>
          <w:b/>
          <w:lang w:val="fr-FR"/>
        </w:rPr>
      </w:pPr>
    </w:p>
    <w:p w14:paraId="081B1A38" w14:textId="77777777" w:rsidR="003A208A" w:rsidRPr="000C517C" w:rsidRDefault="003A208A" w:rsidP="00315813">
      <w:pPr>
        <w:adjustRightInd w:val="0"/>
        <w:snapToGrid w:val="0"/>
        <w:rPr>
          <w:b/>
          <w:lang w:val="fr-FR"/>
        </w:rPr>
      </w:pPr>
    </w:p>
    <w:p w14:paraId="12C99117"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w:t>
      </w:r>
      <w:r w:rsidRPr="000C517C">
        <w:rPr>
          <w:b/>
          <w:lang w:val="fr-FR"/>
        </w:rPr>
        <w:tab/>
        <w:t>DENOMINATION DU MEDICAMENT</w:t>
      </w:r>
    </w:p>
    <w:p w14:paraId="59CFE26A" w14:textId="77777777" w:rsidR="004401F0" w:rsidRPr="00315813" w:rsidRDefault="004401F0" w:rsidP="00315813">
      <w:pPr>
        <w:pStyle w:val="a3"/>
        <w:adjustRightInd w:val="0"/>
        <w:snapToGrid w:val="0"/>
        <w:rPr>
          <w:lang w:val="fr-FR"/>
        </w:rPr>
      </w:pPr>
    </w:p>
    <w:p w14:paraId="172DEC27" w14:textId="3D3A3DA2" w:rsidR="002B7A66" w:rsidRDefault="00F05208" w:rsidP="00315813">
      <w:pPr>
        <w:pStyle w:val="a3"/>
        <w:adjustRightInd w:val="0"/>
        <w:snapToGrid w:val="0"/>
        <w:rPr>
          <w:lang w:val="fr-FR"/>
        </w:rPr>
      </w:pPr>
      <w:r>
        <w:rPr>
          <w:lang w:val="fr-FR"/>
        </w:rPr>
        <w:t>Vegzelma</w:t>
      </w:r>
      <w:r w:rsidR="00ED5ABA">
        <w:rPr>
          <w:rFonts w:eastAsia="맑은 고딕" w:hint="eastAsia"/>
          <w:lang w:val="fr-FR" w:eastAsia="ko-KR"/>
        </w:rPr>
        <w:t xml:space="preserve"> </w:t>
      </w:r>
      <w:r w:rsidR="00DF3C4F" w:rsidRPr="00315813">
        <w:rPr>
          <w:lang w:val="fr-FR"/>
        </w:rPr>
        <w:t>25</w:t>
      </w:r>
      <w:r w:rsidR="00DA7718" w:rsidRPr="00315813">
        <w:rPr>
          <w:lang w:val="fr-FR"/>
        </w:rPr>
        <w:t> mg</w:t>
      </w:r>
      <w:r w:rsidR="00DF3C4F" w:rsidRPr="00315813">
        <w:rPr>
          <w:lang w:val="fr-FR"/>
        </w:rPr>
        <w:t xml:space="preserve">/ml solution à diluer pour perfusion </w:t>
      </w:r>
    </w:p>
    <w:p w14:paraId="57C9605E" w14:textId="77777777" w:rsidR="004401F0" w:rsidRPr="00315813" w:rsidRDefault="00DF3C4F" w:rsidP="00315813">
      <w:pPr>
        <w:pStyle w:val="a3"/>
        <w:adjustRightInd w:val="0"/>
        <w:snapToGrid w:val="0"/>
        <w:rPr>
          <w:lang w:val="fr-FR"/>
        </w:rPr>
      </w:pPr>
      <w:r w:rsidRPr="00315813">
        <w:rPr>
          <w:lang w:val="fr-FR"/>
        </w:rPr>
        <w:t>bevacizumab</w:t>
      </w:r>
    </w:p>
    <w:p w14:paraId="6382EBEF" w14:textId="77777777" w:rsidR="004401F0" w:rsidRDefault="004401F0" w:rsidP="00315813">
      <w:pPr>
        <w:pStyle w:val="a3"/>
        <w:adjustRightInd w:val="0"/>
        <w:snapToGrid w:val="0"/>
        <w:rPr>
          <w:sz w:val="20"/>
          <w:lang w:val="fr-FR"/>
        </w:rPr>
      </w:pPr>
    </w:p>
    <w:p w14:paraId="30A21E58" w14:textId="77777777" w:rsidR="003A208A" w:rsidRPr="00315813" w:rsidRDefault="003A208A" w:rsidP="00315813">
      <w:pPr>
        <w:pStyle w:val="a3"/>
        <w:adjustRightInd w:val="0"/>
        <w:snapToGrid w:val="0"/>
        <w:rPr>
          <w:sz w:val="20"/>
          <w:lang w:val="fr-FR"/>
        </w:rPr>
      </w:pPr>
    </w:p>
    <w:p w14:paraId="5672ECBC"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2.</w:t>
      </w:r>
      <w:r w:rsidRPr="000C517C">
        <w:rPr>
          <w:b/>
          <w:lang w:val="fr-FR"/>
        </w:rPr>
        <w:tab/>
        <w:t>COMPOSITION EN SUBSTANCE(S) ACTIVE(S)</w:t>
      </w:r>
    </w:p>
    <w:p w14:paraId="11F0CF2D" w14:textId="77777777" w:rsidR="004401F0" w:rsidRPr="00315813" w:rsidRDefault="004401F0" w:rsidP="00315813">
      <w:pPr>
        <w:pStyle w:val="a3"/>
        <w:adjustRightInd w:val="0"/>
        <w:snapToGrid w:val="0"/>
        <w:rPr>
          <w:lang w:val="fr-FR"/>
        </w:rPr>
      </w:pPr>
    </w:p>
    <w:p w14:paraId="5E48B3E2" w14:textId="77777777" w:rsidR="004401F0" w:rsidRPr="00315813" w:rsidRDefault="00DF3C4F" w:rsidP="00315813">
      <w:pPr>
        <w:pStyle w:val="a3"/>
        <w:adjustRightInd w:val="0"/>
        <w:snapToGrid w:val="0"/>
        <w:rPr>
          <w:lang w:val="fr-FR"/>
        </w:rPr>
      </w:pPr>
      <w:r w:rsidRPr="00315813">
        <w:rPr>
          <w:lang w:val="fr-FR"/>
        </w:rPr>
        <w:t>Chaque flacon contient 400</w:t>
      </w:r>
      <w:r w:rsidR="00DA7718" w:rsidRPr="00315813">
        <w:rPr>
          <w:lang w:val="fr-FR"/>
        </w:rPr>
        <w:t> mg</w:t>
      </w:r>
      <w:r w:rsidRPr="00315813">
        <w:rPr>
          <w:lang w:val="fr-FR"/>
        </w:rPr>
        <w:t xml:space="preserve"> de bevacizumab</w:t>
      </w:r>
      <w:r w:rsidR="00184315">
        <w:rPr>
          <w:lang w:val="fr-FR"/>
        </w:rPr>
        <w:t xml:space="preserve"> dans 16 ml de solution à diluer</w:t>
      </w:r>
      <w:r w:rsidRPr="00315813">
        <w:rPr>
          <w:lang w:val="fr-FR"/>
        </w:rPr>
        <w:t>.</w:t>
      </w:r>
    </w:p>
    <w:p w14:paraId="2629CA55" w14:textId="77777777" w:rsidR="004401F0" w:rsidRDefault="004401F0" w:rsidP="00315813">
      <w:pPr>
        <w:pStyle w:val="a3"/>
        <w:adjustRightInd w:val="0"/>
        <w:snapToGrid w:val="0"/>
        <w:rPr>
          <w:sz w:val="20"/>
          <w:lang w:val="fr-FR"/>
        </w:rPr>
      </w:pPr>
    </w:p>
    <w:p w14:paraId="2C43E191" w14:textId="77777777" w:rsidR="003A208A" w:rsidRPr="00315813" w:rsidRDefault="003A208A" w:rsidP="00315813">
      <w:pPr>
        <w:pStyle w:val="a3"/>
        <w:adjustRightInd w:val="0"/>
        <w:snapToGrid w:val="0"/>
        <w:rPr>
          <w:sz w:val="20"/>
          <w:lang w:val="fr-FR"/>
        </w:rPr>
      </w:pPr>
    </w:p>
    <w:p w14:paraId="4331447A"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3.</w:t>
      </w:r>
      <w:r w:rsidRPr="000C517C">
        <w:rPr>
          <w:b/>
          <w:lang w:val="fr-FR"/>
        </w:rPr>
        <w:tab/>
        <w:t>LISTE DES EXCIPIENTS</w:t>
      </w:r>
    </w:p>
    <w:p w14:paraId="541CDD20" w14:textId="77777777" w:rsidR="004401F0" w:rsidRPr="00315813" w:rsidRDefault="004401F0" w:rsidP="00315813">
      <w:pPr>
        <w:pStyle w:val="a3"/>
        <w:adjustRightInd w:val="0"/>
        <w:snapToGrid w:val="0"/>
        <w:rPr>
          <w:lang w:val="fr-FR"/>
        </w:rPr>
      </w:pPr>
    </w:p>
    <w:p w14:paraId="725C0889" w14:textId="77777777" w:rsidR="004401F0" w:rsidRPr="00315813" w:rsidRDefault="00DF3C4F" w:rsidP="00315813">
      <w:pPr>
        <w:pStyle w:val="a3"/>
        <w:adjustRightInd w:val="0"/>
        <w:snapToGrid w:val="0"/>
        <w:rPr>
          <w:lang w:val="fr-FR"/>
        </w:rPr>
      </w:pPr>
      <w:r w:rsidRPr="00315813">
        <w:rPr>
          <w:lang w:val="fr-FR"/>
        </w:rPr>
        <w:t>Dihydrate de tréhalose, phosphate de sodium, polysorbate 20, eau pour préparations injectables.</w:t>
      </w:r>
    </w:p>
    <w:p w14:paraId="4FC06FE5" w14:textId="77777777" w:rsidR="004401F0" w:rsidRDefault="004401F0" w:rsidP="00315813">
      <w:pPr>
        <w:pStyle w:val="a3"/>
        <w:adjustRightInd w:val="0"/>
        <w:snapToGrid w:val="0"/>
        <w:rPr>
          <w:sz w:val="20"/>
          <w:lang w:val="fr-FR"/>
        </w:rPr>
      </w:pPr>
    </w:p>
    <w:p w14:paraId="24919569" w14:textId="77777777" w:rsidR="003A208A" w:rsidRPr="00315813" w:rsidRDefault="003A208A" w:rsidP="00315813">
      <w:pPr>
        <w:pStyle w:val="a3"/>
        <w:adjustRightInd w:val="0"/>
        <w:snapToGrid w:val="0"/>
        <w:rPr>
          <w:sz w:val="20"/>
          <w:lang w:val="fr-FR"/>
        </w:rPr>
      </w:pPr>
    </w:p>
    <w:p w14:paraId="001DA23C"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4.</w:t>
      </w:r>
      <w:r w:rsidRPr="000C517C">
        <w:rPr>
          <w:b/>
          <w:lang w:val="fr-FR"/>
        </w:rPr>
        <w:tab/>
        <w:t>FORME PHARMACEUTIQUE ET CONTENU</w:t>
      </w:r>
    </w:p>
    <w:p w14:paraId="0BE5770C" w14:textId="77777777" w:rsidR="004401F0" w:rsidRPr="00315813" w:rsidRDefault="004401F0" w:rsidP="00315813">
      <w:pPr>
        <w:pStyle w:val="a3"/>
        <w:adjustRightInd w:val="0"/>
        <w:snapToGrid w:val="0"/>
        <w:rPr>
          <w:lang w:val="fr-FR"/>
        </w:rPr>
      </w:pPr>
    </w:p>
    <w:p w14:paraId="7D14B104" w14:textId="49FADC4D" w:rsidR="002B7A66" w:rsidRDefault="00DF3C4F" w:rsidP="00315813">
      <w:pPr>
        <w:pStyle w:val="a3"/>
        <w:adjustRightInd w:val="0"/>
        <w:snapToGrid w:val="0"/>
        <w:rPr>
          <w:lang w:val="fr-FR"/>
        </w:rPr>
      </w:pPr>
      <w:r w:rsidRPr="00F518B5">
        <w:rPr>
          <w:highlight w:val="lightGray"/>
          <w:lang w:val="fr-FR"/>
        </w:rPr>
        <w:t>Solution à diluer pour perfusion</w:t>
      </w:r>
    </w:p>
    <w:p w14:paraId="4D063362" w14:textId="77777777" w:rsidR="00830393" w:rsidRDefault="00830393" w:rsidP="00315813">
      <w:pPr>
        <w:pStyle w:val="a3"/>
        <w:adjustRightInd w:val="0"/>
        <w:snapToGrid w:val="0"/>
        <w:rPr>
          <w:lang w:val="fr-FR"/>
        </w:rPr>
      </w:pPr>
    </w:p>
    <w:p w14:paraId="1DD7F4BC" w14:textId="01EE1251" w:rsidR="004401F0" w:rsidRDefault="00DF3C4F" w:rsidP="00315813">
      <w:pPr>
        <w:pStyle w:val="a3"/>
        <w:adjustRightInd w:val="0"/>
        <w:snapToGrid w:val="0"/>
        <w:rPr>
          <w:lang w:val="fr-FR"/>
        </w:rPr>
      </w:pPr>
      <w:r w:rsidRPr="00315813">
        <w:rPr>
          <w:lang w:val="fr-FR"/>
        </w:rPr>
        <w:t xml:space="preserve">1 </w:t>
      </w:r>
      <w:r w:rsidRPr="009315A6">
        <w:rPr>
          <w:lang w:val="fr-FR"/>
        </w:rPr>
        <w:t>flacon</w:t>
      </w:r>
      <w:r w:rsidRPr="00F518B5">
        <w:rPr>
          <w:highlight w:val="lightGray"/>
          <w:lang w:val="fr-FR"/>
        </w:rPr>
        <w:t xml:space="preserve"> de 16</w:t>
      </w:r>
      <w:r w:rsidR="00DA7718" w:rsidRPr="00F518B5">
        <w:rPr>
          <w:highlight w:val="lightGray"/>
          <w:lang w:val="fr-FR"/>
        </w:rPr>
        <w:t> ml</w:t>
      </w:r>
    </w:p>
    <w:p w14:paraId="2AF54A7B" w14:textId="1BAD11CE" w:rsidR="00F7466B" w:rsidRDefault="00F7466B" w:rsidP="00F7466B">
      <w:pPr>
        <w:pStyle w:val="a3"/>
        <w:adjustRightInd w:val="0"/>
        <w:snapToGrid w:val="0"/>
        <w:rPr>
          <w:lang w:val="fr-FR"/>
        </w:rPr>
      </w:pPr>
      <w:r>
        <w:rPr>
          <w:rFonts w:eastAsia="맑은 고딕" w:hint="eastAsia"/>
          <w:highlight w:val="lightGray"/>
          <w:lang w:val="fr-FR" w:eastAsia="ko-KR"/>
        </w:rPr>
        <w:t>2</w:t>
      </w:r>
      <w:r w:rsidRPr="00F518B5">
        <w:rPr>
          <w:highlight w:val="lightGray"/>
          <w:lang w:val="fr-FR"/>
        </w:rPr>
        <w:t xml:space="preserve"> flacons de 16 ml</w:t>
      </w:r>
    </w:p>
    <w:p w14:paraId="25416D7E" w14:textId="359E237F" w:rsidR="00830393" w:rsidRDefault="00830393" w:rsidP="00315813">
      <w:pPr>
        <w:pStyle w:val="a3"/>
        <w:adjustRightInd w:val="0"/>
        <w:snapToGrid w:val="0"/>
        <w:rPr>
          <w:lang w:val="fr-FR"/>
        </w:rPr>
      </w:pPr>
      <w:r w:rsidRPr="00F518B5">
        <w:rPr>
          <w:highlight w:val="lightGray"/>
          <w:lang w:val="fr-FR"/>
        </w:rPr>
        <w:t>10 flacons de 16 ml</w:t>
      </w:r>
    </w:p>
    <w:p w14:paraId="0EC49888" w14:textId="77777777" w:rsidR="00830393" w:rsidRPr="00830393" w:rsidRDefault="00830393" w:rsidP="00315813">
      <w:pPr>
        <w:pStyle w:val="a3"/>
        <w:adjustRightInd w:val="0"/>
        <w:snapToGrid w:val="0"/>
        <w:rPr>
          <w:lang w:val="fr-FR"/>
        </w:rPr>
      </w:pPr>
    </w:p>
    <w:p w14:paraId="00D49875" w14:textId="77777777" w:rsidR="004401F0" w:rsidRPr="00315813" w:rsidRDefault="00DF3C4F" w:rsidP="00315813">
      <w:pPr>
        <w:pStyle w:val="a3"/>
        <w:adjustRightInd w:val="0"/>
        <w:snapToGrid w:val="0"/>
        <w:rPr>
          <w:lang w:val="fr-FR"/>
        </w:rPr>
      </w:pPr>
      <w:r w:rsidRPr="00315813">
        <w:rPr>
          <w:lang w:val="fr-FR"/>
        </w:rPr>
        <w:t>400</w:t>
      </w:r>
      <w:r w:rsidR="00DA7718" w:rsidRPr="00315813">
        <w:rPr>
          <w:lang w:val="fr-FR"/>
        </w:rPr>
        <w:t> mg</w:t>
      </w:r>
      <w:r w:rsidRPr="00315813">
        <w:rPr>
          <w:lang w:val="fr-FR"/>
        </w:rPr>
        <w:t>/16</w:t>
      </w:r>
      <w:r w:rsidR="00DA7718" w:rsidRPr="00315813">
        <w:rPr>
          <w:lang w:val="fr-FR"/>
        </w:rPr>
        <w:t> ml</w:t>
      </w:r>
    </w:p>
    <w:p w14:paraId="76E970E8" w14:textId="77777777" w:rsidR="004401F0" w:rsidRDefault="004401F0" w:rsidP="00315813">
      <w:pPr>
        <w:pStyle w:val="a3"/>
        <w:adjustRightInd w:val="0"/>
        <w:snapToGrid w:val="0"/>
        <w:rPr>
          <w:sz w:val="20"/>
          <w:lang w:val="fr-FR"/>
        </w:rPr>
      </w:pPr>
    </w:p>
    <w:p w14:paraId="749D5B28" w14:textId="77777777" w:rsidR="003A208A" w:rsidRPr="00315813" w:rsidRDefault="003A208A" w:rsidP="00315813">
      <w:pPr>
        <w:pStyle w:val="a3"/>
        <w:adjustRightInd w:val="0"/>
        <w:snapToGrid w:val="0"/>
        <w:rPr>
          <w:sz w:val="20"/>
          <w:lang w:val="fr-FR"/>
        </w:rPr>
      </w:pPr>
    </w:p>
    <w:p w14:paraId="53BF020B"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5.</w:t>
      </w:r>
      <w:r w:rsidRPr="000C517C">
        <w:rPr>
          <w:b/>
          <w:lang w:val="fr-FR"/>
        </w:rPr>
        <w:tab/>
        <w:t>MODE ET VOIE(S) D’ADMINISTRATION</w:t>
      </w:r>
    </w:p>
    <w:p w14:paraId="61BE4B37" w14:textId="77777777" w:rsidR="004401F0" w:rsidRPr="00315813" w:rsidRDefault="004401F0" w:rsidP="00315813">
      <w:pPr>
        <w:pStyle w:val="a3"/>
        <w:adjustRightInd w:val="0"/>
        <w:snapToGrid w:val="0"/>
        <w:rPr>
          <w:lang w:val="fr-FR"/>
        </w:rPr>
      </w:pPr>
    </w:p>
    <w:p w14:paraId="5C587A69" w14:textId="77777777" w:rsidR="004401F0" w:rsidRPr="00315813" w:rsidRDefault="00DF3C4F" w:rsidP="00315813">
      <w:pPr>
        <w:pStyle w:val="a3"/>
        <w:adjustRightInd w:val="0"/>
        <w:snapToGrid w:val="0"/>
        <w:rPr>
          <w:lang w:val="fr-FR"/>
        </w:rPr>
      </w:pPr>
      <w:r w:rsidRPr="00315813">
        <w:rPr>
          <w:lang w:val="fr-FR"/>
        </w:rPr>
        <w:t>Voie intraveineuse après dilution Lire la notice avant utilisation</w:t>
      </w:r>
    </w:p>
    <w:p w14:paraId="495CEA88" w14:textId="77777777" w:rsidR="004401F0" w:rsidRDefault="004401F0" w:rsidP="00315813">
      <w:pPr>
        <w:pStyle w:val="a3"/>
        <w:adjustRightInd w:val="0"/>
        <w:snapToGrid w:val="0"/>
        <w:rPr>
          <w:sz w:val="20"/>
          <w:lang w:val="fr-FR"/>
        </w:rPr>
      </w:pPr>
    </w:p>
    <w:p w14:paraId="0C9E3BD3" w14:textId="77777777" w:rsidR="003A208A" w:rsidRPr="00315813" w:rsidRDefault="003A208A" w:rsidP="00315813">
      <w:pPr>
        <w:pStyle w:val="a3"/>
        <w:adjustRightInd w:val="0"/>
        <w:snapToGrid w:val="0"/>
        <w:rPr>
          <w:sz w:val="20"/>
          <w:lang w:val="fr-FR"/>
        </w:rPr>
      </w:pPr>
    </w:p>
    <w:p w14:paraId="2D69CE04" w14:textId="77777777" w:rsidR="00B33336" w:rsidRPr="000C517C" w:rsidRDefault="003A208A" w:rsidP="003A208A">
      <w:pPr>
        <w:pBdr>
          <w:top w:val="single" w:sz="4" w:space="1" w:color="auto"/>
          <w:left w:val="single" w:sz="4" w:space="4" w:color="auto"/>
          <w:bottom w:val="single" w:sz="4" w:space="1" w:color="auto"/>
          <w:right w:val="single" w:sz="4" w:space="4" w:color="auto"/>
        </w:pBdr>
        <w:adjustRightInd w:val="0"/>
        <w:snapToGrid w:val="0"/>
        <w:ind w:left="567" w:hanging="567"/>
        <w:rPr>
          <w:b/>
          <w:lang w:val="fr-FR"/>
        </w:rPr>
      </w:pPr>
      <w:r w:rsidRPr="000C517C">
        <w:rPr>
          <w:b/>
          <w:lang w:val="fr-FR"/>
        </w:rPr>
        <w:t>6.</w:t>
      </w:r>
      <w:r w:rsidRPr="000C517C">
        <w:rPr>
          <w:b/>
          <w:lang w:val="fr-FR"/>
        </w:rPr>
        <w:tab/>
      </w:r>
      <w:r w:rsidR="00B33336" w:rsidRPr="000C517C">
        <w:rPr>
          <w:b/>
          <w:lang w:val="fr-FR"/>
        </w:rPr>
        <w:t>MISE EN GARDE SPECIALE INDIQUANT QUE LE MEDICAMENT DOIT ETRE CONSERVE HORS DE VUE ET DE PORTEE DES ENFANTS</w:t>
      </w:r>
    </w:p>
    <w:p w14:paraId="4F114A6A" w14:textId="77777777" w:rsidR="004401F0" w:rsidRPr="00315813" w:rsidRDefault="004401F0" w:rsidP="00315813">
      <w:pPr>
        <w:pStyle w:val="a3"/>
        <w:adjustRightInd w:val="0"/>
        <w:snapToGrid w:val="0"/>
        <w:rPr>
          <w:lang w:val="fr-FR"/>
        </w:rPr>
      </w:pPr>
    </w:p>
    <w:p w14:paraId="6560B1FA" w14:textId="77777777" w:rsidR="004401F0" w:rsidRPr="00315813" w:rsidRDefault="00DF3C4F" w:rsidP="00315813">
      <w:pPr>
        <w:pStyle w:val="a3"/>
        <w:adjustRightInd w:val="0"/>
        <w:snapToGrid w:val="0"/>
        <w:rPr>
          <w:lang w:val="fr-FR"/>
        </w:rPr>
      </w:pPr>
      <w:r w:rsidRPr="00315813">
        <w:rPr>
          <w:lang w:val="fr-FR"/>
        </w:rPr>
        <w:t>Tenir hors de la vue et de la portée des enfants</w:t>
      </w:r>
    </w:p>
    <w:p w14:paraId="4998AC1F" w14:textId="77777777" w:rsidR="004401F0" w:rsidRDefault="004401F0" w:rsidP="00315813">
      <w:pPr>
        <w:pStyle w:val="a3"/>
        <w:adjustRightInd w:val="0"/>
        <w:snapToGrid w:val="0"/>
        <w:rPr>
          <w:sz w:val="20"/>
          <w:lang w:val="fr-FR"/>
        </w:rPr>
      </w:pPr>
    </w:p>
    <w:p w14:paraId="010FF51C" w14:textId="77777777" w:rsidR="003A208A" w:rsidRPr="00315813" w:rsidRDefault="003A208A" w:rsidP="00315813">
      <w:pPr>
        <w:pStyle w:val="a3"/>
        <w:adjustRightInd w:val="0"/>
        <w:snapToGrid w:val="0"/>
        <w:rPr>
          <w:sz w:val="20"/>
          <w:lang w:val="fr-FR"/>
        </w:rPr>
      </w:pPr>
    </w:p>
    <w:p w14:paraId="5C3AF076"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7.</w:t>
      </w:r>
      <w:r w:rsidRPr="000C517C">
        <w:rPr>
          <w:b/>
          <w:lang w:val="fr-FR"/>
        </w:rPr>
        <w:tab/>
        <w:t>AUTRE(S) MISE(S) EN GARDE SPECIALE(S), SI NECESSAIRE</w:t>
      </w:r>
    </w:p>
    <w:p w14:paraId="5C27CF09" w14:textId="77777777" w:rsidR="004401F0" w:rsidRPr="00315813" w:rsidRDefault="004401F0" w:rsidP="00315813">
      <w:pPr>
        <w:pStyle w:val="a3"/>
        <w:adjustRightInd w:val="0"/>
        <w:snapToGrid w:val="0"/>
        <w:rPr>
          <w:lang w:val="fr-FR"/>
        </w:rPr>
      </w:pPr>
    </w:p>
    <w:p w14:paraId="3C1C439E" w14:textId="77777777" w:rsidR="004401F0" w:rsidRDefault="004401F0" w:rsidP="00315813">
      <w:pPr>
        <w:pStyle w:val="a3"/>
        <w:adjustRightInd w:val="0"/>
        <w:snapToGrid w:val="0"/>
        <w:rPr>
          <w:sz w:val="20"/>
          <w:lang w:val="fr-FR"/>
        </w:rPr>
      </w:pPr>
    </w:p>
    <w:p w14:paraId="235AE4D5" w14:textId="77777777" w:rsidR="003A208A" w:rsidRPr="00315813" w:rsidRDefault="003A208A" w:rsidP="00315813">
      <w:pPr>
        <w:pStyle w:val="a3"/>
        <w:adjustRightInd w:val="0"/>
        <w:snapToGrid w:val="0"/>
        <w:rPr>
          <w:sz w:val="20"/>
          <w:lang w:val="fr-FR"/>
        </w:rPr>
      </w:pPr>
    </w:p>
    <w:p w14:paraId="71099073"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8.</w:t>
      </w:r>
      <w:r w:rsidRPr="000C517C">
        <w:rPr>
          <w:b/>
          <w:lang w:val="fr-FR"/>
        </w:rPr>
        <w:tab/>
        <w:t>DATE DE PEREMPTION</w:t>
      </w:r>
    </w:p>
    <w:p w14:paraId="16F77A26" w14:textId="77777777" w:rsidR="004401F0" w:rsidRPr="00315813" w:rsidRDefault="004401F0" w:rsidP="00315813">
      <w:pPr>
        <w:pStyle w:val="a3"/>
        <w:adjustRightInd w:val="0"/>
        <w:snapToGrid w:val="0"/>
        <w:rPr>
          <w:lang w:val="fr-FR"/>
        </w:rPr>
      </w:pPr>
    </w:p>
    <w:p w14:paraId="2F15CCB6" w14:textId="77777777" w:rsidR="004401F0" w:rsidRPr="00315813" w:rsidRDefault="00DF3C4F" w:rsidP="00315813">
      <w:pPr>
        <w:pStyle w:val="a3"/>
        <w:adjustRightInd w:val="0"/>
        <w:snapToGrid w:val="0"/>
        <w:rPr>
          <w:lang w:val="fr-FR"/>
        </w:rPr>
      </w:pPr>
      <w:r w:rsidRPr="00315813">
        <w:rPr>
          <w:lang w:val="fr-FR"/>
        </w:rPr>
        <w:t>EXP</w:t>
      </w:r>
    </w:p>
    <w:p w14:paraId="2F93E923" w14:textId="77777777" w:rsidR="00BD4C7C" w:rsidRDefault="00BD4C7C" w:rsidP="00315813">
      <w:pPr>
        <w:adjustRightInd w:val="0"/>
        <w:snapToGrid w:val="0"/>
        <w:rPr>
          <w:lang w:val="fr-FR"/>
        </w:rPr>
      </w:pPr>
    </w:p>
    <w:p w14:paraId="5863AA12" w14:textId="77777777" w:rsidR="003A208A" w:rsidRPr="00315813" w:rsidRDefault="003A208A" w:rsidP="00315813">
      <w:pPr>
        <w:adjustRightInd w:val="0"/>
        <w:snapToGrid w:val="0"/>
        <w:rPr>
          <w:lang w:val="fr-FR"/>
        </w:rPr>
      </w:pPr>
    </w:p>
    <w:p w14:paraId="028063E3"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9.</w:t>
      </w:r>
      <w:r w:rsidRPr="000C517C">
        <w:rPr>
          <w:b/>
          <w:lang w:val="fr-FR"/>
        </w:rPr>
        <w:tab/>
        <w:t>PRECAUTIONS PARTICULIERES DE CONSERVATION</w:t>
      </w:r>
    </w:p>
    <w:p w14:paraId="1284ABCC" w14:textId="77777777" w:rsidR="00B33336" w:rsidRPr="00315813" w:rsidRDefault="00B33336" w:rsidP="00315813">
      <w:pPr>
        <w:pStyle w:val="a3"/>
        <w:adjustRightInd w:val="0"/>
        <w:snapToGrid w:val="0"/>
        <w:rPr>
          <w:lang w:val="fr-FR"/>
        </w:rPr>
      </w:pPr>
    </w:p>
    <w:p w14:paraId="06BF6AA9" w14:textId="77777777" w:rsidR="00EB448D" w:rsidRDefault="00DF3C4F" w:rsidP="00315813">
      <w:pPr>
        <w:pStyle w:val="a3"/>
        <w:adjustRightInd w:val="0"/>
        <w:snapToGrid w:val="0"/>
        <w:rPr>
          <w:lang w:val="fr-FR"/>
        </w:rPr>
      </w:pPr>
      <w:r w:rsidRPr="00315813">
        <w:rPr>
          <w:lang w:val="fr-FR"/>
        </w:rPr>
        <w:t xml:space="preserve">A conserver au réfrigérateur (entre 2°C et 8°C) </w:t>
      </w:r>
    </w:p>
    <w:p w14:paraId="786B8CB0" w14:textId="77777777" w:rsidR="004401F0" w:rsidRPr="00315813" w:rsidRDefault="00DF3C4F" w:rsidP="00315813">
      <w:pPr>
        <w:pStyle w:val="a3"/>
        <w:adjustRightInd w:val="0"/>
        <w:snapToGrid w:val="0"/>
        <w:rPr>
          <w:lang w:val="fr-FR"/>
        </w:rPr>
      </w:pPr>
      <w:r w:rsidRPr="00315813">
        <w:rPr>
          <w:lang w:val="fr-FR"/>
        </w:rPr>
        <w:t>Ne pas congeler</w:t>
      </w:r>
    </w:p>
    <w:p w14:paraId="51013E16" w14:textId="77777777" w:rsidR="004401F0" w:rsidRPr="00315813" w:rsidRDefault="00DF3C4F" w:rsidP="00315813">
      <w:pPr>
        <w:pStyle w:val="a3"/>
        <w:adjustRightInd w:val="0"/>
        <w:snapToGrid w:val="0"/>
        <w:rPr>
          <w:lang w:val="fr-FR"/>
        </w:rPr>
      </w:pPr>
      <w:r w:rsidRPr="00315813">
        <w:rPr>
          <w:lang w:val="fr-FR"/>
        </w:rPr>
        <w:lastRenderedPageBreak/>
        <w:t>Conserver le flacon dans l’emballage extérieur</w:t>
      </w:r>
      <w:r w:rsidR="00184315">
        <w:rPr>
          <w:lang w:val="fr-FR"/>
        </w:rPr>
        <w:t xml:space="preserve"> à l’abri de la lumière.</w:t>
      </w:r>
    </w:p>
    <w:p w14:paraId="37B7BF77" w14:textId="77777777" w:rsidR="004401F0" w:rsidRDefault="004401F0" w:rsidP="00315813">
      <w:pPr>
        <w:pStyle w:val="a3"/>
        <w:adjustRightInd w:val="0"/>
        <w:snapToGrid w:val="0"/>
        <w:rPr>
          <w:sz w:val="20"/>
          <w:lang w:val="fr-FR"/>
        </w:rPr>
      </w:pPr>
    </w:p>
    <w:p w14:paraId="1F38FA2B" w14:textId="77777777" w:rsidR="003A208A" w:rsidRPr="00315813" w:rsidRDefault="003A208A" w:rsidP="00315813">
      <w:pPr>
        <w:pStyle w:val="a3"/>
        <w:adjustRightInd w:val="0"/>
        <w:snapToGrid w:val="0"/>
        <w:rPr>
          <w:sz w:val="20"/>
          <w:lang w:val="fr-FR"/>
        </w:rPr>
      </w:pPr>
    </w:p>
    <w:p w14:paraId="67E21777"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ind w:left="567" w:hanging="567"/>
        <w:rPr>
          <w:b/>
          <w:lang w:val="fr-FR"/>
        </w:rPr>
      </w:pPr>
      <w:r w:rsidRPr="000C517C">
        <w:rPr>
          <w:b/>
          <w:lang w:val="fr-FR"/>
        </w:rPr>
        <w:t>10.</w:t>
      </w:r>
      <w:r w:rsidRPr="000C517C">
        <w:rPr>
          <w:b/>
          <w:lang w:val="fr-FR"/>
        </w:rPr>
        <w:tab/>
        <w:t>PRECAUTIONS PARTICULIERES D’ELIMINATION DES MEDICAMENTS NON UTILISES OU DES DECHETS PROVENANT DE CES MEDICAMENTS S’IL Y A LIEU</w:t>
      </w:r>
    </w:p>
    <w:p w14:paraId="67AB13E2" w14:textId="77777777" w:rsidR="004401F0" w:rsidRDefault="004401F0" w:rsidP="00315813">
      <w:pPr>
        <w:pStyle w:val="a3"/>
        <w:adjustRightInd w:val="0"/>
        <w:snapToGrid w:val="0"/>
        <w:rPr>
          <w:sz w:val="20"/>
          <w:lang w:val="fr-FR"/>
        </w:rPr>
      </w:pPr>
    </w:p>
    <w:p w14:paraId="2926B545" w14:textId="77777777" w:rsidR="003A208A" w:rsidRPr="00315813" w:rsidRDefault="003A208A" w:rsidP="00315813">
      <w:pPr>
        <w:pStyle w:val="a3"/>
        <w:adjustRightInd w:val="0"/>
        <w:snapToGrid w:val="0"/>
        <w:rPr>
          <w:sz w:val="20"/>
          <w:lang w:val="fr-FR"/>
        </w:rPr>
      </w:pPr>
    </w:p>
    <w:p w14:paraId="4D04EEAF"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ind w:left="567" w:hanging="567"/>
        <w:rPr>
          <w:b/>
          <w:lang w:val="fr-FR"/>
        </w:rPr>
      </w:pPr>
      <w:r w:rsidRPr="000C517C">
        <w:rPr>
          <w:b/>
          <w:lang w:val="fr-FR"/>
        </w:rPr>
        <w:t>11.</w:t>
      </w:r>
      <w:r w:rsidRPr="000C517C">
        <w:rPr>
          <w:b/>
          <w:lang w:val="fr-FR"/>
        </w:rPr>
        <w:tab/>
        <w:t>NOM ET ADRESSE DU TITULAIRE DE L’AUTORISATION DE MISE SUR LE MARCHE</w:t>
      </w:r>
    </w:p>
    <w:p w14:paraId="51458883" w14:textId="77777777" w:rsidR="004401F0" w:rsidRPr="00315813" w:rsidRDefault="004401F0" w:rsidP="00315813">
      <w:pPr>
        <w:pStyle w:val="a3"/>
        <w:adjustRightInd w:val="0"/>
        <w:snapToGrid w:val="0"/>
        <w:rPr>
          <w:lang w:val="fr-FR"/>
        </w:rPr>
      </w:pPr>
    </w:p>
    <w:p w14:paraId="7392FABB" w14:textId="77777777" w:rsidR="00184315" w:rsidRPr="00F014C7" w:rsidRDefault="00184315" w:rsidP="00184315">
      <w:pPr>
        <w:widowControl/>
        <w:adjustRightInd w:val="0"/>
        <w:snapToGrid w:val="0"/>
        <w:rPr>
          <w:color w:val="000000"/>
          <w:lang w:val="en-GB" w:eastAsia="ko-KR"/>
        </w:rPr>
      </w:pPr>
      <w:r w:rsidRPr="00F014C7">
        <w:rPr>
          <w:color w:val="000000"/>
          <w:lang w:val="en-GB" w:eastAsia="ko-KR"/>
        </w:rPr>
        <w:t xml:space="preserve">Celltrion Healthcare Hungary Kft. </w:t>
      </w:r>
    </w:p>
    <w:p w14:paraId="68A9BC69" w14:textId="77777777" w:rsidR="00184315" w:rsidRPr="00F014C7" w:rsidRDefault="00184315" w:rsidP="00184315">
      <w:pPr>
        <w:widowControl/>
        <w:adjustRightInd w:val="0"/>
        <w:snapToGrid w:val="0"/>
        <w:rPr>
          <w:color w:val="000000"/>
          <w:lang w:val="en-GB" w:eastAsia="ko-KR"/>
        </w:rPr>
      </w:pPr>
      <w:r w:rsidRPr="00F014C7">
        <w:rPr>
          <w:rFonts w:eastAsia="바탕"/>
          <w:color w:val="000000"/>
          <w:lang w:val="en-GB"/>
        </w:rPr>
        <w:t xml:space="preserve">1062 </w:t>
      </w:r>
      <w:r w:rsidRPr="00F014C7">
        <w:rPr>
          <w:color w:val="000000"/>
          <w:lang w:val="en-GB" w:eastAsia="ko-KR"/>
        </w:rPr>
        <w:t>Budapest</w:t>
      </w:r>
    </w:p>
    <w:p w14:paraId="52ADF850" w14:textId="77777777" w:rsidR="00184315" w:rsidRPr="00C16207" w:rsidRDefault="00184315" w:rsidP="00184315">
      <w:pPr>
        <w:widowControl/>
        <w:adjustRightInd w:val="0"/>
        <w:snapToGrid w:val="0"/>
        <w:rPr>
          <w:rFonts w:eastAsia="바탕"/>
          <w:color w:val="000000"/>
          <w:lang w:val="en-GB"/>
        </w:rPr>
      </w:pPr>
      <w:r w:rsidRPr="00F014C7">
        <w:rPr>
          <w:rFonts w:eastAsia="바탕"/>
          <w:color w:val="000000"/>
          <w:lang w:val="en-GB"/>
        </w:rPr>
        <w:t xml:space="preserve">Váci út 1-3. </w:t>
      </w:r>
      <w:r w:rsidRPr="00C16207">
        <w:rPr>
          <w:rFonts w:eastAsia="바탕"/>
          <w:color w:val="000000"/>
          <w:lang w:val="en-GB"/>
        </w:rPr>
        <w:t>WestEnd Office Building B torony</w:t>
      </w:r>
    </w:p>
    <w:p w14:paraId="771BEBAD" w14:textId="77777777" w:rsidR="00184315" w:rsidRPr="00C16207" w:rsidRDefault="00184315" w:rsidP="00184315">
      <w:pPr>
        <w:widowControl/>
        <w:adjustRightInd w:val="0"/>
        <w:snapToGrid w:val="0"/>
        <w:rPr>
          <w:color w:val="000000"/>
          <w:lang w:val="en-GB" w:eastAsia="ko-KR"/>
        </w:rPr>
      </w:pPr>
      <w:r>
        <w:rPr>
          <w:color w:val="000000"/>
          <w:lang w:val="en-GB" w:eastAsia="ko-KR"/>
        </w:rPr>
        <w:t>Hongrie</w:t>
      </w:r>
    </w:p>
    <w:p w14:paraId="07CAD817" w14:textId="77777777" w:rsidR="004401F0" w:rsidRPr="00F9256D" w:rsidRDefault="004401F0" w:rsidP="00315813">
      <w:pPr>
        <w:pStyle w:val="a3"/>
        <w:adjustRightInd w:val="0"/>
        <w:snapToGrid w:val="0"/>
        <w:rPr>
          <w:sz w:val="20"/>
        </w:rPr>
      </w:pPr>
    </w:p>
    <w:p w14:paraId="0BD09D89" w14:textId="77777777" w:rsidR="003A208A" w:rsidRPr="00F9256D" w:rsidRDefault="003A208A" w:rsidP="00315813">
      <w:pPr>
        <w:pStyle w:val="a3"/>
        <w:adjustRightInd w:val="0"/>
        <w:snapToGrid w:val="0"/>
        <w:rPr>
          <w:sz w:val="20"/>
        </w:rPr>
      </w:pPr>
    </w:p>
    <w:p w14:paraId="5D384691"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12.</w:t>
      </w:r>
      <w:r w:rsidRPr="000C517C">
        <w:rPr>
          <w:b/>
          <w:lang w:val="fr-FR"/>
        </w:rPr>
        <w:tab/>
        <w:t>NUMERO(S) D’AUTORISATION DE MISE SUR LE MARCHE</w:t>
      </w:r>
    </w:p>
    <w:p w14:paraId="52F8128C" w14:textId="77777777" w:rsidR="004401F0" w:rsidRPr="00315813" w:rsidRDefault="004401F0" w:rsidP="00315813">
      <w:pPr>
        <w:pStyle w:val="a3"/>
        <w:adjustRightInd w:val="0"/>
        <w:snapToGrid w:val="0"/>
        <w:rPr>
          <w:lang w:val="fr-FR"/>
        </w:rPr>
      </w:pPr>
    </w:p>
    <w:p w14:paraId="11EC77F4" w14:textId="201BD896" w:rsidR="00184315" w:rsidRPr="00F518B5" w:rsidRDefault="00184315" w:rsidP="00184315">
      <w:pPr>
        <w:pStyle w:val="a3"/>
        <w:adjustRightInd w:val="0"/>
        <w:snapToGrid w:val="0"/>
        <w:rPr>
          <w:highlight w:val="lightGray"/>
          <w:lang w:val="fr-FR"/>
        </w:rPr>
      </w:pPr>
      <w:r w:rsidRPr="00315813">
        <w:rPr>
          <w:lang w:val="fr-FR"/>
        </w:rPr>
        <w:t>EU</w:t>
      </w:r>
      <w:r w:rsidR="00830393" w:rsidRPr="00F014C7">
        <w:rPr>
          <w:rFonts w:eastAsia="바탕"/>
          <w:lang w:val="fr-FR"/>
        </w:rPr>
        <w:t xml:space="preserve">1/22/1667/002 </w:t>
      </w:r>
      <w:r w:rsidRPr="00F518B5">
        <w:rPr>
          <w:highlight w:val="lightGray"/>
          <w:lang w:val="fr-FR"/>
        </w:rPr>
        <w:t>1 flacon</w:t>
      </w:r>
    </w:p>
    <w:p w14:paraId="37C27F1E" w14:textId="6750A631" w:rsidR="00184315" w:rsidRPr="00315813" w:rsidRDefault="00184315" w:rsidP="00184315">
      <w:pPr>
        <w:pStyle w:val="a3"/>
        <w:adjustRightInd w:val="0"/>
        <w:snapToGrid w:val="0"/>
        <w:rPr>
          <w:lang w:val="fr-FR"/>
        </w:rPr>
      </w:pPr>
      <w:r w:rsidRPr="00F518B5">
        <w:rPr>
          <w:highlight w:val="lightGray"/>
          <w:lang w:val="fr-FR"/>
        </w:rPr>
        <w:t>EU</w:t>
      </w:r>
      <w:r w:rsidR="00830393" w:rsidRPr="00F014C7">
        <w:rPr>
          <w:rFonts w:eastAsia="바탕"/>
          <w:highlight w:val="lightGray"/>
          <w:lang w:val="fr-FR"/>
        </w:rPr>
        <w:t xml:space="preserve">1/22/1667/004 </w:t>
      </w:r>
      <w:r w:rsidRPr="00F518B5">
        <w:rPr>
          <w:highlight w:val="lightGray"/>
          <w:lang w:val="fr-FR"/>
        </w:rPr>
        <w:t>10 flacons</w:t>
      </w:r>
    </w:p>
    <w:p w14:paraId="1C90F600" w14:textId="24F10A63" w:rsidR="00C143F0" w:rsidRPr="00315813" w:rsidRDefault="00C143F0" w:rsidP="00C143F0">
      <w:pPr>
        <w:pStyle w:val="a3"/>
        <w:adjustRightInd w:val="0"/>
        <w:snapToGrid w:val="0"/>
        <w:rPr>
          <w:lang w:val="fr-FR"/>
        </w:rPr>
      </w:pPr>
      <w:r w:rsidRPr="00F518B5">
        <w:rPr>
          <w:highlight w:val="lightGray"/>
          <w:lang w:val="fr-FR"/>
        </w:rPr>
        <w:t>EU</w:t>
      </w:r>
      <w:r w:rsidRPr="00F014C7">
        <w:rPr>
          <w:rFonts w:eastAsia="바탕"/>
          <w:highlight w:val="lightGray"/>
          <w:lang w:val="fr-FR"/>
        </w:rPr>
        <w:t>1/22/1667/00</w:t>
      </w:r>
      <w:r>
        <w:rPr>
          <w:rFonts w:eastAsia="바탕" w:hint="eastAsia"/>
          <w:highlight w:val="lightGray"/>
          <w:lang w:val="fr-FR" w:eastAsia="ko-KR"/>
        </w:rPr>
        <w:t>5</w:t>
      </w:r>
      <w:r w:rsidRPr="00F014C7">
        <w:rPr>
          <w:rFonts w:eastAsia="바탕"/>
          <w:highlight w:val="lightGray"/>
          <w:lang w:val="fr-FR"/>
        </w:rPr>
        <w:t xml:space="preserve"> </w:t>
      </w:r>
      <w:r>
        <w:rPr>
          <w:rFonts w:eastAsia="맑은 고딕" w:hint="eastAsia"/>
          <w:highlight w:val="lightGray"/>
          <w:lang w:val="fr-FR" w:eastAsia="ko-KR"/>
        </w:rPr>
        <w:t>2</w:t>
      </w:r>
      <w:r w:rsidRPr="00F518B5">
        <w:rPr>
          <w:highlight w:val="lightGray"/>
          <w:lang w:val="fr-FR"/>
        </w:rPr>
        <w:t xml:space="preserve"> flacons</w:t>
      </w:r>
    </w:p>
    <w:p w14:paraId="22C5816E" w14:textId="77777777" w:rsidR="004401F0" w:rsidRDefault="004401F0" w:rsidP="00315813">
      <w:pPr>
        <w:pStyle w:val="a3"/>
        <w:adjustRightInd w:val="0"/>
        <w:snapToGrid w:val="0"/>
        <w:rPr>
          <w:sz w:val="20"/>
          <w:lang w:val="fr-FR"/>
        </w:rPr>
      </w:pPr>
    </w:p>
    <w:p w14:paraId="0E032730" w14:textId="77777777" w:rsidR="003A208A" w:rsidRPr="00315813" w:rsidRDefault="003A208A" w:rsidP="00315813">
      <w:pPr>
        <w:pStyle w:val="a3"/>
        <w:adjustRightInd w:val="0"/>
        <w:snapToGrid w:val="0"/>
        <w:rPr>
          <w:sz w:val="20"/>
          <w:lang w:val="fr-FR"/>
        </w:rPr>
      </w:pPr>
    </w:p>
    <w:p w14:paraId="2A032831"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13.</w:t>
      </w:r>
      <w:r w:rsidRPr="000C517C">
        <w:rPr>
          <w:b/>
          <w:lang w:val="fr-FR"/>
        </w:rPr>
        <w:tab/>
        <w:t>NUMERO DU LOT</w:t>
      </w:r>
    </w:p>
    <w:p w14:paraId="5629ABC7" w14:textId="77777777" w:rsidR="004401F0" w:rsidRPr="00315813" w:rsidRDefault="004401F0" w:rsidP="00315813">
      <w:pPr>
        <w:pStyle w:val="a3"/>
        <w:adjustRightInd w:val="0"/>
        <w:snapToGrid w:val="0"/>
        <w:rPr>
          <w:lang w:val="fr-FR"/>
        </w:rPr>
      </w:pPr>
    </w:p>
    <w:p w14:paraId="17AFD22E" w14:textId="77777777" w:rsidR="004401F0" w:rsidRPr="00315813" w:rsidRDefault="00DF3C4F" w:rsidP="00315813">
      <w:pPr>
        <w:pStyle w:val="a3"/>
        <w:adjustRightInd w:val="0"/>
        <w:snapToGrid w:val="0"/>
        <w:rPr>
          <w:lang w:val="fr-FR"/>
        </w:rPr>
      </w:pPr>
      <w:r w:rsidRPr="00315813">
        <w:rPr>
          <w:lang w:val="fr-FR"/>
        </w:rPr>
        <w:t>Lot</w:t>
      </w:r>
    </w:p>
    <w:p w14:paraId="4F1EDCDE" w14:textId="77777777" w:rsidR="004401F0" w:rsidRDefault="004401F0" w:rsidP="00315813">
      <w:pPr>
        <w:pStyle w:val="a3"/>
        <w:adjustRightInd w:val="0"/>
        <w:snapToGrid w:val="0"/>
        <w:rPr>
          <w:sz w:val="20"/>
          <w:lang w:val="fr-FR"/>
        </w:rPr>
      </w:pPr>
    </w:p>
    <w:p w14:paraId="6E0C064A" w14:textId="77777777" w:rsidR="003A208A" w:rsidRPr="00315813" w:rsidRDefault="003A208A" w:rsidP="00315813">
      <w:pPr>
        <w:pStyle w:val="a3"/>
        <w:adjustRightInd w:val="0"/>
        <w:snapToGrid w:val="0"/>
        <w:rPr>
          <w:sz w:val="20"/>
          <w:lang w:val="fr-FR"/>
        </w:rPr>
      </w:pPr>
    </w:p>
    <w:p w14:paraId="5E5A3653"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14.</w:t>
      </w:r>
      <w:r w:rsidRPr="000C517C">
        <w:rPr>
          <w:b/>
          <w:lang w:val="fr-FR"/>
        </w:rPr>
        <w:tab/>
        <w:t>CONDITIONS DE PRESCRIPTION ET DE DELIVRANCE</w:t>
      </w:r>
    </w:p>
    <w:p w14:paraId="45E2E84B" w14:textId="77777777" w:rsidR="004401F0" w:rsidRPr="00315813" w:rsidRDefault="004401F0" w:rsidP="00315813">
      <w:pPr>
        <w:pStyle w:val="a3"/>
        <w:adjustRightInd w:val="0"/>
        <w:snapToGrid w:val="0"/>
        <w:rPr>
          <w:lang w:val="fr-FR"/>
        </w:rPr>
      </w:pPr>
    </w:p>
    <w:p w14:paraId="2CF64C6E" w14:textId="77777777" w:rsidR="004401F0" w:rsidRPr="00315813" w:rsidRDefault="00DF3C4F" w:rsidP="00315813">
      <w:pPr>
        <w:pStyle w:val="a3"/>
        <w:adjustRightInd w:val="0"/>
        <w:snapToGrid w:val="0"/>
        <w:rPr>
          <w:lang w:val="fr-FR"/>
        </w:rPr>
      </w:pPr>
      <w:r w:rsidRPr="00315813">
        <w:rPr>
          <w:lang w:val="fr-FR"/>
        </w:rPr>
        <w:t>Médicament soumis à prescription médicale</w:t>
      </w:r>
    </w:p>
    <w:p w14:paraId="7FDEE0DD" w14:textId="77777777" w:rsidR="004401F0" w:rsidRDefault="004401F0" w:rsidP="00315813">
      <w:pPr>
        <w:pStyle w:val="a3"/>
        <w:adjustRightInd w:val="0"/>
        <w:snapToGrid w:val="0"/>
        <w:rPr>
          <w:sz w:val="20"/>
          <w:lang w:val="fr-FR"/>
        </w:rPr>
      </w:pPr>
    </w:p>
    <w:p w14:paraId="24657460" w14:textId="77777777" w:rsidR="003A208A" w:rsidRPr="00315813" w:rsidRDefault="003A208A" w:rsidP="00315813">
      <w:pPr>
        <w:pStyle w:val="a3"/>
        <w:adjustRightInd w:val="0"/>
        <w:snapToGrid w:val="0"/>
        <w:rPr>
          <w:sz w:val="20"/>
          <w:lang w:val="fr-FR"/>
        </w:rPr>
      </w:pPr>
    </w:p>
    <w:p w14:paraId="632E448A"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15.</w:t>
      </w:r>
      <w:r w:rsidRPr="000C517C">
        <w:rPr>
          <w:b/>
          <w:lang w:val="fr-FR"/>
        </w:rPr>
        <w:tab/>
        <w:t>INDICATIONS D’UTILISATION</w:t>
      </w:r>
    </w:p>
    <w:p w14:paraId="01084EC8" w14:textId="77777777" w:rsidR="004401F0" w:rsidRDefault="004401F0" w:rsidP="00315813">
      <w:pPr>
        <w:pStyle w:val="a3"/>
        <w:adjustRightInd w:val="0"/>
        <w:snapToGrid w:val="0"/>
        <w:rPr>
          <w:sz w:val="20"/>
          <w:lang w:val="fr-FR"/>
        </w:rPr>
      </w:pPr>
    </w:p>
    <w:p w14:paraId="36C310AB" w14:textId="77777777" w:rsidR="003A208A" w:rsidRPr="00315813" w:rsidRDefault="003A208A" w:rsidP="00315813">
      <w:pPr>
        <w:pStyle w:val="a3"/>
        <w:adjustRightInd w:val="0"/>
        <w:snapToGrid w:val="0"/>
        <w:rPr>
          <w:sz w:val="20"/>
          <w:lang w:val="fr-FR"/>
        </w:rPr>
      </w:pPr>
    </w:p>
    <w:p w14:paraId="74634AEF"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16.</w:t>
      </w:r>
      <w:r w:rsidRPr="000C517C">
        <w:rPr>
          <w:b/>
          <w:lang w:val="fr-FR"/>
        </w:rPr>
        <w:tab/>
        <w:t>INFORMATIONS EN BRAILLE</w:t>
      </w:r>
    </w:p>
    <w:p w14:paraId="203E9DD3" w14:textId="77777777" w:rsidR="004401F0" w:rsidRPr="00315813" w:rsidRDefault="004401F0" w:rsidP="00315813">
      <w:pPr>
        <w:pStyle w:val="a3"/>
        <w:adjustRightInd w:val="0"/>
        <w:snapToGrid w:val="0"/>
        <w:rPr>
          <w:lang w:val="fr-FR"/>
        </w:rPr>
      </w:pPr>
    </w:p>
    <w:p w14:paraId="1D3969D1" w14:textId="77777777" w:rsidR="004401F0" w:rsidRPr="00315813" w:rsidRDefault="00DF3C4F" w:rsidP="00315813">
      <w:pPr>
        <w:pStyle w:val="a3"/>
        <w:adjustRightInd w:val="0"/>
        <w:snapToGrid w:val="0"/>
        <w:rPr>
          <w:lang w:val="fr-FR"/>
        </w:rPr>
      </w:pPr>
      <w:r w:rsidRPr="00315813">
        <w:rPr>
          <w:color w:val="000000"/>
          <w:shd w:val="clear" w:color="auto" w:fill="C1C1C1"/>
          <w:lang w:val="fr-FR"/>
        </w:rPr>
        <w:t>Justification de ne pas inclure l’information en Braille acceptée</w:t>
      </w:r>
    </w:p>
    <w:p w14:paraId="3E9D3950" w14:textId="77777777" w:rsidR="004401F0" w:rsidRDefault="004401F0" w:rsidP="00315813">
      <w:pPr>
        <w:pStyle w:val="a3"/>
        <w:adjustRightInd w:val="0"/>
        <w:snapToGrid w:val="0"/>
        <w:rPr>
          <w:sz w:val="20"/>
          <w:lang w:val="fr-FR"/>
        </w:rPr>
      </w:pPr>
    </w:p>
    <w:p w14:paraId="30AC895B" w14:textId="77777777" w:rsidR="003A208A" w:rsidRPr="00315813" w:rsidRDefault="003A208A" w:rsidP="00315813">
      <w:pPr>
        <w:pStyle w:val="a3"/>
        <w:adjustRightInd w:val="0"/>
        <w:snapToGrid w:val="0"/>
        <w:rPr>
          <w:sz w:val="20"/>
          <w:lang w:val="fr-FR"/>
        </w:rPr>
      </w:pPr>
    </w:p>
    <w:p w14:paraId="661E32FC"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17.</w:t>
      </w:r>
      <w:r w:rsidRPr="000C517C">
        <w:rPr>
          <w:b/>
          <w:lang w:val="fr-FR"/>
        </w:rPr>
        <w:tab/>
        <w:t>IDENTIFIANT UNIQUE - CODE-BARRES 2D</w:t>
      </w:r>
    </w:p>
    <w:p w14:paraId="2F96DFF7" w14:textId="77777777" w:rsidR="004401F0" w:rsidRPr="00315813" w:rsidRDefault="004401F0" w:rsidP="00315813">
      <w:pPr>
        <w:pStyle w:val="a3"/>
        <w:adjustRightInd w:val="0"/>
        <w:snapToGrid w:val="0"/>
        <w:rPr>
          <w:lang w:val="fr-FR"/>
        </w:rPr>
      </w:pPr>
    </w:p>
    <w:p w14:paraId="4A1AC838" w14:textId="77777777" w:rsidR="004401F0" w:rsidRPr="00315813" w:rsidRDefault="00DF3C4F" w:rsidP="00315813">
      <w:pPr>
        <w:pStyle w:val="a3"/>
        <w:adjustRightInd w:val="0"/>
        <w:snapToGrid w:val="0"/>
        <w:rPr>
          <w:lang w:val="fr-FR"/>
        </w:rPr>
      </w:pPr>
      <w:r w:rsidRPr="00315813">
        <w:rPr>
          <w:color w:val="000000"/>
          <w:shd w:val="clear" w:color="auto" w:fill="C1C1C1"/>
          <w:lang w:val="fr-FR"/>
        </w:rPr>
        <w:t>&lt;code-barres 2D portant l'identifiant unique inclus.&gt;</w:t>
      </w:r>
    </w:p>
    <w:p w14:paraId="007FDCBF" w14:textId="77777777" w:rsidR="004401F0" w:rsidRDefault="004401F0" w:rsidP="00315813">
      <w:pPr>
        <w:pStyle w:val="a3"/>
        <w:adjustRightInd w:val="0"/>
        <w:snapToGrid w:val="0"/>
        <w:rPr>
          <w:sz w:val="20"/>
          <w:lang w:val="fr-FR"/>
        </w:rPr>
      </w:pPr>
    </w:p>
    <w:p w14:paraId="44443B0B" w14:textId="77777777" w:rsidR="003A208A" w:rsidRPr="00315813" w:rsidRDefault="003A208A" w:rsidP="00315813">
      <w:pPr>
        <w:pStyle w:val="a3"/>
        <w:adjustRightInd w:val="0"/>
        <w:snapToGrid w:val="0"/>
        <w:rPr>
          <w:sz w:val="20"/>
          <w:lang w:val="fr-FR"/>
        </w:rPr>
      </w:pPr>
    </w:p>
    <w:p w14:paraId="0899DC8F"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18.</w:t>
      </w:r>
      <w:r w:rsidRPr="000C517C">
        <w:rPr>
          <w:b/>
          <w:lang w:val="fr-FR"/>
        </w:rPr>
        <w:tab/>
        <w:t>IDENTIFIANT UNIQUE - DONNÉES LISIBLES PAR LES HUMAINS</w:t>
      </w:r>
    </w:p>
    <w:p w14:paraId="11AF0470" w14:textId="77777777" w:rsidR="004401F0" w:rsidRPr="00315813" w:rsidRDefault="004401F0" w:rsidP="00315813">
      <w:pPr>
        <w:pStyle w:val="a3"/>
        <w:adjustRightInd w:val="0"/>
        <w:snapToGrid w:val="0"/>
        <w:rPr>
          <w:lang w:val="fr-FR"/>
        </w:rPr>
      </w:pPr>
    </w:p>
    <w:p w14:paraId="0249EFCB" w14:textId="77777777" w:rsidR="003A208A" w:rsidRDefault="00DF3C4F" w:rsidP="00315813">
      <w:pPr>
        <w:pStyle w:val="a3"/>
        <w:adjustRightInd w:val="0"/>
        <w:snapToGrid w:val="0"/>
        <w:jc w:val="both"/>
        <w:rPr>
          <w:lang w:val="fr-FR"/>
        </w:rPr>
      </w:pPr>
      <w:r w:rsidRPr="00315813">
        <w:rPr>
          <w:lang w:val="fr-FR"/>
        </w:rPr>
        <w:t xml:space="preserve">PC </w:t>
      </w:r>
    </w:p>
    <w:p w14:paraId="6980ED93" w14:textId="77777777" w:rsidR="003A208A" w:rsidRDefault="00DF3C4F" w:rsidP="00315813">
      <w:pPr>
        <w:pStyle w:val="a3"/>
        <w:adjustRightInd w:val="0"/>
        <w:snapToGrid w:val="0"/>
        <w:jc w:val="both"/>
        <w:rPr>
          <w:lang w:val="fr-FR"/>
        </w:rPr>
      </w:pPr>
      <w:r w:rsidRPr="00315813">
        <w:rPr>
          <w:lang w:val="fr-FR"/>
        </w:rPr>
        <w:t xml:space="preserve">SN </w:t>
      </w:r>
    </w:p>
    <w:p w14:paraId="12270E67" w14:textId="77777777" w:rsidR="004401F0" w:rsidRPr="00315813" w:rsidRDefault="00DF3C4F" w:rsidP="00315813">
      <w:pPr>
        <w:pStyle w:val="a3"/>
        <w:adjustRightInd w:val="0"/>
        <w:snapToGrid w:val="0"/>
        <w:jc w:val="both"/>
        <w:rPr>
          <w:lang w:val="fr-FR"/>
        </w:rPr>
      </w:pPr>
      <w:r w:rsidRPr="00315813">
        <w:rPr>
          <w:lang w:val="fr-FR"/>
        </w:rPr>
        <w:t>NN</w:t>
      </w:r>
    </w:p>
    <w:p w14:paraId="7F604268" w14:textId="5A934C0D" w:rsidR="00B33336" w:rsidRPr="006805DF" w:rsidRDefault="00B33336" w:rsidP="00315813">
      <w:pPr>
        <w:adjustRightInd w:val="0"/>
        <w:snapToGrid w:val="0"/>
        <w:rPr>
          <w:rFonts w:eastAsia="맑은 고딕"/>
          <w:lang w:val="fr-FR" w:eastAsia="ko-KR"/>
        </w:rPr>
      </w:pPr>
      <w:r w:rsidRPr="00315813">
        <w:rPr>
          <w:lang w:val="fr-FR"/>
        </w:rPr>
        <w:br w:type="page"/>
      </w:r>
    </w:p>
    <w:p w14:paraId="2AE08A71"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lastRenderedPageBreak/>
        <w:t>MENTIONS MINIMALES DEVANT FIGURER SUR LES PETITS CONDITIONNEMENTS PRIMAIRES</w:t>
      </w:r>
    </w:p>
    <w:p w14:paraId="032BD1DE" w14:textId="77777777" w:rsidR="00B33336" w:rsidRPr="000C517C" w:rsidRDefault="00B33336" w:rsidP="003A208A">
      <w:pPr>
        <w:pStyle w:val="a3"/>
        <w:pBdr>
          <w:top w:val="single" w:sz="4" w:space="1" w:color="auto"/>
          <w:left w:val="single" w:sz="4" w:space="4" w:color="auto"/>
          <w:bottom w:val="single" w:sz="4" w:space="1" w:color="auto"/>
          <w:right w:val="single" w:sz="4" w:space="4" w:color="auto"/>
        </w:pBdr>
        <w:adjustRightInd w:val="0"/>
        <w:snapToGrid w:val="0"/>
        <w:rPr>
          <w:b/>
          <w:lang w:val="fr-FR"/>
        </w:rPr>
      </w:pPr>
    </w:p>
    <w:p w14:paraId="431EE9B2"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FLACON</w:t>
      </w:r>
    </w:p>
    <w:p w14:paraId="13F8266A" w14:textId="77777777" w:rsidR="004401F0" w:rsidRDefault="004401F0" w:rsidP="00315813">
      <w:pPr>
        <w:pStyle w:val="a3"/>
        <w:adjustRightInd w:val="0"/>
        <w:snapToGrid w:val="0"/>
        <w:rPr>
          <w:sz w:val="20"/>
          <w:lang w:val="fr-FR"/>
        </w:rPr>
      </w:pPr>
    </w:p>
    <w:p w14:paraId="31E66555" w14:textId="77777777" w:rsidR="003A208A" w:rsidRPr="00315813" w:rsidRDefault="003A208A" w:rsidP="00315813">
      <w:pPr>
        <w:pStyle w:val="a3"/>
        <w:adjustRightInd w:val="0"/>
        <w:snapToGrid w:val="0"/>
        <w:rPr>
          <w:sz w:val="20"/>
          <w:lang w:val="fr-FR"/>
        </w:rPr>
      </w:pPr>
    </w:p>
    <w:p w14:paraId="6ECA49E3"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1.</w:t>
      </w:r>
      <w:r w:rsidRPr="000C517C">
        <w:rPr>
          <w:b/>
          <w:lang w:val="fr-FR"/>
        </w:rPr>
        <w:tab/>
        <w:t>DENOMINATION DU MEDICAMENT ET VOIE(S) D’ADMINISTRATION</w:t>
      </w:r>
    </w:p>
    <w:p w14:paraId="61818BC3" w14:textId="77777777" w:rsidR="004401F0" w:rsidRPr="00315813" w:rsidRDefault="004401F0" w:rsidP="00315813">
      <w:pPr>
        <w:pStyle w:val="a3"/>
        <w:adjustRightInd w:val="0"/>
        <w:snapToGrid w:val="0"/>
        <w:rPr>
          <w:lang w:val="fr-FR"/>
        </w:rPr>
      </w:pPr>
    </w:p>
    <w:p w14:paraId="41DBB33F" w14:textId="7E5B463E" w:rsidR="00561D92" w:rsidRDefault="00F05208" w:rsidP="00315813">
      <w:pPr>
        <w:pStyle w:val="a3"/>
        <w:adjustRightInd w:val="0"/>
        <w:snapToGrid w:val="0"/>
        <w:rPr>
          <w:lang w:val="fr-FR"/>
        </w:rPr>
      </w:pPr>
      <w:r>
        <w:rPr>
          <w:lang w:val="fr-FR"/>
        </w:rPr>
        <w:t>Vegzelma</w:t>
      </w:r>
      <w:r w:rsidR="00ED5ABA">
        <w:rPr>
          <w:rFonts w:eastAsia="맑은 고딕" w:hint="eastAsia"/>
          <w:lang w:val="fr-FR" w:eastAsia="ko-KR"/>
        </w:rPr>
        <w:t xml:space="preserve"> </w:t>
      </w:r>
      <w:r w:rsidR="00DF3C4F" w:rsidRPr="00315813">
        <w:rPr>
          <w:lang w:val="fr-FR"/>
        </w:rPr>
        <w:t>25</w:t>
      </w:r>
      <w:r w:rsidR="00DA7718" w:rsidRPr="00315813">
        <w:rPr>
          <w:lang w:val="fr-FR"/>
        </w:rPr>
        <w:t> mg</w:t>
      </w:r>
      <w:r w:rsidR="00DF3C4F" w:rsidRPr="00315813">
        <w:rPr>
          <w:lang w:val="fr-FR"/>
        </w:rPr>
        <w:t xml:space="preserve">/ml </w:t>
      </w:r>
      <w:r w:rsidR="005963EB" w:rsidRPr="009D1080">
        <w:rPr>
          <w:lang w:val="fr-FR"/>
        </w:rPr>
        <w:t>Concentré</w:t>
      </w:r>
      <w:r w:rsidR="005963EB">
        <w:rPr>
          <w:lang w:val="fr-FR"/>
        </w:rPr>
        <w:t xml:space="preserve"> </w:t>
      </w:r>
      <w:r w:rsidR="005963EB" w:rsidRPr="009D1080">
        <w:rPr>
          <w:lang w:val="fr-FR"/>
        </w:rPr>
        <w:t>stérile</w:t>
      </w:r>
    </w:p>
    <w:p w14:paraId="247857F2" w14:textId="77777777" w:rsidR="004401F0" w:rsidRPr="00315813" w:rsidRDefault="00DF3C4F" w:rsidP="00315813">
      <w:pPr>
        <w:pStyle w:val="a3"/>
        <w:adjustRightInd w:val="0"/>
        <w:snapToGrid w:val="0"/>
        <w:rPr>
          <w:lang w:val="fr-FR"/>
        </w:rPr>
      </w:pPr>
      <w:r w:rsidRPr="00315813">
        <w:rPr>
          <w:lang w:val="fr-FR"/>
        </w:rPr>
        <w:t>bevacizumab</w:t>
      </w:r>
    </w:p>
    <w:p w14:paraId="37D2B382" w14:textId="77777777" w:rsidR="004401F0" w:rsidRPr="00315813" w:rsidRDefault="00DF3C4F" w:rsidP="00315813">
      <w:pPr>
        <w:pStyle w:val="a3"/>
        <w:adjustRightInd w:val="0"/>
        <w:snapToGrid w:val="0"/>
        <w:rPr>
          <w:lang w:val="fr-FR"/>
        </w:rPr>
      </w:pPr>
      <w:r w:rsidRPr="00315813">
        <w:rPr>
          <w:lang w:val="fr-FR"/>
        </w:rPr>
        <w:t>IV</w:t>
      </w:r>
    </w:p>
    <w:p w14:paraId="293D5ED7" w14:textId="77777777" w:rsidR="004401F0" w:rsidRDefault="004401F0" w:rsidP="00315813">
      <w:pPr>
        <w:pStyle w:val="a3"/>
        <w:adjustRightInd w:val="0"/>
        <w:snapToGrid w:val="0"/>
        <w:rPr>
          <w:sz w:val="20"/>
          <w:lang w:val="fr-FR"/>
        </w:rPr>
      </w:pPr>
    </w:p>
    <w:p w14:paraId="326C2510" w14:textId="77777777" w:rsidR="003A208A" w:rsidRPr="00315813" w:rsidRDefault="003A208A" w:rsidP="00315813">
      <w:pPr>
        <w:pStyle w:val="a3"/>
        <w:adjustRightInd w:val="0"/>
        <w:snapToGrid w:val="0"/>
        <w:rPr>
          <w:sz w:val="20"/>
          <w:lang w:val="fr-FR"/>
        </w:rPr>
      </w:pPr>
    </w:p>
    <w:p w14:paraId="79D6B12C"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2.</w:t>
      </w:r>
      <w:r w:rsidRPr="000C517C">
        <w:rPr>
          <w:b/>
          <w:lang w:val="fr-FR"/>
        </w:rPr>
        <w:tab/>
        <w:t>MODE D’ADMINISTRATION</w:t>
      </w:r>
    </w:p>
    <w:p w14:paraId="3C57E76F" w14:textId="77777777" w:rsidR="004401F0" w:rsidRPr="00315813" w:rsidRDefault="004401F0" w:rsidP="00315813">
      <w:pPr>
        <w:pStyle w:val="a3"/>
        <w:adjustRightInd w:val="0"/>
        <w:snapToGrid w:val="0"/>
        <w:rPr>
          <w:lang w:val="fr-FR"/>
        </w:rPr>
      </w:pPr>
    </w:p>
    <w:p w14:paraId="1356704F" w14:textId="51B72A0D" w:rsidR="004401F0" w:rsidRPr="00315813" w:rsidRDefault="00DF3C4F" w:rsidP="00315813">
      <w:pPr>
        <w:pStyle w:val="a3"/>
        <w:adjustRightInd w:val="0"/>
        <w:snapToGrid w:val="0"/>
        <w:rPr>
          <w:lang w:val="fr-FR"/>
        </w:rPr>
      </w:pPr>
      <w:r w:rsidRPr="00315813">
        <w:rPr>
          <w:lang w:val="fr-FR"/>
        </w:rPr>
        <w:t xml:space="preserve">Voie </w:t>
      </w:r>
      <w:r w:rsidR="00830393" w:rsidRPr="00F014C7">
        <w:rPr>
          <w:lang w:val="fr-FR"/>
        </w:rPr>
        <w:t>IV</w:t>
      </w:r>
      <w:r w:rsidRPr="00315813">
        <w:rPr>
          <w:lang w:val="fr-FR"/>
        </w:rPr>
        <w:t xml:space="preserve"> après dilution</w:t>
      </w:r>
    </w:p>
    <w:p w14:paraId="761F3826" w14:textId="77777777" w:rsidR="004401F0" w:rsidRDefault="004401F0" w:rsidP="00315813">
      <w:pPr>
        <w:pStyle w:val="a3"/>
        <w:adjustRightInd w:val="0"/>
        <w:snapToGrid w:val="0"/>
        <w:rPr>
          <w:sz w:val="20"/>
          <w:lang w:val="fr-FR"/>
        </w:rPr>
      </w:pPr>
    </w:p>
    <w:p w14:paraId="26BA0583" w14:textId="77777777" w:rsidR="003A208A" w:rsidRPr="00315813" w:rsidRDefault="003A208A" w:rsidP="00315813">
      <w:pPr>
        <w:pStyle w:val="a3"/>
        <w:adjustRightInd w:val="0"/>
        <w:snapToGrid w:val="0"/>
        <w:rPr>
          <w:sz w:val="20"/>
          <w:lang w:val="fr-FR"/>
        </w:rPr>
      </w:pPr>
    </w:p>
    <w:p w14:paraId="4972483C"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3.</w:t>
      </w:r>
      <w:r w:rsidRPr="000C517C">
        <w:rPr>
          <w:b/>
          <w:lang w:val="fr-FR"/>
        </w:rPr>
        <w:tab/>
        <w:t>DATE DE PEREMPTION</w:t>
      </w:r>
    </w:p>
    <w:p w14:paraId="4049F0E0" w14:textId="77777777" w:rsidR="004401F0" w:rsidRPr="00315813" w:rsidRDefault="004401F0" w:rsidP="00315813">
      <w:pPr>
        <w:pStyle w:val="a3"/>
        <w:adjustRightInd w:val="0"/>
        <w:snapToGrid w:val="0"/>
        <w:rPr>
          <w:lang w:val="fr-FR"/>
        </w:rPr>
      </w:pPr>
    </w:p>
    <w:p w14:paraId="6FAA9B5C" w14:textId="77777777" w:rsidR="004401F0" w:rsidRPr="00315813" w:rsidRDefault="00DF3C4F" w:rsidP="00315813">
      <w:pPr>
        <w:pStyle w:val="a3"/>
        <w:adjustRightInd w:val="0"/>
        <w:snapToGrid w:val="0"/>
        <w:rPr>
          <w:lang w:val="fr-FR"/>
        </w:rPr>
      </w:pPr>
      <w:r w:rsidRPr="00315813">
        <w:rPr>
          <w:lang w:val="fr-FR"/>
        </w:rPr>
        <w:t>EXP</w:t>
      </w:r>
    </w:p>
    <w:p w14:paraId="7F171E64" w14:textId="77777777" w:rsidR="004401F0" w:rsidRDefault="004401F0" w:rsidP="00315813">
      <w:pPr>
        <w:pStyle w:val="a3"/>
        <w:adjustRightInd w:val="0"/>
        <w:snapToGrid w:val="0"/>
        <w:rPr>
          <w:sz w:val="20"/>
          <w:lang w:val="fr-FR"/>
        </w:rPr>
      </w:pPr>
    </w:p>
    <w:p w14:paraId="34F5D9D7" w14:textId="77777777" w:rsidR="003A208A" w:rsidRPr="00315813" w:rsidRDefault="003A208A" w:rsidP="00315813">
      <w:pPr>
        <w:pStyle w:val="a3"/>
        <w:adjustRightInd w:val="0"/>
        <w:snapToGrid w:val="0"/>
        <w:rPr>
          <w:sz w:val="20"/>
          <w:lang w:val="fr-FR"/>
        </w:rPr>
      </w:pPr>
    </w:p>
    <w:p w14:paraId="56B2DC27"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4.</w:t>
      </w:r>
      <w:r w:rsidRPr="000C517C">
        <w:rPr>
          <w:b/>
          <w:lang w:val="fr-FR"/>
        </w:rPr>
        <w:tab/>
        <w:t>NUMERO DU LOT</w:t>
      </w:r>
    </w:p>
    <w:p w14:paraId="26B4B636" w14:textId="77777777" w:rsidR="004401F0" w:rsidRPr="00315813" w:rsidRDefault="004401F0" w:rsidP="00315813">
      <w:pPr>
        <w:pStyle w:val="a3"/>
        <w:adjustRightInd w:val="0"/>
        <w:snapToGrid w:val="0"/>
        <w:rPr>
          <w:lang w:val="fr-FR"/>
        </w:rPr>
      </w:pPr>
    </w:p>
    <w:p w14:paraId="7DBEFA9F" w14:textId="77777777" w:rsidR="004401F0" w:rsidRPr="00315813" w:rsidRDefault="00DF3C4F" w:rsidP="00315813">
      <w:pPr>
        <w:pStyle w:val="a3"/>
        <w:adjustRightInd w:val="0"/>
        <w:snapToGrid w:val="0"/>
        <w:rPr>
          <w:lang w:val="fr-FR"/>
        </w:rPr>
      </w:pPr>
      <w:r w:rsidRPr="00315813">
        <w:rPr>
          <w:lang w:val="fr-FR"/>
        </w:rPr>
        <w:t>Lot</w:t>
      </w:r>
    </w:p>
    <w:p w14:paraId="22A1B121" w14:textId="77777777" w:rsidR="004401F0" w:rsidRDefault="004401F0" w:rsidP="00315813">
      <w:pPr>
        <w:pStyle w:val="a3"/>
        <w:adjustRightInd w:val="0"/>
        <w:snapToGrid w:val="0"/>
        <w:rPr>
          <w:sz w:val="20"/>
          <w:lang w:val="fr-FR"/>
        </w:rPr>
      </w:pPr>
    </w:p>
    <w:p w14:paraId="30151322" w14:textId="77777777" w:rsidR="003A208A" w:rsidRPr="00315813" w:rsidRDefault="003A208A" w:rsidP="00315813">
      <w:pPr>
        <w:pStyle w:val="a3"/>
        <w:adjustRightInd w:val="0"/>
        <w:snapToGrid w:val="0"/>
        <w:rPr>
          <w:sz w:val="20"/>
          <w:lang w:val="fr-FR"/>
        </w:rPr>
      </w:pPr>
    </w:p>
    <w:p w14:paraId="338BD884"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5.</w:t>
      </w:r>
      <w:r w:rsidRPr="000C517C">
        <w:rPr>
          <w:b/>
          <w:lang w:val="fr-FR"/>
        </w:rPr>
        <w:tab/>
        <w:t>CONTENU EN POIDS, VOLUME OU UNITE</w:t>
      </w:r>
    </w:p>
    <w:p w14:paraId="16FE1FA4" w14:textId="77777777" w:rsidR="004401F0" w:rsidRPr="00315813" w:rsidRDefault="004401F0" w:rsidP="00315813">
      <w:pPr>
        <w:pStyle w:val="a3"/>
        <w:adjustRightInd w:val="0"/>
        <w:snapToGrid w:val="0"/>
        <w:rPr>
          <w:lang w:val="fr-FR"/>
        </w:rPr>
      </w:pPr>
    </w:p>
    <w:p w14:paraId="2E108855" w14:textId="77777777" w:rsidR="004401F0" w:rsidRPr="00315813" w:rsidRDefault="00DF3C4F" w:rsidP="00315813">
      <w:pPr>
        <w:pStyle w:val="a3"/>
        <w:adjustRightInd w:val="0"/>
        <w:snapToGrid w:val="0"/>
        <w:rPr>
          <w:lang w:val="fr-FR"/>
        </w:rPr>
      </w:pPr>
      <w:r w:rsidRPr="00315813">
        <w:rPr>
          <w:lang w:val="fr-FR"/>
        </w:rPr>
        <w:t>400</w:t>
      </w:r>
      <w:r w:rsidR="00DA7718" w:rsidRPr="00315813">
        <w:rPr>
          <w:lang w:val="fr-FR"/>
        </w:rPr>
        <w:t> mg</w:t>
      </w:r>
      <w:r w:rsidRPr="00315813">
        <w:rPr>
          <w:lang w:val="fr-FR"/>
        </w:rPr>
        <w:t>/16</w:t>
      </w:r>
      <w:r w:rsidR="00DA7718" w:rsidRPr="00315813">
        <w:rPr>
          <w:lang w:val="fr-FR"/>
        </w:rPr>
        <w:t> ml</w:t>
      </w:r>
    </w:p>
    <w:p w14:paraId="4B4AEFBB" w14:textId="77777777" w:rsidR="004401F0" w:rsidRDefault="004401F0" w:rsidP="00315813">
      <w:pPr>
        <w:pStyle w:val="a3"/>
        <w:adjustRightInd w:val="0"/>
        <w:snapToGrid w:val="0"/>
        <w:rPr>
          <w:sz w:val="20"/>
          <w:lang w:val="fr-FR"/>
        </w:rPr>
      </w:pPr>
    </w:p>
    <w:p w14:paraId="14DBC462" w14:textId="77777777" w:rsidR="003A208A" w:rsidRPr="00315813" w:rsidRDefault="003A208A" w:rsidP="00315813">
      <w:pPr>
        <w:pStyle w:val="a3"/>
        <w:adjustRightInd w:val="0"/>
        <w:snapToGrid w:val="0"/>
        <w:rPr>
          <w:sz w:val="20"/>
          <w:lang w:val="fr-FR"/>
        </w:rPr>
      </w:pPr>
    </w:p>
    <w:p w14:paraId="4E09A936" w14:textId="77777777" w:rsidR="00B33336" w:rsidRPr="000C517C" w:rsidRDefault="00B33336" w:rsidP="003A208A">
      <w:pPr>
        <w:pBdr>
          <w:top w:val="single" w:sz="4" w:space="1" w:color="auto"/>
          <w:left w:val="single" w:sz="4" w:space="4" w:color="auto"/>
          <w:bottom w:val="single" w:sz="4" w:space="1" w:color="auto"/>
          <w:right w:val="single" w:sz="4" w:space="4" w:color="auto"/>
        </w:pBdr>
        <w:adjustRightInd w:val="0"/>
        <w:snapToGrid w:val="0"/>
        <w:rPr>
          <w:b/>
          <w:lang w:val="fr-FR"/>
        </w:rPr>
      </w:pPr>
      <w:r w:rsidRPr="000C517C">
        <w:rPr>
          <w:b/>
          <w:lang w:val="fr-FR"/>
        </w:rPr>
        <w:t>6.</w:t>
      </w:r>
      <w:r w:rsidRPr="000C517C">
        <w:rPr>
          <w:b/>
          <w:lang w:val="fr-FR"/>
        </w:rPr>
        <w:tab/>
        <w:t>AUTRES</w:t>
      </w:r>
    </w:p>
    <w:p w14:paraId="63AD4CA4" w14:textId="77777777" w:rsidR="00BD4C7C" w:rsidRDefault="00BD4C7C" w:rsidP="00315813">
      <w:pPr>
        <w:adjustRightInd w:val="0"/>
        <w:snapToGrid w:val="0"/>
        <w:rPr>
          <w:lang w:val="fr-FR"/>
        </w:rPr>
      </w:pPr>
    </w:p>
    <w:p w14:paraId="0A62091F" w14:textId="77777777" w:rsidR="003A208A" w:rsidRPr="00315813" w:rsidRDefault="003A208A" w:rsidP="00315813">
      <w:pPr>
        <w:adjustRightInd w:val="0"/>
        <w:snapToGrid w:val="0"/>
        <w:rPr>
          <w:lang w:val="fr-FR"/>
        </w:rPr>
      </w:pPr>
    </w:p>
    <w:p w14:paraId="6E04A00F" w14:textId="77777777" w:rsidR="00B33336" w:rsidRPr="00315813" w:rsidRDefault="00B33336" w:rsidP="00315813">
      <w:pPr>
        <w:adjustRightInd w:val="0"/>
        <w:snapToGrid w:val="0"/>
        <w:rPr>
          <w:sz w:val="20"/>
          <w:lang w:val="fr-FR"/>
        </w:rPr>
      </w:pPr>
      <w:r w:rsidRPr="00315813">
        <w:rPr>
          <w:sz w:val="20"/>
          <w:lang w:val="fr-FR"/>
        </w:rPr>
        <w:br w:type="page"/>
      </w:r>
    </w:p>
    <w:p w14:paraId="427D4953" w14:textId="77777777" w:rsidR="004401F0" w:rsidRPr="00DA7718" w:rsidRDefault="004401F0" w:rsidP="00BD4C7C">
      <w:pPr>
        <w:pStyle w:val="a3"/>
        <w:adjustRightInd w:val="0"/>
        <w:snapToGrid w:val="0"/>
        <w:rPr>
          <w:sz w:val="20"/>
          <w:lang w:val="fr-FR"/>
        </w:rPr>
      </w:pPr>
    </w:p>
    <w:p w14:paraId="5B72C1F4" w14:textId="77777777" w:rsidR="004401F0" w:rsidRPr="00DA7718" w:rsidRDefault="004401F0" w:rsidP="00BD4C7C">
      <w:pPr>
        <w:pStyle w:val="a3"/>
        <w:adjustRightInd w:val="0"/>
        <w:snapToGrid w:val="0"/>
        <w:rPr>
          <w:sz w:val="20"/>
          <w:lang w:val="fr-FR"/>
        </w:rPr>
      </w:pPr>
    </w:p>
    <w:p w14:paraId="5C878E72" w14:textId="77777777" w:rsidR="004401F0" w:rsidRPr="00DA7718" w:rsidRDefault="004401F0" w:rsidP="00BD4C7C">
      <w:pPr>
        <w:pStyle w:val="a3"/>
        <w:adjustRightInd w:val="0"/>
        <w:snapToGrid w:val="0"/>
        <w:rPr>
          <w:sz w:val="20"/>
          <w:lang w:val="fr-FR"/>
        </w:rPr>
      </w:pPr>
    </w:p>
    <w:p w14:paraId="57709F54" w14:textId="77777777" w:rsidR="004401F0" w:rsidRPr="00DA7718" w:rsidRDefault="004401F0" w:rsidP="00BD4C7C">
      <w:pPr>
        <w:pStyle w:val="a3"/>
        <w:adjustRightInd w:val="0"/>
        <w:snapToGrid w:val="0"/>
        <w:rPr>
          <w:sz w:val="20"/>
          <w:lang w:val="fr-FR"/>
        </w:rPr>
      </w:pPr>
    </w:p>
    <w:p w14:paraId="169D3348" w14:textId="77777777" w:rsidR="004401F0" w:rsidRPr="00DA7718" w:rsidRDefault="004401F0" w:rsidP="00BD4C7C">
      <w:pPr>
        <w:pStyle w:val="a3"/>
        <w:adjustRightInd w:val="0"/>
        <w:snapToGrid w:val="0"/>
        <w:rPr>
          <w:sz w:val="20"/>
          <w:lang w:val="fr-FR"/>
        </w:rPr>
      </w:pPr>
    </w:p>
    <w:p w14:paraId="27C51BDD" w14:textId="77777777" w:rsidR="004401F0" w:rsidRPr="00DA7718" w:rsidRDefault="004401F0" w:rsidP="00BD4C7C">
      <w:pPr>
        <w:pStyle w:val="a3"/>
        <w:adjustRightInd w:val="0"/>
        <w:snapToGrid w:val="0"/>
        <w:rPr>
          <w:sz w:val="20"/>
          <w:lang w:val="fr-FR"/>
        </w:rPr>
      </w:pPr>
    </w:p>
    <w:p w14:paraId="4FCAA46F" w14:textId="77777777" w:rsidR="004401F0" w:rsidRPr="00DA7718" w:rsidRDefault="004401F0" w:rsidP="00BD4C7C">
      <w:pPr>
        <w:pStyle w:val="a3"/>
        <w:adjustRightInd w:val="0"/>
        <w:snapToGrid w:val="0"/>
        <w:rPr>
          <w:sz w:val="20"/>
          <w:lang w:val="fr-FR"/>
        </w:rPr>
      </w:pPr>
    </w:p>
    <w:p w14:paraId="2C13042D" w14:textId="77777777" w:rsidR="004401F0" w:rsidRPr="00DA7718" w:rsidRDefault="004401F0" w:rsidP="00BD4C7C">
      <w:pPr>
        <w:pStyle w:val="a3"/>
        <w:adjustRightInd w:val="0"/>
        <w:snapToGrid w:val="0"/>
        <w:rPr>
          <w:sz w:val="20"/>
          <w:lang w:val="fr-FR"/>
        </w:rPr>
      </w:pPr>
    </w:p>
    <w:p w14:paraId="7094019F" w14:textId="77777777" w:rsidR="004401F0" w:rsidRPr="00DA7718" w:rsidRDefault="004401F0" w:rsidP="00BD4C7C">
      <w:pPr>
        <w:pStyle w:val="a3"/>
        <w:adjustRightInd w:val="0"/>
        <w:snapToGrid w:val="0"/>
        <w:rPr>
          <w:sz w:val="20"/>
          <w:lang w:val="fr-FR"/>
        </w:rPr>
      </w:pPr>
    </w:p>
    <w:p w14:paraId="790F1157" w14:textId="77777777" w:rsidR="004401F0" w:rsidRPr="00DA7718" w:rsidRDefault="004401F0" w:rsidP="00BD4C7C">
      <w:pPr>
        <w:pStyle w:val="a3"/>
        <w:adjustRightInd w:val="0"/>
        <w:snapToGrid w:val="0"/>
        <w:rPr>
          <w:sz w:val="20"/>
          <w:lang w:val="fr-FR"/>
        </w:rPr>
      </w:pPr>
    </w:p>
    <w:p w14:paraId="52193C0D" w14:textId="77777777" w:rsidR="004401F0" w:rsidRPr="00DA7718" w:rsidRDefault="004401F0" w:rsidP="00BD4C7C">
      <w:pPr>
        <w:pStyle w:val="a3"/>
        <w:adjustRightInd w:val="0"/>
        <w:snapToGrid w:val="0"/>
        <w:rPr>
          <w:sz w:val="20"/>
          <w:lang w:val="fr-FR"/>
        </w:rPr>
      </w:pPr>
    </w:p>
    <w:p w14:paraId="2D21ABE5" w14:textId="77777777" w:rsidR="004401F0" w:rsidRPr="00DA7718" w:rsidRDefault="004401F0" w:rsidP="00BD4C7C">
      <w:pPr>
        <w:pStyle w:val="a3"/>
        <w:adjustRightInd w:val="0"/>
        <w:snapToGrid w:val="0"/>
        <w:rPr>
          <w:sz w:val="20"/>
          <w:lang w:val="fr-FR"/>
        </w:rPr>
      </w:pPr>
    </w:p>
    <w:p w14:paraId="7FCC3C9D" w14:textId="77777777" w:rsidR="004401F0" w:rsidRPr="00DA7718" w:rsidRDefault="004401F0" w:rsidP="00BD4C7C">
      <w:pPr>
        <w:pStyle w:val="a3"/>
        <w:adjustRightInd w:val="0"/>
        <w:snapToGrid w:val="0"/>
        <w:rPr>
          <w:sz w:val="20"/>
          <w:lang w:val="fr-FR"/>
        </w:rPr>
      </w:pPr>
    </w:p>
    <w:p w14:paraId="593E5DBA" w14:textId="77777777" w:rsidR="004401F0" w:rsidRPr="00DA7718" w:rsidRDefault="004401F0" w:rsidP="00BD4C7C">
      <w:pPr>
        <w:pStyle w:val="a3"/>
        <w:adjustRightInd w:val="0"/>
        <w:snapToGrid w:val="0"/>
        <w:rPr>
          <w:sz w:val="20"/>
          <w:lang w:val="fr-FR"/>
        </w:rPr>
      </w:pPr>
    </w:p>
    <w:p w14:paraId="489E8ACD" w14:textId="77777777" w:rsidR="004401F0" w:rsidRPr="00DA7718" w:rsidRDefault="004401F0" w:rsidP="00BD4C7C">
      <w:pPr>
        <w:pStyle w:val="a3"/>
        <w:adjustRightInd w:val="0"/>
        <w:snapToGrid w:val="0"/>
        <w:rPr>
          <w:sz w:val="20"/>
          <w:lang w:val="fr-FR"/>
        </w:rPr>
      </w:pPr>
    </w:p>
    <w:p w14:paraId="053FB956" w14:textId="77777777" w:rsidR="004401F0" w:rsidRPr="00DA7718" w:rsidRDefault="004401F0" w:rsidP="00BD4C7C">
      <w:pPr>
        <w:pStyle w:val="a3"/>
        <w:adjustRightInd w:val="0"/>
        <w:snapToGrid w:val="0"/>
        <w:rPr>
          <w:sz w:val="20"/>
          <w:lang w:val="fr-FR"/>
        </w:rPr>
      </w:pPr>
    </w:p>
    <w:p w14:paraId="78B5CA11" w14:textId="77777777" w:rsidR="004401F0" w:rsidRPr="00DA7718" w:rsidRDefault="004401F0" w:rsidP="00BD4C7C">
      <w:pPr>
        <w:pStyle w:val="a3"/>
        <w:adjustRightInd w:val="0"/>
        <w:snapToGrid w:val="0"/>
        <w:rPr>
          <w:sz w:val="20"/>
          <w:lang w:val="fr-FR"/>
        </w:rPr>
      </w:pPr>
    </w:p>
    <w:p w14:paraId="7115E65C" w14:textId="77777777" w:rsidR="004401F0" w:rsidRPr="00DA7718" w:rsidRDefault="004401F0" w:rsidP="00BD4C7C">
      <w:pPr>
        <w:pStyle w:val="a3"/>
        <w:adjustRightInd w:val="0"/>
        <w:snapToGrid w:val="0"/>
        <w:rPr>
          <w:sz w:val="20"/>
          <w:lang w:val="fr-FR"/>
        </w:rPr>
      </w:pPr>
    </w:p>
    <w:p w14:paraId="70333EBF" w14:textId="77777777" w:rsidR="004401F0" w:rsidRPr="00DA7718" w:rsidRDefault="004401F0" w:rsidP="00BD4C7C">
      <w:pPr>
        <w:pStyle w:val="a3"/>
        <w:adjustRightInd w:val="0"/>
        <w:snapToGrid w:val="0"/>
        <w:rPr>
          <w:sz w:val="20"/>
          <w:lang w:val="fr-FR"/>
        </w:rPr>
      </w:pPr>
    </w:p>
    <w:p w14:paraId="78FB11CE" w14:textId="77777777" w:rsidR="004401F0" w:rsidRPr="00DA7718" w:rsidRDefault="004401F0" w:rsidP="00BD4C7C">
      <w:pPr>
        <w:pStyle w:val="a3"/>
        <w:adjustRightInd w:val="0"/>
        <w:snapToGrid w:val="0"/>
        <w:rPr>
          <w:sz w:val="20"/>
          <w:lang w:val="fr-FR"/>
        </w:rPr>
      </w:pPr>
    </w:p>
    <w:p w14:paraId="52E705BE" w14:textId="77777777" w:rsidR="004401F0" w:rsidRPr="00DA7718" w:rsidRDefault="004401F0" w:rsidP="00BD4C7C">
      <w:pPr>
        <w:pStyle w:val="a3"/>
        <w:adjustRightInd w:val="0"/>
        <w:snapToGrid w:val="0"/>
        <w:rPr>
          <w:sz w:val="20"/>
          <w:lang w:val="fr-FR"/>
        </w:rPr>
      </w:pPr>
    </w:p>
    <w:p w14:paraId="03D4383F" w14:textId="77777777" w:rsidR="004401F0" w:rsidRPr="00DA7718" w:rsidRDefault="004401F0" w:rsidP="00BD4C7C">
      <w:pPr>
        <w:pStyle w:val="a3"/>
        <w:adjustRightInd w:val="0"/>
        <w:snapToGrid w:val="0"/>
        <w:rPr>
          <w:sz w:val="17"/>
          <w:lang w:val="fr-FR"/>
        </w:rPr>
      </w:pPr>
    </w:p>
    <w:p w14:paraId="7F7E83C7" w14:textId="77777777" w:rsidR="004401F0" w:rsidRPr="00DA7718" w:rsidRDefault="00BD4C7C" w:rsidP="00E84257">
      <w:pPr>
        <w:pStyle w:val="TitleA"/>
        <w:outlineLvl w:val="0"/>
        <w:rPr>
          <w:lang w:val="fr-FR"/>
        </w:rPr>
      </w:pPr>
      <w:bookmarkStart w:id="14" w:name="B._NOTICE"/>
      <w:bookmarkEnd w:id="14"/>
      <w:r w:rsidRPr="00DA7718">
        <w:rPr>
          <w:spacing w:val="-2"/>
          <w:lang w:val="fr-FR"/>
        </w:rPr>
        <w:t>B.</w:t>
      </w:r>
      <w:r w:rsidR="003A208A">
        <w:rPr>
          <w:spacing w:val="-2"/>
          <w:lang w:val="fr-FR"/>
        </w:rPr>
        <w:t xml:space="preserve"> </w:t>
      </w:r>
      <w:r w:rsidR="00DF3C4F" w:rsidRPr="00DA7718">
        <w:rPr>
          <w:lang w:val="fr-FR"/>
        </w:rPr>
        <w:t>NOTICE</w:t>
      </w:r>
    </w:p>
    <w:p w14:paraId="339260A8" w14:textId="40690579" w:rsidR="004401F0" w:rsidRPr="00310AF1" w:rsidRDefault="00315813" w:rsidP="00FB48A2">
      <w:pPr>
        <w:jc w:val="center"/>
        <w:rPr>
          <w:b/>
          <w:bCs/>
          <w:lang w:val="fr-FR"/>
        </w:rPr>
      </w:pPr>
      <w:r>
        <w:rPr>
          <w:lang w:val="fr-FR"/>
        </w:rPr>
        <w:br w:type="page"/>
      </w:r>
      <w:r w:rsidR="00DF3C4F" w:rsidRPr="00310AF1">
        <w:rPr>
          <w:b/>
          <w:bCs/>
          <w:lang w:val="fr-FR"/>
        </w:rPr>
        <w:lastRenderedPageBreak/>
        <w:t>Notice</w:t>
      </w:r>
      <w:r w:rsidR="00765A43">
        <w:rPr>
          <w:b/>
          <w:bCs/>
          <w:lang w:val="fr-FR"/>
        </w:rPr>
        <w:t xml:space="preserve"> : </w:t>
      </w:r>
      <w:r w:rsidR="00DF3C4F" w:rsidRPr="00310AF1">
        <w:rPr>
          <w:b/>
          <w:bCs/>
          <w:lang w:val="fr-FR"/>
        </w:rPr>
        <w:t>Information de l’utilisateur</w:t>
      </w:r>
    </w:p>
    <w:p w14:paraId="1192CE26" w14:textId="77777777" w:rsidR="004401F0" w:rsidRPr="00310AF1" w:rsidRDefault="004401F0" w:rsidP="00BD4C7C">
      <w:pPr>
        <w:pStyle w:val="a3"/>
        <w:adjustRightInd w:val="0"/>
        <w:snapToGrid w:val="0"/>
        <w:rPr>
          <w:b/>
          <w:lang w:val="fr-FR"/>
        </w:rPr>
      </w:pPr>
    </w:p>
    <w:p w14:paraId="47FB355C" w14:textId="0EA2A2ED" w:rsidR="004401F0" w:rsidRPr="00310AF1" w:rsidRDefault="00F05208" w:rsidP="00BD4C7C">
      <w:pPr>
        <w:adjustRightInd w:val="0"/>
        <w:snapToGrid w:val="0"/>
        <w:jc w:val="center"/>
        <w:rPr>
          <w:b/>
          <w:lang w:val="fr-FR"/>
        </w:rPr>
      </w:pPr>
      <w:r>
        <w:rPr>
          <w:b/>
          <w:lang w:val="fr-FR"/>
        </w:rPr>
        <w:t>Vegzelma</w:t>
      </w:r>
      <w:r w:rsidR="00A867A9" w:rsidRPr="00310AF1">
        <w:rPr>
          <w:b/>
          <w:lang w:val="fr-FR"/>
        </w:rPr>
        <w:t xml:space="preserve"> </w:t>
      </w:r>
      <w:r w:rsidR="00DF3C4F" w:rsidRPr="00310AF1">
        <w:rPr>
          <w:b/>
          <w:lang w:val="fr-FR"/>
        </w:rPr>
        <w:t>25</w:t>
      </w:r>
      <w:r w:rsidR="00DA7718" w:rsidRPr="00310AF1">
        <w:rPr>
          <w:b/>
          <w:lang w:val="fr-FR"/>
        </w:rPr>
        <w:t> mg</w:t>
      </w:r>
      <w:r w:rsidR="00DF3C4F" w:rsidRPr="00310AF1">
        <w:rPr>
          <w:b/>
          <w:lang w:val="fr-FR"/>
        </w:rPr>
        <w:t>/ml, solution à diluer pour perfusion</w:t>
      </w:r>
    </w:p>
    <w:p w14:paraId="0B3AF50C" w14:textId="77777777" w:rsidR="004401F0" w:rsidRPr="00310AF1" w:rsidRDefault="00DF3C4F" w:rsidP="00BD4C7C">
      <w:pPr>
        <w:pStyle w:val="a3"/>
        <w:adjustRightInd w:val="0"/>
        <w:snapToGrid w:val="0"/>
        <w:jc w:val="center"/>
        <w:rPr>
          <w:lang w:val="fr-FR"/>
        </w:rPr>
      </w:pPr>
      <w:r w:rsidRPr="00310AF1">
        <w:rPr>
          <w:lang w:val="fr-FR"/>
        </w:rPr>
        <w:t>bevacizumab</w:t>
      </w:r>
    </w:p>
    <w:p w14:paraId="6FD7930A" w14:textId="77777777" w:rsidR="004401F0" w:rsidRPr="00310AF1" w:rsidRDefault="004401F0" w:rsidP="00BD4C7C">
      <w:pPr>
        <w:pStyle w:val="a3"/>
        <w:adjustRightInd w:val="0"/>
        <w:snapToGrid w:val="0"/>
        <w:rPr>
          <w:lang w:val="fr-FR"/>
        </w:rPr>
      </w:pPr>
    </w:p>
    <w:p w14:paraId="3C30E3FD" w14:textId="2F874BAC" w:rsidR="00184315" w:rsidRPr="002D3201" w:rsidRDefault="005F1AD1" w:rsidP="00A67360">
      <w:pPr>
        <w:rPr>
          <w:b/>
          <w:bCs/>
          <w:lang w:val="fr-FR"/>
        </w:rPr>
      </w:pPr>
      <w:r>
        <w:rPr>
          <w:noProof/>
          <w:color w:val="000000"/>
          <w:lang w:val="fr-FR" w:eastAsia="fr-FR"/>
        </w:rPr>
        <w:drawing>
          <wp:inline distT="0" distB="0" distL="0" distR="0" wp14:anchorId="3F355FCC" wp14:editId="1B7696E3">
            <wp:extent cx="199390" cy="144780"/>
            <wp:effectExtent l="0" t="0" r="0" b="0"/>
            <wp:docPr id="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390" cy="144780"/>
                    </a:xfrm>
                    <a:prstGeom prst="rect">
                      <a:avLst/>
                    </a:prstGeom>
                    <a:noFill/>
                    <a:ln>
                      <a:noFill/>
                    </a:ln>
                  </pic:spPr>
                </pic:pic>
              </a:graphicData>
            </a:graphic>
          </wp:inline>
        </w:drawing>
      </w:r>
      <w:r w:rsidR="00184315" w:rsidRPr="00184315">
        <w:rPr>
          <w:lang w:val="fr-FR"/>
        </w:rPr>
        <w:t xml:space="preserve"> </w:t>
      </w:r>
      <w:r w:rsidR="00184315" w:rsidRPr="002D3201">
        <w:rPr>
          <w:lang w:val="fr-FR"/>
        </w:rPr>
        <w:t>Ce médicament fait l</w:t>
      </w:r>
      <w:r w:rsidR="00184315">
        <w:rPr>
          <w:lang w:val="fr-FR"/>
        </w:rPr>
        <w:t>’</w:t>
      </w:r>
      <w:r w:rsidR="00184315" w:rsidRPr="002D3201">
        <w:rPr>
          <w:lang w:val="fr-FR"/>
        </w:rPr>
        <w:t>objet d</w:t>
      </w:r>
      <w:r w:rsidR="00184315">
        <w:rPr>
          <w:lang w:val="fr-FR"/>
        </w:rPr>
        <w:t>’</w:t>
      </w:r>
      <w:r w:rsidR="00184315" w:rsidRPr="002D3201">
        <w:rPr>
          <w:lang w:val="fr-FR"/>
        </w:rPr>
        <w:t>une surveillance supplémentaire qui permettra l</w:t>
      </w:r>
      <w:r w:rsidR="00184315">
        <w:rPr>
          <w:lang w:val="fr-FR"/>
        </w:rPr>
        <w:t>’</w:t>
      </w:r>
      <w:r w:rsidR="00184315" w:rsidRPr="002D3201">
        <w:rPr>
          <w:lang w:val="fr-FR"/>
        </w:rPr>
        <w:t>identification rapide de nouvelles informations relatives à la sécurité. Vous pouvez y contribuer en signalant tout effet indésirable que vous observez. Voir en fin de rubrique</w:t>
      </w:r>
      <w:r w:rsidR="00184315">
        <w:rPr>
          <w:lang w:val="fr-FR"/>
        </w:rPr>
        <w:t> </w:t>
      </w:r>
      <w:r w:rsidR="00184315" w:rsidRPr="002D3201">
        <w:rPr>
          <w:lang w:val="fr-FR"/>
        </w:rPr>
        <w:t>4 comment déclarer les effets indésirables.</w:t>
      </w:r>
    </w:p>
    <w:p w14:paraId="3AA73667" w14:textId="77777777" w:rsidR="00184315" w:rsidRDefault="00184315" w:rsidP="00E84257">
      <w:pPr>
        <w:rPr>
          <w:lang w:val="fr-FR"/>
        </w:rPr>
      </w:pPr>
    </w:p>
    <w:p w14:paraId="3BDEF0EC" w14:textId="77777777" w:rsidR="004401F0" w:rsidRPr="00A67360" w:rsidRDefault="00DF3C4F" w:rsidP="00A67360">
      <w:pPr>
        <w:rPr>
          <w:b/>
          <w:bCs/>
          <w:lang w:val="fr-FR"/>
        </w:rPr>
      </w:pPr>
      <w:r w:rsidRPr="00A67360">
        <w:rPr>
          <w:b/>
          <w:bCs/>
          <w:lang w:val="fr-FR"/>
        </w:rPr>
        <w:t>Veuillez lire attentivement cette notice avant d’utiliser ce médicament car elle contient des informations importantes pour vous.</w:t>
      </w:r>
    </w:p>
    <w:p w14:paraId="72CD6FF6" w14:textId="77777777" w:rsidR="00310AF1" w:rsidRPr="00DA7718" w:rsidRDefault="00310AF1" w:rsidP="00E84257">
      <w:pPr>
        <w:rPr>
          <w:lang w:val="fr-FR"/>
        </w:rPr>
      </w:pPr>
    </w:p>
    <w:p w14:paraId="4E4D3597" w14:textId="657B3847" w:rsidR="004401F0" w:rsidRPr="00DA7718" w:rsidRDefault="00067112" w:rsidP="00310AF1">
      <w:pPr>
        <w:adjustRightInd w:val="0"/>
        <w:snapToGrid w:val="0"/>
        <w:ind w:left="567" w:hanging="567"/>
        <w:jc w:val="both"/>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Gardez cette notice. Vous pourriez avoir besoin de la relire.</w:t>
      </w:r>
    </w:p>
    <w:p w14:paraId="030DBA33" w14:textId="432AF2B4" w:rsidR="004401F0" w:rsidRPr="00DA7718" w:rsidRDefault="00067112" w:rsidP="00654D2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Si vous avez d’autres questions, interrogez votre médecin, votre pharmacien ou votre infirmier/ère.</w:t>
      </w:r>
    </w:p>
    <w:p w14:paraId="40ACEFEC" w14:textId="61ADC758" w:rsidR="004401F0" w:rsidRPr="00DA7718" w:rsidRDefault="00067112" w:rsidP="00310AF1">
      <w:pPr>
        <w:adjustRightInd w:val="0"/>
        <w:snapToGrid w:val="0"/>
        <w:ind w:left="567" w:hanging="567"/>
        <w:jc w:val="both"/>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Si vous ressentez un quelconque effet indésirable, parlez-en à votre médecin, votre pharmacien ou votre infirmier/ère. Ceci s’applique aussi à tout effet indésirable qui ne serait pas mentionné dans cette notice. Voir rubrique 4.</w:t>
      </w:r>
    </w:p>
    <w:p w14:paraId="457D0FD2" w14:textId="77777777" w:rsidR="004401F0" w:rsidRPr="00DA7718" w:rsidRDefault="004401F0" w:rsidP="00BD4C7C">
      <w:pPr>
        <w:pStyle w:val="a3"/>
        <w:adjustRightInd w:val="0"/>
        <w:snapToGrid w:val="0"/>
        <w:rPr>
          <w:lang w:val="fr-FR"/>
        </w:rPr>
      </w:pPr>
    </w:p>
    <w:p w14:paraId="69D4C906" w14:textId="77777777" w:rsidR="004401F0" w:rsidRPr="00A67360" w:rsidRDefault="00DF3C4F" w:rsidP="00A67360">
      <w:pPr>
        <w:rPr>
          <w:b/>
          <w:bCs/>
          <w:lang w:val="fr-FR"/>
        </w:rPr>
      </w:pPr>
      <w:r w:rsidRPr="00A67360">
        <w:rPr>
          <w:b/>
          <w:bCs/>
          <w:lang w:val="fr-FR"/>
        </w:rPr>
        <w:t>Que contient cette notice ?</w:t>
      </w:r>
    </w:p>
    <w:p w14:paraId="2330CDF0" w14:textId="77777777" w:rsidR="004401F0" w:rsidRPr="007C119A" w:rsidRDefault="004401F0" w:rsidP="00BD4C7C">
      <w:pPr>
        <w:pStyle w:val="a3"/>
        <w:adjustRightInd w:val="0"/>
        <w:snapToGrid w:val="0"/>
        <w:rPr>
          <w:b/>
          <w:lang w:val="fr-FR"/>
        </w:rPr>
      </w:pPr>
    </w:p>
    <w:p w14:paraId="2259331A" w14:textId="10510EE1" w:rsidR="004401F0" w:rsidRPr="00DA7718" w:rsidRDefault="00BD4C7C" w:rsidP="00BD4C7C">
      <w:pPr>
        <w:adjustRightInd w:val="0"/>
        <w:snapToGrid w:val="0"/>
        <w:rPr>
          <w:lang w:val="fr-FR"/>
        </w:rPr>
      </w:pPr>
      <w:r w:rsidRPr="00DA7718">
        <w:rPr>
          <w:lang w:val="fr-FR"/>
        </w:rPr>
        <w:t>1.</w:t>
      </w:r>
      <w:r w:rsidRPr="00DA7718">
        <w:rPr>
          <w:lang w:val="fr-FR"/>
        </w:rPr>
        <w:tab/>
      </w:r>
      <w:r w:rsidR="00DF3C4F" w:rsidRPr="00DA7718">
        <w:rPr>
          <w:lang w:val="fr-FR"/>
        </w:rPr>
        <w:t xml:space="preserve">Qu'est-ce que </w:t>
      </w:r>
      <w:r w:rsidR="00F05208">
        <w:rPr>
          <w:lang w:val="fr-FR"/>
        </w:rPr>
        <w:t>Vegzelma</w:t>
      </w:r>
      <w:r w:rsidR="00184315" w:rsidRPr="00DA7718">
        <w:rPr>
          <w:lang w:val="fr-FR"/>
        </w:rPr>
        <w:t xml:space="preserve"> </w:t>
      </w:r>
      <w:r w:rsidR="00DF3C4F" w:rsidRPr="00DA7718">
        <w:rPr>
          <w:lang w:val="fr-FR"/>
        </w:rPr>
        <w:t>et dans quel cas est-il utilisé</w:t>
      </w:r>
    </w:p>
    <w:p w14:paraId="530A27CA" w14:textId="65D7836C" w:rsidR="004401F0" w:rsidRPr="00DA7718" w:rsidRDefault="00BD4C7C" w:rsidP="00BD4C7C">
      <w:pPr>
        <w:adjustRightInd w:val="0"/>
        <w:snapToGrid w:val="0"/>
        <w:rPr>
          <w:lang w:val="fr-FR"/>
        </w:rPr>
      </w:pPr>
      <w:r w:rsidRPr="00DA7718">
        <w:rPr>
          <w:lang w:val="fr-FR"/>
        </w:rPr>
        <w:t>2.</w:t>
      </w:r>
      <w:r w:rsidRPr="00DA7718">
        <w:rPr>
          <w:lang w:val="fr-FR"/>
        </w:rPr>
        <w:tab/>
      </w:r>
      <w:r w:rsidR="00DF3C4F" w:rsidRPr="00DA7718">
        <w:rPr>
          <w:lang w:val="fr-FR"/>
        </w:rPr>
        <w:t xml:space="preserve">Quelles sont les informations à connaître avant d'utiliser </w:t>
      </w:r>
      <w:r w:rsidR="00F05208">
        <w:rPr>
          <w:lang w:val="fr-FR"/>
        </w:rPr>
        <w:t>Vegzelma</w:t>
      </w:r>
    </w:p>
    <w:p w14:paraId="47A544D4" w14:textId="17D9C577" w:rsidR="004401F0" w:rsidRPr="00DA7718" w:rsidRDefault="00BD4C7C" w:rsidP="00BD4C7C">
      <w:pPr>
        <w:adjustRightInd w:val="0"/>
        <w:snapToGrid w:val="0"/>
        <w:rPr>
          <w:lang w:val="fr-FR"/>
        </w:rPr>
      </w:pPr>
      <w:r w:rsidRPr="00DA7718">
        <w:rPr>
          <w:lang w:val="fr-FR"/>
        </w:rPr>
        <w:t>3.</w:t>
      </w:r>
      <w:r w:rsidRPr="00DA7718">
        <w:rPr>
          <w:lang w:val="fr-FR"/>
        </w:rPr>
        <w:tab/>
      </w:r>
      <w:r w:rsidR="00DF3C4F" w:rsidRPr="00DA7718">
        <w:rPr>
          <w:lang w:val="fr-FR"/>
        </w:rPr>
        <w:t xml:space="preserve">Comment utiliser </w:t>
      </w:r>
      <w:r w:rsidR="00F05208">
        <w:rPr>
          <w:lang w:val="fr-FR"/>
        </w:rPr>
        <w:t>Vegzelma</w:t>
      </w:r>
    </w:p>
    <w:p w14:paraId="2A4E47B1" w14:textId="77777777" w:rsidR="004401F0" w:rsidRPr="00DA7718" w:rsidRDefault="00BD4C7C" w:rsidP="00BD4C7C">
      <w:pPr>
        <w:adjustRightInd w:val="0"/>
        <w:snapToGrid w:val="0"/>
        <w:rPr>
          <w:lang w:val="fr-FR"/>
        </w:rPr>
      </w:pPr>
      <w:r w:rsidRPr="00DA7718">
        <w:rPr>
          <w:lang w:val="fr-FR"/>
        </w:rPr>
        <w:t>4.</w:t>
      </w:r>
      <w:r w:rsidRPr="00DA7718">
        <w:rPr>
          <w:lang w:val="fr-FR"/>
        </w:rPr>
        <w:tab/>
      </w:r>
      <w:r w:rsidR="00DF3C4F" w:rsidRPr="00DA7718">
        <w:rPr>
          <w:lang w:val="fr-FR"/>
        </w:rPr>
        <w:t>Quels sont les effets indésirables éventuels</w:t>
      </w:r>
    </w:p>
    <w:p w14:paraId="18212081" w14:textId="18792A0B" w:rsidR="004401F0" w:rsidRPr="00DA7718" w:rsidRDefault="00BD4C7C" w:rsidP="00BD4C7C">
      <w:pPr>
        <w:adjustRightInd w:val="0"/>
        <w:snapToGrid w:val="0"/>
        <w:rPr>
          <w:lang w:val="fr-FR"/>
        </w:rPr>
      </w:pPr>
      <w:r w:rsidRPr="00DA7718">
        <w:rPr>
          <w:lang w:val="fr-FR"/>
        </w:rPr>
        <w:t>5.</w:t>
      </w:r>
      <w:r w:rsidRPr="00DA7718">
        <w:rPr>
          <w:lang w:val="fr-FR"/>
        </w:rPr>
        <w:tab/>
      </w:r>
      <w:r w:rsidR="00DF3C4F" w:rsidRPr="00DA7718">
        <w:rPr>
          <w:lang w:val="fr-FR"/>
        </w:rPr>
        <w:t xml:space="preserve">Comment conserver </w:t>
      </w:r>
      <w:r w:rsidR="00F05208">
        <w:rPr>
          <w:lang w:val="fr-FR"/>
        </w:rPr>
        <w:t>Vegzelma</w:t>
      </w:r>
    </w:p>
    <w:p w14:paraId="49E8A81D" w14:textId="77777777" w:rsidR="004401F0" w:rsidRPr="00DA7718" w:rsidRDefault="00BD4C7C" w:rsidP="00BD4C7C">
      <w:pPr>
        <w:adjustRightInd w:val="0"/>
        <w:snapToGrid w:val="0"/>
        <w:rPr>
          <w:lang w:val="fr-FR"/>
        </w:rPr>
      </w:pPr>
      <w:r w:rsidRPr="00DA7718">
        <w:rPr>
          <w:lang w:val="fr-FR"/>
        </w:rPr>
        <w:t>6.</w:t>
      </w:r>
      <w:r w:rsidRPr="00DA7718">
        <w:rPr>
          <w:lang w:val="fr-FR"/>
        </w:rPr>
        <w:tab/>
      </w:r>
      <w:r w:rsidR="00DF3C4F" w:rsidRPr="00DA7718">
        <w:rPr>
          <w:lang w:val="fr-FR"/>
        </w:rPr>
        <w:t>Contenu de l’emballage et autres informations</w:t>
      </w:r>
    </w:p>
    <w:p w14:paraId="7D8643A9" w14:textId="77777777" w:rsidR="004401F0" w:rsidRPr="00DB59CD" w:rsidRDefault="004401F0" w:rsidP="00BD4C7C">
      <w:pPr>
        <w:pStyle w:val="a3"/>
        <w:adjustRightInd w:val="0"/>
        <w:snapToGrid w:val="0"/>
        <w:rPr>
          <w:lang w:val="fr-FR"/>
        </w:rPr>
      </w:pPr>
    </w:p>
    <w:p w14:paraId="22DEB683" w14:textId="77777777" w:rsidR="004401F0" w:rsidRPr="00DA7718" w:rsidRDefault="004401F0" w:rsidP="00BD4C7C">
      <w:pPr>
        <w:pStyle w:val="a3"/>
        <w:adjustRightInd w:val="0"/>
        <w:snapToGrid w:val="0"/>
        <w:rPr>
          <w:sz w:val="20"/>
          <w:lang w:val="fr-FR"/>
        </w:rPr>
      </w:pPr>
    </w:p>
    <w:p w14:paraId="550C8CD7" w14:textId="7B4EAA3B" w:rsidR="004401F0" w:rsidRPr="00A67360" w:rsidRDefault="00BD4C7C" w:rsidP="00A67360">
      <w:pPr>
        <w:rPr>
          <w:b/>
          <w:bCs/>
          <w:lang w:val="fr-FR"/>
        </w:rPr>
      </w:pPr>
      <w:r w:rsidRPr="00A67360">
        <w:rPr>
          <w:b/>
          <w:bCs/>
          <w:lang w:val="fr-FR"/>
        </w:rPr>
        <w:t>1.</w:t>
      </w:r>
      <w:r w:rsidRPr="00A67360">
        <w:rPr>
          <w:b/>
          <w:bCs/>
          <w:lang w:val="fr-FR"/>
        </w:rPr>
        <w:tab/>
      </w:r>
      <w:r w:rsidR="00DF3C4F" w:rsidRPr="00A67360">
        <w:rPr>
          <w:b/>
          <w:bCs/>
          <w:lang w:val="fr-FR"/>
        </w:rPr>
        <w:t xml:space="preserve">Qu’est-ce que </w:t>
      </w:r>
      <w:r w:rsidR="00F05208" w:rsidRPr="00A67360">
        <w:rPr>
          <w:b/>
          <w:bCs/>
          <w:lang w:val="fr-FR"/>
        </w:rPr>
        <w:t>Vegzelma</w:t>
      </w:r>
      <w:r w:rsidR="00DF3C4F" w:rsidRPr="00A67360">
        <w:rPr>
          <w:b/>
          <w:bCs/>
          <w:lang w:val="fr-FR"/>
        </w:rPr>
        <w:t xml:space="preserve"> et dans quel cas est-il utilisé ?</w:t>
      </w:r>
    </w:p>
    <w:p w14:paraId="5D83F85C" w14:textId="77777777" w:rsidR="004401F0" w:rsidRPr="007C119A" w:rsidRDefault="004401F0" w:rsidP="00BD4C7C">
      <w:pPr>
        <w:pStyle w:val="a3"/>
        <w:adjustRightInd w:val="0"/>
        <w:snapToGrid w:val="0"/>
        <w:rPr>
          <w:b/>
          <w:lang w:val="fr-FR"/>
        </w:rPr>
      </w:pPr>
    </w:p>
    <w:p w14:paraId="2ADBBC9C" w14:textId="13E58928" w:rsidR="004401F0" w:rsidRPr="00DA7718" w:rsidRDefault="00DF3C4F" w:rsidP="00BD4C7C">
      <w:pPr>
        <w:pStyle w:val="a3"/>
        <w:adjustRightInd w:val="0"/>
        <w:snapToGrid w:val="0"/>
        <w:rPr>
          <w:lang w:val="fr-FR"/>
        </w:rPr>
      </w:pPr>
      <w:r w:rsidRPr="00DA7718">
        <w:rPr>
          <w:lang w:val="fr-FR"/>
        </w:rPr>
        <w:t xml:space="preserve">La substance active </w:t>
      </w:r>
      <w:r w:rsidR="00184315">
        <w:rPr>
          <w:lang w:val="fr-FR"/>
        </w:rPr>
        <w:t xml:space="preserve">de </w:t>
      </w:r>
      <w:r w:rsidR="00F05208">
        <w:rPr>
          <w:lang w:val="fr-FR"/>
        </w:rPr>
        <w:t>Vegzelma</w:t>
      </w:r>
      <w:r w:rsidR="00184315" w:rsidRPr="00DA7718">
        <w:rPr>
          <w:lang w:val="fr-FR"/>
        </w:rPr>
        <w:t xml:space="preserve"> </w:t>
      </w:r>
      <w:r w:rsidRPr="00DA7718">
        <w:rPr>
          <w:lang w:val="fr-FR"/>
        </w:rPr>
        <w:t>est un anticorps monoclonal humanisé (qui est un type de protéine normalement fabriqué par le système immunitaire pour aider l’organisme à se défendre contre les infections et les cancers), le bevacizumab. Le bevacizumab se lie sélectivement à une protéine appelée facteur de croissance endothélial vasculaire humain (VEGF) qui est présente dans le revêtement intérieur des vaisseaux sanguins et lymphatiques. La protéine VEGF induit la croissance des vaisseaux sanguins dans les tumeurs. Ces vaisseaux apportent l’oxygène et les nutriments nécessaires aux tumeurs. Dès que le bevacizumab se lie au VEGF, la croissance des tumeurs est inhibée en bloquant la formation de</w:t>
      </w:r>
      <w:r w:rsidR="00FF4FB3">
        <w:rPr>
          <w:lang w:val="fr-FR"/>
        </w:rPr>
        <w:t xml:space="preserve"> </w:t>
      </w:r>
      <w:r w:rsidRPr="00DA7718">
        <w:rPr>
          <w:lang w:val="fr-FR"/>
        </w:rPr>
        <w:t>néo-vaisseaux qui alimentent la tumeur en nutriments et en oxygène.</w:t>
      </w:r>
    </w:p>
    <w:p w14:paraId="4ADF88AF" w14:textId="77777777" w:rsidR="004401F0" w:rsidRPr="00DA7718" w:rsidRDefault="004401F0" w:rsidP="00BD4C7C">
      <w:pPr>
        <w:pStyle w:val="a3"/>
        <w:adjustRightInd w:val="0"/>
        <w:snapToGrid w:val="0"/>
        <w:rPr>
          <w:lang w:val="fr-FR"/>
        </w:rPr>
      </w:pPr>
    </w:p>
    <w:p w14:paraId="7C8B7D82" w14:textId="02A464C8"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est un médicament utilisé chez des patients adultes pour le traitement de cancers métastatiques du gros intestin, par exemple du côlon ou du rectum. </w:t>
      </w:r>
      <w:r>
        <w:rPr>
          <w:lang w:val="fr-FR"/>
        </w:rPr>
        <w:t>Vegzelma</w:t>
      </w:r>
      <w:r w:rsidR="00A867A9" w:rsidRPr="00DA7718">
        <w:rPr>
          <w:lang w:val="fr-FR"/>
        </w:rPr>
        <w:t xml:space="preserve"> </w:t>
      </w:r>
      <w:r w:rsidR="00DF3C4F" w:rsidRPr="00DA7718">
        <w:rPr>
          <w:lang w:val="fr-FR"/>
        </w:rPr>
        <w:t>sera administré en association avec une chimiothérapie contenant une fluoropyrimidine.</w:t>
      </w:r>
    </w:p>
    <w:p w14:paraId="0E5ADF90" w14:textId="77777777" w:rsidR="004401F0" w:rsidRPr="007C119A" w:rsidRDefault="004401F0" w:rsidP="00BD4C7C">
      <w:pPr>
        <w:pStyle w:val="a3"/>
        <w:adjustRightInd w:val="0"/>
        <w:snapToGrid w:val="0"/>
        <w:rPr>
          <w:lang w:val="fr-FR"/>
        </w:rPr>
      </w:pPr>
    </w:p>
    <w:p w14:paraId="4F3F4A30" w14:textId="5E8A8CCC"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est également utilisé chez des patients adultes pour le traitement de cancers métastatiques du sein. Dans le cancer du sein, </w:t>
      </w:r>
      <w:r>
        <w:rPr>
          <w:lang w:val="fr-FR"/>
        </w:rPr>
        <w:t>Vegzelma</w:t>
      </w:r>
      <w:r w:rsidR="00DF3C4F" w:rsidRPr="00DA7718">
        <w:rPr>
          <w:lang w:val="fr-FR"/>
        </w:rPr>
        <w:t xml:space="preserve"> sera administré avec une chimiothérapie de médicaments appelés paclitaxel ou capécitabine.</w:t>
      </w:r>
    </w:p>
    <w:p w14:paraId="4A0DFA17" w14:textId="77777777" w:rsidR="004401F0" w:rsidRPr="00DA7718" w:rsidRDefault="004401F0" w:rsidP="00BD4C7C">
      <w:pPr>
        <w:pStyle w:val="a3"/>
        <w:adjustRightInd w:val="0"/>
        <w:snapToGrid w:val="0"/>
        <w:rPr>
          <w:lang w:val="fr-FR"/>
        </w:rPr>
      </w:pPr>
    </w:p>
    <w:p w14:paraId="1540185A" w14:textId="65C8F241"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est également utilisé chez des patients adultes pour le traitement du cancer bronchique non à petites cellules avancé. </w:t>
      </w:r>
      <w:r>
        <w:rPr>
          <w:lang w:val="fr-FR"/>
        </w:rPr>
        <w:t>Vegzelma</w:t>
      </w:r>
      <w:r w:rsidR="00DF3C4F" w:rsidRPr="00DA7718">
        <w:rPr>
          <w:lang w:val="fr-FR"/>
        </w:rPr>
        <w:t xml:space="preserve"> sera administré avec une chimiothérapie contenant un sel de platine.</w:t>
      </w:r>
    </w:p>
    <w:p w14:paraId="56F2FFEC" w14:textId="77777777" w:rsidR="004401F0" w:rsidRPr="007C119A" w:rsidRDefault="004401F0" w:rsidP="00BD4C7C">
      <w:pPr>
        <w:pStyle w:val="a3"/>
        <w:adjustRightInd w:val="0"/>
        <w:snapToGrid w:val="0"/>
        <w:rPr>
          <w:lang w:val="fr-FR"/>
        </w:rPr>
      </w:pPr>
    </w:p>
    <w:p w14:paraId="4350E8A9" w14:textId="24C79BCA" w:rsidR="004401F0" w:rsidRDefault="00F05208" w:rsidP="00BD4C7C">
      <w:pPr>
        <w:pStyle w:val="a3"/>
        <w:adjustRightInd w:val="0"/>
        <w:snapToGrid w:val="0"/>
        <w:rPr>
          <w:rFonts w:eastAsia="맑은 고딕"/>
          <w:lang w:val="fr-FR" w:eastAsia="ko-KR"/>
        </w:rPr>
      </w:pPr>
      <w:r>
        <w:rPr>
          <w:lang w:val="fr-FR"/>
        </w:rPr>
        <w:t>Vegzelma</w:t>
      </w:r>
      <w:r w:rsidR="00DF3C4F" w:rsidRPr="00DA7718">
        <w:rPr>
          <w:lang w:val="fr-FR"/>
        </w:rPr>
        <w:t xml:space="preserve"> est également utilisé chez des patients adultes pour le traitement du cancer bronchique non à petites cellules avancé lorsque les cellules cancéreuses présentent une mutation spécifique d’une protéine appelée EGFR (Epidermal Growth Factor Receptor). </w:t>
      </w:r>
      <w:r>
        <w:rPr>
          <w:lang w:val="fr-FR"/>
        </w:rPr>
        <w:t>Vegzelma</w:t>
      </w:r>
      <w:r w:rsidR="00DF3C4F" w:rsidRPr="00DA7718">
        <w:rPr>
          <w:lang w:val="fr-FR"/>
        </w:rPr>
        <w:t xml:space="preserve"> sera administré en association à l’erlotinib.</w:t>
      </w:r>
    </w:p>
    <w:p w14:paraId="4F22C1E4" w14:textId="77777777" w:rsidR="000D7348" w:rsidRPr="000D7348" w:rsidRDefault="000D7348" w:rsidP="000D7348">
      <w:pPr>
        <w:pStyle w:val="a3"/>
        <w:widowControl/>
        <w:adjustRightInd w:val="0"/>
        <w:snapToGrid w:val="0"/>
        <w:rPr>
          <w:rFonts w:eastAsia="맑은 고딕" w:hint="eastAsia"/>
          <w:lang w:val="fr-FR" w:eastAsia="ko-KR"/>
        </w:rPr>
      </w:pPr>
    </w:p>
    <w:p w14:paraId="501174BC" w14:textId="4330D600" w:rsidR="004401F0" w:rsidRPr="00DA7718" w:rsidRDefault="00F05208" w:rsidP="000D7348">
      <w:pPr>
        <w:pStyle w:val="a3"/>
        <w:widowControl/>
        <w:adjustRightInd w:val="0"/>
        <w:snapToGrid w:val="0"/>
        <w:rPr>
          <w:lang w:val="fr-FR"/>
        </w:rPr>
      </w:pPr>
      <w:r>
        <w:rPr>
          <w:lang w:val="fr-FR"/>
        </w:rPr>
        <w:lastRenderedPageBreak/>
        <w:t>Vegzelma</w:t>
      </w:r>
      <w:r w:rsidR="00DF3C4F" w:rsidRPr="00DA7718">
        <w:rPr>
          <w:lang w:val="fr-FR"/>
        </w:rPr>
        <w:t xml:space="preserve"> est également utilisé chez des patients adultes pour le traitement du cancer du rein avancé. Dans le cancer du rein, </w:t>
      </w:r>
      <w:r>
        <w:rPr>
          <w:lang w:val="fr-FR"/>
        </w:rPr>
        <w:t>Vegzelma</w:t>
      </w:r>
      <w:r w:rsidR="00DF3C4F" w:rsidRPr="00DA7718">
        <w:rPr>
          <w:lang w:val="fr-FR"/>
        </w:rPr>
        <w:t xml:space="preserve"> sera administré avec un autre médicament appelé interféron.</w:t>
      </w:r>
    </w:p>
    <w:p w14:paraId="48B83E97" w14:textId="77777777" w:rsidR="004401F0" w:rsidRPr="007C119A" w:rsidRDefault="004401F0" w:rsidP="00BD4C7C">
      <w:pPr>
        <w:pStyle w:val="a3"/>
        <w:adjustRightInd w:val="0"/>
        <w:snapToGrid w:val="0"/>
        <w:rPr>
          <w:lang w:val="fr-FR"/>
        </w:rPr>
      </w:pPr>
    </w:p>
    <w:p w14:paraId="5F460F14" w14:textId="438E97B0"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est également utilisé chez des patients adultes pour le traitement des stades avancés du cancer épithélial de l’ovaire, des trompes de Fallope ou péritonéal primitif. En cas d’utilisation chez des patientes atteintes d’un cancer épithélial de l’ovaire, des trompes de Fallope ou péritonéal primitif, il sera administré en association avec du carboplatine et du paclitaxel.</w:t>
      </w:r>
    </w:p>
    <w:p w14:paraId="1DBD6582" w14:textId="77777777" w:rsidR="00BD4C7C" w:rsidRPr="00DA7718" w:rsidRDefault="00BD4C7C" w:rsidP="00BD4C7C">
      <w:pPr>
        <w:adjustRightInd w:val="0"/>
        <w:snapToGrid w:val="0"/>
        <w:rPr>
          <w:lang w:val="fr-FR"/>
        </w:rPr>
      </w:pPr>
    </w:p>
    <w:p w14:paraId="05EBEDA5" w14:textId="505E2509" w:rsidR="004401F0" w:rsidRPr="00DA7718" w:rsidRDefault="00DF3C4F" w:rsidP="00BD4C7C">
      <w:pPr>
        <w:pStyle w:val="a3"/>
        <w:adjustRightInd w:val="0"/>
        <w:snapToGrid w:val="0"/>
        <w:rPr>
          <w:lang w:val="fr-FR"/>
        </w:rPr>
      </w:pPr>
      <w:r w:rsidRPr="00DA7718">
        <w:rPr>
          <w:lang w:val="fr-FR"/>
        </w:rPr>
        <w:t xml:space="preserve">Lorsqu’il est utilisé pour ces patientes adultes ayant un cancer épithélial de l’ovaire, des trompes de Fallope ou péritonéal primitif, à un stade avancé, dont la maladie est revenue après au moins 6 mois après qu’elles aient reçu leur dernier traitement de chimiothérapie contenant un sel de platine, </w:t>
      </w:r>
      <w:r w:rsidR="00F05208">
        <w:rPr>
          <w:lang w:val="fr-FR"/>
        </w:rPr>
        <w:t>Vegzelma</w:t>
      </w:r>
      <w:r w:rsidRPr="00DA7718">
        <w:rPr>
          <w:lang w:val="fr-FR"/>
        </w:rPr>
        <w:t xml:space="preserve"> sera administré en association au carboplatine et à la gemcitabine ou au carboplatine et au paclitaxel.</w:t>
      </w:r>
    </w:p>
    <w:p w14:paraId="47087602" w14:textId="77777777" w:rsidR="004401F0" w:rsidRPr="007C119A" w:rsidRDefault="004401F0" w:rsidP="00BD4C7C">
      <w:pPr>
        <w:pStyle w:val="a3"/>
        <w:adjustRightInd w:val="0"/>
        <w:snapToGrid w:val="0"/>
        <w:rPr>
          <w:lang w:val="fr-FR"/>
        </w:rPr>
      </w:pPr>
    </w:p>
    <w:p w14:paraId="2AA404DE" w14:textId="46BFABE7" w:rsidR="004401F0" w:rsidRPr="00DA7718" w:rsidRDefault="00DF3C4F" w:rsidP="00BD4C7C">
      <w:pPr>
        <w:pStyle w:val="a3"/>
        <w:adjustRightInd w:val="0"/>
        <w:snapToGrid w:val="0"/>
        <w:rPr>
          <w:lang w:val="fr-FR"/>
        </w:rPr>
      </w:pPr>
      <w:r w:rsidRPr="00DA7718">
        <w:rPr>
          <w:lang w:val="fr-FR"/>
        </w:rPr>
        <w:t xml:space="preserve">Lorsqu’il est utilisé pour ces patientes adultes ayant un cancer épithélial de l’ovaire, des trompes de Fallope ou péritonéal primitif, à un stade avancé, dont la maladie est revenue dans les 6 mois après qu’elles aient reçu leur dernier traitement de chimiothérapie contenant un sel de platine, </w:t>
      </w:r>
      <w:r w:rsidR="00F05208">
        <w:rPr>
          <w:lang w:val="fr-FR"/>
        </w:rPr>
        <w:t>Vegzelma</w:t>
      </w:r>
      <w:r w:rsidRPr="00DA7718">
        <w:rPr>
          <w:lang w:val="fr-FR"/>
        </w:rPr>
        <w:t xml:space="preserve"> sera administré en association au paclitaxel, au topotécan, ou à la doxorubicine liposomale pegylée.</w:t>
      </w:r>
    </w:p>
    <w:p w14:paraId="715B7FD4" w14:textId="77777777" w:rsidR="004401F0" w:rsidRPr="00DA7718" w:rsidRDefault="004401F0" w:rsidP="00BD4C7C">
      <w:pPr>
        <w:pStyle w:val="a3"/>
        <w:adjustRightInd w:val="0"/>
        <w:snapToGrid w:val="0"/>
        <w:rPr>
          <w:lang w:val="fr-FR"/>
        </w:rPr>
      </w:pPr>
    </w:p>
    <w:p w14:paraId="5E43D748" w14:textId="27F4177D"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est également utilisé pour le traitement des patientes adultes atteintes d’un cancer du col de l’utérus persistant, en rechute ou métastatique. </w:t>
      </w:r>
      <w:r>
        <w:rPr>
          <w:lang w:val="fr-FR"/>
        </w:rPr>
        <w:t>Vegzelma</w:t>
      </w:r>
      <w:r w:rsidR="00DF3C4F" w:rsidRPr="00DA7718">
        <w:rPr>
          <w:lang w:val="fr-FR"/>
        </w:rPr>
        <w:t xml:space="preserve"> sera administré en association au paclitaxel et au cisplatine, ou au paclitaxel et au topotécan pour les patientes ne pouvant recevoir de chimiothérapie à base de sels de platine.</w:t>
      </w:r>
    </w:p>
    <w:p w14:paraId="6BA6DB51" w14:textId="77777777" w:rsidR="004401F0" w:rsidRPr="00DB59CD" w:rsidRDefault="004401F0" w:rsidP="00BD4C7C">
      <w:pPr>
        <w:pStyle w:val="a3"/>
        <w:adjustRightInd w:val="0"/>
        <w:snapToGrid w:val="0"/>
        <w:rPr>
          <w:lang w:val="fr-FR"/>
        </w:rPr>
      </w:pPr>
    </w:p>
    <w:p w14:paraId="7B389D6C" w14:textId="77777777" w:rsidR="004401F0" w:rsidRPr="00DA7718" w:rsidRDefault="004401F0" w:rsidP="00BD4C7C">
      <w:pPr>
        <w:pStyle w:val="a3"/>
        <w:adjustRightInd w:val="0"/>
        <w:snapToGrid w:val="0"/>
        <w:rPr>
          <w:sz w:val="20"/>
          <w:lang w:val="fr-FR"/>
        </w:rPr>
      </w:pPr>
    </w:p>
    <w:p w14:paraId="45FC20C2" w14:textId="5A35E53C" w:rsidR="004401F0" w:rsidRPr="00A67360" w:rsidRDefault="00BD4C7C" w:rsidP="00A67360">
      <w:pPr>
        <w:rPr>
          <w:b/>
          <w:bCs/>
          <w:lang w:val="fr-FR"/>
        </w:rPr>
      </w:pPr>
      <w:r w:rsidRPr="00A67360">
        <w:rPr>
          <w:b/>
          <w:bCs/>
          <w:lang w:val="fr-FR"/>
        </w:rPr>
        <w:t>2.</w:t>
      </w:r>
      <w:r w:rsidRPr="00A67360">
        <w:rPr>
          <w:b/>
          <w:bCs/>
          <w:lang w:val="fr-FR"/>
        </w:rPr>
        <w:tab/>
      </w:r>
      <w:r w:rsidR="00DF3C4F" w:rsidRPr="00A67360">
        <w:rPr>
          <w:b/>
          <w:bCs/>
          <w:lang w:val="fr-FR"/>
        </w:rPr>
        <w:t xml:space="preserve">Quelles sont les informations à connaître avant d’utiliser </w:t>
      </w:r>
      <w:r w:rsidR="00F05208" w:rsidRPr="00A67360">
        <w:rPr>
          <w:b/>
          <w:bCs/>
          <w:lang w:val="fr-FR"/>
        </w:rPr>
        <w:t>Vegzelma</w:t>
      </w:r>
      <w:r w:rsidR="00DF3C4F" w:rsidRPr="00A67360">
        <w:rPr>
          <w:b/>
          <w:bCs/>
          <w:lang w:val="fr-FR"/>
        </w:rPr>
        <w:t xml:space="preserve"> ?</w:t>
      </w:r>
    </w:p>
    <w:p w14:paraId="74819B4C" w14:textId="77777777" w:rsidR="004401F0" w:rsidRPr="007C119A" w:rsidRDefault="004401F0" w:rsidP="00BD4C7C">
      <w:pPr>
        <w:pStyle w:val="a3"/>
        <w:adjustRightInd w:val="0"/>
        <w:snapToGrid w:val="0"/>
        <w:rPr>
          <w:b/>
          <w:lang w:val="fr-FR"/>
        </w:rPr>
      </w:pPr>
    </w:p>
    <w:p w14:paraId="2B2FB73C" w14:textId="60A80BEE" w:rsidR="004401F0" w:rsidRPr="00DA7718" w:rsidRDefault="00DF3C4F" w:rsidP="00BD4C7C">
      <w:pPr>
        <w:adjustRightInd w:val="0"/>
        <w:snapToGrid w:val="0"/>
        <w:rPr>
          <w:b/>
          <w:lang w:val="fr-FR"/>
        </w:rPr>
      </w:pPr>
      <w:r w:rsidRPr="00DA7718">
        <w:rPr>
          <w:b/>
          <w:lang w:val="fr-FR"/>
        </w:rPr>
        <w:t xml:space="preserve">Ne prenez jamais </w:t>
      </w:r>
      <w:r w:rsidR="00F05208">
        <w:rPr>
          <w:b/>
          <w:bCs/>
          <w:lang w:val="fr-FR"/>
        </w:rPr>
        <w:t>Vegzelma</w:t>
      </w:r>
    </w:p>
    <w:p w14:paraId="60953FC1" w14:textId="75A4858D"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Si vous êtes allergique (hypersensible) au bevacizumab ou à l’un des autres composants contenus dans ce médicament mentionné dans la rubrique 6.</w:t>
      </w:r>
    </w:p>
    <w:p w14:paraId="58BBA97A" w14:textId="43A46144"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Si vous êtes allergique (hypersensible) à un produit obtenu à partir de cellules ovariennes de hamster chinois (CHO) ou à un autre anticorps recombinant humain ou humanisé.</w:t>
      </w:r>
    </w:p>
    <w:p w14:paraId="32618969" w14:textId="14344F0A"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Si vous êtes enceinte.</w:t>
      </w:r>
    </w:p>
    <w:p w14:paraId="62E13DAF" w14:textId="77777777" w:rsidR="004401F0" w:rsidRPr="007C119A" w:rsidRDefault="004401F0" w:rsidP="00BD4C7C">
      <w:pPr>
        <w:pStyle w:val="a3"/>
        <w:adjustRightInd w:val="0"/>
        <w:snapToGrid w:val="0"/>
        <w:rPr>
          <w:lang w:val="fr-FR"/>
        </w:rPr>
      </w:pPr>
    </w:p>
    <w:p w14:paraId="760859C8" w14:textId="5CAD6430" w:rsidR="004401F0" w:rsidRPr="00A67360" w:rsidRDefault="00385B2B" w:rsidP="00A67360">
      <w:pPr>
        <w:rPr>
          <w:b/>
          <w:bCs/>
          <w:lang w:val="fr-FR"/>
        </w:rPr>
      </w:pPr>
      <w:r w:rsidRPr="00A67360">
        <w:rPr>
          <w:b/>
          <w:bCs/>
          <w:lang w:val="fr-FR"/>
        </w:rPr>
        <w:t xml:space="preserve">Avertissements </w:t>
      </w:r>
      <w:r w:rsidR="00DF3C4F" w:rsidRPr="00A67360">
        <w:rPr>
          <w:b/>
          <w:bCs/>
          <w:lang w:val="fr-FR"/>
        </w:rPr>
        <w:t>et précautions</w:t>
      </w:r>
    </w:p>
    <w:p w14:paraId="39694D7C" w14:textId="29DEA133" w:rsidR="004401F0" w:rsidRPr="00DA7718" w:rsidRDefault="00DF3C4F" w:rsidP="00BD4C7C">
      <w:pPr>
        <w:pStyle w:val="a3"/>
        <w:adjustRightInd w:val="0"/>
        <w:snapToGrid w:val="0"/>
        <w:rPr>
          <w:lang w:val="fr-FR"/>
        </w:rPr>
      </w:pPr>
      <w:r w:rsidRPr="00DA7718">
        <w:rPr>
          <w:lang w:val="fr-FR"/>
        </w:rPr>
        <w:t xml:space="preserve">Adressez-vous à votre médecin, pharmacien ou votre infirmier/ère avant d’utiliser </w:t>
      </w:r>
      <w:r w:rsidR="00F05208">
        <w:rPr>
          <w:lang w:val="fr-FR"/>
        </w:rPr>
        <w:t>Vegzelma</w:t>
      </w:r>
      <w:r w:rsidRPr="00DA7718">
        <w:rPr>
          <w:lang w:val="fr-FR"/>
        </w:rPr>
        <w:t xml:space="preserve"> :</w:t>
      </w:r>
    </w:p>
    <w:p w14:paraId="17CE6365" w14:textId="77777777" w:rsidR="004401F0" w:rsidRPr="007C119A" w:rsidRDefault="004401F0" w:rsidP="00BD4C7C">
      <w:pPr>
        <w:pStyle w:val="a3"/>
        <w:adjustRightInd w:val="0"/>
        <w:snapToGrid w:val="0"/>
        <w:rPr>
          <w:lang w:val="fr-FR"/>
        </w:rPr>
      </w:pPr>
    </w:p>
    <w:p w14:paraId="63C7C8E5" w14:textId="5CDADF0B"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 xml:space="preserve">Il est possible </w:t>
      </w:r>
      <w:r w:rsidR="00904AF9">
        <w:rPr>
          <w:lang w:val="fr-FR"/>
        </w:rPr>
        <w:t xml:space="preserve">que </w:t>
      </w:r>
      <w:r w:rsidR="00F05208">
        <w:rPr>
          <w:lang w:val="fr-FR"/>
        </w:rPr>
        <w:t>Vegzelma</w:t>
      </w:r>
      <w:r w:rsidR="00904AF9" w:rsidRPr="00DA7718">
        <w:rPr>
          <w:lang w:val="fr-FR"/>
        </w:rPr>
        <w:t xml:space="preserve"> </w:t>
      </w:r>
      <w:r w:rsidR="00DF3C4F" w:rsidRPr="00DA7718">
        <w:rPr>
          <w:lang w:val="fr-FR"/>
        </w:rPr>
        <w:t>puisse accroître le risque de perforation de l’intestin. Si vous avez des maladies pouvant être à l’origine d’une inflammation abdominale (par exemple diverticulite, ulcère de l’estomac, colite associée à une chimiothérapie), parlez-en à votre médecin.</w:t>
      </w:r>
    </w:p>
    <w:p w14:paraId="0272E3AB" w14:textId="77777777" w:rsidR="004401F0" w:rsidRPr="00DA7718" w:rsidRDefault="004401F0" w:rsidP="00310AF1">
      <w:pPr>
        <w:pStyle w:val="a3"/>
        <w:adjustRightInd w:val="0"/>
        <w:snapToGrid w:val="0"/>
        <w:ind w:left="567" w:hanging="567"/>
        <w:rPr>
          <w:lang w:val="fr-FR"/>
        </w:rPr>
      </w:pPr>
    </w:p>
    <w:p w14:paraId="0C94CEDF" w14:textId="53AB87B4"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F05208">
        <w:rPr>
          <w:lang w:val="fr-FR"/>
        </w:rPr>
        <w:t>Vegzelma</w:t>
      </w:r>
      <w:r w:rsidR="00DF3C4F" w:rsidRPr="00DA7718">
        <w:rPr>
          <w:lang w:val="fr-FR"/>
        </w:rPr>
        <w:t xml:space="preserve"> pourrait augmenter le risque de développer une communication anormale ou un passage entre deux organes et entre des vaisseaux. Le risque de développer des communications entre le vagin et une partie de l’intestin peut augmenter si vous avez un cancer du col de l’utérus persistant, en rechute ou métastatique.</w:t>
      </w:r>
    </w:p>
    <w:p w14:paraId="43D0F9E2" w14:textId="77777777" w:rsidR="004401F0" w:rsidRPr="00DA7718" w:rsidRDefault="004401F0" w:rsidP="00310AF1">
      <w:pPr>
        <w:pStyle w:val="a3"/>
        <w:adjustRightInd w:val="0"/>
        <w:snapToGrid w:val="0"/>
        <w:ind w:left="567" w:hanging="567"/>
        <w:rPr>
          <w:lang w:val="fr-FR"/>
        </w:rPr>
      </w:pPr>
    </w:p>
    <w:p w14:paraId="430F3EC4" w14:textId="7681F501"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F05208">
        <w:rPr>
          <w:lang w:val="fr-FR"/>
        </w:rPr>
        <w:t>Vegzelma</w:t>
      </w:r>
      <w:r w:rsidR="00DF3C4F" w:rsidRPr="00DA7718">
        <w:rPr>
          <w:lang w:val="fr-FR"/>
        </w:rPr>
        <w:t xml:space="preserve"> peut augmenter le risque de saignement ou perturber la cicatrisation des plaies après une intervention chirurgicale. Si une opération est planifiée, si vous avez eu une intervention chirurgicale majeure au cours des derniers 28 jours ou si vous avez encore une plaie chirurgicale non cicatrisée, vous ne devez pas recevoir ce médicament.</w:t>
      </w:r>
    </w:p>
    <w:p w14:paraId="3AE7B06F" w14:textId="77777777" w:rsidR="004401F0" w:rsidRPr="007C119A" w:rsidRDefault="004401F0" w:rsidP="00310AF1">
      <w:pPr>
        <w:pStyle w:val="a3"/>
        <w:adjustRightInd w:val="0"/>
        <w:snapToGrid w:val="0"/>
        <w:ind w:left="567" w:hanging="567"/>
        <w:rPr>
          <w:lang w:val="fr-FR"/>
        </w:rPr>
      </w:pPr>
    </w:p>
    <w:p w14:paraId="656853E2" w14:textId="72A127CA"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F05208">
        <w:rPr>
          <w:lang w:val="fr-FR"/>
        </w:rPr>
        <w:t>Vegzelma</w:t>
      </w:r>
      <w:r w:rsidR="00DF3C4F" w:rsidRPr="00DA7718">
        <w:rPr>
          <w:lang w:val="fr-FR"/>
        </w:rPr>
        <w:t xml:space="preserve"> pourrait augmenter le risque de développer des infections graves de la peau ou des couches plus profondes sous la peau, en particulier si vous avez eu une perforation de l’intestin ou des problèmes de cicatrisation des plaies.</w:t>
      </w:r>
    </w:p>
    <w:p w14:paraId="6E6702D4" w14:textId="77777777" w:rsidR="004401F0" w:rsidRPr="00DA7718" w:rsidRDefault="004401F0" w:rsidP="00310AF1">
      <w:pPr>
        <w:pStyle w:val="a3"/>
        <w:adjustRightInd w:val="0"/>
        <w:snapToGrid w:val="0"/>
        <w:ind w:left="567" w:hanging="567"/>
        <w:rPr>
          <w:lang w:val="fr-FR"/>
        </w:rPr>
      </w:pPr>
    </w:p>
    <w:p w14:paraId="00E47748" w14:textId="759AA835"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F05208">
        <w:rPr>
          <w:lang w:val="fr-FR"/>
        </w:rPr>
        <w:t>Vegzelma</w:t>
      </w:r>
      <w:r w:rsidR="00DF3C4F" w:rsidRPr="00DA7718">
        <w:rPr>
          <w:lang w:val="fr-FR"/>
        </w:rPr>
        <w:t xml:space="preserve"> peut accroître l’incidence de l’hypertension artérielle. Si vous avez une hypertension artérielle mal contrôlée par les médicaments anti-hypertenseurs, parlez-en à votre médecin car il </w:t>
      </w:r>
      <w:r w:rsidR="00DF3C4F" w:rsidRPr="00DA7718">
        <w:rPr>
          <w:lang w:val="fr-FR"/>
        </w:rPr>
        <w:lastRenderedPageBreak/>
        <w:t xml:space="preserve">est important de s’assurer que votre tension artérielle est bien contrôlée avant de débuter un traitement par </w:t>
      </w:r>
      <w:r w:rsidR="00F05208">
        <w:rPr>
          <w:lang w:val="fr-FR"/>
        </w:rPr>
        <w:t>Vegzelma</w:t>
      </w:r>
      <w:r w:rsidR="00DF3C4F" w:rsidRPr="00DA7718">
        <w:rPr>
          <w:lang w:val="fr-FR"/>
        </w:rPr>
        <w:t>.</w:t>
      </w:r>
    </w:p>
    <w:p w14:paraId="57C0A6CC" w14:textId="77777777" w:rsidR="004401F0" w:rsidRPr="00DA7718" w:rsidRDefault="004401F0" w:rsidP="00310AF1">
      <w:pPr>
        <w:pStyle w:val="a3"/>
        <w:adjustRightInd w:val="0"/>
        <w:snapToGrid w:val="0"/>
        <w:ind w:left="567" w:hanging="567"/>
        <w:rPr>
          <w:lang w:val="fr-FR"/>
        </w:rPr>
      </w:pPr>
    </w:p>
    <w:p w14:paraId="14CBCF4F" w14:textId="0445220D"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Si vous souffrez ou avez souffert d’un anévrisme (élargissement et affaiblissement de la paroi d’un vaisseau sanguin) ou d’une déchirure dans la paroi d’un vaisseau sanguin.</w:t>
      </w:r>
    </w:p>
    <w:p w14:paraId="69DCB78E" w14:textId="77777777" w:rsidR="004401F0" w:rsidRPr="00DA7718" w:rsidRDefault="004401F0" w:rsidP="00310AF1">
      <w:pPr>
        <w:pStyle w:val="a3"/>
        <w:adjustRightInd w:val="0"/>
        <w:snapToGrid w:val="0"/>
        <w:ind w:left="567" w:hanging="567"/>
        <w:rPr>
          <w:lang w:val="fr-FR"/>
        </w:rPr>
      </w:pPr>
    </w:p>
    <w:p w14:paraId="537AA2B8" w14:textId="4933EDB1"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F05208">
        <w:rPr>
          <w:lang w:val="fr-FR"/>
        </w:rPr>
        <w:t>Vegzelma</w:t>
      </w:r>
      <w:r w:rsidR="00DF3C4F" w:rsidRPr="00DA7718">
        <w:rPr>
          <w:lang w:val="fr-FR"/>
        </w:rPr>
        <w:t xml:space="preserve"> augmente le risque de présence de protéines dans vos urines, particulièrement si vous avez déjà une hypertension artérielle.</w:t>
      </w:r>
    </w:p>
    <w:p w14:paraId="22C14869" w14:textId="77777777" w:rsidR="00BD4C7C" w:rsidRPr="00DA7718" w:rsidRDefault="00BD4C7C" w:rsidP="00310AF1">
      <w:pPr>
        <w:adjustRightInd w:val="0"/>
        <w:snapToGrid w:val="0"/>
        <w:ind w:left="567" w:hanging="567"/>
        <w:rPr>
          <w:lang w:val="fr-FR"/>
        </w:rPr>
      </w:pPr>
    </w:p>
    <w:p w14:paraId="6C039645" w14:textId="70840018"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Le risque de développer des caillots sanguins dans vos artères (un type de vaisseau sanguin) peut augmenter si vous avez plus de 65 ans, si vous êtes atteints de diabète ou si vous avez eu précédemment des caillots sanguins dans vos artères. Parlez-en à votre médecin, les caillots sanguins pouvant entraîner une attaque cardiaque ou un accident vasculaire cérébral.</w:t>
      </w:r>
    </w:p>
    <w:p w14:paraId="60A8C2C2" w14:textId="77777777" w:rsidR="004401F0" w:rsidRPr="007C119A" w:rsidRDefault="004401F0" w:rsidP="00310AF1">
      <w:pPr>
        <w:pStyle w:val="a3"/>
        <w:adjustRightInd w:val="0"/>
        <w:snapToGrid w:val="0"/>
        <w:ind w:left="567" w:hanging="567"/>
        <w:rPr>
          <w:lang w:val="fr-FR"/>
        </w:rPr>
      </w:pPr>
    </w:p>
    <w:p w14:paraId="454489AF" w14:textId="683283A1"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F05208">
        <w:rPr>
          <w:lang w:val="fr-FR"/>
        </w:rPr>
        <w:t>Vegzelma</w:t>
      </w:r>
      <w:r w:rsidR="00DF3C4F" w:rsidRPr="00DA7718">
        <w:rPr>
          <w:lang w:val="fr-FR"/>
        </w:rPr>
        <w:t xml:space="preserve"> peut également augmenter le risque de développer des caillots sanguins dans vos veines (un type de vaisseau sanguin).</w:t>
      </w:r>
    </w:p>
    <w:p w14:paraId="7162C60E" w14:textId="77777777" w:rsidR="004401F0" w:rsidRPr="007C119A" w:rsidRDefault="004401F0" w:rsidP="00310AF1">
      <w:pPr>
        <w:pStyle w:val="a3"/>
        <w:adjustRightInd w:val="0"/>
        <w:snapToGrid w:val="0"/>
        <w:ind w:left="567" w:hanging="567"/>
        <w:rPr>
          <w:lang w:val="fr-FR"/>
        </w:rPr>
      </w:pPr>
    </w:p>
    <w:p w14:paraId="7554EBDD" w14:textId="5DC8317D"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Ce médicament peut entraîner des saignements, particulièrement des saignements liés à la tumeur. Consultez votre médecin si vous ou votre famille avez tendance à souffrir de problèmes hémorragiques ou si vous prenez des médicaments fluidifiant le sang pour n’importe quelle raison.</w:t>
      </w:r>
    </w:p>
    <w:p w14:paraId="55E962F6" w14:textId="77777777" w:rsidR="004401F0" w:rsidRPr="00DA7718" w:rsidRDefault="004401F0" w:rsidP="00310AF1">
      <w:pPr>
        <w:pStyle w:val="a3"/>
        <w:adjustRightInd w:val="0"/>
        <w:snapToGrid w:val="0"/>
        <w:ind w:left="567" w:hanging="567"/>
        <w:rPr>
          <w:lang w:val="fr-FR"/>
        </w:rPr>
      </w:pPr>
    </w:p>
    <w:p w14:paraId="758663EF" w14:textId="74F099A4"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 xml:space="preserve">Il est possible </w:t>
      </w:r>
      <w:r w:rsidR="00904AF9">
        <w:rPr>
          <w:lang w:val="fr-FR"/>
        </w:rPr>
        <w:t xml:space="preserve">que </w:t>
      </w:r>
      <w:r w:rsidR="00F05208">
        <w:rPr>
          <w:lang w:val="fr-FR"/>
        </w:rPr>
        <w:t>Vegzelma</w:t>
      </w:r>
      <w:r w:rsidR="00904AF9" w:rsidRPr="00DA7718">
        <w:rPr>
          <w:lang w:val="fr-FR"/>
        </w:rPr>
        <w:t xml:space="preserve"> </w:t>
      </w:r>
      <w:r w:rsidR="00DF3C4F" w:rsidRPr="00DA7718">
        <w:rPr>
          <w:lang w:val="fr-FR"/>
        </w:rPr>
        <w:t>puisse entraîner un saignement dans votre cerveau et autour. Parlez-en à votre médecin si vous avez un cancer métastatique affectant le cerveau.</w:t>
      </w:r>
    </w:p>
    <w:p w14:paraId="3FB4CF98" w14:textId="77777777" w:rsidR="004401F0" w:rsidRPr="007C119A" w:rsidRDefault="004401F0" w:rsidP="00310AF1">
      <w:pPr>
        <w:pStyle w:val="a3"/>
        <w:adjustRightInd w:val="0"/>
        <w:snapToGrid w:val="0"/>
        <w:ind w:left="567" w:hanging="567"/>
        <w:rPr>
          <w:lang w:val="fr-FR"/>
        </w:rPr>
      </w:pPr>
    </w:p>
    <w:p w14:paraId="168CD928" w14:textId="4D4326D5"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 xml:space="preserve">Il est possible </w:t>
      </w:r>
      <w:r w:rsidR="00904AF9">
        <w:rPr>
          <w:lang w:val="fr-FR"/>
        </w:rPr>
        <w:t xml:space="preserve">que </w:t>
      </w:r>
      <w:r w:rsidR="00F05208">
        <w:rPr>
          <w:lang w:val="fr-FR"/>
        </w:rPr>
        <w:t>Vegzelma</w:t>
      </w:r>
      <w:r w:rsidR="00904AF9" w:rsidRPr="00DA7718">
        <w:rPr>
          <w:lang w:val="fr-FR"/>
        </w:rPr>
        <w:t xml:space="preserve"> </w:t>
      </w:r>
      <w:r w:rsidR="00DF3C4F" w:rsidRPr="00DA7718">
        <w:rPr>
          <w:lang w:val="fr-FR"/>
        </w:rPr>
        <w:t>augmente le risque d’un saignement dans vos poumons, comprenant une toux ou un crachat de sang. Parlez-en à votre médecin si vous avez déjà identifié cela.</w:t>
      </w:r>
    </w:p>
    <w:p w14:paraId="34738C54" w14:textId="77777777" w:rsidR="004401F0" w:rsidRPr="007C119A" w:rsidRDefault="004401F0" w:rsidP="00310AF1">
      <w:pPr>
        <w:pStyle w:val="a3"/>
        <w:adjustRightInd w:val="0"/>
        <w:snapToGrid w:val="0"/>
        <w:ind w:left="567" w:hanging="567"/>
        <w:rPr>
          <w:lang w:val="fr-FR"/>
        </w:rPr>
      </w:pPr>
    </w:p>
    <w:p w14:paraId="4FDB4037" w14:textId="243595C4"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F05208">
        <w:rPr>
          <w:lang w:val="fr-FR"/>
        </w:rPr>
        <w:t>Vegzelma</w:t>
      </w:r>
      <w:r w:rsidR="00DF3C4F" w:rsidRPr="00DA7718">
        <w:rPr>
          <w:lang w:val="fr-FR"/>
        </w:rPr>
        <w:t xml:space="preserve"> peut augmenter le risque de développer une insuffisance cardiaque. Il est important que votre médecin sache si vous avez déjà reçu des anthracyclines (par exemple de la doxorubicine, un type spécifique de chimiothérapie utilisé pour traiter certains cancers) ou une radiothérapie du thorax, ou si vous avez une maladie cardiaque.</w:t>
      </w:r>
    </w:p>
    <w:p w14:paraId="293B65AF" w14:textId="77777777" w:rsidR="004401F0" w:rsidRPr="00DA7718" w:rsidRDefault="004401F0" w:rsidP="00310AF1">
      <w:pPr>
        <w:pStyle w:val="a3"/>
        <w:adjustRightInd w:val="0"/>
        <w:snapToGrid w:val="0"/>
        <w:ind w:left="567" w:hanging="567"/>
        <w:rPr>
          <w:lang w:val="fr-FR"/>
        </w:rPr>
      </w:pPr>
    </w:p>
    <w:p w14:paraId="66B8AD09" w14:textId="36BF589F"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F05208">
        <w:rPr>
          <w:lang w:val="fr-FR"/>
        </w:rPr>
        <w:t>Vegzelma</w:t>
      </w:r>
      <w:r w:rsidR="00DF3C4F" w:rsidRPr="00DA7718">
        <w:rPr>
          <w:lang w:val="fr-FR"/>
        </w:rPr>
        <w:t xml:space="preserve"> pourrait entraîner des infections et une diminution du nombre de neutrophiles (un type de cellules sanguines importantes pour la protection contre les bactéries).</w:t>
      </w:r>
    </w:p>
    <w:p w14:paraId="55D31087" w14:textId="77777777" w:rsidR="004401F0" w:rsidRPr="00DA7718" w:rsidRDefault="004401F0" w:rsidP="00310AF1">
      <w:pPr>
        <w:pStyle w:val="a3"/>
        <w:adjustRightInd w:val="0"/>
        <w:snapToGrid w:val="0"/>
        <w:ind w:left="567" w:hanging="567"/>
        <w:rPr>
          <w:lang w:val="fr-FR"/>
        </w:rPr>
      </w:pPr>
    </w:p>
    <w:p w14:paraId="1D2DF837" w14:textId="65B78C20"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 xml:space="preserve">Il est possible </w:t>
      </w:r>
      <w:r w:rsidR="00904AF9">
        <w:rPr>
          <w:lang w:val="fr-FR"/>
        </w:rPr>
        <w:t xml:space="preserve">que </w:t>
      </w:r>
      <w:r w:rsidR="00F05208">
        <w:rPr>
          <w:lang w:val="fr-FR"/>
        </w:rPr>
        <w:t>Vegzelma</w:t>
      </w:r>
      <w:r w:rsidR="00904AF9" w:rsidRPr="00DA7718">
        <w:rPr>
          <w:lang w:val="fr-FR"/>
        </w:rPr>
        <w:t xml:space="preserve"> </w:t>
      </w:r>
      <w:r w:rsidR="00DF3C4F" w:rsidRPr="00DA7718">
        <w:rPr>
          <w:lang w:val="fr-FR"/>
        </w:rPr>
        <w:t xml:space="preserve">entraîne une hypersensibilité </w:t>
      </w:r>
      <w:r w:rsidR="006A2D64" w:rsidRPr="006A2D64">
        <w:rPr>
          <w:lang w:val="fr-FR"/>
        </w:rPr>
        <w:t xml:space="preserve">(dont le choc anaphylactique) </w:t>
      </w:r>
      <w:r w:rsidR="00DF3C4F" w:rsidRPr="00DA7718">
        <w:rPr>
          <w:lang w:val="fr-FR"/>
        </w:rPr>
        <w:t xml:space="preserve">et/ou réaction à la perfusion (réaction liée à l’injection de votre médicament). Parlez-en à votre médecin, pharmacien ou infirmier/ère si vous avez déjà rencontré après les injections un problème, tel qu’un étourdissement/sensation d’évanouissement, un étouffement, un </w:t>
      </w:r>
      <w:r w:rsidR="00DF6A70">
        <w:rPr>
          <w:lang w:val="fr-FR"/>
        </w:rPr>
        <w:t>gonflement (</w:t>
      </w:r>
      <w:r w:rsidR="00DF3C4F" w:rsidRPr="00DA7718">
        <w:rPr>
          <w:lang w:val="fr-FR"/>
        </w:rPr>
        <w:t>œdème</w:t>
      </w:r>
      <w:r w:rsidR="00DF6A70">
        <w:rPr>
          <w:lang w:val="fr-FR"/>
        </w:rPr>
        <w:t>)</w:t>
      </w:r>
      <w:r w:rsidR="00DF3C4F" w:rsidRPr="00DA7718">
        <w:rPr>
          <w:lang w:val="fr-FR"/>
        </w:rPr>
        <w:t xml:space="preserve"> ou une éruption cutanée.</w:t>
      </w:r>
    </w:p>
    <w:p w14:paraId="07982269" w14:textId="77777777" w:rsidR="004401F0" w:rsidRPr="007C119A" w:rsidRDefault="004401F0" w:rsidP="00310AF1">
      <w:pPr>
        <w:pStyle w:val="a3"/>
        <w:adjustRightInd w:val="0"/>
        <w:snapToGrid w:val="0"/>
        <w:ind w:left="567" w:hanging="567"/>
        <w:rPr>
          <w:lang w:val="fr-FR"/>
        </w:rPr>
      </w:pPr>
    </w:p>
    <w:p w14:paraId="726CD41C" w14:textId="4D878296"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 xml:space="preserve">Un effet indésirable neurologique rare appelé Syndrome d’encéphalopathie postérieure réversible (SEPR) a été associé au traitement par </w:t>
      </w:r>
      <w:r w:rsidR="00F05208">
        <w:rPr>
          <w:lang w:val="fr-FR"/>
        </w:rPr>
        <w:t>Vegzelma</w:t>
      </w:r>
      <w:r w:rsidR="00DF3C4F" w:rsidRPr="00DA7718">
        <w:rPr>
          <w:lang w:val="fr-FR"/>
        </w:rPr>
        <w:t>. Si vous avez mal à la tête, des troubles de la vision, une confusion ou une attaque avec ou sans hypertension artérielle, consultez votre médecin.</w:t>
      </w:r>
    </w:p>
    <w:p w14:paraId="54121854" w14:textId="77777777" w:rsidR="004401F0" w:rsidRPr="00DA7718" w:rsidRDefault="004401F0" w:rsidP="00BD4C7C">
      <w:pPr>
        <w:pStyle w:val="a3"/>
        <w:adjustRightInd w:val="0"/>
        <w:snapToGrid w:val="0"/>
        <w:rPr>
          <w:lang w:val="fr-FR"/>
        </w:rPr>
      </w:pPr>
    </w:p>
    <w:p w14:paraId="553C268E" w14:textId="77777777" w:rsidR="004401F0" w:rsidRPr="00DA7718" w:rsidRDefault="00DF3C4F" w:rsidP="00BD4C7C">
      <w:pPr>
        <w:pStyle w:val="a3"/>
        <w:adjustRightInd w:val="0"/>
        <w:snapToGrid w:val="0"/>
        <w:rPr>
          <w:lang w:val="fr-FR"/>
        </w:rPr>
      </w:pPr>
      <w:r w:rsidRPr="00DA7718">
        <w:rPr>
          <w:lang w:val="fr-FR"/>
        </w:rPr>
        <w:t>Veuillez consulter votre médecin si l’un des cas ci-dessus vous concerne uniquement, ou vous a concerné dans le passé.</w:t>
      </w:r>
    </w:p>
    <w:p w14:paraId="7F9FFFD5" w14:textId="77777777" w:rsidR="004401F0" w:rsidRPr="00DA7718" w:rsidRDefault="004401F0" w:rsidP="00BD4C7C">
      <w:pPr>
        <w:pStyle w:val="a3"/>
        <w:adjustRightInd w:val="0"/>
        <w:snapToGrid w:val="0"/>
        <w:rPr>
          <w:lang w:val="fr-FR"/>
        </w:rPr>
      </w:pPr>
    </w:p>
    <w:p w14:paraId="38267DF3" w14:textId="20B742AB" w:rsidR="004401F0" w:rsidRDefault="00DF3C4F" w:rsidP="007C672E">
      <w:pPr>
        <w:pStyle w:val="a3"/>
        <w:adjustRightInd w:val="0"/>
        <w:snapToGrid w:val="0"/>
        <w:rPr>
          <w:lang w:val="fr-FR"/>
        </w:rPr>
      </w:pPr>
      <w:r w:rsidRPr="00DA7718">
        <w:rPr>
          <w:lang w:val="fr-FR"/>
        </w:rPr>
        <w:t xml:space="preserve">Avant de recevoir </w:t>
      </w:r>
      <w:r w:rsidR="00F05208">
        <w:rPr>
          <w:lang w:val="fr-FR"/>
        </w:rPr>
        <w:t>Vegzelma</w:t>
      </w:r>
      <w:r w:rsidR="00904AF9" w:rsidRPr="00DA7718" w:rsidDel="00904AF9">
        <w:rPr>
          <w:lang w:val="fr-FR"/>
        </w:rPr>
        <w:t xml:space="preserve"> </w:t>
      </w:r>
      <w:r w:rsidRPr="00DA7718">
        <w:rPr>
          <w:lang w:val="fr-FR"/>
        </w:rPr>
        <w:t xml:space="preserve">ou pendant le traitement par </w:t>
      </w:r>
      <w:r w:rsidR="00F05208">
        <w:rPr>
          <w:lang w:val="fr-FR"/>
        </w:rPr>
        <w:t>Vegzelma</w:t>
      </w:r>
      <w:r w:rsidRPr="00DA7718">
        <w:rPr>
          <w:lang w:val="fr-FR"/>
        </w:rPr>
        <w:t xml:space="preserve"> :</w:t>
      </w:r>
    </w:p>
    <w:p w14:paraId="5E45F4E0" w14:textId="77777777" w:rsidR="00EA035A" w:rsidRPr="00DA7718" w:rsidRDefault="00EA035A" w:rsidP="007C672E">
      <w:pPr>
        <w:pStyle w:val="a3"/>
        <w:adjustRightInd w:val="0"/>
        <w:snapToGrid w:val="0"/>
        <w:rPr>
          <w:lang w:val="fr-FR"/>
        </w:rPr>
      </w:pPr>
    </w:p>
    <w:p w14:paraId="37BA9896" w14:textId="45092FAF" w:rsidR="004401F0" w:rsidRPr="00DA7718" w:rsidRDefault="00067112" w:rsidP="007C672E">
      <w:pPr>
        <w:widowControl/>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 xml:space="preserve">Si vous avez ou avez eu des douleurs au niveau de la bouche, des dents et/ou de la mâchoire, des gonflements ou des plaies dans la bouche, des engourdissements ou une sensation de </w:t>
      </w:r>
      <w:r w:rsidR="00DF3C4F" w:rsidRPr="00DA7718">
        <w:rPr>
          <w:lang w:val="fr-FR"/>
        </w:rPr>
        <w:lastRenderedPageBreak/>
        <w:t>lourdeur dans la mâchoire, ou la perte d’une dent, parlez-en à votre médecin et à votre dentiste immédiatement.</w:t>
      </w:r>
    </w:p>
    <w:p w14:paraId="0C7C8D02" w14:textId="31856DF8" w:rsidR="004401F0" w:rsidRPr="00DA7718" w:rsidRDefault="00067112" w:rsidP="007C672E">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 xml:space="preserve">Si vous devez subir un traitement dentaire invasif ou une chirurgie dentaire, prévenez votre dentiste que vous êtes traité par </w:t>
      </w:r>
      <w:r w:rsidR="00F05208">
        <w:rPr>
          <w:lang w:val="fr-FR"/>
        </w:rPr>
        <w:t>Vegzelma</w:t>
      </w:r>
      <w:r w:rsidR="009246E1">
        <w:rPr>
          <w:lang w:val="fr-FR"/>
        </w:rPr>
        <w:t xml:space="preserve"> (bevacizumab)</w:t>
      </w:r>
      <w:r w:rsidR="00DF3C4F" w:rsidRPr="00DA7718">
        <w:rPr>
          <w:lang w:val="fr-FR"/>
        </w:rPr>
        <w:t>, en particulier si vous recevez ou avez reçu une injection de bisphosphonates dans votre sang.</w:t>
      </w:r>
    </w:p>
    <w:p w14:paraId="213A4964" w14:textId="77777777" w:rsidR="00BD4C7C" w:rsidRPr="00DA7718" w:rsidRDefault="00BD4C7C" w:rsidP="007C672E">
      <w:pPr>
        <w:adjustRightInd w:val="0"/>
        <w:snapToGrid w:val="0"/>
        <w:rPr>
          <w:lang w:val="fr-FR"/>
        </w:rPr>
      </w:pPr>
    </w:p>
    <w:p w14:paraId="541E35A1" w14:textId="66D88062" w:rsidR="004401F0" w:rsidRPr="00DA7718" w:rsidRDefault="00DF3C4F" w:rsidP="007C672E">
      <w:pPr>
        <w:pStyle w:val="a3"/>
        <w:adjustRightInd w:val="0"/>
        <w:snapToGrid w:val="0"/>
        <w:rPr>
          <w:lang w:val="fr-FR"/>
        </w:rPr>
      </w:pPr>
      <w:r w:rsidRPr="00DA7718">
        <w:rPr>
          <w:lang w:val="fr-FR"/>
        </w:rPr>
        <w:t xml:space="preserve">Il peut vous être demandé de faire un bilan dentaire avant de commencer le traitement par </w:t>
      </w:r>
      <w:r w:rsidR="00F05208">
        <w:rPr>
          <w:lang w:val="fr-FR"/>
        </w:rPr>
        <w:t>Vegzelma</w:t>
      </w:r>
      <w:r w:rsidRPr="00DA7718">
        <w:rPr>
          <w:lang w:val="fr-FR"/>
        </w:rPr>
        <w:t>.</w:t>
      </w:r>
    </w:p>
    <w:p w14:paraId="25FC3316" w14:textId="77777777" w:rsidR="004401F0" w:rsidRPr="00DA7718" w:rsidRDefault="004401F0" w:rsidP="007C672E">
      <w:pPr>
        <w:pStyle w:val="a3"/>
        <w:adjustRightInd w:val="0"/>
        <w:snapToGrid w:val="0"/>
        <w:rPr>
          <w:lang w:val="fr-FR"/>
        </w:rPr>
      </w:pPr>
    </w:p>
    <w:p w14:paraId="5740A56A" w14:textId="77777777" w:rsidR="004401F0" w:rsidRPr="00A67360" w:rsidRDefault="00DF3C4F" w:rsidP="00A67360">
      <w:pPr>
        <w:rPr>
          <w:b/>
          <w:bCs/>
          <w:lang w:val="fr-FR"/>
        </w:rPr>
      </w:pPr>
      <w:r w:rsidRPr="00A67360">
        <w:rPr>
          <w:b/>
          <w:bCs/>
          <w:lang w:val="fr-FR"/>
        </w:rPr>
        <w:t>Enfants et adolescents</w:t>
      </w:r>
    </w:p>
    <w:p w14:paraId="6616A5DA" w14:textId="77777777" w:rsidR="00310AF1" w:rsidRPr="00DA7718" w:rsidRDefault="00310AF1" w:rsidP="00E84257">
      <w:pPr>
        <w:rPr>
          <w:lang w:val="fr-FR"/>
        </w:rPr>
      </w:pPr>
    </w:p>
    <w:p w14:paraId="0DE58DF1" w14:textId="1AC21FC6" w:rsidR="004401F0" w:rsidRPr="00DA7718" w:rsidRDefault="00DF3C4F" w:rsidP="00310AF1">
      <w:pPr>
        <w:pStyle w:val="a3"/>
        <w:keepNext/>
        <w:keepLines/>
        <w:adjustRightInd w:val="0"/>
        <w:snapToGrid w:val="0"/>
        <w:rPr>
          <w:lang w:val="fr-FR"/>
        </w:rPr>
      </w:pPr>
      <w:r w:rsidRPr="00DA7718">
        <w:rPr>
          <w:lang w:val="fr-FR"/>
        </w:rPr>
        <w:t xml:space="preserve">L’utilisation </w:t>
      </w:r>
      <w:r w:rsidR="00904AF9">
        <w:rPr>
          <w:lang w:val="fr-FR"/>
        </w:rPr>
        <w:t xml:space="preserve">de </w:t>
      </w:r>
      <w:r w:rsidR="00F05208">
        <w:rPr>
          <w:lang w:val="fr-FR"/>
        </w:rPr>
        <w:t>Vegzelma</w:t>
      </w:r>
      <w:r w:rsidR="00904AF9" w:rsidRPr="00DA7718">
        <w:rPr>
          <w:lang w:val="fr-FR"/>
        </w:rPr>
        <w:t xml:space="preserve"> </w:t>
      </w:r>
      <w:r w:rsidRPr="00DA7718">
        <w:rPr>
          <w:lang w:val="fr-FR"/>
        </w:rPr>
        <w:t>n’est pas recommandée chez les enfants et adolescents âgés de moins de 18 ans car la tolérance et l’efficacité n’ont pas été établies chez ces populations de patients.</w:t>
      </w:r>
    </w:p>
    <w:p w14:paraId="3A82FFB0" w14:textId="77777777" w:rsidR="004401F0" w:rsidRPr="007C119A" w:rsidRDefault="004401F0" w:rsidP="00BD4C7C">
      <w:pPr>
        <w:pStyle w:val="a3"/>
        <w:adjustRightInd w:val="0"/>
        <w:snapToGrid w:val="0"/>
        <w:rPr>
          <w:lang w:val="fr-FR"/>
        </w:rPr>
      </w:pPr>
    </w:p>
    <w:p w14:paraId="4E97D210" w14:textId="5B48C1F0" w:rsidR="004401F0" w:rsidRPr="00DA7718" w:rsidRDefault="00DF3C4F" w:rsidP="00BD4C7C">
      <w:pPr>
        <w:pStyle w:val="a3"/>
        <w:adjustRightInd w:val="0"/>
        <w:snapToGrid w:val="0"/>
        <w:rPr>
          <w:lang w:val="fr-FR"/>
        </w:rPr>
      </w:pPr>
      <w:r w:rsidRPr="00DA7718">
        <w:rPr>
          <w:lang w:val="fr-FR"/>
        </w:rPr>
        <w:t xml:space="preserve">Des cas de mort tissulaire osseuse (ostéonécrose) dans les os autres que la mâchoire ont été observés chez des patients âgés de moins de 18 ans traités par </w:t>
      </w:r>
      <w:r w:rsidR="00614220">
        <w:rPr>
          <w:lang w:val="fr-FR"/>
        </w:rPr>
        <w:t>bevacizumab</w:t>
      </w:r>
    </w:p>
    <w:p w14:paraId="31628276" w14:textId="77777777" w:rsidR="004401F0" w:rsidRPr="00DA7718" w:rsidRDefault="004401F0" w:rsidP="00BD4C7C">
      <w:pPr>
        <w:pStyle w:val="a3"/>
        <w:adjustRightInd w:val="0"/>
        <w:snapToGrid w:val="0"/>
        <w:rPr>
          <w:lang w:val="fr-FR"/>
        </w:rPr>
      </w:pPr>
    </w:p>
    <w:p w14:paraId="2B33A9C2" w14:textId="24499F2F" w:rsidR="004401F0" w:rsidRPr="00A67360" w:rsidRDefault="00DF3C4F" w:rsidP="00A67360">
      <w:pPr>
        <w:rPr>
          <w:b/>
          <w:bCs/>
          <w:lang w:val="fr-FR"/>
        </w:rPr>
      </w:pPr>
      <w:r w:rsidRPr="00A67360">
        <w:rPr>
          <w:b/>
          <w:bCs/>
          <w:lang w:val="fr-FR"/>
        </w:rPr>
        <w:t xml:space="preserve">Autres médicaments et </w:t>
      </w:r>
      <w:r w:rsidR="00F05208" w:rsidRPr="00A67360">
        <w:rPr>
          <w:b/>
          <w:bCs/>
          <w:lang w:val="fr-FR"/>
        </w:rPr>
        <w:t>Vegzelma</w:t>
      </w:r>
    </w:p>
    <w:p w14:paraId="7804367D" w14:textId="77777777" w:rsidR="00310AF1" w:rsidRPr="00DA7718" w:rsidRDefault="00310AF1" w:rsidP="00E84257">
      <w:pPr>
        <w:rPr>
          <w:lang w:val="fr-FR"/>
        </w:rPr>
      </w:pPr>
    </w:p>
    <w:p w14:paraId="54AB5065" w14:textId="77777777" w:rsidR="004401F0" w:rsidRPr="00DA7718" w:rsidRDefault="00DF3C4F" w:rsidP="00BD4C7C">
      <w:pPr>
        <w:pStyle w:val="a3"/>
        <w:adjustRightInd w:val="0"/>
        <w:snapToGrid w:val="0"/>
        <w:rPr>
          <w:lang w:val="fr-FR"/>
        </w:rPr>
      </w:pPr>
      <w:r w:rsidRPr="00DA7718">
        <w:rPr>
          <w:lang w:val="fr-FR"/>
        </w:rPr>
        <w:t>Informez votre médecin, votre pharmacien ou votre infirmier/ère si vous prenez, avez récemment pris ou pourriez prendre tout autre médicament.</w:t>
      </w:r>
    </w:p>
    <w:p w14:paraId="4B381D9D" w14:textId="77777777" w:rsidR="004401F0" w:rsidRPr="007C119A" w:rsidRDefault="004401F0" w:rsidP="00BD4C7C">
      <w:pPr>
        <w:pStyle w:val="a3"/>
        <w:adjustRightInd w:val="0"/>
        <w:snapToGrid w:val="0"/>
        <w:rPr>
          <w:lang w:val="fr-FR"/>
        </w:rPr>
      </w:pPr>
    </w:p>
    <w:p w14:paraId="42D4F198" w14:textId="5E500F3B" w:rsidR="004401F0" w:rsidRPr="00DA7718" w:rsidRDefault="00DF3C4F" w:rsidP="00BD4C7C">
      <w:pPr>
        <w:pStyle w:val="a3"/>
        <w:adjustRightInd w:val="0"/>
        <w:snapToGrid w:val="0"/>
        <w:rPr>
          <w:lang w:val="fr-FR"/>
        </w:rPr>
      </w:pPr>
      <w:r w:rsidRPr="00DA7718">
        <w:rPr>
          <w:lang w:val="fr-FR"/>
        </w:rPr>
        <w:t xml:space="preserve">Des associations </w:t>
      </w:r>
      <w:r w:rsidR="00904AF9">
        <w:rPr>
          <w:lang w:val="fr-FR"/>
        </w:rPr>
        <w:t xml:space="preserve">de </w:t>
      </w:r>
      <w:r w:rsidR="00F05208">
        <w:rPr>
          <w:lang w:val="fr-FR"/>
        </w:rPr>
        <w:t>Vegzelma</w:t>
      </w:r>
      <w:r w:rsidR="00904AF9" w:rsidRPr="00DA7718">
        <w:rPr>
          <w:lang w:val="fr-FR"/>
        </w:rPr>
        <w:t xml:space="preserve"> </w:t>
      </w:r>
      <w:r w:rsidRPr="00DA7718">
        <w:rPr>
          <w:lang w:val="fr-FR"/>
        </w:rPr>
        <w:t xml:space="preserve">avec un autre médicament, appelé le malate de sunitinib (prescrit dans les cancers du rein et gastrointestinal) peut entraîner des effets indésirables sévères. Parlez-en à votre médecin pour vous assurer que vous ne prenez pas ce médicament en même temps </w:t>
      </w:r>
      <w:r w:rsidR="00904AF9">
        <w:rPr>
          <w:lang w:val="fr-FR"/>
        </w:rPr>
        <w:t xml:space="preserve">que </w:t>
      </w:r>
      <w:r w:rsidR="00F05208">
        <w:rPr>
          <w:lang w:val="fr-FR"/>
        </w:rPr>
        <w:t>Vegzelma</w:t>
      </w:r>
      <w:r w:rsidRPr="00DA7718">
        <w:rPr>
          <w:lang w:val="fr-FR"/>
        </w:rPr>
        <w:t>.</w:t>
      </w:r>
    </w:p>
    <w:p w14:paraId="7E451AB9" w14:textId="77777777" w:rsidR="004401F0" w:rsidRPr="00DA7718" w:rsidRDefault="004401F0" w:rsidP="00BD4C7C">
      <w:pPr>
        <w:pStyle w:val="a3"/>
        <w:adjustRightInd w:val="0"/>
        <w:snapToGrid w:val="0"/>
        <w:rPr>
          <w:lang w:val="fr-FR"/>
        </w:rPr>
      </w:pPr>
    </w:p>
    <w:p w14:paraId="3C1F287D" w14:textId="40652EEA" w:rsidR="004401F0" w:rsidRPr="00DA7718" w:rsidRDefault="00DF3C4F" w:rsidP="00BD4C7C">
      <w:pPr>
        <w:pStyle w:val="a3"/>
        <w:adjustRightInd w:val="0"/>
        <w:snapToGrid w:val="0"/>
        <w:rPr>
          <w:lang w:val="fr-FR"/>
        </w:rPr>
      </w:pPr>
      <w:r w:rsidRPr="00DA7718">
        <w:rPr>
          <w:lang w:val="fr-FR"/>
        </w:rPr>
        <w:t xml:space="preserve">Informez votre médecin si vous utilisez des traitements à base de sels de platine ou à base de taxane pour un cancer du poumon ou du sein métastatique. Ces traitements en association à </w:t>
      </w:r>
      <w:r w:rsidR="00F05208">
        <w:rPr>
          <w:lang w:val="fr-FR"/>
        </w:rPr>
        <w:t>Vegzelma</w:t>
      </w:r>
      <w:r w:rsidRPr="00DA7718">
        <w:rPr>
          <w:lang w:val="fr-FR"/>
        </w:rPr>
        <w:t xml:space="preserve"> peuvent augmenter le risque d’effets indésirables sévères.</w:t>
      </w:r>
    </w:p>
    <w:p w14:paraId="126111DD" w14:textId="77777777" w:rsidR="004401F0" w:rsidRPr="00DA7718" w:rsidRDefault="004401F0" w:rsidP="00BD4C7C">
      <w:pPr>
        <w:pStyle w:val="a3"/>
        <w:adjustRightInd w:val="0"/>
        <w:snapToGrid w:val="0"/>
        <w:rPr>
          <w:lang w:val="fr-FR"/>
        </w:rPr>
      </w:pPr>
    </w:p>
    <w:p w14:paraId="30F70595" w14:textId="77777777" w:rsidR="004401F0" w:rsidRPr="00DA7718" w:rsidRDefault="00DF3C4F" w:rsidP="00BD4C7C">
      <w:pPr>
        <w:pStyle w:val="a3"/>
        <w:adjustRightInd w:val="0"/>
        <w:snapToGrid w:val="0"/>
        <w:rPr>
          <w:lang w:val="fr-FR"/>
        </w:rPr>
      </w:pPr>
      <w:r w:rsidRPr="00DA7718">
        <w:rPr>
          <w:lang w:val="fr-FR"/>
        </w:rPr>
        <w:t>Si vous avez récemment reçu ou recevez actuellement une radiothérapie, veuillez en informer votre médecin.</w:t>
      </w:r>
    </w:p>
    <w:p w14:paraId="0F9DE4BF" w14:textId="77777777" w:rsidR="004401F0" w:rsidRPr="00DA7718" w:rsidRDefault="004401F0" w:rsidP="00BD4C7C">
      <w:pPr>
        <w:pStyle w:val="a3"/>
        <w:adjustRightInd w:val="0"/>
        <w:snapToGrid w:val="0"/>
        <w:rPr>
          <w:lang w:val="fr-FR"/>
        </w:rPr>
      </w:pPr>
    </w:p>
    <w:p w14:paraId="375D2F08" w14:textId="77777777" w:rsidR="004401F0" w:rsidRPr="00A67360" w:rsidRDefault="00DF3C4F" w:rsidP="00A67360">
      <w:pPr>
        <w:rPr>
          <w:b/>
          <w:bCs/>
          <w:lang w:val="fr-FR"/>
        </w:rPr>
      </w:pPr>
      <w:r w:rsidRPr="00A67360">
        <w:rPr>
          <w:b/>
          <w:bCs/>
          <w:lang w:val="fr-FR"/>
        </w:rPr>
        <w:t>Grossesse, allaitement et fécondité</w:t>
      </w:r>
    </w:p>
    <w:p w14:paraId="0CE20FDD" w14:textId="77777777" w:rsidR="00310AF1" w:rsidRPr="000C517C" w:rsidRDefault="00310AF1" w:rsidP="00E84257">
      <w:pPr>
        <w:rPr>
          <w:lang w:val="fr-FR"/>
        </w:rPr>
      </w:pPr>
    </w:p>
    <w:p w14:paraId="57874F79" w14:textId="2A4E7250" w:rsidR="004401F0" w:rsidRPr="00DA7718" w:rsidRDefault="00DF3C4F" w:rsidP="00BD4C7C">
      <w:pPr>
        <w:pStyle w:val="a3"/>
        <w:adjustRightInd w:val="0"/>
        <w:snapToGrid w:val="0"/>
        <w:rPr>
          <w:lang w:val="fr-FR"/>
        </w:rPr>
      </w:pPr>
      <w:r w:rsidRPr="00DA7718">
        <w:rPr>
          <w:lang w:val="fr-FR"/>
        </w:rPr>
        <w:t xml:space="preserve">N’utilisez jamais ce médicament si vous êtes enceinte. </w:t>
      </w:r>
      <w:r w:rsidR="00F05208">
        <w:rPr>
          <w:lang w:val="fr-FR"/>
        </w:rPr>
        <w:t>Vegzelma</w:t>
      </w:r>
      <w:r w:rsidRPr="00DA7718">
        <w:rPr>
          <w:lang w:val="fr-FR"/>
        </w:rPr>
        <w:t xml:space="preserve"> peut être nocif pour l’enfant à naître parce qu’il arrête la formation des nouveaux vaisseaux sanguins. Votre médecin doit vous conseiller une méthode de contraception à suivre au cours du traitement par </w:t>
      </w:r>
      <w:r w:rsidR="00F05208">
        <w:rPr>
          <w:lang w:val="fr-FR"/>
        </w:rPr>
        <w:t>Vegzelma</w:t>
      </w:r>
      <w:r w:rsidRPr="00DA7718">
        <w:rPr>
          <w:lang w:val="fr-FR"/>
        </w:rPr>
        <w:t xml:space="preserve"> et pendant au moins 6 mois après l’administration de la dernière dose de celui-ci.</w:t>
      </w:r>
    </w:p>
    <w:p w14:paraId="7D00CC04" w14:textId="77777777" w:rsidR="004401F0" w:rsidRPr="007C119A" w:rsidRDefault="004401F0" w:rsidP="00BD4C7C">
      <w:pPr>
        <w:pStyle w:val="a3"/>
        <w:adjustRightInd w:val="0"/>
        <w:snapToGrid w:val="0"/>
        <w:rPr>
          <w:lang w:val="fr-FR"/>
        </w:rPr>
      </w:pPr>
    </w:p>
    <w:p w14:paraId="229FA759" w14:textId="77777777" w:rsidR="004401F0" w:rsidRPr="00DA7718" w:rsidRDefault="00DF3C4F" w:rsidP="00BD4C7C">
      <w:pPr>
        <w:pStyle w:val="a3"/>
        <w:adjustRightInd w:val="0"/>
        <w:snapToGrid w:val="0"/>
        <w:rPr>
          <w:lang w:val="fr-FR"/>
        </w:rPr>
      </w:pPr>
      <w:r w:rsidRPr="00DA7718">
        <w:rPr>
          <w:lang w:val="fr-FR"/>
        </w:rPr>
        <w:t>Si vous êtes enceinte ou que vous allaitez, si vous pensez être enceinte ou si vous avez l’intention de le devenir dans un avenir proche, informez immédiatement votre médecin.</w:t>
      </w:r>
    </w:p>
    <w:p w14:paraId="61E3B867" w14:textId="77777777" w:rsidR="004401F0" w:rsidRPr="007C119A" w:rsidRDefault="004401F0" w:rsidP="00BD4C7C">
      <w:pPr>
        <w:pStyle w:val="a3"/>
        <w:adjustRightInd w:val="0"/>
        <w:snapToGrid w:val="0"/>
        <w:rPr>
          <w:lang w:val="fr-FR"/>
        </w:rPr>
      </w:pPr>
    </w:p>
    <w:p w14:paraId="782634A9" w14:textId="1E841DC3" w:rsidR="004401F0" w:rsidRPr="00DA7718" w:rsidRDefault="00DF3C4F" w:rsidP="00BD4C7C">
      <w:pPr>
        <w:pStyle w:val="a3"/>
        <w:adjustRightInd w:val="0"/>
        <w:snapToGrid w:val="0"/>
        <w:rPr>
          <w:lang w:val="fr-FR"/>
        </w:rPr>
      </w:pPr>
      <w:r w:rsidRPr="00DA7718">
        <w:rPr>
          <w:lang w:val="fr-FR"/>
        </w:rPr>
        <w:t xml:space="preserve">Vous ne devez pas allaiter votre enfant au cours du traitement par </w:t>
      </w:r>
      <w:r w:rsidR="00F05208">
        <w:rPr>
          <w:lang w:val="fr-FR"/>
        </w:rPr>
        <w:t>Vegzelma</w:t>
      </w:r>
      <w:r w:rsidRPr="00DA7718">
        <w:rPr>
          <w:lang w:val="fr-FR"/>
        </w:rPr>
        <w:t xml:space="preserve"> et pendant au moins </w:t>
      </w:r>
      <w:r w:rsidR="007F735F" w:rsidRPr="00DA7718">
        <w:rPr>
          <w:lang w:val="fr-FR"/>
        </w:rPr>
        <w:t>6</w:t>
      </w:r>
      <w:r w:rsidR="007F735F">
        <w:rPr>
          <w:lang w:val="fr-FR"/>
        </w:rPr>
        <w:t> </w:t>
      </w:r>
      <w:r w:rsidRPr="00DA7718">
        <w:rPr>
          <w:lang w:val="fr-FR"/>
        </w:rPr>
        <w:t>mois après l’administration de la dernière dose de celui-ci en raison de risques d’effets nocifs sur la croissance et le développement de votre nourrisson.</w:t>
      </w:r>
    </w:p>
    <w:p w14:paraId="6CBF3127" w14:textId="77777777" w:rsidR="004401F0" w:rsidRPr="00DA7718" w:rsidRDefault="004401F0" w:rsidP="00BD4C7C">
      <w:pPr>
        <w:pStyle w:val="a3"/>
        <w:adjustRightInd w:val="0"/>
        <w:snapToGrid w:val="0"/>
        <w:rPr>
          <w:lang w:val="fr-FR"/>
        </w:rPr>
      </w:pPr>
    </w:p>
    <w:p w14:paraId="7DCD8573" w14:textId="4D768C3E"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peut entraîner une altération de la fertilité. Contactez votre médecin pour plus d’informations.</w:t>
      </w:r>
    </w:p>
    <w:p w14:paraId="5085765A" w14:textId="77777777" w:rsidR="004401F0" w:rsidRPr="007C119A" w:rsidRDefault="004401F0" w:rsidP="00BD4C7C">
      <w:pPr>
        <w:pStyle w:val="a3"/>
        <w:adjustRightInd w:val="0"/>
        <w:snapToGrid w:val="0"/>
        <w:rPr>
          <w:lang w:val="fr-FR"/>
        </w:rPr>
      </w:pPr>
    </w:p>
    <w:p w14:paraId="2B1A31FD" w14:textId="77777777" w:rsidR="004401F0" w:rsidRDefault="00DF3C4F" w:rsidP="00BD4C7C">
      <w:pPr>
        <w:pStyle w:val="a3"/>
        <w:adjustRightInd w:val="0"/>
        <w:snapToGrid w:val="0"/>
        <w:rPr>
          <w:rFonts w:eastAsia="맑은 고딕"/>
          <w:lang w:val="fr-FR" w:eastAsia="ko-KR"/>
        </w:rPr>
      </w:pPr>
      <w:r w:rsidRPr="00DA7718">
        <w:rPr>
          <w:lang w:val="fr-FR"/>
        </w:rPr>
        <w:t>Demandez conseil à votre médecin, à votre pharmacien ou à votre infirmier/ère avant de prendre tout médicament.</w:t>
      </w:r>
    </w:p>
    <w:p w14:paraId="68EE9576" w14:textId="77777777" w:rsidR="00A67360" w:rsidRPr="00A67360" w:rsidRDefault="00A67360" w:rsidP="00BD4C7C">
      <w:pPr>
        <w:pStyle w:val="a3"/>
        <w:adjustRightInd w:val="0"/>
        <w:snapToGrid w:val="0"/>
        <w:rPr>
          <w:rFonts w:eastAsia="맑은 고딕"/>
          <w:lang w:val="fr-FR" w:eastAsia="ko-KR"/>
        </w:rPr>
      </w:pPr>
    </w:p>
    <w:p w14:paraId="400DE128" w14:textId="77777777" w:rsidR="004401F0" w:rsidRPr="00A67360" w:rsidRDefault="00DF3C4F" w:rsidP="00A67360">
      <w:pPr>
        <w:rPr>
          <w:b/>
          <w:bCs/>
          <w:lang w:val="fr-FR"/>
        </w:rPr>
      </w:pPr>
      <w:r w:rsidRPr="00A67360">
        <w:rPr>
          <w:b/>
          <w:bCs/>
          <w:lang w:val="fr-FR"/>
        </w:rPr>
        <w:t>Conduite de véhicules et utilisation de machines</w:t>
      </w:r>
    </w:p>
    <w:p w14:paraId="6F83A361" w14:textId="090D0905" w:rsidR="004401F0" w:rsidRPr="00DA7718" w:rsidRDefault="00DF3C4F" w:rsidP="007C672E">
      <w:pPr>
        <w:pStyle w:val="a3"/>
        <w:widowControl/>
        <w:adjustRightInd w:val="0"/>
        <w:snapToGrid w:val="0"/>
        <w:rPr>
          <w:lang w:val="fr-FR"/>
        </w:rPr>
      </w:pPr>
      <w:r w:rsidRPr="00DA7718">
        <w:rPr>
          <w:lang w:val="fr-FR"/>
        </w:rPr>
        <w:t xml:space="preserve">Il n’a pas été montré </w:t>
      </w:r>
      <w:r w:rsidR="00A00545">
        <w:rPr>
          <w:lang w:val="fr-FR"/>
        </w:rPr>
        <w:t xml:space="preserve">que </w:t>
      </w:r>
      <w:r w:rsidR="00F05208">
        <w:rPr>
          <w:lang w:val="fr-FR"/>
        </w:rPr>
        <w:t>Vegzelma</w:t>
      </w:r>
      <w:r w:rsidR="00A00545" w:rsidRPr="00DA7718">
        <w:rPr>
          <w:lang w:val="fr-FR"/>
        </w:rPr>
        <w:t xml:space="preserve"> </w:t>
      </w:r>
      <w:r w:rsidRPr="00DA7718">
        <w:rPr>
          <w:lang w:val="fr-FR"/>
        </w:rPr>
        <w:t xml:space="preserve">puisse diminuer votre aptitude à conduire des véhicules ou à utiliser des outils ou des machines. Toutefois, des cas de somnolence et d’évanouissement ont été rapportés sous </w:t>
      </w:r>
      <w:r w:rsidR="00F05208">
        <w:rPr>
          <w:lang w:val="fr-FR"/>
        </w:rPr>
        <w:t>Vegzelma</w:t>
      </w:r>
      <w:r w:rsidRPr="00DA7718">
        <w:rPr>
          <w:lang w:val="fr-FR"/>
        </w:rPr>
        <w:t xml:space="preserve">. Si vous présentez des symptômes altérant votre vision, votre concentration </w:t>
      </w:r>
      <w:r w:rsidRPr="00DA7718">
        <w:rPr>
          <w:lang w:val="fr-FR"/>
        </w:rPr>
        <w:lastRenderedPageBreak/>
        <w:t>ou votre aptitude à réagir, ne conduisez pas et n’utilisez pas de machines, jusqu’à disparition des symptômes.</w:t>
      </w:r>
    </w:p>
    <w:p w14:paraId="281FB700" w14:textId="77777777" w:rsidR="004401F0" w:rsidRPr="00DA7718" w:rsidRDefault="004401F0" w:rsidP="00BD4C7C">
      <w:pPr>
        <w:pStyle w:val="a3"/>
        <w:adjustRightInd w:val="0"/>
        <w:snapToGrid w:val="0"/>
        <w:rPr>
          <w:lang w:val="fr-FR"/>
        </w:rPr>
      </w:pPr>
    </w:p>
    <w:p w14:paraId="63BC5117" w14:textId="541FAC3A" w:rsidR="004401F0" w:rsidRPr="0023278D" w:rsidRDefault="00DF3C4F" w:rsidP="0023278D">
      <w:pPr>
        <w:keepNext/>
        <w:keepLines/>
        <w:rPr>
          <w:b/>
          <w:bCs/>
          <w:lang w:val="fr-FR"/>
        </w:rPr>
      </w:pPr>
      <w:r w:rsidRPr="0023278D">
        <w:rPr>
          <w:b/>
          <w:bCs/>
          <w:lang w:val="fr-FR"/>
        </w:rPr>
        <w:t xml:space="preserve">Information importante concernant certains composants </w:t>
      </w:r>
      <w:r w:rsidR="00A00545" w:rsidRPr="0023278D">
        <w:rPr>
          <w:b/>
          <w:bCs/>
          <w:lang w:val="fr-FR"/>
        </w:rPr>
        <w:t xml:space="preserve">de </w:t>
      </w:r>
      <w:r w:rsidR="00F05208" w:rsidRPr="0023278D">
        <w:rPr>
          <w:b/>
          <w:bCs/>
          <w:lang w:val="fr-FR"/>
        </w:rPr>
        <w:t>Vegzelma</w:t>
      </w:r>
    </w:p>
    <w:p w14:paraId="4A7FD43E" w14:textId="77777777" w:rsidR="004401F0" w:rsidRPr="00DA7718" w:rsidRDefault="00DF3C4F" w:rsidP="0023278D">
      <w:pPr>
        <w:pStyle w:val="a3"/>
        <w:keepNext/>
        <w:keepLines/>
        <w:adjustRightInd w:val="0"/>
        <w:snapToGrid w:val="0"/>
        <w:rPr>
          <w:lang w:val="fr-FR"/>
        </w:rPr>
      </w:pPr>
      <w:r w:rsidRPr="00DA7718">
        <w:rPr>
          <w:lang w:val="fr-FR"/>
        </w:rPr>
        <w:t>Ce médicament contient moins de 1 mmol de sodium (23</w:t>
      </w:r>
      <w:r w:rsidR="00DA7718" w:rsidRPr="00DA7718">
        <w:rPr>
          <w:lang w:val="fr-FR"/>
        </w:rPr>
        <w:t> mg</w:t>
      </w:r>
      <w:r w:rsidRPr="00DA7718">
        <w:rPr>
          <w:lang w:val="fr-FR"/>
        </w:rPr>
        <w:t>) par flacon, c’est-à-dire essentiellement ‘sans sodium’.</w:t>
      </w:r>
    </w:p>
    <w:p w14:paraId="7CD59410" w14:textId="77777777" w:rsidR="00A32D9A" w:rsidRPr="00A32D9A" w:rsidRDefault="00A32D9A" w:rsidP="00BD4C7C">
      <w:pPr>
        <w:adjustRightInd w:val="0"/>
        <w:snapToGrid w:val="0"/>
        <w:rPr>
          <w:lang w:val="fr-FR"/>
        </w:rPr>
      </w:pPr>
    </w:p>
    <w:p w14:paraId="75DA14AB" w14:textId="36E33E1E" w:rsidR="00A32D9A" w:rsidRPr="00A32D9A" w:rsidRDefault="00A32D9A" w:rsidP="00A32D9A">
      <w:pPr>
        <w:pStyle w:val="a3"/>
        <w:adjustRightInd w:val="0"/>
        <w:snapToGrid w:val="0"/>
        <w:rPr>
          <w:rFonts w:eastAsia="맑은 고딕"/>
          <w:lang w:val="fr-FR" w:eastAsia="ko-KR"/>
        </w:rPr>
      </w:pPr>
      <w:r w:rsidRPr="00850855">
        <w:rPr>
          <w:rFonts w:eastAsiaTheme="minorEastAsia"/>
          <w:lang w:val="fr-CA" w:eastAsia="ko-KR"/>
        </w:rPr>
        <w:t xml:space="preserve">Ce médicament contient </w:t>
      </w:r>
      <w:r w:rsidRPr="00850855">
        <w:rPr>
          <w:rFonts w:eastAsia="맑은 고딕" w:hint="eastAsia"/>
          <w:lang w:val="fr-CA" w:eastAsia="ko-KR"/>
        </w:rPr>
        <w:t>0,4</w:t>
      </w:r>
      <w:r w:rsidRPr="00850855">
        <w:rPr>
          <w:rFonts w:eastAsiaTheme="minorEastAsia"/>
          <w:lang w:val="fr-CA" w:eastAsia="ko-KR"/>
        </w:rPr>
        <w:t xml:space="preserve"> mg de polysorbate </w:t>
      </w:r>
      <w:r w:rsidRPr="00850855">
        <w:rPr>
          <w:rFonts w:eastAsia="맑은 고딕" w:hint="eastAsia"/>
          <w:lang w:val="fr-CA" w:eastAsia="ko-KR"/>
        </w:rPr>
        <w:t>20</w:t>
      </w:r>
      <w:r w:rsidRPr="00850855">
        <w:rPr>
          <w:rFonts w:eastAsiaTheme="minorEastAsia"/>
          <w:lang w:val="fr-CA" w:eastAsia="ko-KR"/>
        </w:rPr>
        <w:t xml:space="preserve"> par </w:t>
      </w:r>
      <w:r w:rsidRPr="00850855">
        <w:rPr>
          <w:rFonts w:eastAsia="맑은 고딕" w:hint="eastAsia"/>
          <w:lang w:val="fr-CA" w:eastAsia="ko-KR"/>
        </w:rPr>
        <w:t xml:space="preserve">ml. </w:t>
      </w:r>
      <w:r w:rsidRPr="003E0A60">
        <w:rPr>
          <w:rFonts w:eastAsiaTheme="minorEastAsia"/>
          <w:lang w:val="fr-FR" w:eastAsia="ko-KR"/>
        </w:rPr>
        <w:t xml:space="preserve">Les polysorbates peuvent provoquer des réactions allergiques. </w:t>
      </w:r>
      <w:r w:rsidRPr="00850855">
        <w:rPr>
          <w:rFonts w:eastAsia="맑은 고딕"/>
          <w:lang w:val="fr-CA" w:eastAsia="ko-KR"/>
        </w:rPr>
        <w:t>Informez votre médecin si vous avez déjà présenté une allergie.</w:t>
      </w:r>
    </w:p>
    <w:p w14:paraId="477031A9" w14:textId="77777777" w:rsidR="00310AF1" w:rsidRDefault="00310AF1" w:rsidP="00BD4C7C">
      <w:pPr>
        <w:adjustRightInd w:val="0"/>
        <w:snapToGrid w:val="0"/>
        <w:rPr>
          <w:rFonts w:eastAsia="맑은 고딕"/>
          <w:lang w:val="fr-FR" w:eastAsia="ko-KR"/>
        </w:rPr>
      </w:pPr>
    </w:p>
    <w:p w14:paraId="7333F6A3" w14:textId="77777777" w:rsidR="00A32D9A" w:rsidRPr="00A32D9A" w:rsidRDefault="00A32D9A" w:rsidP="00BD4C7C">
      <w:pPr>
        <w:adjustRightInd w:val="0"/>
        <w:snapToGrid w:val="0"/>
        <w:rPr>
          <w:lang w:val="fr-FR"/>
        </w:rPr>
      </w:pPr>
    </w:p>
    <w:p w14:paraId="362E02C7" w14:textId="5E1F1BBD" w:rsidR="004401F0" w:rsidRPr="00284471" w:rsidRDefault="00BD4C7C" w:rsidP="00284471">
      <w:pPr>
        <w:rPr>
          <w:b/>
          <w:bCs/>
          <w:lang w:val="fr-FR"/>
        </w:rPr>
      </w:pPr>
      <w:r w:rsidRPr="00284471">
        <w:rPr>
          <w:b/>
          <w:bCs/>
          <w:lang w:val="fr-FR"/>
        </w:rPr>
        <w:t>3.</w:t>
      </w:r>
      <w:r w:rsidRPr="00284471">
        <w:rPr>
          <w:b/>
          <w:bCs/>
          <w:lang w:val="fr-FR"/>
        </w:rPr>
        <w:tab/>
      </w:r>
      <w:r w:rsidR="00DF3C4F" w:rsidRPr="00284471">
        <w:rPr>
          <w:b/>
          <w:bCs/>
          <w:lang w:val="fr-FR"/>
        </w:rPr>
        <w:t xml:space="preserve">Comment utiliser </w:t>
      </w:r>
      <w:r w:rsidR="00F05208" w:rsidRPr="00284471">
        <w:rPr>
          <w:b/>
          <w:bCs/>
          <w:lang w:val="fr-FR"/>
        </w:rPr>
        <w:t>Vegzelma</w:t>
      </w:r>
      <w:r w:rsidR="00DF3C4F" w:rsidRPr="00284471">
        <w:rPr>
          <w:b/>
          <w:bCs/>
          <w:lang w:val="fr-FR"/>
        </w:rPr>
        <w:t xml:space="preserve"> ?</w:t>
      </w:r>
    </w:p>
    <w:p w14:paraId="1E2D52BA" w14:textId="77777777" w:rsidR="004401F0" w:rsidRPr="007C119A" w:rsidRDefault="004401F0" w:rsidP="00310AF1">
      <w:pPr>
        <w:pStyle w:val="a3"/>
        <w:keepNext/>
        <w:keepLines/>
        <w:adjustRightInd w:val="0"/>
        <w:snapToGrid w:val="0"/>
        <w:rPr>
          <w:b/>
          <w:lang w:val="fr-FR"/>
        </w:rPr>
      </w:pPr>
    </w:p>
    <w:p w14:paraId="4BCB7985" w14:textId="26083424" w:rsidR="004401F0" w:rsidRDefault="00DF3C4F" w:rsidP="00310AF1">
      <w:pPr>
        <w:keepNext/>
        <w:keepLines/>
        <w:adjustRightInd w:val="0"/>
        <w:snapToGrid w:val="0"/>
        <w:rPr>
          <w:b/>
          <w:lang w:val="fr-FR"/>
        </w:rPr>
      </w:pPr>
      <w:r w:rsidRPr="00DA7718">
        <w:rPr>
          <w:b/>
          <w:lang w:val="fr-FR"/>
        </w:rPr>
        <w:t>Dose et fréquence d’administration</w:t>
      </w:r>
    </w:p>
    <w:p w14:paraId="23C51DE6" w14:textId="77777777" w:rsidR="00EA035A" w:rsidRPr="00DA7718" w:rsidRDefault="00EA035A" w:rsidP="00310AF1">
      <w:pPr>
        <w:keepNext/>
        <w:keepLines/>
        <w:adjustRightInd w:val="0"/>
        <w:snapToGrid w:val="0"/>
        <w:rPr>
          <w:b/>
          <w:lang w:val="fr-FR"/>
        </w:rPr>
      </w:pPr>
    </w:p>
    <w:p w14:paraId="5801B5E3" w14:textId="43931EB4" w:rsidR="004401F0" w:rsidRPr="00DA7718" w:rsidRDefault="00DF3C4F" w:rsidP="00310AF1">
      <w:pPr>
        <w:pStyle w:val="a3"/>
        <w:keepNext/>
        <w:keepLines/>
        <w:adjustRightInd w:val="0"/>
        <w:snapToGrid w:val="0"/>
        <w:rPr>
          <w:lang w:val="fr-FR"/>
        </w:rPr>
      </w:pPr>
      <w:r w:rsidRPr="00DA7718">
        <w:rPr>
          <w:lang w:val="fr-FR"/>
        </w:rPr>
        <w:t xml:space="preserve">La dose </w:t>
      </w:r>
      <w:r w:rsidR="00A00545">
        <w:rPr>
          <w:lang w:val="fr-FR"/>
        </w:rPr>
        <w:t xml:space="preserve">de </w:t>
      </w:r>
      <w:r w:rsidR="00F05208">
        <w:rPr>
          <w:lang w:val="fr-FR"/>
        </w:rPr>
        <w:t>Vegzelma</w:t>
      </w:r>
      <w:r w:rsidR="00A00545" w:rsidRPr="00DA7718">
        <w:rPr>
          <w:lang w:val="fr-FR"/>
        </w:rPr>
        <w:t xml:space="preserve"> </w:t>
      </w:r>
      <w:r w:rsidRPr="00DA7718">
        <w:rPr>
          <w:lang w:val="fr-FR"/>
        </w:rPr>
        <w:t xml:space="preserve">dépend de votre poids et du type de cancer à traiter. La dose recommandée </w:t>
      </w:r>
      <w:r w:rsidR="00A867A9">
        <w:rPr>
          <w:lang w:val="fr-FR"/>
        </w:rPr>
        <w:t xml:space="preserve">de </w:t>
      </w:r>
      <w:r w:rsidR="00F05208">
        <w:rPr>
          <w:lang w:val="fr-FR"/>
        </w:rPr>
        <w:t>Vegzelma</w:t>
      </w:r>
      <w:r w:rsidR="00A867A9" w:rsidRPr="00DA7718">
        <w:rPr>
          <w:lang w:val="fr-FR"/>
        </w:rPr>
        <w:t xml:space="preserve"> </w:t>
      </w:r>
      <w:r w:rsidRPr="00DA7718">
        <w:rPr>
          <w:lang w:val="fr-FR"/>
        </w:rPr>
        <w:t>est de 5</w:t>
      </w:r>
      <w:r w:rsidR="00DA7718" w:rsidRPr="00DA7718">
        <w:rPr>
          <w:lang w:val="fr-FR"/>
        </w:rPr>
        <w:t> mg</w:t>
      </w:r>
      <w:r w:rsidR="00881CB8">
        <w:rPr>
          <w:lang w:val="fr-FR"/>
        </w:rPr>
        <w:t xml:space="preserve"> ; </w:t>
      </w:r>
      <w:r w:rsidRPr="00DA7718">
        <w:rPr>
          <w:lang w:val="fr-FR"/>
        </w:rPr>
        <w:t>7,5</w:t>
      </w:r>
      <w:r w:rsidR="00DA7718" w:rsidRPr="00DA7718">
        <w:rPr>
          <w:lang w:val="fr-FR"/>
        </w:rPr>
        <w:t> mg</w:t>
      </w:r>
      <w:r w:rsidR="00881CB8">
        <w:rPr>
          <w:lang w:val="fr-FR"/>
        </w:rPr>
        <w:t xml:space="preserve"> ; </w:t>
      </w:r>
      <w:r w:rsidRPr="00DA7718">
        <w:rPr>
          <w:lang w:val="fr-FR"/>
        </w:rPr>
        <w:t>10</w:t>
      </w:r>
      <w:r w:rsidR="00DA7718" w:rsidRPr="00DA7718">
        <w:rPr>
          <w:lang w:val="fr-FR"/>
        </w:rPr>
        <w:t> mg</w:t>
      </w:r>
      <w:r w:rsidRPr="00DA7718">
        <w:rPr>
          <w:lang w:val="fr-FR"/>
        </w:rPr>
        <w:t xml:space="preserve"> ou 15</w:t>
      </w:r>
      <w:r w:rsidR="00DA7718" w:rsidRPr="00DA7718">
        <w:rPr>
          <w:lang w:val="fr-FR"/>
        </w:rPr>
        <w:t> mg</w:t>
      </w:r>
      <w:r w:rsidRPr="00DA7718">
        <w:rPr>
          <w:lang w:val="fr-FR"/>
        </w:rPr>
        <w:t xml:space="preserve"> par kg de poids corporel. Votre médecin vous prescrira la dose </w:t>
      </w:r>
      <w:r w:rsidR="00A00545">
        <w:rPr>
          <w:lang w:val="fr-FR"/>
        </w:rPr>
        <w:t xml:space="preserve">de </w:t>
      </w:r>
      <w:r w:rsidR="00F05208">
        <w:rPr>
          <w:lang w:val="fr-FR"/>
        </w:rPr>
        <w:t>Vegzelma</w:t>
      </w:r>
      <w:r w:rsidR="00A00545" w:rsidRPr="00DA7718">
        <w:rPr>
          <w:lang w:val="fr-FR"/>
        </w:rPr>
        <w:t xml:space="preserve"> </w:t>
      </w:r>
      <w:r w:rsidRPr="00DA7718">
        <w:rPr>
          <w:lang w:val="fr-FR"/>
        </w:rPr>
        <w:t xml:space="preserve">adaptée à votre cas. Vous recevrez une perfusion </w:t>
      </w:r>
      <w:r w:rsidR="00A00545">
        <w:rPr>
          <w:lang w:val="fr-FR"/>
        </w:rPr>
        <w:t xml:space="preserve">de </w:t>
      </w:r>
      <w:r w:rsidR="00F05208">
        <w:rPr>
          <w:lang w:val="fr-FR"/>
        </w:rPr>
        <w:t>Vegzelma</w:t>
      </w:r>
      <w:r w:rsidR="00A00545" w:rsidRPr="00DA7718">
        <w:rPr>
          <w:lang w:val="fr-FR"/>
        </w:rPr>
        <w:t xml:space="preserve"> </w:t>
      </w:r>
      <w:r w:rsidRPr="00DA7718">
        <w:rPr>
          <w:lang w:val="fr-FR"/>
        </w:rPr>
        <w:t>toutes les 2 ou 3 semaines. Le nombre total des perfusions que vous recevrez dépendra de votre réponse au traitement</w:t>
      </w:r>
      <w:r w:rsidR="00881CB8">
        <w:rPr>
          <w:lang w:val="fr-FR"/>
        </w:rPr>
        <w:t xml:space="preserve"> ; </w:t>
      </w:r>
      <w:r w:rsidRPr="00DA7718">
        <w:rPr>
          <w:lang w:val="fr-FR"/>
        </w:rPr>
        <w:t xml:space="preserve">vous devez continuer à recevoir </w:t>
      </w:r>
      <w:r w:rsidR="00F05208">
        <w:rPr>
          <w:lang w:val="fr-FR"/>
        </w:rPr>
        <w:t>Vegzelma</w:t>
      </w:r>
      <w:r w:rsidRPr="00DA7718">
        <w:rPr>
          <w:lang w:val="fr-FR"/>
        </w:rPr>
        <w:t xml:space="preserve"> jusqu’à ce qu’il ne puisse plus stopper la croissance de votre tumeur. Votre médecin s’entretiendra de ces points avec vous.</w:t>
      </w:r>
    </w:p>
    <w:p w14:paraId="54ABA5BF" w14:textId="77777777" w:rsidR="004401F0" w:rsidRPr="00DA7718" w:rsidRDefault="004401F0" w:rsidP="00BD4C7C">
      <w:pPr>
        <w:pStyle w:val="a3"/>
        <w:adjustRightInd w:val="0"/>
        <w:snapToGrid w:val="0"/>
        <w:rPr>
          <w:lang w:val="fr-FR"/>
        </w:rPr>
      </w:pPr>
    </w:p>
    <w:p w14:paraId="580279E2" w14:textId="7D73AE2A" w:rsidR="004401F0" w:rsidRPr="00284471" w:rsidRDefault="00DF3C4F" w:rsidP="00284471">
      <w:pPr>
        <w:rPr>
          <w:b/>
          <w:bCs/>
          <w:lang w:val="fr-FR"/>
        </w:rPr>
      </w:pPr>
      <w:r w:rsidRPr="00284471">
        <w:rPr>
          <w:b/>
          <w:bCs/>
          <w:lang w:val="fr-FR"/>
        </w:rPr>
        <w:t>Mode et voie d’administration</w:t>
      </w:r>
    </w:p>
    <w:p w14:paraId="59ED8581" w14:textId="77777777" w:rsidR="00EA035A" w:rsidRPr="00DA7718" w:rsidRDefault="00EA035A" w:rsidP="00E84257">
      <w:pPr>
        <w:rPr>
          <w:lang w:val="fr-FR"/>
        </w:rPr>
      </w:pPr>
    </w:p>
    <w:p w14:paraId="720AC9B6" w14:textId="604540E7"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est une solution à diluer pour perfusion. En fonction de la dose qui vous est prescrite, la totalité ou une partie du contenu d’un flacon </w:t>
      </w:r>
      <w:r w:rsidR="00A00545">
        <w:rPr>
          <w:lang w:val="fr-FR"/>
        </w:rPr>
        <w:t xml:space="preserve">de </w:t>
      </w:r>
      <w:r>
        <w:rPr>
          <w:lang w:val="fr-FR"/>
        </w:rPr>
        <w:t>Vegzelma</w:t>
      </w:r>
      <w:r w:rsidR="00A00545" w:rsidRPr="00DA7718">
        <w:rPr>
          <w:lang w:val="fr-FR"/>
        </w:rPr>
        <w:t xml:space="preserve"> </w:t>
      </w:r>
      <w:r w:rsidR="00DF3C4F" w:rsidRPr="00DA7718">
        <w:rPr>
          <w:lang w:val="fr-FR"/>
        </w:rPr>
        <w:t xml:space="preserve">sera diluée dans une solution de chlorure de sodium avant utilisation. Un médecin ou une infirmière vous administrera cette solution diluée </w:t>
      </w:r>
      <w:r w:rsidR="00A00545">
        <w:rPr>
          <w:lang w:val="fr-FR"/>
        </w:rPr>
        <w:t xml:space="preserve">de </w:t>
      </w:r>
      <w:r>
        <w:rPr>
          <w:lang w:val="fr-FR"/>
        </w:rPr>
        <w:t>Vegzelma</w:t>
      </w:r>
      <w:r w:rsidR="00A00545" w:rsidRPr="00DA7718">
        <w:rPr>
          <w:lang w:val="fr-FR"/>
        </w:rPr>
        <w:t xml:space="preserve"> </w:t>
      </w:r>
      <w:r w:rsidR="00DF3C4F" w:rsidRPr="00DA7718">
        <w:rPr>
          <w:lang w:val="fr-FR"/>
        </w:rPr>
        <w:t>par perfusion intraveineuse (un goutte-à-goutte dans vos veines). La durée de la première perfusion sera de 90 minutes. Si la tolérance est bonne, celle de la seconde perfusion pourra être de 60 minutes. Les perfusions suivantes seront administrées en 30 minutes.</w:t>
      </w:r>
    </w:p>
    <w:p w14:paraId="22E93990" w14:textId="77777777" w:rsidR="004401F0" w:rsidRPr="00DA7718" w:rsidRDefault="004401F0" w:rsidP="00BD4C7C">
      <w:pPr>
        <w:pStyle w:val="a3"/>
        <w:adjustRightInd w:val="0"/>
        <w:snapToGrid w:val="0"/>
        <w:rPr>
          <w:lang w:val="fr-FR"/>
        </w:rPr>
      </w:pPr>
    </w:p>
    <w:p w14:paraId="68521942" w14:textId="5BD7D86D" w:rsidR="004401F0" w:rsidRPr="00284471" w:rsidRDefault="00DF3C4F" w:rsidP="00284471">
      <w:pPr>
        <w:rPr>
          <w:b/>
          <w:bCs/>
          <w:lang w:val="fr-FR"/>
        </w:rPr>
      </w:pPr>
      <w:r w:rsidRPr="00284471">
        <w:rPr>
          <w:b/>
          <w:bCs/>
          <w:lang w:val="fr-FR"/>
        </w:rPr>
        <w:t xml:space="preserve">L’administration </w:t>
      </w:r>
      <w:r w:rsidR="00A00545" w:rsidRPr="00284471">
        <w:rPr>
          <w:b/>
          <w:bCs/>
          <w:lang w:val="fr-FR"/>
        </w:rPr>
        <w:t xml:space="preserve">de </w:t>
      </w:r>
      <w:r w:rsidR="00F05208" w:rsidRPr="00284471">
        <w:rPr>
          <w:b/>
          <w:bCs/>
          <w:lang w:val="fr-FR"/>
        </w:rPr>
        <w:t>Vegzelma</w:t>
      </w:r>
      <w:r w:rsidR="00A00545" w:rsidRPr="00284471">
        <w:rPr>
          <w:b/>
          <w:bCs/>
          <w:lang w:val="fr-FR"/>
        </w:rPr>
        <w:t xml:space="preserve"> </w:t>
      </w:r>
      <w:r w:rsidRPr="00284471">
        <w:rPr>
          <w:b/>
          <w:bCs/>
          <w:lang w:val="fr-FR"/>
        </w:rPr>
        <w:t>doit être temporairement suspendue :</w:t>
      </w:r>
    </w:p>
    <w:p w14:paraId="641039E6" w14:textId="77777777" w:rsidR="00EA035A" w:rsidRPr="00DA7718" w:rsidRDefault="00EA035A" w:rsidP="00E84257">
      <w:pPr>
        <w:rPr>
          <w:lang w:val="fr-FR"/>
        </w:rPr>
      </w:pPr>
    </w:p>
    <w:p w14:paraId="309FF1E9" w14:textId="2237E3DE"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si vous développez une hypertension artérielle sévère, nécessitant un traitement par des médicaments anti-hypertenseurs,</w:t>
      </w:r>
    </w:p>
    <w:p w14:paraId="031057EE" w14:textId="552D7A96"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si vous avez des problèmes de cicatrisation post-opératoire,</w:t>
      </w:r>
    </w:p>
    <w:p w14:paraId="250A0899" w14:textId="4CC4BC82"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si vous subissez une opération chirurgicale.</w:t>
      </w:r>
    </w:p>
    <w:p w14:paraId="0CF8A5D6" w14:textId="77777777" w:rsidR="004401F0" w:rsidRPr="00DA7718" w:rsidRDefault="004401F0" w:rsidP="00BD4C7C">
      <w:pPr>
        <w:pStyle w:val="a3"/>
        <w:adjustRightInd w:val="0"/>
        <w:snapToGrid w:val="0"/>
        <w:rPr>
          <w:lang w:val="fr-FR"/>
        </w:rPr>
      </w:pPr>
    </w:p>
    <w:p w14:paraId="39FEBB77" w14:textId="0296A6C4" w:rsidR="004401F0" w:rsidRPr="00996B12" w:rsidRDefault="00DF3C4F" w:rsidP="00996B12">
      <w:pPr>
        <w:rPr>
          <w:b/>
          <w:bCs/>
          <w:lang w:val="fr-FR"/>
        </w:rPr>
      </w:pPr>
      <w:r w:rsidRPr="00996B12">
        <w:rPr>
          <w:b/>
          <w:bCs/>
          <w:lang w:val="fr-FR"/>
        </w:rPr>
        <w:t xml:space="preserve">L’administration </w:t>
      </w:r>
      <w:r w:rsidR="00A00545" w:rsidRPr="00996B12">
        <w:rPr>
          <w:b/>
          <w:bCs/>
          <w:lang w:val="fr-FR"/>
        </w:rPr>
        <w:t xml:space="preserve">de </w:t>
      </w:r>
      <w:r w:rsidR="00F05208" w:rsidRPr="00996B12">
        <w:rPr>
          <w:b/>
          <w:bCs/>
          <w:lang w:val="fr-FR"/>
        </w:rPr>
        <w:t>Vegzelma</w:t>
      </w:r>
      <w:r w:rsidR="00A00545" w:rsidRPr="00996B12">
        <w:rPr>
          <w:b/>
          <w:bCs/>
          <w:lang w:val="fr-FR"/>
        </w:rPr>
        <w:t xml:space="preserve"> </w:t>
      </w:r>
      <w:r w:rsidRPr="00996B12">
        <w:rPr>
          <w:b/>
          <w:bCs/>
          <w:lang w:val="fr-FR"/>
        </w:rPr>
        <w:t>doit être définitivement arrêtée si vous développez :</w:t>
      </w:r>
    </w:p>
    <w:p w14:paraId="495D443A" w14:textId="77777777" w:rsidR="00EA035A" w:rsidRPr="00DA7718" w:rsidRDefault="00EA035A" w:rsidP="00E84257">
      <w:pPr>
        <w:rPr>
          <w:lang w:val="fr-FR"/>
        </w:rPr>
      </w:pPr>
    </w:p>
    <w:p w14:paraId="7C6A8AF6" w14:textId="5C429F47"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une hypertension artérielle sévère non contrôlée par les médicaments anti-hypertenseurs</w:t>
      </w:r>
      <w:r w:rsidR="00881CB8">
        <w:rPr>
          <w:lang w:val="fr-FR"/>
        </w:rPr>
        <w:t xml:space="preserve"> ; </w:t>
      </w:r>
      <w:r w:rsidR="00DF3C4F" w:rsidRPr="00DA7718">
        <w:rPr>
          <w:lang w:val="fr-FR"/>
        </w:rPr>
        <w:t>ou une augmentation sévère et soudaine de la pression artérielle,</w:t>
      </w:r>
    </w:p>
    <w:p w14:paraId="1E61EB31" w14:textId="02E55252"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la présence de protéines dans votre urine accompagnée d’œdème corporel,</w:t>
      </w:r>
    </w:p>
    <w:p w14:paraId="2D8878F7" w14:textId="3293BA01"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une perforation dans la paroi de votre intestin,</w:t>
      </w:r>
    </w:p>
    <w:p w14:paraId="67955E1D" w14:textId="68538444"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une communication anormale entre la trachée et l’œsophage, entre des organes internes et la peau, entre le vagin et une partie de l’intestin ou entre d’autres tissus qui normalement ne sont pas reliés (fistule), et qui est jugée sévère par votre médecin,</w:t>
      </w:r>
    </w:p>
    <w:p w14:paraId="68487C30" w14:textId="6706159E"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des infections graves de la peau ou des couches plus profondes sous la peau,</w:t>
      </w:r>
    </w:p>
    <w:p w14:paraId="3FD12EBB" w14:textId="6F784455"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un caillot sanguin dans vos artères,</w:t>
      </w:r>
    </w:p>
    <w:p w14:paraId="56FA87FC" w14:textId="73E26D55"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un caillot sanguin dans les vaisseaux sanguins de vos poumons,</w:t>
      </w:r>
    </w:p>
    <w:p w14:paraId="643FB665" w14:textId="50894AD7"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toute hémorragie sévère.</w:t>
      </w:r>
    </w:p>
    <w:p w14:paraId="7B453773" w14:textId="77777777" w:rsidR="004401F0" w:rsidRPr="00DA7718" w:rsidRDefault="004401F0" w:rsidP="00BD4C7C">
      <w:pPr>
        <w:pStyle w:val="a3"/>
        <w:adjustRightInd w:val="0"/>
        <w:snapToGrid w:val="0"/>
        <w:rPr>
          <w:lang w:val="fr-FR"/>
        </w:rPr>
      </w:pPr>
    </w:p>
    <w:p w14:paraId="296D3329" w14:textId="68886685" w:rsidR="004401F0" w:rsidRPr="00996B12" w:rsidRDefault="00DF3C4F" w:rsidP="00996B12">
      <w:pPr>
        <w:rPr>
          <w:b/>
          <w:bCs/>
          <w:lang w:val="fr-FR"/>
        </w:rPr>
      </w:pPr>
      <w:r w:rsidRPr="00996B12">
        <w:rPr>
          <w:b/>
          <w:bCs/>
          <w:lang w:val="fr-FR"/>
        </w:rPr>
        <w:t xml:space="preserve">Si vous avez utilisé plus </w:t>
      </w:r>
      <w:r w:rsidR="00A00545" w:rsidRPr="00996B12">
        <w:rPr>
          <w:b/>
          <w:bCs/>
          <w:lang w:val="fr-FR"/>
        </w:rPr>
        <w:t xml:space="preserve">de </w:t>
      </w:r>
      <w:r w:rsidR="00F05208" w:rsidRPr="00996B12">
        <w:rPr>
          <w:b/>
          <w:bCs/>
          <w:lang w:val="fr-FR"/>
        </w:rPr>
        <w:t>Vegzelma</w:t>
      </w:r>
      <w:r w:rsidR="00A00545" w:rsidRPr="00996B12">
        <w:rPr>
          <w:b/>
          <w:bCs/>
          <w:lang w:val="fr-FR"/>
        </w:rPr>
        <w:t xml:space="preserve"> </w:t>
      </w:r>
      <w:r w:rsidRPr="00996B12">
        <w:rPr>
          <w:b/>
          <w:bCs/>
          <w:lang w:val="fr-FR"/>
        </w:rPr>
        <w:t>que vous n’auriez dû :</w:t>
      </w:r>
    </w:p>
    <w:p w14:paraId="2DCEEFA5" w14:textId="77777777" w:rsidR="00EA035A" w:rsidRPr="00DA7718" w:rsidRDefault="00EA035A" w:rsidP="00E84257">
      <w:pPr>
        <w:rPr>
          <w:lang w:val="fr-FR"/>
        </w:rPr>
      </w:pPr>
    </w:p>
    <w:p w14:paraId="5D507373" w14:textId="7BA278A1" w:rsidR="004401F0" w:rsidRPr="00DA7718" w:rsidRDefault="00067112" w:rsidP="00654D21">
      <w:pPr>
        <w:keepNext/>
        <w:keepLines/>
        <w:adjustRightInd w:val="0"/>
        <w:snapToGrid w:val="0"/>
        <w:ind w:left="567" w:hanging="567"/>
        <w:rPr>
          <w:lang w:val="fr-FR"/>
        </w:rPr>
      </w:pPr>
      <w:r w:rsidRPr="00595D88">
        <w:rPr>
          <w:rFonts w:ascii="Symbol" w:eastAsia="Symbol" w:hAnsi="Symbol"/>
          <w:color w:val="000000"/>
          <w:lang w:val="en-GB"/>
        </w:rPr>
        <w:lastRenderedPageBreak/>
        <w:t></w:t>
      </w:r>
      <w:r w:rsidR="00BD4C7C" w:rsidRPr="00DA7718">
        <w:rPr>
          <w:lang w:val="fr-FR"/>
        </w:rPr>
        <w:tab/>
      </w:r>
      <w:r w:rsidR="00DF3C4F" w:rsidRPr="00DA7718">
        <w:rPr>
          <w:lang w:val="fr-FR"/>
        </w:rPr>
        <w:t>Vous pouvez développer une migraine sévère. Dans ce cas, prévenez immédiatement votre médecin, votre pharmacien ou votre infirmier/ère.</w:t>
      </w:r>
    </w:p>
    <w:p w14:paraId="7269EE85" w14:textId="77777777" w:rsidR="004401F0" w:rsidRPr="00DA7718" w:rsidRDefault="004401F0" w:rsidP="00654D21">
      <w:pPr>
        <w:pStyle w:val="a3"/>
        <w:keepNext/>
        <w:keepLines/>
        <w:adjustRightInd w:val="0"/>
        <w:snapToGrid w:val="0"/>
        <w:rPr>
          <w:lang w:val="fr-FR"/>
        </w:rPr>
      </w:pPr>
    </w:p>
    <w:p w14:paraId="64F06C29" w14:textId="53D1FACC" w:rsidR="004401F0" w:rsidRPr="00996B12" w:rsidRDefault="00DF3C4F" w:rsidP="00996B12">
      <w:pPr>
        <w:rPr>
          <w:b/>
          <w:bCs/>
          <w:lang w:val="fr-FR"/>
        </w:rPr>
      </w:pPr>
      <w:r w:rsidRPr="00996B12">
        <w:rPr>
          <w:b/>
          <w:bCs/>
          <w:lang w:val="fr-FR"/>
        </w:rPr>
        <w:t xml:space="preserve">Si une perfusion </w:t>
      </w:r>
      <w:r w:rsidR="00A00545" w:rsidRPr="00996B12">
        <w:rPr>
          <w:b/>
          <w:bCs/>
          <w:lang w:val="fr-FR"/>
        </w:rPr>
        <w:t xml:space="preserve">de </w:t>
      </w:r>
      <w:r w:rsidR="00F05208" w:rsidRPr="00996B12">
        <w:rPr>
          <w:b/>
          <w:bCs/>
          <w:lang w:val="fr-FR"/>
        </w:rPr>
        <w:t>Vegzelma</w:t>
      </w:r>
      <w:r w:rsidR="00A00545" w:rsidRPr="00996B12">
        <w:rPr>
          <w:b/>
          <w:bCs/>
          <w:lang w:val="fr-FR"/>
        </w:rPr>
        <w:t xml:space="preserve"> </w:t>
      </w:r>
      <w:r w:rsidRPr="00996B12">
        <w:rPr>
          <w:b/>
          <w:bCs/>
          <w:lang w:val="fr-FR"/>
        </w:rPr>
        <w:t>n’a pas pu être réalisée :</w:t>
      </w:r>
    </w:p>
    <w:p w14:paraId="30763ECE" w14:textId="77777777" w:rsidR="00EA035A" w:rsidRPr="00996B12" w:rsidRDefault="00EA035A" w:rsidP="00E84257">
      <w:pPr>
        <w:rPr>
          <w:b/>
          <w:bCs/>
          <w:lang w:val="fr-FR"/>
        </w:rPr>
      </w:pPr>
    </w:p>
    <w:p w14:paraId="767246DE" w14:textId="084427C6" w:rsidR="004401F0" w:rsidRPr="00DA7718" w:rsidRDefault="00067112" w:rsidP="00BD4C7C">
      <w:pPr>
        <w:adjustRightInd w:val="0"/>
        <w:snapToGrid w:val="0"/>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Votre médecin décidera de la date de la prochaine perfusion et s’en entretiendra avec vous.</w:t>
      </w:r>
    </w:p>
    <w:p w14:paraId="1915BB05" w14:textId="77777777" w:rsidR="004401F0" w:rsidRPr="00DA7718" w:rsidRDefault="004401F0" w:rsidP="00BD4C7C">
      <w:pPr>
        <w:pStyle w:val="a3"/>
        <w:adjustRightInd w:val="0"/>
        <w:snapToGrid w:val="0"/>
        <w:rPr>
          <w:lang w:val="fr-FR"/>
        </w:rPr>
      </w:pPr>
    </w:p>
    <w:p w14:paraId="71B478C5" w14:textId="398F45F7" w:rsidR="004401F0" w:rsidRPr="00996B12" w:rsidRDefault="00DF3C4F" w:rsidP="00996B12">
      <w:pPr>
        <w:rPr>
          <w:b/>
          <w:bCs/>
          <w:lang w:val="fr-FR"/>
        </w:rPr>
      </w:pPr>
      <w:r w:rsidRPr="00996B12">
        <w:rPr>
          <w:b/>
          <w:bCs/>
          <w:lang w:val="fr-FR"/>
        </w:rPr>
        <w:t xml:space="preserve">Si vous arrêtez d’utiliser </w:t>
      </w:r>
      <w:r w:rsidR="00F05208" w:rsidRPr="00996B12">
        <w:rPr>
          <w:b/>
          <w:bCs/>
          <w:lang w:val="fr-FR"/>
        </w:rPr>
        <w:t>Vegzelma</w:t>
      </w:r>
      <w:r w:rsidRPr="00996B12">
        <w:rPr>
          <w:b/>
          <w:bCs/>
          <w:lang w:val="fr-FR"/>
        </w:rPr>
        <w:t xml:space="preserve"> :</w:t>
      </w:r>
    </w:p>
    <w:p w14:paraId="6CD24FBA" w14:textId="77777777" w:rsidR="00EA035A" w:rsidRPr="00DA7718" w:rsidRDefault="00EA035A" w:rsidP="00E84257">
      <w:pPr>
        <w:rPr>
          <w:lang w:val="fr-FR"/>
        </w:rPr>
      </w:pPr>
    </w:p>
    <w:p w14:paraId="338A021F" w14:textId="56C3D9F7" w:rsidR="004401F0" w:rsidRPr="00DA7718" w:rsidRDefault="00DF3C4F" w:rsidP="00BD4C7C">
      <w:pPr>
        <w:pStyle w:val="a3"/>
        <w:adjustRightInd w:val="0"/>
        <w:snapToGrid w:val="0"/>
        <w:rPr>
          <w:lang w:val="fr-FR"/>
        </w:rPr>
      </w:pPr>
      <w:r w:rsidRPr="00DA7718">
        <w:rPr>
          <w:lang w:val="fr-FR"/>
        </w:rPr>
        <w:t xml:space="preserve">L’arrêt du traitement par </w:t>
      </w:r>
      <w:r w:rsidR="00F05208">
        <w:rPr>
          <w:lang w:val="fr-FR"/>
        </w:rPr>
        <w:t>Vegzelma</w:t>
      </w:r>
      <w:r w:rsidRPr="00DA7718">
        <w:rPr>
          <w:lang w:val="fr-FR"/>
        </w:rPr>
        <w:t xml:space="preserve"> peut interrompre l’effet sur la croissance de la tumeur. N’arrêtez pas le traitement par </w:t>
      </w:r>
      <w:r w:rsidR="00F05208">
        <w:rPr>
          <w:lang w:val="fr-FR"/>
        </w:rPr>
        <w:t>Vegzelma</w:t>
      </w:r>
      <w:r w:rsidRPr="00DA7718">
        <w:rPr>
          <w:lang w:val="fr-FR"/>
        </w:rPr>
        <w:t xml:space="preserve"> sans vous en entretenir auparavant avec votre médecin.</w:t>
      </w:r>
    </w:p>
    <w:p w14:paraId="5080301C" w14:textId="77777777" w:rsidR="004401F0" w:rsidRPr="00DA7718" w:rsidRDefault="004401F0" w:rsidP="00BD4C7C">
      <w:pPr>
        <w:pStyle w:val="a3"/>
        <w:adjustRightInd w:val="0"/>
        <w:snapToGrid w:val="0"/>
        <w:rPr>
          <w:lang w:val="fr-FR"/>
        </w:rPr>
      </w:pPr>
    </w:p>
    <w:p w14:paraId="60C27BA2" w14:textId="77777777" w:rsidR="004401F0" w:rsidRPr="00DA7718" w:rsidRDefault="00DF3C4F" w:rsidP="00BD4C7C">
      <w:pPr>
        <w:pStyle w:val="a3"/>
        <w:adjustRightInd w:val="0"/>
        <w:snapToGrid w:val="0"/>
        <w:rPr>
          <w:lang w:val="fr-FR"/>
        </w:rPr>
      </w:pPr>
      <w:r w:rsidRPr="00DA7718">
        <w:rPr>
          <w:lang w:val="fr-FR"/>
        </w:rPr>
        <w:t>Si vous avez d’autres questions sur l’utilisation de ce médicament, demandez plus d’informations à votre médecin, à votre pharmacien ou à votre infirmier/ère.</w:t>
      </w:r>
    </w:p>
    <w:p w14:paraId="200DF169" w14:textId="77777777" w:rsidR="004401F0" w:rsidRPr="00DB59CD" w:rsidRDefault="004401F0" w:rsidP="00BD4C7C">
      <w:pPr>
        <w:pStyle w:val="a3"/>
        <w:adjustRightInd w:val="0"/>
        <w:snapToGrid w:val="0"/>
        <w:rPr>
          <w:lang w:val="fr-FR"/>
        </w:rPr>
      </w:pPr>
    </w:p>
    <w:p w14:paraId="51F310C6" w14:textId="77777777" w:rsidR="004401F0" w:rsidRPr="00DA7718" w:rsidRDefault="004401F0" w:rsidP="00BD4C7C">
      <w:pPr>
        <w:pStyle w:val="a3"/>
        <w:adjustRightInd w:val="0"/>
        <w:snapToGrid w:val="0"/>
        <w:rPr>
          <w:sz w:val="20"/>
          <w:lang w:val="fr-FR"/>
        </w:rPr>
      </w:pPr>
    </w:p>
    <w:p w14:paraId="74D76EA4" w14:textId="77777777" w:rsidR="004401F0" w:rsidRPr="00996B12" w:rsidRDefault="00BD4C7C" w:rsidP="00996B12">
      <w:pPr>
        <w:rPr>
          <w:b/>
          <w:bCs/>
          <w:lang w:val="fr-FR"/>
        </w:rPr>
      </w:pPr>
      <w:r w:rsidRPr="00996B12">
        <w:rPr>
          <w:b/>
          <w:bCs/>
          <w:lang w:val="fr-FR"/>
        </w:rPr>
        <w:t>4.</w:t>
      </w:r>
      <w:r w:rsidRPr="00996B12">
        <w:rPr>
          <w:b/>
          <w:bCs/>
          <w:lang w:val="fr-FR"/>
        </w:rPr>
        <w:tab/>
      </w:r>
      <w:r w:rsidR="00DF3C4F" w:rsidRPr="00996B12">
        <w:rPr>
          <w:b/>
          <w:bCs/>
          <w:lang w:val="fr-FR"/>
        </w:rPr>
        <w:t>Quels sont les effets indésirables éventuels ?</w:t>
      </w:r>
    </w:p>
    <w:p w14:paraId="07BC8D4E" w14:textId="77777777" w:rsidR="004401F0" w:rsidRPr="007C119A" w:rsidRDefault="004401F0" w:rsidP="00BD4C7C">
      <w:pPr>
        <w:pStyle w:val="a3"/>
        <w:adjustRightInd w:val="0"/>
        <w:snapToGrid w:val="0"/>
        <w:rPr>
          <w:b/>
          <w:lang w:val="fr-FR"/>
        </w:rPr>
      </w:pPr>
    </w:p>
    <w:p w14:paraId="6785A966" w14:textId="77777777" w:rsidR="004401F0" w:rsidRPr="00DA7718" w:rsidRDefault="00DF3C4F" w:rsidP="00BD4C7C">
      <w:pPr>
        <w:pStyle w:val="a3"/>
        <w:adjustRightInd w:val="0"/>
        <w:snapToGrid w:val="0"/>
        <w:rPr>
          <w:lang w:val="fr-FR"/>
        </w:rPr>
      </w:pPr>
      <w:r w:rsidRPr="00DA7718">
        <w:rPr>
          <w:lang w:val="fr-FR"/>
        </w:rPr>
        <w:t>Comme tous les médicaments, ce médicament peut provoquer des effets indésirables, mais ils ne surviennent pas systématiquement chez tout le monde.</w:t>
      </w:r>
    </w:p>
    <w:p w14:paraId="0DC09383" w14:textId="77777777" w:rsidR="00BD4C7C" w:rsidRPr="00DA7718" w:rsidRDefault="00BD4C7C" w:rsidP="00BD4C7C">
      <w:pPr>
        <w:adjustRightInd w:val="0"/>
        <w:snapToGrid w:val="0"/>
        <w:rPr>
          <w:lang w:val="fr-FR"/>
        </w:rPr>
      </w:pPr>
    </w:p>
    <w:p w14:paraId="2FE7B9D2" w14:textId="77777777" w:rsidR="004401F0" w:rsidRPr="00DA7718" w:rsidRDefault="00DF3C4F" w:rsidP="00BD4C7C">
      <w:pPr>
        <w:pStyle w:val="a3"/>
        <w:adjustRightInd w:val="0"/>
        <w:snapToGrid w:val="0"/>
        <w:rPr>
          <w:lang w:val="fr-FR"/>
        </w:rPr>
      </w:pPr>
      <w:r w:rsidRPr="00DA7718">
        <w:rPr>
          <w:lang w:val="fr-FR"/>
        </w:rPr>
        <w:t>Si vous ressentez un quelconque effet indésirable, parlez-en à votre médecin, votre pharmacien ou à votre infirmier/ère. Ceci s’applique aussi à tout effet indésirable qui ne serait pas mentionné dans cette notice.</w:t>
      </w:r>
    </w:p>
    <w:p w14:paraId="67D06DBA" w14:textId="77777777" w:rsidR="004401F0" w:rsidRPr="00DA7718" w:rsidRDefault="004401F0" w:rsidP="00BD4C7C">
      <w:pPr>
        <w:pStyle w:val="a3"/>
        <w:adjustRightInd w:val="0"/>
        <w:snapToGrid w:val="0"/>
        <w:rPr>
          <w:lang w:val="fr-FR"/>
        </w:rPr>
      </w:pPr>
    </w:p>
    <w:p w14:paraId="420E5A80" w14:textId="054CAB92" w:rsidR="004401F0" w:rsidRPr="00DA7718" w:rsidRDefault="00DF3C4F" w:rsidP="00BD4C7C">
      <w:pPr>
        <w:pStyle w:val="a3"/>
        <w:adjustRightInd w:val="0"/>
        <w:snapToGrid w:val="0"/>
        <w:rPr>
          <w:lang w:val="fr-FR"/>
        </w:rPr>
      </w:pPr>
      <w:r w:rsidRPr="00DA7718">
        <w:rPr>
          <w:lang w:val="fr-FR"/>
        </w:rPr>
        <w:t xml:space="preserve">Les effets indésirables mentionnés ci-dessous ont été observés lors de traitements par </w:t>
      </w:r>
      <w:r w:rsidR="00F05208">
        <w:rPr>
          <w:lang w:val="fr-FR"/>
        </w:rPr>
        <w:t>Vegzelma</w:t>
      </w:r>
      <w:r w:rsidRPr="00DA7718">
        <w:rPr>
          <w:lang w:val="fr-FR"/>
        </w:rPr>
        <w:t xml:space="preserve"> en association à une chimiothérapie. Ces effets n’ont donc pas été nécessairement causés uniquement par </w:t>
      </w:r>
      <w:r w:rsidR="00F05208">
        <w:rPr>
          <w:lang w:val="fr-FR"/>
        </w:rPr>
        <w:t>Vegzelma</w:t>
      </w:r>
      <w:r w:rsidRPr="00DA7718">
        <w:rPr>
          <w:lang w:val="fr-FR"/>
        </w:rPr>
        <w:t>.</w:t>
      </w:r>
    </w:p>
    <w:p w14:paraId="3BB2C9DA" w14:textId="77777777" w:rsidR="004401F0" w:rsidRPr="00DA7718" w:rsidRDefault="004401F0" w:rsidP="00BD4C7C">
      <w:pPr>
        <w:pStyle w:val="a3"/>
        <w:adjustRightInd w:val="0"/>
        <w:snapToGrid w:val="0"/>
        <w:rPr>
          <w:lang w:val="fr-FR"/>
        </w:rPr>
      </w:pPr>
    </w:p>
    <w:p w14:paraId="54F67282" w14:textId="265144FA" w:rsidR="004401F0" w:rsidRPr="00996B12" w:rsidRDefault="00DF3C4F" w:rsidP="00996B12">
      <w:pPr>
        <w:rPr>
          <w:b/>
          <w:bCs/>
          <w:lang w:val="fr-FR"/>
        </w:rPr>
      </w:pPr>
      <w:r w:rsidRPr="00996B12">
        <w:rPr>
          <w:b/>
          <w:bCs/>
          <w:lang w:val="fr-FR"/>
        </w:rPr>
        <w:t>Réactions allergiques</w:t>
      </w:r>
    </w:p>
    <w:p w14:paraId="16CFF082" w14:textId="77777777" w:rsidR="00EA035A" w:rsidRPr="00DA7718" w:rsidRDefault="00EA035A" w:rsidP="00E84257">
      <w:pPr>
        <w:rPr>
          <w:lang w:val="fr-FR"/>
        </w:rPr>
      </w:pPr>
    </w:p>
    <w:p w14:paraId="0D93B58E" w14:textId="5E35D9BD" w:rsidR="004401F0" w:rsidRPr="00DA7718" w:rsidRDefault="00DF3C4F" w:rsidP="00BD4C7C">
      <w:pPr>
        <w:pStyle w:val="a3"/>
        <w:adjustRightInd w:val="0"/>
        <w:snapToGrid w:val="0"/>
        <w:rPr>
          <w:lang w:val="fr-FR"/>
        </w:rPr>
      </w:pPr>
      <w:r w:rsidRPr="00DA7718">
        <w:rPr>
          <w:lang w:val="fr-FR"/>
        </w:rPr>
        <w:t>Si vous présentez une réaction allergique, informez-en immédiatement votre médecin ou un membre de l’équipe médicale. Les signes peuvent inclure</w:t>
      </w:r>
      <w:r w:rsidR="00765A43">
        <w:rPr>
          <w:lang w:val="fr-FR"/>
        </w:rPr>
        <w:t xml:space="preserve"> : </w:t>
      </w:r>
      <w:r w:rsidRPr="00DA7718">
        <w:rPr>
          <w:lang w:val="fr-FR"/>
        </w:rPr>
        <w:t>une difficulté à respirer ou une douleur thoracique. Vous pouvez également présenter des rougeurs de la peau ou des bouffées de chaleurs ou une éruption transitoire, des frissons et tremblements, des nausées ou des vomissements</w:t>
      </w:r>
      <w:r w:rsidR="00283A59" w:rsidRPr="0099320F">
        <w:rPr>
          <w:spacing w:val="3"/>
          <w:lang w:val="fr-FR"/>
        </w:rPr>
        <w:t>, un gonflement (œdème), des étourdissements, un pouls accéléré et une perte de connaissance</w:t>
      </w:r>
      <w:r w:rsidRPr="00DA7718">
        <w:rPr>
          <w:lang w:val="fr-FR"/>
        </w:rPr>
        <w:t>.</w:t>
      </w:r>
    </w:p>
    <w:p w14:paraId="76A8B145" w14:textId="77777777" w:rsidR="004401F0" w:rsidRPr="00DA7718" w:rsidRDefault="004401F0" w:rsidP="00BD4C7C">
      <w:pPr>
        <w:pStyle w:val="a3"/>
        <w:adjustRightInd w:val="0"/>
        <w:snapToGrid w:val="0"/>
        <w:rPr>
          <w:lang w:val="fr-FR"/>
        </w:rPr>
      </w:pPr>
    </w:p>
    <w:p w14:paraId="40A5961C" w14:textId="77777777" w:rsidR="004401F0" w:rsidRPr="00996B12" w:rsidRDefault="00DF3C4F" w:rsidP="00996B12">
      <w:pPr>
        <w:rPr>
          <w:b/>
          <w:bCs/>
          <w:lang w:val="fr-FR"/>
        </w:rPr>
      </w:pPr>
      <w:r w:rsidRPr="00996B12">
        <w:rPr>
          <w:b/>
          <w:bCs/>
          <w:lang w:val="fr-FR"/>
        </w:rPr>
        <w:t>Demandez immédiatement de l’aide si vous souffrez de l’un des effets indésirables mentionnés ci-dessous.</w:t>
      </w:r>
    </w:p>
    <w:p w14:paraId="2B7C7555" w14:textId="77777777" w:rsidR="004401F0" w:rsidRPr="007C119A" w:rsidRDefault="004401F0" w:rsidP="00BD4C7C">
      <w:pPr>
        <w:pStyle w:val="a3"/>
        <w:adjustRightInd w:val="0"/>
        <w:snapToGrid w:val="0"/>
        <w:rPr>
          <w:b/>
          <w:lang w:val="fr-FR"/>
        </w:rPr>
      </w:pPr>
    </w:p>
    <w:p w14:paraId="60AE0A74" w14:textId="683F9C4C" w:rsidR="004401F0" w:rsidRPr="00DA7718" w:rsidRDefault="00DF3C4F" w:rsidP="00BD4C7C">
      <w:pPr>
        <w:pStyle w:val="a3"/>
        <w:adjustRightInd w:val="0"/>
        <w:snapToGrid w:val="0"/>
        <w:rPr>
          <w:lang w:val="fr-FR"/>
        </w:rPr>
      </w:pPr>
      <w:r w:rsidRPr="00DA7718">
        <w:rPr>
          <w:lang w:val="fr-FR"/>
        </w:rPr>
        <w:t xml:space="preserve">Les évènements indésirables d’intensité sévère pouvant être </w:t>
      </w:r>
      <w:r w:rsidRPr="00DA7718">
        <w:rPr>
          <w:b/>
          <w:lang w:val="fr-FR"/>
        </w:rPr>
        <w:t xml:space="preserve">très fréquents </w:t>
      </w:r>
      <w:r w:rsidRPr="00DA7718">
        <w:rPr>
          <w:lang w:val="fr-FR"/>
        </w:rPr>
        <w:t>(</w:t>
      </w:r>
      <w:r w:rsidR="00DB3535" w:rsidRPr="00ED5E25">
        <w:rPr>
          <w:lang w:val="fr-FR"/>
        </w:rPr>
        <w:t>peut affecter plus d’une personne sur 10</w:t>
      </w:r>
      <w:r w:rsidRPr="00DA7718">
        <w:rPr>
          <w:lang w:val="fr-FR"/>
        </w:rPr>
        <w:t>) comprennent :</w:t>
      </w:r>
    </w:p>
    <w:p w14:paraId="0FD3F669" w14:textId="00662378"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hypertension artérielle,</w:t>
      </w:r>
    </w:p>
    <w:p w14:paraId="51A0CDB2" w14:textId="696B731B"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sensation d’engourdissement ou fourmillements dans les mains ou les pieds,</w:t>
      </w:r>
    </w:p>
    <w:p w14:paraId="20FFFE4E" w14:textId="5A2BBBB5"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diminution du nombre des cellules dans le sang, y compris des globules blancs qui aident à lutter contre les infections (cela peut être accompagné de fièvre) et des cellules qui aident le sang à coaguler,</w:t>
      </w:r>
    </w:p>
    <w:p w14:paraId="17CBCB9B" w14:textId="5ACD025E"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sensation de faiblesse et de manque d’énergie,</w:t>
      </w:r>
    </w:p>
    <w:p w14:paraId="004EC7EA" w14:textId="05E0B468"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fatigue,</w:t>
      </w:r>
    </w:p>
    <w:p w14:paraId="6957FDE0" w14:textId="1875AE9C"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diarrhées, nausées, vomissements et douleur abdominale.</w:t>
      </w:r>
    </w:p>
    <w:p w14:paraId="6FB3581C" w14:textId="77777777" w:rsidR="004401F0" w:rsidRPr="00DA7718" w:rsidRDefault="004401F0" w:rsidP="00BD4C7C">
      <w:pPr>
        <w:pStyle w:val="a3"/>
        <w:adjustRightInd w:val="0"/>
        <w:snapToGrid w:val="0"/>
        <w:rPr>
          <w:lang w:val="fr-FR"/>
        </w:rPr>
      </w:pPr>
    </w:p>
    <w:p w14:paraId="4E481B50" w14:textId="3C73FD18" w:rsidR="004401F0" w:rsidRPr="00DA7718" w:rsidRDefault="00DF3C4F" w:rsidP="00CA35BF">
      <w:pPr>
        <w:pStyle w:val="a3"/>
        <w:adjustRightInd w:val="0"/>
        <w:snapToGrid w:val="0"/>
        <w:rPr>
          <w:lang w:val="fr-FR"/>
        </w:rPr>
      </w:pPr>
      <w:r w:rsidRPr="00DA7718">
        <w:rPr>
          <w:lang w:val="fr-FR"/>
        </w:rPr>
        <w:t xml:space="preserve">Les évènements indésirables d’intensité sévère pouvant être </w:t>
      </w:r>
      <w:r w:rsidRPr="00DA7718">
        <w:rPr>
          <w:b/>
          <w:lang w:val="fr-FR"/>
        </w:rPr>
        <w:t xml:space="preserve">fréquents </w:t>
      </w:r>
      <w:r w:rsidRPr="00DA7718">
        <w:rPr>
          <w:lang w:val="fr-FR"/>
        </w:rPr>
        <w:t>(</w:t>
      </w:r>
      <w:r w:rsidR="00E023F8" w:rsidRPr="00ED5E25">
        <w:rPr>
          <w:lang w:val="fr-FR"/>
        </w:rPr>
        <w:t>peut affecter jusqu’à une personne sur 10</w:t>
      </w:r>
      <w:r w:rsidRPr="00DA7718">
        <w:rPr>
          <w:lang w:val="fr-FR"/>
        </w:rPr>
        <w:t>) comprennent :</w:t>
      </w:r>
    </w:p>
    <w:p w14:paraId="3F4CB0B1" w14:textId="3A54C1BA" w:rsidR="004401F0" w:rsidRPr="00DA7718" w:rsidRDefault="00067112" w:rsidP="00CA35BF">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perforation intestinale,</w:t>
      </w:r>
    </w:p>
    <w:p w14:paraId="7C234DF7" w14:textId="6098D19D" w:rsidR="004401F0" w:rsidRPr="00DA7718" w:rsidRDefault="00067112" w:rsidP="00CA35BF">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saignements, y compris les saignements dans les poumons chez les patients atteints de cancer bronchique non à petites cellules,</w:t>
      </w:r>
    </w:p>
    <w:p w14:paraId="7172EA7F" w14:textId="61AE5417" w:rsidR="004401F0" w:rsidRPr="00DA7718" w:rsidRDefault="00067112" w:rsidP="00CA35BF">
      <w:pPr>
        <w:adjustRightInd w:val="0"/>
        <w:snapToGrid w:val="0"/>
        <w:ind w:left="567" w:hanging="567"/>
        <w:rPr>
          <w:lang w:val="fr-FR"/>
        </w:rPr>
      </w:pPr>
      <w:r w:rsidRPr="00595D88">
        <w:rPr>
          <w:rFonts w:ascii="Symbol" w:eastAsia="Symbol" w:hAnsi="Symbol"/>
          <w:color w:val="000000"/>
          <w:lang w:val="en-GB"/>
        </w:rPr>
        <w:lastRenderedPageBreak/>
        <w:t></w:t>
      </w:r>
      <w:r w:rsidR="00BD4C7C" w:rsidRPr="00DA7718">
        <w:rPr>
          <w:lang w:val="fr-FR"/>
        </w:rPr>
        <w:tab/>
      </w:r>
      <w:r w:rsidR="00DF3C4F" w:rsidRPr="00DA7718">
        <w:rPr>
          <w:lang w:val="fr-FR"/>
        </w:rPr>
        <w:t>obstruction d’une artère par un caillot sanguin,</w:t>
      </w:r>
    </w:p>
    <w:p w14:paraId="609B0E62" w14:textId="77DCF14F" w:rsidR="004401F0" w:rsidRPr="00DA7718" w:rsidRDefault="00067112" w:rsidP="00CA35BF">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obstruction d’une veine par un caillot sanguin,</w:t>
      </w:r>
    </w:p>
    <w:p w14:paraId="3783B65F" w14:textId="722266AC" w:rsidR="004401F0" w:rsidRPr="00DA7718" w:rsidRDefault="00067112" w:rsidP="00CA35BF">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obstruction de vaisseaux sanguins des poumons par un caillot sanguin,</w:t>
      </w:r>
    </w:p>
    <w:p w14:paraId="52F81C26" w14:textId="2CC9C1CE" w:rsidR="004401F0" w:rsidRPr="00DA7718" w:rsidRDefault="00067112" w:rsidP="00CA35BF">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obstruction d’une veine des jambes par un caillot sanguin,</w:t>
      </w:r>
    </w:p>
    <w:p w14:paraId="135CBC24" w14:textId="531CD646" w:rsidR="004401F0" w:rsidRPr="00DA7718" w:rsidRDefault="00067112" w:rsidP="00CA35BF">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insuffisance cardiaque,</w:t>
      </w:r>
    </w:p>
    <w:p w14:paraId="67AA7EDA" w14:textId="14551E7D" w:rsidR="004401F0" w:rsidRPr="00DA7718" w:rsidRDefault="00067112" w:rsidP="00CA35BF">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troubles de la cicatrisation des plaies après une intervention chirurgicale,</w:t>
      </w:r>
    </w:p>
    <w:p w14:paraId="12D15FDE" w14:textId="207F59D5" w:rsidR="004401F0" w:rsidRPr="00DA7718" w:rsidRDefault="00067112" w:rsidP="00CA35BF">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rougeurs, desquamation, sensibilité, douleur ou cloques sur les doigts ou les pieds,</w:t>
      </w:r>
    </w:p>
    <w:p w14:paraId="055785FE" w14:textId="50A6119A" w:rsidR="004401F0" w:rsidRPr="00DA7718" w:rsidRDefault="00067112" w:rsidP="00CA35BF">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diminution du nombre de globules rouges dans le sang,</w:t>
      </w:r>
    </w:p>
    <w:p w14:paraId="09BC198C" w14:textId="0DFE16E4"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manque d’énergie,</w:t>
      </w:r>
    </w:p>
    <w:p w14:paraId="102CD326" w14:textId="67C0E96A"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troubles des intestins et de l’estomac,</w:t>
      </w:r>
    </w:p>
    <w:p w14:paraId="22AD10A1" w14:textId="6EC77760"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douleur musculaire et articulaire, faiblesse musculaire,</w:t>
      </w:r>
    </w:p>
    <w:p w14:paraId="6463B053" w14:textId="753B7EFB"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sécheresse de la bouche associée à une sensation de soif et/ou urines foncées ou en moins grande quantité,</w:t>
      </w:r>
    </w:p>
    <w:p w14:paraId="5F705710" w14:textId="06834C9D"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inflammation des muqueuses de la bouche et des intestins, des poumons, des voies respiratoires, des voies urinaires et de la reproduction,</w:t>
      </w:r>
    </w:p>
    <w:p w14:paraId="73C8E4C4" w14:textId="761EC606"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plaies dans la bouche et le tube partant de la bouche vers l’estomac (œsophage), pouvant être douloureuses et entrainer des difficultés à avaler,</w:t>
      </w:r>
    </w:p>
    <w:p w14:paraId="7CFD18E1" w14:textId="159FCDB7"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douleurs, incluant des maux de tête, des douleurs au dos et des douleurs au niveau du bassin et de la région anale,</w:t>
      </w:r>
    </w:p>
    <w:p w14:paraId="14B05C50" w14:textId="2EA3B0EF"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collection de pus localisé,</w:t>
      </w:r>
    </w:p>
    <w:p w14:paraId="4CD2242E" w14:textId="58C7974A"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infection, et en particulier infection sanguine ou urinaire,</w:t>
      </w:r>
    </w:p>
    <w:p w14:paraId="34C2DE9D" w14:textId="7C03E33F"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diminution de l’afflux de sang dans le cerveau ou attaque cérébrale,</w:t>
      </w:r>
    </w:p>
    <w:p w14:paraId="32E30813" w14:textId="3C31E145"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somnolence,</w:t>
      </w:r>
    </w:p>
    <w:p w14:paraId="4AB98EFA" w14:textId="609BF7CB"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saignement de nez,</w:t>
      </w:r>
    </w:p>
    <w:p w14:paraId="11606139" w14:textId="5A7E1DE1"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augmentation du rythme cardiaque (pouls),</w:t>
      </w:r>
    </w:p>
    <w:p w14:paraId="397E817A" w14:textId="334D3999"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occlusion intestinale,</w:t>
      </w:r>
    </w:p>
    <w:p w14:paraId="453A00E2" w14:textId="34A77BE6"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bilan urinaire anormal (protéines dans l’urine),</w:t>
      </w:r>
    </w:p>
    <w:p w14:paraId="5D40B697" w14:textId="1848EDD0"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souffle court ou faible taux d’oxygène dans le sang,</w:t>
      </w:r>
    </w:p>
    <w:p w14:paraId="16A9AC8E" w14:textId="40D81470"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infections de la peau ou dans les couches plus profondes sous la peau,</w:t>
      </w:r>
    </w:p>
    <w:p w14:paraId="064D7412" w14:textId="48C168BF" w:rsidR="004401F0"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fistule</w:t>
      </w:r>
      <w:r w:rsidR="00765A43">
        <w:rPr>
          <w:lang w:val="fr-FR"/>
        </w:rPr>
        <w:t xml:space="preserve"> : </w:t>
      </w:r>
      <w:r w:rsidR="00DF3C4F" w:rsidRPr="00DA7718">
        <w:rPr>
          <w:lang w:val="fr-FR"/>
        </w:rPr>
        <w:t>communication anormale entre des organes internes et la peau ou d’autres tissus qui ne sont normalement pas reliés, incluant des communications entre le vagin et l’intestin chez les patientes atteintes d’un cancer du col de l’utérus</w:t>
      </w:r>
      <w:r w:rsidR="00236655" w:rsidRPr="00DA7718">
        <w:rPr>
          <w:lang w:val="fr-FR"/>
        </w:rPr>
        <w:t>,</w:t>
      </w:r>
    </w:p>
    <w:p w14:paraId="07C86CA8" w14:textId="464DEED8" w:rsidR="007C363D" w:rsidRPr="007C363D" w:rsidRDefault="007C363D" w:rsidP="001B66E2">
      <w:pPr>
        <w:pStyle w:val="a4"/>
        <w:numPr>
          <w:ilvl w:val="0"/>
          <w:numId w:val="15"/>
        </w:numPr>
        <w:tabs>
          <w:tab w:val="left" w:pos="567"/>
        </w:tabs>
        <w:adjustRightInd w:val="0"/>
        <w:snapToGrid w:val="0"/>
        <w:ind w:left="567" w:hanging="567"/>
        <w:rPr>
          <w:lang w:val="fr-FR"/>
        </w:rPr>
      </w:pPr>
      <w:r w:rsidRPr="007C363D">
        <w:rPr>
          <w:lang w:val="fr-FR"/>
        </w:rPr>
        <w:t>réactions allergiques (les signes peuvent inclure une difficulté à respirer, des rougeurs au visage, des éruptions, une hypotension ou une hypertension, un faible taux d’oxygène dans votre sang,</w:t>
      </w:r>
      <w:r w:rsidRPr="007C363D">
        <w:rPr>
          <w:rFonts w:eastAsia="맑은 고딕"/>
          <w:lang w:val="fr-FR" w:eastAsia="ko-KR"/>
        </w:rPr>
        <w:t xml:space="preserve"> </w:t>
      </w:r>
      <w:r w:rsidRPr="007C363D">
        <w:rPr>
          <w:lang w:val="fr-FR"/>
        </w:rPr>
        <w:t>une douleur thoracique, ou des nausées/vomissements).</w:t>
      </w:r>
    </w:p>
    <w:p w14:paraId="646A77A8" w14:textId="409228A8" w:rsidR="004401F0" w:rsidRDefault="004401F0" w:rsidP="00BD4C7C">
      <w:pPr>
        <w:pStyle w:val="a3"/>
        <w:adjustRightInd w:val="0"/>
        <w:snapToGrid w:val="0"/>
        <w:rPr>
          <w:lang w:val="fr-FR"/>
        </w:rPr>
      </w:pPr>
    </w:p>
    <w:p w14:paraId="422E8953" w14:textId="4CE427BF" w:rsidR="006A2D64" w:rsidRDefault="006A2D64" w:rsidP="006A2D64">
      <w:pPr>
        <w:pStyle w:val="a3"/>
        <w:adjustRightInd w:val="0"/>
        <w:snapToGrid w:val="0"/>
        <w:rPr>
          <w:lang w:val="fr-FR"/>
        </w:rPr>
      </w:pPr>
      <w:r w:rsidRPr="006A2D64">
        <w:rPr>
          <w:lang w:val="fr-FR"/>
        </w:rPr>
        <w:t xml:space="preserve">Les évènements indésirables d’intensité sévère pouvant être </w:t>
      </w:r>
      <w:r w:rsidRPr="00693D4B">
        <w:rPr>
          <w:b/>
          <w:bCs/>
          <w:lang w:val="fr-FR"/>
        </w:rPr>
        <w:t>rares</w:t>
      </w:r>
      <w:r w:rsidRPr="006A2D64">
        <w:rPr>
          <w:lang w:val="fr-FR"/>
        </w:rPr>
        <w:t xml:space="preserve"> (peut affecter jusqu’à une personne</w:t>
      </w:r>
      <w:r w:rsidR="001B66E2">
        <w:rPr>
          <w:lang w:val="fr-FR"/>
        </w:rPr>
        <w:t xml:space="preserve"> </w:t>
      </w:r>
      <w:r w:rsidRPr="006A2D64">
        <w:rPr>
          <w:lang w:val="fr-FR"/>
        </w:rPr>
        <w:t>sur 1 000) comprennent</w:t>
      </w:r>
      <w:r>
        <w:rPr>
          <w:lang w:val="fr-FR"/>
        </w:rPr>
        <w:t> :</w:t>
      </w:r>
    </w:p>
    <w:p w14:paraId="69577C8E" w14:textId="15B74CC2" w:rsidR="006A2D64" w:rsidRPr="006A2D64" w:rsidRDefault="006A2D64" w:rsidP="001B66E2">
      <w:pPr>
        <w:pStyle w:val="a3"/>
        <w:numPr>
          <w:ilvl w:val="0"/>
          <w:numId w:val="14"/>
        </w:numPr>
        <w:adjustRightInd w:val="0"/>
        <w:snapToGrid w:val="0"/>
        <w:ind w:left="567" w:hanging="567"/>
        <w:rPr>
          <w:lang w:val="fr-FR"/>
        </w:rPr>
      </w:pPr>
      <w:r w:rsidRPr="006A2D64">
        <w:rPr>
          <w:lang w:val="fr-FR"/>
        </w:rPr>
        <w:t>réaction allergique soudaine et sévère avec une difficulté à respirer, un gonflement (oedème), des étourdissements, un pouls accéléré, une transpiration et une perte de connaissance (choc anaphylactique).</w:t>
      </w:r>
    </w:p>
    <w:p w14:paraId="6D0A7137" w14:textId="77777777" w:rsidR="006A2D64" w:rsidRPr="007C119A" w:rsidRDefault="006A2D64" w:rsidP="006A2D64">
      <w:pPr>
        <w:pStyle w:val="a3"/>
        <w:adjustRightInd w:val="0"/>
        <w:snapToGrid w:val="0"/>
        <w:rPr>
          <w:lang w:val="fr-FR"/>
        </w:rPr>
      </w:pPr>
    </w:p>
    <w:p w14:paraId="637D4CCF" w14:textId="77777777" w:rsidR="004401F0" w:rsidRPr="00DA7718" w:rsidRDefault="00DF3C4F" w:rsidP="00BD4C7C">
      <w:pPr>
        <w:pStyle w:val="a3"/>
        <w:adjustRightInd w:val="0"/>
        <w:snapToGrid w:val="0"/>
        <w:rPr>
          <w:lang w:val="fr-FR"/>
        </w:rPr>
      </w:pPr>
      <w:r w:rsidRPr="00DA7718">
        <w:rPr>
          <w:lang w:val="fr-FR"/>
        </w:rPr>
        <w:t xml:space="preserve">Les évènements indésirables d’intensité sévère et de </w:t>
      </w:r>
      <w:r w:rsidRPr="00DA7718">
        <w:rPr>
          <w:b/>
          <w:lang w:val="fr-FR"/>
        </w:rPr>
        <w:t xml:space="preserve">fréquence indéterminée </w:t>
      </w:r>
      <w:r w:rsidRPr="00DA7718">
        <w:rPr>
          <w:lang w:val="fr-FR"/>
        </w:rPr>
        <w:t>(fréquence ne pouvant être estimée sur la base des données disponibles) comprennent :</w:t>
      </w:r>
    </w:p>
    <w:p w14:paraId="58F886CD" w14:textId="1E65A0A5"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infections graves de la peau ou des couches plus profondes sous la peau, particulièrement si vous avez eu une perforation de l’intestin ou des problèmes de cicatrisation des plaies,</w:t>
      </w:r>
    </w:p>
    <w:p w14:paraId="43687A8F" w14:textId="4FA4FBCE"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un effet négatif sur la capacité des femmes à avoir des enfants (voir paragraphe qui suit la liste des effets indésirables pour plus d’informations),</w:t>
      </w:r>
    </w:p>
    <w:p w14:paraId="1A32A2A2" w14:textId="075CDBC4"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un trouble cérébral avec des symptômes comprenant des convulsions (crises), un mal de tête, une confusion et des troubles de la vision (syndrome d’encéphalopathie postérieure réversible ou SEPR),</w:t>
      </w:r>
    </w:p>
    <w:p w14:paraId="2395DCCC" w14:textId="10679E16"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symptômes qui suggèrent des changements dans le fonctionnement normal du cerveau (maux de tête, troubles de la vision, confusion, ou convulsions) et une hypertension artérielle,</w:t>
      </w:r>
    </w:p>
    <w:p w14:paraId="47443D93" w14:textId="72286816"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élargissement et affaiblissement de la paroi d’un vaisseau sanguin ou déchirure dans la paroi d’un vaisseau sanguin (anévrismes et dissections artérielles),</w:t>
      </w:r>
    </w:p>
    <w:p w14:paraId="1FFB0479" w14:textId="132E19BE"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lastRenderedPageBreak/>
        <w:t></w:t>
      </w:r>
      <w:r w:rsidR="00BD4C7C" w:rsidRPr="00DA7718">
        <w:rPr>
          <w:lang w:val="fr-FR"/>
        </w:rPr>
        <w:tab/>
      </w:r>
      <w:r w:rsidR="00DF3C4F" w:rsidRPr="00DA7718">
        <w:rPr>
          <w:lang w:val="fr-FR"/>
        </w:rPr>
        <w:t>obstruction de très petits vaisseaux sanguins dans les reins,</w:t>
      </w:r>
    </w:p>
    <w:p w14:paraId="7BE76826" w14:textId="6A9E4A57"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pression sanguine anormalement élevée dans les vaisseaux sanguins des poumons ce qui fait travailler davantage la partie droite du cœur,</w:t>
      </w:r>
    </w:p>
    <w:p w14:paraId="779383F8" w14:textId="5596CDE9"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perforation dans le cartilage qui sépare les deux narines du nez,</w:t>
      </w:r>
    </w:p>
    <w:p w14:paraId="713ABF32" w14:textId="1566497A"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perforation de l’estomac ou des intestins,</w:t>
      </w:r>
    </w:p>
    <w:p w14:paraId="75C5D5F9" w14:textId="101D7B08"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une plaie ouverte ou une perforation des parois de l’estomac ou de l’intestin grêle (les signes peuvent inclure une douleur abdominale, une sensation de gonflement, des selles noires goudronneuses, du sang dans vos selles (fèces) ou du sang dans vos vomissements),</w:t>
      </w:r>
    </w:p>
    <w:p w14:paraId="41AEB88E" w14:textId="56058DBD"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saignement de la partie basse du gros intestin,</w:t>
      </w:r>
    </w:p>
    <w:p w14:paraId="66EAE63E" w14:textId="2E1B6F77"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lésions des gencives avec atteinte de l’os de la mâchoire, qui ne guérissent pas et qui peuvent être associées à une douleur ou une inflammation du tissu environnant (voir paragraphe qui suit la liste des effets indésirables pour plus d’informations),</w:t>
      </w:r>
    </w:p>
    <w:p w14:paraId="5C8FBD60" w14:textId="6D8FFFF8" w:rsidR="004401F0" w:rsidRPr="00DA7718" w:rsidRDefault="00067112" w:rsidP="00310AF1">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perforation de la vésicule biliaire (les signes et symptômes peuvent inclure une douleur abdominale, de la fièvre et des nausées/vomissements).</w:t>
      </w:r>
    </w:p>
    <w:p w14:paraId="1160F873" w14:textId="77777777" w:rsidR="004401F0" w:rsidRPr="00DA7718" w:rsidRDefault="004401F0" w:rsidP="00BD4C7C">
      <w:pPr>
        <w:pStyle w:val="a3"/>
        <w:adjustRightInd w:val="0"/>
        <w:snapToGrid w:val="0"/>
        <w:rPr>
          <w:lang w:val="fr-FR"/>
        </w:rPr>
      </w:pPr>
    </w:p>
    <w:p w14:paraId="50280ED2" w14:textId="77777777" w:rsidR="004401F0" w:rsidRPr="00996B12" w:rsidRDefault="00DF3C4F" w:rsidP="00996B12">
      <w:pPr>
        <w:rPr>
          <w:b/>
          <w:bCs/>
          <w:lang w:val="fr-FR"/>
        </w:rPr>
      </w:pPr>
      <w:r w:rsidRPr="00996B12">
        <w:rPr>
          <w:b/>
          <w:bCs/>
          <w:lang w:val="fr-FR"/>
        </w:rPr>
        <w:t>Demandez de l’aide dès que possible si vous souffrez de l’un des effets indésirables mentionnés ci-dessous.</w:t>
      </w:r>
    </w:p>
    <w:p w14:paraId="2BCD6D3A" w14:textId="77777777" w:rsidR="004401F0" w:rsidRPr="007C119A" w:rsidRDefault="004401F0" w:rsidP="00BD4C7C">
      <w:pPr>
        <w:pStyle w:val="a3"/>
        <w:adjustRightInd w:val="0"/>
        <w:snapToGrid w:val="0"/>
        <w:rPr>
          <w:b/>
          <w:lang w:val="fr-FR"/>
        </w:rPr>
      </w:pPr>
    </w:p>
    <w:p w14:paraId="02E402DF" w14:textId="081ABBEE" w:rsidR="004401F0" w:rsidRPr="00DA7718" w:rsidRDefault="00DF3C4F" w:rsidP="00BD4C7C">
      <w:pPr>
        <w:pStyle w:val="a3"/>
        <w:adjustRightInd w:val="0"/>
        <w:snapToGrid w:val="0"/>
        <w:rPr>
          <w:lang w:val="fr-FR"/>
        </w:rPr>
      </w:pPr>
      <w:r w:rsidRPr="00DA7718">
        <w:rPr>
          <w:lang w:val="fr-FR"/>
        </w:rPr>
        <w:t xml:space="preserve">Les évènements indésirables </w:t>
      </w:r>
      <w:r w:rsidRPr="00DA7718">
        <w:rPr>
          <w:b/>
          <w:lang w:val="fr-FR"/>
        </w:rPr>
        <w:t xml:space="preserve">très fréquents </w:t>
      </w:r>
      <w:r w:rsidRPr="00DA7718">
        <w:rPr>
          <w:lang w:val="fr-FR"/>
        </w:rPr>
        <w:t>(</w:t>
      </w:r>
      <w:r w:rsidR="00316EDC" w:rsidRPr="00ED5E25">
        <w:rPr>
          <w:lang w:val="fr-FR"/>
        </w:rPr>
        <w:t>peut affecter plus d’une personne sur 10</w:t>
      </w:r>
      <w:r w:rsidRPr="00DA7718">
        <w:rPr>
          <w:lang w:val="fr-FR"/>
        </w:rPr>
        <w:t>) non sévères comprennent :</w:t>
      </w:r>
    </w:p>
    <w:p w14:paraId="004ECC5A" w14:textId="485BC1D5"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constipation,</w:t>
      </w:r>
    </w:p>
    <w:p w14:paraId="6A025A08" w14:textId="0327E239"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perte d’appétit,</w:t>
      </w:r>
    </w:p>
    <w:p w14:paraId="7744E4BA" w14:textId="2C1E5004"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fièvre,</w:t>
      </w:r>
    </w:p>
    <w:p w14:paraId="29079EDF" w14:textId="21F082D9"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problèmes oculaires (dont larmoiement),</w:t>
      </w:r>
    </w:p>
    <w:p w14:paraId="246688AF" w14:textId="22D87DB3"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modification du langage,</w:t>
      </w:r>
    </w:p>
    <w:p w14:paraId="0C9679D8" w14:textId="665AFEB6"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modification du goût,</w:t>
      </w:r>
    </w:p>
    <w:p w14:paraId="03CD05E6" w14:textId="4BEA7F48"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écoulement nasal,</w:t>
      </w:r>
    </w:p>
    <w:p w14:paraId="6B680565" w14:textId="7E21CDF6"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sécheresse cutanée, desquamation et inflammation de la peau, modification de la couleur de peau,</w:t>
      </w:r>
    </w:p>
    <w:p w14:paraId="10A3E06A" w14:textId="71E74A47"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perte de poids,</w:t>
      </w:r>
    </w:p>
    <w:p w14:paraId="79E50B8F" w14:textId="511985FF" w:rsidR="004401F0" w:rsidRPr="00DA7718" w:rsidRDefault="00067112" w:rsidP="00BD4C7C">
      <w:pPr>
        <w:adjustRightInd w:val="0"/>
        <w:snapToGrid w:val="0"/>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saignement de nez.</w:t>
      </w:r>
    </w:p>
    <w:p w14:paraId="62F970F9" w14:textId="77777777" w:rsidR="00BD4C7C" w:rsidRPr="00DA7718" w:rsidRDefault="00BD4C7C" w:rsidP="00BD4C7C">
      <w:pPr>
        <w:adjustRightInd w:val="0"/>
        <w:snapToGrid w:val="0"/>
        <w:rPr>
          <w:lang w:val="fr-FR"/>
        </w:rPr>
      </w:pPr>
    </w:p>
    <w:p w14:paraId="166FDC66" w14:textId="04A84467" w:rsidR="004401F0" w:rsidRPr="00DA7718" w:rsidRDefault="00DF3C4F" w:rsidP="00BD4C7C">
      <w:pPr>
        <w:pStyle w:val="a3"/>
        <w:adjustRightInd w:val="0"/>
        <w:snapToGrid w:val="0"/>
        <w:rPr>
          <w:lang w:val="fr-FR"/>
        </w:rPr>
      </w:pPr>
      <w:r w:rsidRPr="00DA7718">
        <w:rPr>
          <w:lang w:val="fr-FR"/>
        </w:rPr>
        <w:t xml:space="preserve">Les évènements indésirables </w:t>
      </w:r>
      <w:r w:rsidRPr="00DA7718">
        <w:rPr>
          <w:b/>
          <w:lang w:val="fr-FR"/>
        </w:rPr>
        <w:t xml:space="preserve">fréquents </w:t>
      </w:r>
      <w:r w:rsidRPr="00DA7718">
        <w:rPr>
          <w:lang w:val="fr-FR"/>
        </w:rPr>
        <w:t>(</w:t>
      </w:r>
      <w:r w:rsidR="007D43C4" w:rsidRPr="00ED5E25">
        <w:rPr>
          <w:lang w:val="fr-FR"/>
        </w:rPr>
        <w:t>peut affecter jusqu’à une personne sur 10</w:t>
      </w:r>
      <w:r w:rsidRPr="00DA7718">
        <w:rPr>
          <w:lang w:val="fr-FR"/>
        </w:rPr>
        <w:t>) non sévères comprennent :</w:t>
      </w:r>
    </w:p>
    <w:p w14:paraId="5C66E3A9" w14:textId="5B365962" w:rsidR="004401F0" w:rsidRPr="00DA7718" w:rsidRDefault="00067112" w:rsidP="00BD4C7C">
      <w:pPr>
        <w:adjustRightInd w:val="0"/>
        <w:snapToGrid w:val="0"/>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modifications de la voix et enrouement.</w:t>
      </w:r>
    </w:p>
    <w:p w14:paraId="7238A37B" w14:textId="77777777" w:rsidR="004401F0" w:rsidRPr="00DA7718" w:rsidRDefault="004401F0" w:rsidP="00BD4C7C">
      <w:pPr>
        <w:pStyle w:val="a3"/>
        <w:adjustRightInd w:val="0"/>
        <w:snapToGrid w:val="0"/>
        <w:rPr>
          <w:lang w:val="fr-FR"/>
        </w:rPr>
      </w:pPr>
    </w:p>
    <w:p w14:paraId="01E4A4C4" w14:textId="77777777" w:rsidR="004401F0" w:rsidRPr="00DA7718" w:rsidRDefault="00DF3C4F" w:rsidP="00BD4C7C">
      <w:pPr>
        <w:pStyle w:val="a3"/>
        <w:adjustRightInd w:val="0"/>
        <w:snapToGrid w:val="0"/>
        <w:rPr>
          <w:lang w:val="fr-FR"/>
        </w:rPr>
      </w:pPr>
      <w:r w:rsidRPr="00DA7718">
        <w:rPr>
          <w:lang w:val="fr-FR"/>
        </w:rPr>
        <w:t>Les patients âgés de plus de 65 ans ont un risque accru de présenter les évènements indésirables suivants :</w:t>
      </w:r>
    </w:p>
    <w:p w14:paraId="3B91A914" w14:textId="4F0FE4F5"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des caillots sanguins dans les artères, pouvant conduire à une attaque cérébrale ou à une attaque cardiaque,</w:t>
      </w:r>
    </w:p>
    <w:p w14:paraId="5E102EBF" w14:textId="2FCF7B79"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diminution du nombre de globules blancs dans le sang et de cellules qui aident le sang à coaguler,</w:t>
      </w:r>
    </w:p>
    <w:p w14:paraId="2DDE34FF" w14:textId="45C09D16"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diarrhée,</w:t>
      </w:r>
    </w:p>
    <w:p w14:paraId="40A3EBC9" w14:textId="09571D74"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malaise,</w:t>
      </w:r>
    </w:p>
    <w:p w14:paraId="6B994CFE" w14:textId="6E11910D"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mal de tête,</w:t>
      </w:r>
    </w:p>
    <w:p w14:paraId="732B9758" w14:textId="32F69C7B"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fatigue,</w:t>
      </w:r>
    </w:p>
    <w:p w14:paraId="6A59FA89" w14:textId="39DDDECB"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hypertension artérielle.</w:t>
      </w:r>
    </w:p>
    <w:p w14:paraId="18ED4572" w14:textId="77777777" w:rsidR="004401F0" w:rsidRPr="007C119A" w:rsidRDefault="004401F0" w:rsidP="00BD4C7C">
      <w:pPr>
        <w:pStyle w:val="a3"/>
        <w:adjustRightInd w:val="0"/>
        <w:snapToGrid w:val="0"/>
        <w:rPr>
          <w:lang w:val="fr-FR"/>
        </w:rPr>
      </w:pPr>
    </w:p>
    <w:p w14:paraId="618DDA90" w14:textId="695EB9F5" w:rsidR="004401F0" w:rsidRPr="00DA7718" w:rsidRDefault="00F05208" w:rsidP="00CA35BF">
      <w:pPr>
        <w:pStyle w:val="a3"/>
        <w:widowControl/>
        <w:adjustRightInd w:val="0"/>
        <w:snapToGrid w:val="0"/>
        <w:rPr>
          <w:lang w:val="fr-FR"/>
        </w:rPr>
      </w:pPr>
      <w:r>
        <w:rPr>
          <w:lang w:val="fr-FR"/>
        </w:rPr>
        <w:t>Vegzelma</w:t>
      </w:r>
      <w:r w:rsidR="00DF3C4F" w:rsidRPr="00DA7718">
        <w:rPr>
          <w:lang w:val="fr-FR"/>
        </w:rPr>
        <w:t xml:space="preserve"> peut également modifier les résultats d’analyses demandées par votre médecin. Cela inclut une diminution du nombre de globules blancs dans le sang, en particulier des neutrophiles (un type de globules blancs qui aident à se protéger des infections), la présence de protéines dans l’urine, une diminution du taux de potassium, du taux de sodium, du taux de phosphore (un minéral) dans le sang, une augmentation du taux de sucre dans le sang ou des phosphatases alcalines (une enzyme) dans le sang, une augmentation de taux de créatinine sérique (une protéine mesurée par test sanguin pour voir </w:t>
      </w:r>
      <w:r w:rsidR="00DF3C4F" w:rsidRPr="00DA7718">
        <w:rPr>
          <w:lang w:val="fr-FR"/>
        </w:rPr>
        <w:lastRenderedPageBreak/>
        <w:t>si vos reins fonctionnent normalement), une diminution du taux d’hémoglobine (qui transporte l’oxygène dans le sang) qui peuvent être sévères.</w:t>
      </w:r>
    </w:p>
    <w:p w14:paraId="1A06B057" w14:textId="77777777" w:rsidR="004401F0" w:rsidRPr="00654D21" w:rsidRDefault="004401F0" w:rsidP="00BD4C7C">
      <w:pPr>
        <w:pStyle w:val="a3"/>
        <w:adjustRightInd w:val="0"/>
        <w:snapToGrid w:val="0"/>
        <w:rPr>
          <w:sz w:val="8"/>
          <w:szCs w:val="8"/>
          <w:lang w:val="fr-FR"/>
        </w:rPr>
      </w:pPr>
    </w:p>
    <w:p w14:paraId="0DA7ADE9" w14:textId="77777777" w:rsidR="004401F0" w:rsidRPr="00DA7718" w:rsidRDefault="00DF3C4F" w:rsidP="00BD4C7C">
      <w:pPr>
        <w:pStyle w:val="a3"/>
        <w:adjustRightInd w:val="0"/>
        <w:snapToGrid w:val="0"/>
        <w:rPr>
          <w:lang w:val="fr-FR"/>
        </w:rPr>
      </w:pPr>
      <w:r w:rsidRPr="00DA7718">
        <w:rPr>
          <w:lang w:val="fr-FR"/>
        </w:rPr>
        <w:t>Des douleurs au niveau de la bouche, des dents et/ou de la mâchoire, des gonflements ou des plaies à l’intérieur de la bouche, des engourdissements ou une sensation de lourdeur dans la mâchoire, ou la perte d’une dent, peuvent être des signes et symptômes de lésions osseuses dans la mâchoire (ostéonécrose). Parlez-en immédiatement à votre médecin et à votre dentiste si vous ressentez l’un de ces symptômes.</w:t>
      </w:r>
    </w:p>
    <w:p w14:paraId="74C76EE0" w14:textId="77777777" w:rsidR="004401F0" w:rsidRPr="007C119A" w:rsidRDefault="004401F0" w:rsidP="00BD4C7C">
      <w:pPr>
        <w:pStyle w:val="a3"/>
        <w:adjustRightInd w:val="0"/>
        <w:snapToGrid w:val="0"/>
        <w:rPr>
          <w:lang w:val="fr-FR"/>
        </w:rPr>
      </w:pPr>
    </w:p>
    <w:p w14:paraId="21F58029" w14:textId="77777777" w:rsidR="004401F0" w:rsidRPr="00DA7718" w:rsidRDefault="00DF3C4F" w:rsidP="00BD4C7C">
      <w:pPr>
        <w:pStyle w:val="a3"/>
        <w:adjustRightInd w:val="0"/>
        <w:snapToGrid w:val="0"/>
        <w:rPr>
          <w:lang w:val="fr-FR"/>
        </w:rPr>
      </w:pPr>
      <w:r w:rsidRPr="00DA7718">
        <w:rPr>
          <w:lang w:val="fr-FR"/>
        </w:rPr>
        <w:t>Une irrégularité voire absence des règles ainsi qu’une altération de la fertilité peuvent être observées chez les femmes non ménopausées (qui ont un cycle menstruel). Aussi, si vous envisagez d’avoir des enfants, vous devez en discuter avec votre médecin, avant de démarrer le traitement.</w:t>
      </w:r>
    </w:p>
    <w:p w14:paraId="6242773D" w14:textId="77777777" w:rsidR="004401F0" w:rsidRPr="00DA7718" w:rsidRDefault="004401F0" w:rsidP="00BD4C7C">
      <w:pPr>
        <w:pStyle w:val="a3"/>
        <w:adjustRightInd w:val="0"/>
        <w:snapToGrid w:val="0"/>
        <w:rPr>
          <w:lang w:val="fr-FR"/>
        </w:rPr>
      </w:pPr>
    </w:p>
    <w:p w14:paraId="2AE550E7" w14:textId="7210D580"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a été développé et fabriqué pour traiter le cancer par injection dans la circulation sanguine. Il n’a pas été développé ni fabriqué pour une injection dans l’œil. Il n’est par conséquent pas autorisé pour être utilisé selon cette voie d’administration. Lorsque </w:t>
      </w:r>
      <w:r w:rsidR="00A00545">
        <w:rPr>
          <w:lang w:val="fr-FR"/>
        </w:rPr>
        <w:t>le bevacizumab</w:t>
      </w:r>
      <w:r w:rsidR="00A00545" w:rsidRPr="00DA7718">
        <w:rPr>
          <w:lang w:val="fr-FR"/>
        </w:rPr>
        <w:t xml:space="preserve"> </w:t>
      </w:r>
      <w:r w:rsidR="00DF3C4F" w:rsidRPr="00DA7718">
        <w:rPr>
          <w:lang w:val="fr-FR"/>
        </w:rPr>
        <w:t>est injecté directement dans l’œil (utilisation non autorisée), les effets indésirables suivants peuvent apparaître :</w:t>
      </w:r>
    </w:p>
    <w:p w14:paraId="3A5D7D6B" w14:textId="77777777" w:rsidR="004401F0" w:rsidRPr="007C119A" w:rsidRDefault="004401F0" w:rsidP="00BD4C7C">
      <w:pPr>
        <w:pStyle w:val="a3"/>
        <w:adjustRightInd w:val="0"/>
        <w:snapToGrid w:val="0"/>
        <w:rPr>
          <w:lang w:val="fr-FR"/>
        </w:rPr>
      </w:pPr>
    </w:p>
    <w:p w14:paraId="2FA140FF" w14:textId="0D76E117"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Infection ou inflammation du globe oculaire,</w:t>
      </w:r>
    </w:p>
    <w:p w14:paraId="58474948" w14:textId="24A5F245"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Rougeur des yeux, présence de petites particules ou de tâches dans la vision (corps flottants), douleur oculaire,</w:t>
      </w:r>
    </w:p>
    <w:p w14:paraId="41D33668" w14:textId="0D4BFC6A"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Vision de flashs de lumière avec corps flottants, progressant vers une perte d’une partie de votre vision,</w:t>
      </w:r>
    </w:p>
    <w:p w14:paraId="5EDB1928" w14:textId="371F1C97"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Augmentation de la pression intraoculaire,</w:t>
      </w:r>
    </w:p>
    <w:p w14:paraId="16610A85" w14:textId="3F989B88"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Saignements dans les yeux.</w:t>
      </w:r>
    </w:p>
    <w:p w14:paraId="23DD54E1" w14:textId="77777777" w:rsidR="004401F0" w:rsidRPr="00DA7718" w:rsidRDefault="004401F0" w:rsidP="00BD4C7C">
      <w:pPr>
        <w:pStyle w:val="a3"/>
        <w:adjustRightInd w:val="0"/>
        <w:snapToGrid w:val="0"/>
        <w:rPr>
          <w:lang w:val="fr-FR"/>
        </w:rPr>
      </w:pPr>
    </w:p>
    <w:p w14:paraId="7D0DF6EE" w14:textId="77777777" w:rsidR="004401F0" w:rsidRPr="00996B12" w:rsidRDefault="00DF3C4F" w:rsidP="00996B12">
      <w:pPr>
        <w:rPr>
          <w:b/>
          <w:bCs/>
          <w:lang w:val="fr-FR"/>
        </w:rPr>
      </w:pPr>
      <w:r w:rsidRPr="00996B12">
        <w:rPr>
          <w:b/>
          <w:bCs/>
          <w:lang w:val="fr-FR"/>
        </w:rPr>
        <w:t>Déclaration des effets secondaires</w:t>
      </w:r>
    </w:p>
    <w:p w14:paraId="1BC6F556" w14:textId="77777777" w:rsidR="004401F0" w:rsidRPr="00DA7718" w:rsidRDefault="00DF3C4F" w:rsidP="00BD4C7C">
      <w:pPr>
        <w:pStyle w:val="a3"/>
        <w:adjustRightInd w:val="0"/>
        <w:snapToGrid w:val="0"/>
        <w:rPr>
          <w:lang w:val="fr-FR"/>
        </w:rPr>
      </w:pPr>
      <w:r w:rsidRPr="00DA7718">
        <w:rPr>
          <w:lang w:val="fr-FR"/>
        </w:rPr>
        <w:t xml:space="preserve">Si vous ressentez un quelconque effet indésirable, parlez-en à votre médecin, votre pharmacien ou à votre infirmier/ère. Ceci s’applique aussi à tout effet indésirable qui ne serait pas mentionné dans cette notice. Vous pouvez également déclarer les effets indésirables directement via </w:t>
      </w:r>
      <w:r w:rsidRPr="00DA7718">
        <w:rPr>
          <w:color w:val="000000"/>
          <w:shd w:val="clear" w:color="auto" w:fill="C1C1C1"/>
          <w:lang w:val="fr-FR"/>
        </w:rPr>
        <w:t>le système national de</w:t>
      </w:r>
      <w:r w:rsidRPr="00DA7718">
        <w:rPr>
          <w:color w:val="000000"/>
          <w:lang w:val="fr-FR"/>
        </w:rPr>
        <w:t xml:space="preserve"> </w:t>
      </w:r>
      <w:r w:rsidRPr="00DA7718">
        <w:rPr>
          <w:color w:val="000000"/>
          <w:shd w:val="clear" w:color="auto" w:fill="C1C1C1"/>
          <w:lang w:val="fr-FR"/>
        </w:rPr>
        <w:t xml:space="preserve">déclaration décrit en </w:t>
      </w:r>
      <w:hyperlink r:id="rId15">
        <w:r w:rsidRPr="00DA7718">
          <w:rPr>
            <w:color w:val="0000FF"/>
            <w:u w:val="single" w:color="0000FF"/>
            <w:shd w:val="clear" w:color="auto" w:fill="C1C1C1"/>
            <w:lang w:val="fr-FR"/>
          </w:rPr>
          <w:t>Annexe V</w:t>
        </w:r>
        <w:r w:rsidRPr="00DA7718">
          <w:rPr>
            <w:color w:val="000000"/>
            <w:lang w:val="fr-FR"/>
          </w:rPr>
          <w:t xml:space="preserve">. </w:t>
        </w:r>
      </w:hyperlink>
      <w:r w:rsidRPr="00DA7718">
        <w:rPr>
          <w:color w:val="000000"/>
          <w:lang w:val="fr-FR"/>
        </w:rPr>
        <w:t>En signalant les effets indésirables, vous contribuez à fournir davantage d’informations sur la sécurité du médicament.</w:t>
      </w:r>
    </w:p>
    <w:p w14:paraId="3ABE94DF" w14:textId="23899228" w:rsidR="00BD4C7C" w:rsidRDefault="00BD4C7C" w:rsidP="00BD4C7C">
      <w:pPr>
        <w:adjustRightInd w:val="0"/>
        <w:snapToGrid w:val="0"/>
        <w:rPr>
          <w:lang w:val="fr-FR"/>
        </w:rPr>
      </w:pPr>
    </w:p>
    <w:p w14:paraId="6FB8C140" w14:textId="77777777" w:rsidR="008E5986" w:rsidRPr="00DA7718" w:rsidRDefault="008E5986" w:rsidP="00BD4C7C">
      <w:pPr>
        <w:adjustRightInd w:val="0"/>
        <w:snapToGrid w:val="0"/>
        <w:rPr>
          <w:lang w:val="fr-FR"/>
        </w:rPr>
      </w:pPr>
    </w:p>
    <w:p w14:paraId="3C62046E" w14:textId="0ADB861D" w:rsidR="004401F0" w:rsidRPr="000C1540" w:rsidRDefault="00BD4C7C" w:rsidP="000C1540">
      <w:pPr>
        <w:rPr>
          <w:b/>
          <w:bCs/>
          <w:lang w:val="fr-FR"/>
        </w:rPr>
      </w:pPr>
      <w:r w:rsidRPr="000C1540">
        <w:rPr>
          <w:b/>
          <w:bCs/>
          <w:lang w:val="fr-FR"/>
        </w:rPr>
        <w:t>5.</w:t>
      </w:r>
      <w:r w:rsidRPr="000C1540">
        <w:rPr>
          <w:b/>
          <w:bCs/>
          <w:lang w:val="fr-FR"/>
        </w:rPr>
        <w:tab/>
      </w:r>
      <w:r w:rsidR="00DF3C4F" w:rsidRPr="000C1540">
        <w:rPr>
          <w:b/>
          <w:bCs/>
          <w:lang w:val="fr-FR"/>
        </w:rPr>
        <w:t xml:space="preserve">Comment conserver </w:t>
      </w:r>
      <w:r w:rsidR="00F05208" w:rsidRPr="000C1540">
        <w:rPr>
          <w:b/>
          <w:bCs/>
          <w:lang w:val="fr-FR"/>
        </w:rPr>
        <w:t>Vegzelma</w:t>
      </w:r>
      <w:r w:rsidR="00DF3C4F" w:rsidRPr="000C1540">
        <w:rPr>
          <w:b/>
          <w:bCs/>
          <w:lang w:val="fr-FR"/>
        </w:rPr>
        <w:t xml:space="preserve"> ?</w:t>
      </w:r>
    </w:p>
    <w:p w14:paraId="1750CC80" w14:textId="77777777" w:rsidR="004401F0" w:rsidRPr="000C1540" w:rsidRDefault="004401F0" w:rsidP="008B0007">
      <w:pPr>
        <w:pStyle w:val="a3"/>
        <w:keepNext/>
        <w:keepLines/>
        <w:adjustRightInd w:val="0"/>
        <w:snapToGrid w:val="0"/>
        <w:rPr>
          <w:b/>
          <w:bCs/>
          <w:lang w:val="fr-FR"/>
        </w:rPr>
      </w:pPr>
    </w:p>
    <w:p w14:paraId="11C20A7E" w14:textId="77777777" w:rsidR="004401F0" w:rsidRPr="00DA7718" w:rsidRDefault="00DF3C4F" w:rsidP="008B0007">
      <w:pPr>
        <w:pStyle w:val="a3"/>
        <w:keepNext/>
        <w:keepLines/>
        <w:adjustRightInd w:val="0"/>
        <w:snapToGrid w:val="0"/>
        <w:rPr>
          <w:lang w:val="fr-FR"/>
        </w:rPr>
      </w:pPr>
      <w:r w:rsidRPr="00DA7718">
        <w:rPr>
          <w:lang w:val="fr-FR"/>
        </w:rPr>
        <w:t>Tenir ce médicament hors de la vue et de la portée des enfants.</w:t>
      </w:r>
    </w:p>
    <w:p w14:paraId="5C193BE5" w14:textId="77777777" w:rsidR="004401F0" w:rsidRPr="00DA7718" w:rsidRDefault="004401F0" w:rsidP="00BD4C7C">
      <w:pPr>
        <w:pStyle w:val="a3"/>
        <w:adjustRightInd w:val="0"/>
        <w:snapToGrid w:val="0"/>
        <w:rPr>
          <w:lang w:val="fr-FR"/>
        </w:rPr>
      </w:pPr>
    </w:p>
    <w:p w14:paraId="4F1B9BE7" w14:textId="77777777" w:rsidR="004401F0" w:rsidRPr="00DA7718" w:rsidRDefault="00DF3C4F" w:rsidP="00BD4C7C">
      <w:pPr>
        <w:pStyle w:val="a3"/>
        <w:adjustRightInd w:val="0"/>
        <w:snapToGrid w:val="0"/>
        <w:rPr>
          <w:lang w:val="fr-FR"/>
        </w:rPr>
      </w:pPr>
      <w:r w:rsidRPr="00DA7718">
        <w:rPr>
          <w:lang w:val="fr-FR"/>
        </w:rPr>
        <w:t>N’utilisez pas ce médicament après la date de péremption indiquée sur l’emballage et l’étiquette du flacon après l’abréviation utilisée pour la date d’expiration EXP. La date d’expiration fait référence au dernier jour du mois.</w:t>
      </w:r>
    </w:p>
    <w:p w14:paraId="7138D358" w14:textId="77777777" w:rsidR="004401F0" w:rsidRPr="00DA7718" w:rsidRDefault="004401F0" w:rsidP="00BD4C7C">
      <w:pPr>
        <w:pStyle w:val="a3"/>
        <w:adjustRightInd w:val="0"/>
        <w:snapToGrid w:val="0"/>
        <w:rPr>
          <w:lang w:val="fr-FR"/>
        </w:rPr>
      </w:pPr>
    </w:p>
    <w:p w14:paraId="2C10BC6C" w14:textId="77777777" w:rsidR="0001774E" w:rsidRDefault="00DF3C4F" w:rsidP="00BD4C7C">
      <w:pPr>
        <w:pStyle w:val="a3"/>
        <w:adjustRightInd w:val="0"/>
        <w:snapToGrid w:val="0"/>
        <w:rPr>
          <w:lang w:val="fr-FR"/>
        </w:rPr>
      </w:pPr>
      <w:r w:rsidRPr="00DA7718">
        <w:rPr>
          <w:lang w:val="fr-FR"/>
        </w:rPr>
        <w:t xml:space="preserve">A conserver au réfrigérateur (entre 2°C et 8°C). </w:t>
      </w:r>
    </w:p>
    <w:p w14:paraId="191952FA" w14:textId="0671EFAD" w:rsidR="004401F0" w:rsidRDefault="00DF3C4F" w:rsidP="00BD4C7C">
      <w:pPr>
        <w:pStyle w:val="a3"/>
        <w:adjustRightInd w:val="0"/>
        <w:snapToGrid w:val="0"/>
        <w:rPr>
          <w:lang w:val="fr-FR"/>
        </w:rPr>
      </w:pPr>
      <w:r w:rsidRPr="00DA7718">
        <w:rPr>
          <w:lang w:val="fr-FR"/>
        </w:rPr>
        <w:t>Ne pas congeler.</w:t>
      </w:r>
    </w:p>
    <w:p w14:paraId="5C0471C0" w14:textId="77777777" w:rsidR="004A6135" w:rsidRPr="00DA7718" w:rsidRDefault="004A6135" w:rsidP="00BD4C7C">
      <w:pPr>
        <w:pStyle w:val="a3"/>
        <w:adjustRightInd w:val="0"/>
        <w:snapToGrid w:val="0"/>
        <w:rPr>
          <w:lang w:val="fr-FR"/>
        </w:rPr>
      </w:pPr>
    </w:p>
    <w:p w14:paraId="7B910F31" w14:textId="77777777" w:rsidR="004401F0" w:rsidRPr="00DA7718" w:rsidRDefault="00DF3C4F" w:rsidP="00BD4C7C">
      <w:pPr>
        <w:pStyle w:val="a3"/>
        <w:adjustRightInd w:val="0"/>
        <w:snapToGrid w:val="0"/>
        <w:rPr>
          <w:lang w:val="fr-FR"/>
        </w:rPr>
      </w:pPr>
      <w:r w:rsidRPr="00DA7718">
        <w:rPr>
          <w:lang w:val="fr-FR"/>
        </w:rPr>
        <w:t>Conserver le flacon dans l’emballage extérieur à l’abri de la lumière.</w:t>
      </w:r>
    </w:p>
    <w:p w14:paraId="0700CADB" w14:textId="77777777" w:rsidR="004401F0" w:rsidRPr="007C119A" w:rsidRDefault="004401F0" w:rsidP="00BD4C7C">
      <w:pPr>
        <w:pStyle w:val="a3"/>
        <w:adjustRightInd w:val="0"/>
        <w:snapToGrid w:val="0"/>
        <w:rPr>
          <w:lang w:val="fr-FR"/>
        </w:rPr>
      </w:pPr>
    </w:p>
    <w:p w14:paraId="4472F75E" w14:textId="22B4CEB1" w:rsidR="004401F0" w:rsidRPr="00DA7718" w:rsidRDefault="00DF3C4F" w:rsidP="00BD4C7C">
      <w:pPr>
        <w:pStyle w:val="a3"/>
        <w:adjustRightInd w:val="0"/>
        <w:snapToGrid w:val="0"/>
        <w:rPr>
          <w:lang w:val="fr-FR"/>
        </w:rPr>
      </w:pPr>
      <w:r w:rsidRPr="00DA7718">
        <w:rPr>
          <w:lang w:val="fr-FR"/>
        </w:rPr>
        <w:t xml:space="preserve">Les solutions pour perfusion doivent être utilisées immédiatement après dilution. Si elles ne sont pas utilisées immédiatement, les durées et conditions de conservation en cours d’utilisation relèvent de la responsabilité de l’utilisateur et ne devraient normalement pas excéder 24 heures entre 2°C et 8°C, sauf si les solutions pour perfusion ont été préparées dans un environnement stérile. Lorsque la dilution est réalisée dans un environnement stérile, </w:t>
      </w:r>
      <w:r w:rsidR="00F05208">
        <w:rPr>
          <w:lang w:val="fr-FR"/>
        </w:rPr>
        <w:t>Vegzelma</w:t>
      </w:r>
      <w:r w:rsidRPr="00DA7718">
        <w:rPr>
          <w:lang w:val="fr-FR"/>
        </w:rPr>
        <w:t xml:space="preserve"> est stable pendant </w:t>
      </w:r>
      <w:r w:rsidR="00A00545">
        <w:rPr>
          <w:lang w:val="fr-FR"/>
        </w:rPr>
        <w:t>6</w:t>
      </w:r>
      <w:r w:rsidRPr="00DA7718">
        <w:rPr>
          <w:lang w:val="fr-FR"/>
        </w:rPr>
        <w:t>0 jours entre 2°</w:t>
      </w:r>
      <w:r w:rsidR="007C4B7E" w:rsidRPr="00DA7718">
        <w:rPr>
          <w:lang w:val="fr-FR"/>
        </w:rPr>
        <w:t>C</w:t>
      </w:r>
      <w:r w:rsidR="007C4B7E">
        <w:rPr>
          <w:lang w:val="fr-FR"/>
        </w:rPr>
        <w:t> </w:t>
      </w:r>
      <w:r w:rsidRPr="00DA7718">
        <w:rPr>
          <w:lang w:val="fr-FR"/>
        </w:rPr>
        <w:t xml:space="preserve">et 8°C puis pendant </w:t>
      </w:r>
      <w:r w:rsidR="00A00545">
        <w:rPr>
          <w:lang w:val="fr-FR"/>
        </w:rPr>
        <w:t>7 jours</w:t>
      </w:r>
      <w:r w:rsidRPr="00DA7718">
        <w:rPr>
          <w:lang w:val="fr-FR"/>
        </w:rPr>
        <w:t xml:space="preserve"> supplémentaires entre 2°C et 30°C.</w:t>
      </w:r>
    </w:p>
    <w:p w14:paraId="0988B9C1" w14:textId="77777777" w:rsidR="004401F0" w:rsidRPr="00DA7718" w:rsidRDefault="004401F0" w:rsidP="00BD4C7C">
      <w:pPr>
        <w:pStyle w:val="a3"/>
        <w:adjustRightInd w:val="0"/>
        <w:snapToGrid w:val="0"/>
        <w:rPr>
          <w:lang w:val="fr-FR"/>
        </w:rPr>
      </w:pPr>
    </w:p>
    <w:p w14:paraId="5D4AC41A" w14:textId="0D6A3312" w:rsidR="004401F0" w:rsidRPr="00DA7718" w:rsidRDefault="00DF3C4F" w:rsidP="00BD4C7C">
      <w:pPr>
        <w:pStyle w:val="a3"/>
        <w:adjustRightInd w:val="0"/>
        <w:snapToGrid w:val="0"/>
        <w:rPr>
          <w:lang w:val="fr-FR"/>
        </w:rPr>
      </w:pPr>
      <w:r w:rsidRPr="00DA7718">
        <w:rPr>
          <w:lang w:val="fr-FR"/>
        </w:rPr>
        <w:t xml:space="preserve">Ne pas utiliser </w:t>
      </w:r>
      <w:r w:rsidR="00F05208">
        <w:rPr>
          <w:lang w:val="fr-FR"/>
        </w:rPr>
        <w:t>Vegzelma</w:t>
      </w:r>
      <w:r w:rsidRPr="00DA7718">
        <w:rPr>
          <w:lang w:val="fr-FR"/>
        </w:rPr>
        <w:t>, si vous remarquez un problème de particule quel qu’il soit, ou une décoloration avant l’administration.</w:t>
      </w:r>
    </w:p>
    <w:p w14:paraId="185212FB" w14:textId="77777777" w:rsidR="004401F0" w:rsidRPr="00DA7718" w:rsidRDefault="004401F0" w:rsidP="00BD4C7C">
      <w:pPr>
        <w:pStyle w:val="a3"/>
        <w:adjustRightInd w:val="0"/>
        <w:snapToGrid w:val="0"/>
        <w:rPr>
          <w:lang w:val="fr-FR"/>
        </w:rPr>
      </w:pPr>
    </w:p>
    <w:p w14:paraId="1FAEF27D" w14:textId="77777777" w:rsidR="004401F0" w:rsidRDefault="00DF3C4F" w:rsidP="00BD4C7C">
      <w:pPr>
        <w:pStyle w:val="a3"/>
        <w:adjustRightInd w:val="0"/>
        <w:snapToGrid w:val="0"/>
        <w:rPr>
          <w:rFonts w:eastAsia="맑은 고딕"/>
          <w:lang w:val="fr-FR" w:eastAsia="ko-KR"/>
        </w:rPr>
      </w:pPr>
      <w:r w:rsidRPr="00DA7718">
        <w:rPr>
          <w:lang w:val="fr-FR"/>
        </w:rPr>
        <w:lastRenderedPageBreak/>
        <w:t>Ne jetez aucun médicament au tout-à-l’égout ou avec les ordures ménagères. Demandez à votre pharmacien d’éliminer les médicaments que vous n’utilisez plus. Ces mesures contribueront à protéger l’environnement.</w:t>
      </w:r>
    </w:p>
    <w:p w14:paraId="3086715B" w14:textId="77777777" w:rsidR="00B93A25" w:rsidRPr="00B93A25" w:rsidRDefault="00B93A25" w:rsidP="00BD4C7C">
      <w:pPr>
        <w:pStyle w:val="a3"/>
        <w:adjustRightInd w:val="0"/>
        <w:snapToGrid w:val="0"/>
        <w:rPr>
          <w:lang w:val="fr-FR"/>
        </w:rPr>
      </w:pPr>
    </w:p>
    <w:p w14:paraId="4D822961" w14:textId="77777777" w:rsidR="0069508A" w:rsidRPr="000C1540" w:rsidRDefault="00BD4C7C" w:rsidP="000C1540">
      <w:pPr>
        <w:rPr>
          <w:b/>
          <w:bCs/>
          <w:lang w:val="fr-FR"/>
        </w:rPr>
      </w:pPr>
      <w:r w:rsidRPr="000C1540">
        <w:rPr>
          <w:b/>
          <w:bCs/>
          <w:lang w:val="fr-FR"/>
        </w:rPr>
        <w:t>6.</w:t>
      </w:r>
      <w:r w:rsidRPr="000C1540">
        <w:rPr>
          <w:b/>
          <w:bCs/>
          <w:lang w:val="fr-FR"/>
        </w:rPr>
        <w:tab/>
      </w:r>
      <w:r w:rsidR="00DF3C4F" w:rsidRPr="000C1540">
        <w:rPr>
          <w:b/>
          <w:bCs/>
          <w:lang w:val="fr-FR"/>
        </w:rPr>
        <w:t xml:space="preserve">Contenu de l’emballage et autres informations </w:t>
      </w:r>
    </w:p>
    <w:p w14:paraId="157A5904" w14:textId="77777777" w:rsidR="0069508A" w:rsidRDefault="0069508A" w:rsidP="00E84257">
      <w:pPr>
        <w:rPr>
          <w:lang w:val="fr-FR"/>
        </w:rPr>
      </w:pPr>
    </w:p>
    <w:p w14:paraId="11B59BB7" w14:textId="3E35FA0E" w:rsidR="004401F0" w:rsidRPr="000C1540" w:rsidRDefault="00DF3C4F" w:rsidP="000C1540">
      <w:pPr>
        <w:rPr>
          <w:b/>
          <w:bCs/>
          <w:lang w:val="fr-FR"/>
        </w:rPr>
      </w:pPr>
      <w:r w:rsidRPr="000C1540">
        <w:rPr>
          <w:b/>
          <w:bCs/>
          <w:lang w:val="fr-FR"/>
        </w:rPr>
        <w:t xml:space="preserve">Ce que contient </w:t>
      </w:r>
      <w:r w:rsidR="00F05208" w:rsidRPr="000C1540">
        <w:rPr>
          <w:b/>
          <w:bCs/>
          <w:lang w:val="fr-FR"/>
        </w:rPr>
        <w:t>Vegzelma</w:t>
      </w:r>
    </w:p>
    <w:p w14:paraId="7F2363DD" w14:textId="77777777" w:rsidR="0069508A" w:rsidRPr="00DA7718" w:rsidRDefault="0069508A" w:rsidP="00E84257">
      <w:pPr>
        <w:rPr>
          <w:lang w:val="fr-FR"/>
        </w:rPr>
      </w:pPr>
    </w:p>
    <w:p w14:paraId="0BBB11D2" w14:textId="7BC87461"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La substance active est le bevacizumab. Chaque</w:t>
      </w:r>
      <w:r w:rsidR="00DA7718" w:rsidRPr="00DA7718">
        <w:rPr>
          <w:lang w:val="fr-FR"/>
        </w:rPr>
        <w:t> ml</w:t>
      </w:r>
      <w:r w:rsidR="00DF3C4F" w:rsidRPr="00DA7718">
        <w:rPr>
          <w:lang w:val="fr-FR"/>
        </w:rPr>
        <w:t xml:space="preserve"> contient 25</w:t>
      </w:r>
      <w:r w:rsidR="00DA7718" w:rsidRPr="00DA7718">
        <w:rPr>
          <w:lang w:val="fr-FR"/>
        </w:rPr>
        <w:t> mg</w:t>
      </w:r>
      <w:r w:rsidR="00DF3C4F" w:rsidRPr="00DA7718">
        <w:rPr>
          <w:lang w:val="fr-FR"/>
        </w:rPr>
        <w:t xml:space="preserve"> de bevacizumab, ce qui correspond à 1,4 à 16,5</w:t>
      </w:r>
      <w:r w:rsidR="00DA7718" w:rsidRPr="00DA7718">
        <w:rPr>
          <w:lang w:val="fr-FR"/>
        </w:rPr>
        <w:t> mg</w:t>
      </w:r>
      <w:r w:rsidR="00DF3C4F" w:rsidRPr="00DA7718">
        <w:rPr>
          <w:lang w:val="fr-FR"/>
        </w:rPr>
        <w:t>/ml après dilution telle que recommandée.</w:t>
      </w:r>
    </w:p>
    <w:p w14:paraId="22A75492" w14:textId="77777777" w:rsidR="004401F0" w:rsidRPr="00DA7718" w:rsidRDefault="008B0007" w:rsidP="008B0007">
      <w:pPr>
        <w:pStyle w:val="a3"/>
        <w:adjustRightInd w:val="0"/>
        <w:snapToGrid w:val="0"/>
        <w:ind w:left="567" w:hanging="567"/>
        <w:rPr>
          <w:lang w:val="fr-FR"/>
        </w:rPr>
      </w:pPr>
      <w:r>
        <w:rPr>
          <w:lang w:val="fr-FR"/>
        </w:rPr>
        <w:tab/>
      </w:r>
      <w:r w:rsidR="00DF3C4F" w:rsidRPr="00DA7718">
        <w:rPr>
          <w:lang w:val="fr-FR"/>
        </w:rPr>
        <w:t>Chaque flacon 4</w:t>
      </w:r>
      <w:r w:rsidR="00DA7718" w:rsidRPr="00DA7718">
        <w:rPr>
          <w:lang w:val="fr-FR"/>
        </w:rPr>
        <w:t> ml</w:t>
      </w:r>
      <w:r w:rsidR="00DF3C4F" w:rsidRPr="00DA7718">
        <w:rPr>
          <w:lang w:val="fr-FR"/>
        </w:rPr>
        <w:t xml:space="preserve"> contient 100</w:t>
      </w:r>
      <w:r w:rsidR="00DA7718" w:rsidRPr="00DA7718">
        <w:rPr>
          <w:lang w:val="fr-FR"/>
        </w:rPr>
        <w:t> mg</w:t>
      </w:r>
      <w:r w:rsidR="00DF3C4F" w:rsidRPr="00DA7718">
        <w:rPr>
          <w:lang w:val="fr-FR"/>
        </w:rPr>
        <w:t xml:space="preserve"> de bevacizumab, ce qui correspond à 1,4</w:t>
      </w:r>
      <w:r w:rsidR="00DA7718" w:rsidRPr="00DA7718">
        <w:rPr>
          <w:lang w:val="fr-FR"/>
        </w:rPr>
        <w:t> mg</w:t>
      </w:r>
      <w:r w:rsidR="00DF3C4F" w:rsidRPr="00DA7718">
        <w:rPr>
          <w:lang w:val="fr-FR"/>
        </w:rPr>
        <w:t>/ml après la dilution recommandée.</w:t>
      </w:r>
    </w:p>
    <w:p w14:paraId="0864301F" w14:textId="77777777" w:rsidR="004401F0" w:rsidRDefault="008B0007" w:rsidP="008B0007">
      <w:pPr>
        <w:pStyle w:val="a3"/>
        <w:adjustRightInd w:val="0"/>
        <w:snapToGrid w:val="0"/>
        <w:ind w:left="567" w:hanging="567"/>
        <w:rPr>
          <w:lang w:val="fr-FR"/>
        </w:rPr>
      </w:pPr>
      <w:r>
        <w:rPr>
          <w:lang w:val="fr-FR"/>
        </w:rPr>
        <w:tab/>
      </w:r>
      <w:r w:rsidR="00DF3C4F" w:rsidRPr="00DA7718">
        <w:rPr>
          <w:lang w:val="fr-FR"/>
        </w:rPr>
        <w:t>Chaque flacon 16</w:t>
      </w:r>
      <w:r w:rsidR="00DA7718" w:rsidRPr="00DA7718">
        <w:rPr>
          <w:lang w:val="fr-FR"/>
        </w:rPr>
        <w:t> ml</w:t>
      </w:r>
      <w:r w:rsidR="00DF3C4F" w:rsidRPr="00DA7718">
        <w:rPr>
          <w:lang w:val="fr-FR"/>
        </w:rPr>
        <w:t xml:space="preserve"> contient 400</w:t>
      </w:r>
      <w:r w:rsidR="00DA7718" w:rsidRPr="00DA7718">
        <w:rPr>
          <w:lang w:val="fr-FR"/>
        </w:rPr>
        <w:t> mg</w:t>
      </w:r>
      <w:r w:rsidR="00DF3C4F" w:rsidRPr="00DA7718">
        <w:rPr>
          <w:lang w:val="fr-FR"/>
        </w:rPr>
        <w:t xml:space="preserve"> de bevacizumab, ce qui correspond à 16,5</w:t>
      </w:r>
      <w:r w:rsidR="00DA7718" w:rsidRPr="00DA7718">
        <w:rPr>
          <w:lang w:val="fr-FR"/>
        </w:rPr>
        <w:t> mg</w:t>
      </w:r>
      <w:r w:rsidR="00DF3C4F" w:rsidRPr="00DA7718">
        <w:rPr>
          <w:lang w:val="fr-FR"/>
        </w:rPr>
        <w:t>/ml après la dilution recommandée.</w:t>
      </w:r>
    </w:p>
    <w:p w14:paraId="0696C8E4" w14:textId="77777777" w:rsidR="0069508A" w:rsidRPr="00DA7718" w:rsidRDefault="0069508A" w:rsidP="008B0007">
      <w:pPr>
        <w:pStyle w:val="a3"/>
        <w:adjustRightInd w:val="0"/>
        <w:snapToGrid w:val="0"/>
        <w:ind w:left="567" w:hanging="567"/>
        <w:rPr>
          <w:lang w:val="fr-FR"/>
        </w:rPr>
      </w:pPr>
    </w:p>
    <w:p w14:paraId="61A58C12" w14:textId="45E8A973" w:rsidR="004401F0" w:rsidRPr="00DA7718" w:rsidRDefault="00067112" w:rsidP="008B0007">
      <w:pPr>
        <w:adjustRightInd w:val="0"/>
        <w:snapToGrid w:val="0"/>
        <w:ind w:left="567" w:hanging="567"/>
        <w:rPr>
          <w:lang w:val="fr-FR"/>
        </w:rPr>
      </w:pPr>
      <w:r w:rsidRPr="00595D88">
        <w:rPr>
          <w:rFonts w:ascii="Symbol" w:eastAsia="Symbol" w:hAnsi="Symbol"/>
          <w:color w:val="000000"/>
          <w:lang w:val="en-GB"/>
        </w:rPr>
        <w:t></w:t>
      </w:r>
      <w:r w:rsidR="00BD4C7C" w:rsidRPr="00DA7718">
        <w:rPr>
          <w:lang w:val="fr-FR"/>
        </w:rPr>
        <w:tab/>
      </w:r>
      <w:r w:rsidR="00DF3C4F" w:rsidRPr="00DA7718">
        <w:rPr>
          <w:lang w:val="fr-FR"/>
        </w:rPr>
        <w:t>Les autres composants sont</w:t>
      </w:r>
      <w:r w:rsidR="00765A43">
        <w:rPr>
          <w:lang w:val="fr-FR"/>
        </w:rPr>
        <w:t xml:space="preserve"> : </w:t>
      </w:r>
      <w:r w:rsidR="00DF3C4F" w:rsidRPr="00DA7718">
        <w:rPr>
          <w:lang w:val="fr-FR"/>
        </w:rPr>
        <w:t>dihydrate de tréhalose, phosphate de sodium, polysorbate 20 et eau pour préparations injectables.</w:t>
      </w:r>
    </w:p>
    <w:p w14:paraId="26FB860D" w14:textId="77777777" w:rsidR="004401F0" w:rsidRPr="00DA7718" w:rsidRDefault="004401F0" w:rsidP="00BD4C7C">
      <w:pPr>
        <w:pStyle w:val="a3"/>
        <w:adjustRightInd w:val="0"/>
        <w:snapToGrid w:val="0"/>
        <w:rPr>
          <w:lang w:val="fr-FR"/>
        </w:rPr>
      </w:pPr>
    </w:p>
    <w:p w14:paraId="1A526FB3" w14:textId="37C6ADA0" w:rsidR="004401F0" w:rsidRPr="000C1540" w:rsidRDefault="00DF3C4F" w:rsidP="000C1540">
      <w:pPr>
        <w:rPr>
          <w:b/>
          <w:bCs/>
          <w:lang w:val="fr-FR"/>
        </w:rPr>
      </w:pPr>
      <w:r w:rsidRPr="000C1540">
        <w:rPr>
          <w:b/>
          <w:bCs/>
          <w:lang w:val="fr-FR"/>
        </w:rPr>
        <w:t xml:space="preserve">Qu’est-ce </w:t>
      </w:r>
      <w:r w:rsidR="00A00545" w:rsidRPr="000C1540">
        <w:rPr>
          <w:b/>
          <w:bCs/>
          <w:lang w:val="fr-FR"/>
        </w:rPr>
        <w:t xml:space="preserve">que </w:t>
      </w:r>
      <w:r w:rsidR="00F05208" w:rsidRPr="000C1540">
        <w:rPr>
          <w:b/>
          <w:bCs/>
          <w:lang w:val="fr-FR"/>
        </w:rPr>
        <w:t>Vegzelma</w:t>
      </w:r>
      <w:r w:rsidR="00A00545" w:rsidRPr="000C1540">
        <w:rPr>
          <w:b/>
          <w:bCs/>
          <w:lang w:val="fr-FR"/>
        </w:rPr>
        <w:t xml:space="preserve"> </w:t>
      </w:r>
      <w:r w:rsidRPr="000C1540">
        <w:rPr>
          <w:b/>
          <w:bCs/>
          <w:lang w:val="fr-FR"/>
        </w:rPr>
        <w:t>et contenu de l’emballage extérieur</w:t>
      </w:r>
    </w:p>
    <w:p w14:paraId="266D2F89" w14:textId="77777777" w:rsidR="004A6135" w:rsidRPr="00DA7718" w:rsidRDefault="004A6135" w:rsidP="00E84257">
      <w:pPr>
        <w:rPr>
          <w:lang w:val="fr-FR"/>
        </w:rPr>
      </w:pPr>
    </w:p>
    <w:p w14:paraId="6793EABC" w14:textId="76907FF5" w:rsidR="004401F0" w:rsidRPr="00DA7718" w:rsidRDefault="00F05208" w:rsidP="00BD4C7C">
      <w:pPr>
        <w:pStyle w:val="a3"/>
        <w:adjustRightInd w:val="0"/>
        <w:snapToGrid w:val="0"/>
        <w:rPr>
          <w:lang w:val="fr-FR"/>
        </w:rPr>
      </w:pPr>
      <w:r>
        <w:rPr>
          <w:lang w:val="fr-FR"/>
        </w:rPr>
        <w:t>Vegzelma</w:t>
      </w:r>
      <w:r w:rsidR="00DF3C4F" w:rsidRPr="00DA7718">
        <w:rPr>
          <w:lang w:val="fr-FR"/>
        </w:rPr>
        <w:t xml:space="preserve"> est une solution à diluer pour perfusion. La solution à diluer est limpide à légèrement opalescent, incolore à brun pâle contenu dans un flacon avec un bouchon en caoutchouc. Chaque flacon contient 100</w:t>
      </w:r>
      <w:r w:rsidR="00DA7718" w:rsidRPr="00DA7718">
        <w:rPr>
          <w:lang w:val="fr-FR"/>
        </w:rPr>
        <w:t> mg</w:t>
      </w:r>
      <w:r w:rsidR="00DF3C4F" w:rsidRPr="00DA7718">
        <w:rPr>
          <w:lang w:val="fr-FR"/>
        </w:rPr>
        <w:t xml:space="preserve"> de bevacizumab dans 4</w:t>
      </w:r>
      <w:r w:rsidR="00DA7718" w:rsidRPr="00DA7718">
        <w:rPr>
          <w:lang w:val="fr-FR"/>
        </w:rPr>
        <w:t> ml</w:t>
      </w:r>
      <w:r w:rsidR="00DF3C4F" w:rsidRPr="00DA7718">
        <w:rPr>
          <w:lang w:val="fr-FR"/>
        </w:rPr>
        <w:t xml:space="preserve"> de solution ou 400</w:t>
      </w:r>
      <w:r w:rsidR="00DA7718" w:rsidRPr="00DA7718">
        <w:rPr>
          <w:lang w:val="fr-FR"/>
        </w:rPr>
        <w:t> mg</w:t>
      </w:r>
      <w:r w:rsidR="00DF3C4F" w:rsidRPr="00DA7718">
        <w:rPr>
          <w:lang w:val="fr-FR"/>
        </w:rPr>
        <w:t xml:space="preserve"> de </w:t>
      </w:r>
      <w:r w:rsidR="008C7F9B" w:rsidRPr="00DA7718">
        <w:rPr>
          <w:lang w:val="fr-FR"/>
        </w:rPr>
        <w:t xml:space="preserve">de bevacizumab </w:t>
      </w:r>
      <w:r w:rsidR="00DF3C4F" w:rsidRPr="00DA7718">
        <w:rPr>
          <w:lang w:val="fr-FR"/>
        </w:rPr>
        <w:t xml:space="preserve"> dans 16</w:t>
      </w:r>
      <w:r w:rsidR="00DA7718" w:rsidRPr="00DA7718">
        <w:rPr>
          <w:lang w:val="fr-FR"/>
        </w:rPr>
        <w:t> ml</w:t>
      </w:r>
      <w:r w:rsidR="00DF3C4F" w:rsidRPr="00DA7718">
        <w:rPr>
          <w:lang w:val="fr-FR"/>
        </w:rPr>
        <w:t xml:space="preserve"> de solution. Chaque boîte </w:t>
      </w:r>
      <w:r w:rsidR="00A00545">
        <w:rPr>
          <w:lang w:val="fr-FR"/>
        </w:rPr>
        <w:t xml:space="preserve">de </w:t>
      </w:r>
      <w:r>
        <w:rPr>
          <w:lang w:val="fr-FR"/>
        </w:rPr>
        <w:t>Vegzelma</w:t>
      </w:r>
      <w:r w:rsidR="00A00545" w:rsidRPr="00DA7718">
        <w:rPr>
          <w:lang w:val="fr-FR"/>
        </w:rPr>
        <w:t xml:space="preserve"> </w:t>
      </w:r>
      <w:r w:rsidR="00DF3C4F" w:rsidRPr="00DA7718">
        <w:rPr>
          <w:lang w:val="fr-FR"/>
        </w:rPr>
        <w:t xml:space="preserve">contient </w:t>
      </w:r>
      <w:r w:rsidR="00A00545">
        <w:rPr>
          <w:lang w:val="fr-FR"/>
        </w:rPr>
        <w:t>1</w:t>
      </w:r>
      <w:r w:rsidR="00B93A25">
        <w:rPr>
          <w:rFonts w:eastAsia="맑은 고딕" w:hint="eastAsia"/>
          <w:lang w:val="fr-FR" w:eastAsia="ko-KR"/>
        </w:rPr>
        <w:t>, 2</w:t>
      </w:r>
      <w:r w:rsidR="00A00545">
        <w:rPr>
          <w:lang w:val="fr-FR"/>
        </w:rPr>
        <w:t xml:space="preserve"> ou 10 </w:t>
      </w:r>
      <w:r w:rsidR="00DF3C4F" w:rsidRPr="00DA7718">
        <w:rPr>
          <w:lang w:val="fr-FR"/>
        </w:rPr>
        <w:t>flacon</w:t>
      </w:r>
      <w:r w:rsidR="00A00545">
        <w:rPr>
          <w:lang w:val="fr-FR"/>
        </w:rPr>
        <w:t>s</w:t>
      </w:r>
      <w:r w:rsidR="00DF3C4F" w:rsidRPr="00DA7718">
        <w:rPr>
          <w:lang w:val="fr-FR"/>
        </w:rPr>
        <w:t>.</w:t>
      </w:r>
    </w:p>
    <w:p w14:paraId="30A11DCB" w14:textId="77777777" w:rsidR="004401F0" w:rsidRPr="00DA7718" w:rsidRDefault="004401F0" w:rsidP="00BD4C7C">
      <w:pPr>
        <w:pStyle w:val="a3"/>
        <w:adjustRightInd w:val="0"/>
        <w:snapToGrid w:val="0"/>
        <w:rPr>
          <w:lang w:val="fr-FR"/>
        </w:rPr>
      </w:pPr>
    </w:p>
    <w:p w14:paraId="3000B303" w14:textId="62628443" w:rsidR="004401F0" w:rsidRPr="000C1540" w:rsidRDefault="00DF3C4F" w:rsidP="000C1540">
      <w:pPr>
        <w:rPr>
          <w:b/>
          <w:bCs/>
          <w:lang w:val="fr-FR"/>
        </w:rPr>
      </w:pPr>
      <w:r w:rsidRPr="000C1540">
        <w:rPr>
          <w:b/>
          <w:bCs/>
          <w:lang w:val="fr-FR"/>
        </w:rPr>
        <w:t>Titulaire de l'Autorisation de mise sur le marché</w:t>
      </w:r>
    </w:p>
    <w:p w14:paraId="7878D9C0" w14:textId="77777777" w:rsidR="004A6135" w:rsidRPr="00DA7718" w:rsidRDefault="004A6135" w:rsidP="00E84257">
      <w:pPr>
        <w:rPr>
          <w:lang w:val="fr-FR"/>
        </w:rPr>
      </w:pPr>
    </w:p>
    <w:p w14:paraId="25E051C2" w14:textId="77777777" w:rsidR="00574F4B" w:rsidRPr="00F014C7" w:rsidRDefault="00574F4B" w:rsidP="00574F4B">
      <w:pPr>
        <w:widowControl/>
        <w:adjustRightInd w:val="0"/>
        <w:snapToGrid w:val="0"/>
        <w:rPr>
          <w:color w:val="000000"/>
          <w:lang w:val="en-GB" w:eastAsia="ko-KR"/>
        </w:rPr>
      </w:pPr>
      <w:r w:rsidRPr="00F014C7">
        <w:rPr>
          <w:color w:val="000000"/>
          <w:lang w:val="en-GB" w:eastAsia="ko-KR"/>
        </w:rPr>
        <w:t xml:space="preserve">Celltrion Healthcare Hungary Kft. </w:t>
      </w:r>
    </w:p>
    <w:p w14:paraId="29AD46E3" w14:textId="77777777" w:rsidR="00574F4B" w:rsidRPr="00F014C7" w:rsidRDefault="00574F4B" w:rsidP="00574F4B">
      <w:pPr>
        <w:widowControl/>
        <w:adjustRightInd w:val="0"/>
        <w:snapToGrid w:val="0"/>
        <w:rPr>
          <w:color w:val="000000"/>
          <w:lang w:val="en-GB" w:eastAsia="ko-KR"/>
        </w:rPr>
      </w:pPr>
      <w:r w:rsidRPr="00F014C7">
        <w:rPr>
          <w:rFonts w:eastAsia="바탕"/>
          <w:color w:val="000000"/>
          <w:lang w:val="en-GB"/>
        </w:rPr>
        <w:t xml:space="preserve">1062 </w:t>
      </w:r>
      <w:r w:rsidRPr="00F014C7">
        <w:rPr>
          <w:color w:val="000000"/>
          <w:lang w:val="en-GB" w:eastAsia="ko-KR"/>
        </w:rPr>
        <w:t>Budapest</w:t>
      </w:r>
    </w:p>
    <w:p w14:paraId="778529E9" w14:textId="77777777" w:rsidR="00574F4B" w:rsidRPr="00C16207" w:rsidRDefault="00574F4B" w:rsidP="00574F4B">
      <w:pPr>
        <w:widowControl/>
        <w:adjustRightInd w:val="0"/>
        <w:snapToGrid w:val="0"/>
        <w:rPr>
          <w:rFonts w:eastAsia="바탕"/>
          <w:color w:val="000000"/>
          <w:lang w:val="en-GB"/>
        </w:rPr>
      </w:pPr>
      <w:r w:rsidRPr="00F014C7">
        <w:rPr>
          <w:rFonts w:eastAsia="바탕"/>
          <w:color w:val="000000"/>
          <w:lang w:val="en-GB"/>
        </w:rPr>
        <w:t xml:space="preserve">Váci út 1-3. </w:t>
      </w:r>
      <w:r w:rsidRPr="00C16207">
        <w:rPr>
          <w:rFonts w:eastAsia="바탕"/>
          <w:color w:val="000000"/>
          <w:lang w:val="en-GB"/>
        </w:rPr>
        <w:t>WestEnd Office Building B torony</w:t>
      </w:r>
    </w:p>
    <w:p w14:paraId="4AA5B95E" w14:textId="77777777" w:rsidR="00574F4B" w:rsidRPr="00C16207" w:rsidRDefault="00574F4B" w:rsidP="00574F4B">
      <w:pPr>
        <w:widowControl/>
        <w:adjustRightInd w:val="0"/>
        <w:snapToGrid w:val="0"/>
        <w:rPr>
          <w:color w:val="000000"/>
          <w:lang w:val="en-GB" w:eastAsia="ko-KR"/>
        </w:rPr>
      </w:pPr>
      <w:r>
        <w:rPr>
          <w:color w:val="000000"/>
          <w:lang w:val="en-GB" w:eastAsia="ko-KR"/>
        </w:rPr>
        <w:t>Hongrie</w:t>
      </w:r>
    </w:p>
    <w:p w14:paraId="4ACC0C35" w14:textId="77777777" w:rsidR="00BD4C7C" w:rsidRPr="00F9256D" w:rsidRDefault="00BD4C7C" w:rsidP="00BD4C7C">
      <w:pPr>
        <w:adjustRightInd w:val="0"/>
        <w:snapToGrid w:val="0"/>
      </w:pPr>
    </w:p>
    <w:p w14:paraId="10FD22E6" w14:textId="39F17721" w:rsidR="004401F0" w:rsidRPr="000C1540" w:rsidRDefault="00DF3C4F" w:rsidP="000C1540">
      <w:pPr>
        <w:rPr>
          <w:b/>
          <w:bCs/>
        </w:rPr>
      </w:pPr>
      <w:r w:rsidRPr="000C1540">
        <w:rPr>
          <w:b/>
          <w:bCs/>
        </w:rPr>
        <w:t>Fabricant :</w:t>
      </w:r>
    </w:p>
    <w:p w14:paraId="7F73EE8C" w14:textId="77777777" w:rsidR="004A6135" w:rsidRPr="00F9256D" w:rsidRDefault="004A6135" w:rsidP="00E84257"/>
    <w:p w14:paraId="2CCCAA6C" w14:textId="77777777" w:rsidR="00D277D8" w:rsidRPr="00850855" w:rsidRDefault="00D277D8" w:rsidP="00D277D8">
      <w:pPr>
        <w:widowControl/>
        <w:adjustRightInd w:val="0"/>
        <w:snapToGrid w:val="0"/>
        <w:rPr>
          <w:color w:val="000000"/>
          <w:shd w:val="clear" w:color="auto" w:fill="C1C1C1"/>
        </w:rPr>
      </w:pPr>
      <w:r w:rsidRPr="00850855">
        <w:rPr>
          <w:color w:val="000000"/>
          <w:shd w:val="clear" w:color="auto" w:fill="C1C1C1"/>
        </w:rPr>
        <w:t>Nuvisan GmbH</w:t>
      </w:r>
    </w:p>
    <w:p w14:paraId="42B2BFD6" w14:textId="77777777" w:rsidR="00D277D8" w:rsidRPr="00850855" w:rsidRDefault="00D277D8" w:rsidP="00D277D8">
      <w:pPr>
        <w:widowControl/>
        <w:adjustRightInd w:val="0"/>
        <w:snapToGrid w:val="0"/>
        <w:rPr>
          <w:color w:val="000000"/>
          <w:shd w:val="clear" w:color="auto" w:fill="C1C1C1"/>
        </w:rPr>
      </w:pPr>
      <w:r w:rsidRPr="00850855">
        <w:rPr>
          <w:color w:val="000000"/>
          <w:shd w:val="clear" w:color="auto" w:fill="C1C1C1"/>
        </w:rPr>
        <w:t>Wegenerstraße 13</w:t>
      </w:r>
    </w:p>
    <w:p w14:paraId="5E763CF9" w14:textId="2089CD2C" w:rsidR="00D277D8" w:rsidRPr="000D7348" w:rsidRDefault="00D277D8" w:rsidP="00D277D8">
      <w:pPr>
        <w:widowControl/>
        <w:adjustRightInd w:val="0"/>
        <w:snapToGrid w:val="0"/>
        <w:rPr>
          <w:color w:val="000000"/>
          <w:shd w:val="clear" w:color="auto" w:fill="C1C1C1"/>
        </w:rPr>
      </w:pPr>
      <w:r w:rsidRPr="000D7348">
        <w:rPr>
          <w:color w:val="000000"/>
          <w:shd w:val="clear" w:color="auto" w:fill="C1C1C1"/>
        </w:rPr>
        <w:t>89231 Neu</w:t>
      </w:r>
      <w:r w:rsidR="00B93A25" w:rsidRPr="000D7348">
        <w:rPr>
          <w:rFonts w:eastAsia="맑은 고딕" w:hint="eastAsia"/>
          <w:color w:val="000000"/>
          <w:shd w:val="clear" w:color="auto" w:fill="C1C1C1"/>
          <w:lang w:eastAsia="ko-KR"/>
        </w:rPr>
        <w:t>-</w:t>
      </w:r>
      <w:r w:rsidRPr="000D7348">
        <w:rPr>
          <w:color w:val="000000"/>
          <w:shd w:val="clear" w:color="auto" w:fill="C1C1C1"/>
        </w:rPr>
        <w:t>Ulm</w:t>
      </w:r>
    </w:p>
    <w:p w14:paraId="790DFA30" w14:textId="77777777" w:rsidR="00D277D8" w:rsidRPr="009315A6" w:rsidRDefault="00D277D8" w:rsidP="00D277D8">
      <w:pPr>
        <w:pStyle w:val="a3"/>
        <w:adjustRightInd w:val="0"/>
        <w:snapToGrid w:val="0"/>
        <w:rPr>
          <w:color w:val="000000"/>
          <w:shd w:val="clear" w:color="auto" w:fill="C1C1C1"/>
          <w:lang w:val="fr-FR"/>
        </w:rPr>
      </w:pPr>
      <w:r w:rsidRPr="009315A6">
        <w:rPr>
          <w:color w:val="000000"/>
          <w:shd w:val="clear" w:color="auto" w:fill="C1C1C1"/>
          <w:lang w:val="fr-FR"/>
        </w:rPr>
        <w:t>Allemagne</w:t>
      </w:r>
    </w:p>
    <w:p w14:paraId="28440C8F" w14:textId="77777777" w:rsidR="00D277D8" w:rsidRPr="00F014C7" w:rsidRDefault="00D277D8" w:rsidP="00D277D8">
      <w:pPr>
        <w:pStyle w:val="a3"/>
        <w:adjustRightInd w:val="0"/>
        <w:snapToGrid w:val="0"/>
        <w:rPr>
          <w:lang w:val="de-DE"/>
        </w:rPr>
      </w:pPr>
    </w:p>
    <w:p w14:paraId="55A28D02" w14:textId="77777777" w:rsidR="00D277D8" w:rsidRPr="000C517C" w:rsidRDefault="00D277D8" w:rsidP="00D277D8">
      <w:pPr>
        <w:widowControl/>
        <w:adjustRightInd w:val="0"/>
        <w:snapToGrid w:val="0"/>
        <w:rPr>
          <w:color w:val="000000"/>
          <w:lang w:val="fr-FR"/>
        </w:rPr>
      </w:pPr>
      <w:r w:rsidRPr="000C517C">
        <w:rPr>
          <w:color w:val="000000"/>
          <w:lang w:val="fr-FR"/>
        </w:rPr>
        <w:t>Nuvisan France SARL</w:t>
      </w:r>
    </w:p>
    <w:p w14:paraId="5808755E" w14:textId="77777777" w:rsidR="00D277D8" w:rsidRPr="000C517C" w:rsidRDefault="00D277D8" w:rsidP="00D277D8">
      <w:pPr>
        <w:widowControl/>
        <w:adjustRightInd w:val="0"/>
        <w:snapToGrid w:val="0"/>
        <w:rPr>
          <w:color w:val="000000"/>
          <w:lang w:val="fr-FR"/>
        </w:rPr>
      </w:pPr>
      <w:r w:rsidRPr="000C517C">
        <w:rPr>
          <w:color w:val="000000"/>
          <w:lang w:val="fr-FR"/>
        </w:rPr>
        <w:t>2400, Route des Colles</w:t>
      </w:r>
    </w:p>
    <w:p w14:paraId="578B89B6" w14:textId="6190CB80" w:rsidR="00D277D8" w:rsidRPr="00B93A25" w:rsidRDefault="00D277D8" w:rsidP="00D277D8">
      <w:pPr>
        <w:widowControl/>
        <w:adjustRightInd w:val="0"/>
        <w:snapToGrid w:val="0"/>
        <w:rPr>
          <w:color w:val="000000"/>
          <w:lang w:val="fr-FR"/>
        </w:rPr>
      </w:pPr>
      <w:r w:rsidRPr="000C517C">
        <w:rPr>
          <w:color w:val="000000"/>
          <w:lang w:val="fr-FR"/>
        </w:rPr>
        <w:t xml:space="preserve">06410, </w:t>
      </w:r>
      <w:r w:rsidR="00B93A25">
        <w:rPr>
          <w:rFonts w:eastAsia="맑은 고딕" w:hint="eastAsia"/>
          <w:color w:val="000000"/>
          <w:lang w:val="fr-FR" w:eastAsia="ko-KR"/>
        </w:rPr>
        <w:t>Biot</w:t>
      </w:r>
    </w:p>
    <w:p w14:paraId="1F2F00E8" w14:textId="77777777" w:rsidR="00D277D8" w:rsidRPr="000C517C" w:rsidRDefault="00D277D8" w:rsidP="00D277D8">
      <w:pPr>
        <w:widowControl/>
        <w:adjustRightInd w:val="0"/>
        <w:snapToGrid w:val="0"/>
        <w:rPr>
          <w:color w:val="000000"/>
          <w:lang w:val="fr-FR"/>
        </w:rPr>
      </w:pPr>
      <w:r w:rsidRPr="00654D21">
        <w:rPr>
          <w:color w:val="000000"/>
          <w:lang w:val="fr-FR"/>
        </w:rPr>
        <w:t>France</w:t>
      </w:r>
    </w:p>
    <w:p w14:paraId="48E3F0C5" w14:textId="77777777" w:rsidR="004401F0" w:rsidRDefault="004401F0" w:rsidP="00BD4C7C">
      <w:pPr>
        <w:pStyle w:val="a3"/>
        <w:adjustRightInd w:val="0"/>
        <w:snapToGrid w:val="0"/>
        <w:rPr>
          <w:lang w:val="fr-FR"/>
        </w:rPr>
      </w:pPr>
    </w:p>
    <w:p w14:paraId="61B287ED" w14:textId="77777777" w:rsidR="000B1F30" w:rsidRPr="00AD3921" w:rsidRDefault="000B1F30" w:rsidP="000B1F30">
      <w:pPr>
        <w:adjustRightInd w:val="0"/>
        <w:snapToGrid w:val="0"/>
        <w:rPr>
          <w:snapToGrid w:val="0"/>
          <w:color w:val="000000"/>
          <w:lang w:val="fr-FR"/>
        </w:rPr>
      </w:pPr>
      <w:r w:rsidRPr="00AD3921">
        <w:rPr>
          <w:snapToGrid w:val="0"/>
          <w:color w:val="000000"/>
          <w:lang w:val="fr-FR"/>
        </w:rPr>
        <w:t>Kymos S.L.</w:t>
      </w:r>
    </w:p>
    <w:p w14:paraId="19157D65" w14:textId="77777777" w:rsidR="000B1F30" w:rsidRPr="00AD3921" w:rsidRDefault="000B1F30" w:rsidP="000B1F30">
      <w:pPr>
        <w:adjustRightInd w:val="0"/>
        <w:snapToGrid w:val="0"/>
        <w:rPr>
          <w:snapToGrid w:val="0"/>
          <w:color w:val="000000"/>
          <w:lang w:val="fr-FR"/>
        </w:rPr>
      </w:pPr>
      <w:r w:rsidRPr="00AD3921">
        <w:rPr>
          <w:snapToGrid w:val="0"/>
          <w:color w:val="000000"/>
          <w:lang w:val="fr-FR"/>
        </w:rPr>
        <w:t>Ronda Can Fatjo 7B</w:t>
      </w:r>
    </w:p>
    <w:p w14:paraId="6A440D76" w14:textId="7805B73A" w:rsidR="000B1F30" w:rsidRPr="00AD3921" w:rsidRDefault="000B1F30" w:rsidP="000B1F30">
      <w:pPr>
        <w:adjustRightInd w:val="0"/>
        <w:snapToGrid w:val="0"/>
        <w:rPr>
          <w:snapToGrid w:val="0"/>
          <w:color w:val="000000"/>
          <w:lang w:val="fr-FR"/>
        </w:rPr>
      </w:pPr>
      <w:r w:rsidRPr="00AD3921">
        <w:rPr>
          <w:snapToGrid w:val="0"/>
          <w:color w:val="000000"/>
          <w:lang w:val="fr-FR"/>
        </w:rPr>
        <w:t>(Parque Technologique d</w:t>
      </w:r>
      <w:r>
        <w:rPr>
          <w:snapToGrid w:val="0"/>
          <w:color w:val="000000"/>
          <w:lang w:val="fr-FR"/>
        </w:rPr>
        <w:t>el</w:t>
      </w:r>
      <w:r w:rsidRPr="00AD3921">
        <w:rPr>
          <w:snapToGrid w:val="0"/>
          <w:color w:val="000000"/>
          <w:lang w:val="fr-FR"/>
        </w:rPr>
        <w:t xml:space="preserve"> Vallès)</w:t>
      </w:r>
      <w:r>
        <w:rPr>
          <w:snapToGrid w:val="0"/>
          <w:color w:val="000000"/>
          <w:lang w:val="fr-FR"/>
        </w:rPr>
        <w:t xml:space="preserve"> </w:t>
      </w:r>
      <w:r w:rsidRPr="00AD3921">
        <w:rPr>
          <w:snapToGrid w:val="0"/>
          <w:color w:val="000000"/>
          <w:lang w:val="fr-FR"/>
        </w:rPr>
        <w:t>Cerdanyola del Vallès</w:t>
      </w:r>
    </w:p>
    <w:p w14:paraId="4FC54FA4" w14:textId="684AD313" w:rsidR="000B1F30" w:rsidRPr="00AD3921" w:rsidRDefault="000B1F30" w:rsidP="000B1F30">
      <w:pPr>
        <w:adjustRightInd w:val="0"/>
        <w:snapToGrid w:val="0"/>
        <w:rPr>
          <w:snapToGrid w:val="0"/>
          <w:color w:val="000000"/>
          <w:lang w:val="fr-FR"/>
        </w:rPr>
      </w:pPr>
      <w:r w:rsidRPr="00AD3921">
        <w:rPr>
          <w:snapToGrid w:val="0"/>
          <w:color w:val="000000"/>
          <w:lang w:val="fr-FR"/>
        </w:rPr>
        <w:t>08290 Barcelone</w:t>
      </w:r>
    </w:p>
    <w:p w14:paraId="688D6941" w14:textId="77777777" w:rsidR="00CE09D0" w:rsidRPr="00850855" w:rsidRDefault="00CE09D0" w:rsidP="00CE09D0">
      <w:pPr>
        <w:spacing w:before="10" w:line="240" w:lineRule="exact"/>
        <w:rPr>
          <w:lang w:val="fr-CA"/>
        </w:rPr>
      </w:pPr>
      <w:r w:rsidRPr="00850855">
        <w:rPr>
          <w:lang w:val="fr-CA"/>
        </w:rPr>
        <w:t>Espagne</w:t>
      </w:r>
    </w:p>
    <w:p w14:paraId="18B2C568" w14:textId="77777777" w:rsidR="00CE09D0" w:rsidRDefault="00CE09D0" w:rsidP="00BD4C7C">
      <w:pPr>
        <w:pStyle w:val="a3"/>
        <w:adjustRightInd w:val="0"/>
        <w:snapToGrid w:val="0"/>
        <w:rPr>
          <w:lang w:val="fr-FR"/>
        </w:rPr>
      </w:pPr>
    </w:p>
    <w:p w14:paraId="4121409F" w14:textId="77777777" w:rsidR="000D0141" w:rsidRPr="00850855" w:rsidRDefault="000D0141" w:rsidP="000D0141">
      <w:pPr>
        <w:rPr>
          <w:lang w:val="fr-CA"/>
        </w:rPr>
      </w:pPr>
      <w:r w:rsidRPr="00850855">
        <w:rPr>
          <w:spacing w:val="-5"/>
          <w:lang w:val="fr-CA"/>
        </w:rPr>
        <w:t>Midas Pharma GmbH</w:t>
      </w:r>
    </w:p>
    <w:p w14:paraId="33B8E163" w14:textId="77777777" w:rsidR="000D0141" w:rsidRPr="00850855" w:rsidRDefault="000D0141" w:rsidP="000D0141">
      <w:pPr>
        <w:rPr>
          <w:lang w:val="fr-CA"/>
        </w:rPr>
      </w:pPr>
      <w:r w:rsidRPr="00850855">
        <w:rPr>
          <w:lang w:val="fr-CA"/>
        </w:rPr>
        <w:t>Rheinstraße 49</w:t>
      </w:r>
    </w:p>
    <w:p w14:paraId="56AB73B2" w14:textId="77777777" w:rsidR="000D0141" w:rsidRPr="00850855" w:rsidRDefault="000D0141" w:rsidP="000D0141">
      <w:pPr>
        <w:rPr>
          <w:lang w:val="fr-CA" w:eastAsia="ko-KR"/>
        </w:rPr>
      </w:pPr>
      <w:r w:rsidRPr="00850855">
        <w:rPr>
          <w:lang w:val="fr-CA"/>
        </w:rPr>
        <w:t>55218 Ingelheim am Rhein</w:t>
      </w:r>
    </w:p>
    <w:p w14:paraId="0A82609D" w14:textId="77777777" w:rsidR="000D0141" w:rsidRPr="00850855" w:rsidRDefault="000D0141" w:rsidP="000D0141">
      <w:pPr>
        <w:spacing w:before="10" w:line="240" w:lineRule="exact"/>
        <w:rPr>
          <w:lang w:val="fr-CA"/>
        </w:rPr>
      </w:pPr>
      <w:r w:rsidRPr="00850855">
        <w:rPr>
          <w:lang w:val="fr-CA"/>
        </w:rPr>
        <w:t>Allemagne</w:t>
      </w:r>
    </w:p>
    <w:p w14:paraId="06E4F093" w14:textId="77777777" w:rsidR="000D0141" w:rsidRPr="007C119A" w:rsidRDefault="000D0141" w:rsidP="00BD4C7C">
      <w:pPr>
        <w:pStyle w:val="a3"/>
        <w:adjustRightInd w:val="0"/>
        <w:snapToGrid w:val="0"/>
        <w:rPr>
          <w:lang w:val="fr-FR"/>
        </w:rPr>
      </w:pPr>
    </w:p>
    <w:p w14:paraId="6B98A356" w14:textId="77777777" w:rsidR="004401F0" w:rsidRPr="00DA7718" w:rsidRDefault="00DF3C4F" w:rsidP="00BD4C7C">
      <w:pPr>
        <w:pStyle w:val="a3"/>
        <w:adjustRightInd w:val="0"/>
        <w:snapToGrid w:val="0"/>
        <w:rPr>
          <w:lang w:val="fr-FR"/>
        </w:rPr>
      </w:pPr>
      <w:r w:rsidRPr="00DA7718">
        <w:rPr>
          <w:lang w:val="fr-FR"/>
        </w:rPr>
        <w:t>Pour toute information complémentaire concernant ce médicament, veuillez prendre contact avec le représentant local du titulaire de l’autorisation de mise sur le marché.</w:t>
      </w:r>
    </w:p>
    <w:tbl>
      <w:tblPr>
        <w:tblW w:w="5000" w:type="pct"/>
        <w:tblLook w:val="04A0" w:firstRow="1" w:lastRow="0" w:firstColumn="1" w:lastColumn="0" w:noHBand="0" w:noVBand="1"/>
      </w:tblPr>
      <w:tblGrid>
        <w:gridCol w:w="4537"/>
        <w:gridCol w:w="4537"/>
      </w:tblGrid>
      <w:tr w:rsidR="00240287" w14:paraId="44FD2A93" w14:textId="77777777" w:rsidTr="00BF16A7">
        <w:tc>
          <w:tcPr>
            <w:tcW w:w="2500" w:type="pct"/>
            <w:hideMark/>
          </w:tcPr>
          <w:p w14:paraId="1C84B7E2" w14:textId="77777777" w:rsidR="00240287" w:rsidRPr="00811842" w:rsidRDefault="00240287" w:rsidP="00BF16A7">
            <w:pPr>
              <w:keepNext/>
              <w:keepLines/>
              <w:adjustRightInd w:val="0"/>
              <w:snapToGrid w:val="0"/>
              <w:rPr>
                <w:b/>
                <w:noProof/>
                <w:lang w:val="fr-CA" w:eastAsia="fr-FR"/>
              </w:rPr>
            </w:pPr>
            <w:bookmarkStart w:id="15" w:name="_Hlk169852830"/>
            <w:r w:rsidRPr="00811842">
              <w:rPr>
                <w:rFonts w:eastAsia="맑은 고딕"/>
                <w:b/>
                <w:noProof/>
                <w:lang w:val="fr-CA" w:eastAsia="fr-FR"/>
              </w:rPr>
              <w:lastRenderedPageBreak/>
              <w:t>België/Belgique/Belgien</w:t>
            </w:r>
          </w:p>
          <w:p w14:paraId="2A8F1D83" w14:textId="77777777" w:rsidR="00240287" w:rsidRDefault="00240287" w:rsidP="00BF16A7">
            <w:pPr>
              <w:keepNext/>
              <w:keepLines/>
              <w:adjustRightInd w:val="0"/>
              <w:snapToGrid w:val="0"/>
            </w:pPr>
            <w:r w:rsidRPr="00131FCB">
              <w:t xml:space="preserve">Celltrion Healthcare Belgium BVBA </w:t>
            </w:r>
          </w:p>
          <w:p w14:paraId="4F6BFE36" w14:textId="77777777" w:rsidR="00240287" w:rsidRDefault="00240287" w:rsidP="00BF16A7">
            <w:pPr>
              <w:keepNext/>
              <w:keepLines/>
              <w:adjustRightInd w:val="0"/>
              <w:snapToGrid w:val="0"/>
            </w:pPr>
            <w:r w:rsidRPr="00131FCB">
              <w:t>Tél/Tel: + 32 1528 7418</w:t>
            </w:r>
          </w:p>
          <w:p w14:paraId="7D042C5D" w14:textId="77777777" w:rsidR="00240287" w:rsidRPr="00267BCE" w:rsidRDefault="00240287" w:rsidP="00BF16A7">
            <w:pPr>
              <w:keepNext/>
              <w:keepLines/>
              <w:adjustRightInd w:val="0"/>
              <w:snapToGrid w:val="0"/>
              <w:rPr>
                <w:rFonts w:eastAsia="맑은 고딕"/>
                <w:noProof/>
                <w:lang w:eastAsia="ko-KR"/>
              </w:rPr>
            </w:pPr>
          </w:p>
        </w:tc>
        <w:tc>
          <w:tcPr>
            <w:tcW w:w="2500" w:type="pct"/>
          </w:tcPr>
          <w:p w14:paraId="2426E851" w14:textId="77777777" w:rsidR="00240287" w:rsidRPr="00811842" w:rsidRDefault="00240287" w:rsidP="00BF16A7">
            <w:pPr>
              <w:keepNext/>
              <w:keepLines/>
              <w:tabs>
                <w:tab w:val="left" w:pos="-720"/>
              </w:tabs>
              <w:suppressAutoHyphens/>
              <w:adjustRightInd w:val="0"/>
              <w:snapToGrid w:val="0"/>
              <w:rPr>
                <w:b/>
                <w:noProof/>
                <w:lang w:eastAsia="fr-FR"/>
              </w:rPr>
            </w:pPr>
            <w:r w:rsidRPr="00811842">
              <w:rPr>
                <w:b/>
                <w:noProof/>
                <w:lang w:eastAsia="fr-FR"/>
              </w:rPr>
              <w:t>Lietuva</w:t>
            </w:r>
          </w:p>
          <w:p w14:paraId="03AB4113" w14:textId="77777777" w:rsidR="00240287" w:rsidRPr="00507267" w:rsidRDefault="00240287" w:rsidP="00BF16A7">
            <w:pPr>
              <w:keepNext/>
              <w:keepLines/>
              <w:tabs>
                <w:tab w:val="left" w:pos="-720"/>
              </w:tabs>
              <w:suppressAutoHyphens/>
              <w:adjustRightInd w:val="0"/>
              <w:snapToGrid w:val="0"/>
              <w:rPr>
                <w:noProof/>
                <w:lang w:eastAsia="fr-FR"/>
              </w:rPr>
            </w:pPr>
            <w:r w:rsidRPr="00507267">
              <w:rPr>
                <w:noProof/>
                <w:lang w:eastAsia="fr-FR"/>
              </w:rPr>
              <w:t>Celltrion Healthcare Hungary Kft.</w:t>
            </w:r>
          </w:p>
          <w:p w14:paraId="5BEC1A9E" w14:textId="77777777" w:rsidR="00240287" w:rsidRDefault="00240287" w:rsidP="00BF16A7">
            <w:pPr>
              <w:keepNext/>
              <w:keepLines/>
              <w:adjustRightInd w:val="0"/>
              <w:snapToGrid w:val="0"/>
              <w:rPr>
                <w:noProof/>
                <w:lang w:eastAsia="fr-FR"/>
              </w:rPr>
            </w:pPr>
            <w:r w:rsidRPr="007E01E8">
              <w:rPr>
                <w:noProof/>
                <w:lang w:eastAsia="fr-FR"/>
              </w:rPr>
              <w:t>Tel.: +36 1 231 0493</w:t>
            </w:r>
          </w:p>
          <w:p w14:paraId="0BC5F964" w14:textId="77777777" w:rsidR="00240287" w:rsidRPr="00507267" w:rsidRDefault="00240287" w:rsidP="00BF16A7">
            <w:pPr>
              <w:keepNext/>
              <w:keepLines/>
              <w:adjustRightInd w:val="0"/>
              <w:snapToGrid w:val="0"/>
              <w:rPr>
                <w:noProof/>
                <w:lang w:eastAsia="fr-FR"/>
              </w:rPr>
            </w:pPr>
          </w:p>
        </w:tc>
      </w:tr>
      <w:tr w:rsidR="00240287" w14:paraId="5928B2E0" w14:textId="77777777" w:rsidTr="00BF16A7">
        <w:trPr>
          <w:trHeight w:val="619"/>
        </w:trPr>
        <w:tc>
          <w:tcPr>
            <w:tcW w:w="2500" w:type="pct"/>
          </w:tcPr>
          <w:p w14:paraId="3F571A8D" w14:textId="77777777" w:rsidR="00240287" w:rsidRPr="008C5B9D" w:rsidRDefault="00240287" w:rsidP="00BF16A7">
            <w:pPr>
              <w:adjustRightInd w:val="0"/>
              <w:snapToGrid w:val="0"/>
              <w:rPr>
                <w:rFonts w:eastAsia="맑은 고딕"/>
                <w:b/>
                <w:noProof/>
                <w:lang w:eastAsia="fr-FR"/>
              </w:rPr>
            </w:pPr>
            <w:r w:rsidRPr="008C5B9D">
              <w:rPr>
                <w:b/>
                <w:bCs/>
              </w:rPr>
              <w:t>България</w:t>
            </w:r>
          </w:p>
          <w:p w14:paraId="0BA26233" w14:textId="77777777" w:rsidR="00240287" w:rsidRPr="00507267" w:rsidRDefault="00240287"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6F9E033C" w14:textId="77777777" w:rsidR="00240287" w:rsidRPr="002E0902" w:rsidRDefault="00240287" w:rsidP="00BF16A7">
            <w:pPr>
              <w:adjustRightInd w:val="0"/>
              <w:snapToGrid w:val="0"/>
            </w:pPr>
            <w:r w:rsidRPr="007E01E8">
              <w:rPr>
                <w:rFonts w:eastAsia="맑은 고딕"/>
                <w:noProof/>
                <w:lang w:eastAsia="fr-FR"/>
              </w:rPr>
              <w:t>Teл.: +36 1 231 0493</w:t>
            </w:r>
          </w:p>
          <w:p w14:paraId="1BEF044B" w14:textId="77777777" w:rsidR="00240287" w:rsidRPr="00507267" w:rsidRDefault="00240287" w:rsidP="00BF16A7">
            <w:pPr>
              <w:adjustRightInd w:val="0"/>
              <w:snapToGrid w:val="0"/>
              <w:rPr>
                <w:noProof/>
                <w:lang w:eastAsia="fr-FR"/>
              </w:rPr>
            </w:pPr>
          </w:p>
        </w:tc>
        <w:tc>
          <w:tcPr>
            <w:tcW w:w="2500" w:type="pct"/>
            <w:hideMark/>
          </w:tcPr>
          <w:p w14:paraId="3B846F83" w14:textId="77777777" w:rsidR="00240287" w:rsidRPr="00D05A06" w:rsidRDefault="00240287" w:rsidP="00BF16A7">
            <w:pPr>
              <w:tabs>
                <w:tab w:val="left" w:pos="-720"/>
              </w:tabs>
              <w:suppressAutoHyphens/>
              <w:adjustRightInd w:val="0"/>
              <w:snapToGrid w:val="0"/>
              <w:rPr>
                <w:noProof/>
                <w:lang w:val="fr-CA" w:eastAsia="fr-FR"/>
              </w:rPr>
            </w:pPr>
            <w:r w:rsidRPr="00D05A06">
              <w:rPr>
                <w:rFonts w:eastAsia="맑은 고딕"/>
                <w:b/>
                <w:noProof/>
                <w:lang w:val="fr-CA" w:eastAsia="fr-FR"/>
              </w:rPr>
              <w:t>Luxembourg/Luxemburg</w:t>
            </w:r>
          </w:p>
          <w:p w14:paraId="62B6CC41" w14:textId="77777777" w:rsidR="00240287" w:rsidRDefault="00240287" w:rsidP="00BF16A7">
            <w:pPr>
              <w:tabs>
                <w:tab w:val="left" w:pos="-720"/>
              </w:tabs>
              <w:suppressAutoHyphens/>
              <w:adjustRightInd w:val="0"/>
              <w:snapToGrid w:val="0"/>
            </w:pPr>
            <w:r w:rsidRPr="00131FCB">
              <w:t xml:space="preserve">Celltrion Healthcare Belgium BVBA </w:t>
            </w:r>
          </w:p>
          <w:p w14:paraId="19C6C763" w14:textId="77777777" w:rsidR="00240287" w:rsidRDefault="00240287" w:rsidP="00BF16A7">
            <w:pPr>
              <w:tabs>
                <w:tab w:val="left" w:pos="-720"/>
              </w:tabs>
              <w:suppressAutoHyphens/>
              <w:adjustRightInd w:val="0"/>
              <w:snapToGrid w:val="0"/>
            </w:pPr>
            <w:r w:rsidRPr="00131FCB">
              <w:t>Tél/Tel: + 32 1528 7418</w:t>
            </w:r>
          </w:p>
          <w:p w14:paraId="79DBD869" w14:textId="77777777" w:rsidR="00240287" w:rsidRPr="00507267" w:rsidRDefault="00240287" w:rsidP="00BF16A7">
            <w:pPr>
              <w:tabs>
                <w:tab w:val="left" w:pos="-720"/>
              </w:tabs>
              <w:suppressAutoHyphens/>
              <w:adjustRightInd w:val="0"/>
              <w:snapToGrid w:val="0"/>
              <w:rPr>
                <w:rFonts w:eastAsia="맑은 고딕"/>
                <w:lang w:eastAsia="ko-KR"/>
              </w:rPr>
            </w:pPr>
          </w:p>
          <w:p w14:paraId="020A1DDF" w14:textId="77777777" w:rsidR="00240287" w:rsidRPr="00267BCE" w:rsidRDefault="00240287" w:rsidP="00BF16A7">
            <w:pPr>
              <w:tabs>
                <w:tab w:val="left" w:pos="-720"/>
              </w:tabs>
              <w:suppressAutoHyphens/>
              <w:adjustRightInd w:val="0"/>
              <w:snapToGrid w:val="0"/>
              <w:rPr>
                <w:rFonts w:eastAsia="맑은 고딕"/>
                <w:lang w:eastAsia="ko-KR"/>
              </w:rPr>
            </w:pPr>
          </w:p>
        </w:tc>
      </w:tr>
      <w:tr w:rsidR="00240287" w14:paraId="3C6D72BA" w14:textId="77777777" w:rsidTr="00BF16A7">
        <w:tc>
          <w:tcPr>
            <w:tcW w:w="2500" w:type="pct"/>
            <w:hideMark/>
          </w:tcPr>
          <w:p w14:paraId="0963246E" w14:textId="77777777" w:rsidR="00240287" w:rsidRPr="008C5B9D" w:rsidRDefault="00240287" w:rsidP="00BF16A7">
            <w:pPr>
              <w:tabs>
                <w:tab w:val="left" w:pos="-720"/>
              </w:tabs>
              <w:suppressAutoHyphens/>
              <w:adjustRightInd w:val="0"/>
              <w:snapToGrid w:val="0"/>
              <w:rPr>
                <w:rFonts w:eastAsia="맑은 고딕"/>
                <w:b/>
                <w:noProof/>
                <w:lang w:eastAsia="fr-FR"/>
              </w:rPr>
            </w:pPr>
            <w:r w:rsidRPr="008C5B9D">
              <w:rPr>
                <w:rFonts w:eastAsia="맑은 고딕"/>
                <w:b/>
                <w:noProof/>
                <w:lang w:eastAsia="fr-FR"/>
              </w:rPr>
              <w:t>Česká republika</w:t>
            </w:r>
          </w:p>
          <w:p w14:paraId="3B794D67" w14:textId="77777777" w:rsidR="00240287" w:rsidRPr="00507267" w:rsidRDefault="00240287" w:rsidP="00BF16A7">
            <w:pPr>
              <w:tabs>
                <w:tab w:val="left" w:pos="-720"/>
              </w:tabs>
              <w:suppressAutoHyphens/>
              <w:adjustRightInd w:val="0"/>
              <w:snapToGrid w:val="0"/>
              <w:rPr>
                <w:rFonts w:eastAsia="맑은 고딕"/>
                <w:noProof/>
                <w:lang w:eastAsia="fr-FR"/>
              </w:rPr>
            </w:pPr>
            <w:r w:rsidRPr="00507267">
              <w:rPr>
                <w:rFonts w:eastAsia="맑은 고딕"/>
                <w:noProof/>
                <w:lang w:eastAsia="fr-FR"/>
              </w:rPr>
              <w:t>Celltrion Healthcare Hungary Kft.</w:t>
            </w:r>
          </w:p>
          <w:p w14:paraId="379B4029" w14:textId="77777777" w:rsidR="00240287" w:rsidRDefault="00240287" w:rsidP="00BF16A7">
            <w:pPr>
              <w:tabs>
                <w:tab w:val="left" w:pos="-720"/>
              </w:tabs>
              <w:suppressAutoHyphens/>
              <w:adjustRightInd w:val="0"/>
              <w:snapToGrid w:val="0"/>
              <w:rPr>
                <w:noProof/>
                <w:lang w:eastAsia="fr-FR"/>
              </w:rPr>
            </w:pPr>
            <w:r w:rsidRPr="007E01E8">
              <w:rPr>
                <w:rFonts w:eastAsia="맑은 고딕"/>
                <w:noProof/>
                <w:lang w:eastAsia="fr-FR"/>
              </w:rPr>
              <w:t>Tel: +36 1 231 0493</w:t>
            </w:r>
          </w:p>
          <w:p w14:paraId="59F93345" w14:textId="77777777" w:rsidR="00240287" w:rsidRPr="00507267" w:rsidRDefault="00240287" w:rsidP="00BF16A7">
            <w:pPr>
              <w:tabs>
                <w:tab w:val="left" w:pos="-720"/>
              </w:tabs>
              <w:suppressAutoHyphens/>
              <w:adjustRightInd w:val="0"/>
              <w:snapToGrid w:val="0"/>
              <w:rPr>
                <w:noProof/>
                <w:lang w:eastAsia="fr-FR"/>
              </w:rPr>
            </w:pPr>
          </w:p>
        </w:tc>
        <w:tc>
          <w:tcPr>
            <w:tcW w:w="2500" w:type="pct"/>
          </w:tcPr>
          <w:p w14:paraId="4830B7C1" w14:textId="77777777" w:rsidR="00240287" w:rsidRPr="00D05A06" w:rsidRDefault="00240287" w:rsidP="00BF16A7">
            <w:pPr>
              <w:adjustRightInd w:val="0"/>
              <w:snapToGrid w:val="0"/>
              <w:rPr>
                <w:rFonts w:eastAsia="맑은 고딕"/>
                <w:b/>
                <w:noProof/>
                <w:lang w:eastAsia="fr-FR"/>
              </w:rPr>
            </w:pPr>
            <w:r w:rsidRPr="00811842">
              <w:rPr>
                <w:b/>
                <w:noProof/>
              </w:rPr>
              <w:t>Magyarország</w:t>
            </w:r>
          </w:p>
          <w:p w14:paraId="10065137" w14:textId="77777777" w:rsidR="00240287" w:rsidRPr="00507267" w:rsidRDefault="00240287"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5D66663F" w14:textId="77777777" w:rsidR="00240287" w:rsidRPr="00507267" w:rsidRDefault="00240287" w:rsidP="00BF16A7">
            <w:pPr>
              <w:adjustRightInd w:val="0"/>
              <w:snapToGrid w:val="0"/>
              <w:rPr>
                <w:rFonts w:eastAsia="맑은 고딕"/>
                <w:noProof/>
                <w:lang w:eastAsia="ko-KR"/>
              </w:rPr>
            </w:pPr>
            <w:r w:rsidRPr="007E01E8">
              <w:rPr>
                <w:rFonts w:eastAsia="맑은 고딕"/>
                <w:noProof/>
                <w:lang w:eastAsia="fr-FR"/>
              </w:rPr>
              <w:t>Tel.: +36 1 231 0493</w:t>
            </w:r>
            <w:r>
              <w:rPr>
                <w:rFonts w:eastAsia="맑은 고딕"/>
                <w:noProof/>
                <w:lang w:eastAsia="ko-KR"/>
              </w:rPr>
              <w:br/>
            </w:r>
          </w:p>
        </w:tc>
      </w:tr>
      <w:tr w:rsidR="00240287" w14:paraId="37C4A200" w14:textId="77777777" w:rsidTr="00BF16A7">
        <w:tc>
          <w:tcPr>
            <w:tcW w:w="2500" w:type="pct"/>
            <w:hideMark/>
          </w:tcPr>
          <w:p w14:paraId="4DD71C5E" w14:textId="77777777" w:rsidR="00240287" w:rsidRPr="008C5B9D" w:rsidRDefault="00240287" w:rsidP="00BF16A7">
            <w:pPr>
              <w:tabs>
                <w:tab w:val="left" w:pos="-720"/>
              </w:tabs>
              <w:suppressAutoHyphens/>
              <w:adjustRightInd w:val="0"/>
              <w:snapToGrid w:val="0"/>
              <w:rPr>
                <w:b/>
                <w:bCs/>
                <w:i/>
                <w:iCs/>
                <w:noProof/>
                <w:lang w:eastAsia="fr-FR"/>
              </w:rPr>
            </w:pPr>
            <w:r w:rsidRPr="008C5B9D">
              <w:rPr>
                <w:b/>
                <w:noProof/>
              </w:rPr>
              <w:t>Danmark</w:t>
            </w:r>
          </w:p>
          <w:p w14:paraId="506810F9" w14:textId="77777777" w:rsidR="00240287" w:rsidRDefault="00240287" w:rsidP="00BF16A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Celltrion Healthcare Denmark ApS</w:t>
            </w:r>
            <w:r>
              <w:rPr>
                <w:rStyle w:val="eop"/>
                <w:rFonts w:ascii="Times New Roman" w:eastAsia="맑은 고딕" w:hAnsi="Times New Roman" w:cs="Times New Roman"/>
                <w:color w:val="000000"/>
                <w:sz w:val="22"/>
                <w:szCs w:val="22"/>
              </w:rPr>
              <w:t> </w:t>
            </w:r>
          </w:p>
          <w:p w14:paraId="435FFD98" w14:textId="77777777" w:rsidR="00240287" w:rsidRDefault="00240287" w:rsidP="00BF16A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Tlf: +45 3535 2989</w:t>
            </w:r>
            <w:r>
              <w:rPr>
                <w:rStyle w:val="eop"/>
                <w:rFonts w:ascii="Times New Roman" w:eastAsia="맑은 고딕" w:hAnsi="Times New Roman" w:cs="Times New Roman"/>
                <w:color w:val="000000"/>
                <w:sz w:val="22"/>
                <w:szCs w:val="22"/>
              </w:rPr>
              <w:t> </w:t>
            </w:r>
          </w:p>
          <w:p w14:paraId="54908197" w14:textId="77777777" w:rsidR="00240287" w:rsidRPr="00576C4F" w:rsidRDefault="00240287"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46C861BC" w14:textId="77777777" w:rsidR="00240287" w:rsidRPr="00F51A8D" w:rsidRDefault="00240287" w:rsidP="00BF16A7">
            <w:pPr>
              <w:tabs>
                <w:tab w:val="left" w:pos="-720"/>
              </w:tabs>
              <w:suppressAutoHyphens/>
              <w:adjustRightInd w:val="0"/>
              <w:snapToGrid w:val="0"/>
              <w:rPr>
                <w:rFonts w:eastAsia="맑은 고딕"/>
                <w:noProof/>
                <w:lang w:eastAsia="fr-FR"/>
              </w:rPr>
            </w:pPr>
          </w:p>
          <w:p w14:paraId="105A4802" w14:textId="77777777" w:rsidR="00240287" w:rsidRPr="00811842" w:rsidRDefault="00240287" w:rsidP="00BF16A7">
            <w:pPr>
              <w:tabs>
                <w:tab w:val="left" w:pos="-720"/>
              </w:tabs>
              <w:suppressAutoHyphens/>
              <w:adjustRightInd w:val="0"/>
              <w:snapToGrid w:val="0"/>
              <w:rPr>
                <w:rFonts w:eastAsia="맑은 고딕"/>
                <w:noProof/>
                <w:lang w:eastAsia="fr-FR"/>
              </w:rPr>
            </w:pPr>
          </w:p>
        </w:tc>
        <w:tc>
          <w:tcPr>
            <w:tcW w:w="2500" w:type="pct"/>
          </w:tcPr>
          <w:p w14:paraId="72893EFA" w14:textId="77777777" w:rsidR="00240287" w:rsidRPr="00BA3060" w:rsidRDefault="00240287" w:rsidP="00BF16A7">
            <w:pPr>
              <w:adjustRightInd w:val="0"/>
              <w:snapToGrid w:val="0"/>
              <w:rPr>
                <w:noProof/>
                <w:lang w:eastAsia="fr-FR"/>
              </w:rPr>
            </w:pPr>
            <w:r w:rsidRPr="00BA3060">
              <w:rPr>
                <w:rFonts w:eastAsia="맑은 고딕"/>
                <w:b/>
                <w:noProof/>
                <w:lang w:eastAsia="fr-FR"/>
              </w:rPr>
              <w:t>Malta</w:t>
            </w:r>
          </w:p>
          <w:p w14:paraId="1641FD40" w14:textId="77777777" w:rsidR="00240287" w:rsidRDefault="00240287" w:rsidP="00BF16A7">
            <w:pPr>
              <w:adjustRightInd w:val="0"/>
              <w:snapToGrid w:val="0"/>
              <w:rPr>
                <w:rFonts w:eastAsia="맑은 고딕"/>
                <w:noProof/>
                <w:lang w:eastAsia="fr-FR"/>
              </w:rPr>
            </w:pPr>
            <w:r w:rsidRPr="00BA3060">
              <w:rPr>
                <w:rFonts w:eastAsia="맑은 고딕"/>
                <w:noProof/>
                <w:lang w:eastAsia="fr-FR"/>
              </w:rPr>
              <w:t>Mint Health</w:t>
            </w:r>
            <w:r w:rsidRPr="002410B7">
              <w:rPr>
                <w:rFonts w:eastAsia="맑은 고딕"/>
                <w:noProof/>
                <w:lang w:eastAsia="fr-FR"/>
              </w:rPr>
              <w:t xml:space="preserve"> Ltd.</w:t>
            </w:r>
          </w:p>
          <w:p w14:paraId="7C9D409C" w14:textId="77777777" w:rsidR="00240287" w:rsidRPr="00D05A06" w:rsidRDefault="00240287" w:rsidP="00BF16A7">
            <w:pPr>
              <w:adjustRightInd w:val="0"/>
              <w:snapToGrid w:val="0"/>
              <w:rPr>
                <w:rFonts w:eastAsia="맑은 고딕"/>
                <w:noProof/>
                <w:lang w:eastAsia="ko-KR"/>
              </w:rPr>
            </w:pPr>
            <w:r w:rsidRPr="002410B7">
              <w:rPr>
                <w:rFonts w:eastAsia="맑은 고딕"/>
                <w:noProof/>
                <w:lang w:eastAsia="fr-FR"/>
              </w:rPr>
              <w:t>Tel: +356 2093 9800</w:t>
            </w:r>
          </w:p>
        </w:tc>
      </w:tr>
      <w:tr w:rsidR="00240287" w14:paraId="37EDC95E" w14:textId="77777777" w:rsidTr="00BF16A7">
        <w:tc>
          <w:tcPr>
            <w:tcW w:w="2500" w:type="pct"/>
            <w:hideMark/>
          </w:tcPr>
          <w:p w14:paraId="0D87A143" w14:textId="77777777" w:rsidR="00240287" w:rsidRPr="008C5B9D" w:rsidRDefault="00240287" w:rsidP="00BF16A7">
            <w:pPr>
              <w:adjustRightInd w:val="0"/>
              <w:snapToGrid w:val="0"/>
              <w:rPr>
                <w:b/>
                <w:noProof/>
                <w:lang w:eastAsia="fr-FR"/>
              </w:rPr>
            </w:pPr>
            <w:r w:rsidRPr="008C5B9D">
              <w:rPr>
                <w:rFonts w:eastAsia="맑은 고딕"/>
                <w:b/>
                <w:noProof/>
                <w:lang w:eastAsia="fr-FR"/>
              </w:rPr>
              <w:t>Deutschland</w:t>
            </w:r>
          </w:p>
          <w:p w14:paraId="274230DA" w14:textId="77777777" w:rsidR="00240287" w:rsidRDefault="00240287" w:rsidP="00BF16A7">
            <w:pPr>
              <w:tabs>
                <w:tab w:val="left" w:pos="-720"/>
              </w:tabs>
              <w:suppressAutoHyphens/>
              <w:adjustRightInd w:val="0"/>
              <w:snapToGrid w:val="0"/>
            </w:pPr>
            <w:r w:rsidRPr="00131FCB">
              <w:t xml:space="preserve">Celltrion Healthcare </w:t>
            </w:r>
            <w:r w:rsidRPr="00E110AA">
              <w:t>Deutschland GmbH</w:t>
            </w:r>
            <w:r w:rsidRPr="00131FCB">
              <w:t xml:space="preserve"> </w:t>
            </w:r>
          </w:p>
          <w:p w14:paraId="3158E6CD" w14:textId="77777777" w:rsidR="00240287" w:rsidRDefault="00240287" w:rsidP="00BF16A7">
            <w:pPr>
              <w:tabs>
                <w:tab w:val="left" w:pos="-720"/>
              </w:tabs>
              <w:suppressAutoHyphens/>
              <w:adjustRightInd w:val="0"/>
              <w:snapToGrid w:val="0"/>
            </w:pPr>
            <w:r w:rsidRPr="00131FCB">
              <w:t xml:space="preserve">Tel: </w:t>
            </w:r>
            <w:r w:rsidRPr="00E110AA">
              <w:t>+49 (0)30 346494150</w:t>
            </w:r>
          </w:p>
          <w:p w14:paraId="3A9B0484" w14:textId="77777777" w:rsidR="00240287" w:rsidRDefault="00240287" w:rsidP="00BF16A7">
            <w:pPr>
              <w:tabs>
                <w:tab w:val="left" w:pos="-720"/>
              </w:tabs>
              <w:suppressAutoHyphens/>
              <w:adjustRightInd w:val="0"/>
              <w:snapToGrid w:val="0"/>
              <w:rPr>
                <w:rFonts w:eastAsia="맑은 고딕"/>
                <w:noProof/>
                <w:lang w:eastAsia="fr-FR"/>
              </w:rPr>
            </w:pPr>
            <w:r w:rsidRPr="00576C4F">
              <w:rPr>
                <w:rFonts w:eastAsia="맑은 고딕"/>
                <w:noProof/>
                <w:lang w:eastAsia="fr-FR"/>
              </w:rPr>
              <w:t>infoDE@celltrionhc.com</w:t>
            </w:r>
          </w:p>
          <w:p w14:paraId="6808FEB6" w14:textId="77777777" w:rsidR="00240287" w:rsidRDefault="00240287" w:rsidP="00BF16A7">
            <w:pPr>
              <w:tabs>
                <w:tab w:val="left" w:pos="-720"/>
              </w:tabs>
              <w:suppressAutoHyphens/>
              <w:adjustRightInd w:val="0"/>
              <w:snapToGrid w:val="0"/>
              <w:rPr>
                <w:rFonts w:eastAsia="맑은 고딕"/>
                <w:noProof/>
                <w:lang w:eastAsia="fr-FR"/>
              </w:rPr>
            </w:pPr>
          </w:p>
          <w:p w14:paraId="3C208640" w14:textId="77777777" w:rsidR="00240287" w:rsidRPr="008C5B9D" w:rsidRDefault="00240287" w:rsidP="00BF16A7">
            <w:pPr>
              <w:tabs>
                <w:tab w:val="left" w:pos="-720"/>
              </w:tabs>
              <w:suppressAutoHyphens/>
              <w:adjustRightInd w:val="0"/>
              <w:snapToGrid w:val="0"/>
              <w:rPr>
                <w:rFonts w:eastAsia="맑은 고딕"/>
                <w:noProof/>
                <w:lang w:eastAsia="fr-FR"/>
              </w:rPr>
            </w:pPr>
          </w:p>
        </w:tc>
        <w:tc>
          <w:tcPr>
            <w:tcW w:w="2500" w:type="pct"/>
          </w:tcPr>
          <w:p w14:paraId="46CB21F0" w14:textId="77777777" w:rsidR="00240287" w:rsidRPr="00811842" w:rsidRDefault="00240287" w:rsidP="00BF16A7">
            <w:pPr>
              <w:adjustRightInd w:val="0"/>
              <w:snapToGrid w:val="0"/>
              <w:rPr>
                <w:noProof/>
                <w:lang w:eastAsia="fr-FR"/>
              </w:rPr>
            </w:pPr>
            <w:r w:rsidRPr="00811842">
              <w:rPr>
                <w:rFonts w:eastAsia="맑은 고딕"/>
                <w:b/>
                <w:noProof/>
                <w:lang w:eastAsia="fr-FR"/>
              </w:rPr>
              <w:t>Nederland</w:t>
            </w:r>
          </w:p>
          <w:p w14:paraId="79E1C21C" w14:textId="77777777" w:rsidR="00240287" w:rsidRDefault="00240287" w:rsidP="00BF16A7">
            <w:pPr>
              <w:adjustRightInd w:val="0"/>
              <w:snapToGrid w:val="0"/>
            </w:pPr>
            <w:r w:rsidRPr="00131FCB">
              <w:t xml:space="preserve">Celltrion Healthcare Netherlands B.V. </w:t>
            </w:r>
          </w:p>
          <w:p w14:paraId="64E0A8C7" w14:textId="77777777" w:rsidR="00240287" w:rsidRPr="008C5B9D" w:rsidRDefault="00240287" w:rsidP="00BF16A7">
            <w:pPr>
              <w:adjustRightInd w:val="0"/>
              <w:snapToGrid w:val="0"/>
              <w:rPr>
                <w:rFonts w:eastAsia="맑은 고딕"/>
                <w:noProof/>
                <w:lang w:eastAsia="fr-FR"/>
              </w:rPr>
            </w:pPr>
            <w:r w:rsidRPr="00131FCB">
              <w:t>Tel: + 31 20 888 7300</w:t>
            </w:r>
          </w:p>
          <w:p w14:paraId="19B7B6D5" w14:textId="77777777" w:rsidR="00240287" w:rsidRPr="00811842" w:rsidRDefault="00240287" w:rsidP="00BF16A7">
            <w:pPr>
              <w:adjustRightInd w:val="0"/>
              <w:snapToGrid w:val="0"/>
              <w:rPr>
                <w:rFonts w:eastAsia="맑은 고딕"/>
                <w:noProof/>
                <w:lang w:eastAsia="fr-FR"/>
              </w:rPr>
            </w:pPr>
          </w:p>
        </w:tc>
      </w:tr>
      <w:tr w:rsidR="00240287" w14:paraId="38F0B1B0" w14:textId="77777777" w:rsidTr="00BF16A7">
        <w:tc>
          <w:tcPr>
            <w:tcW w:w="2500" w:type="pct"/>
            <w:hideMark/>
          </w:tcPr>
          <w:p w14:paraId="3852F9A2" w14:textId="77777777" w:rsidR="00240287" w:rsidRPr="00576C4F" w:rsidRDefault="00240287" w:rsidP="00BF16A7">
            <w:pPr>
              <w:tabs>
                <w:tab w:val="left" w:pos="-720"/>
                <w:tab w:val="left" w:pos="4536"/>
              </w:tabs>
              <w:suppressAutoHyphens/>
              <w:adjustRightInd w:val="0"/>
              <w:snapToGrid w:val="0"/>
              <w:rPr>
                <w:b/>
                <w:noProof/>
                <w:lang w:eastAsia="fr-FR"/>
              </w:rPr>
            </w:pPr>
            <w:r w:rsidRPr="00576C4F">
              <w:rPr>
                <w:rFonts w:eastAsia="맑은 고딕"/>
                <w:b/>
                <w:noProof/>
                <w:lang w:eastAsia="fr-FR"/>
              </w:rPr>
              <w:t>Eesti</w:t>
            </w:r>
          </w:p>
          <w:p w14:paraId="623F9790" w14:textId="77777777" w:rsidR="00240287" w:rsidRPr="00576C4F" w:rsidRDefault="00240287" w:rsidP="00BF16A7">
            <w:pPr>
              <w:tabs>
                <w:tab w:val="left" w:pos="-720"/>
              </w:tabs>
              <w:suppressAutoHyphens/>
              <w:adjustRightInd w:val="0"/>
              <w:snapToGrid w:val="0"/>
            </w:pPr>
            <w:r w:rsidRPr="00576C4F">
              <w:t xml:space="preserve">Celltrion Healthcare Hungary Kft. </w:t>
            </w:r>
          </w:p>
          <w:p w14:paraId="3CA655BD" w14:textId="77777777" w:rsidR="00240287" w:rsidRPr="00576C4F" w:rsidRDefault="00240287" w:rsidP="00BF16A7">
            <w:pPr>
              <w:tabs>
                <w:tab w:val="left" w:pos="-720"/>
              </w:tabs>
              <w:suppressAutoHyphens/>
              <w:adjustRightInd w:val="0"/>
              <w:snapToGrid w:val="0"/>
            </w:pPr>
            <w:r w:rsidRPr="00576C4F">
              <w:t>Tel: +36 1 231 0493</w:t>
            </w:r>
          </w:p>
          <w:p w14:paraId="5434191D" w14:textId="77777777" w:rsidR="00240287" w:rsidRPr="00576C4F" w:rsidRDefault="00240287" w:rsidP="00BF16A7">
            <w:pPr>
              <w:tabs>
                <w:tab w:val="left" w:pos="-720"/>
              </w:tabs>
              <w:suppressAutoHyphens/>
              <w:adjustRightInd w:val="0"/>
              <w:snapToGrid w:val="0"/>
              <w:rPr>
                <w:rFonts w:eastAsia="맑은 고딕"/>
                <w:noProof/>
                <w:lang w:eastAsia="fr-FR"/>
              </w:rPr>
            </w:pPr>
          </w:p>
          <w:p w14:paraId="6DB44520" w14:textId="77777777" w:rsidR="00240287" w:rsidRPr="00576C4F" w:rsidRDefault="00240287" w:rsidP="00BF16A7">
            <w:pPr>
              <w:tabs>
                <w:tab w:val="left" w:pos="-720"/>
              </w:tabs>
              <w:suppressAutoHyphens/>
              <w:adjustRightInd w:val="0"/>
              <w:snapToGrid w:val="0"/>
              <w:rPr>
                <w:rFonts w:eastAsia="맑은 고딕"/>
                <w:noProof/>
                <w:lang w:eastAsia="ko-KR"/>
              </w:rPr>
            </w:pPr>
          </w:p>
        </w:tc>
        <w:tc>
          <w:tcPr>
            <w:tcW w:w="2500" w:type="pct"/>
          </w:tcPr>
          <w:p w14:paraId="37CCC36D" w14:textId="77777777" w:rsidR="00240287" w:rsidRPr="00576C4F" w:rsidRDefault="00240287" w:rsidP="00BF16A7">
            <w:pPr>
              <w:tabs>
                <w:tab w:val="left" w:pos="-720"/>
              </w:tabs>
              <w:suppressAutoHyphens/>
              <w:adjustRightInd w:val="0"/>
              <w:snapToGrid w:val="0"/>
              <w:rPr>
                <w:noProof/>
                <w:lang w:eastAsia="fr-FR"/>
              </w:rPr>
            </w:pPr>
            <w:r w:rsidRPr="00576C4F">
              <w:rPr>
                <w:rFonts w:eastAsia="맑은 고딕"/>
                <w:b/>
                <w:noProof/>
                <w:lang w:eastAsia="fr-FR"/>
              </w:rPr>
              <w:t>Norge</w:t>
            </w:r>
          </w:p>
          <w:p w14:paraId="45720E87" w14:textId="77777777" w:rsidR="00240287" w:rsidRPr="00576C4F" w:rsidRDefault="00240287"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43A43A64" w14:textId="77777777" w:rsidR="00240287" w:rsidRPr="00576C4F" w:rsidRDefault="00240287"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0E60F702" w14:textId="77777777" w:rsidR="00240287" w:rsidRPr="00576C4F" w:rsidRDefault="00240287" w:rsidP="00BF16A7">
            <w:pPr>
              <w:tabs>
                <w:tab w:val="left" w:pos="-720"/>
              </w:tabs>
              <w:suppressAutoHyphens/>
              <w:adjustRightInd w:val="0"/>
              <w:snapToGrid w:val="0"/>
              <w:rPr>
                <w:rFonts w:eastAsia="맑은 고딕"/>
                <w:noProof/>
                <w:lang w:eastAsia="ko-KR"/>
              </w:rPr>
            </w:pPr>
          </w:p>
        </w:tc>
      </w:tr>
      <w:tr w:rsidR="00240287" w14:paraId="07BFBCC8" w14:textId="77777777" w:rsidTr="00BF16A7">
        <w:tc>
          <w:tcPr>
            <w:tcW w:w="2500" w:type="pct"/>
            <w:hideMark/>
          </w:tcPr>
          <w:p w14:paraId="04DD7BFE" w14:textId="77777777" w:rsidR="00240287" w:rsidRPr="00850855" w:rsidRDefault="00240287" w:rsidP="00BF16A7">
            <w:pPr>
              <w:adjustRightInd w:val="0"/>
              <w:snapToGrid w:val="0"/>
              <w:rPr>
                <w:noProof/>
                <w:lang w:val="fr-CA" w:eastAsia="fr-FR"/>
              </w:rPr>
            </w:pPr>
            <w:r w:rsidRPr="00850855">
              <w:rPr>
                <w:b/>
                <w:noProof/>
                <w:lang w:val="fr-CA"/>
              </w:rPr>
              <w:t>España</w:t>
            </w:r>
          </w:p>
          <w:p w14:paraId="3FEA6497" w14:textId="021DEFE9" w:rsidR="00240287" w:rsidRPr="00850855" w:rsidRDefault="00240287" w:rsidP="00BF16A7">
            <w:pPr>
              <w:adjustRightInd w:val="0"/>
              <w:snapToGrid w:val="0"/>
              <w:rPr>
                <w:rFonts w:eastAsia="맑은 고딕"/>
                <w:noProof/>
                <w:lang w:val="fr-CA" w:eastAsia="ko-KR"/>
              </w:rPr>
            </w:pPr>
            <w:r w:rsidRPr="00850855">
              <w:rPr>
                <w:rFonts w:eastAsia="맑은 고딕"/>
                <w:noProof/>
                <w:lang w:val="fr-CA" w:eastAsia="fr-FR"/>
              </w:rPr>
              <w:t>CELLTRION FARMACEUTICA (ESPAÑA) S.L</w:t>
            </w:r>
            <w:r w:rsidRPr="00850855">
              <w:rPr>
                <w:rFonts w:eastAsia="맑은 고딕" w:hint="eastAsia"/>
                <w:noProof/>
                <w:lang w:val="fr-CA" w:eastAsia="ko-KR"/>
              </w:rPr>
              <w:t>.</w:t>
            </w:r>
          </w:p>
          <w:p w14:paraId="1E21B9DE" w14:textId="1AAC5CE9" w:rsidR="00240287" w:rsidRDefault="00240287" w:rsidP="00BF16A7">
            <w:pPr>
              <w:adjustRightInd w:val="0"/>
              <w:snapToGrid w:val="0"/>
              <w:rPr>
                <w:rFonts w:eastAsia="맑은 고딕"/>
                <w:noProof/>
                <w:lang w:eastAsia="fr-FR"/>
              </w:rPr>
            </w:pPr>
            <w:r w:rsidRPr="00811842">
              <w:rPr>
                <w:rFonts w:eastAsia="맑은 고딕"/>
                <w:noProof/>
                <w:lang w:eastAsia="fr-FR"/>
              </w:rPr>
              <w:t xml:space="preserve">Tel: </w:t>
            </w:r>
            <w:r w:rsidRPr="00F75F44">
              <w:rPr>
                <w:rFonts w:eastAsia="맑은 고딕"/>
                <w:noProof/>
                <w:lang w:eastAsia="fr-FR"/>
              </w:rPr>
              <w:t>+34 910 498 478</w:t>
            </w:r>
          </w:p>
          <w:p w14:paraId="0EE4384B" w14:textId="77777777" w:rsidR="00240287" w:rsidRPr="00811842" w:rsidRDefault="00240287" w:rsidP="00BF16A7">
            <w:pPr>
              <w:adjustRightInd w:val="0"/>
              <w:snapToGrid w:val="0"/>
              <w:rPr>
                <w:rFonts w:eastAsia="맑은 고딕"/>
                <w:noProof/>
                <w:lang w:eastAsia="ko-KR"/>
              </w:rPr>
            </w:pPr>
          </w:p>
          <w:p w14:paraId="64504307" w14:textId="77777777" w:rsidR="00240287" w:rsidRPr="00811842" w:rsidRDefault="00240287" w:rsidP="00BF16A7">
            <w:pPr>
              <w:adjustRightInd w:val="0"/>
              <w:snapToGrid w:val="0"/>
              <w:rPr>
                <w:b/>
                <w:noProof/>
                <w:lang w:eastAsia="fr-FR"/>
              </w:rPr>
            </w:pPr>
          </w:p>
        </w:tc>
        <w:tc>
          <w:tcPr>
            <w:tcW w:w="2500" w:type="pct"/>
          </w:tcPr>
          <w:p w14:paraId="76283CB4" w14:textId="77777777" w:rsidR="00240287" w:rsidRPr="00D05A06" w:rsidRDefault="00240287" w:rsidP="00BF16A7">
            <w:pPr>
              <w:adjustRightInd w:val="0"/>
              <w:snapToGrid w:val="0"/>
              <w:rPr>
                <w:noProof/>
                <w:lang w:eastAsia="fr-FR"/>
              </w:rPr>
            </w:pPr>
            <w:r w:rsidRPr="00811842">
              <w:rPr>
                <w:b/>
                <w:noProof/>
              </w:rPr>
              <w:t>Österreich</w:t>
            </w:r>
          </w:p>
          <w:p w14:paraId="00ADCB71" w14:textId="77777777" w:rsidR="00240287" w:rsidRPr="00D05A06" w:rsidRDefault="00240287" w:rsidP="00BF16A7">
            <w:pPr>
              <w:adjustRightInd w:val="0"/>
              <w:snapToGrid w:val="0"/>
              <w:rPr>
                <w:rFonts w:eastAsia="맑은 고딕"/>
                <w:noProof/>
                <w:lang w:eastAsia="ko-KR"/>
              </w:rPr>
            </w:pPr>
            <w:r w:rsidRPr="00D05A06">
              <w:rPr>
                <w:rFonts w:eastAsia="맑은 고딕"/>
                <w:noProof/>
                <w:lang w:eastAsia="fr-FR"/>
              </w:rPr>
              <w:t>Astro-Pharma GmbH</w:t>
            </w:r>
          </w:p>
          <w:p w14:paraId="26625FE1" w14:textId="77777777" w:rsidR="00240287" w:rsidRPr="00D05A06" w:rsidRDefault="00240287" w:rsidP="00BF16A7">
            <w:pPr>
              <w:tabs>
                <w:tab w:val="left" w:pos="-720"/>
              </w:tabs>
              <w:suppressAutoHyphens/>
              <w:adjustRightInd w:val="0"/>
              <w:snapToGrid w:val="0"/>
              <w:rPr>
                <w:rFonts w:eastAsia="맑은 고딕"/>
                <w:noProof/>
                <w:lang w:eastAsia="fr-FR"/>
              </w:rPr>
            </w:pPr>
            <w:r w:rsidRPr="00D05A06">
              <w:rPr>
                <w:rFonts w:eastAsia="맑은 고딕"/>
                <w:noProof/>
                <w:lang w:eastAsia="fr-FR"/>
              </w:rPr>
              <w:t>Tel: +43 1 97 99 860</w:t>
            </w:r>
          </w:p>
          <w:p w14:paraId="27050C90" w14:textId="77777777" w:rsidR="00240287" w:rsidRPr="00D05A06" w:rsidRDefault="00240287" w:rsidP="00BF16A7">
            <w:pPr>
              <w:tabs>
                <w:tab w:val="left" w:pos="-720"/>
              </w:tabs>
              <w:suppressAutoHyphens/>
              <w:adjustRightInd w:val="0"/>
              <w:snapToGrid w:val="0"/>
              <w:rPr>
                <w:noProof/>
                <w:lang w:eastAsia="fr-FR"/>
              </w:rPr>
            </w:pPr>
          </w:p>
        </w:tc>
      </w:tr>
      <w:tr w:rsidR="00240287" w14:paraId="445F8962" w14:textId="77777777" w:rsidTr="00BF16A7">
        <w:tc>
          <w:tcPr>
            <w:tcW w:w="2500" w:type="pct"/>
          </w:tcPr>
          <w:p w14:paraId="61B9F2EC" w14:textId="77777777" w:rsidR="00240287" w:rsidRPr="008C5B9D" w:rsidRDefault="00240287" w:rsidP="00BF16A7">
            <w:pPr>
              <w:adjustRightInd w:val="0"/>
              <w:snapToGrid w:val="0"/>
              <w:rPr>
                <w:b/>
                <w:noProof/>
                <w:lang w:eastAsia="fr-FR"/>
              </w:rPr>
            </w:pPr>
            <w:r w:rsidRPr="008C5B9D">
              <w:rPr>
                <w:b/>
                <w:noProof/>
                <w:lang w:eastAsia="fr-FR"/>
              </w:rPr>
              <w:t>Ελλάδα</w:t>
            </w:r>
          </w:p>
          <w:p w14:paraId="35A93B03" w14:textId="77777777" w:rsidR="00240287" w:rsidRPr="00811842" w:rsidRDefault="00240287" w:rsidP="00BF16A7">
            <w:pPr>
              <w:adjustRightInd w:val="0"/>
              <w:snapToGrid w:val="0"/>
              <w:rPr>
                <w:noProof/>
                <w:lang w:eastAsia="fr-FR"/>
              </w:rPr>
            </w:pPr>
            <w:r w:rsidRPr="00811842">
              <w:rPr>
                <w:noProof/>
                <w:lang w:eastAsia="fr-FR"/>
              </w:rPr>
              <w:t>ΒΙΑΝΕΞ Α.Ε.</w:t>
            </w:r>
          </w:p>
          <w:p w14:paraId="3849BA35" w14:textId="77777777" w:rsidR="00240287" w:rsidRPr="00811842" w:rsidRDefault="00240287" w:rsidP="00BF16A7">
            <w:pPr>
              <w:adjustRightInd w:val="0"/>
              <w:snapToGrid w:val="0"/>
              <w:rPr>
                <w:noProof/>
                <w:lang w:eastAsia="fr-FR"/>
              </w:rPr>
            </w:pPr>
            <w:r w:rsidRPr="00811842">
              <w:rPr>
                <w:noProof/>
                <w:lang w:eastAsia="fr-FR"/>
              </w:rPr>
              <w:t>Τηλ: +30 210 8009111 - 120</w:t>
            </w:r>
          </w:p>
          <w:p w14:paraId="7F794E1B" w14:textId="77777777" w:rsidR="00240287" w:rsidRPr="00811842" w:rsidRDefault="00240287" w:rsidP="00BF16A7">
            <w:pPr>
              <w:adjustRightInd w:val="0"/>
              <w:snapToGrid w:val="0"/>
              <w:rPr>
                <w:rFonts w:eastAsia="맑은 고딕"/>
                <w:noProof/>
                <w:lang w:eastAsia="fr-FR"/>
              </w:rPr>
            </w:pPr>
          </w:p>
        </w:tc>
        <w:tc>
          <w:tcPr>
            <w:tcW w:w="2500" w:type="pct"/>
          </w:tcPr>
          <w:p w14:paraId="6BB64D41" w14:textId="77777777" w:rsidR="00240287" w:rsidRPr="00D05A06" w:rsidRDefault="00240287" w:rsidP="00BF16A7">
            <w:pPr>
              <w:adjustRightInd w:val="0"/>
              <w:snapToGrid w:val="0"/>
              <w:rPr>
                <w:rFonts w:eastAsia="맑은 고딕"/>
                <w:b/>
                <w:noProof/>
                <w:lang w:eastAsia="fr-FR"/>
              </w:rPr>
            </w:pPr>
            <w:r w:rsidRPr="00811842">
              <w:rPr>
                <w:rFonts w:eastAsia="맑은 고딕"/>
                <w:b/>
                <w:noProof/>
                <w:lang w:eastAsia="fr-FR"/>
              </w:rPr>
              <w:t>Polska</w:t>
            </w:r>
          </w:p>
          <w:p w14:paraId="4BBEA2BC" w14:textId="77777777" w:rsidR="00240287" w:rsidRPr="002410B7" w:rsidRDefault="00240287"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6B75E454" w14:textId="77777777" w:rsidR="00240287" w:rsidRDefault="00240287" w:rsidP="00BF16A7">
            <w:pPr>
              <w:adjustRightInd w:val="0"/>
              <w:snapToGrid w:val="0"/>
              <w:rPr>
                <w:b/>
                <w:noProof/>
              </w:rPr>
            </w:pPr>
            <w:r w:rsidRPr="007E01E8">
              <w:rPr>
                <w:rFonts w:eastAsia="맑은 고딕"/>
                <w:noProof/>
                <w:lang w:eastAsia="fr-FR"/>
              </w:rPr>
              <w:t>Tel.: +36 1 231 0493</w:t>
            </w:r>
          </w:p>
          <w:p w14:paraId="24C56925" w14:textId="77777777" w:rsidR="00240287" w:rsidRPr="00D05A06" w:rsidRDefault="00240287" w:rsidP="00BF16A7">
            <w:pPr>
              <w:adjustRightInd w:val="0"/>
              <w:snapToGrid w:val="0"/>
              <w:rPr>
                <w:b/>
                <w:noProof/>
              </w:rPr>
            </w:pPr>
          </w:p>
        </w:tc>
      </w:tr>
      <w:tr w:rsidR="00240287" w:rsidRPr="000D7348" w14:paraId="4031123F" w14:textId="77777777" w:rsidTr="00BF16A7">
        <w:tc>
          <w:tcPr>
            <w:tcW w:w="2500" w:type="pct"/>
          </w:tcPr>
          <w:p w14:paraId="20263F62" w14:textId="77777777" w:rsidR="00240287" w:rsidRPr="008C5B9D" w:rsidRDefault="00240287" w:rsidP="00BF16A7">
            <w:pPr>
              <w:adjustRightInd w:val="0"/>
              <w:snapToGrid w:val="0"/>
              <w:rPr>
                <w:b/>
                <w:noProof/>
                <w:lang w:eastAsia="ko-KR"/>
              </w:rPr>
            </w:pPr>
            <w:r w:rsidRPr="008C5B9D">
              <w:rPr>
                <w:b/>
                <w:noProof/>
                <w:lang w:eastAsia="ko-KR"/>
              </w:rPr>
              <w:t>France</w:t>
            </w:r>
          </w:p>
          <w:p w14:paraId="765A50B7" w14:textId="77777777" w:rsidR="00240287" w:rsidRPr="00811842" w:rsidRDefault="00240287" w:rsidP="00BF16A7">
            <w:pPr>
              <w:adjustRightInd w:val="0"/>
              <w:snapToGrid w:val="0"/>
              <w:rPr>
                <w:noProof/>
                <w:lang w:eastAsia="ko-KR"/>
              </w:rPr>
            </w:pPr>
            <w:r w:rsidRPr="00811842">
              <w:rPr>
                <w:noProof/>
                <w:lang w:eastAsia="ko-KR"/>
              </w:rPr>
              <w:t>CELLTRION HEALTHCARE FRANCE SAS</w:t>
            </w:r>
          </w:p>
          <w:p w14:paraId="01D76C94" w14:textId="77777777" w:rsidR="00240287" w:rsidRPr="00811842" w:rsidRDefault="00240287" w:rsidP="00BF16A7">
            <w:pPr>
              <w:adjustRightInd w:val="0"/>
              <w:snapToGrid w:val="0"/>
              <w:rPr>
                <w:rFonts w:eastAsia="맑은 고딕"/>
                <w:noProof/>
                <w:lang w:eastAsia="ko-KR"/>
              </w:rPr>
            </w:pPr>
            <w:r w:rsidRPr="00811842">
              <w:rPr>
                <w:noProof/>
                <w:lang w:eastAsia="ko-KR"/>
              </w:rPr>
              <w:t>Tél.: +33 (0)1 71 25 27 00</w:t>
            </w:r>
          </w:p>
          <w:p w14:paraId="406D130D" w14:textId="77777777" w:rsidR="00240287" w:rsidRPr="00811842" w:rsidRDefault="00240287" w:rsidP="00BF16A7">
            <w:pPr>
              <w:adjustRightInd w:val="0"/>
              <w:snapToGrid w:val="0"/>
              <w:rPr>
                <w:rFonts w:eastAsia="맑은 고딕"/>
                <w:noProof/>
                <w:lang w:eastAsia="fr-FR"/>
              </w:rPr>
            </w:pPr>
          </w:p>
        </w:tc>
        <w:tc>
          <w:tcPr>
            <w:tcW w:w="2500" w:type="pct"/>
            <w:tcMar>
              <w:right w:w="108" w:type="dxa"/>
            </w:tcMar>
          </w:tcPr>
          <w:p w14:paraId="3380B6C9" w14:textId="77777777" w:rsidR="00240287" w:rsidRPr="00D05A06" w:rsidRDefault="00240287" w:rsidP="00BF16A7">
            <w:pPr>
              <w:adjustRightInd w:val="0"/>
              <w:snapToGrid w:val="0"/>
              <w:rPr>
                <w:noProof/>
                <w:lang w:val="fr-CA" w:eastAsia="fr-FR"/>
              </w:rPr>
            </w:pPr>
            <w:r w:rsidRPr="00811842">
              <w:rPr>
                <w:rFonts w:eastAsia="맑은 고딕"/>
                <w:b/>
                <w:noProof/>
                <w:lang w:val="fr-CA" w:eastAsia="fr-FR"/>
              </w:rPr>
              <w:t>Portugal</w:t>
            </w:r>
          </w:p>
          <w:p w14:paraId="6BF11E6D" w14:textId="719D020E" w:rsidR="00240287" w:rsidRPr="00D05A06" w:rsidRDefault="00240287" w:rsidP="00BF16A7">
            <w:pPr>
              <w:adjustRightInd w:val="0"/>
              <w:snapToGrid w:val="0"/>
              <w:rPr>
                <w:rFonts w:eastAsia="맑은 고딕"/>
                <w:noProof/>
                <w:lang w:val="fr-CA" w:eastAsia="ko-KR"/>
              </w:rPr>
            </w:pPr>
            <w:r w:rsidRPr="002A2405">
              <w:rPr>
                <w:rFonts w:eastAsia="맑은 고딕"/>
                <w:noProof/>
                <w:lang w:val="fr-CA" w:eastAsia="fr-FR"/>
              </w:rPr>
              <w:t>CELLTRION PORTUGAL, UNIPESSOAL LDA</w:t>
            </w:r>
          </w:p>
          <w:p w14:paraId="1C291A89" w14:textId="3E4AC2F4" w:rsidR="00240287" w:rsidRPr="00850855" w:rsidRDefault="00240287" w:rsidP="00BF16A7">
            <w:pPr>
              <w:adjustRightInd w:val="0"/>
              <w:snapToGrid w:val="0"/>
              <w:rPr>
                <w:rFonts w:eastAsia="맑은 고딕"/>
                <w:noProof/>
                <w:lang w:val="fr-CA" w:eastAsia="ko-KR"/>
              </w:rPr>
            </w:pPr>
            <w:r w:rsidRPr="00850855">
              <w:rPr>
                <w:rFonts w:eastAsia="맑은 고딕"/>
                <w:noProof/>
                <w:lang w:val="fr-CA" w:eastAsia="fr-FR"/>
              </w:rPr>
              <w:t>Tel: +351 21 936 8542</w:t>
            </w:r>
          </w:p>
          <w:p w14:paraId="6FEBB2A3" w14:textId="77777777" w:rsidR="00240287" w:rsidRPr="00850855" w:rsidRDefault="00240287" w:rsidP="00BF16A7">
            <w:pPr>
              <w:adjustRightInd w:val="0"/>
              <w:snapToGrid w:val="0"/>
              <w:rPr>
                <w:b/>
                <w:noProof/>
                <w:lang w:val="fr-CA"/>
              </w:rPr>
            </w:pPr>
          </w:p>
        </w:tc>
      </w:tr>
      <w:tr w:rsidR="00240287" w14:paraId="73DFCE7E" w14:textId="77777777" w:rsidTr="00BF16A7">
        <w:tc>
          <w:tcPr>
            <w:tcW w:w="2500" w:type="pct"/>
          </w:tcPr>
          <w:p w14:paraId="3595DE9E" w14:textId="77777777" w:rsidR="00240287" w:rsidRPr="008C5B9D" w:rsidRDefault="00240287" w:rsidP="00BF16A7">
            <w:pPr>
              <w:adjustRightInd w:val="0"/>
              <w:snapToGrid w:val="0"/>
              <w:rPr>
                <w:b/>
                <w:noProof/>
                <w:lang w:eastAsia="ko-KR"/>
              </w:rPr>
            </w:pPr>
            <w:r w:rsidRPr="008C5B9D">
              <w:rPr>
                <w:b/>
                <w:noProof/>
                <w:lang w:eastAsia="ko-KR"/>
              </w:rPr>
              <w:t>Hrvatska</w:t>
            </w:r>
          </w:p>
          <w:p w14:paraId="518A242C" w14:textId="77777777" w:rsidR="00240287" w:rsidRPr="00811842" w:rsidRDefault="00240287" w:rsidP="00BF16A7">
            <w:pPr>
              <w:adjustRightInd w:val="0"/>
              <w:snapToGrid w:val="0"/>
              <w:rPr>
                <w:noProof/>
                <w:lang w:eastAsia="ko-KR"/>
              </w:rPr>
            </w:pPr>
            <w:r w:rsidRPr="00811842">
              <w:rPr>
                <w:noProof/>
                <w:lang w:eastAsia="ko-KR"/>
              </w:rPr>
              <w:t>Oktal Pharma d.o.o.</w:t>
            </w:r>
          </w:p>
          <w:p w14:paraId="3B9A7E7B" w14:textId="77777777" w:rsidR="00240287" w:rsidRPr="00811842" w:rsidRDefault="00240287" w:rsidP="00BF16A7">
            <w:pPr>
              <w:adjustRightInd w:val="0"/>
              <w:snapToGrid w:val="0"/>
              <w:rPr>
                <w:noProof/>
                <w:lang w:eastAsia="ko-KR"/>
              </w:rPr>
            </w:pPr>
            <w:r w:rsidRPr="00811842">
              <w:rPr>
                <w:noProof/>
                <w:lang w:eastAsia="ko-KR"/>
              </w:rPr>
              <w:t>Tel: +385 1 6595 777</w:t>
            </w:r>
          </w:p>
          <w:p w14:paraId="30F30E00" w14:textId="77777777" w:rsidR="00240287" w:rsidRPr="00811842" w:rsidRDefault="00240287" w:rsidP="00BF16A7">
            <w:pPr>
              <w:adjustRightInd w:val="0"/>
              <w:snapToGrid w:val="0"/>
              <w:rPr>
                <w:rFonts w:eastAsia="맑은 고딕"/>
                <w:noProof/>
                <w:lang w:eastAsia="fr-FR"/>
              </w:rPr>
            </w:pPr>
          </w:p>
        </w:tc>
        <w:tc>
          <w:tcPr>
            <w:tcW w:w="2500" w:type="pct"/>
          </w:tcPr>
          <w:p w14:paraId="776CDD41" w14:textId="77777777" w:rsidR="00240287" w:rsidRPr="00BA3060" w:rsidRDefault="00240287" w:rsidP="00BF16A7">
            <w:pPr>
              <w:tabs>
                <w:tab w:val="left" w:pos="-720"/>
              </w:tabs>
              <w:suppressAutoHyphens/>
              <w:adjustRightInd w:val="0"/>
              <w:snapToGrid w:val="0"/>
              <w:rPr>
                <w:rFonts w:eastAsia="맑은 고딕"/>
                <w:b/>
                <w:noProof/>
                <w:lang w:eastAsia="fr-FR"/>
              </w:rPr>
            </w:pPr>
            <w:r w:rsidRPr="00BA3060">
              <w:rPr>
                <w:b/>
                <w:noProof/>
              </w:rPr>
              <w:t>România</w:t>
            </w:r>
          </w:p>
          <w:p w14:paraId="2670FCDA" w14:textId="77777777" w:rsidR="00240287" w:rsidRPr="00BA3060" w:rsidRDefault="00240287" w:rsidP="00BF16A7">
            <w:pPr>
              <w:pStyle w:val="Default"/>
              <w:rPr>
                <w:sz w:val="22"/>
                <w:szCs w:val="22"/>
              </w:rPr>
            </w:pPr>
            <w:r w:rsidRPr="00BA3060">
              <w:rPr>
                <w:sz w:val="22"/>
                <w:szCs w:val="22"/>
              </w:rPr>
              <w:t xml:space="preserve">Celltrion Healthcare Hungary Kft. </w:t>
            </w:r>
          </w:p>
          <w:p w14:paraId="57A102F2" w14:textId="77777777" w:rsidR="00240287" w:rsidRPr="00BA3060" w:rsidRDefault="00240287" w:rsidP="00BF16A7">
            <w:pPr>
              <w:tabs>
                <w:tab w:val="left" w:pos="-720"/>
              </w:tabs>
              <w:suppressAutoHyphens/>
              <w:adjustRightInd w:val="0"/>
              <w:snapToGrid w:val="0"/>
              <w:rPr>
                <w:rFonts w:eastAsia="맑은 고딕"/>
                <w:noProof/>
                <w:lang w:eastAsia="fr-FR"/>
              </w:rPr>
            </w:pPr>
            <w:r w:rsidRPr="00BA3060">
              <w:rPr>
                <w:rFonts w:eastAsia="SimSun"/>
                <w:color w:val="000000"/>
                <w:lang w:eastAsia="zh-CN"/>
              </w:rPr>
              <w:t>Tel: +36 1 231 0493</w:t>
            </w:r>
          </w:p>
          <w:p w14:paraId="56FAF041" w14:textId="77777777" w:rsidR="00240287" w:rsidRPr="00BA3060" w:rsidRDefault="00240287" w:rsidP="00BF16A7">
            <w:pPr>
              <w:adjustRightInd w:val="0"/>
              <w:snapToGrid w:val="0"/>
              <w:rPr>
                <w:b/>
                <w:noProof/>
              </w:rPr>
            </w:pPr>
          </w:p>
        </w:tc>
      </w:tr>
      <w:tr w:rsidR="00240287" w14:paraId="54499432" w14:textId="77777777" w:rsidTr="00BF16A7">
        <w:tc>
          <w:tcPr>
            <w:tcW w:w="2500" w:type="pct"/>
          </w:tcPr>
          <w:p w14:paraId="6C01B2A7" w14:textId="77777777" w:rsidR="00240287" w:rsidRPr="008C5B9D" w:rsidRDefault="00240287" w:rsidP="00BF16A7">
            <w:pPr>
              <w:tabs>
                <w:tab w:val="left" w:pos="-720"/>
              </w:tabs>
              <w:suppressAutoHyphens/>
              <w:adjustRightInd w:val="0"/>
              <w:snapToGrid w:val="0"/>
              <w:rPr>
                <w:noProof/>
                <w:lang w:eastAsia="fr-FR"/>
              </w:rPr>
            </w:pPr>
            <w:r w:rsidRPr="008C5B9D">
              <w:rPr>
                <w:rFonts w:eastAsia="맑은 고딕"/>
                <w:b/>
                <w:noProof/>
                <w:lang w:eastAsia="fr-FR"/>
              </w:rPr>
              <w:t>Ireland</w:t>
            </w:r>
          </w:p>
          <w:p w14:paraId="182FACAD" w14:textId="77777777" w:rsidR="00240287" w:rsidRDefault="00240287" w:rsidP="00BF16A7">
            <w:pPr>
              <w:adjustRightInd w:val="0"/>
              <w:snapToGrid w:val="0"/>
            </w:pPr>
            <w:r w:rsidRPr="00131FCB">
              <w:t xml:space="preserve">Celltrion Healthcare Ireland Limited </w:t>
            </w:r>
          </w:p>
          <w:p w14:paraId="3AD7C4F5" w14:textId="21A19CFD" w:rsidR="00240287" w:rsidRPr="00811842" w:rsidRDefault="00240287" w:rsidP="00907EAA">
            <w:pPr>
              <w:adjustRightInd w:val="0"/>
              <w:snapToGrid w:val="0"/>
              <w:rPr>
                <w:rFonts w:eastAsia="맑은 고딕"/>
                <w:noProof/>
                <w:lang w:eastAsia="fr-FR"/>
              </w:rPr>
            </w:pPr>
            <w:r w:rsidRPr="00131FCB">
              <w:t>Tel: +353 1 223 4026</w:t>
            </w:r>
          </w:p>
        </w:tc>
        <w:tc>
          <w:tcPr>
            <w:tcW w:w="2500" w:type="pct"/>
          </w:tcPr>
          <w:p w14:paraId="02ABC6A5" w14:textId="77777777" w:rsidR="00240287" w:rsidRPr="00BA3060" w:rsidRDefault="00240287" w:rsidP="00BF16A7">
            <w:pPr>
              <w:adjustRightInd w:val="0"/>
              <w:snapToGrid w:val="0"/>
              <w:rPr>
                <w:rFonts w:eastAsia="맑은 고딕"/>
                <w:b/>
                <w:noProof/>
                <w:lang w:eastAsia="fr-FR"/>
              </w:rPr>
            </w:pPr>
            <w:r w:rsidRPr="00BA3060">
              <w:rPr>
                <w:rFonts w:eastAsia="맑은 고딕"/>
                <w:b/>
                <w:noProof/>
                <w:lang w:eastAsia="fr-FR"/>
              </w:rPr>
              <w:t>Slovenija</w:t>
            </w:r>
          </w:p>
          <w:p w14:paraId="12F0610A" w14:textId="77777777" w:rsidR="00240287" w:rsidRPr="00BA3060" w:rsidRDefault="00240287" w:rsidP="00BF16A7">
            <w:pPr>
              <w:adjustRightInd w:val="0"/>
              <w:snapToGrid w:val="0"/>
              <w:rPr>
                <w:rFonts w:eastAsia="맑은 고딕"/>
                <w:noProof/>
                <w:lang w:eastAsia="fr-FR"/>
              </w:rPr>
            </w:pPr>
            <w:r w:rsidRPr="00BA3060">
              <w:rPr>
                <w:rFonts w:eastAsia="맑은 고딕"/>
                <w:noProof/>
                <w:lang w:eastAsia="fr-FR"/>
              </w:rPr>
              <w:t>OPH Oktal Pharma d.o.o.</w:t>
            </w:r>
          </w:p>
          <w:p w14:paraId="42806FB0" w14:textId="501053CD" w:rsidR="00240287" w:rsidRPr="00BA3060" w:rsidRDefault="00240287" w:rsidP="00907EAA">
            <w:pPr>
              <w:adjustRightInd w:val="0"/>
              <w:snapToGrid w:val="0"/>
              <w:rPr>
                <w:b/>
                <w:noProof/>
              </w:rPr>
            </w:pPr>
            <w:r w:rsidRPr="00BA3060">
              <w:rPr>
                <w:rFonts w:eastAsia="맑은 고딕"/>
                <w:noProof/>
                <w:lang w:eastAsia="fr-FR"/>
              </w:rPr>
              <w:t>Tel.: +386 1 519 29 22</w:t>
            </w:r>
          </w:p>
        </w:tc>
      </w:tr>
      <w:tr w:rsidR="00240287" w14:paraId="506E2CC8" w14:textId="77777777" w:rsidTr="00BF16A7">
        <w:tc>
          <w:tcPr>
            <w:tcW w:w="2500" w:type="pct"/>
          </w:tcPr>
          <w:p w14:paraId="25C7132A" w14:textId="77777777" w:rsidR="00240287" w:rsidRPr="008C5B9D" w:rsidRDefault="00240287" w:rsidP="00BF16A7">
            <w:pPr>
              <w:adjustRightInd w:val="0"/>
              <w:snapToGrid w:val="0"/>
              <w:rPr>
                <w:rFonts w:eastAsia="맑은 고딕"/>
                <w:noProof/>
                <w:lang w:eastAsia="fr-FR"/>
              </w:rPr>
            </w:pPr>
            <w:r w:rsidRPr="008C5B9D">
              <w:rPr>
                <w:rFonts w:eastAsia="맑은 고딕"/>
                <w:b/>
                <w:noProof/>
                <w:lang w:eastAsia="fr-FR"/>
              </w:rPr>
              <w:t>Ísland</w:t>
            </w:r>
          </w:p>
          <w:p w14:paraId="6136F34B" w14:textId="77777777" w:rsidR="00240287" w:rsidRDefault="00240287" w:rsidP="00BF16A7">
            <w:pPr>
              <w:adjustRightInd w:val="0"/>
              <w:snapToGrid w:val="0"/>
            </w:pPr>
            <w:r w:rsidRPr="00131FCB">
              <w:t xml:space="preserve">Celltrion Healthcare Hungary Kft. </w:t>
            </w:r>
          </w:p>
          <w:p w14:paraId="14207790" w14:textId="77777777" w:rsidR="00240287" w:rsidRPr="008C5B9D" w:rsidRDefault="00240287" w:rsidP="00BF16A7">
            <w:pPr>
              <w:adjustRightInd w:val="0"/>
              <w:snapToGrid w:val="0"/>
              <w:rPr>
                <w:rFonts w:eastAsia="맑은 고딕"/>
                <w:noProof/>
                <w:lang w:eastAsia="fr-FR"/>
              </w:rPr>
            </w:pPr>
            <w:r w:rsidRPr="00131FCB">
              <w:t>Sími: +36 1 231 0493</w:t>
            </w:r>
          </w:p>
          <w:p w14:paraId="3C9797B2" w14:textId="77777777" w:rsidR="00240287" w:rsidRPr="00811842" w:rsidRDefault="00240287" w:rsidP="00BF16A7">
            <w:pPr>
              <w:adjustRightInd w:val="0"/>
              <w:snapToGrid w:val="0"/>
              <w:rPr>
                <w:rFonts w:eastAsia="맑은 고딕"/>
                <w:noProof/>
                <w:lang w:eastAsia="fr-FR"/>
              </w:rPr>
            </w:pPr>
          </w:p>
        </w:tc>
        <w:tc>
          <w:tcPr>
            <w:tcW w:w="2500" w:type="pct"/>
          </w:tcPr>
          <w:p w14:paraId="1EA34CFA" w14:textId="77777777" w:rsidR="00240287" w:rsidRPr="00811842" w:rsidRDefault="00240287" w:rsidP="00BF16A7">
            <w:pPr>
              <w:adjustRightInd w:val="0"/>
              <w:snapToGrid w:val="0"/>
              <w:rPr>
                <w:rFonts w:eastAsia="맑은 고딕"/>
                <w:b/>
                <w:noProof/>
                <w:lang w:eastAsia="fr-FR"/>
              </w:rPr>
            </w:pPr>
            <w:r w:rsidRPr="00811842">
              <w:rPr>
                <w:b/>
                <w:noProof/>
              </w:rPr>
              <w:t>Slovenská republika</w:t>
            </w:r>
          </w:p>
          <w:p w14:paraId="79CCC6F8" w14:textId="77777777" w:rsidR="00240287" w:rsidRPr="002410B7" w:rsidRDefault="00240287"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3FFA021E" w14:textId="77777777" w:rsidR="00240287" w:rsidRPr="002410B7" w:rsidRDefault="00240287" w:rsidP="00BF16A7">
            <w:pPr>
              <w:adjustRightInd w:val="0"/>
              <w:snapToGrid w:val="0"/>
              <w:rPr>
                <w:rFonts w:eastAsia="맑은 고딕"/>
                <w:b/>
                <w:noProof/>
                <w:lang w:eastAsia="fr-FR"/>
              </w:rPr>
            </w:pPr>
            <w:r w:rsidRPr="007E01E8">
              <w:rPr>
                <w:rFonts w:eastAsia="맑은 고딕"/>
                <w:noProof/>
                <w:lang w:eastAsia="fr-FR"/>
              </w:rPr>
              <w:t>Tel: +36 1 231 0493</w:t>
            </w:r>
          </w:p>
          <w:p w14:paraId="753013A2" w14:textId="77777777" w:rsidR="00240287" w:rsidRPr="002410B7" w:rsidRDefault="00240287" w:rsidP="00BF16A7">
            <w:pPr>
              <w:adjustRightInd w:val="0"/>
              <w:snapToGrid w:val="0"/>
              <w:rPr>
                <w:rFonts w:eastAsia="맑은 고딕"/>
                <w:b/>
                <w:noProof/>
                <w:lang w:eastAsia="fr-FR"/>
              </w:rPr>
            </w:pPr>
          </w:p>
        </w:tc>
      </w:tr>
      <w:tr w:rsidR="00240287" w14:paraId="2703A284" w14:textId="77777777" w:rsidTr="00BF16A7">
        <w:tc>
          <w:tcPr>
            <w:tcW w:w="2500" w:type="pct"/>
          </w:tcPr>
          <w:p w14:paraId="2DB8C31C" w14:textId="77777777" w:rsidR="00240287" w:rsidRPr="008C5B9D" w:rsidRDefault="00240287" w:rsidP="00B93A25">
            <w:pPr>
              <w:keepNext/>
              <w:keepLines/>
              <w:adjustRightInd w:val="0"/>
              <w:snapToGrid w:val="0"/>
              <w:rPr>
                <w:noProof/>
                <w:lang w:eastAsia="fr-FR"/>
              </w:rPr>
            </w:pPr>
            <w:r w:rsidRPr="008C5B9D">
              <w:rPr>
                <w:rFonts w:eastAsia="맑은 고딕"/>
                <w:b/>
                <w:noProof/>
                <w:lang w:eastAsia="fr-FR"/>
              </w:rPr>
              <w:lastRenderedPageBreak/>
              <w:t>Italia</w:t>
            </w:r>
          </w:p>
          <w:p w14:paraId="2421C378" w14:textId="77777777" w:rsidR="00240287" w:rsidRDefault="00240287" w:rsidP="00B93A25">
            <w:pPr>
              <w:keepNext/>
              <w:keepLines/>
              <w:adjustRightInd w:val="0"/>
              <w:snapToGrid w:val="0"/>
            </w:pPr>
            <w:r w:rsidRPr="00131FCB">
              <w:t xml:space="preserve">Celltrion Healthcare Italy S.R.L. </w:t>
            </w:r>
          </w:p>
          <w:p w14:paraId="3E549235" w14:textId="77777777" w:rsidR="00240287" w:rsidRPr="008C5B9D" w:rsidRDefault="00240287" w:rsidP="00B93A25">
            <w:pPr>
              <w:keepNext/>
              <w:keepLines/>
              <w:adjustRightInd w:val="0"/>
              <w:snapToGrid w:val="0"/>
              <w:rPr>
                <w:rFonts w:eastAsia="맑은 고딕"/>
                <w:noProof/>
                <w:lang w:eastAsia="fr-FR"/>
              </w:rPr>
            </w:pPr>
            <w:r w:rsidRPr="00131FCB">
              <w:t>Tel: +39 02</w:t>
            </w:r>
            <w:r>
              <w:t>47927040</w:t>
            </w:r>
          </w:p>
          <w:p w14:paraId="4D79DD42" w14:textId="77777777" w:rsidR="00240287" w:rsidRPr="00811842" w:rsidRDefault="00240287" w:rsidP="00B93A25">
            <w:pPr>
              <w:keepNext/>
              <w:keepLines/>
              <w:adjustRightInd w:val="0"/>
              <w:snapToGrid w:val="0"/>
              <w:rPr>
                <w:rFonts w:eastAsia="맑은 고딕"/>
                <w:noProof/>
                <w:lang w:eastAsia="fr-FR"/>
              </w:rPr>
            </w:pPr>
          </w:p>
        </w:tc>
        <w:tc>
          <w:tcPr>
            <w:tcW w:w="2500" w:type="pct"/>
          </w:tcPr>
          <w:p w14:paraId="3EB69F44" w14:textId="77777777" w:rsidR="00304484" w:rsidRPr="00304484" w:rsidRDefault="00304484" w:rsidP="00304484">
            <w:pPr>
              <w:autoSpaceDE/>
              <w:autoSpaceDN/>
              <w:adjustRightInd w:val="0"/>
              <w:snapToGrid w:val="0"/>
              <w:rPr>
                <w:rFonts w:eastAsiaTheme="minorEastAsia"/>
                <w:noProof/>
                <w:lang w:eastAsia="fr-FR"/>
              </w:rPr>
            </w:pPr>
            <w:r w:rsidRPr="00304484">
              <w:rPr>
                <w:rFonts w:eastAsia="맑은 고딕"/>
                <w:b/>
                <w:noProof/>
                <w:lang w:eastAsia="fr-FR"/>
              </w:rPr>
              <w:t>Suomi/Finland</w:t>
            </w:r>
          </w:p>
          <w:p w14:paraId="7F08B902" w14:textId="77777777" w:rsidR="00304484" w:rsidRPr="00304484" w:rsidRDefault="00304484" w:rsidP="00304484">
            <w:pPr>
              <w:adjustRightInd w:val="0"/>
              <w:snapToGrid w:val="0"/>
              <w:rPr>
                <w:rFonts w:eastAsiaTheme="minorEastAsia"/>
              </w:rPr>
            </w:pPr>
            <w:r w:rsidRPr="00304484">
              <w:rPr>
                <w:rFonts w:eastAsiaTheme="minorEastAsia"/>
              </w:rPr>
              <w:t>Celltrion Healthcare Finland Oy.</w:t>
            </w:r>
          </w:p>
          <w:p w14:paraId="0CAE829B" w14:textId="77777777" w:rsidR="00304484" w:rsidRPr="00304484" w:rsidRDefault="00304484" w:rsidP="00304484">
            <w:pPr>
              <w:adjustRightInd w:val="0"/>
              <w:snapToGrid w:val="0"/>
              <w:rPr>
                <w:ins w:id="16" w:author="만든 이"/>
                <w:rFonts w:eastAsia="맑은 고딕"/>
                <w:noProof/>
                <w:lang w:eastAsia="ko-KR"/>
              </w:rPr>
            </w:pPr>
            <w:r w:rsidRPr="00304484">
              <w:rPr>
                <w:rFonts w:eastAsiaTheme="minorEastAsia"/>
              </w:rPr>
              <w:t>Puh/Tel: +358 29 170 7755</w:t>
            </w:r>
          </w:p>
          <w:p w14:paraId="1DD537F9" w14:textId="77777777" w:rsidR="00304484" w:rsidRPr="00304484" w:rsidRDefault="00304484" w:rsidP="00304484">
            <w:pPr>
              <w:adjustRightInd w:val="0"/>
              <w:snapToGrid w:val="0"/>
              <w:rPr>
                <w:ins w:id="17" w:author="만든 이"/>
                <w:rFonts w:eastAsia="맑은 고딕"/>
                <w:noProof/>
                <w:lang w:eastAsia="ko-KR"/>
              </w:rPr>
            </w:pPr>
            <w:ins w:id="18" w:author="만든 이">
              <w:r w:rsidRPr="00304484">
                <w:rPr>
                  <w:rFonts w:eastAsia="맑은 고딕"/>
                  <w:noProof/>
                  <w:lang w:eastAsia="ko-KR"/>
                </w:rPr>
                <w:t>contact_fi@celltrionhc.com</w:t>
              </w:r>
            </w:ins>
          </w:p>
          <w:p w14:paraId="324F4B2C" w14:textId="62ADC049" w:rsidR="00240287" w:rsidRPr="00267BCE" w:rsidRDefault="00240287" w:rsidP="00B93A25">
            <w:pPr>
              <w:keepNext/>
              <w:keepLines/>
              <w:adjustRightInd w:val="0"/>
              <w:snapToGrid w:val="0"/>
              <w:rPr>
                <w:rFonts w:eastAsia="맑은 고딕"/>
                <w:noProof/>
                <w:lang w:eastAsia="ko-KR"/>
              </w:rPr>
            </w:pPr>
          </w:p>
        </w:tc>
      </w:tr>
      <w:tr w:rsidR="00240287" w14:paraId="6F58C2A3" w14:textId="77777777" w:rsidTr="00BF16A7">
        <w:tc>
          <w:tcPr>
            <w:tcW w:w="2500" w:type="pct"/>
          </w:tcPr>
          <w:p w14:paraId="517E5906" w14:textId="77777777" w:rsidR="00240287" w:rsidRPr="00BA3060" w:rsidRDefault="00240287" w:rsidP="00BF16A7">
            <w:pPr>
              <w:keepNext/>
              <w:keepLines/>
              <w:tabs>
                <w:tab w:val="left" w:pos="-720"/>
              </w:tabs>
              <w:suppressAutoHyphens/>
              <w:adjustRightInd w:val="0"/>
              <w:snapToGrid w:val="0"/>
              <w:rPr>
                <w:b/>
                <w:bCs/>
                <w:noProof/>
                <w:lang w:eastAsia="fr-FR"/>
              </w:rPr>
            </w:pPr>
            <w:r w:rsidRPr="00BA3060">
              <w:rPr>
                <w:b/>
                <w:noProof/>
              </w:rPr>
              <w:t>Κύπρος</w:t>
            </w:r>
          </w:p>
          <w:p w14:paraId="772A286C" w14:textId="77777777" w:rsidR="00240287" w:rsidRPr="00BA3060" w:rsidRDefault="00240287" w:rsidP="00BF16A7">
            <w:pPr>
              <w:keepNext/>
              <w:keepLines/>
              <w:tabs>
                <w:tab w:val="left" w:pos="-720"/>
              </w:tabs>
              <w:suppressAutoHyphens/>
              <w:adjustRightInd w:val="0"/>
              <w:snapToGrid w:val="0"/>
              <w:rPr>
                <w:rFonts w:eastAsia="맑은 고딕"/>
                <w:noProof/>
                <w:lang w:eastAsia="ko-KR"/>
              </w:rPr>
            </w:pPr>
            <w:r w:rsidRPr="00BA3060">
              <w:rPr>
                <w:rFonts w:eastAsia="맑은 고딕"/>
                <w:noProof/>
                <w:lang w:eastAsia="fr-FR"/>
              </w:rPr>
              <w:t>C.A. Papaellinas Ltd</w:t>
            </w:r>
          </w:p>
          <w:p w14:paraId="275DB0FF" w14:textId="77777777" w:rsidR="00240287" w:rsidRPr="00BA3060" w:rsidRDefault="00240287" w:rsidP="00BF16A7">
            <w:pPr>
              <w:keepNext/>
              <w:keepLines/>
              <w:adjustRightInd w:val="0"/>
              <w:snapToGrid w:val="0"/>
              <w:rPr>
                <w:rFonts w:eastAsia="맑은 고딕"/>
                <w:b/>
                <w:bCs/>
                <w:lang w:eastAsia="fr-FR"/>
              </w:rPr>
            </w:pPr>
            <w:r w:rsidRPr="00BA3060">
              <w:rPr>
                <w:noProof/>
              </w:rPr>
              <w:t xml:space="preserve">Τηλ: </w:t>
            </w:r>
            <w:r w:rsidRPr="00BA3060">
              <w:rPr>
                <w:rFonts w:eastAsia="맑은 고딕"/>
                <w:noProof/>
                <w:lang w:eastAsia="fr-FR"/>
              </w:rPr>
              <w:t>+357 22741741</w:t>
            </w:r>
          </w:p>
          <w:p w14:paraId="505BE08E" w14:textId="77777777" w:rsidR="00240287" w:rsidRPr="00BA3060" w:rsidRDefault="00240287" w:rsidP="00BF16A7">
            <w:pPr>
              <w:keepNext/>
              <w:keepLines/>
              <w:adjustRightInd w:val="0"/>
              <w:snapToGrid w:val="0"/>
              <w:rPr>
                <w:rFonts w:eastAsia="맑은 고딕"/>
                <w:b/>
                <w:noProof/>
                <w:lang w:eastAsia="fr-FR"/>
              </w:rPr>
            </w:pPr>
          </w:p>
        </w:tc>
        <w:tc>
          <w:tcPr>
            <w:tcW w:w="2500" w:type="pct"/>
          </w:tcPr>
          <w:p w14:paraId="4C38442E" w14:textId="77777777" w:rsidR="00304484" w:rsidRPr="00304484" w:rsidRDefault="00304484" w:rsidP="00304484">
            <w:pPr>
              <w:keepNext/>
              <w:keepLines/>
              <w:tabs>
                <w:tab w:val="left" w:pos="-720"/>
              </w:tabs>
              <w:suppressAutoHyphens/>
              <w:autoSpaceDE/>
              <w:autoSpaceDN/>
              <w:adjustRightInd w:val="0"/>
              <w:snapToGrid w:val="0"/>
              <w:rPr>
                <w:rFonts w:eastAsiaTheme="minorEastAsia"/>
                <w:b/>
                <w:noProof/>
                <w:lang w:eastAsia="fr-FR"/>
              </w:rPr>
            </w:pPr>
            <w:r w:rsidRPr="00304484">
              <w:rPr>
                <w:rFonts w:eastAsiaTheme="minorEastAsia"/>
                <w:b/>
                <w:noProof/>
              </w:rPr>
              <w:t>Sverige</w:t>
            </w:r>
          </w:p>
          <w:p w14:paraId="259C86C8" w14:textId="77777777" w:rsidR="00304484" w:rsidRPr="00304484" w:rsidRDefault="00304484" w:rsidP="00304484">
            <w:pPr>
              <w:keepNext/>
              <w:keepLines/>
              <w:tabs>
                <w:tab w:val="left" w:pos="-720"/>
              </w:tabs>
              <w:suppressAutoHyphens/>
              <w:autoSpaceDE/>
              <w:autoSpaceDN/>
              <w:adjustRightInd w:val="0"/>
              <w:snapToGrid w:val="0"/>
              <w:rPr>
                <w:ins w:id="19" w:author="만든 이"/>
                <w:rFonts w:eastAsiaTheme="minorEastAsia"/>
                <w:lang w:eastAsia="ko-KR"/>
              </w:rPr>
            </w:pPr>
            <w:r w:rsidRPr="00304484">
              <w:rPr>
                <w:rFonts w:eastAsiaTheme="minorEastAsia" w:hint="eastAsia"/>
                <w:lang w:eastAsia="ko-KR"/>
              </w:rPr>
              <w:t>Celltrion Sweden AB</w:t>
            </w:r>
          </w:p>
          <w:p w14:paraId="00EB79FB" w14:textId="77777777" w:rsidR="00304484" w:rsidRPr="00304484" w:rsidRDefault="00304484" w:rsidP="00304484">
            <w:pPr>
              <w:keepNext/>
              <w:keepLines/>
              <w:tabs>
                <w:tab w:val="left" w:pos="-720"/>
              </w:tabs>
              <w:suppressAutoHyphens/>
              <w:autoSpaceDE/>
              <w:autoSpaceDN/>
              <w:adjustRightInd w:val="0"/>
              <w:snapToGrid w:val="0"/>
              <w:rPr>
                <w:rFonts w:eastAsiaTheme="minorEastAsia"/>
                <w:lang w:eastAsia="ko-KR"/>
              </w:rPr>
            </w:pPr>
            <w:ins w:id="20" w:author="만든 이">
              <w:r w:rsidRPr="00304484">
                <w:rPr>
                  <w:rFonts w:eastAsiaTheme="minorEastAsia"/>
                  <w:lang w:eastAsia="ko-KR"/>
                </w:rPr>
                <w:t>Tel: +46 8 80 11 77</w:t>
              </w:r>
            </w:ins>
          </w:p>
          <w:p w14:paraId="64B3450F" w14:textId="78DB822F" w:rsidR="00304484" w:rsidRPr="00304484" w:rsidRDefault="00304484" w:rsidP="00304484">
            <w:pPr>
              <w:keepNext/>
              <w:keepLines/>
              <w:tabs>
                <w:tab w:val="left" w:pos="-720"/>
              </w:tabs>
              <w:suppressAutoHyphens/>
              <w:autoSpaceDE/>
              <w:autoSpaceDN/>
              <w:adjustRightInd w:val="0"/>
              <w:snapToGrid w:val="0"/>
              <w:rPr>
                <w:rFonts w:eastAsia="맑은 고딕"/>
                <w:bCs/>
                <w:noProof/>
                <w:lang w:eastAsia="ko-KR"/>
              </w:rPr>
            </w:pPr>
            <w:del w:id="21" w:author="만든 이">
              <w:r w:rsidRPr="00304484" w:rsidDel="00BF2036">
                <w:rPr>
                  <w:rFonts w:eastAsia="맑은 고딕" w:hint="eastAsia"/>
                  <w:bCs/>
                  <w:noProof/>
                  <w:lang w:eastAsia="ko-KR"/>
                </w:rPr>
                <w:delText>c</w:delText>
              </w:r>
            </w:del>
            <w:ins w:id="22" w:author="만든 이">
              <w:r w:rsidR="00BF2036">
                <w:rPr>
                  <w:rFonts w:eastAsia="맑은 고딕" w:hint="eastAsia"/>
                  <w:bCs/>
                  <w:noProof/>
                  <w:lang w:eastAsia="ko-KR"/>
                </w:rPr>
                <w:t>C</w:t>
              </w:r>
            </w:ins>
            <w:r w:rsidRPr="00304484">
              <w:rPr>
                <w:rFonts w:eastAsia="맑은 고딕" w:hint="eastAsia"/>
                <w:bCs/>
                <w:noProof/>
                <w:lang w:eastAsia="ko-KR"/>
              </w:rPr>
              <w:t>ontact_se@celltrionhc.com</w:t>
            </w:r>
          </w:p>
          <w:p w14:paraId="13E911B3" w14:textId="77777777" w:rsidR="00240287" w:rsidRPr="00BA3060" w:rsidRDefault="00240287" w:rsidP="00BF16A7">
            <w:pPr>
              <w:keepNext/>
              <w:keepLines/>
              <w:tabs>
                <w:tab w:val="left" w:pos="-720"/>
              </w:tabs>
              <w:suppressAutoHyphens/>
              <w:adjustRightInd w:val="0"/>
              <w:snapToGrid w:val="0"/>
              <w:rPr>
                <w:rFonts w:eastAsia="맑은 고딕"/>
                <w:b/>
                <w:noProof/>
                <w:lang w:eastAsia="fr-FR"/>
              </w:rPr>
            </w:pPr>
          </w:p>
        </w:tc>
      </w:tr>
      <w:tr w:rsidR="00240287" w14:paraId="79ABAA87" w14:textId="77777777" w:rsidTr="00BF16A7">
        <w:tc>
          <w:tcPr>
            <w:tcW w:w="2500" w:type="pct"/>
          </w:tcPr>
          <w:p w14:paraId="3B2FD369" w14:textId="77777777" w:rsidR="00240287" w:rsidRPr="00BA3060" w:rsidRDefault="00240287" w:rsidP="00BF16A7">
            <w:pPr>
              <w:adjustRightInd w:val="0"/>
              <w:snapToGrid w:val="0"/>
              <w:rPr>
                <w:rFonts w:eastAsia="맑은 고딕"/>
                <w:b/>
                <w:noProof/>
                <w:lang w:eastAsia="fr-FR"/>
              </w:rPr>
            </w:pPr>
            <w:r w:rsidRPr="00BA3060">
              <w:rPr>
                <w:rFonts w:eastAsia="맑은 고딕"/>
                <w:b/>
                <w:noProof/>
                <w:lang w:eastAsia="fr-FR"/>
              </w:rPr>
              <w:t>Latvija</w:t>
            </w:r>
          </w:p>
          <w:p w14:paraId="34CE4813" w14:textId="77777777" w:rsidR="00240287" w:rsidRPr="00BA3060" w:rsidRDefault="00240287" w:rsidP="00BF16A7">
            <w:pPr>
              <w:adjustRightInd w:val="0"/>
              <w:snapToGrid w:val="0"/>
              <w:rPr>
                <w:rFonts w:eastAsia="맑은 고딕"/>
                <w:noProof/>
                <w:lang w:eastAsia="fr-FR"/>
              </w:rPr>
            </w:pPr>
            <w:r w:rsidRPr="00BA3060">
              <w:rPr>
                <w:rFonts w:eastAsia="맑은 고딕"/>
                <w:noProof/>
                <w:lang w:eastAsia="fr-FR"/>
              </w:rPr>
              <w:t>Celltrion Healthcare Hungary Kft.</w:t>
            </w:r>
          </w:p>
          <w:p w14:paraId="68AFCE14" w14:textId="77777777" w:rsidR="00240287" w:rsidRPr="00BA3060" w:rsidRDefault="00240287" w:rsidP="00BF16A7">
            <w:pPr>
              <w:adjustRightInd w:val="0"/>
              <w:snapToGrid w:val="0"/>
              <w:rPr>
                <w:rFonts w:eastAsia="맑은 고딕"/>
                <w:b/>
                <w:bCs/>
                <w:lang w:eastAsia="fr-FR"/>
              </w:rPr>
            </w:pPr>
            <w:r w:rsidRPr="00BA3060">
              <w:rPr>
                <w:rFonts w:eastAsia="맑은 고딕"/>
                <w:noProof/>
                <w:lang w:eastAsia="fr-FR"/>
              </w:rPr>
              <w:t>Tālr.: +36 1 231 0493</w:t>
            </w:r>
          </w:p>
        </w:tc>
        <w:tc>
          <w:tcPr>
            <w:tcW w:w="2500" w:type="pct"/>
          </w:tcPr>
          <w:p w14:paraId="3B81B28D" w14:textId="77777777" w:rsidR="00240287" w:rsidRPr="00BA3060" w:rsidRDefault="00240287" w:rsidP="00BF16A7">
            <w:pPr>
              <w:tabs>
                <w:tab w:val="left" w:pos="-720"/>
              </w:tabs>
              <w:suppressAutoHyphens/>
              <w:adjustRightInd w:val="0"/>
              <w:snapToGrid w:val="0"/>
              <w:rPr>
                <w:rFonts w:eastAsia="맑은 고딕"/>
                <w:b/>
                <w:noProof/>
                <w:lang w:eastAsia="fr-FR"/>
              </w:rPr>
            </w:pPr>
          </w:p>
        </w:tc>
      </w:tr>
      <w:bookmarkEnd w:id="15"/>
    </w:tbl>
    <w:p w14:paraId="3CCAE114" w14:textId="77777777" w:rsidR="004401F0" w:rsidRDefault="004401F0" w:rsidP="00BD4C7C">
      <w:pPr>
        <w:pStyle w:val="a3"/>
        <w:adjustRightInd w:val="0"/>
        <w:snapToGrid w:val="0"/>
        <w:rPr>
          <w:rFonts w:eastAsia="맑은 고딕"/>
          <w:lang w:eastAsia="ko-KR"/>
        </w:rPr>
      </w:pPr>
    </w:p>
    <w:p w14:paraId="549B3E88" w14:textId="77777777" w:rsidR="00B72618" w:rsidRPr="00B72618" w:rsidRDefault="00B72618" w:rsidP="00BD4C7C">
      <w:pPr>
        <w:pStyle w:val="a3"/>
        <w:adjustRightInd w:val="0"/>
        <w:snapToGrid w:val="0"/>
        <w:rPr>
          <w:rFonts w:eastAsia="맑은 고딕"/>
          <w:lang w:eastAsia="ko-KR"/>
        </w:rPr>
      </w:pPr>
    </w:p>
    <w:p w14:paraId="4E29809A" w14:textId="77777777" w:rsidR="008529E3" w:rsidRPr="000C1540" w:rsidRDefault="00DF3C4F" w:rsidP="000C1540">
      <w:pPr>
        <w:rPr>
          <w:b/>
          <w:bCs/>
          <w:lang w:val="fr-FR"/>
        </w:rPr>
      </w:pPr>
      <w:r w:rsidRPr="000C1540">
        <w:rPr>
          <w:b/>
          <w:bCs/>
          <w:lang w:val="fr-FR"/>
        </w:rPr>
        <w:t xml:space="preserve">La dernière date à laquelle cette notice a été révisée est </w:t>
      </w:r>
      <w:r w:rsidR="00EA7ADC" w:rsidRPr="000C1540">
        <w:rPr>
          <w:b/>
          <w:bCs/>
          <w:lang w:val="fr-FR"/>
        </w:rPr>
        <w:t>&lt;{MM/AAAA}&gt;</w:t>
      </w:r>
    </w:p>
    <w:p w14:paraId="29376099" w14:textId="77777777" w:rsidR="008529E3" w:rsidRDefault="008529E3" w:rsidP="00E84257">
      <w:pPr>
        <w:rPr>
          <w:lang w:val="fr-FR"/>
        </w:rPr>
      </w:pPr>
    </w:p>
    <w:p w14:paraId="4C81A074" w14:textId="77777777" w:rsidR="004401F0" w:rsidRPr="000C1540" w:rsidRDefault="00DF3C4F" w:rsidP="000C1540">
      <w:pPr>
        <w:rPr>
          <w:b/>
          <w:bCs/>
          <w:lang w:val="fr-FR"/>
        </w:rPr>
      </w:pPr>
      <w:r w:rsidRPr="000C1540">
        <w:rPr>
          <w:b/>
          <w:bCs/>
          <w:lang w:val="fr-FR"/>
        </w:rPr>
        <w:t>Autres sources d’informations</w:t>
      </w:r>
    </w:p>
    <w:p w14:paraId="23F557F0" w14:textId="77777777" w:rsidR="004E07A1" w:rsidRDefault="004E07A1" w:rsidP="00D57ACF">
      <w:pPr>
        <w:pStyle w:val="a3"/>
        <w:keepNext/>
        <w:keepLines/>
        <w:adjustRightInd w:val="0"/>
        <w:snapToGrid w:val="0"/>
        <w:rPr>
          <w:lang w:val="fr-FR"/>
        </w:rPr>
      </w:pPr>
    </w:p>
    <w:p w14:paraId="163B44D8" w14:textId="0ADBE863" w:rsidR="006A2D64" w:rsidRPr="00850855" w:rsidRDefault="00DF3C4F" w:rsidP="00D57ACF">
      <w:pPr>
        <w:pStyle w:val="a3"/>
        <w:keepNext/>
        <w:keepLines/>
        <w:adjustRightInd w:val="0"/>
        <w:snapToGrid w:val="0"/>
        <w:rPr>
          <w:color w:val="0000FF"/>
          <w:u w:val="single" w:color="0000FF"/>
          <w:lang w:val="fr-CA"/>
        </w:rPr>
      </w:pPr>
      <w:r w:rsidRPr="00DA7718">
        <w:rPr>
          <w:lang w:val="fr-FR"/>
        </w:rPr>
        <w:t xml:space="preserve">Des informations détaillées sur ce médicament sont disponibles sur le site internet de l’Agence européenne du médicament </w:t>
      </w:r>
      <w:hyperlink w:history="1">
        <w:r w:rsidR="003E0A60" w:rsidRPr="009E2922">
          <w:rPr>
            <w:rStyle w:val="ac"/>
            <w:snapToGrid w:val="0"/>
            <w:lang w:val="de-DE"/>
          </w:rPr>
          <w:t>https://www.ema.europa.eu</w:t>
        </w:r>
      </w:hyperlink>
    </w:p>
    <w:p w14:paraId="6669C01C" w14:textId="579978D3" w:rsidR="004401F0" w:rsidRPr="006A2D64" w:rsidRDefault="004401F0" w:rsidP="00956949">
      <w:pPr>
        <w:widowControl/>
        <w:autoSpaceDE/>
        <w:autoSpaceDN/>
        <w:rPr>
          <w:lang w:val="fr-FR"/>
        </w:rPr>
      </w:pPr>
    </w:p>
    <w:sectPr w:rsidR="004401F0" w:rsidRPr="006A2D64" w:rsidSect="00DA7718">
      <w:footerReference w:type="default" r:id="rId16"/>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D602" w14:textId="77777777" w:rsidR="00570AD4" w:rsidRDefault="00570AD4">
      <w:r>
        <w:separator/>
      </w:r>
    </w:p>
  </w:endnote>
  <w:endnote w:type="continuationSeparator" w:id="0">
    <w:p w14:paraId="4E01C5CC" w14:textId="77777777" w:rsidR="00570AD4" w:rsidRDefault="00570AD4">
      <w:r>
        <w:continuationSeparator/>
      </w:r>
    </w:p>
  </w:endnote>
  <w:endnote w:type="continuationNotice" w:id="1">
    <w:p w14:paraId="72CDBD8B" w14:textId="77777777" w:rsidR="00570AD4" w:rsidRDefault="00570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97D3" w14:textId="446443D2" w:rsidR="00EB4800" w:rsidRDefault="00EB4800">
    <w:pPr>
      <w:pStyle w:val="a3"/>
      <w:spacing w:line="14" w:lineRule="auto"/>
      <w:rPr>
        <w:sz w:val="20"/>
      </w:rPr>
    </w:pPr>
    <w:r>
      <w:rPr>
        <w:noProof/>
        <w:lang w:val="fr-FR" w:eastAsia="fr-FR"/>
      </w:rPr>
      <mc:AlternateContent>
        <mc:Choice Requires="wps">
          <w:drawing>
            <wp:anchor distT="0" distB="0" distL="114300" distR="114300" simplePos="0" relativeHeight="251658240" behindDoc="1" locked="0" layoutInCell="1" allowOverlap="1" wp14:anchorId="3C131C4B" wp14:editId="2B50589D">
              <wp:simplePos x="0" y="0"/>
              <wp:positionH relativeFrom="page">
                <wp:posOffset>3653155</wp:posOffset>
              </wp:positionH>
              <wp:positionV relativeFrom="page">
                <wp:posOffset>10097770</wp:posOffset>
              </wp:positionV>
              <wp:extent cx="198755"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wps:spPr>
                    <wps:txbx>
                      <w:txbxContent>
                        <w:p w14:paraId="44D22F1C" w14:textId="30A46696" w:rsidR="00EB4800" w:rsidRDefault="00EB4800">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754BAA">
                            <w:rPr>
                              <w:rFonts w:ascii="Arial"/>
                              <w:noProof/>
                              <w:spacing w:val="-5"/>
                              <w:sz w:val="16"/>
                            </w:rPr>
                            <w:t>78</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31C4B" id="_x0000_t202" coordsize="21600,21600" o:spt="202" path="m,l,21600r21600,l21600,xe">
              <v:stroke joinstyle="miter"/>
              <v:path gradientshapeok="t" o:connecttype="rect"/>
            </v:shapetype>
            <v:shape id="Text Box 1" o:spid="_x0000_s1026" type="#_x0000_t202" style="position:absolute;margin-left:287.65pt;margin-top:795.1pt;width:15.65pt;height:1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" filled="f" stroked="f">
              <v:textbox inset="0,0,0,0">
                <w:txbxContent>
                  <w:p w14:paraId="44D22F1C" w14:textId="30A46696" w:rsidR="00EB4800" w:rsidRDefault="00EB4800">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754BAA">
                      <w:rPr>
                        <w:rFonts w:ascii="Arial"/>
                        <w:noProof/>
                        <w:spacing w:val="-5"/>
                        <w:sz w:val="16"/>
                      </w:rPr>
                      <w:t>78</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BFA9" w14:textId="77777777" w:rsidR="00570AD4" w:rsidRDefault="00570AD4">
      <w:r>
        <w:separator/>
      </w:r>
    </w:p>
  </w:footnote>
  <w:footnote w:type="continuationSeparator" w:id="0">
    <w:p w14:paraId="317A5B89" w14:textId="77777777" w:rsidR="00570AD4" w:rsidRDefault="00570AD4">
      <w:r>
        <w:continuationSeparator/>
      </w:r>
    </w:p>
  </w:footnote>
  <w:footnote w:type="continuationNotice" w:id="1">
    <w:p w14:paraId="79E2F0C5" w14:textId="77777777" w:rsidR="00570AD4" w:rsidRDefault="00570A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8" type="#_x0000_t75" alt="BT_1000x858px" style="width:14.25pt;height:14.25pt;visibility:visible;mso-wrap-style:square" o:bullet="t">
        <v:imagedata r:id="rId1" o:title="BT_1000x858px"/>
      </v:shape>
    </w:pict>
  </w:numPicBullet>
  <w:abstractNum w:abstractNumId="0" w15:restartNumberingAfterBreak="0">
    <w:nsid w:val="0A7A1274"/>
    <w:multiLevelType w:val="hybridMultilevel"/>
    <w:tmpl w:val="6582C5A2"/>
    <w:lvl w:ilvl="0" w:tplc="90AEFCB2">
      <w:numFmt w:val="bullet"/>
      <w:lvlText w:val=""/>
      <w:lvlJc w:val="left"/>
      <w:pPr>
        <w:ind w:left="782" w:hanging="567"/>
      </w:pPr>
      <w:rPr>
        <w:rFonts w:ascii="Symbol" w:eastAsia="Symbol" w:hAnsi="Symbol" w:cs="Symbol" w:hint="default"/>
        <w:b w:val="0"/>
        <w:bCs w:val="0"/>
        <w:i w:val="0"/>
        <w:iCs w:val="0"/>
        <w:w w:val="100"/>
        <w:sz w:val="22"/>
        <w:szCs w:val="22"/>
        <w:lang w:val="en-US" w:eastAsia="en-US" w:bidi="ar-SA"/>
      </w:rPr>
    </w:lvl>
    <w:lvl w:ilvl="1" w:tplc="EF10FC16">
      <w:numFmt w:val="bullet"/>
      <w:lvlText w:val="•"/>
      <w:lvlJc w:val="left"/>
      <w:pPr>
        <w:ind w:left="1654" w:hanging="567"/>
      </w:pPr>
      <w:rPr>
        <w:rFonts w:hint="default"/>
        <w:lang w:val="en-US" w:eastAsia="en-US" w:bidi="ar-SA"/>
      </w:rPr>
    </w:lvl>
    <w:lvl w:ilvl="2" w:tplc="6F56A14A">
      <w:numFmt w:val="bullet"/>
      <w:lvlText w:val="•"/>
      <w:lvlJc w:val="left"/>
      <w:pPr>
        <w:ind w:left="2529" w:hanging="567"/>
      </w:pPr>
      <w:rPr>
        <w:rFonts w:hint="default"/>
        <w:lang w:val="en-US" w:eastAsia="en-US" w:bidi="ar-SA"/>
      </w:rPr>
    </w:lvl>
    <w:lvl w:ilvl="3" w:tplc="39DC31BA">
      <w:numFmt w:val="bullet"/>
      <w:lvlText w:val="•"/>
      <w:lvlJc w:val="left"/>
      <w:pPr>
        <w:ind w:left="3404" w:hanging="567"/>
      </w:pPr>
      <w:rPr>
        <w:rFonts w:hint="default"/>
        <w:lang w:val="en-US" w:eastAsia="en-US" w:bidi="ar-SA"/>
      </w:rPr>
    </w:lvl>
    <w:lvl w:ilvl="4" w:tplc="F31E60F6">
      <w:numFmt w:val="bullet"/>
      <w:lvlText w:val="•"/>
      <w:lvlJc w:val="left"/>
      <w:pPr>
        <w:ind w:left="4279" w:hanging="567"/>
      </w:pPr>
      <w:rPr>
        <w:rFonts w:hint="default"/>
        <w:lang w:val="en-US" w:eastAsia="en-US" w:bidi="ar-SA"/>
      </w:rPr>
    </w:lvl>
    <w:lvl w:ilvl="5" w:tplc="1990F030">
      <w:numFmt w:val="bullet"/>
      <w:lvlText w:val="•"/>
      <w:lvlJc w:val="left"/>
      <w:pPr>
        <w:ind w:left="5154" w:hanging="567"/>
      </w:pPr>
      <w:rPr>
        <w:rFonts w:hint="default"/>
        <w:lang w:val="en-US" w:eastAsia="en-US" w:bidi="ar-SA"/>
      </w:rPr>
    </w:lvl>
    <w:lvl w:ilvl="6" w:tplc="F9E8D41C">
      <w:numFmt w:val="bullet"/>
      <w:lvlText w:val="•"/>
      <w:lvlJc w:val="left"/>
      <w:pPr>
        <w:ind w:left="6029" w:hanging="567"/>
      </w:pPr>
      <w:rPr>
        <w:rFonts w:hint="default"/>
        <w:lang w:val="en-US" w:eastAsia="en-US" w:bidi="ar-SA"/>
      </w:rPr>
    </w:lvl>
    <w:lvl w:ilvl="7" w:tplc="BFE694EE">
      <w:numFmt w:val="bullet"/>
      <w:lvlText w:val="•"/>
      <w:lvlJc w:val="left"/>
      <w:pPr>
        <w:ind w:left="6904" w:hanging="567"/>
      </w:pPr>
      <w:rPr>
        <w:rFonts w:hint="default"/>
        <w:lang w:val="en-US" w:eastAsia="en-US" w:bidi="ar-SA"/>
      </w:rPr>
    </w:lvl>
    <w:lvl w:ilvl="8" w:tplc="0ADAC546">
      <w:numFmt w:val="bullet"/>
      <w:lvlText w:val="•"/>
      <w:lvlJc w:val="left"/>
      <w:pPr>
        <w:ind w:left="7779" w:hanging="567"/>
      </w:pPr>
      <w:rPr>
        <w:rFonts w:hint="default"/>
        <w:lang w:val="en-US" w:eastAsia="en-US" w:bidi="ar-SA"/>
      </w:rPr>
    </w:lvl>
  </w:abstractNum>
  <w:abstractNum w:abstractNumId="1" w15:restartNumberingAfterBreak="0">
    <w:nsid w:val="0E8E07B5"/>
    <w:multiLevelType w:val="hybridMultilevel"/>
    <w:tmpl w:val="C336A8D2"/>
    <w:lvl w:ilvl="0" w:tplc="31B447FC">
      <w:start w:val="2"/>
      <w:numFmt w:val="upperLetter"/>
      <w:lvlText w:val="%1."/>
      <w:lvlJc w:val="left"/>
      <w:pPr>
        <w:ind w:left="782" w:hanging="567"/>
      </w:pPr>
      <w:rPr>
        <w:rFonts w:ascii="Times New Roman" w:eastAsia="Times New Roman" w:hAnsi="Times New Roman" w:cs="Times New Roman" w:hint="default"/>
        <w:b/>
        <w:bCs/>
        <w:i w:val="0"/>
        <w:iCs w:val="0"/>
        <w:spacing w:val="0"/>
        <w:w w:val="100"/>
        <w:sz w:val="22"/>
        <w:szCs w:val="22"/>
        <w:lang w:val="en-US" w:eastAsia="en-US" w:bidi="ar-SA"/>
      </w:rPr>
    </w:lvl>
    <w:lvl w:ilvl="1" w:tplc="E5989444">
      <w:start w:val="1"/>
      <w:numFmt w:val="upperLetter"/>
      <w:lvlText w:val="%2."/>
      <w:lvlJc w:val="left"/>
      <w:pPr>
        <w:ind w:left="4152" w:hanging="274"/>
        <w:jc w:val="right"/>
      </w:pPr>
      <w:rPr>
        <w:rFonts w:ascii="Times New Roman" w:eastAsia="Times New Roman" w:hAnsi="Times New Roman" w:cs="Times New Roman" w:hint="default"/>
        <w:b/>
        <w:bCs/>
        <w:i w:val="0"/>
        <w:iCs w:val="0"/>
        <w:spacing w:val="-2"/>
        <w:w w:val="100"/>
        <w:sz w:val="22"/>
        <w:szCs w:val="22"/>
        <w:lang w:val="en-US" w:eastAsia="en-US" w:bidi="ar-SA"/>
      </w:rPr>
    </w:lvl>
    <w:lvl w:ilvl="2" w:tplc="84BC82AE">
      <w:numFmt w:val="bullet"/>
      <w:lvlText w:val="•"/>
      <w:lvlJc w:val="left"/>
      <w:pPr>
        <w:ind w:left="4756" w:hanging="274"/>
      </w:pPr>
      <w:rPr>
        <w:rFonts w:hint="default"/>
        <w:lang w:val="en-US" w:eastAsia="en-US" w:bidi="ar-SA"/>
      </w:rPr>
    </w:lvl>
    <w:lvl w:ilvl="3" w:tplc="B7D4CBA6">
      <w:numFmt w:val="bullet"/>
      <w:lvlText w:val="•"/>
      <w:lvlJc w:val="left"/>
      <w:pPr>
        <w:ind w:left="5353" w:hanging="274"/>
      </w:pPr>
      <w:rPr>
        <w:rFonts w:hint="default"/>
        <w:lang w:val="en-US" w:eastAsia="en-US" w:bidi="ar-SA"/>
      </w:rPr>
    </w:lvl>
    <w:lvl w:ilvl="4" w:tplc="3900155A">
      <w:numFmt w:val="bullet"/>
      <w:lvlText w:val="•"/>
      <w:lvlJc w:val="left"/>
      <w:pPr>
        <w:ind w:left="5949" w:hanging="274"/>
      </w:pPr>
      <w:rPr>
        <w:rFonts w:hint="default"/>
        <w:lang w:val="en-US" w:eastAsia="en-US" w:bidi="ar-SA"/>
      </w:rPr>
    </w:lvl>
    <w:lvl w:ilvl="5" w:tplc="6126852A">
      <w:numFmt w:val="bullet"/>
      <w:lvlText w:val="•"/>
      <w:lvlJc w:val="left"/>
      <w:pPr>
        <w:ind w:left="6546" w:hanging="274"/>
      </w:pPr>
      <w:rPr>
        <w:rFonts w:hint="default"/>
        <w:lang w:val="en-US" w:eastAsia="en-US" w:bidi="ar-SA"/>
      </w:rPr>
    </w:lvl>
    <w:lvl w:ilvl="6" w:tplc="1CE27F58">
      <w:numFmt w:val="bullet"/>
      <w:lvlText w:val="•"/>
      <w:lvlJc w:val="left"/>
      <w:pPr>
        <w:ind w:left="7142" w:hanging="274"/>
      </w:pPr>
      <w:rPr>
        <w:rFonts w:hint="default"/>
        <w:lang w:val="en-US" w:eastAsia="en-US" w:bidi="ar-SA"/>
      </w:rPr>
    </w:lvl>
    <w:lvl w:ilvl="7" w:tplc="CFE29F7A">
      <w:numFmt w:val="bullet"/>
      <w:lvlText w:val="•"/>
      <w:lvlJc w:val="left"/>
      <w:pPr>
        <w:ind w:left="7739" w:hanging="274"/>
      </w:pPr>
      <w:rPr>
        <w:rFonts w:hint="default"/>
        <w:lang w:val="en-US" w:eastAsia="en-US" w:bidi="ar-SA"/>
      </w:rPr>
    </w:lvl>
    <w:lvl w:ilvl="8" w:tplc="8AB8500C">
      <w:numFmt w:val="bullet"/>
      <w:lvlText w:val="•"/>
      <w:lvlJc w:val="left"/>
      <w:pPr>
        <w:ind w:left="8335" w:hanging="274"/>
      </w:pPr>
      <w:rPr>
        <w:rFonts w:hint="default"/>
        <w:lang w:val="en-US" w:eastAsia="en-US" w:bidi="ar-SA"/>
      </w:rPr>
    </w:lvl>
  </w:abstractNum>
  <w:abstractNum w:abstractNumId="2" w15:restartNumberingAfterBreak="0">
    <w:nsid w:val="1E584B33"/>
    <w:multiLevelType w:val="hybridMultilevel"/>
    <w:tmpl w:val="31586840"/>
    <w:lvl w:ilvl="0" w:tplc="D040AEE0">
      <w:start w:val="1"/>
      <w:numFmt w:val="upperLetter"/>
      <w:lvlText w:val="%1."/>
      <w:lvlJc w:val="left"/>
      <w:pPr>
        <w:ind w:left="1915" w:hanging="567"/>
      </w:pPr>
      <w:rPr>
        <w:rFonts w:ascii="Times New Roman" w:eastAsia="Times New Roman" w:hAnsi="Times New Roman" w:cs="Times New Roman" w:hint="default"/>
        <w:b/>
        <w:bCs/>
        <w:i w:val="0"/>
        <w:iCs w:val="0"/>
        <w:spacing w:val="-2"/>
        <w:w w:val="100"/>
        <w:sz w:val="22"/>
        <w:szCs w:val="22"/>
        <w:lang w:val="en-US" w:eastAsia="en-US" w:bidi="ar-SA"/>
      </w:rPr>
    </w:lvl>
    <w:lvl w:ilvl="1" w:tplc="5D6200BA">
      <w:numFmt w:val="bullet"/>
      <w:lvlText w:val="•"/>
      <w:lvlJc w:val="left"/>
      <w:pPr>
        <w:ind w:left="2680" w:hanging="567"/>
      </w:pPr>
      <w:rPr>
        <w:rFonts w:hint="default"/>
        <w:lang w:val="en-US" w:eastAsia="en-US" w:bidi="ar-SA"/>
      </w:rPr>
    </w:lvl>
    <w:lvl w:ilvl="2" w:tplc="5E7C3446">
      <w:numFmt w:val="bullet"/>
      <w:lvlText w:val="•"/>
      <w:lvlJc w:val="left"/>
      <w:pPr>
        <w:ind w:left="3441" w:hanging="567"/>
      </w:pPr>
      <w:rPr>
        <w:rFonts w:hint="default"/>
        <w:lang w:val="en-US" w:eastAsia="en-US" w:bidi="ar-SA"/>
      </w:rPr>
    </w:lvl>
    <w:lvl w:ilvl="3" w:tplc="EA1CB1F8">
      <w:numFmt w:val="bullet"/>
      <w:lvlText w:val="•"/>
      <w:lvlJc w:val="left"/>
      <w:pPr>
        <w:ind w:left="4202" w:hanging="567"/>
      </w:pPr>
      <w:rPr>
        <w:rFonts w:hint="default"/>
        <w:lang w:val="en-US" w:eastAsia="en-US" w:bidi="ar-SA"/>
      </w:rPr>
    </w:lvl>
    <w:lvl w:ilvl="4" w:tplc="0B842F80">
      <w:numFmt w:val="bullet"/>
      <w:lvlText w:val="•"/>
      <w:lvlJc w:val="left"/>
      <w:pPr>
        <w:ind w:left="4963" w:hanging="567"/>
      </w:pPr>
      <w:rPr>
        <w:rFonts w:hint="default"/>
        <w:lang w:val="en-US" w:eastAsia="en-US" w:bidi="ar-SA"/>
      </w:rPr>
    </w:lvl>
    <w:lvl w:ilvl="5" w:tplc="C71E5BDA">
      <w:numFmt w:val="bullet"/>
      <w:lvlText w:val="•"/>
      <w:lvlJc w:val="left"/>
      <w:pPr>
        <w:ind w:left="5724" w:hanging="567"/>
      </w:pPr>
      <w:rPr>
        <w:rFonts w:hint="default"/>
        <w:lang w:val="en-US" w:eastAsia="en-US" w:bidi="ar-SA"/>
      </w:rPr>
    </w:lvl>
    <w:lvl w:ilvl="6" w:tplc="1F929EFC">
      <w:numFmt w:val="bullet"/>
      <w:lvlText w:val="•"/>
      <w:lvlJc w:val="left"/>
      <w:pPr>
        <w:ind w:left="6485" w:hanging="567"/>
      </w:pPr>
      <w:rPr>
        <w:rFonts w:hint="default"/>
        <w:lang w:val="en-US" w:eastAsia="en-US" w:bidi="ar-SA"/>
      </w:rPr>
    </w:lvl>
    <w:lvl w:ilvl="7" w:tplc="B176790E">
      <w:numFmt w:val="bullet"/>
      <w:lvlText w:val="•"/>
      <w:lvlJc w:val="left"/>
      <w:pPr>
        <w:ind w:left="7246" w:hanging="567"/>
      </w:pPr>
      <w:rPr>
        <w:rFonts w:hint="default"/>
        <w:lang w:val="en-US" w:eastAsia="en-US" w:bidi="ar-SA"/>
      </w:rPr>
    </w:lvl>
    <w:lvl w:ilvl="8" w:tplc="9BB28CE4">
      <w:numFmt w:val="bullet"/>
      <w:lvlText w:val="•"/>
      <w:lvlJc w:val="left"/>
      <w:pPr>
        <w:ind w:left="8007" w:hanging="567"/>
      </w:pPr>
      <w:rPr>
        <w:rFonts w:hint="default"/>
        <w:lang w:val="en-US" w:eastAsia="en-US" w:bidi="ar-SA"/>
      </w:rPr>
    </w:lvl>
  </w:abstractNum>
  <w:abstractNum w:abstractNumId="3" w15:restartNumberingAfterBreak="0">
    <w:nsid w:val="2762060F"/>
    <w:multiLevelType w:val="hybridMultilevel"/>
    <w:tmpl w:val="213C6F98"/>
    <w:lvl w:ilvl="0" w:tplc="A65EF61E">
      <w:start w:val="1"/>
      <w:numFmt w:val="bullet"/>
      <w:lvlText w:val=""/>
      <w:lvlJc w:val="left"/>
      <w:pPr>
        <w:ind w:left="400" w:hanging="400"/>
      </w:pPr>
      <w:rPr>
        <w:rFonts w:ascii="Symbol" w:eastAsia="Symbol" w:hAnsi="Symbol" w:hint="default"/>
        <w:sz w:val="22"/>
        <w:szCs w:val="22"/>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2BE6526B"/>
    <w:multiLevelType w:val="hybridMultilevel"/>
    <w:tmpl w:val="455C3726"/>
    <w:lvl w:ilvl="0" w:tplc="3F0E5FC2">
      <w:numFmt w:val="bullet"/>
      <w:lvlText w:val=""/>
      <w:lvlJc w:val="left"/>
      <w:pPr>
        <w:ind w:left="859" w:hanging="289"/>
      </w:pPr>
      <w:rPr>
        <w:rFonts w:ascii="Symbol" w:eastAsia="Symbol" w:hAnsi="Symbol" w:cs="Symbol" w:hint="default"/>
        <w:b w:val="0"/>
        <w:bCs w:val="0"/>
        <w:i w:val="0"/>
        <w:iCs w:val="0"/>
        <w:w w:val="100"/>
        <w:sz w:val="22"/>
        <w:szCs w:val="22"/>
        <w:lang w:val="en-US" w:eastAsia="en-US" w:bidi="ar-SA"/>
      </w:rPr>
    </w:lvl>
    <w:lvl w:ilvl="1" w:tplc="1638B19C">
      <w:numFmt w:val="bullet"/>
      <w:lvlText w:val=""/>
      <w:lvlJc w:val="left"/>
      <w:pPr>
        <w:ind w:left="1065" w:hanging="346"/>
      </w:pPr>
      <w:rPr>
        <w:rFonts w:ascii="Symbol" w:eastAsia="Symbol" w:hAnsi="Symbol" w:cs="Symbol" w:hint="default"/>
        <w:b w:val="0"/>
        <w:bCs w:val="0"/>
        <w:i w:val="0"/>
        <w:iCs w:val="0"/>
        <w:w w:val="100"/>
        <w:sz w:val="22"/>
        <w:szCs w:val="22"/>
        <w:lang w:val="en-US" w:eastAsia="en-US" w:bidi="ar-SA"/>
      </w:rPr>
    </w:lvl>
    <w:lvl w:ilvl="2" w:tplc="3B082BEE">
      <w:numFmt w:val="bullet"/>
      <w:lvlText w:val="•"/>
      <w:lvlJc w:val="left"/>
      <w:pPr>
        <w:ind w:left="2000" w:hanging="346"/>
      </w:pPr>
      <w:rPr>
        <w:rFonts w:hint="default"/>
        <w:lang w:val="en-US" w:eastAsia="en-US" w:bidi="ar-SA"/>
      </w:rPr>
    </w:lvl>
    <w:lvl w:ilvl="3" w:tplc="D2A8319C">
      <w:numFmt w:val="bullet"/>
      <w:lvlText w:val="•"/>
      <w:lvlJc w:val="left"/>
      <w:pPr>
        <w:ind w:left="2941" w:hanging="346"/>
      </w:pPr>
      <w:rPr>
        <w:rFonts w:hint="default"/>
        <w:lang w:val="en-US" w:eastAsia="en-US" w:bidi="ar-SA"/>
      </w:rPr>
    </w:lvl>
    <w:lvl w:ilvl="4" w:tplc="9934E918">
      <w:numFmt w:val="bullet"/>
      <w:lvlText w:val="•"/>
      <w:lvlJc w:val="left"/>
      <w:pPr>
        <w:ind w:left="3882" w:hanging="346"/>
      </w:pPr>
      <w:rPr>
        <w:rFonts w:hint="default"/>
        <w:lang w:val="en-US" w:eastAsia="en-US" w:bidi="ar-SA"/>
      </w:rPr>
    </w:lvl>
    <w:lvl w:ilvl="5" w:tplc="CCEAC87A">
      <w:numFmt w:val="bullet"/>
      <w:lvlText w:val="•"/>
      <w:lvlJc w:val="left"/>
      <w:pPr>
        <w:ind w:left="4823" w:hanging="346"/>
      </w:pPr>
      <w:rPr>
        <w:rFonts w:hint="default"/>
        <w:lang w:val="en-US" w:eastAsia="en-US" w:bidi="ar-SA"/>
      </w:rPr>
    </w:lvl>
    <w:lvl w:ilvl="6" w:tplc="8C9E2148">
      <w:numFmt w:val="bullet"/>
      <w:lvlText w:val="•"/>
      <w:lvlJc w:val="left"/>
      <w:pPr>
        <w:ind w:left="5764" w:hanging="346"/>
      </w:pPr>
      <w:rPr>
        <w:rFonts w:hint="default"/>
        <w:lang w:val="en-US" w:eastAsia="en-US" w:bidi="ar-SA"/>
      </w:rPr>
    </w:lvl>
    <w:lvl w:ilvl="7" w:tplc="4D4E1956">
      <w:numFmt w:val="bullet"/>
      <w:lvlText w:val="•"/>
      <w:lvlJc w:val="left"/>
      <w:pPr>
        <w:ind w:left="6705" w:hanging="346"/>
      </w:pPr>
      <w:rPr>
        <w:rFonts w:hint="default"/>
        <w:lang w:val="en-US" w:eastAsia="en-US" w:bidi="ar-SA"/>
      </w:rPr>
    </w:lvl>
    <w:lvl w:ilvl="8" w:tplc="726ACDCE">
      <w:numFmt w:val="bullet"/>
      <w:lvlText w:val="•"/>
      <w:lvlJc w:val="left"/>
      <w:pPr>
        <w:ind w:left="7646" w:hanging="346"/>
      </w:pPr>
      <w:rPr>
        <w:rFonts w:hint="default"/>
        <w:lang w:val="en-US" w:eastAsia="en-US" w:bidi="ar-SA"/>
      </w:rPr>
    </w:lvl>
  </w:abstractNum>
  <w:abstractNum w:abstractNumId="5" w15:restartNumberingAfterBreak="0">
    <w:nsid w:val="40D44813"/>
    <w:multiLevelType w:val="multilevel"/>
    <w:tmpl w:val="92320FCA"/>
    <w:lvl w:ilvl="0">
      <w:start w:val="95"/>
      <w:numFmt w:val="decimal"/>
      <w:lvlText w:val="%1.0"/>
      <w:lvlJc w:val="left"/>
      <w:pPr>
        <w:ind w:left="360" w:hanging="360"/>
      </w:pPr>
      <w:rPr>
        <w:rFonts w:hint="default"/>
        <w:sz w:val="20"/>
      </w:rPr>
    </w:lvl>
    <w:lvl w:ilvl="1">
      <w:start w:val="1"/>
      <w:numFmt w:val="decimal"/>
      <w:lvlText w:val="%1.%2"/>
      <w:lvlJc w:val="left"/>
      <w:pPr>
        <w:ind w:left="927" w:hanging="360"/>
      </w:pPr>
      <w:rPr>
        <w:rFonts w:hint="default"/>
        <w:sz w:val="20"/>
      </w:rPr>
    </w:lvl>
    <w:lvl w:ilvl="2">
      <w:start w:val="1"/>
      <w:numFmt w:val="decimal"/>
      <w:lvlText w:val="%1.%2.%3"/>
      <w:lvlJc w:val="left"/>
      <w:pPr>
        <w:ind w:left="1854" w:hanging="720"/>
      </w:pPr>
      <w:rPr>
        <w:rFonts w:hint="default"/>
        <w:sz w:val="20"/>
      </w:rPr>
    </w:lvl>
    <w:lvl w:ilvl="3">
      <w:start w:val="1"/>
      <w:numFmt w:val="decimal"/>
      <w:lvlText w:val="%1.%2.%3.%4"/>
      <w:lvlJc w:val="left"/>
      <w:pPr>
        <w:ind w:left="2421" w:hanging="720"/>
      </w:pPr>
      <w:rPr>
        <w:rFonts w:hint="default"/>
        <w:sz w:val="20"/>
      </w:rPr>
    </w:lvl>
    <w:lvl w:ilvl="4">
      <w:start w:val="1"/>
      <w:numFmt w:val="decimal"/>
      <w:lvlText w:val="%1.%2.%3.%4.%5"/>
      <w:lvlJc w:val="left"/>
      <w:pPr>
        <w:ind w:left="2988" w:hanging="720"/>
      </w:pPr>
      <w:rPr>
        <w:rFonts w:hint="default"/>
        <w:sz w:val="20"/>
      </w:rPr>
    </w:lvl>
    <w:lvl w:ilvl="5">
      <w:start w:val="1"/>
      <w:numFmt w:val="decimal"/>
      <w:lvlText w:val="%1.%2.%3.%4.%5.%6"/>
      <w:lvlJc w:val="left"/>
      <w:pPr>
        <w:ind w:left="3915" w:hanging="1080"/>
      </w:pPr>
      <w:rPr>
        <w:rFonts w:hint="default"/>
        <w:sz w:val="20"/>
      </w:rPr>
    </w:lvl>
    <w:lvl w:ilvl="6">
      <w:start w:val="1"/>
      <w:numFmt w:val="decimal"/>
      <w:lvlText w:val="%1.%2.%3.%4.%5.%6.%7"/>
      <w:lvlJc w:val="left"/>
      <w:pPr>
        <w:ind w:left="4482" w:hanging="1080"/>
      </w:pPr>
      <w:rPr>
        <w:rFonts w:hint="default"/>
        <w:sz w:val="20"/>
      </w:rPr>
    </w:lvl>
    <w:lvl w:ilvl="7">
      <w:start w:val="1"/>
      <w:numFmt w:val="decimal"/>
      <w:lvlText w:val="%1.%2.%3.%4.%5.%6.%7.%8"/>
      <w:lvlJc w:val="left"/>
      <w:pPr>
        <w:ind w:left="5409" w:hanging="1440"/>
      </w:pPr>
      <w:rPr>
        <w:rFonts w:hint="default"/>
        <w:sz w:val="20"/>
      </w:rPr>
    </w:lvl>
    <w:lvl w:ilvl="8">
      <w:start w:val="1"/>
      <w:numFmt w:val="decimal"/>
      <w:lvlText w:val="%1.%2.%3.%4.%5.%6.%7.%8.%9"/>
      <w:lvlJc w:val="left"/>
      <w:pPr>
        <w:ind w:left="5976" w:hanging="1440"/>
      </w:pPr>
      <w:rPr>
        <w:rFonts w:hint="default"/>
        <w:sz w:val="20"/>
      </w:rPr>
    </w:lvl>
  </w:abstractNum>
  <w:abstractNum w:abstractNumId="6" w15:restartNumberingAfterBreak="0">
    <w:nsid w:val="4C161CF8"/>
    <w:multiLevelType w:val="multilevel"/>
    <w:tmpl w:val="1F70760E"/>
    <w:lvl w:ilvl="0">
      <w:start w:val="5"/>
      <w:numFmt w:val="decimal"/>
      <w:lvlText w:val="%1"/>
      <w:lvlJc w:val="left"/>
      <w:pPr>
        <w:ind w:left="782" w:hanging="567"/>
      </w:pPr>
      <w:rPr>
        <w:rFonts w:hint="default"/>
        <w:lang w:val="en-US" w:eastAsia="en-US" w:bidi="ar-SA"/>
      </w:rPr>
    </w:lvl>
    <w:lvl w:ilvl="1">
      <w:start w:val="2"/>
      <w:numFmt w:val="decimal"/>
      <w:lvlText w:val="%1.%2"/>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404" w:hanging="567"/>
      </w:pPr>
      <w:rPr>
        <w:rFonts w:hint="default"/>
        <w:lang w:val="en-US" w:eastAsia="en-US" w:bidi="ar-SA"/>
      </w:rPr>
    </w:lvl>
    <w:lvl w:ilvl="4">
      <w:numFmt w:val="bullet"/>
      <w:lvlText w:val="•"/>
      <w:lvlJc w:val="left"/>
      <w:pPr>
        <w:ind w:left="4279" w:hanging="567"/>
      </w:pPr>
      <w:rPr>
        <w:rFonts w:hint="default"/>
        <w:lang w:val="en-US" w:eastAsia="en-US" w:bidi="ar-SA"/>
      </w:rPr>
    </w:lvl>
    <w:lvl w:ilvl="5">
      <w:numFmt w:val="bullet"/>
      <w:lvlText w:val="•"/>
      <w:lvlJc w:val="left"/>
      <w:pPr>
        <w:ind w:left="5154" w:hanging="567"/>
      </w:pPr>
      <w:rPr>
        <w:rFonts w:hint="default"/>
        <w:lang w:val="en-US" w:eastAsia="en-US" w:bidi="ar-SA"/>
      </w:rPr>
    </w:lvl>
    <w:lvl w:ilvl="6">
      <w:numFmt w:val="bullet"/>
      <w:lvlText w:val="•"/>
      <w:lvlJc w:val="left"/>
      <w:pPr>
        <w:ind w:left="6029" w:hanging="567"/>
      </w:pPr>
      <w:rPr>
        <w:rFonts w:hint="default"/>
        <w:lang w:val="en-US" w:eastAsia="en-US" w:bidi="ar-SA"/>
      </w:rPr>
    </w:lvl>
    <w:lvl w:ilvl="7">
      <w:numFmt w:val="bullet"/>
      <w:lvlText w:val="•"/>
      <w:lvlJc w:val="left"/>
      <w:pPr>
        <w:ind w:left="6904" w:hanging="567"/>
      </w:pPr>
      <w:rPr>
        <w:rFonts w:hint="default"/>
        <w:lang w:val="en-US" w:eastAsia="en-US" w:bidi="ar-SA"/>
      </w:rPr>
    </w:lvl>
    <w:lvl w:ilvl="8">
      <w:numFmt w:val="bullet"/>
      <w:lvlText w:val="•"/>
      <w:lvlJc w:val="left"/>
      <w:pPr>
        <w:ind w:left="7779" w:hanging="567"/>
      </w:pPr>
      <w:rPr>
        <w:rFonts w:hint="default"/>
        <w:lang w:val="en-US" w:eastAsia="en-US" w:bidi="ar-SA"/>
      </w:rPr>
    </w:lvl>
  </w:abstractNum>
  <w:abstractNum w:abstractNumId="7" w15:restartNumberingAfterBreak="0">
    <w:nsid w:val="4F384CAA"/>
    <w:multiLevelType w:val="hybridMultilevel"/>
    <w:tmpl w:val="A8B6FCA8"/>
    <w:lvl w:ilvl="0" w:tplc="566607A6">
      <w:numFmt w:val="bullet"/>
      <w:lvlText w:val="*"/>
      <w:lvlJc w:val="left"/>
      <w:pPr>
        <w:ind w:left="216" w:hanging="154"/>
      </w:pPr>
      <w:rPr>
        <w:rFonts w:ascii="Times New Roman" w:eastAsia="Times New Roman" w:hAnsi="Times New Roman" w:cs="Times New Roman" w:hint="default"/>
        <w:w w:val="100"/>
        <w:lang w:val="en-US" w:eastAsia="en-US" w:bidi="ar-SA"/>
      </w:rPr>
    </w:lvl>
    <w:lvl w:ilvl="1" w:tplc="C652EDC6">
      <w:numFmt w:val="bullet"/>
      <w:lvlText w:val=""/>
      <w:lvlJc w:val="left"/>
      <w:pPr>
        <w:ind w:left="778" w:hanging="279"/>
      </w:pPr>
      <w:rPr>
        <w:rFonts w:ascii="Symbol" w:eastAsia="Symbol" w:hAnsi="Symbol" w:cs="Symbol" w:hint="default"/>
        <w:b w:val="0"/>
        <w:bCs w:val="0"/>
        <w:i w:val="0"/>
        <w:iCs w:val="0"/>
        <w:w w:val="100"/>
        <w:sz w:val="22"/>
        <w:szCs w:val="22"/>
        <w:lang w:val="en-US" w:eastAsia="en-US" w:bidi="ar-SA"/>
      </w:rPr>
    </w:lvl>
    <w:lvl w:ilvl="2" w:tplc="5D782746">
      <w:numFmt w:val="bullet"/>
      <w:lvlText w:val="•"/>
      <w:lvlJc w:val="left"/>
      <w:pPr>
        <w:ind w:left="1752" w:hanging="279"/>
      </w:pPr>
      <w:rPr>
        <w:rFonts w:hint="default"/>
        <w:lang w:val="en-US" w:eastAsia="en-US" w:bidi="ar-SA"/>
      </w:rPr>
    </w:lvl>
    <w:lvl w:ilvl="3" w:tplc="13D2B2E8">
      <w:numFmt w:val="bullet"/>
      <w:lvlText w:val="•"/>
      <w:lvlJc w:val="left"/>
      <w:pPr>
        <w:ind w:left="2724" w:hanging="279"/>
      </w:pPr>
      <w:rPr>
        <w:rFonts w:hint="default"/>
        <w:lang w:val="en-US" w:eastAsia="en-US" w:bidi="ar-SA"/>
      </w:rPr>
    </w:lvl>
    <w:lvl w:ilvl="4" w:tplc="F5AEA830">
      <w:numFmt w:val="bullet"/>
      <w:lvlText w:val="•"/>
      <w:lvlJc w:val="left"/>
      <w:pPr>
        <w:ind w:left="3696" w:hanging="279"/>
      </w:pPr>
      <w:rPr>
        <w:rFonts w:hint="default"/>
        <w:lang w:val="en-US" w:eastAsia="en-US" w:bidi="ar-SA"/>
      </w:rPr>
    </w:lvl>
    <w:lvl w:ilvl="5" w:tplc="A2D8B38E">
      <w:numFmt w:val="bullet"/>
      <w:lvlText w:val="•"/>
      <w:lvlJc w:val="left"/>
      <w:pPr>
        <w:ind w:left="4668" w:hanging="279"/>
      </w:pPr>
      <w:rPr>
        <w:rFonts w:hint="default"/>
        <w:lang w:val="en-US" w:eastAsia="en-US" w:bidi="ar-SA"/>
      </w:rPr>
    </w:lvl>
    <w:lvl w:ilvl="6" w:tplc="CD8AD4EE">
      <w:numFmt w:val="bullet"/>
      <w:lvlText w:val="•"/>
      <w:lvlJc w:val="left"/>
      <w:pPr>
        <w:ind w:left="5640" w:hanging="279"/>
      </w:pPr>
      <w:rPr>
        <w:rFonts w:hint="default"/>
        <w:lang w:val="en-US" w:eastAsia="en-US" w:bidi="ar-SA"/>
      </w:rPr>
    </w:lvl>
    <w:lvl w:ilvl="7" w:tplc="45867548">
      <w:numFmt w:val="bullet"/>
      <w:lvlText w:val="•"/>
      <w:lvlJc w:val="left"/>
      <w:pPr>
        <w:ind w:left="6612" w:hanging="279"/>
      </w:pPr>
      <w:rPr>
        <w:rFonts w:hint="default"/>
        <w:lang w:val="en-US" w:eastAsia="en-US" w:bidi="ar-SA"/>
      </w:rPr>
    </w:lvl>
    <w:lvl w:ilvl="8" w:tplc="B7D291DA">
      <w:numFmt w:val="bullet"/>
      <w:lvlText w:val="•"/>
      <w:lvlJc w:val="left"/>
      <w:pPr>
        <w:ind w:left="7584" w:hanging="279"/>
      </w:pPr>
      <w:rPr>
        <w:rFonts w:hint="default"/>
        <w:lang w:val="en-US" w:eastAsia="en-US" w:bidi="ar-SA"/>
      </w:rPr>
    </w:lvl>
  </w:abstractNum>
  <w:abstractNum w:abstractNumId="8" w15:restartNumberingAfterBreak="0">
    <w:nsid w:val="54DF477A"/>
    <w:multiLevelType w:val="hybridMultilevel"/>
    <w:tmpl w:val="AC0826AA"/>
    <w:lvl w:ilvl="0" w:tplc="91C23112">
      <w:start w:val="1"/>
      <w:numFmt w:val="decimal"/>
      <w:lvlText w:val="%1."/>
      <w:lvlJc w:val="left"/>
      <w:pPr>
        <w:ind w:left="783" w:hanging="567"/>
      </w:pPr>
      <w:rPr>
        <w:rFonts w:ascii="Times New Roman" w:eastAsia="Times New Roman" w:hAnsi="Times New Roman" w:cs="Times New Roman" w:hint="default"/>
        <w:b w:val="0"/>
        <w:bCs w:val="0"/>
        <w:i w:val="0"/>
        <w:iCs w:val="0"/>
        <w:w w:val="100"/>
        <w:sz w:val="22"/>
        <w:szCs w:val="22"/>
        <w:lang w:val="en-US" w:eastAsia="en-US" w:bidi="ar-SA"/>
      </w:rPr>
    </w:lvl>
    <w:lvl w:ilvl="1" w:tplc="0EF8B192">
      <w:numFmt w:val="bullet"/>
      <w:lvlText w:val="•"/>
      <w:lvlJc w:val="left"/>
      <w:pPr>
        <w:ind w:left="1654" w:hanging="567"/>
      </w:pPr>
      <w:rPr>
        <w:rFonts w:hint="default"/>
        <w:lang w:val="en-US" w:eastAsia="en-US" w:bidi="ar-SA"/>
      </w:rPr>
    </w:lvl>
    <w:lvl w:ilvl="2" w:tplc="B09A7002">
      <w:numFmt w:val="bullet"/>
      <w:lvlText w:val="•"/>
      <w:lvlJc w:val="left"/>
      <w:pPr>
        <w:ind w:left="2529" w:hanging="567"/>
      </w:pPr>
      <w:rPr>
        <w:rFonts w:hint="default"/>
        <w:lang w:val="en-US" w:eastAsia="en-US" w:bidi="ar-SA"/>
      </w:rPr>
    </w:lvl>
    <w:lvl w:ilvl="3" w:tplc="5F887CE6">
      <w:numFmt w:val="bullet"/>
      <w:lvlText w:val="•"/>
      <w:lvlJc w:val="left"/>
      <w:pPr>
        <w:ind w:left="3404" w:hanging="567"/>
      </w:pPr>
      <w:rPr>
        <w:rFonts w:hint="default"/>
        <w:lang w:val="en-US" w:eastAsia="en-US" w:bidi="ar-SA"/>
      </w:rPr>
    </w:lvl>
    <w:lvl w:ilvl="4" w:tplc="E056E73E">
      <w:numFmt w:val="bullet"/>
      <w:lvlText w:val="•"/>
      <w:lvlJc w:val="left"/>
      <w:pPr>
        <w:ind w:left="4279" w:hanging="567"/>
      </w:pPr>
      <w:rPr>
        <w:rFonts w:hint="default"/>
        <w:lang w:val="en-US" w:eastAsia="en-US" w:bidi="ar-SA"/>
      </w:rPr>
    </w:lvl>
    <w:lvl w:ilvl="5" w:tplc="F0EE902E">
      <w:numFmt w:val="bullet"/>
      <w:lvlText w:val="•"/>
      <w:lvlJc w:val="left"/>
      <w:pPr>
        <w:ind w:left="5154" w:hanging="567"/>
      </w:pPr>
      <w:rPr>
        <w:rFonts w:hint="default"/>
        <w:lang w:val="en-US" w:eastAsia="en-US" w:bidi="ar-SA"/>
      </w:rPr>
    </w:lvl>
    <w:lvl w:ilvl="6" w:tplc="97A07C1C">
      <w:numFmt w:val="bullet"/>
      <w:lvlText w:val="•"/>
      <w:lvlJc w:val="left"/>
      <w:pPr>
        <w:ind w:left="6029" w:hanging="567"/>
      </w:pPr>
      <w:rPr>
        <w:rFonts w:hint="default"/>
        <w:lang w:val="en-US" w:eastAsia="en-US" w:bidi="ar-SA"/>
      </w:rPr>
    </w:lvl>
    <w:lvl w:ilvl="7" w:tplc="D542F9A2">
      <w:numFmt w:val="bullet"/>
      <w:lvlText w:val="•"/>
      <w:lvlJc w:val="left"/>
      <w:pPr>
        <w:ind w:left="6904" w:hanging="567"/>
      </w:pPr>
      <w:rPr>
        <w:rFonts w:hint="default"/>
        <w:lang w:val="en-US" w:eastAsia="en-US" w:bidi="ar-SA"/>
      </w:rPr>
    </w:lvl>
    <w:lvl w:ilvl="8" w:tplc="65CC9E52">
      <w:numFmt w:val="bullet"/>
      <w:lvlText w:val="•"/>
      <w:lvlJc w:val="left"/>
      <w:pPr>
        <w:ind w:left="7779" w:hanging="567"/>
      </w:pPr>
      <w:rPr>
        <w:rFonts w:hint="default"/>
        <w:lang w:val="en-US" w:eastAsia="en-US" w:bidi="ar-SA"/>
      </w:rPr>
    </w:lvl>
  </w:abstractNum>
  <w:abstractNum w:abstractNumId="9" w15:restartNumberingAfterBreak="0">
    <w:nsid w:val="58BC6721"/>
    <w:multiLevelType w:val="hybridMultilevel"/>
    <w:tmpl w:val="73981A16"/>
    <w:lvl w:ilvl="0" w:tplc="396426E6">
      <w:start w:val="1"/>
      <w:numFmt w:val="decimal"/>
      <w:lvlText w:val="%1."/>
      <w:lvlJc w:val="left"/>
      <w:pPr>
        <w:ind w:left="783" w:hanging="567"/>
      </w:pPr>
      <w:rPr>
        <w:rFonts w:ascii="Times New Roman" w:eastAsia="Times New Roman" w:hAnsi="Times New Roman" w:cs="Times New Roman" w:hint="default"/>
        <w:b/>
        <w:bCs/>
        <w:i w:val="0"/>
        <w:iCs w:val="0"/>
        <w:w w:val="100"/>
        <w:sz w:val="22"/>
        <w:szCs w:val="22"/>
        <w:lang w:val="en-US" w:eastAsia="en-US" w:bidi="ar-SA"/>
      </w:rPr>
    </w:lvl>
    <w:lvl w:ilvl="1" w:tplc="C6F422AC">
      <w:numFmt w:val="bullet"/>
      <w:lvlText w:val="•"/>
      <w:lvlJc w:val="left"/>
      <w:pPr>
        <w:ind w:left="1654" w:hanging="567"/>
      </w:pPr>
      <w:rPr>
        <w:rFonts w:hint="default"/>
        <w:lang w:val="en-US" w:eastAsia="en-US" w:bidi="ar-SA"/>
      </w:rPr>
    </w:lvl>
    <w:lvl w:ilvl="2" w:tplc="ACA84E1A">
      <w:numFmt w:val="bullet"/>
      <w:lvlText w:val="•"/>
      <w:lvlJc w:val="left"/>
      <w:pPr>
        <w:ind w:left="2529" w:hanging="567"/>
      </w:pPr>
      <w:rPr>
        <w:rFonts w:hint="default"/>
        <w:lang w:val="en-US" w:eastAsia="en-US" w:bidi="ar-SA"/>
      </w:rPr>
    </w:lvl>
    <w:lvl w:ilvl="3" w:tplc="A754E05E">
      <w:numFmt w:val="bullet"/>
      <w:lvlText w:val="•"/>
      <w:lvlJc w:val="left"/>
      <w:pPr>
        <w:ind w:left="3404" w:hanging="567"/>
      </w:pPr>
      <w:rPr>
        <w:rFonts w:hint="default"/>
        <w:lang w:val="en-US" w:eastAsia="en-US" w:bidi="ar-SA"/>
      </w:rPr>
    </w:lvl>
    <w:lvl w:ilvl="4" w:tplc="02EA15AC">
      <w:numFmt w:val="bullet"/>
      <w:lvlText w:val="•"/>
      <w:lvlJc w:val="left"/>
      <w:pPr>
        <w:ind w:left="4279" w:hanging="567"/>
      </w:pPr>
      <w:rPr>
        <w:rFonts w:hint="default"/>
        <w:lang w:val="en-US" w:eastAsia="en-US" w:bidi="ar-SA"/>
      </w:rPr>
    </w:lvl>
    <w:lvl w:ilvl="5" w:tplc="EED62E42">
      <w:numFmt w:val="bullet"/>
      <w:lvlText w:val="•"/>
      <w:lvlJc w:val="left"/>
      <w:pPr>
        <w:ind w:left="5154" w:hanging="567"/>
      </w:pPr>
      <w:rPr>
        <w:rFonts w:hint="default"/>
        <w:lang w:val="en-US" w:eastAsia="en-US" w:bidi="ar-SA"/>
      </w:rPr>
    </w:lvl>
    <w:lvl w:ilvl="6" w:tplc="1554826E">
      <w:numFmt w:val="bullet"/>
      <w:lvlText w:val="•"/>
      <w:lvlJc w:val="left"/>
      <w:pPr>
        <w:ind w:left="6029" w:hanging="567"/>
      </w:pPr>
      <w:rPr>
        <w:rFonts w:hint="default"/>
        <w:lang w:val="en-US" w:eastAsia="en-US" w:bidi="ar-SA"/>
      </w:rPr>
    </w:lvl>
    <w:lvl w:ilvl="7" w:tplc="45FC2A5E">
      <w:numFmt w:val="bullet"/>
      <w:lvlText w:val="•"/>
      <w:lvlJc w:val="left"/>
      <w:pPr>
        <w:ind w:left="6904" w:hanging="567"/>
      </w:pPr>
      <w:rPr>
        <w:rFonts w:hint="default"/>
        <w:lang w:val="en-US" w:eastAsia="en-US" w:bidi="ar-SA"/>
      </w:rPr>
    </w:lvl>
    <w:lvl w:ilvl="8" w:tplc="C36CAF74">
      <w:numFmt w:val="bullet"/>
      <w:lvlText w:val="•"/>
      <w:lvlJc w:val="left"/>
      <w:pPr>
        <w:ind w:left="7779" w:hanging="567"/>
      </w:pPr>
      <w:rPr>
        <w:rFonts w:hint="default"/>
        <w:lang w:val="en-US" w:eastAsia="en-US" w:bidi="ar-SA"/>
      </w:rPr>
    </w:lvl>
  </w:abstractNum>
  <w:abstractNum w:abstractNumId="10" w15:restartNumberingAfterBreak="0">
    <w:nsid w:val="60864BAC"/>
    <w:multiLevelType w:val="hybridMultilevel"/>
    <w:tmpl w:val="A8AA054A"/>
    <w:lvl w:ilvl="0" w:tplc="3E72F194">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en-US" w:eastAsia="en-US" w:bidi="ar-SA"/>
      </w:rPr>
    </w:lvl>
    <w:lvl w:ilvl="1" w:tplc="5AD036EC">
      <w:numFmt w:val="bullet"/>
      <w:lvlText w:val="•"/>
      <w:lvlJc w:val="left"/>
      <w:pPr>
        <w:ind w:left="1654" w:hanging="567"/>
      </w:pPr>
      <w:rPr>
        <w:rFonts w:hint="default"/>
        <w:lang w:val="en-US" w:eastAsia="en-US" w:bidi="ar-SA"/>
      </w:rPr>
    </w:lvl>
    <w:lvl w:ilvl="2" w:tplc="7C6A72BA">
      <w:numFmt w:val="bullet"/>
      <w:lvlText w:val="•"/>
      <w:lvlJc w:val="left"/>
      <w:pPr>
        <w:ind w:left="2529" w:hanging="567"/>
      </w:pPr>
      <w:rPr>
        <w:rFonts w:hint="default"/>
        <w:lang w:val="en-US" w:eastAsia="en-US" w:bidi="ar-SA"/>
      </w:rPr>
    </w:lvl>
    <w:lvl w:ilvl="3" w:tplc="AFF03730">
      <w:numFmt w:val="bullet"/>
      <w:lvlText w:val="•"/>
      <w:lvlJc w:val="left"/>
      <w:pPr>
        <w:ind w:left="3404" w:hanging="567"/>
      </w:pPr>
      <w:rPr>
        <w:rFonts w:hint="default"/>
        <w:lang w:val="en-US" w:eastAsia="en-US" w:bidi="ar-SA"/>
      </w:rPr>
    </w:lvl>
    <w:lvl w:ilvl="4" w:tplc="91A6F3C2">
      <w:numFmt w:val="bullet"/>
      <w:lvlText w:val="•"/>
      <w:lvlJc w:val="left"/>
      <w:pPr>
        <w:ind w:left="4279" w:hanging="567"/>
      </w:pPr>
      <w:rPr>
        <w:rFonts w:hint="default"/>
        <w:lang w:val="en-US" w:eastAsia="en-US" w:bidi="ar-SA"/>
      </w:rPr>
    </w:lvl>
    <w:lvl w:ilvl="5" w:tplc="FAD8EDF4">
      <w:numFmt w:val="bullet"/>
      <w:lvlText w:val="•"/>
      <w:lvlJc w:val="left"/>
      <w:pPr>
        <w:ind w:left="5154" w:hanging="567"/>
      </w:pPr>
      <w:rPr>
        <w:rFonts w:hint="default"/>
        <w:lang w:val="en-US" w:eastAsia="en-US" w:bidi="ar-SA"/>
      </w:rPr>
    </w:lvl>
    <w:lvl w:ilvl="6" w:tplc="2E804638">
      <w:numFmt w:val="bullet"/>
      <w:lvlText w:val="•"/>
      <w:lvlJc w:val="left"/>
      <w:pPr>
        <w:ind w:left="6029" w:hanging="567"/>
      </w:pPr>
      <w:rPr>
        <w:rFonts w:hint="default"/>
        <w:lang w:val="en-US" w:eastAsia="en-US" w:bidi="ar-SA"/>
      </w:rPr>
    </w:lvl>
    <w:lvl w:ilvl="7" w:tplc="4B6E0DC4">
      <w:numFmt w:val="bullet"/>
      <w:lvlText w:val="•"/>
      <w:lvlJc w:val="left"/>
      <w:pPr>
        <w:ind w:left="6904" w:hanging="567"/>
      </w:pPr>
      <w:rPr>
        <w:rFonts w:hint="default"/>
        <w:lang w:val="en-US" w:eastAsia="en-US" w:bidi="ar-SA"/>
      </w:rPr>
    </w:lvl>
    <w:lvl w:ilvl="8" w:tplc="6DA00A8C">
      <w:numFmt w:val="bullet"/>
      <w:lvlText w:val="•"/>
      <w:lvlJc w:val="left"/>
      <w:pPr>
        <w:ind w:left="7779" w:hanging="567"/>
      </w:pPr>
      <w:rPr>
        <w:rFonts w:hint="default"/>
        <w:lang w:val="en-US" w:eastAsia="en-US" w:bidi="ar-SA"/>
      </w:rPr>
    </w:lvl>
  </w:abstractNum>
  <w:abstractNum w:abstractNumId="11" w15:restartNumberingAfterBreak="0">
    <w:nsid w:val="625E6BFC"/>
    <w:multiLevelType w:val="hybridMultilevel"/>
    <w:tmpl w:val="CCF80578"/>
    <w:lvl w:ilvl="0" w:tplc="A65EF61E">
      <w:start w:val="1"/>
      <w:numFmt w:val="bullet"/>
      <w:lvlText w:val=""/>
      <w:lvlJc w:val="left"/>
      <w:pPr>
        <w:ind w:left="400" w:hanging="400"/>
      </w:pPr>
      <w:rPr>
        <w:rFonts w:ascii="Symbol" w:eastAsia="Symbol" w:hAnsi="Symbol" w:hint="default"/>
        <w:sz w:val="22"/>
        <w:szCs w:val="22"/>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4056B1B"/>
    <w:multiLevelType w:val="hybridMultilevel"/>
    <w:tmpl w:val="97D093EE"/>
    <w:lvl w:ilvl="0" w:tplc="927C4CCC">
      <w:numFmt w:val="bullet"/>
      <w:lvlText w:val=""/>
      <w:lvlJc w:val="left"/>
      <w:pPr>
        <w:ind w:left="931" w:hanging="361"/>
      </w:pPr>
      <w:rPr>
        <w:rFonts w:ascii="Symbol" w:eastAsia="Symbol" w:hAnsi="Symbol" w:cs="Symbol" w:hint="default"/>
        <w:b w:val="0"/>
        <w:bCs w:val="0"/>
        <w:i w:val="0"/>
        <w:iCs w:val="0"/>
        <w:w w:val="100"/>
        <w:sz w:val="22"/>
        <w:szCs w:val="22"/>
        <w:lang w:val="en-US" w:eastAsia="en-US" w:bidi="ar-SA"/>
      </w:rPr>
    </w:lvl>
    <w:lvl w:ilvl="1" w:tplc="C430152C">
      <w:numFmt w:val="bullet"/>
      <w:lvlText w:val=""/>
      <w:lvlJc w:val="left"/>
      <w:pPr>
        <w:ind w:left="1954" w:hanging="658"/>
      </w:pPr>
      <w:rPr>
        <w:rFonts w:ascii="Symbol" w:eastAsia="Symbol" w:hAnsi="Symbol" w:cs="Symbol" w:hint="default"/>
        <w:b w:val="0"/>
        <w:bCs w:val="0"/>
        <w:i w:val="0"/>
        <w:iCs w:val="0"/>
        <w:w w:val="100"/>
        <w:sz w:val="22"/>
        <w:szCs w:val="22"/>
        <w:lang w:val="en-US" w:eastAsia="en-US" w:bidi="ar-SA"/>
      </w:rPr>
    </w:lvl>
    <w:lvl w:ilvl="2" w:tplc="8DB4D41E">
      <w:numFmt w:val="bullet"/>
      <w:lvlText w:val="•"/>
      <w:lvlJc w:val="left"/>
      <w:pPr>
        <w:ind w:left="1960" w:hanging="658"/>
      </w:pPr>
      <w:rPr>
        <w:rFonts w:hint="default"/>
        <w:lang w:val="en-US" w:eastAsia="en-US" w:bidi="ar-SA"/>
      </w:rPr>
    </w:lvl>
    <w:lvl w:ilvl="3" w:tplc="108AE0E2">
      <w:numFmt w:val="bullet"/>
      <w:lvlText w:val="•"/>
      <w:lvlJc w:val="left"/>
      <w:pPr>
        <w:ind w:left="2906" w:hanging="658"/>
      </w:pPr>
      <w:rPr>
        <w:rFonts w:hint="default"/>
        <w:lang w:val="en-US" w:eastAsia="en-US" w:bidi="ar-SA"/>
      </w:rPr>
    </w:lvl>
    <w:lvl w:ilvl="4" w:tplc="F710D21A">
      <w:numFmt w:val="bullet"/>
      <w:lvlText w:val="•"/>
      <w:lvlJc w:val="left"/>
      <w:pPr>
        <w:ind w:left="3852" w:hanging="658"/>
      </w:pPr>
      <w:rPr>
        <w:rFonts w:hint="default"/>
        <w:lang w:val="en-US" w:eastAsia="en-US" w:bidi="ar-SA"/>
      </w:rPr>
    </w:lvl>
    <w:lvl w:ilvl="5" w:tplc="B5C494C8">
      <w:numFmt w:val="bullet"/>
      <w:lvlText w:val="•"/>
      <w:lvlJc w:val="left"/>
      <w:pPr>
        <w:ind w:left="4798" w:hanging="658"/>
      </w:pPr>
      <w:rPr>
        <w:rFonts w:hint="default"/>
        <w:lang w:val="en-US" w:eastAsia="en-US" w:bidi="ar-SA"/>
      </w:rPr>
    </w:lvl>
    <w:lvl w:ilvl="6" w:tplc="2780A412">
      <w:numFmt w:val="bullet"/>
      <w:lvlText w:val="•"/>
      <w:lvlJc w:val="left"/>
      <w:pPr>
        <w:ind w:left="5744" w:hanging="658"/>
      </w:pPr>
      <w:rPr>
        <w:rFonts w:hint="default"/>
        <w:lang w:val="en-US" w:eastAsia="en-US" w:bidi="ar-SA"/>
      </w:rPr>
    </w:lvl>
    <w:lvl w:ilvl="7" w:tplc="B2F2A33E">
      <w:numFmt w:val="bullet"/>
      <w:lvlText w:val="•"/>
      <w:lvlJc w:val="left"/>
      <w:pPr>
        <w:ind w:left="6690" w:hanging="658"/>
      </w:pPr>
      <w:rPr>
        <w:rFonts w:hint="default"/>
        <w:lang w:val="en-US" w:eastAsia="en-US" w:bidi="ar-SA"/>
      </w:rPr>
    </w:lvl>
    <w:lvl w:ilvl="8" w:tplc="F96414B8">
      <w:numFmt w:val="bullet"/>
      <w:lvlText w:val="•"/>
      <w:lvlJc w:val="left"/>
      <w:pPr>
        <w:ind w:left="7636" w:hanging="658"/>
      </w:pPr>
      <w:rPr>
        <w:rFonts w:hint="default"/>
        <w:lang w:val="en-US" w:eastAsia="en-US" w:bidi="ar-SA"/>
      </w:rPr>
    </w:lvl>
  </w:abstractNum>
  <w:abstractNum w:abstractNumId="13" w15:restartNumberingAfterBreak="0">
    <w:nsid w:val="74F53C96"/>
    <w:multiLevelType w:val="hybridMultilevel"/>
    <w:tmpl w:val="09CC1CA2"/>
    <w:lvl w:ilvl="0" w:tplc="D1C88B58">
      <w:numFmt w:val="bullet"/>
      <w:lvlText w:val=""/>
      <w:lvlJc w:val="left"/>
      <w:pPr>
        <w:ind w:left="1065" w:hanging="423"/>
      </w:pPr>
      <w:rPr>
        <w:rFonts w:ascii="Symbol" w:eastAsia="Symbol" w:hAnsi="Symbol" w:cs="Symbol" w:hint="default"/>
        <w:b w:val="0"/>
        <w:bCs w:val="0"/>
        <w:i w:val="0"/>
        <w:iCs w:val="0"/>
        <w:w w:val="100"/>
        <w:sz w:val="22"/>
        <w:szCs w:val="22"/>
        <w:lang w:val="en-US" w:eastAsia="en-US" w:bidi="ar-SA"/>
      </w:rPr>
    </w:lvl>
    <w:lvl w:ilvl="1" w:tplc="35B4BFB8">
      <w:numFmt w:val="bullet"/>
      <w:lvlText w:val=""/>
      <w:lvlJc w:val="left"/>
      <w:pPr>
        <w:ind w:left="1632" w:hanging="284"/>
      </w:pPr>
      <w:rPr>
        <w:rFonts w:ascii="Symbol" w:eastAsia="Symbol" w:hAnsi="Symbol" w:cs="Symbol" w:hint="default"/>
        <w:b w:val="0"/>
        <w:bCs w:val="0"/>
        <w:i w:val="0"/>
        <w:iCs w:val="0"/>
        <w:w w:val="100"/>
        <w:sz w:val="22"/>
        <w:szCs w:val="22"/>
        <w:lang w:val="en-US" w:eastAsia="en-US" w:bidi="ar-SA"/>
      </w:rPr>
    </w:lvl>
    <w:lvl w:ilvl="2" w:tplc="A560D1E8">
      <w:numFmt w:val="bullet"/>
      <w:lvlText w:val="•"/>
      <w:lvlJc w:val="left"/>
      <w:pPr>
        <w:ind w:left="2516" w:hanging="284"/>
      </w:pPr>
      <w:rPr>
        <w:rFonts w:hint="default"/>
        <w:lang w:val="en-US" w:eastAsia="en-US" w:bidi="ar-SA"/>
      </w:rPr>
    </w:lvl>
    <w:lvl w:ilvl="3" w:tplc="4EE8AA26">
      <w:numFmt w:val="bullet"/>
      <w:lvlText w:val="•"/>
      <w:lvlJc w:val="left"/>
      <w:pPr>
        <w:ind w:left="3393" w:hanging="284"/>
      </w:pPr>
      <w:rPr>
        <w:rFonts w:hint="default"/>
        <w:lang w:val="en-US" w:eastAsia="en-US" w:bidi="ar-SA"/>
      </w:rPr>
    </w:lvl>
    <w:lvl w:ilvl="4" w:tplc="DE088BFA">
      <w:numFmt w:val="bullet"/>
      <w:lvlText w:val="•"/>
      <w:lvlJc w:val="left"/>
      <w:pPr>
        <w:ind w:left="4269" w:hanging="284"/>
      </w:pPr>
      <w:rPr>
        <w:rFonts w:hint="default"/>
        <w:lang w:val="en-US" w:eastAsia="en-US" w:bidi="ar-SA"/>
      </w:rPr>
    </w:lvl>
    <w:lvl w:ilvl="5" w:tplc="75A228DA">
      <w:numFmt w:val="bullet"/>
      <w:lvlText w:val="•"/>
      <w:lvlJc w:val="left"/>
      <w:pPr>
        <w:ind w:left="5146" w:hanging="284"/>
      </w:pPr>
      <w:rPr>
        <w:rFonts w:hint="default"/>
        <w:lang w:val="en-US" w:eastAsia="en-US" w:bidi="ar-SA"/>
      </w:rPr>
    </w:lvl>
    <w:lvl w:ilvl="6" w:tplc="869A2904">
      <w:numFmt w:val="bullet"/>
      <w:lvlText w:val="•"/>
      <w:lvlJc w:val="left"/>
      <w:pPr>
        <w:ind w:left="6022" w:hanging="284"/>
      </w:pPr>
      <w:rPr>
        <w:rFonts w:hint="default"/>
        <w:lang w:val="en-US" w:eastAsia="en-US" w:bidi="ar-SA"/>
      </w:rPr>
    </w:lvl>
    <w:lvl w:ilvl="7" w:tplc="DEF605D2">
      <w:numFmt w:val="bullet"/>
      <w:lvlText w:val="•"/>
      <w:lvlJc w:val="left"/>
      <w:pPr>
        <w:ind w:left="6899" w:hanging="284"/>
      </w:pPr>
      <w:rPr>
        <w:rFonts w:hint="default"/>
        <w:lang w:val="en-US" w:eastAsia="en-US" w:bidi="ar-SA"/>
      </w:rPr>
    </w:lvl>
    <w:lvl w:ilvl="8" w:tplc="8E2C9DE6">
      <w:numFmt w:val="bullet"/>
      <w:lvlText w:val="•"/>
      <w:lvlJc w:val="left"/>
      <w:pPr>
        <w:ind w:left="7775" w:hanging="284"/>
      </w:pPr>
      <w:rPr>
        <w:rFonts w:hint="default"/>
        <w:lang w:val="en-US" w:eastAsia="en-US" w:bidi="ar-SA"/>
      </w:rPr>
    </w:lvl>
  </w:abstractNum>
  <w:abstractNum w:abstractNumId="14" w15:restartNumberingAfterBreak="0">
    <w:nsid w:val="7CC73A77"/>
    <w:multiLevelType w:val="multilevel"/>
    <w:tmpl w:val="48ECF5F0"/>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404" w:hanging="567"/>
      </w:pPr>
      <w:rPr>
        <w:rFonts w:hint="default"/>
        <w:lang w:val="en-US" w:eastAsia="en-US" w:bidi="ar-SA"/>
      </w:rPr>
    </w:lvl>
    <w:lvl w:ilvl="4">
      <w:numFmt w:val="bullet"/>
      <w:lvlText w:val="•"/>
      <w:lvlJc w:val="left"/>
      <w:pPr>
        <w:ind w:left="4279" w:hanging="567"/>
      </w:pPr>
      <w:rPr>
        <w:rFonts w:hint="default"/>
        <w:lang w:val="en-US" w:eastAsia="en-US" w:bidi="ar-SA"/>
      </w:rPr>
    </w:lvl>
    <w:lvl w:ilvl="5">
      <w:numFmt w:val="bullet"/>
      <w:lvlText w:val="•"/>
      <w:lvlJc w:val="left"/>
      <w:pPr>
        <w:ind w:left="5154" w:hanging="567"/>
      </w:pPr>
      <w:rPr>
        <w:rFonts w:hint="default"/>
        <w:lang w:val="en-US" w:eastAsia="en-US" w:bidi="ar-SA"/>
      </w:rPr>
    </w:lvl>
    <w:lvl w:ilvl="6">
      <w:numFmt w:val="bullet"/>
      <w:lvlText w:val="•"/>
      <w:lvlJc w:val="left"/>
      <w:pPr>
        <w:ind w:left="6029" w:hanging="567"/>
      </w:pPr>
      <w:rPr>
        <w:rFonts w:hint="default"/>
        <w:lang w:val="en-US" w:eastAsia="en-US" w:bidi="ar-SA"/>
      </w:rPr>
    </w:lvl>
    <w:lvl w:ilvl="7">
      <w:numFmt w:val="bullet"/>
      <w:lvlText w:val="•"/>
      <w:lvlJc w:val="left"/>
      <w:pPr>
        <w:ind w:left="6904" w:hanging="567"/>
      </w:pPr>
      <w:rPr>
        <w:rFonts w:hint="default"/>
        <w:lang w:val="en-US" w:eastAsia="en-US" w:bidi="ar-SA"/>
      </w:rPr>
    </w:lvl>
    <w:lvl w:ilvl="8">
      <w:numFmt w:val="bullet"/>
      <w:lvlText w:val="•"/>
      <w:lvlJc w:val="left"/>
      <w:pPr>
        <w:ind w:left="7779" w:hanging="567"/>
      </w:pPr>
      <w:rPr>
        <w:rFonts w:hint="default"/>
        <w:lang w:val="en-US" w:eastAsia="en-US" w:bidi="ar-SA"/>
      </w:rPr>
    </w:lvl>
  </w:abstractNum>
  <w:num w:numId="1" w16cid:durableId="1629119873">
    <w:abstractNumId w:val="9"/>
  </w:num>
  <w:num w:numId="2" w16cid:durableId="1546865837">
    <w:abstractNumId w:val="8"/>
  </w:num>
  <w:num w:numId="3" w16cid:durableId="1641493979">
    <w:abstractNumId w:val="1"/>
  </w:num>
  <w:num w:numId="4" w16cid:durableId="512456351">
    <w:abstractNumId w:val="2"/>
  </w:num>
  <w:num w:numId="5" w16cid:durableId="1189366252">
    <w:abstractNumId w:val="6"/>
  </w:num>
  <w:num w:numId="6" w16cid:durableId="271326039">
    <w:abstractNumId w:val="12"/>
  </w:num>
  <w:num w:numId="7" w16cid:durableId="1974216383">
    <w:abstractNumId w:val="4"/>
  </w:num>
  <w:num w:numId="8" w16cid:durableId="1629621943">
    <w:abstractNumId w:val="13"/>
  </w:num>
  <w:num w:numId="9" w16cid:durableId="1162627269">
    <w:abstractNumId w:val="0"/>
  </w:num>
  <w:num w:numId="10" w16cid:durableId="1885752275">
    <w:abstractNumId w:val="7"/>
  </w:num>
  <w:num w:numId="11" w16cid:durableId="271791697">
    <w:abstractNumId w:val="10"/>
  </w:num>
  <w:num w:numId="12" w16cid:durableId="170680613">
    <w:abstractNumId w:val="14"/>
  </w:num>
  <w:num w:numId="13" w16cid:durableId="1684094075">
    <w:abstractNumId w:val="5"/>
  </w:num>
  <w:num w:numId="14" w16cid:durableId="1304237924">
    <w:abstractNumId w:val="11"/>
  </w:num>
  <w:num w:numId="15" w16cid:durableId="427118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1F0"/>
    <w:rsid w:val="00000F25"/>
    <w:rsid w:val="00010906"/>
    <w:rsid w:val="0001774E"/>
    <w:rsid w:val="000202AC"/>
    <w:rsid w:val="0002089E"/>
    <w:rsid w:val="0002598E"/>
    <w:rsid w:val="00030EED"/>
    <w:rsid w:val="00037E3D"/>
    <w:rsid w:val="0004610A"/>
    <w:rsid w:val="00055975"/>
    <w:rsid w:val="00055C06"/>
    <w:rsid w:val="000604F6"/>
    <w:rsid w:val="00067112"/>
    <w:rsid w:val="00070EA9"/>
    <w:rsid w:val="00083D1F"/>
    <w:rsid w:val="000957B0"/>
    <w:rsid w:val="000A0FCF"/>
    <w:rsid w:val="000B1F30"/>
    <w:rsid w:val="000B6FAC"/>
    <w:rsid w:val="000C04D4"/>
    <w:rsid w:val="000C1540"/>
    <w:rsid w:val="000C517C"/>
    <w:rsid w:val="000C5EF5"/>
    <w:rsid w:val="000D0141"/>
    <w:rsid w:val="000D25FB"/>
    <w:rsid w:val="000D4455"/>
    <w:rsid w:val="000D614A"/>
    <w:rsid w:val="000D6DCB"/>
    <w:rsid w:val="000D6E98"/>
    <w:rsid w:val="000D7348"/>
    <w:rsid w:val="000E0109"/>
    <w:rsid w:val="000E3C8B"/>
    <w:rsid w:val="000F2D20"/>
    <w:rsid w:val="0011185A"/>
    <w:rsid w:val="00112317"/>
    <w:rsid w:val="00120BC8"/>
    <w:rsid w:val="00120F03"/>
    <w:rsid w:val="0012562C"/>
    <w:rsid w:val="00131A28"/>
    <w:rsid w:val="00132DFF"/>
    <w:rsid w:val="00133C45"/>
    <w:rsid w:val="00136844"/>
    <w:rsid w:val="00143779"/>
    <w:rsid w:val="00143E84"/>
    <w:rsid w:val="0015254D"/>
    <w:rsid w:val="0015302F"/>
    <w:rsid w:val="00160BFB"/>
    <w:rsid w:val="00171BE4"/>
    <w:rsid w:val="001753EE"/>
    <w:rsid w:val="00182C9F"/>
    <w:rsid w:val="00184315"/>
    <w:rsid w:val="00184ABB"/>
    <w:rsid w:val="00185A85"/>
    <w:rsid w:val="001923DB"/>
    <w:rsid w:val="00196CEA"/>
    <w:rsid w:val="00197D8C"/>
    <w:rsid w:val="001A2B6E"/>
    <w:rsid w:val="001A35B2"/>
    <w:rsid w:val="001A3609"/>
    <w:rsid w:val="001B0991"/>
    <w:rsid w:val="001B66E2"/>
    <w:rsid w:val="001B70D3"/>
    <w:rsid w:val="001C1503"/>
    <w:rsid w:val="001C3ED8"/>
    <w:rsid w:val="001C4CD3"/>
    <w:rsid w:val="001D05B2"/>
    <w:rsid w:val="001E3A74"/>
    <w:rsid w:val="001F414F"/>
    <w:rsid w:val="001F5D3C"/>
    <w:rsid w:val="001F7341"/>
    <w:rsid w:val="0020108A"/>
    <w:rsid w:val="0020305F"/>
    <w:rsid w:val="00207A12"/>
    <w:rsid w:val="00211594"/>
    <w:rsid w:val="002118D7"/>
    <w:rsid w:val="00213FD6"/>
    <w:rsid w:val="00215AFA"/>
    <w:rsid w:val="0021630D"/>
    <w:rsid w:val="002166F7"/>
    <w:rsid w:val="00217BF6"/>
    <w:rsid w:val="002210D0"/>
    <w:rsid w:val="00224CFF"/>
    <w:rsid w:val="00226990"/>
    <w:rsid w:val="00230415"/>
    <w:rsid w:val="00231794"/>
    <w:rsid w:val="0023278D"/>
    <w:rsid w:val="00235B6D"/>
    <w:rsid w:val="00236655"/>
    <w:rsid w:val="00240287"/>
    <w:rsid w:val="00243D60"/>
    <w:rsid w:val="0024571F"/>
    <w:rsid w:val="00251D78"/>
    <w:rsid w:val="00252077"/>
    <w:rsid w:val="002526D8"/>
    <w:rsid w:val="0025322F"/>
    <w:rsid w:val="00260D51"/>
    <w:rsid w:val="002620AD"/>
    <w:rsid w:val="00263B39"/>
    <w:rsid w:val="00275C52"/>
    <w:rsid w:val="002833B1"/>
    <w:rsid w:val="00283A59"/>
    <w:rsid w:val="00283DB9"/>
    <w:rsid w:val="00284471"/>
    <w:rsid w:val="00285495"/>
    <w:rsid w:val="002854FC"/>
    <w:rsid w:val="002A41A6"/>
    <w:rsid w:val="002A66D3"/>
    <w:rsid w:val="002A75F1"/>
    <w:rsid w:val="002B496B"/>
    <w:rsid w:val="002B7A66"/>
    <w:rsid w:val="002C1656"/>
    <w:rsid w:val="002C3413"/>
    <w:rsid w:val="002C5236"/>
    <w:rsid w:val="002C6CA9"/>
    <w:rsid w:val="002D17C1"/>
    <w:rsid w:val="002D1B46"/>
    <w:rsid w:val="002D1D6C"/>
    <w:rsid w:val="002D2805"/>
    <w:rsid w:val="002D6DCF"/>
    <w:rsid w:val="002E4699"/>
    <w:rsid w:val="002E63A3"/>
    <w:rsid w:val="002E70C6"/>
    <w:rsid w:val="002F50B7"/>
    <w:rsid w:val="00303983"/>
    <w:rsid w:val="00304484"/>
    <w:rsid w:val="00310AF1"/>
    <w:rsid w:val="00315813"/>
    <w:rsid w:val="00316EDC"/>
    <w:rsid w:val="00320CC6"/>
    <w:rsid w:val="003349DD"/>
    <w:rsid w:val="0033560E"/>
    <w:rsid w:val="0033604E"/>
    <w:rsid w:val="00343ADA"/>
    <w:rsid w:val="003523B4"/>
    <w:rsid w:val="00357F71"/>
    <w:rsid w:val="0036496F"/>
    <w:rsid w:val="00366149"/>
    <w:rsid w:val="00366962"/>
    <w:rsid w:val="003714D4"/>
    <w:rsid w:val="003732EC"/>
    <w:rsid w:val="003738FC"/>
    <w:rsid w:val="003756E3"/>
    <w:rsid w:val="003759F2"/>
    <w:rsid w:val="00377E49"/>
    <w:rsid w:val="003833A1"/>
    <w:rsid w:val="00385B2B"/>
    <w:rsid w:val="00395C5B"/>
    <w:rsid w:val="003A04ED"/>
    <w:rsid w:val="003A208A"/>
    <w:rsid w:val="003A43E5"/>
    <w:rsid w:val="003A447A"/>
    <w:rsid w:val="003B4A10"/>
    <w:rsid w:val="003C2C81"/>
    <w:rsid w:val="003C5B61"/>
    <w:rsid w:val="003D5F16"/>
    <w:rsid w:val="003D7BBC"/>
    <w:rsid w:val="003E0A60"/>
    <w:rsid w:val="003E1FDB"/>
    <w:rsid w:val="003E2F88"/>
    <w:rsid w:val="003E6B5A"/>
    <w:rsid w:val="003F0169"/>
    <w:rsid w:val="003F4C98"/>
    <w:rsid w:val="003F4D24"/>
    <w:rsid w:val="003F725C"/>
    <w:rsid w:val="00401ECB"/>
    <w:rsid w:val="004038B4"/>
    <w:rsid w:val="00404EEA"/>
    <w:rsid w:val="00405019"/>
    <w:rsid w:val="00421B4E"/>
    <w:rsid w:val="004401F0"/>
    <w:rsid w:val="00441220"/>
    <w:rsid w:val="004517A0"/>
    <w:rsid w:val="0045557A"/>
    <w:rsid w:val="004628EC"/>
    <w:rsid w:val="00465B7B"/>
    <w:rsid w:val="00467939"/>
    <w:rsid w:val="004726C9"/>
    <w:rsid w:val="00474564"/>
    <w:rsid w:val="004755AA"/>
    <w:rsid w:val="00487946"/>
    <w:rsid w:val="004A2CB7"/>
    <w:rsid w:val="004A47E1"/>
    <w:rsid w:val="004A6135"/>
    <w:rsid w:val="004B62BF"/>
    <w:rsid w:val="004C34A7"/>
    <w:rsid w:val="004E07A1"/>
    <w:rsid w:val="004E68C4"/>
    <w:rsid w:val="004F1FDB"/>
    <w:rsid w:val="005000D4"/>
    <w:rsid w:val="005005D6"/>
    <w:rsid w:val="00504011"/>
    <w:rsid w:val="00505348"/>
    <w:rsid w:val="00505AE6"/>
    <w:rsid w:val="005061B4"/>
    <w:rsid w:val="005067B1"/>
    <w:rsid w:val="005106DA"/>
    <w:rsid w:val="0051331B"/>
    <w:rsid w:val="00515F80"/>
    <w:rsid w:val="00536CD6"/>
    <w:rsid w:val="005452AB"/>
    <w:rsid w:val="00545546"/>
    <w:rsid w:val="0054669C"/>
    <w:rsid w:val="0055261F"/>
    <w:rsid w:val="00561D92"/>
    <w:rsid w:val="00562994"/>
    <w:rsid w:val="00563507"/>
    <w:rsid w:val="00570518"/>
    <w:rsid w:val="00570AD4"/>
    <w:rsid w:val="0057468F"/>
    <w:rsid w:val="00574F4B"/>
    <w:rsid w:val="00577162"/>
    <w:rsid w:val="0058037C"/>
    <w:rsid w:val="00580D55"/>
    <w:rsid w:val="00593DA4"/>
    <w:rsid w:val="005963EB"/>
    <w:rsid w:val="005A54AB"/>
    <w:rsid w:val="005B2E83"/>
    <w:rsid w:val="005C15B0"/>
    <w:rsid w:val="005C2293"/>
    <w:rsid w:val="005C5320"/>
    <w:rsid w:val="005C64CC"/>
    <w:rsid w:val="005D4E74"/>
    <w:rsid w:val="005D5BD4"/>
    <w:rsid w:val="005D65DF"/>
    <w:rsid w:val="005E72A5"/>
    <w:rsid w:val="005F1AD1"/>
    <w:rsid w:val="005F3DC6"/>
    <w:rsid w:val="005F4CD7"/>
    <w:rsid w:val="00601BE8"/>
    <w:rsid w:val="00601E1A"/>
    <w:rsid w:val="0060278E"/>
    <w:rsid w:val="00602AC3"/>
    <w:rsid w:val="00604C5A"/>
    <w:rsid w:val="00614220"/>
    <w:rsid w:val="006156E3"/>
    <w:rsid w:val="00616E32"/>
    <w:rsid w:val="00620362"/>
    <w:rsid w:val="00621F44"/>
    <w:rsid w:val="00622F9C"/>
    <w:rsid w:val="00627326"/>
    <w:rsid w:val="00635A62"/>
    <w:rsid w:val="006423A9"/>
    <w:rsid w:val="00653748"/>
    <w:rsid w:val="00654D21"/>
    <w:rsid w:val="0066051A"/>
    <w:rsid w:val="006615DE"/>
    <w:rsid w:val="006632D6"/>
    <w:rsid w:val="00671687"/>
    <w:rsid w:val="006716B0"/>
    <w:rsid w:val="00671EBF"/>
    <w:rsid w:val="006743A7"/>
    <w:rsid w:val="00675F7E"/>
    <w:rsid w:val="006805DF"/>
    <w:rsid w:val="00686A9D"/>
    <w:rsid w:val="00691B0D"/>
    <w:rsid w:val="00692924"/>
    <w:rsid w:val="00693D4B"/>
    <w:rsid w:val="0069508A"/>
    <w:rsid w:val="006A16FB"/>
    <w:rsid w:val="006A2D64"/>
    <w:rsid w:val="006A4461"/>
    <w:rsid w:val="006B358C"/>
    <w:rsid w:val="006B433A"/>
    <w:rsid w:val="006B6099"/>
    <w:rsid w:val="006D19A1"/>
    <w:rsid w:val="006D2D6F"/>
    <w:rsid w:val="006E0C0B"/>
    <w:rsid w:val="006E128B"/>
    <w:rsid w:val="006F344F"/>
    <w:rsid w:val="006F4A94"/>
    <w:rsid w:val="007002A5"/>
    <w:rsid w:val="007046A9"/>
    <w:rsid w:val="00710110"/>
    <w:rsid w:val="00716F38"/>
    <w:rsid w:val="007253F2"/>
    <w:rsid w:val="00730ADF"/>
    <w:rsid w:val="00735550"/>
    <w:rsid w:val="007378D7"/>
    <w:rsid w:val="00740A72"/>
    <w:rsid w:val="00743103"/>
    <w:rsid w:val="00754BAA"/>
    <w:rsid w:val="00756105"/>
    <w:rsid w:val="007646B1"/>
    <w:rsid w:val="00765A43"/>
    <w:rsid w:val="00770CE3"/>
    <w:rsid w:val="00775F05"/>
    <w:rsid w:val="00775F50"/>
    <w:rsid w:val="00776662"/>
    <w:rsid w:val="007845DB"/>
    <w:rsid w:val="00784772"/>
    <w:rsid w:val="007A12AB"/>
    <w:rsid w:val="007A1850"/>
    <w:rsid w:val="007A352F"/>
    <w:rsid w:val="007A5416"/>
    <w:rsid w:val="007A5B23"/>
    <w:rsid w:val="007A6313"/>
    <w:rsid w:val="007B4C5E"/>
    <w:rsid w:val="007C119A"/>
    <w:rsid w:val="007C2B00"/>
    <w:rsid w:val="007C363D"/>
    <w:rsid w:val="007C4B7E"/>
    <w:rsid w:val="007C4C3E"/>
    <w:rsid w:val="007C672E"/>
    <w:rsid w:val="007C68E5"/>
    <w:rsid w:val="007C696A"/>
    <w:rsid w:val="007D0B9C"/>
    <w:rsid w:val="007D43C4"/>
    <w:rsid w:val="007D44A4"/>
    <w:rsid w:val="007F124D"/>
    <w:rsid w:val="007F1ED1"/>
    <w:rsid w:val="007F2143"/>
    <w:rsid w:val="007F735F"/>
    <w:rsid w:val="00801AED"/>
    <w:rsid w:val="00801DE9"/>
    <w:rsid w:val="0080289B"/>
    <w:rsid w:val="00803E4E"/>
    <w:rsid w:val="00810450"/>
    <w:rsid w:val="00822FF4"/>
    <w:rsid w:val="008259E5"/>
    <w:rsid w:val="00830393"/>
    <w:rsid w:val="008305DD"/>
    <w:rsid w:val="00830625"/>
    <w:rsid w:val="00830C2D"/>
    <w:rsid w:val="00833453"/>
    <w:rsid w:val="00833C97"/>
    <w:rsid w:val="008344D8"/>
    <w:rsid w:val="00835A9C"/>
    <w:rsid w:val="00836442"/>
    <w:rsid w:val="008379BA"/>
    <w:rsid w:val="0084087D"/>
    <w:rsid w:val="008408FD"/>
    <w:rsid w:val="00846D59"/>
    <w:rsid w:val="00850855"/>
    <w:rsid w:val="008529E3"/>
    <w:rsid w:val="00854925"/>
    <w:rsid w:val="00856ACA"/>
    <w:rsid w:val="00866552"/>
    <w:rsid w:val="008702D7"/>
    <w:rsid w:val="008709FB"/>
    <w:rsid w:val="0087147D"/>
    <w:rsid w:val="008774E6"/>
    <w:rsid w:val="00880997"/>
    <w:rsid w:val="00881CB8"/>
    <w:rsid w:val="00885892"/>
    <w:rsid w:val="008865B4"/>
    <w:rsid w:val="00893B48"/>
    <w:rsid w:val="008A0630"/>
    <w:rsid w:val="008A71E4"/>
    <w:rsid w:val="008B0007"/>
    <w:rsid w:val="008B06CA"/>
    <w:rsid w:val="008B1F0B"/>
    <w:rsid w:val="008B2613"/>
    <w:rsid w:val="008B45E9"/>
    <w:rsid w:val="008B6844"/>
    <w:rsid w:val="008B71ED"/>
    <w:rsid w:val="008C1549"/>
    <w:rsid w:val="008C3766"/>
    <w:rsid w:val="008C6527"/>
    <w:rsid w:val="008C7F9B"/>
    <w:rsid w:val="008D07B4"/>
    <w:rsid w:val="008E174A"/>
    <w:rsid w:val="008E5986"/>
    <w:rsid w:val="008F0406"/>
    <w:rsid w:val="008F2CC6"/>
    <w:rsid w:val="008F3780"/>
    <w:rsid w:val="008F60BB"/>
    <w:rsid w:val="00900847"/>
    <w:rsid w:val="00903E44"/>
    <w:rsid w:val="00904AF9"/>
    <w:rsid w:val="0090762A"/>
    <w:rsid w:val="00907A72"/>
    <w:rsid w:val="00907EAA"/>
    <w:rsid w:val="009108B1"/>
    <w:rsid w:val="009154F3"/>
    <w:rsid w:val="0092186A"/>
    <w:rsid w:val="00922783"/>
    <w:rsid w:val="00923CE2"/>
    <w:rsid w:val="009246E1"/>
    <w:rsid w:val="0092540A"/>
    <w:rsid w:val="00925736"/>
    <w:rsid w:val="009315A6"/>
    <w:rsid w:val="009331A2"/>
    <w:rsid w:val="0093405B"/>
    <w:rsid w:val="009364F7"/>
    <w:rsid w:val="009429FC"/>
    <w:rsid w:val="0095072A"/>
    <w:rsid w:val="00955DEA"/>
    <w:rsid w:val="009561F6"/>
    <w:rsid w:val="00956949"/>
    <w:rsid w:val="00961C3F"/>
    <w:rsid w:val="00966E27"/>
    <w:rsid w:val="009707CD"/>
    <w:rsid w:val="009714D0"/>
    <w:rsid w:val="00983BEE"/>
    <w:rsid w:val="00985ABB"/>
    <w:rsid w:val="00985B31"/>
    <w:rsid w:val="009863C3"/>
    <w:rsid w:val="00987A25"/>
    <w:rsid w:val="00995A2F"/>
    <w:rsid w:val="00995FC5"/>
    <w:rsid w:val="00996B12"/>
    <w:rsid w:val="009C0558"/>
    <w:rsid w:val="009C7393"/>
    <w:rsid w:val="009D0C7B"/>
    <w:rsid w:val="009D4AA0"/>
    <w:rsid w:val="009E2BC5"/>
    <w:rsid w:val="009E4BF3"/>
    <w:rsid w:val="009F0334"/>
    <w:rsid w:val="00A00545"/>
    <w:rsid w:val="00A02660"/>
    <w:rsid w:val="00A10F12"/>
    <w:rsid w:val="00A1496F"/>
    <w:rsid w:val="00A17B93"/>
    <w:rsid w:val="00A21726"/>
    <w:rsid w:val="00A22BD3"/>
    <w:rsid w:val="00A26744"/>
    <w:rsid w:val="00A32D9A"/>
    <w:rsid w:val="00A34635"/>
    <w:rsid w:val="00A37E33"/>
    <w:rsid w:val="00A45AF3"/>
    <w:rsid w:val="00A503F8"/>
    <w:rsid w:val="00A6548D"/>
    <w:rsid w:val="00A67360"/>
    <w:rsid w:val="00A71A17"/>
    <w:rsid w:val="00A82D1E"/>
    <w:rsid w:val="00A85500"/>
    <w:rsid w:val="00A86407"/>
    <w:rsid w:val="00A867A9"/>
    <w:rsid w:val="00A9122B"/>
    <w:rsid w:val="00A91584"/>
    <w:rsid w:val="00A92A66"/>
    <w:rsid w:val="00A97E93"/>
    <w:rsid w:val="00AA0D65"/>
    <w:rsid w:val="00AA17BD"/>
    <w:rsid w:val="00AA7C39"/>
    <w:rsid w:val="00AB06BC"/>
    <w:rsid w:val="00AB15CA"/>
    <w:rsid w:val="00AB5D09"/>
    <w:rsid w:val="00AC02EC"/>
    <w:rsid w:val="00AC582F"/>
    <w:rsid w:val="00AC7CE7"/>
    <w:rsid w:val="00AD196F"/>
    <w:rsid w:val="00AE14A4"/>
    <w:rsid w:val="00AE2D4F"/>
    <w:rsid w:val="00AF1DC3"/>
    <w:rsid w:val="00AF3556"/>
    <w:rsid w:val="00AF3AAA"/>
    <w:rsid w:val="00AF75A6"/>
    <w:rsid w:val="00B052CA"/>
    <w:rsid w:val="00B06D77"/>
    <w:rsid w:val="00B07504"/>
    <w:rsid w:val="00B101F8"/>
    <w:rsid w:val="00B11C84"/>
    <w:rsid w:val="00B1410E"/>
    <w:rsid w:val="00B206F4"/>
    <w:rsid w:val="00B23090"/>
    <w:rsid w:val="00B24BE0"/>
    <w:rsid w:val="00B25101"/>
    <w:rsid w:val="00B25644"/>
    <w:rsid w:val="00B261C8"/>
    <w:rsid w:val="00B33336"/>
    <w:rsid w:val="00B34952"/>
    <w:rsid w:val="00B40553"/>
    <w:rsid w:val="00B46F32"/>
    <w:rsid w:val="00B52BC0"/>
    <w:rsid w:val="00B54113"/>
    <w:rsid w:val="00B57CCC"/>
    <w:rsid w:val="00B67D7A"/>
    <w:rsid w:val="00B72618"/>
    <w:rsid w:val="00B73700"/>
    <w:rsid w:val="00B772E9"/>
    <w:rsid w:val="00B80B2B"/>
    <w:rsid w:val="00B8111C"/>
    <w:rsid w:val="00B81D36"/>
    <w:rsid w:val="00B861FC"/>
    <w:rsid w:val="00B9030C"/>
    <w:rsid w:val="00B93A25"/>
    <w:rsid w:val="00B961E9"/>
    <w:rsid w:val="00B97D5B"/>
    <w:rsid w:val="00BA03A7"/>
    <w:rsid w:val="00BA4D68"/>
    <w:rsid w:val="00BA5EA0"/>
    <w:rsid w:val="00BA613B"/>
    <w:rsid w:val="00BA6534"/>
    <w:rsid w:val="00BA789E"/>
    <w:rsid w:val="00BB23C3"/>
    <w:rsid w:val="00BC235B"/>
    <w:rsid w:val="00BC3347"/>
    <w:rsid w:val="00BC7C97"/>
    <w:rsid w:val="00BD4C7C"/>
    <w:rsid w:val="00BD72DE"/>
    <w:rsid w:val="00BE1E76"/>
    <w:rsid w:val="00BF2036"/>
    <w:rsid w:val="00C03BE0"/>
    <w:rsid w:val="00C143F0"/>
    <w:rsid w:val="00C14ABC"/>
    <w:rsid w:val="00C14BFA"/>
    <w:rsid w:val="00C2617F"/>
    <w:rsid w:val="00C4517F"/>
    <w:rsid w:val="00C4733F"/>
    <w:rsid w:val="00C50519"/>
    <w:rsid w:val="00C540A3"/>
    <w:rsid w:val="00C573B4"/>
    <w:rsid w:val="00C57E3E"/>
    <w:rsid w:val="00C60AF6"/>
    <w:rsid w:val="00C712FC"/>
    <w:rsid w:val="00C73C52"/>
    <w:rsid w:val="00C74438"/>
    <w:rsid w:val="00C76EC8"/>
    <w:rsid w:val="00C771CC"/>
    <w:rsid w:val="00C808FD"/>
    <w:rsid w:val="00C83017"/>
    <w:rsid w:val="00C8389B"/>
    <w:rsid w:val="00C87C97"/>
    <w:rsid w:val="00C91059"/>
    <w:rsid w:val="00C93DEA"/>
    <w:rsid w:val="00C97E1F"/>
    <w:rsid w:val="00CA02F4"/>
    <w:rsid w:val="00CA35BF"/>
    <w:rsid w:val="00CB0D4A"/>
    <w:rsid w:val="00CB1387"/>
    <w:rsid w:val="00CB1918"/>
    <w:rsid w:val="00CB30CF"/>
    <w:rsid w:val="00CB738A"/>
    <w:rsid w:val="00CC31A1"/>
    <w:rsid w:val="00CC42DD"/>
    <w:rsid w:val="00CD2DD7"/>
    <w:rsid w:val="00CD446A"/>
    <w:rsid w:val="00CE09D0"/>
    <w:rsid w:val="00CE5946"/>
    <w:rsid w:val="00CF24ED"/>
    <w:rsid w:val="00CF54EA"/>
    <w:rsid w:val="00D118EC"/>
    <w:rsid w:val="00D20EFA"/>
    <w:rsid w:val="00D26CD8"/>
    <w:rsid w:val="00D277A9"/>
    <w:rsid w:val="00D277D8"/>
    <w:rsid w:val="00D27B36"/>
    <w:rsid w:val="00D400F6"/>
    <w:rsid w:val="00D5425F"/>
    <w:rsid w:val="00D5561A"/>
    <w:rsid w:val="00D57ACF"/>
    <w:rsid w:val="00D60D48"/>
    <w:rsid w:val="00D67EAE"/>
    <w:rsid w:val="00D80778"/>
    <w:rsid w:val="00D83006"/>
    <w:rsid w:val="00D83581"/>
    <w:rsid w:val="00D848D2"/>
    <w:rsid w:val="00D86257"/>
    <w:rsid w:val="00D90DBD"/>
    <w:rsid w:val="00D9100B"/>
    <w:rsid w:val="00D93D0C"/>
    <w:rsid w:val="00D96E26"/>
    <w:rsid w:val="00DA0222"/>
    <w:rsid w:val="00DA0BE8"/>
    <w:rsid w:val="00DA2BA8"/>
    <w:rsid w:val="00DA5B9C"/>
    <w:rsid w:val="00DA7718"/>
    <w:rsid w:val="00DB3535"/>
    <w:rsid w:val="00DB59CD"/>
    <w:rsid w:val="00DC33BF"/>
    <w:rsid w:val="00DC5CCF"/>
    <w:rsid w:val="00DD4CA9"/>
    <w:rsid w:val="00DE26B8"/>
    <w:rsid w:val="00DE3604"/>
    <w:rsid w:val="00DE76EE"/>
    <w:rsid w:val="00DE7882"/>
    <w:rsid w:val="00DF3C4F"/>
    <w:rsid w:val="00DF6A70"/>
    <w:rsid w:val="00E023F8"/>
    <w:rsid w:val="00E1000C"/>
    <w:rsid w:val="00E13189"/>
    <w:rsid w:val="00E13215"/>
    <w:rsid w:val="00E22855"/>
    <w:rsid w:val="00E24750"/>
    <w:rsid w:val="00E24F80"/>
    <w:rsid w:val="00E34678"/>
    <w:rsid w:val="00E42C24"/>
    <w:rsid w:val="00E450CF"/>
    <w:rsid w:val="00E53EEE"/>
    <w:rsid w:val="00E81BC0"/>
    <w:rsid w:val="00E84257"/>
    <w:rsid w:val="00E91DB9"/>
    <w:rsid w:val="00E9391F"/>
    <w:rsid w:val="00E93D87"/>
    <w:rsid w:val="00E97E9E"/>
    <w:rsid w:val="00EA035A"/>
    <w:rsid w:val="00EA1ABA"/>
    <w:rsid w:val="00EA7ADC"/>
    <w:rsid w:val="00EB165C"/>
    <w:rsid w:val="00EB3564"/>
    <w:rsid w:val="00EB448D"/>
    <w:rsid w:val="00EB4800"/>
    <w:rsid w:val="00EB670E"/>
    <w:rsid w:val="00EC1DAC"/>
    <w:rsid w:val="00EC2350"/>
    <w:rsid w:val="00EC480D"/>
    <w:rsid w:val="00ED44AC"/>
    <w:rsid w:val="00ED5ABA"/>
    <w:rsid w:val="00EF1A9F"/>
    <w:rsid w:val="00F00DE9"/>
    <w:rsid w:val="00F0109B"/>
    <w:rsid w:val="00F014C7"/>
    <w:rsid w:val="00F05208"/>
    <w:rsid w:val="00F16A3E"/>
    <w:rsid w:val="00F17EB7"/>
    <w:rsid w:val="00F20376"/>
    <w:rsid w:val="00F20797"/>
    <w:rsid w:val="00F24824"/>
    <w:rsid w:val="00F31A64"/>
    <w:rsid w:val="00F34CE8"/>
    <w:rsid w:val="00F35E59"/>
    <w:rsid w:val="00F43EE3"/>
    <w:rsid w:val="00F452CD"/>
    <w:rsid w:val="00F46366"/>
    <w:rsid w:val="00F46BF6"/>
    <w:rsid w:val="00F51813"/>
    <w:rsid w:val="00F518B5"/>
    <w:rsid w:val="00F61F8D"/>
    <w:rsid w:val="00F71A20"/>
    <w:rsid w:val="00F7466B"/>
    <w:rsid w:val="00F77870"/>
    <w:rsid w:val="00F8130A"/>
    <w:rsid w:val="00F81C89"/>
    <w:rsid w:val="00F84CEA"/>
    <w:rsid w:val="00F87C88"/>
    <w:rsid w:val="00F9256D"/>
    <w:rsid w:val="00F96E6C"/>
    <w:rsid w:val="00FA054E"/>
    <w:rsid w:val="00FB0539"/>
    <w:rsid w:val="00FB24F0"/>
    <w:rsid w:val="00FB48A2"/>
    <w:rsid w:val="00FB537A"/>
    <w:rsid w:val="00FB747B"/>
    <w:rsid w:val="00FB763E"/>
    <w:rsid w:val="00FC682E"/>
    <w:rsid w:val="00FD0816"/>
    <w:rsid w:val="00FE5D58"/>
    <w:rsid w:val="00FE6CD1"/>
    <w:rsid w:val="00FF1BC7"/>
    <w:rsid w:val="00FF4FB3"/>
    <w:rsid w:val="00FF743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D5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9"/>
    <w:qFormat/>
    <w:pPr>
      <w:spacing w:before="1"/>
      <w:ind w:left="105"/>
      <w:outlineLvl w:val="0"/>
    </w:pPr>
    <w:rPr>
      <w:b/>
      <w:bCs/>
    </w:rPr>
  </w:style>
  <w:style w:type="paragraph" w:styleId="2">
    <w:name w:val="heading 2"/>
    <w:basedOn w:val="a"/>
    <w:link w:val="2Char"/>
    <w:uiPriority w:val="9"/>
    <w:unhideWhenUsed/>
    <w:qFormat/>
    <w:pPr>
      <w:ind w:left="216"/>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style>
  <w:style w:type="paragraph" w:styleId="a4">
    <w:name w:val="List Paragraph"/>
    <w:basedOn w:val="a"/>
    <w:uiPriority w:val="34"/>
    <w:qFormat/>
    <w:pPr>
      <w:ind w:left="782" w:hanging="567"/>
    </w:pPr>
  </w:style>
  <w:style w:type="paragraph" w:customStyle="1" w:styleId="TableParagraph">
    <w:name w:val="Table Paragraph"/>
    <w:basedOn w:val="a"/>
    <w:uiPriority w:val="1"/>
    <w:qFormat/>
  </w:style>
  <w:style w:type="paragraph" w:customStyle="1" w:styleId="TitleA">
    <w:name w:val="Title A"/>
    <w:basedOn w:val="a"/>
    <w:qFormat/>
    <w:rsid w:val="00DA7718"/>
    <w:pPr>
      <w:adjustRightInd w:val="0"/>
      <w:snapToGrid w:val="0"/>
      <w:jc w:val="center"/>
    </w:pPr>
    <w:rPr>
      <w:b/>
    </w:rPr>
  </w:style>
  <w:style w:type="paragraph" w:customStyle="1" w:styleId="TitleB">
    <w:name w:val="Title B"/>
    <w:basedOn w:val="a"/>
    <w:qFormat/>
    <w:rsid w:val="00DA0222"/>
    <w:pPr>
      <w:adjustRightInd w:val="0"/>
      <w:snapToGrid w:val="0"/>
      <w:ind w:left="567" w:hanging="567"/>
    </w:pPr>
    <w:rPr>
      <w:b/>
      <w:lang w:val="fr-FR"/>
    </w:rPr>
  </w:style>
  <w:style w:type="paragraph" w:styleId="a5">
    <w:name w:val="header"/>
    <w:basedOn w:val="a"/>
    <w:link w:val="Char0"/>
    <w:uiPriority w:val="99"/>
    <w:unhideWhenUsed/>
    <w:rsid w:val="00EB165C"/>
    <w:pPr>
      <w:tabs>
        <w:tab w:val="center" w:pos="4680"/>
        <w:tab w:val="right" w:pos="9360"/>
      </w:tabs>
    </w:pPr>
  </w:style>
  <w:style w:type="character" w:customStyle="1" w:styleId="Char0">
    <w:name w:val="머리글 Char"/>
    <w:link w:val="a5"/>
    <w:uiPriority w:val="99"/>
    <w:rsid w:val="00EB165C"/>
    <w:rPr>
      <w:rFonts w:ascii="Times New Roman" w:eastAsia="Times New Roman" w:hAnsi="Times New Roman" w:cs="Times New Roman"/>
      <w:sz w:val="22"/>
      <w:szCs w:val="22"/>
      <w:lang w:eastAsia="en-US" w:bidi="ar-SA"/>
    </w:rPr>
  </w:style>
  <w:style w:type="paragraph" w:styleId="a6">
    <w:name w:val="footer"/>
    <w:basedOn w:val="a"/>
    <w:link w:val="Char1"/>
    <w:uiPriority w:val="99"/>
    <w:unhideWhenUsed/>
    <w:rsid w:val="00EB165C"/>
    <w:pPr>
      <w:tabs>
        <w:tab w:val="center" w:pos="4680"/>
        <w:tab w:val="right" w:pos="9360"/>
      </w:tabs>
    </w:pPr>
  </w:style>
  <w:style w:type="character" w:customStyle="1" w:styleId="Char1">
    <w:name w:val="바닥글 Char"/>
    <w:link w:val="a6"/>
    <w:uiPriority w:val="99"/>
    <w:rsid w:val="00EB165C"/>
    <w:rPr>
      <w:rFonts w:ascii="Times New Roman" w:eastAsia="Times New Roman" w:hAnsi="Times New Roman" w:cs="Times New Roman"/>
      <w:sz w:val="22"/>
      <w:szCs w:val="22"/>
      <w:lang w:eastAsia="en-US" w:bidi="ar-SA"/>
    </w:rPr>
  </w:style>
  <w:style w:type="character" w:styleId="a7">
    <w:name w:val="annotation reference"/>
    <w:uiPriority w:val="99"/>
    <w:unhideWhenUsed/>
    <w:rsid w:val="00710110"/>
    <w:rPr>
      <w:sz w:val="16"/>
      <w:szCs w:val="16"/>
    </w:rPr>
  </w:style>
  <w:style w:type="paragraph" w:styleId="a8">
    <w:name w:val="annotation text"/>
    <w:aliases w:val=" Char1,Char1,Char2"/>
    <w:basedOn w:val="a"/>
    <w:link w:val="Char2"/>
    <w:unhideWhenUsed/>
    <w:rsid w:val="00710110"/>
    <w:rPr>
      <w:sz w:val="20"/>
      <w:szCs w:val="20"/>
    </w:rPr>
  </w:style>
  <w:style w:type="character" w:customStyle="1" w:styleId="Char2">
    <w:name w:val="메모 텍스트 Char"/>
    <w:aliases w:val=" Char1 Char,Char1 Char,Char2 Char"/>
    <w:link w:val="a8"/>
    <w:rsid w:val="00710110"/>
    <w:rPr>
      <w:rFonts w:ascii="Times New Roman" w:eastAsia="Times New Roman" w:hAnsi="Times New Roman" w:cs="Times New Roman"/>
      <w:lang w:eastAsia="en-US" w:bidi="ar-SA"/>
    </w:rPr>
  </w:style>
  <w:style w:type="paragraph" w:styleId="a9">
    <w:name w:val="annotation subject"/>
    <w:basedOn w:val="a8"/>
    <w:next w:val="a8"/>
    <w:link w:val="Char3"/>
    <w:uiPriority w:val="99"/>
    <w:semiHidden/>
    <w:unhideWhenUsed/>
    <w:rsid w:val="00710110"/>
    <w:rPr>
      <w:b/>
      <w:bCs/>
    </w:rPr>
  </w:style>
  <w:style w:type="character" w:customStyle="1" w:styleId="Char3">
    <w:name w:val="메모 주제 Char"/>
    <w:link w:val="a9"/>
    <w:uiPriority w:val="99"/>
    <w:semiHidden/>
    <w:rsid w:val="00710110"/>
    <w:rPr>
      <w:rFonts w:ascii="Times New Roman" w:eastAsia="Times New Roman" w:hAnsi="Times New Roman" w:cs="Times New Roman"/>
      <w:b/>
      <w:bCs/>
      <w:lang w:eastAsia="en-US" w:bidi="ar-SA"/>
    </w:rPr>
  </w:style>
  <w:style w:type="paragraph" w:styleId="aa">
    <w:name w:val="Revision"/>
    <w:hidden/>
    <w:uiPriority w:val="99"/>
    <w:semiHidden/>
    <w:rsid w:val="00B40553"/>
    <w:rPr>
      <w:rFonts w:ascii="Times New Roman" w:eastAsia="Times New Roman" w:hAnsi="Times New Roman" w:cs="Times New Roman"/>
      <w:sz w:val="22"/>
      <w:szCs w:val="22"/>
      <w:lang w:eastAsia="en-US"/>
    </w:rPr>
  </w:style>
  <w:style w:type="character" w:customStyle="1" w:styleId="Char">
    <w:name w:val="본문 Char"/>
    <w:link w:val="a3"/>
    <w:uiPriority w:val="1"/>
    <w:rsid w:val="00211594"/>
    <w:rPr>
      <w:rFonts w:ascii="Times New Roman" w:eastAsia="Times New Roman" w:hAnsi="Times New Roman" w:cs="Times New Roman"/>
      <w:sz w:val="22"/>
      <w:szCs w:val="22"/>
    </w:rPr>
  </w:style>
  <w:style w:type="character" w:customStyle="1" w:styleId="2Char">
    <w:name w:val="제목 2 Char"/>
    <w:link w:val="2"/>
    <w:uiPriority w:val="9"/>
    <w:rsid w:val="00184315"/>
    <w:rPr>
      <w:rFonts w:ascii="Times New Roman" w:eastAsia="Times New Roman" w:hAnsi="Times New Roman" w:cs="Times New Roman"/>
      <w:b/>
      <w:bCs/>
      <w:sz w:val="22"/>
      <w:szCs w:val="22"/>
    </w:rPr>
  </w:style>
  <w:style w:type="paragraph" w:styleId="ab">
    <w:name w:val="Balloon Text"/>
    <w:basedOn w:val="a"/>
    <w:link w:val="Char4"/>
    <w:uiPriority w:val="99"/>
    <w:semiHidden/>
    <w:unhideWhenUsed/>
    <w:rsid w:val="00C808FD"/>
    <w:rPr>
      <w:rFonts w:ascii="Tahoma" w:hAnsi="Tahoma" w:cs="Tahoma"/>
      <w:sz w:val="16"/>
      <w:szCs w:val="16"/>
    </w:rPr>
  </w:style>
  <w:style w:type="character" w:customStyle="1" w:styleId="Char4">
    <w:name w:val="풍선 도움말 텍스트 Char"/>
    <w:link w:val="ab"/>
    <w:uiPriority w:val="99"/>
    <w:semiHidden/>
    <w:rsid w:val="00C808FD"/>
    <w:rPr>
      <w:rFonts w:ascii="Tahoma" w:eastAsia="Times New Roman" w:hAnsi="Tahoma" w:cs="Tahoma"/>
      <w:sz w:val="16"/>
      <w:szCs w:val="16"/>
    </w:rPr>
  </w:style>
  <w:style w:type="paragraph" w:customStyle="1" w:styleId="Default">
    <w:name w:val="Default"/>
    <w:rsid w:val="00037E3D"/>
    <w:pPr>
      <w:autoSpaceDE w:val="0"/>
      <w:autoSpaceDN w:val="0"/>
      <w:adjustRightInd w:val="0"/>
    </w:pPr>
    <w:rPr>
      <w:rFonts w:ascii="Times New Roman" w:eastAsia="SimSun" w:hAnsi="Times New Roman" w:cs="Times New Roman"/>
      <w:color w:val="000000"/>
      <w:sz w:val="24"/>
      <w:szCs w:val="24"/>
      <w:lang w:eastAsia="zh-CN"/>
    </w:rPr>
  </w:style>
  <w:style w:type="character" w:styleId="ac">
    <w:name w:val="Hyperlink"/>
    <w:basedOn w:val="a0"/>
    <w:uiPriority w:val="99"/>
    <w:unhideWhenUsed/>
    <w:rsid w:val="000D0141"/>
    <w:rPr>
      <w:color w:val="0000FF" w:themeColor="hyperlink"/>
      <w:u w:val="single"/>
    </w:rPr>
  </w:style>
  <w:style w:type="character" w:styleId="ad">
    <w:name w:val="Unresolved Mention"/>
    <w:basedOn w:val="a0"/>
    <w:uiPriority w:val="99"/>
    <w:semiHidden/>
    <w:unhideWhenUsed/>
    <w:rsid w:val="000D0141"/>
    <w:rPr>
      <w:color w:val="605E5C"/>
      <w:shd w:val="clear" w:color="auto" w:fill="E1DFDD"/>
    </w:rPr>
  </w:style>
  <w:style w:type="paragraph" w:customStyle="1" w:styleId="paragraph">
    <w:name w:val="paragraph"/>
    <w:basedOn w:val="a"/>
    <w:rsid w:val="001F7341"/>
    <w:pPr>
      <w:widowControl/>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1F7341"/>
  </w:style>
  <w:style w:type="character" w:customStyle="1" w:styleId="eop">
    <w:name w:val="eop"/>
    <w:basedOn w:val="a0"/>
    <w:rsid w:val="001F7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089">
      <w:bodyDiv w:val="1"/>
      <w:marLeft w:val="0"/>
      <w:marRight w:val="0"/>
      <w:marTop w:val="0"/>
      <w:marBottom w:val="0"/>
      <w:divBdr>
        <w:top w:val="none" w:sz="0" w:space="0" w:color="auto"/>
        <w:left w:val="none" w:sz="0" w:space="0" w:color="auto"/>
        <w:bottom w:val="none" w:sz="0" w:space="0" w:color="auto"/>
        <w:right w:val="none" w:sz="0" w:space="0" w:color="auto"/>
      </w:divBdr>
    </w:div>
    <w:div w:id="816386378">
      <w:bodyDiv w:val="1"/>
      <w:marLeft w:val="0"/>
      <w:marRight w:val="0"/>
      <w:marTop w:val="0"/>
      <w:marBottom w:val="0"/>
      <w:divBdr>
        <w:top w:val="none" w:sz="0" w:space="0" w:color="auto"/>
        <w:left w:val="none" w:sz="0" w:space="0" w:color="auto"/>
        <w:bottom w:val="none" w:sz="0" w:space="0" w:color="auto"/>
        <w:right w:val="none" w:sz="0" w:space="0" w:color="auto"/>
      </w:divBdr>
    </w:div>
    <w:div w:id="1829201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appendix-v-adverse-drug-reaction-reporting-details_en.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documents/template-form/appendix-v-adverse-drug-reaction-reporting-details_en.doc"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EMADOC-1700519818-2424326</_dlc_DocId>
    <_dlc_DocIdUrl xmlns="a034c160-bfb7-45f5-8632-2eb7e0508071">
      <Url>https://euema.sharepoint.com/sites/CRM/_layouts/15/DocIdRedir.aspx?ID=EMADOC-1700519818-2424326</Url>
      <Description>EMADOC-1700519818-2424326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EE38EF-33B6-4C07-903D-3932FE3AD18A}">
  <ds:schemaRefs>
    <ds:schemaRef ds:uri="http://schemas.openxmlformats.org/officeDocument/2006/bibliography"/>
  </ds:schemaRefs>
</ds:datastoreItem>
</file>

<file path=customXml/itemProps2.xml><?xml version="1.0" encoding="utf-8"?>
<ds:datastoreItem xmlns:ds="http://schemas.openxmlformats.org/officeDocument/2006/customXml" ds:itemID="{98DBE33A-C033-4365-BB14-91EA58DD50A6}">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3.xml><?xml version="1.0" encoding="utf-8"?>
<ds:datastoreItem xmlns:ds="http://schemas.openxmlformats.org/officeDocument/2006/customXml" ds:itemID="{0A83E738-46F9-4ED6-B7DC-CCC6DF244946}"/>
</file>

<file path=customXml/itemProps4.xml><?xml version="1.0" encoding="utf-8"?>
<ds:datastoreItem xmlns:ds="http://schemas.openxmlformats.org/officeDocument/2006/customXml" ds:itemID="{A8157007-416D-4227-8E46-E42F83C4A7A4}">
  <ds:schemaRefs>
    <ds:schemaRef ds:uri="http://schemas.microsoft.com/sharepoint/v3/contenttype/forms"/>
  </ds:schemaRefs>
</ds:datastoreItem>
</file>

<file path=customXml/itemProps5.xml><?xml version="1.0" encoding="utf-8"?>
<ds:datastoreItem xmlns:ds="http://schemas.openxmlformats.org/officeDocument/2006/customXml" ds:itemID="{82C41681-480F-4C07-AF4B-31D5C62B54AC}"/>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79</Pages>
  <Words>31412</Words>
  <Characters>179049</Characters>
  <Application>Microsoft Office Word</Application>
  <DocSecurity>0</DocSecurity>
  <Lines>1492</Lines>
  <Paragraphs>420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210041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2024-06-21T03:23:00Z</dcterms:created>
  <dcterms:modified xsi:type="dcterms:W3CDTF">2025-07-04T02:41:00Z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86f08a77-309b-478b-89d7-2db064764a50</vt:lpwstr>
  </property>
</Properties>
</file>