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50E78" w14:paraId="3315C12E" w14:textId="77777777">
        <w:tc>
          <w:tcPr>
            <w:tcW w:w="9287" w:type="dxa"/>
          </w:tcPr>
          <w:p w14:paraId="69E94422" w14:textId="2C262F0D" w:rsidR="005004AE" w:rsidRPr="00220238" w:rsidRDefault="005004AE" w:rsidP="005004AE">
            <w:r w:rsidRPr="00220238">
              <w:t xml:space="preserve">Ce document constitue les informations sur le produit approuvées pour </w:t>
            </w:r>
            <w:r>
              <w:t>Wezenla</w:t>
            </w:r>
            <w:r w:rsidRPr="00220238">
              <w:t>, les modifications apportées depuis la procédure précédente qui ont une incidence sur les informations sur le produit (</w:t>
            </w:r>
            <w:r w:rsidR="0056554F">
              <w:t>EMA/VR/0000332249</w:t>
            </w:r>
            <w:r w:rsidRPr="00220238">
              <w:t>) étant mises en évidence.</w:t>
            </w:r>
          </w:p>
          <w:p w14:paraId="34E7B327" w14:textId="77777777" w:rsidR="005004AE" w:rsidRPr="00220238" w:rsidRDefault="005004AE" w:rsidP="005004AE"/>
          <w:p w14:paraId="6473371A" w14:textId="6C575CB8" w:rsidR="00B50E78" w:rsidRDefault="005004AE" w:rsidP="005004AE">
            <w:pPr>
              <w:widowControl/>
            </w:pPr>
            <w:r w:rsidRPr="00220238">
              <w:t xml:space="preserve">Pour plus d’informations, voir le site web de l’Agence européenne des médicaments: </w:t>
            </w:r>
            <w:hyperlink r:id="rId8" w:history="1">
              <w:r w:rsidRPr="00AB7B6E">
                <w:rPr>
                  <w:rStyle w:val="Hyperlink"/>
                </w:rPr>
                <w:t>https://www.ema.europa.eu/en/medicines/human/EPAR/wezenla</w:t>
              </w:r>
            </w:hyperlink>
          </w:p>
        </w:tc>
      </w:tr>
    </w:tbl>
    <w:p w14:paraId="156E236E" w14:textId="77777777" w:rsidR="00B41E23" w:rsidRPr="002B65F7" w:rsidRDefault="00B41E23" w:rsidP="00496255">
      <w:pPr>
        <w:widowControl/>
        <w:jc w:val="center"/>
      </w:pPr>
    </w:p>
    <w:p w14:paraId="5A491129" w14:textId="77777777" w:rsidR="00B41E23" w:rsidRPr="002B65F7" w:rsidRDefault="00B41E23" w:rsidP="00496255">
      <w:pPr>
        <w:widowControl/>
        <w:jc w:val="center"/>
      </w:pPr>
    </w:p>
    <w:p w14:paraId="56A04A2B" w14:textId="77777777" w:rsidR="00B41E23" w:rsidRPr="002B65F7" w:rsidRDefault="00B41E23" w:rsidP="00496255">
      <w:pPr>
        <w:widowControl/>
        <w:jc w:val="center"/>
      </w:pPr>
    </w:p>
    <w:p w14:paraId="1DC4ECD6" w14:textId="77777777" w:rsidR="00B41E23" w:rsidRPr="002B65F7" w:rsidRDefault="00B41E23" w:rsidP="00496255">
      <w:pPr>
        <w:widowControl/>
        <w:jc w:val="center"/>
      </w:pPr>
    </w:p>
    <w:p w14:paraId="46553014" w14:textId="77777777" w:rsidR="00B41E23" w:rsidRPr="002B65F7" w:rsidRDefault="00B41E23" w:rsidP="00496255">
      <w:pPr>
        <w:widowControl/>
        <w:jc w:val="center"/>
      </w:pPr>
    </w:p>
    <w:p w14:paraId="0522A917" w14:textId="77777777" w:rsidR="00B41E23" w:rsidRPr="002B65F7" w:rsidRDefault="00B41E23" w:rsidP="00496255">
      <w:pPr>
        <w:widowControl/>
        <w:jc w:val="center"/>
      </w:pPr>
    </w:p>
    <w:p w14:paraId="579A5D22" w14:textId="77777777" w:rsidR="00B41E23" w:rsidRPr="002B65F7" w:rsidRDefault="00B41E23" w:rsidP="00496255">
      <w:pPr>
        <w:widowControl/>
        <w:jc w:val="center"/>
      </w:pPr>
    </w:p>
    <w:p w14:paraId="3A7DB477" w14:textId="77777777" w:rsidR="00B41E23" w:rsidRPr="002B65F7" w:rsidRDefault="00B41E23" w:rsidP="00496255">
      <w:pPr>
        <w:widowControl/>
        <w:jc w:val="center"/>
      </w:pPr>
    </w:p>
    <w:p w14:paraId="7812287F" w14:textId="77777777" w:rsidR="00B41E23" w:rsidRPr="002B65F7" w:rsidRDefault="00B41E23" w:rsidP="00496255">
      <w:pPr>
        <w:widowControl/>
        <w:jc w:val="center"/>
      </w:pPr>
    </w:p>
    <w:p w14:paraId="149D49B4" w14:textId="77777777" w:rsidR="00B41E23" w:rsidRPr="002B65F7" w:rsidRDefault="00B41E23" w:rsidP="00496255">
      <w:pPr>
        <w:widowControl/>
        <w:jc w:val="center"/>
      </w:pPr>
    </w:p>
    <w:p w14:paraId="0B943050" w14:textId="77777777" w:rsidR="00B41E23" w:rsidRPr="002B65F7" w:rsidRDefault="00B41E23" w:rsidP="00496255">
      <w:pPr>
        <w:widowControl/>
        <w:jc w:val="center"/>
      </w:pPr>
    </w:p>
    <w:p w14:paraId="2F61B43E" w14:textId="77777777" w:rsidR="00B41E23" w:rsidRPr="002B65F7" w:rsidRDefault="00B41E23" w:rsidP="00496255">
      <w:pPr>
        <w:widowControl/>
        <w:jc w:val="center"/>
      </w:pPr>
    </w:p>
    <w:p w14:paraId="7D469AB3" w14:textId="77777777" w:rsidR="00B41E23" w:rsidRPr="002B65F7" w:rsidRDefault="00B41E23" w:rsidP="00496255">
      <w:pPr>
        <w:widowControl/>
        <w:jc w:val="center"/>
      </w:pPr>
    </w:p>
    <w:p w14:paraId="036C4536" w14:textId="77777777" w:rsidR="00B41E23" w:rsidRPr="002B65F7" w:rsidRDefault="00B41E23" w:rsidP="00496255">
      <w:pPr>
        <w:widowControl/>
        <w:jc w:val="center"/>
      </w:pPr>
    </w:p>
    <w:p w14:paraId="275F0CC0" w14:textId="77777777" w:rsidR="00B41E23" w:rsidRPr="002B65F7" w:rsidRDefault="00B41E23" w:rsidP="00496255">
      <w:pPr>
        <w:widowControl/>
        <w:jc w:val="center"/>
      </w:pPr>
    </w:p>
    <w:p w14:paraId="231D11B7" w14:textId="77777777" w:rsidR="00B41E23" w:rsidRPr="002B65F7" w:rsidRDefault="00B41E23" w:rsidP="00496255">
      <w:pPr>
        <w:widowControl/>
        <w:jc w:val="center"/>
      </w:pPr>
    </w:p>
    <w:p w14:paraId="521B66FB" w14:textId="77777777" w:rsidR="00B41E23" w:rsidRPr="002B65F7" w:rsidRDefault="00B41E23" w:rsidP="00496255">
      <w:pPr>
        <w:widowControl/>
        <w:jc w:val="center"/>
      </w:pPr>
    </w:p>
    <w:p w14:paraId="03B57C74" w14:textId="77777777" w:rsidR="00092F83" w:rsidRPr="002B65F7" w:rsidRDefault="00C31740" w:rsidP="00496255">
      <w:pPr>
        <w:widowControl/>
        <w:jc w:val="center"/>
        <w:rPr>
          <w:b/>
          <w:bCs/>
        </w:rPr>
      </w:pPr>
      <w:r w:rsidRPr="002B65F7">
        <w:rPr>
          <w:b/>
          <w:bCs/>
        </w:rPr>
        <w:t>ANNEXE I</w:t>
      </w:r>
    </w:p>
    <w:p w14:paraId="03B57C75" w14:textId="77777777" w:rsidR="00092F83" w:rsidRPr="002B65F7" w:rsidRDefault="00092F83" w:rsidP="00496255">
      <w:pPr>
        <w:widowControl/>
        <w:jc w:val="center"/>
        <w:rPr>
          <w:b/>
          <w:bCs/>
        </w:rPr>
      </w:pPr>
    </w:p>
    <w:p w14:paraId="69D64B1A" w14:textId="77777777" w:rsidR="00DE702E" w:rsidRPr="002B65F7" w:rsidRDefault="00C31740" w:rsidP="00496255">
      <w:pPr>
        <w:pStyle w:val="TitleA"/>
        <w:widowControl/>
      </w:pPr>
      <w:bookmarkStart w:id="0" w:name="RÉSUMÉ_DES_CARACTÉRISTIQUES_DU_PRODUIT"/>
      <w:bookmarkEnd w:id="0"/>
      <w:r w:rsidRPr="002B65F7">
        <w:t>RÉSUMÉ DES CARACTÉRISTIQUES DU PRODUIT</w:t>
      </w:r>
    </w:p>
    <w:p w14:paraId="67799C90" w14:textId="430C120A" w:rsidR="00C7275B" w:rsidRPr="002B65F7" w:rsidRDefault="0048216E" w:rsidP="000238BD">
      <w:pPr>
        <w:pStyle w:val="ListParagraph"/>
        <w:ind w:left="0" w:firstLine="0"/>
        <w:rPr>
          <w:b/>
          <w:bCs/>
        </w:rPr>
      </w:pPr>
      <w:r w:rsidRPr="002B65F7">
        <w:br w:type="page"/>
      </w:r>
      <w:r w:rsidR="00A2167E">
        <w:rPr>
          <w:noProof/>
          <w:lang w:val="en-US" w:eastAsia="zh-CN"/>
        </w:rPr>
        <w:lastRenderedPageBreak/>
        <w:drawing>
          <wp:inline distT="0" distB="0" distL="0" distR="0" wp14:anchorId="7A8F0D61" wp14:editId="112E94B8">
            <wp:extent cx="187960" cy="187960"/>
            <wp:effectExtent l="0" t="0" r="0" b="0"/>
            <wp:docPr id="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sidR="00C7275B" w:rsidRPr="002B65F7">
        <w:t>Ce médicament fait l’objet d’une surveillance supplémentaire</w:t>
      </w:r>
      <w:r w:rsidR="00246ABB" w:rsidRPr="002B65F7">
        <w:t xml:space="preserve"> qui</w:t>
      </w:r>
      <w:r w:rsidR="00C7275B" w:rsidRPr="002B65F7">
        <w:t xml:space="preserve"> permettra </w:t>
      </w:r>
      <w:r w:rsidR="00246ABB" w:rsidRPr="002B65F7">
        <w:t>l</w:t>
      </w:r>
      <w:r w:rsidR="00C7275B" w:rsidRPr="002B65F7">
        <w:t>’identifi</w:t>
      </w:r>
      <w:r w:rsidR="00246ABB" w:rsidRPr="002B65F7">
        <w:t xml:space="preserve">cation </w:t>
      </w:r>
      <w:r w:rsidR="00C7275B" w:rsidRPr="002B65F7">
        <w:t xml:space="preserve">rapide de nouvelles informations </w:t>
      </w:r>
      <w:r w:rsidR="00246ABB" w:rsidRPr="002B65F7">
        <w:t>relatives à</w:t>
      </w:r>
      <w:r w:rsidR="00C7275B" w:rsidRPr="002B65F7">
        <w:t xml:space="preserve"> la sécurité. Les professionnels de</w:t>
      </w:r>
      <w:r w:rsidR="00234B02" w:rsidRPr="002B65F7">
        <w:t xml:space="preserve"> la</w:t>
      </w:r>
      <w:r w:rsidR="00C7275B" w:rsidRPr="002B65F7">
        <w:t xml:space="preserve"> santé </w:t>
      </w:r>
      <w:r w:rsidR="00234B02" w:rsidRPr="002B65F7">
        <w:t xml:space="preserve">déclarent </w:t>
      </w:r>
      <w:r w:rsidR="00C7275B" w:rsidRPr="002B65F7">
        <w:t>tout effet indésirable</w:t>
      </w:r>
      <w:r w:rsidR="00234B02" w:rsidRPr="002B65F7">
        <w:t xml:space="preserve"> suspecté</w:t>
      </w:r>
      <w:r w:rsidR="00C7275B" w:rsidRPr="002B65F7">
        <w:t xml:space="preserve">. </w:t>
      </w:r>
      <w:r w:rsidR="00234B02" w:rsidRPr="002B65F7">
        <w:t>Voir</w:t>
      </w:r>
      <w:r w:rsidR="00C7275B" w:rsidRPr="002B65F7">
        <w:t xml:space="preserve"> rubrique</w:t>
      </w:r>
      <w:r w:rsidR="00234B02" w:rsidRPr="002B65F7">
        <w:t> </w:t>
      </w:r>
      <w:r w:rsidR="00C7275B" w:rsidRPr="002B65F7">
        <w:t xml:space="preserve">4.8 pour les </w:t>
      </w:r>
      <w:r w:rsidR="00234B02" w:rsidRPr="002B65F7">
        <w:t xml:space="preserve">modalités de déclaration des </w:t>
      </w:r>
      <w:r w:rsidR="00C7275B" w:rsidRPr="002B65F7">
        <w:t>effets indésirables.</w:t>
      </w:r>
    </w:p>
    <w:p w14:paraId="53C40D62" w14:textId="77777777" w:rsidR="00D04B08" w:rsidRPr="002B65F7" w:rsidRDefault="00D04B08" w:rsidP="00496255">
      <w:pPr>
        <w:widowControl/>
      </w:pPr>
    </w:p>
    <w:p w14:paraId="4A9654D4" w14:textId="77777777" w:rsidR="00C7275B" w:rsidRPr="002B65F7" w:rsidRDefault="00C7275B" w:rsidP="00496255">
      <w:pPr>
        <w:widowControl/>
      </w:pPr>
    </w:p>
    <w:p w14:paraId="03B57C78" w14:textId="5FCE5AE5" w:rsidR="00092F83" w:rsidRPr="002B65F7" w:rsidRDefault="005A3F69" w:rsidP="00496255">
      <w:pPr>
        <w:keepNext/>
        <w:widowControl/>
        <w:tabs>
          <w:tab w:val="left" w:pos="567"/>
        </w:tabs>
        <w:ind w:left="567" w:hanging="567"/>
        <w:rPr>
          <w:b/>
          <w:bCs/>
        </w:rPr>
      </w:pPr>
      <w:r w:rsidRPr="002B65F7">
        <w:rPr>
          <w:b/>
          <w:bCs/>
        </w:rPr>
        <w:t>1.</w:t>
      </w:r>
      <w:r w:rsidRPr="002B65F7">
        <w:rPr>
          <w:b/>
          <w:bCs/>
        </w:rPr>
        <w:tab/>
        <w:t>DÉNOMINATION DU MÉDICAMENT</w:t>
      </w:r>
    </w:p>
    <w:p w14:paraId="03B57C79" w14:textId="77777777" w:rsidR="00092F83" w:rsidRPr="002B65F7" w:rsidRDefault="00092F83" w:rsidP="00496255">
      <w:pPr>
        <w:keepNext/>
        <w:widowControl/>
      </w:pPr>
    </w:p>
    <w:p w14:paraId="03B57C7A" w14:textId="1138E61C" w:rsidR="00092F83" w:rsidRPr="002B65F7" w:rsidRDefault="00C7275B" w:rsidP="00496255">
      <w:pPr>
        <w:widowControl/>
      </w:pPr>
      <w:r w:rsidRPr="002B65F7">
        <w:t>WEZENLA</w:t>
      </w:r>
      <w:r w:rsidR="00C31740" w:rsidRPr="002B65F7">
        <w:t xml:space="preserve"> 130</w:t>
      </w:r>
      <w:r w:rsidR="00690DA3" w:rsidRPr="002B65F7">
        <w:t> </w:t>
      </w:r>
      <w:r w:rsidR="00C31740" w:rsidRPr="002B65F7">
        <w:t>mg solution à diluer pour perfusion</w:t>
      </w:r>
    </w:p>
    <w:p w14:paraId="03B57C7B" w14:textId="77777777" w:rsidR="00092F83" w:rsidRPr="002B65F7" w:rsidRDefault="00092F83" w:rsidP="00496255">
      <w:pPr>
        <w:widowControl/>
      </w:pPr>
    </w:p>
    <w:p w14:paraId="03B57C7C" w14:textId="77777777" w:rsidR="00092F83" w:rsidRPr="002B65F7" w:rsidRDefault="00092F83" w:rsidP="00496255">
      <w:pPr>
        <w:widowControl/>
      </w:pPr>
    </w:p>
    <w:p w14:paraId="03B57C7D" w14:textId="7AB03A10" w:rsidR="00092F83" w:rsidRPr="002B65F7" w:rsidRDefault="007F719B" w:rsidP="00496255">
      <w:pPr>
        <w:keepNext/>
        <w:widowControl/>
        <w:tabs>
          <w:tab w:val="left" w:pos="567"/>
        </w:tabs>
        <w:ind w:left="567" w:hanging="567"/>
        <w:rPr>
          <w:b/>
          <w:bCs/>
        </w:rPr>
      </w:pPr>
      <w:r w:rsidRPr="002B65F7">
        <w:rPr>
          <w:b/>
          <w:bCs/>
        </w:rPr>
        <w:t>2.</w:t>
      </w:r>
      <w:r w:rsidRPr="002B65F7">
        <w:rPr>
          <w:b/>
          <w:bCs/>
        </w:rPr>
        <w:tab/>
        <w:t>COMPOSITION QUALITATIVE ET QUANTITATIVE</w:t>
      </w:r>
    </w:p>
    <w:p w14:paraId="6A7DEB4A" w14:textId="77777777" w:rsidR="007F719B" w:rsidRPr="002B65F7" w:rsidRDefault="007F719B" w:rsidP="00496255">
      <w:pPr>
        <w:keepNext/>
        <w:widowControl/>
      </w:pPr>
    </w:p>
    <w:p w14:paraId="03B57C7E" w14:textId="167E4BB8" w:rsidR="00092F83" w:rsidRPr="002B65F7" w:rsidRDefault="00C31740" w:rsidP="00496255">
      <w:pPr>
        <w:widowControl/>
      </w:pPr>
      <w:r w:rsidRPr="002B65F7">
        <w:t>Chaque flacon contient 130</w:t>
      </w:r>
      <w:r w:rsidR="00690DA3" w:rsidRPr="002B65F7">
        <w:t> </w:t>
      </w:r>
      <w:r w:rsidRPr="002B65F7">
        <w:t>mg d’</w:t>
      </w:r>
      <w:r w:rsidR="0071390F" w:rsidRPr="002B65F7">
        <w:t>ustekinumab</w:t>
      </w:r>
      <w:r w:rsidRPr="002B65F7">
        <w:t xml:space="preserve"> dans 26</w:t>
      </w:r>
      <w:r w:rsidR="00690DA3" w:rsidRPr="002B65F7">
        <w:t> </w:t>
      </w:r>
      <w:r w:rsidRPr="002B65F7">
        <w:t>mL (5</w:t>
      </w:r>
      <w:r w:rsidR="00690DA3" w:rsidRPr="002B65F7">
        <w:t> </w:t>
      </w:r>
      <w:r w:rsidRPr="002B65F7">
        <w:t>mg/mL).</w:t>
      </w:r>
    </w:p>
    <w:p w14:paraId="03B57C7F" w14:textId="77777777" w:rsidR="00092F83" w:rsidRPr="002B65F7" w:rsidRDefault="00092F83" w:rsidP="00496255">
      <w:pPr>
        <w:widowControl/>
      </w:pPr>
    </w:p>
    <w:p w14:paraId="03B57C80" w14:textId="1969BD93" w:rsidR="00092F83" w:rsidRPr="002B65F7" w:rsidRDefault="00C31740" w:rsidP="00496255">
      <w:pPr>
        <w:widowControl/>
      </w:pPr>
      <w:r w:rsidRPr="002B65F7">
        <w:t>L’</w:t>
      </w:r>
      <w:r w:rsidR="0071390F" w:rsidRPr="002B65F7">
        <w:t>ustekinumab</w:t>
      </w:r>
      <w:r w:rsidRPr="002B65F7">
        <w:t xml:space="preserve"> est un anticorps monoclonal IgG1κ anti</w:t>
      </w:r>
      <w:r w:rsidR="007246B2" w:rsidRPr="002B65F7">
        <w:t>-</w:t>
      </w:r>
      <w:r w:rsidRPr="002B65F7">
        <w:t xml:space="preserve">interleukine (IL)-12/23 entièrement humain produit par une lignée cellulaire </w:t>
      </w:r>
      <w:r w:rsidR="00C7275B" w:rsidRPr="002B65F7">
        <w:t>d’ovaire de hamster chinois</w:t>
      </w:r>
      <w:r w:rsidRPr="002B65F7">
        <w:t xml:space="preserve"> en utilisant une technique d’ADN recombinant.</w:t>
      </w:r>
    </w:p>
    <w:p w14:paraId="36444B8A" w14:textId="77777777" w:rsidR="007F719B" w:rsidRDefault="007F719B" w:rsidP="00496255">
      <w:pPr>
        <w:widowControl/>
      </w:pPr>
    </w:p>
    <w:p w14:paraId="43AA6450" w14:textId="17795FD5" w:rsidR="009F23E8" w:rsidRPr="003743BD" w:rsidRDefault="009F23E8" w:rsidP="00496255">
      <w:pPr>
        <w:widowControl/>
        <w:rPr>
          <w:u w:val="single"/>
        </w:rPr>
      </w:pPr>
      <w:r w:rsidRPr="003743BD">
        <w:rPr>
          <w:u w:val="single"/>
        </w:rPr>
        <w:t>Excipient à effet notoire</w:t>
      </w:r>
    </w:p>
    <w:p w14:paraId="6ABD5441" w14:textId="77777777" w:rsidR="009F23E8" w:rsidRDefault="009F23E8" w:rsidP="00496255">
      <w:pPr>
        <w:widowControl/>
      </w:pPr>
    </w:p>
    <w:p w14:paraId="534AC87F" w14:textId="1B70579D" w:rsidR="009F23E8" w:rsidRDefault="009F23E8" w:rsidP="00496255">
      <w:pPr>
        <w:widowControl/>
      </w:pPr>
      <w:r>
        <w:t>Ce médicament contient 10,4 mg de polysorbate 80 (E 433) dans chaque dose.</w:t>
      </w:r>
    </w:p>
    <w:p w14:paraId="5BEF7516" w14:textId="77777777" w:rsidR="009F23E8" w:rsidRPr="002B65F7" w:rsidRDefault="009F23E8" w:rsidP="00496255">
      <w:pPr>
        <w:widowControl/>
      </w:pPr>
    </w:p>
    <w:p w14:paraId="03B57C81" w14:textId="0870E292" w:rsidR="00092F83" w:rsidRPr="002B65F7" w:rsidRDefault="00C31740" w:rsidP="00496255">
      <w:pPr>
        <w:widowControl/>
      </w:pPr>
      <w:r w:rsidRPr="002B65F7">
        <w:t>Pour la liste complète des excipients, voir rubrique</w:t>
      </w:r>
      <w:r w:rsidR="00690DA3" w:rsidRPr="002B65F7">
        <w:t> </w:t>
      </w:r>
      <w:r w:rsidRPr="002B65F7">
        <w:t>6.1.</w:t>
      </w:r>
    </w:p>
    <w:p w14:paraId="03B57C82" w14:textId="77777777" w:rsidR="00092F83" w:rsidRPr="002B65F7" w:rsidRDefault="00092F83" w:rsidP="00496255">
      <w:pPr>
        <w:widowControl/>
      </w:pPr>
    </w:p>
    <w:p w14:paraId="03B57C83" w14:textId="77777777" w:rsidR="00092F83" w:rsidRPr="002B65F7" w:rsidRDefault="00092F83" w:rsidP="00496255">
      <w:pPr>
        <w:widowControl/>
      </w:pPr>
    </w:p>
    <w:p w14:paraId="03B57C84" w14:textId="2171AD0A" w:rsidR="00092F83" w:rsidRPr="002B65F7" w:rsidRDefault="00690DA3" w:rsidP="00496255">
      <w:pPr>
        <w:keepNext/>
        <w:widowControl/>
        <w:tabs>
          <w:tab w:val="left" w:pos="567"/>
        </w:tabs>
        <w:ind w:left="567" w:hanging="567"/>
        <w:rPr>
          <w:b/>
          <w:bCs/>
        </w:rPr>
      </w:pPr>
      <w:r w:rsidRPr="002B65F7">
        <w:rPr>
          <w:b/>
          <w:bCs/>
        </w:rPr>
        <w:t>3.</w:t>
      </w:r>
      <w:r w:rsidRPr="002B65F7">
        <w:rPr>
          <w:b/>
          <w:bCs/>
        </w:rPr>
        <w:tab/>
        <w:t>FORME PHARMACEUTIQUE</w:t>
      </w:r>
    </w:p>
    <w:p w14:paraId="4D12FC5A" w14:textId="77777777" w:rsidR="00690DA3" w:rsidRPr="002B65F7" w:rsidRDefault="00690DA3" w:rsidP="00496255">
      <w:pPr>
        <w:keepNext/>
        <w:widowControl/>
      </w:pPr>
    </w:p>
    <w:p w14:paraId="03B57C85" w14:textId="21080E22" w:rsidR="00092F83" w:rsidRPr="002B65F7" w:rsidRDefault="00C31740" w:rsidP="00496255">
      <w:pPr>
        <w:widowControl/>
      </w:pPr>
      <w:r w:rsidRPr="002B65F7">
        <w:t>Solution à diluer pour perfusion.</w:t>
      </w:r>
    </w:p>
    <w:p w14:paraId="03B57C86" w14:textId="77777777" w:rsidR="00092F83" w:rsidRPr="002B65F7" w:rsidRDefault="00092F83" w:rsidP="00496255">
      <w:pPr>
        <w:widowControl/>
      </w:pPr>
    </w:p>
    <w:p w14:paraId="03B57C87" w14:textId="6F719606" w:rsidR="00092F83" w:rsidRPr="002B65F7" w:rsidRDefault="00C31740" w:rsidP="00496255">
      <w:pPr>
        <w:widowControl/>
      </w:pPr>
      <w:r w:rsidRPr="002B65F7">
        <w:t>La solution est limpide</w:t>
      </w:r>
      <w:r w:rsidR="00C7275B" w:rsidRPr="002B65F7">
        <w:t xml:space="preserve"> à opalescente</w:t>
      </w:r>
      <w:r w:rsidRPr="002B65F7">
        <w:t>, incolore à jaune clair.</w:t>
      </w:r>
      <w:r w:rsidR="00146587">
        <w:t xml:space="preserve"> La solution a un pH d’approximativement 6,0 et une osmolalité d’environ 280 mOsm/kg.</w:t>
      </w:r>
    </w:p>
    <w:p w14:paraId="03B57C88" w14:textId="77777777" w:rsidR="00092F83" w:rsidRDefault="00092F83" w:rsidP="00496255">
      <w:pPr>
        <w:widowControl/>
      </w:pPr>
    </w:p>
    <w:p w14:paraId="68C4FEEC" w14:textId="77777777" w:rsidR="00AC7991" w:rsidRPr="002B65F7" w:rsidRDefault="00AC7991" w:rsidP="00496255">
      <w:pPr>
        <w:widowControl/>
      </w:pPr>
    </w:p>
    <w:p w14:paraId="03B57C89" w14:textId="74D4CBB2" w:rsidR="00092F83" w:rsidRPr="002B65F7" w:rsidRDefault="00690DA3" w:rsidP="00496255">
      <w:pPr>
        <w:keepNext/>
        <w:widowControl/>
        <w:tabs>
          <w:tab w:val="left" w:pos="567"/>
        </w:tabs>
        <w:ind w:left="567" w:hanging="567"/>
        <w:rPr>
          <w:b/>
          <w:bCs/>
        </w:rPr>
      </w:pPr>
      <w:r w:rsidRPr="002B65F7">
        <w:rPr>
          <w:b/>
          <w:bCs/>
        </w:rPr>
        <w:t>4.</w:t>
      </w:r>
      <w:r w:rsidRPr="002B65F7">
        <w:rPr>
          <w:b/>
          <w:bCs/>
        </w:rPr>
        <w:tab/>
        <w:t>INFORMATIONS CLINIQUES</w:t>
      </w:r>
    </w:p>
    <w:p w14:paraId="03B57C8A" w14:textId="77777777" w:rsidR="00092F83" w:rsidRPr="002B65F7" w:rsidRDefault="00092F83" w:rsidP="00496255">
      <w:pPr>
        <w:keepNext/>
        <w:widowControl/>
      </w:pPr>
    </w:p>
    <w:p w14:paraId="03B57C8B" w14:textId="3596CF4F" w:rsidR="00092F83" w:rsidRPr="002B65F7" w:rsidRDefault="00690DA3" w:rsidP="00496255">
      <w:pPr>
        <w:keepNext/>
        <w:widowControl/>
        <w:tabs>
          <w:tab w:val="left" w:pos="567"/>
        </w:tabs>
        <w:ind w:left="567" w:hanging="567"/>
        <w:rPr>
          <w:b/>
          <w:bCs/>
        </w:rPr>
      </w:pPr>
      <w:r w:rsidRPr="002B65F7">
        <w:rPr>
          <w:b/>
          <w:bCs/>
        </w:rPr>
        <w:t>4.1</w:t>
      </w:r>
      <w:r w:rsidRPr="002B65F7">
        <w:rPr>
          <w:b/>
          <w:bCs/>
        </w:rPr>
        <w:tab/>
        <w:t>Indications thérapeutiques</w:t>
      </w:r>
    </w:p>
    <w:p w14:paraId="03B57C8C" w14:textId="77777777" w:rsidR="00092F83" w:rsidRPr="002B65F7" w:rsidRDefault="00092F83" w:rsidP="00496255">
      <w:pPr>
        <w:keepNext/>
        <w:widowControl/>
      </w:pPr>
    </w:p>
    <w:p w14:paraId="03B57C8D" w14:textId="53A6669A" w:rsidR="00092F83" w:rsidRPr="002B65F7" w:rsidRDefault="00C31740" w:rsidP="00496255">
      <w:pPr>
        <w:keepNext/>
        <w:widowControl/>
        <w:rPr>
          <w:u w:val="single"/>
        </w:rPr>
      </w:pPr>
      <w:r w:rsidRPr="002B65F7">
        <w:rPr>
          <w:u w:val="single"/>
        </w:rPr>
        <w:t>Maladie de Crohn</w:t>
      </w:r>
      <w:r w:rsidR="00EA1EC9">
        <w:rPr>
          <w:bCs/>
          <w:noProof/>
          <w:u w:val="single"/>
          <w:lang w:val="fr-BE" w:eastAsia="nl-BE"/>
        </w:rPr>
        <w:t xml:space="preserve"> </w:t>
      </w:r>
      <w:r w:rsidR="00EA1EC9">
        <w:rPr>
          <w:noProof/>
          <w:u w:val="single"/>
          <w:lang w:eastAsia="nl-BE"/>
        </w:rPr>
        <w:t>chez l’adulte</w:t>
      </w:r>
    </w:p>
    <w:p w14:paraId="2D47B7F7" w14:textId="77777777" w:rsidR="00690DA3" w:rsidRPr="002B65F7" w:rsidRDefault="00690DA3" w:rsidP="00496255">
      <w:pPr>
        <w:keepNext/>
        <w:widowControl/>
        <w:rPr>
          <w:u w:val="single"/>
        </w:rPr>
      </w:pPr>
    </w:p>
    <w:p w14:paraId="03B57C8E" w14:textId="4E55E349" w:rsidR="00092F83" w:rsidRPr="002B65F7" w:rsidRDefault="00C7275B" w:rsidP="00496255">
      <w:pPr>
        <w:widowControl/>
      </w:pPr>
      <w:r w:rsidRPr="002B65F7">
        <w:t>WEZENLA</w:t>
      </w:r>
      <w:r w:rsidR="00C31740" w:rsidRPr="002B65F7">
        <w:t xml:space="preserve"> est indiqué dans le traitement de la maladie de Crohn active modérée à sévère chez les patients adultes présentant une réponse insuffisante, une perte de réponse ou une intolérance à un traitement conventionnel ou par anti-TNFα.</w:t>
      </w:r>
    </w:p>
    <w:p w14:paraId="0CE57E31" w14:textId="77777777" w:rsidR="009E149A" w:rsidRDefault="009E149A" w:rsidP="009E149A">
      <w:pPr>
        <w:keepNext/>
        <w:rPr>
          <w:noProof/>
          <w:u w:val="single"/>
          <w:lang w:eastAsia="nl-BE"/>
        </w:rPr>
      </w:pPr>
      <w:bookmarkStart w:id="1" w:name="_Hlk191284218"/>
    </w:p>
    <w:p w14:paraId="6C4FF205" w14:textId="75E5D33B" w:rsidR="009E149A" w:rsidRDefault="009E149A" w:rsidP="009E149A">
      <w:pPr>
        <w:keepNext/>
        <w:rPr>
          <w:noProof/>
          <w:u w:val="single"/>
          <w:lang w:eastAsia="nl-BE"/>
        </w:rPr>
      </w:pPr>
      <w:r>
        <w:rPr>
          <w:noProof/>
          <w:u w:val="single"/>
          <w:lang w:eastAsia="nl-BE"/>
        </w:rPr>
        <w:t>Maladie de Crohn chez l’enfant</w:t>
      </w:r>
    </w:p>
    <w:p w14:paraId="520498C9" w14:textId="77777777" w:rsidR="009E149A" w:rsidRDefault="009E149A" w:rsidP="009E149A">
      <w:pPr>
        <w:keepNext/>
        <w:rPr>
          <w:noProof/>
          <w:u w:val="single"/>
          <w:lang w:eastAsia="nl-BE"/>
        </w:rPr>
      </w:pPr>
    </w:p>
    <w:p w14:paraId="15663150" w14:textId="1EF1231D" w:rsidR="009E149A" w:rsidRDefault="009E149A" w:rsidP="003743BD">
      <w:pPr>
        <w:rPr>
          <w:noProof/>
          <w:lang w:eastAsia="nl-BE"/>
        </w:rPr>
      </w:pPr>
      <w:r>
        <w:rPr>
          <w:noProof/>
          <w:lang w:eastAsia="nl-BE"/>
        </w:rPr>
        <w:t>WEZENLA est indiqué dans le traitement de la maladie de Crohn active modérée à sévère chez les patients pédiatriques pesant au moins 40 kg, présentant une réponse insuffisante ou une intolérance à un traitement conventionnel ou biologique.</w:t>
      </w:r>
    </w:p>
    <w:bookmarkEnd w:id="1"/>
    <w:p w14:paraId="03B57C92" w14:textId="77777777" w:rsidR="00092F83" w:rsidRPr="002B65F7" w:rsidRDefault="00092F83" w:rsidP="00496255">
      <w:pPr>
        <w:widowControl/>
      </w:pPr>
    </w:p>
    <w:p w14:paraId="03B57C93" w14:textId="586AF47C" w:rsidR="00092F83" w:rsidRPr="002B65F7" w:rsidRDefault="00690DA3" w:rsidP="00496255">
      <w:pPr>
        <w:keepNext/>
        <w:widowControl/>
        <w:tabs>
          <w:tab w:val="left" w:pos="567"/>
        </w:tabs>
        <w:ind w:left="567" w:hanging="567"/>
        <w:rPr>
          <w:b/>
          <w:bCs/>
        </w:rPr>
      </w:pPr>
      <w:r w:rsidRPr="002B65F7">
        <w:rPr>
          <w:b/>
          <w:bCs/>
        </w:rPr>
        <w:t>4.2</w:t>
      </w:r>
      <w:r w:rsidRPr="002B65F7">
        <w:rPr>
          <w:b/>
          <w:bCs/>
        </w:rPr>
        <w:tab/>
        <w:t>Posologie et mode d’administration</w:t>
      </w:r>
    </w:p>
    <w:p w14:paraId="03B57C94" w14:textId="77777777" w:rsidR="00092F83" w:rsidRPr="002B65F7" w:rsidRDefault="00092F83" w:rsidP="00496255">
      <w:pPr>
        <w:keepNext/>
        <w:widowControl/>
      </w:pPr>
    </w:p>
    <w:p w14:paraId="03B57C95" w14:textId="6EF7389C" w:rsidR="00092F83" w:rsidRPr="002B65F7" w:rsidRDefault="00C7275B" w:rsidP="00496255">
      <w:pPr>
        <w:widowControl/>
      </w:pPr>
      <w:r w:rsidRPr="002B65F7">
        <w:t>WEZENLA</w:t>
      </w:r>
      <w:r w:rsidR="00C31740" w:rsidRPr="002B65F7">
        <w:t xml:space="preserve"> solution à diluer pour perfusion est destiné à une utilisation sous la responsabilité et la surveillance de médecins qualifiés en matière de diagnostic et de traitement de la maladie de Crohn. </w:t>
      </w:r>
      <w:r w:rsidRPr="002B65F7">
        <w:t>WEZENLA</w:t>
      </w:r>
      <w:r w:rsidR="00C31740" w:rsidRPr="002B65F7">
        <w:t xml:space="preserve"> solution à diluer pour perfusion doit uniquement être utilisé pour la dose d’induction par voie intraveineuse.</w:t>
      </w:r>
    </w:p>
    <w:p w14:paraId="03B57C96" w14:textId="77777777" w:rsidR="00092F83" w:rsidRPr="002B65F7" w:rsidRDefault="00092F83" w:rsidP="00496255">
      <w:pPr>
        <w:widowControl/>
      </w:pPr>
    </w:p>
    <w:p w14:paraId="03B57C97" w14:textId="77777777" w:rsidR="00092F83" w:rsidRPr="002B65F7" w:rsidRDefault="00C31740" w:rsidP="00496255">
      <w:pPr>
        <w:keepNext/>
        <w:widowControl/>
        <w:rPr>
          <w:u w:val="single"/>
        </w:rPr>
      </w:pPr>
      <w:r w:rsidRPr="002B65F7">
        <w:rPr>
          <w:u w:val="single"/>
        </w:rPr>
        <w:lastRenderedPageBreak/>
        <w:t>Posologie</w:t>
      </w:r>
    </w:p>
    <w:p w14:paraId="6E434F92" w14:textId="77777777" w:rsidR="0047204B" w:rsidRDefault="0047204B" w:rsidP="0047204B">
      <w:pPr>
        <w:keepNext/>
        <w:rPr>
          <w:noProof/>
          <w:u w:val="single"/>
          <w:lang w:eastAsia="nl-BE"/>
        </w:rPr>
      </w:pPr>
    </w:p>
    <w:p w14:paraId="04D7F70F" w14:textId="668743DC" w:rsidR="0047204B" w:rsidRDefault="0047204B" w:rsidP="0047204B">
      <w:pPr>
        <w:keepNext/>
        <w:rPr>
          <w:noProof/>
          <w:u w:val="single"/>
          <w:lang w:eastAsia="nl-BE"/>
        </w:rPr>
      </w:pPr>
      <w:r>
        <w:rPr>
          <w:noProof/>
          <w:u w:val="single"/>
          <w:lang w:eastAsia="nl-BE"/>
        </w:rPr>
        <w:t>Adultes</w:t>
      </w:r>
    </w:p>
    <w:p w14:paraId="03B57C98" w14:textId="77777777" w:rsidR="00092F83" w:rsidRPr="002B65F7" w:rsidRDefault="00092F83" w:rsidP="00496255">
      <w:pPr>
        <w:keepNext/>
        <w:widowControl/>
      </w:pPr>
    </w:p>
    <w:p w14:paraId="03B57C99" w14:textId="1D43B415" w:rsidR="00092F83" w:rsidRPr="002B65F7" w:rsidRDefault="00C31740" w:rsidP="00496255">
      <w:pPr>
        <w:keepNext/>
        <w:widowControl/>
        <w:rPr>
          <w:i/>
          <w:iCs/>
        </w:rPr>
      </w:pPr>
      <w:r w:rsidRPr="002B65F7">
        <w:rPr>
          <w:i/>
          <w:iCs/>
        </w:rPr>
        <w:t>Maladie de Crohn</w:t>
      </w:r>
    </w:p>
    <w:p w14:paraId="71B0769A" w14:textId="77777777" w:rsidR="00690DA3" w:rsidRPr="002B65F7" w:rsidRDefault="00690DA3" w:rsidP="00496255">
      <w:pPr>
        <w:keepNext/>
        <w:widowControl/>
      </w:pPr>
    </w:p>
    <w:p w14:paraId="03B57C9A" w14:textId="2622B9BD" w:rsidR="00092F83" w:rsidRPr="002B65F7" w:rsidRDefault="00C31740" w:rsidP="00496255">
      <w:pPr>
        <w:widowControl/>
      </w:pPr>
      <w:r w:rsidRPr="002B65F7">
        <w:t xml:space="preserve">Le traitement par </w:t>
      </w:r>
      <w:r w:rsidR="00C7275B" w:rsidRPr="002B65F7">
        <w:t>WEZENLA</w:t>
      </w:r>
      <w:r w:rsidRPr="002B65F7">
        <w:t xml:space="preserve"> doit être initié par une dose unique par perfusion intraveineuse déterminée en fonction du poids corporel. La solution pour perfusion doit être constituée en utilisant le nombre de flacons de </w:t>
      </w:r>
      <w:r w:rsidR="00C7275B" w:rsidRPr="002B65F7">
        <w:t>WEZENLA</w:t>
      </w:r>
      <w:r w:rsidRPr="002B65F7">
        <w:t xml:space="preserve"> 130</w:t>
      </w:r>
      <w:r w:rsidR="00690DA3" w:rsidRPr="002B65F7">
        <w:t> </w:t>
      </w:r>
      <w:r w:rsidRPr="002B65F7">
        <w:t xml:space="preserve">mg indiqué dans le </w:t>
      </w:r>
      <w:r w:rsidR="001D7962" w:rsidRPr="002B65F7">
        <w:t>t</w:t>
      </w:r>
      <w:r w:rsidRPr="002B65F7">
        <w:t>ableau</w:t>
      </w:r>
      <w:r w:rsidR="00082658" w:rsidRPr="002B65F7">
        <w:t> </w:t>
      </w:r>
      <w:r w:rsidRPr="002B65F7">
        <w:t>1 (voir rubrique</w:t>
      </w:r>
      <w:r w:rsidR="00690DA3" w:rsidRPr="002B65F7">
        <w:t> </w:t>
      </w:r>
      <w:r w:rsidRPr="002B65F7">
        <w:t>6.6 pour la préparation).</w:t>
      </w:r>
    </w:p>
    <w:p w14:paraId="4EABB7DF" w14:textId="77777777" w:rsidR="00690DA3" w:rsidRPr="002B65F7" w:rsidRDefault="00690DA3" w:rsidP="00DF04BE">
      <w:pPr>
        <w:widowControl/>
      </w:pPr>
    </w:p>
    <w:p w14:paraId="03B57C9C" w14:textId="2DB4FCDC" w:rsidR="00092F83" w:rsidRPr="002B65F7" w:rsidRDefault="00C31740" w:rsidP="00496255">
      <w:pPr>
        <w:keepNext/>
        <w:keepLines/>
        <w:widowControl/>
        <w:rPr>
          <w:b/>
          <w:bCs/>
        </w:rPr>
      </w:pPr>
      <w:r w:rsidRPr="002B65F7">
        <w:rPr>
          <w:b/>
          <w:bCs/>
        </w:rPr>
        <w:t>Tableau</w:t>
      </w:r>
      <w:r w:rsidR="00DD301D" w:rsidRPr="002B65F7">
        <w:rPr>
          <w:b/>
          <w:bCs/>
        </w:rPr>
        <w:t> </w:t>
      </w:r>
      <w:r w:rsidRPr="002B65F7">
        <w:rPr>
          <w:b/>
          <w:bCs/>
        </w:rPr>
        <w:t>1</w:t>
      </w:r>
      <w:r w:rsidR="00B715B2" w:rsidRPr="002B65F7">
        <w:rPr>
          <w:b/>
          <w:bCs/>
        </w:rPr>
        <w:t xml:space="preserve">. </w:t>
      </w:r>
      <w:r w:rsidRPr="002B65F7">
        <w:rPr>
          <w:b/>
          <w:bCs/>
        </w:rPr>
        <w:t xml:space="preserve">Dose intraveineuse initiale de </w:t>
      </w:r>
      <w:r w:rsidR="00C7275B" w:rsidRPr="002B65F7">
        <w:rPr>
          <w:b/>
          <w:bCs/>
        </w:rPr>
        <w:t>WEZENLA</w:t>
      </w:r>
    </w:p>
    <w:p w14:paraId="1BB94A4E" w14:textId="77777777" w:rsidR="00690DA3" w:rsidRPr="002B65F7" w:rsidRDefault="00690DA3" w:rsidP="00496255">
      <w:pPr>
        <w:keepNext/>
        <w:keepLines/>
        <w:widowControl/>
      </w:pPr>
    </w:p>
    <w:tbl>
      <w:tblPr>
        <w:tblW w:w="4765"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043"/>
        <w:gridCol w:w="2677"/>
        <w:gridCol w:w="2915"/>
      </w:tblGrid>
      <w:tr w:rsidR="00E853C4" w:rsidRPr="002B65F7" w14:paraId="6AED5642" w14:textId="77777777" w:rsidTr="00252D39">
        <w:trPr>
          <w:cantSplit/>
        </w:trPr>
        <w:tc>
          <w:tcPr>
            <w:tcW w:w="1762" w:type="pct"/>
          </w:tcPr>
          <w:p w14:paraId="5563A725" w14:textId="64460757" w:rsidR="00E853C4" w:rsidRPr="002B65F7" w:rsidRDefault="00E853C4" w:rsidP="008509A1">
            <w:pPr>
              <w:keepNext/>
              <w:keepLines/>
              <w:widowControl/>
              <w:adjustRightInd w:val="0"/>
              <w:rPr>
                <w:lang w:val="fr-CH"/>
              </w:rPr>
            </w:pPr>
            <w:r w:rsidRPr="002B65F7">
              <w:rPr>
                <w:rFonts w:eastAsia="TimesNewRoman,Bold"/>
                <w:b/>
                <w:bCs/>
                <w:lang w:val="fr-CH"/>
              </w:rPr>
              <w:t>Poids corporel du patient</w:t>
            </w:r>
            <w:r w:rsidR="008509A1" w:rsidRPr="002B65F7">
              <w:rPr>
                <w:rFonts w:eastAsia="TimesNewRoman,Bold"/>
                <w:b/>
                <w:bCs/>
                <w:lang w:val="fr-CH"/>
              </w:rPr>
              <w:t xml:space="preserve"> </w:t>
            </w:r>
            <w:r w:rsidRPr="002B65F7">
              <w:rPr>
                <w:rFonts w:eastAsia="TimesNewRoman,Bold"/>
                <w:b/>
                <w:bCs/>
                <w:lang w:val="fr-CH"/>
              </w:rPr>
              <w:t>au moment de</w:t>
            </w:r>
            <w:r w:rsidR="008509A1" w:rsidRPr="002B65F7">
              <w:rPr>
                <w:rFonts w:eastAsia="TimesNewRoman,Bold"/>
                <w:b/>
                <w:bCs/>
                <w:lang w:val="fr-CH"/>
              </w:rPr>
              <w:t xml:space="preserve"> </w:t>
            </w:r>
            <w:r w:rsidRPr="002B65F7">
              <w:rPr>
                <w:rFonts w:eastAsia="TimesNewRoman,Bold"/>
                <w:b/>
                <w:bCs/>
                <w:lang w:val="fr-CH"/>
              </w:rPr>
              <w:t>l’administration</w:t>
            </w:r>
          </w:p>
        </w:tc>
        <w:tc>
          <w:tcPr>
            <w:tcW w:w="1550" w:type="pct"/>
          </w:tcPr>
          <w:p w14:paraId="6B10257C" w14:textId="4AF156AD" w:rsidR="00E853C4" w:rsidRPr="002B65F7" w:rsidRDefault="00E853C4" w:rsidP="008509A1">
            <w:pPr>
              <w:keepNext/>
              <w:keepLines/>
              <w:widowControl/>
              <w:adjustRightInd w:val="0"/>
              <w:jc w:val="center"/>
              <w:rPr>
                <w:lang w:val="en-GB"/>
              </w:rPr>
            </w:pPr>
            <w:r w:rsidRPr="002B65F7">
              <w:rPr>
                <w:rFonts w:eastAsia="TimesNewRoman,Bold"/>
                <w:b/>
                <w:bCs/>
                <w:lang w:val="en-IN"/>
              </w:rPr>
              <w:t>Dose</w:t>
            </w:r>
            <w:r w:rsidR="008509A1" w:rsidRPr="002B65F7">
              <w:rPr>
                <w:rFonts w:eastAsia="TimesNewRoman,Bold"/>
                <w:b/>
                <w:bCs/>
                <w:lang w:val="en-IN"/>
              </w:rPr>
              <w:t xml:space="preserve"> </w:t>
            </w:r>
            <w:r w:rsidRPr="002B65F7">
              <w:rPr>
                <w:rFonts w:eastAsia="TimesNewRoman,Bold"/>
                <w:b/>
                <w:bCs/>
                <w:lang w:val="en-IN"/>
              </w:rPr>
              <w:t>recommandée</w:t>
            </w:r>
            <w:r w:rsidRPr="002B65F7">
              <w:rPr>
                <w:rFonts w:eastAsia="TimesNewRoman,Bold"/>
                <w:b/>
                <w:bCs/>
                <w:vertAlign w:val="superscript"/>
                <w:lang w:val="en-IN"/>
              </w:rPr>
              <w:t>a</w:t>
            </w:r>
          </w:p>
        </w:tc>
        <w:tc>
          <w:tcPr>
            <w:tcW w:w="1688" w:type="pct"/>
          </w:tcPr>
          <w:p w14:paraId="6D32EC46" w14:textId="77777777" w:rsidR="00E853C4" w:rsidRPr="002B65F7" w:rsidRDefault="00E853C4" w:rsidP="006F0DD6">
            <w:pPr>
              <w:keepNext/>
              <w:keepLines/>
              <w:widowControl/>
              <w:adjustRightInd w:val="0"/>
              <w:jc w:val="center"/>
              <w:rPr>
                <w:rFonts w:eastAsia="TimesNewRoman,Bold"/>
                <w:b/>
                <w:bCs/>
                <w:lang w:val="fr-CH"/>
              </w:rPr>
            </w:pPr>
            <w:r w:rsidRPr="002B65F7">
              <w:rPr>
                <w:rFonts w:eastAsia="TimesNewRoman,Bold"/>
                <w:b/>
                <w:bCs/>
                <w:lang w:val="fr-CH"/>
              </w:rPr>
              <w:t>Nombre de flacons de</w:t>
            </w:r>
          </w:p>
          <w:p w14:paraId="37058C8A" w14:textId="48FE616C" w:rsidR="00E853C4" w:rsidRPr="002B65F7" w:rsidRDefault="00E853C4" w:rsidP="00496255">
            <w:pPr>
              <w:keepNext/>
              <w:keepLines/>
              <w:widowControl/>
              <w:jc w:val="center"/>
              <w:rPr>
                <w:lang w:val="fr-CH"/>
              </w:rPr>
            </w:pPr>
            <w:r w:rsidRPr="002B65F7">
              <w:rPr>
                <w:rFonts w:eastAsia="TimesNewRoman,Bold"/>
                <w:b/>
                <w:bCs/>
                <w:lang w:val="fr-CH"/>
              </w:rPr>
              <w:t>130</w:t>
            </w:r>
            <w:r w:rsidR="00B715B2" w:rsidRPr="002B65F7">
              <w:rPr>
                <w:rFonts w:eastAsia="TimesNewRoman,Bold"/>
                <w:b/>
                <w:bCs/>
                <w:lang w:val="fr-CH"/>
              </w:rPr>
              <w:t> </w:t>
            </w:r>
            <w:r w:rsidRPr="002B65F7">
              <w:rPr>
                <w:rFonts w:eastAsia="TimesNewRoman,Bold"/>
                <w:b/>
                <w:bCs/>
                <w:lang w:val="fr-CH"/>
              </w:rPr>
              <w:t xml:space="preserve">mg de </w:t>
            </w:r>
            <w:r w:rsidR="00C7275B" w:rsidRPr="002B65F7">
              <w:rPr>
                <w:b/>
                <w:bCs/>
              </w:rPr>
              <w:t>WEZENLA</w:t>
            </w:r>
          </w:p>
        </w:tc>
      </w:tr>
      <w:tr w:rsidR="00E853C4" w:rsidRPr="002B65F7" w14:paraId="74489158" w14:textId="77777777" w:rsidTr="00252D39">
        <w:trPr>
          <w:cantSplit/>
        </w:trPr>
        <w:tc>
          <w:tcPr>
            <w:tcW w:w="1762" w:type="pct"/>
          </w:tcPr>
          <w:p w14:paraId="2E1310CC" w14:textId="2CE2221C" w:rsidR="00E853C4" w:rsidRPr="002B65F7" w:rsidRDefault="00E853C4" w:rsidP="00496255">
            <w:pPr>
              <w:keepNext/>
              <w:keepLines/>
              <w:widowControl/>
              <w:rPr>
                <w:lang w:val="en-GB"/>
              </w:rPr>
            </w:pPr>
            <w:r w:rsidRPr="002B65F7">
              <w:rPr>
                <w:lang w:val="en-GB"/>
              </w:rPr>
              <w:t>≤</w:t>
            </w:r>
            <w:r w:rsidR="00B715B2" w:rsidRPr="002B65F7">
              <w:rPr>
                <w:lang w:val="en-GB"/>
              </w:rPr>
              <w:t> </w:t>
            </w:r>
            <w:r w:rsidRPr="002B65F7">
              <w:rPr>
                <w:lang w:val="en-GB"/>
              </w:rPr>
              <w:t>55 </w:t>
            </w:r>
            <w:r w:rsidRPr="002B65F7">
              <w:rPr>
                <w:spacing w:val="-2"/>
                <w:lang w:val="en-GB"/>
              </w:rPr>
              <w:t>k</w:t>
            </w:r>
            <w:r w:rsidRPr="002B65F7">
              <w:rPr>
                <w:lang w:val="en-GB"/>
              </w:rPr>
              <w:t>g</w:t>
            </w:r>
          </w:p>
        </w:tc>
        <w:tc>
          <w:tcPr>
            <w:tcW w:w="1550" w:type="pct"/>
          </w:tcPr>
          <w:p w14:paraId="2C782E76" w14:textId="77777777" w:rsidR="00E853C4" w:rsidRPr="002B65F7" w:rsidRDefault="00E853C4" w:rsidP="00496255">
            <w:pPr>
              <w:keepNext/>
              <w:keepLines/>
              <w:widowControl/>
              <w:jc w:val="center"/>
              <w:rPr>
                <w:lang w:val="en-GB"/>
              </w:rPr>
            </w:pPr>
            <w:r w:rsidRPr="002B65F7">
              <w:rPr>
                <w:lang w:val="en-GB"/>
              </w:rPr>
              <w:t>260 </w:t>
            </w:r>
            <w:r w:rsidRPr="002B65F7">
              <w:rPr>
                <w:spacing w:val="-1"/>
                <w:lang w:val="en-GB"/>
              </w:rPr>
              <w:t>m</w:t>
            </w:r>
            <w:r w:rsidRPr="002B65F7">
              <w:rPr>
                <w:lang w:val="en-GB"/>
              </w:rPr>
              <w:t>g</w:t>
            </w:r>
          </w:p>
        </w:tc>
        <w:tc>
          <w:tcPr>
            <w:tcW w:w="1688" w:type="pct"/>
          </w:tcPr>
          <w:p w14:paraId="199B423B" w14:textId="77777777" w:rsidR="00E853C4" w:rsidRPr="002B65F7" w:rsidRDefault="00E853C4" w:rsidP="00496255">
            <w:pPr>
              <w:keepNext/>
              <w:keepLines/>
              <w:widowControl/>
              <w:jc w:val="center"/>
              <w:rPr>
                <w:lang w:val="en-GB"/>
              </w:rPr>
            </w:pPr>
            <w:r w:rsidRPr="002B65F7">
              <w:rPr>
                <w:lang w:val="en-GB"/>
              </w:rPr>
              <w:t>2</w:t>
            </w:r>
          </w:p>
        </w:tc>
      </w:tr>
      <w:tr w:rsidR="00E853C4" w:rsidRPr="002B65F7" w14:paraId="72EE372C" w14:textId="77777777" w:rsidTr="00252D39">
        <w:trPr>
          <w:cantSplit/>
        </w:trPr>
        <w:tc>
          <w:tcPr>
            <w:tcW w:w="1762" w:type="pct"/>
          </w:tcPr>
          <w:p w14:paraId="1EFCDADA" w14:textId="4748DFD8" w:rsidR="00E853C4" w:rsidRPr="002B65F7" w:rsidRDefault="00E853C4" w:rsidP="00496255">
            <w:pPr>
              <w:keepNext/>
              <w:keepLines/>
              <w:widowControl/>
              <w:rPr>
                <w:lang w:val="en-GB"/>
              </w:rPr>
            </w:pPr>
            <w:r w:rsidRPr="002B65F7">
              <w:rPr>
                <w:lang w:val="en-GB"/>
              </w:rPr>
              <w:t>&gt;</w:t>
            </w:r>
            <w:r w:rsidR="00B715B2" w:rsidRPr="002B65F7">
              <w:rPr>
                <w:lang w:val="en-GB"/>
              </w:rPr>
              <w:t> </w:t>
            </w:r>
            <w:r w:rsidRPr="002B65F7">
              <w:rPr>
                <w:lang w:val="en-GB"/>
              </w:rPr>
              <w:t>55 </w:t>
            </w:r>
            <w:r w:rsidRPr="002B65F7">
              <w:rPr>
                <w:spacing w:val="-1"/>
                <w:lang w:val="en-GB"/>
              </w:rPr>
              <w:t>k</w:t>
            </w:r>
            <w:r w:rsidRPr="002B65F7">
              <w:rPr>
                <w:lang w:val="en-GB"/>
              </w:rPr>
              <w:t>g</w:t>
            </w:r>
            <w:r w:rsidRPr="002B65F7">
              <w:rPr>
                <w:spacing w:val="-1"/>
                <w:lang w:val="en-GB"/>
              </w:rPr>
              <w:t xml:space="preserve"> </w:t>
            </w:r>
            <w:r w:rsidR="00E60B44" w:rsidRPr="002B65F7">
              <w:rPr>
                <w:rFonts w:eastAsia="TimesNewRoman"/>
              </w:rPr>
              <w:t>à</w:t>
            </w:r>
            <w:r w:rsidRPr="002B65F7">
              <w:rPr>
                <w:spacing w:val="-1"/>
                <w:lang w:val="en-GB"/>
              </w:rPr>
              <w:t xml:space="preserve"> </w:t>
            </w:r>
            <w:r w:rsidRPr="002B65F7">
              <w:rPr>
                <w:lang w:val="en-GB"/>
              </w:rPr>
              <w:t>≤</w:t>
            </w:r>
            <w:r w:rsidR="00B715B2" w:rsidRPr="002B65F7">
              <w:rPr>
                <w:lang w:val="en-GB"/>
              </w:rPr>
              <w:t> </w:t>
            </w:r>
            <w:r w:rsidRPr="002B65F7">
              <w:rPr>
                <w:lang w:val="en-GB"/>
              </w:rPr>
              <w:t>85 </w:t>
            </w:r>
            <w:r w:rsidRPr="002B65F7">
              <w:rPr>
                <w:spacing w:val="-2"/>
                <w:lang w:val="en-GB"/>
              </w:rPr>
              <w:t>k</w:t>
            </w:r>
            <w:r w:rsidRPr="002B65F7">
              <w:rPr>
                <w:lang w:val="en-GB"/>
              </w:rPr>
              <w:t>g</w:t>
            </w:r>
          </w:p>
        </w:tc>
        <w:tc>
          <w:tcPr>
            <w:tcW w:w="1550" w:type="pct"/>
          </w:tcPr>
          <w:p w14:paraId="656496AA" w14:textId="77777777" w:rsidR="00E853C4" w:rsidRPr="002B65F7" w:rsidRDefault="00E853C4" w:rsidP="00496255">
            <w:pPr>
              <w:keepNext/>
              <w:keepLines/>
              <w:widowControl/>
              <w:jc w:val="center"/>
              <w:rPr>
                <w:lang w:val="en-GB"/>
              </w:rPr>
            </w:pPr>
            <w:r w:rsidRPr="002B65F7">
              <w:rPr>
                <w:lang w:val="en-GB"/>
              </w:rPr>
              <w:t>390 </w:t>
            </w:r>
            <w:r w:rsidRPr="002B65F7">
              <w:rPr>
                <w:spacing w:val="-1"/>
                <w:lang w:val="en-GB"/>
              </w:rPr>
              <w:t>m</w:t>
            </w:r>
            <w:r w:rsidRPr="002B65F7">
              <w:rPr>
                <w:lang w:val="en-GB"/>
              </w:rPr>
              <w:t>g</w:t>
            </w:r>
          </w:p>
        </w:tc>
        <w:tc>
          <w:tcPr>
            <w:tcW w:w="1688" w:type="pct"/>
          </w:tcPr>
          <w:p w14:paraId="5EF4DDCF" w14:textId="77777777" w:rsidR="00E853C4" w:rsidRPr="002B65F7" w:rsidRDefault="00E853C4" w:rsidP="00496255">
            <w:pPr>
              <w:keepNext/>
              <w:keepLines/>
              <w:widowControl/>
              <w:tabs>
                <w:tab w:val="left" w:pos="4940"/>
                <w:tab w:val="left" w:pos="7780"/>
              </w:tabs>
              <w:jc w:val="center"/>
              <w:rPr>
                <w:lang w:val="en-GB"/>
              </w:rPr>
            </w:pPr>
            <w:r w:rsidRPr="002B65F7">
              <w:rPr>
                <w:lang w:val="en-GB"/>
              </w:rPr>
              <w:t>3</w:t>
            </w:r>
          </w:p>
        </w:tc>
      </w:tr>
      <w:tr w:rsidR="00E853C4" w:rsidRPr="002B65F7" w14:paraId="7808F58C" w14:textId="77777777" w:rsidTr="00252D39">
        <w:trPr>
          <w:cantSplit/>
        </w:trPr>
        <w:tc>
          <w:tcPr>
            <w:tcW w:w="1762" w:type="pct"/>
          </w:tcPr>
          <w:p w14:paraId="37C77F2F" w14:textId="2FAD6BCC" w:rsidR="00E853C4" w:rsidRPr="002B65F7" w:rsidRDefault="00E853C4" w:rsidP="00496255">
            <w:pPr>
              <w:keepNext/>
              <w:keepLines/>
              <w:widowControl/>
              <w:rPr>
                <w:lang w:val="en-GB"/>
              </w:rPr>
            </w:pPr>
            <w:r w:rsidRPr="002B65F7">
              <w:rPr>
                <w:lang w:val="en-GB"/>
              </w:rPr>
              <w:t>&gt;</w:t>
            </w:r>
            <w:r w:rsidR="00B715B2" w:rsidRPr="002B65F7">
              <w:rPr>
                <w:lang w:val="en-GB"/>
              </w:rPr>
              <w:t> </w:t>
            </w:r>
            <w:r w:rsidRPr="002B65F7">
              <w:rPr>
                <w:lang w:val="en-GB"/>
              </w:rPr>
              <w:t>85 </w:t>
            </w:r>
            <w:r w:rsidRPr="002B65F7">
              <w:rPr>
                <w:spacing w:val="-2"/>
                <w:lang w:val="en-GB"/>
              </w:rPr>
              <w:t>k</w:t>
            </w:r>
            <w:r w:rsidRPr="002B65F7">
              <w:rPr>
                <w:lang w:val="en-GB"/>
              </w:rPr>
              <w:t>g</w:t>
            </w:r>
          </w:p>
        </w:tc>
        <w:tc>
          <w:tcPr>
            <w:tcW w:w="1550" w:type="pct"/>
          </w:tcPr>
          <w:p w14:paraId="7B66ECA3" w14:textId="77777777" w:rsidR="00E853C4" w:rsidRPr="002B65F7" w:rsidRDefault="00E853C4" w:rsidP="00496255">
            <w:pPr>
              <w:keepNext/>
              <w:keepLines/>
              <w:widowControl/>
              <w:jc w:val="center"/>
              <w:rPr>
                <w:lang w:val="en-GB"/>
              </w:rPr>
            </w:pPr>
            <w:r w:rsidRPr="002B65F7">
              <w:rPr>
                <w:lang w:val="en-GB"/>
              </w:rPr>
              <w:t>520 </w:t>
            </w:r>
            <w:r w:rsidRPr="002B65F7">
              <w:rPr>
                <w:spacing w:val="-1"/>
                <w:lang w:val="en-GB"/>
              </w:rPr>
              <w:t>m</w:t>
            </w:r>
            <w:r w:rsidRPr="002B65F7">
              <w:rPr>
                <w:lang w:val="en-GB"/>
              </w:rPr>
              <w:t>g</w:t>
            </w:r>
          </w:p>
        </w:tc>
        <w:tc>
          <w:tcPr>
            <w:tcW w:w="1688" w:type="pct"/>
          </w:tcPr>
          <w:p w14:paraId="36911CC1" w14:textId="77777777" w:rsidR="00E853C4" w:rsidRPr="002B65F7" w:rsidRDefault="00E853C4" w:rsidP="00496255">
            <w:pPr>
              <w:keepNext/>
              <w:keepLines/>
              <w:widowControl/>
              <w:tabs>
                <w:tab w:val="left" w:pos="4940"/>
                <w:tab w:val="left" w:pos="7780"/>
              </w:tabs>
              <w:jc w:val="center"/>
              <w:rPr>
                <w:lang w:val="en-GB"/>
              </w:rPr>
            </w:pPr>
            <w:r w:rsidRPr="002B65F7">
              <w:rPr>
                <w:lang w:val="en-GB"/>
              </w:rPr>
              <w:t>4</w:t>
            </w:r>
          </w:p>
        </w:tc>
      </w:tr>
    </w:tbl>
    <w:p w14:paraId="03B57CAE" w14:textId="646D224E" w:rsidR="00092F83" w:rsidRPr="002B65F7" w:rsidRDefault="00C31740" w:rsidP="00496255">
      <w:pPr>
        <w:widowControl/>
      </w:pPr>
      <w:r w:rsidRPr="002B65F7">
        <w:rPr>
          <w:sz w:val="20"/>
          <w:szCs w:val="20"/>
          <w:vertAlign w:val="superscript"/>
        </w:rPr>
        <w:t>a</w:t>
      </w:r>
      <w:r w:rsidR="00B715B2" w:rsidRPr="002B65F7">
        <w:t xml:space="preserve"> </w:t>
      </w:r>
      <w:r w:rsidRPr="002B65F7">
        <w:t>Environ 6</w:t>
      </w:r>
      <w:r w:rsidR="00B715B2" w:rsidRPr="002B65F7">
        <w:t> </w:t>
      </w:r>
      <w:r w:rsidRPr="002B65F7">
        <w:t>mg/kg</w:t>
      </w:r>
    </w:p>
    <w:p w14:paraId="03B57CAF" w14:textId="77777777" w:rsidR="00092F83" w:rsidRPr="002B65F7" w:rsidRDefault="00092F83" w:rsidP="00496255">
      <w:pPr>
        <w:widowControl/>
      </w:pPr>
    </w:p>
    <w:p w14:paraId="5CCC6B41" w14:textId="0864EC19" w:rsidR="00B41E23" w:rsidRPr="002B65F7" w:rsidRDefault="00C31740" w:rsidP="00496255">
      <w:pPr>
        <w:widowControl/>
      </w:pPr>
      <w:r w:rsidRPr="002B65F7">
        <w:t>La première dose sous-cutanée doit être administrée à la semaine</w:t>
      </w:r>
      <w:r w:rsidR="00D879C1" w:rsidRPr="002B65F7">
        <w:t> </w:t>
      </w:r>
      <w:r w:rsidRPr="002B65F7">
        <w:t>8 après la dose intraveineuse. Pour le schéma posologique des injections sous-cutanées suivantes, voir rubrique</w:t>
      </w:r>
      <w:r w:rsidR="00D879C1" w:rsidRPr="002B65F7">
        <w:t> </w:t>
      </w:r>
      <w:r w:rsidRPr="002B65F7">
        <w:t xml:space="preserve">4.2 des RCP de </w:t>
      </w:r>
      <w:r w:rsidR="00C7275B" w:rsidRPr="002B65F7">
        <w:t>WEZENLA</w:t>
      </w:r>
      <w:r w:rsidRPr="002B65F7">
        <w:t xml:space="preserve"> solution injectable (flacon) et solution injectable en seringue préremplie</w:t>
      </w:r>
      <w:r w:rsidR="00D97054" w:rsidRPr="002B65F7">
        <w:t xml:space="preserve"> ou</w:t>
      </w:r>
      <w:r w:rsidR="008F7401" w:rsidRPr="002B65F7">
        <w:t xml:space="preserve"> </w:t>
      </w:r>
      <w:r w:rsidR="00DF4439" w:rsidRPr="002B65F7">
        <w:t>en</w:t>
      </w:r>
      <w:r w:rsidR="00D97054" w:rsidRPr="002B65F7">
        <w:t xml:space="preserve"> stylo prérempli</w:t>
      </w:r>
      <w:r w:rsidRPr="002B65F7">
        <w:t>.</w:t>
      </w:r>
    </w:p>
    <w:p w14:paraId="556FFEA7" w14:textId="77777777" w:rsidR="00B41E23" w:rsidRPr="002B65F7" w:rsidRDefault="00B41E23" w:rsidP="00496255">
      <w:pPr>
        <w:widowControl/>
        <w:rPr>
          <w:i/>
          <w:iCs/>
        </w:rPr>
      </w:pPr>
    </w:p>
    <w:p w14:paraId="03B57CB1" w14:textId="07CA885F" w:rsidR="00092F83" w:rsidRPr="002B65F7" w:rsidRDefault="00C31740" w:rsidP="00496255">
      <w:pPr>
        <w:keepNext/>
        <w:widowControl/>
        <w:rPr>
          <w:i/>
          <w:iCs/>
        </w:rPr>
      </w:pPr>
      <w:r w:rsidRPr="002B65F7">
        <w:rPr>
          <w:i/>
          <w:iCs/>
        </w:rPr>
        <w:t>Sujets âgés (≥</w:t>
      </w:r>
      <w:r w:rsidR="00D879C1" w:rsidRPr="002B65F7">
        <w:rPr>
          <w:i/>
          <w:iCs/>
        </w:rPr>
        <w:t> </w:t>
      </w:r>
      <w:r w:rsidRPr="002B65F7">
        <w:rPr>
          <w:i/>
          <w:iCs/>
        </w:rPr>
        <w:t>65</w:t>
      </w:r>
      <w:r w:rsidR="00D879C1" w:rsidRPr="002B65F7">
        <w:rPr>
          <w:i/>
          <w:iCs/>
        </w:rPr>
        <w:t> </w:t>
      </w:r>
      <w:r w:rsidRPr="002B65F7">
        <w:rPr>
          <w:i/>
          <w:iCs/>
        </w:rPr>
        <w:t>ans)</w:t>
      </w:r>
    </w:p>
    <w:p w14:paraId="796EEA9B" w14:textId="77777777" w:rsidR="00F71A2E" w:rsidRPr="002B65F7" w:rsidRDefault="00F71A2E" w:rsidP="00496255">
      <w:pPr>
        <w:keepNext/>
        <w:widowControl/>
        <w:rPr>
          <w:i/>
          <w:iCs/>
        </w:rPr>
      </w:pPr>
    </w:p>
    <w:p w14:paraId="03B57CB2" w14:textId="5BB2B72D" w:rsidR="00092F83" w:rsidRPr="002B65F7" w:rsidRDefault="00C31740" w:rsidP="00496255">
      <w:pPr>
        <w:widowControl/>
      </w:pPr>
      <w:r w:rsidRPr="002B65F7">
        <w:t>Il n</w:t>
      </w:r>
      <w:r w:rsidR="00F71A2E" w:rsidRPr="002B65F7">
        <w:t>’</w:t>
      </w:r>
      <w:r w:rsidRPr="002B65F7">
        <w:t>est pas nécessaire d</w:t>
      </w:r>
      <w:r w:rsidR="00F71A2E" w:rsidRPr="002B65F7">
        <w:t>’</w:t>
      </w:r>
      <w:r w:rsidRPr="002B65F7">
        <w:t>adapter la posologie chez les sujets âgés (voir rubrique</w:t>
      </w:r>
      <w:r w:rsidR="00D879C1" w:rsidRPr="002B65F7">
        <w:t> </w:t>
      </w:r>
      <w:r w:rsidRPr="002B65F7">
        <w:t>4.4).</w:t>
      </w:r>
    </w:p>
    <w:p w14:paraId="03B57CB3" w14:textId="77777777" w:rsidR="00092F83" w:rsidRPr="002B65F7" w:rsidRDefault="00092F83" w:rsidP="00496255">
      <w:pPr>
        <w:widowControl/>
      </w:pPr>
    </w:p>
    <w:p w14:paraId="03B57CB4" w14:textId="77777777" w:rsidR="00092F83" w:rsidRPr="002B65F7" w:rsidRDefault="00C31740" w:rsidP="00496255">
      <w:pPr>
        <w:keepNext/>
        <w:widowControl/>
        <w:rPr>
          <w:i/>
          <w:iCs/>
        </w:rPr>
      </w:pPr>
      <w:r w:rsidRPr="002B65F7">
        <w:rPr>
          <w:i/>
          <w:iCs/>
        </w:rPr>
        <w:t>Insuffisance rénale et hépatique</w:t>
      </w:r>
    </w:p>
    <w:p w14:paraId="28082769" w14:textId="77777777" w:rsidR="00F71A2E" w:rsidRPr="002B65F7" w:rsidRDefault="00F71A2E" w:rsidP="00496255">
      <w:pPr>
        <w:keepNext/>
        <w:widowControl/>
      </w:pPr>
    </w:p>
    <w:p w14:paraId="03B57CB5" w14:textId="374292D1" w:rsidR="00092F83" w:rsidRPr="002B65F7" w:rsidRDefault="00C7275B" w:rsidP="00496255">
      <w:pPr>
        <w:widowControl/>
      </w:pPr>
      <w:r w:rsidRPr="002B65F7">
        <w:t>L’</w:t>
      </w:r>
      <w:r w:rsidR="0071390F" w:rsidRPr="002B65F7">
        <w:t>ustekinumab</w:t>
      </w:r>
      <w:r w:rsidR="00C31740" w:rsidRPr="002B65F7">
        <w:t xml:space="preserve"> n’a pas été étudié chez ces populations de patients. Aucune recommandation posologique ne peut être faite.</w:t>
      </w:r>
    </w:p>
    <w:p w14:paraId="53CD1162" w14:textId="77777777" w:rsidR="00F71A2E" w:rsidRPr="002B65F7" w:rsidRDefault="00F71A2E" w:rsidP="00496255">
      <w:pPr>
        <w:widowControl/>
      </w:pPr>
    </w:p>
    <w:p w14:paraId="03B57CB6" w14:textId="722A174E" w:rsidR="00092F83" w:rsidRPr="002B65F7" w:rsidRDefault="00C31740" w:rsidP="00496255">
      <w:pPr>
        <w:keepNext/>
        <w:widowControl/>
        <w:rPr>
          <w:i/>
          <w:iCs/>
        </w:rPr>
      </w:pPr>
      <w:r w:rsidRPr="002B65F7">
        <w:rPr>
          <w:i/>
          <w:iCs/>
        </w:rPr>
        <w:t>Population pédiatrique</w:t>
      </w:r>
    </w:p>
    <w:p w14:paraId="0BBB6393" w14:textId="77777777" w:rsidR="002E514B" w:rsidRDefault="002E514B" w:rsidP="002E514B">
      <w:pPr>
        <w:keepNext/>
        <w:rPr>
          <w:noProof/>
          <w:u w:val="single"/>
          <w:lang w:eastAsia="nl-BE"/>
        </w:rPr>
      </w:pPr>
    </w:p>
    <w:p w14:paraId="08F57137" w14:textId="3D980317" w:rsidR="002E514B" w:rsidRDefault="002E514B" w:rsidP="003743BD">
      <w:pPr>
        <w:keepNext/>
        <w:rPr>
          <w:noProof/>
          <w:u w:val="single"/>
          <w:lang w:eastAsia="nl-BE"/>
        </w:rPr>
      </w:pPr>
      <w:r>
        <w:rPr>
          <w:noProof/>
          <w:u w:val="single"/>
          <w:lang w:eastAsia="nl-BE"/>
        </w:rPr>
        <w:t>Maladie de Crohn chez l’enfant (patients pesant au moins 40 kg)</w:t>
      </w:r>
    </w:p>
    <w:p w14:paraId="691CBF68" w14:textId="77777777" w:rsidR="002E514B" w:rsidRDefault="002E514B" w:rsidP="002E514B">
      <w:pPr>
        <w:rPr>
          <w:noProof/>
          <w:lang w:eastAsia="nl-BE"/>
        </w:rPr>
      </w:pPr>
    </w:p>
    <w:p w14:paraId="4B050C3E" w14:textId="4D026C0A" w:rsidR="002E514B" w:rsidRDefault="002E514B" w:rsidP="002E514B">
      <w:pPr>
        <w:rPr>
          <w:noProof/>
          <w:lang w:eastAsia="nl-BE"/>
        </w:rPr>
      </w:pPr>
      <w:r>
        <w:rPr>
          <w:noProof/>
          <w:lang w:eastAsia="nl-BE"/>
        </w:rPr>
        <w:t xml:space="preserve">Le traitement par WEZENLA doit être initié par une dose unique </w:t>
      </w:r>
      <w:r>
        <w:rPr>
          <w:noProof/>
          <w:lang w:val="fr-BE" w:eastAsia="nl-BE"/>
        </w:rPr>
        <w:t>par perfusion intraveineuse</w:t>
      </w:r>
      <w:r>
        <w:rPr>
          <w:noProof/>
          <w:lang w:eastAsia="nl-BE"/>
        </w:rPr>
        <w:t xml:space="preserve"> déterminée en fonction du poids corporel. La solution pour perfusion doit être constituée en utilisant le nombre de flacons de WEZENLA 130 mg indiqué dans le Tableau 2 (voir rubrique 6.6 pour la préparation).</w:t>
      </w:r>
    </w:p>
    <w:p w14:paraId="1BB38862" w14:textId="77777777" w:rsidR="002E514B" w:rsidRDefault="002E514B" w:rsidP="002E514B">
      <w:pPr>
        <w:rPr>
          <w:noProof/>
          <w:lang w:eastAsia="nl-BE"/>
        </w:rPr>
      </w:pPr>
    </w:p>
    <w:p w14:paraId="5183D39E" w14:textId="2E41E825" w:rsidR="002E514B" w:rsidRDefault="002E514B" w:rsidP="002E514B">
      <w:pPr>
        <w:keepNext/>
        <w:ind w:left="1134" w:hanging="1134"/>
        <w:rPr>
          <w:b/>
          <w:bCs/>
          <w:noProof/>
          <w:lang w:eastAsia="nl-BE"/>
        </w:rPr>
      </w:pPr>
      <w:r w:rsidRPr="003743BD">
        <w:rPr>
          <w:b/>
          <w:bCs/>
          <w:noProof/>
          <w:lang w:eastAsia="nl-BE"/>
        </w:rPr>
        <w:t>Tableau 2</w:t>
      </w:r>
      <w:r>
        <w:rPr>
          <w:b/>
          <w:bCs/>
          <w:noProof/>
          <w:lang w:eastAsia="nl-BE"/>
        </w:rPr>
        <w:t xml:space="preserve"> </w:t>
      </w:r>
      <w:r w:rsidRPr="003743BD">
        <w:rPr>
          <w:b/>
          <w:bCs/>
          <w:noProof/>
          <w:lang w:eastAsia="nl-BE"/>
        </w:rPr>
        <w:t xml:space="preserve">Dose intraveineuse initiale de </w:t>
      </w:r>
      <w:r>
        <w:rPr>
          <w:b/>
          <w:bCs/>
          <w:noProof/>
          <w:lang w:eastAsia="nl-BE"/>
        </w:rPr>
        <w:t>WEZENLA</w:t>
      </w:r>
    </w:p>
    <w:p w14:paraId="5E52CCDD" w14:textId="77777777" w:rsidR="002E514B" w:rsidRPr="003743BD" w:rsidRDefault="002E514B" w:rsidP="003743BD">
      <w:pPr>
        <w:keepNext/>
        <w:ind w:left="1134" w:hanging="1134"/>
        <w:rPr>
          <w:b/>
          <w:bCs/>
          <w:noProof/>
          <w:lang w:eastAsia="nl-B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30"/>
        <w:gridCol w:w="2415"/>
        <w:gridCol w:w="2700"/>
      </w:tblGrid>
      <w:tr w:rsidR="002E514B" w14:paraId="73C20E17" w14:textId="77777777" w:rsidTr="003743BD">
        <w:trPr>
          <w:trHeight w:val="300"/>
        </w:trPr>
        <w:tc>
          <w:tcPr>
            <w:tcW w:w="3930" w:type="dxa"/>
            <w:tcBorders>
              <w:top w:val="single" w:sz="6" w:space="0" w:color="auto"/>
              <w:left w:val="single" w:sz="6" w:space="0" w:color="auto"/>
              <w:bottom w:val="single" w:sz="6" w:space="0" w:color="auto"/>
              <w:right w:val="single" w:sz="4" w:space="0" w:color="auto"/>
            </w:tcBorders>
            <w:tcMar>
              <w:left w:w="105" w:type="dxa"/>
              <w:right w:w="105" w:type="dxa"/>
            </w:tcMar>
          </w:tcPr>
          <w:p w14:paraId="495A4132" w14:textId="77777777" w:rsidR="002E514B" w:rsidRDefault="002E514B" w:rsidP="002F173E">
            <w:pPr>
              <w:keepNext/>
              <w:rPr>
                <w:b/>
                <w:bCs/>
              </w:rPr>
            </w:pPr>
            <w:r>
              <w:rPr>
                <w:b/>
                <w:bCs/>
              </w:rPr>
              <w:t>Poids corporel du patient au moment de l’administration</w:t>
            </w:r>
          </w:p>
        </w:tc>
        <w:tc>
          <w:tcPr>
            <w:tcW w:w="2415" w:type="dxa"/>
            <w:tcBorders>
              <w:top w:val="single" w:sz="6" w:space="0" w:color="auto"/>
              <w:left w:val="single" w:sz="4" w:space="0" w:color="auto"/>
              <w:bottom w:val="single" w:sz="6" w:space="0" w:color="auto"/>
              <w:right w:val="single" w:sz="4" w:space="0" w:color="auto"/>
            </w:tcBorders>
            <w:tcMar>
              <w:left w:w="105" w:type="dxa"/>
              <w:right w:w="105" w:type="dxa"/>
            </w:tcMar>
          </w:tcPr>
          <w:p w14:paraId="2683EB1D" w14:textId="77777777" w:rsidR="002E514B" w:rsidRDefault="002E514B" w:rsidP="002F173E">
            <w:pPr>
              <w:keepNext/>
              <w:jc w:val="center"/>
              <w:rPr>
                <w:sz w:val="17"/>
                <w:szCs w:val="17"/>
              </w:rPr>
            </w:pPr>
            <w:r>
              <w:rPr>
                <w:b/>
                <w:bCs/>
              </w:rPr>
              <w:t>Dose recommandée</w:t>
            </w:r>
            <w:r>
              <w:rPr>
                <w:b/>
                <w:bCs/>
                <w:vertAlign w:val="superscript"/>
              </w:rPr>
              <w:t>a</w:t>
            </w:r>
          </w:p>
        </w:tc>
        <w:tc>
          <w:tcPr>
            <w:tcW w:w="2700" w:type="dxa"/>
            <w:tcBorders>
              <w:top w:val="single" w:sz="6" w:space="0" w:color="auto"/>
              <w:left w:val="single" w:sz="4" w:space="0" w:color="auto"/>
              <w:bottom w:val="single" w:sz="6" w:space="0" w:color="auto"/>
              <w:right w:val="single" w:sz="6" w:space="0" w:color="auto"/>
            </w:tcBorders>
            <w:tcMar>
              <w:left w:w="105" w:type="dxa"/>
              <w:right w:w="105" w:type="dxa"/>
            </w:tcMar>
          </w:tcPr>
          <w:p w14:paraId="2DDF8A1C" w14:textId="31C8DD03" w:rsidR="002E514B" w:rsidRDefault="002E514B" w:rsidP="002F173E">
            <w:pPr>
              <w:keepNext/>
              <w:jc w:val="center"/>
            </w:pPr>
            <w:r>
              <w:rPr>
                <w:b/>
                <w:bCs/>
              </w:rPr>
              <w:t>Nombre de flacons de 130 mg de WEZENLA</w:t>
            </w:r>
            <w:r>
              <w:t> </w:t>
            </w:r>
          </w:p>
        </w:tc>
      </w:tr>
      <w:tr w:rsidR="002E514B" w14:paraId="449B90E7" w14:textId="77777777" w:rsidTr="003743BD">
        <w:trPr>
          <w:trHeight w:val="300"/>
        </w:trPr>
        <w:tc>
          <w:tcPr>
            <w:tcW w:w="3930" w:type="dxa"/>
            <w:tcBorders>
              <w:top w:val="single" w:sz="6" w:space="0" w:color="auto"/>
              <w:left w:val="single" w:sz="6" w:space="0" w:color="auto"/>
              <w:bottom w:val="single" w:sz="4" w:space="0" w:color="auto"/>
              <w:right w:val="single" w:sz="4" w:space="0" w:color="auto"/>
            </w:tcBorders>
            <w:tcMar>
              <w:left w:w="105" w:type="dxa"/>
              <w:right w:w="105" w:type="dxa"/>
            </w:tcMar>
          </w:tcPr>
          <w:p w14:paraId="76A371DA" w14:textId="77777777" w:rsidR="002E514B" w:rsidRDefault="002E514B" w:rsidP="002F173E">
            <w:r>
              <w:rPr>
                <w:rFonts w:hint="eastAsia"/>
                <w:noProof/>
                <w:lang w:eastAsia="nl-BE"/>
              </w:rPr>
              <w:t>≥</w:t>
            </w:r>
            <w:r>
              <w:t xml:space="preserve"> 40 kg à </w:t>
            </w:r>
            <w:r>
              <w:rPr>
                <w:rFonts w:hint="eastAsia"/>
                <w:noProof/>
                <w:sz w:val="18"/>
                <w:szCs w:val="18"/>
              </w:rPr>
              <w:t>≤</w:t>
            </w:r>
            <w:r>
              <w:t> 55 kg</w:t>
            </w:r>
          </w:p>
        </w:tc>
        <w:tc>
          <w:tcPr>
            <w:tcW w:w="2415" w:type="dxa"/>
            <w:tcBorders>
              <w:top w:val="single" w:sz="6" w:space="0" w:color="auto"/>
              <w:left w:val="single" w:sz="4" w:space="0" w:color="auto"/>
              <w:bottom w:val="single" w:sz="4" w:space="0" w:color="auto"/>
              <w:right w:val="single" w:sz="4" w:space="0" w:color="auto"/>
            </w:tcBorders>
            <w:tcMar>
              <w:left w:w="105" w:type="dxa"/>
              <w:right w:w="105" w:type="dxa"/>
            </w:tcMar>
          </w:tcPr>
          <w:p w14:paraId="7753AECE" w14:textId="77777777" w:rsidR="002E514B" w:rsidRDefault="002E514B" w:rsidP="002F173E">
            <w:pPr>
              <w:jc w:val="center"/>
            </w:pPr>
            <w:r>
              <w:t>260 mg</w:t>
            </w:r>
          </w:p>
        </w:tc>
        <w:tc>
          <w:tcPr>
            <w:tcW w:w="2700" w:type="dxa"/>
            <w:tcBorders>
              <w:top w:val="single" w:sz="6" w:space="0" w:color="auto"/>
              <w:left w:val="single" w:sz="4" w:space="0" w:color="auto"/>
              <w:bottom w:val="single" w:sz="4" w:space="0" w:color="auto"/>
              <w:right w:val="single" w:sz="6" w:space="0" w:color="auto"/>
            </w:tcBorders>
            <w:tcMar>
              <w:left w:w="105" w:type="dxa"/>
              <w:right w:w="105" w:type="dxa"/>
            </w:tcMar>
          </w:tcPr>
          <w:p w14:paraId="6066035B" w14:textId="77777777" w:rsidR="002E514B" w:rsidRDefault="002E514B" w:rsidP="002F173E">
            <w:pPr>
              <w:jc w:val="center"/>
            </w:pPr>
            <w:r>
              <w:t>2</w:t>
            </w:r>
          </w:p>
        </w:tc>
      </w:tr>
      <w:tr w:rsidR="002E514B" w14:paraId="3277F0B6" w14:textId="77777777" w:rsidTr="003743BD">
        <w:trPr>
          <w:trHeight w:val="300"/>
        </w:trPr>
        <w:tc>
          <w:tcPr>
            <w:tcW w:w="3930" w:type="dxa"/>
            <w:tcBorders>
              <w:top w:val="single" w:sz="4" w:space="0" w:color="auto"/>
              <w:left w:val="single" w:sz="6" w:space="0" w:color="auto"/>
              <w:bottom w:val="single" w:sz="4" w:space="0" w:color="auto"/>
              <w:right w:val="single" w:sz="4" w:space="0" w:color="auto"/>
            </w:tcBorders>
            <w:tcMar>
              <w:left w:w="105" w:type="dxa"/>
              <w:right w:w="105" w:type="dxa"/>
            </w:tcMar>
          </w:tcPr>
          <w:p w14:paraId="1F12B567" w14:textId="77777777" w:rsidR="002E514B" w:rsidRDefault="002E514B" w:rsidP="002F173E">
            <w:r>
              <w:t xml:space="preserve">&gt; 55 kg à </w:t>
            </w:r>
            <w:r>
              <w:rPr>
                <w:rFonts w:hint="eastAsia"/>
                <w:noProof/>
                <w:sz w:val="18"/>
                <w:szCs w:val="18"/>
              </w:rPr>
              <w:t>≤</w:t>
            </w:r>
            <w:r>
              <w:t> 85 kg</w:t>
            </w:r>
          </w:p>
        </w:tc>
        <w:tc>
          <w:tcPr>
            <w:tcW w:w="2415" w:type="dxa"/>
            <w:tcBorders>
              <w:top w:val="single" w:sz="4" w:space="0" w:color="auto"/>
              <w:left w:val="single" w:sz="4" w:space="0" w:color="auto"/>
              <w:bottom w:val="single" w:sz="4" w:space="0" w:color="auto"/>
              <w:right w:val="single" w:sz="4" w:space="0" w:color="auto"/>
            </w:tcBorders>
            <w:tcMar>
              <w:left w:w="105" w:type="dxa"/>
              <w:right w:w="105" w:type="dxa"/>
            </w:tcMar>
          </w:tcPr>
          <w:p w14:paraId="2BC5EED6" w14:textId="77777777" w:rsidR="002E514B" w:rsidRDefault="002E514B" w:rsidP="002F173E">
            <w:pPr>
              <w:jc w:val="center"/>
            </w:pPr>
            <w:r>
              <w:t>390 mg</w:t>
            </w:r>
          </w:p>
        </w:tc>
        <w:tc>
          <w:tcPr>
            <w:tcW w:w="2700" w:type="dxa"/>
            <w:tcBorders>
              <w:top w:val="single" w:sz="4" w:space="0" w:color="auto"/>
              <w:left w:val="single" w:sz="4" w:space="0" w:color="auto"/>
              <w:bottom w:val="single" w:sz="4" w:space="0" w:color="auto"/>
              <w:right w:val="single" w:sz="6" w:space="0" w:color="auto"/>
            </w:tcBorders>
            <w:tcMar>
              <w:left w:w="105" w:type="dxa"/>
              <w:right w:w="105" w:type="dxa"/>
            </w:tcMar>
          </w:tcPr>
          <w:p w14:paraId="636846FB" w14:textId="77777777" w:rsidR="002E514B" w:rsidRDefault="002E514B" w:rsidP="002F173E">
            <w:pPr>
              <w:jc w:val="center"/>
            </w:pPr>
            <w:r>
              <w:t>3</w:t>
            </w:r>
          </w:p>
        </w:tc>
      </w:tr>
      <w:tr w:rsidR="002E514B" w14:paraId="4F1EF029" w14:textId="77777777" w:rsidTr="003743BD">
        <w:trPr>
          <w:trHeight w:val="300"/>
        </w:trPr>
        <w:tc>
          <w:tcPr>
            <w:tcW w:w="3930" w:type="dxa"/>
            <w:tcBorders>
              <w:top w:val="single" w:sz="4" w:space="0" w:color="auto"/>
              <w:left w:val="single" w:sz="6" w:space="0" w:color="auto"/>
              <w:bottom w:val="single" w:sz="6" w:space="0" w:color="auto"/>
              <w:right w:val="single" w:sz="4" w:space="0" w:color="auto"/>
            </w:tcBorders>
            <w:tcMar>
              <w:left w:w="105" w:type="dxa"/>
              <w:right w:w="105" w:type="dxa"/>
            </w:tcMar>
          </w:tcPr>
          <w:p w14:paraId="3E5A54AD" w14:textId="77777777" w:rsidR="002E514B" w:rsidRDefault="002E514B" w:rsidP="002F173E">
            <w:r>
              <w:t>&gt; 85 kg</w:t>
            </w:r>
          </w:p>
        </w:tc>
        <w:tc>
          <w:tcPr>
            <w:tcW w:w="2415" w:type="dxa"/>
            <w:tcBorders>
              <w:top w:val="single" w:sz="4" w:space="0" w:color="auto"/>
              <w:left w:val="single" w:sz="4" w:space="0" w:color="auto"/>
              <w:bottom w:val="single" w:sz="6" w:space="0" w:color="auto"/>
              <w:right w:val="single" w:sz="4" w:space="0" w:color="auto"/>
            </w:tcBorders>
            <w:tcMar>
              <w:left w:w="105" w:type="dxa"/>
              <w:right w:w="105" w:type="dxa"/>
            </w:tcMar>
          </w:tcPr>
          <w:p w14:paraId="2A6F5388" w14:textId="77777777" w:rsidR="002E514B" w:rsidRDefault="002E514B" w:rsidP="002F173E">
            <w:pPr>
              <w:jc w:val="center"/>
            </w:pPr>
            <w:r>
              <w:t>520 mg</w:t>
            </w:r>
          </w:p>
        </w:tc>
        <w:tc>
          <w:tcPr>
            <w:tcW w:w="2700" w:type="dxa"/>
            <w:tcBorders>
              <w:top w:val="single" w:sz="4" w:space="0" w:color="auto"/>
              <w:left w:val="single" w:sz="4" w:space="0" w:color="auto"/>
              <w:bottom w:val="single" w:sz="6" w:space="0" w:color="auto"/>
              <w:right w:val="single" w:sz="6" w:space="0" w:color="auto"/>
            </w:tcBorders>
            <w:tcMar>
              <w:left w:w="105" w:type="dxa"/>
              <w:right w:w="105" w:type="dxa"/>
            </w:tcMar>
          </w:tcPr>
          <w:p w14:paraId="0BE4445A" w14:textId="77777777" w:rsidR="002E514B" w:rsidRDefault="002E514B" w:rsidP="002F173E">
            <w:pPr>
              <w:jc w:val="center"/>
            </w:pPr>
            <w:r>
              <w:t>4</w:t>
            </w:r>
          </w:p>
        </w:tc>
      </w:tr>
      <w:tr w:rsidR="002E514B" w14:paraId="48605DED" w14:textId="77777777" w:rsidTr="002F173E">
        <w:trPr>
          <w:trHeight w:val="300"/>
        </w:trPr>
        <w:tc>
          <w:tcPr>
            <w:tcW w:w="9045" w:type="dxa"/>
            <w:gridSpan w:val="3"/>
            <w:tcBorders>
              <w:top w:val="single" w:sz="6" w:space="0" w:color="auto"/>
              <w:left w:val="nil"/>
              <w:bottom w:val="nil"/>
              <w:right w:val="nil"/>
            </w:tcBorders>
            <w:tcMar>
              <w:left w:w="105" w:type="dxa"/>
              <w:right w:w="105" w:type="dxa"/>
            </w:tcMar>
          </w:tcPr>
          <w:p w14:paraId="70F028F6" w14:textId="492E72F1" w:rsidR="002E514B" w:rsidRDefault="002E514B" w:rsidP="002F173E">
            <w:pPr>
              <w:ind w:left="284" w:hanging="284"/>
              <w:rPr>
                <w:sz w:val="18"/>
                <w:szCs w:val="18"/>
              </w:rPr>
            </w:pPr>
            <w:r>
              <w:rPr>
                <w:vertAlign w:val="superscript"/>
              </w:rPr>
              <w:t>a</w:t>
            </w:r>
            <w:r>
              <w:t xml:space="preserve"> </w:t>
            </w:r>
            <w:r>
              <w:rPr>
                <w:sz w:val="18"/>
                <w:szCs w:val="18"/>
              </w:rPr>
              <w:t>Environ 6 mg/kg</w:t>
            </w:r>
          </w:p>
        </w:tc>
      </w:tr>
    </w:tbl>
    <w:p w14:paraId="340030FA" w14:textId="77777777" w:rsidR="002E514B" w:rsidRDefault="002E514B" w:rsidP="002E514B">
      <w:pPr>
        <w:rPr>
          <w:noProof/>
        </w:rPr>
      </w:pPr>
    </w:p>
    <w:p w14:paraId="0663C589" w14:textId="65C7C0B8" w:rsidR="002E514B" w:rsidRDefault="002E514B" w:rsidP="002E514B">
      <w:pPr>
        <w:rPr>
          <w:noProof/>
          <w:lang w:eastAsia="nl-BE"/>
        </w:rPr>
      </w:pPr>
      <w:r>
        <w:rPr>
          <w:noProof/>
          <w:lang w:eastAsia="nl-BE"/>
        </w:rPr>
        <w:t>La première dose sous-cutanée doit être administrée à la semaine 8 après la dose intraveineuse. Pour le schéma posologique des injections sous-cutanées suivantes, voir rubrique 4.2 des RCP de WEZENLA solution injectable (flacon) et solution injectable en seringue préremplie.</w:t>
      </w:r>
    </w:p>
    <w:p w14:paraId="3C9DBCA9" w14:textId="77777777" w:rsidR="002E514B" w:rsidRDefault="002E514B" w:rsidP="002E514B">
      <w:pPr>
        <w:rPr>
          <w:noProof/>
          <w:lang w:eastAsia="nl-BE"/>
        </w:rPr>
      </w:pPr>
    </w:p>
    <w:p w14:paraId="6AC4A191" w14:textId="77777777" w:rsidR="00F71A2E" w:rsidRPr="002B65F7" w:rsidRDefault="00F71A2E" w:rsidP="00496255">
      <w:pPr>
        <w:keepNext/>
        <w:widowControl/>
        <w:rPr>
          <w:i/>
          <w:iCs/>
        </w:rPr>
      </w:pPr>
    </w:p>
    <w:p w14:paraId="03B57CB7" w14:textId="72F5DDE7" w:rsidR="00092F83" w:rsidRPr="002B65F7" w:rsidRDefault="00C31740" w:rsidP="00496255">
      <w:pPr>
        <w:widowControl/>
      </w:pPr>
      <w:r w:rsidRPr="002B65F7">
        <w:t xml:space="preserve">La sécurité et l’efficacité de </w:t>
      </w:r>
      <w:r w:rsidR="004D2D10" w:rsidRPr="002B65F7">
        <w:t>l’</w:t>
      </w:r>
      <w:r w:rsidR="0071390F" w:rsidRPr="002B65F7">
        <w:t>ustekinumab</w:t>
      </w:r>
      <w:r w:rsidRPr="002B65F7">
        <w:t xml:space="preserve"> dans le traitement de la maladie de Crohn </w:t>
      </w:r>
      <w:r w:rsidR="00444BE6">
        <w:rPr>
          <w:noProof/>
          <w:lang w:eastAsia="nl-BE"/>
        </w:rPr>
        <w:t>chez les patients pédiatriques pesant moins de 40 kg</w:t>
      </w:r>
      <w:r w:rsidRPr="002B65F7">
        <w:t xml:space="preserve"> n’ont pas encore été établies. Aucune donnée n’est disponible.</w:t>
      </w:r>
    </w:p>
    <w:p w14:paraId="38ED2F6C" w14:textId="77777777" w:rsidR="00F71A2E" w:rsidRPr="002B65F7" w:rsidRDefault="00F71A2E" w:rsidP="00496255">
      <w:pPr>
        <w:widowControl/>
      </w:pPr>
    </w:p>
    <w:p w14:paraId="03B57CB8" w14:textId="14771F01" w:rsidR="00092F83" w:rsidRPr="002B65F7" w:rsidRDefault="00C31740" w:rsidP="00496255">
      <w:pPr>
        <w:keepNext/>
        <w:widowControl/>
        <w:rPr>
          <w:u w:val="single"/>
        </w:rPr>
      </w:pPr>
      <w:r w:rsidRPr="002B65F7">
        <w:rPr>
          <w:u w:val="single"/>
        </w:rPr>
        <w:t>Mode d’administration</w:t>
      </w:r>
    </w:p>
    <w:p w14:paraId="21EA8192" w14:textId="77777777" w:rsidR="00F71A2E" w:rsidRPr="002B65F7" w:rsidRDefault="00F71A2E" w:rsidP="00496255">
      <w:pPr>
        <w:keepNext/>
        <w:widowControl/>
        <w:rPr>
          <w:u w:val="single"/>
        </w:rPr>
      </w:pPr>
    </w:p>
    <w:p w14:paraId="03B57CBA" w14:textId="2FA668D0" w:rsidR="00092F83" w:rsidRPr="002B65F7" w:rsidRDefault="004D2D10" w:rsidP="00496255">
      <w:pPr>
        <w:widowControl/>
      </w:pPr>
      <w:r w:rsidRPr="002B65F7">
        <w:t>WEZENLA</w:t>
      </w:r>
      <w:r w:rsidR="00C31740" w:rsidRPr="002B65F7">
        <w:t xml:space="preserve"> 130</w:t>
      </w:r>
      <w:r w:rsidR="00F71A2E" w:rsidRPr="002B65F7">
        <w:t> </w:t>
      </w:r>
      <w:r w:rsidR="00C31740" w:rsidRPr="002B65F7">
        <w:t>mg est exclusivement destiné à l’administration par voie intraveineuse. Il doit être administré sur une période d’au moins une heure.</w:t>
      </w:r>
      <w:r w:rsidR="00EE24A4" w:rsidRPr="002B65F7">
        <w:t xml:space="preserve"> </w:t>
      </w:r>
      <w:r w:rsidR="00C31740" w:rsidRPr="002B65F7">
        <w:t>Pour les instructions sur la dilution du médicament avant administration, voir rubrique</w:t>
      </w:r>
      <w:r w:rsidR="00F71A2E" w:rsidRPr="002B65F7">
        <w:t> </w:t>
      </w:r>
      <w:r w:rsidR="00C31740" w:rsidRPr="002B65F7">
        <w:t>6.6.</w:t>
      </w:r>
    </w:p>
    <w:p w14:paraId="03B57CBB" w14:textId="77777777" w:rsidR="00092F83" w:rsidRPr="002B65F7" w:rsidRDefault="00092F83" w:rsidP="00496255">
      <w:pPr>
        <w:widowControl/>
      </w:pPr>
    </w:p>
    <w:p w14:paraId="03B57CBC" w14:textId="56C03940" w:rsidR="00092F83" w:rsidRPr="002B65F7" w:rsidRDefault="002163A7" w:rsidP="00496255">
      <w:pPr>
        <w:keepNext/>
        <w:widowControl/>
        <w:tabs>
          <w:tab w:val="left" w:pos="567"/>
        </w:tabs>
        <w:ind w:left="567" w:hanging="567"/>
        <w:rPr>
          <w:b/>
          <w:bCs/>
        </w:rPr>
      </w:pPr>
      <w:r w:rsidRPr="002B65F7">
        <w:rPr>
          <w:b/>
          <w:bCs/>
        </w:rPr>
        <w:t>4.3</w:t>
      </w:r>
      <w:r w:rsidRPr="002B65F7">
        <w:rPr>
          <w:b/>
          <w:bCs/>
        </w:rPr>
        <w:tab/>
        <w:t>Contre-indications</w:t>
      </w:r>
    </w:p>
    <w:p w14:paraId="03B57CBD" w14:textId="77777777" w:rsidR="00092F83" w:rsidRPr="002B65F7" w:rsidRDefault="00092F83" w:rsidP="00496255">
      <w:pPr>
        <w:keepNext/>
        <w:widowControl/>
      </w:pPr>
    </w:p>
    <w:p w14:paraId="60987551" w14:textId="2C4E8E37" w:rsidR="00B57E26" w:rsidRPr="002B65F7" w:rsidRDefault="00C31740" w:rsidP="00496255">
      <w:pPr>
        <w:widowControl/>
      </w:pPr>
      <w:r w:rsidRPr="002B65F7">
        <w:t>Hypersensibilité à la substance active ou à l’un des excipients mentionnés à la rubrique</w:t>
      </w:r>
      <w:r w:rsidR="009134DC" w:rsidRPr="002B65F7">
        <w:t> </w:t>
      </w:r>
      <w:r w:rsidRPr="002B65F7">
        <w:t>6.1.</w:t>
      </w:r>
    </w:p>
    <w:p w14:paraId="5BE47052" w14:textId="77777777" w:rsidR="00B57E26" w:rsidRPr="002B65F7" w:rsidRDefault="00B57E26" w:rsidP="00496255">
      <w:pPr>
        <w:widowControl/>
      </w:pPr>
    </w:p>
    <w:p w14:paraId="03B57CBE" w14:textId="53D98C33" w:rsidR="00092F83" w:rsidRPr="002B65F7" w:rsidRDefault="00C31740" w:rsidP="00496255">
      <w:pPr>
        <w:widowControl/>
      </w:pPr>
      <w:r w:rsidRPr="002B65F7">
        <w:t>Infection active et cliniquement importante (par exemple une tuberculose active ; voir rubrique</w:t>
      </w:r>
      <w:r w:rsidR="009134DC" w:rsidRPr="002B65F7">
        <w:t> </w:t>
      </w:r>
      <w:r w:rsidRPr="002B65F7">
        <w:t>4.4).</w:t>
      </w:r>
    </w:p>
    <w:p w14:paraId="08D53867" w14:textId="77777777" w:rsidR="00DF55BB" w:rsidRPr="002B65F7" w:rsidRDefault="00DF55BB" w:rsidP="00496255">
      <w:pPr>
        <w:widowControl/>
      </w:pPr>
    </w:p>
    <w:p w14:paraId="03B57CBF" w14:textId="40AC0B52" w:rsidR="00092F83" w:rsidRPr="002B65F7" w:rsidRDefault="00F0796E" w:rsidP="00496255">
      <w:pPr>
        <w:keepNext/>
        <w:widowControl/>
        <w:tabs>
          <w:tab w:val="left" w:pos="567"/>
        </w:tabs>
        <w:ind w:left="567" w:hanging="567"/>
        <w:rPr>
          <w:b/>
          <w:bCs/>
        </w:rPr>
      </w:pPr>
      <w:r w:rsidRPr="002B65F7">
        <w:rPr>
          <w:b/>
          <w:bCs/>
        </w:rPr>
        <w:t>4.4</w:t>
      </w:r>
      <w:r w:rsidRPr="002B65F7">
        <w:rPr>
          <w:b/>
          <w:bCs/>
        </w:rPr>
        <w:tab/>
        <w:t>Mises en garde spéciales et précautions d’emploi</w:t>
      </w:r>
    </w:p>
    <w:p w14:paraId="4A9D5034" w14:textId="77777777" w:rsidR="00F0796E" w:rsidRPr="002B65F7" w:rsidRDefault="00F0796E" w:rsidP="00496255">
      <w:pPr>
        <w:keepNext/>
        <w:widowControl/>
      </w:pPr>
    </w:p>
    <w:p w14:paraId="03B57CC0" w14:textId="1A159FBA" w:rsidR="00092F83" w:rsidRPr="002B65F7" w:rsidRDefault="00C31740" w:rsidP="00496255">
      <w:pPr>
        <w:keepNext/>
        <w:widowControl/>
        <w:rPr>
          <w:u w:val="single"/>
        </w:rPr>
      </w:pPr>
      <w:r w:rsidRPr="002B65F7">
        <w:rPr>
          <w:u w:val="single"/>
        </w:rPr>
        <w:t>Traçabilité</w:t>
      </w:r>
    </w:p>
    <w:p w14:paraId="6963B4D2" w14:textId="77777777" w:rsidR="00F0796E" w:rsidRPr="002B65F7" w:rsidRDefault="00F0796E" w:rsidP="00496255">
      <w:pPr>
        <w:keepNext/>
        <w:widowControl/>
        <w:rPr>
          <w:u w:val="single"/>
        </w:rPr>
      </w:pPr>
    </w:p>
    <w:p w14:paraId="03B57CC1" w14:textId="77777777" w:rsidR="00092F83" w:rsidRPr="002B65F7" w:rsidRDefault="00C31740" w:rsidP="00496255">
      <w:pPr>
        <w:widowControl/>
      </w:pPr>
      <w:r w:rsidRPr="002B65F7">
        <w:t>Afin d’améliorer la traçabilité des médicaments biologiques, le nom de marque et le numéro de lot du produit administré doivent être clairement enregistrés.</w:t>
      </w:r>
    </w:p>
    <w:p w14:paraId="0F03A360" w14:textId="77777777" w:rsidR="00F0796E" w:rsidRPr="002B65F7" w:rsidRDefault="00F0796E" w:rsidP="00496255">
      <w:pPr>
        <w:widowControl/>
      </w:pPr>
    </w:p>
    <w:p w14:paraId="03B57CC2" w14:textId="75350B69" w:rsidR="00092F83" w:rsidRPr="002B65F7" w:rsidRDefault="00C31740" w:rsidP="00496255">
      <w:pPr>
        <w:keepNext/>
        <w:widowControl/>
        <w:rPr>
          <w:u w:val="single"/>
        </w:rPr>
      </w:pPr>
      <w:r w:rsidRPr="002B65F7">
        <w:rPr>
          <w:u w:val="single"/>
        </w:rPr>
        <w:t>Infections</w:t>
      </w:r>
    </w:p>
    <w:p w14:paraId="3AE4C3B7" w14:textId="77777777" w:rsidR="00F0796E" w:rsidRPr="002B65F7" w:rsidRDefault="00F0796E" w:rsidP="00496255">
      <w:pPr>
        <w:keepNext/>
        <w:widowControl/>
      </w:pPr>
    </w:p>
    <w:p w14:paraId="03B57CC3" w14:textId="792360E8" w:rsidR="00092F83" w:rsidRPr="002B65F7" w:rsidRDefault="00C31740" w:rsidP="00496255">
      <w:pPr>
        <w:widowControl/>
      </w:pPr>
      <w:r w:rsidRPr="002B65F7">
        <w:t>L’</w:t>
      </w:r>
      <w:r w:rsidR="0071390F" w:rsidRPr="002B65F7">
        <w:t>ustekinumab</w:t>
      </w:r>
      <w:r w:rsidRPr="002B65F7">
        <w:t xml:space="preserve"> peut potentiellement augmenter le risque d’infections et réactiver des infections latentes. Lors des études cliniques et dans une étude observationnelle après mise sur le marché chez des patients atteints de psoriasis, de graves infections bactériennes, fongiques et virales ont été observées chez des patients recevant </w:t>
      </w:r>
      <w:r w:rsidR="004D2D10" w:rsidRPr="002B65F7">
        <w:t>l’</w:t>
      </w:r>
      <w:r w:rsidR="0071390F" w:rsidRPr="002B65F7">
        <w:t>ustekinumab</w:t>
      </w:r>
      <w:r w:rsidRPr="002B65F7">
        <w:t xml:space="preserve"> (voir rubrique</w:t>
      </w:r>
      <w:r w:rsidR="00F0796E" w:rsidRPr="002B65F7">
        <w:t> </w:t>
      </w:r>
      <w:r w:rsidRPr="002B65F7">
        <w:t>4.8).</w:t>
      </w:r>
    </w:p>
    <w:p w14:paraId="0D78DD9D" w14:textId="77777777" w:rsidR="00F0796E" w:rsidRPr="002B65F7" w:rsidRDefault="00F0796E" w:rsidP="00496255">
      <w:pPr>
        <w:widowControl/>
      </w:pPr>
    </w:p>
    <w:p w14:paraId="03B57CC4" w14:textId="43578890" w:rsidR="00092F83" w:rsidRPr="002B65F7" w:rsidRDefault="00C31740" w:rsidP="00496255">
      <w:pPr>
        <w:widowControl/>
      </w:pPr>
      <w:r w:rsidRPr="002B65F7">
        <w:t>Des infections opportunistes, notamment une réactivation de la tuberculose, d’autres infections bactériennes opportunistes (dont infection mycobactérienne atypique, méningite à listeria, pneumonie à legionella, et nocardiose), des infections fongiques opportunistes, des infections virales opportunistes (dont encéphalite causée par Herpes simplex</w:t>
      </w:r>
      <w:r w:rsidR="00BA5081" w:rsidRPr="002B65F7">
        <w:t> </w:t>
      </w:r>
      <w:r w:rsidRPr="002B65F7">
        <w:t xml:space="preserve">2), et des infections parasitaires (dont toxoplasmose oculaire) ont été rapportées chez les patients traités par </w:t>
      </w:r>
      <w:r w:rsidR="0071390F" w:rsidRPr="002B65F7">
        <w:t>ustekinumab</w:t>
      </w:r>
      <w:r w:rsidRPr="002B65F7">
        <w:t>.</w:t>
      </w:r>
    </w:p>
    <w:p w14:paraId="504953AF" w14:textId="77777777" w:rsidR="00BA5081" w:rsidRPr="002B65F7" w:rsidRDefault="00BA5081" w:rsidP="00496255">
      <w:pPr>
        <w:widowControl/>
      </w:pPr>
    </w:p>
    <w:p w14:paraId="03B57CC5" w14:textId="05344CC9" w:rsidR="00092F83" w:rsidRPr="002B65F7" w:rsidRDefault="00C31740" w:rsidP="00496255">
      <w:pPr>
        <w:widowControl/>
      </w:pPr>
      <w:r w:rsidRPr="002B65F7">
        <w:t xml:space="preserve">Des précautions doivent être prises lorsque l’utilisation de </w:t>
      </w:r>
      <w:r w:rsidR="004D2D10" w:rsidRPr="002B65F7">
        <w:t>WEZENLA</w:t>
      </w:r>
      <w:r w:rsidRPr="002B65F7">
        <w:t xml:space="preserve"> est envisagée chez les patients présentant une infection chronique ou </w:t>
      </w:r>
      <w:r w:rsidR="003F37B6">
        <w:t xml:space="preserve">ayant </w:t>
      </w:r>
      <w:r w:rsidRPr="002B65F7">
        <w:t>des antécédents d’infections récurrentes (voir rubrique</w:t>
      </w:r>
      <w:r w:rsidR="00425ADA" w:rsidRPr="002B65F7">
        <w:t> </w:t>
      </w:r>
      <w:r w:rsidRPr="002B65F7">
        <w:t>4.3).</w:t>
      </w:r>
    </w:p>
    <w:p w14:paraId="0E21144D" w14:textId="77777777" w:rsidR="00425ADA" w:rsidRPr="002B65F7" w:rsidRDefault="00425ADA" w:rsidP="00496255">
      <w:pPr>
        <w:widowControl/>
      </w:pPr>
    </w:p>
    <w:p w14:paraId="03B57CC7" w14:textId="04F0B8CE" w:rsidR="00092F83" w:rsidRPr="002B65F7" w:rsidRDefault="00C31740" w:rsidP="00496255">
      <w:pPr>
        <w:widowControl/>
      </w:pPr>
      <w:r w:rsidRPr="002B65F7">
        <w:t xml:space="preserve">Avant d’initier le traitement par </w:t>
      </w:r>
      <w:r w:rsidR="004D2D10" w:rsidRPr="002B65F7">
        <w:t>WEZENLA</w:t>
      </w:r>
      <w:r w:rsidRPr="002B65F7">
        <w:t xml:space="preserve">, les patients doivent être examinés pour dépister une infection tuberculeuse. </w:t>
      </w:r>
      <w:r w:rsidR="004D2D10" w:rsidRPr="002B65F7">
        <w:t>WEZENLA</w:t>
      </w:r>
      <w:r w:rsidRPr="002B65F7">
        <w:t xml:space="preserve"> ne doit pas être administré à des patients présentant une tuberculose active (voir rubrique</w:t>
      </w:r>
      <w:r w:rsidR="009D24AB" w:rsidRPr="002B65F7">
        <w:t> </w:t>
      </w:r>
      <w:r w:rsidRPr="002B65F7">
        <w:t xml:space="preserve">4.3). Le traitement d’une tuberculose latente doit être initié avant l’administration de </w:t>
      </w:r>
      <w:r w:rsidR="004D2D10" w:rsidRPr="002B65F7">
        <w:t>WEZENLA</w:t>
      </w:r>
      <w:r w:rsidRPr="002B65F7">
        <w:t xml:space="preserve">. Un traitement anti-tuberculeux doit également être envisagé avant l’initiation de </w:t>
      </w:r>
      <w:r w:rsidR="004D2D10" w:rsidRPr="002B65F7">
        <w:t>WEZENLA</w:t>
      </w:r>
      <w:r w:rsidRPr="002B65F7">
        <w:t xml:space="preserve"> chez les patients ayant des antécédents de tuberculose latente ou active pour lesquels le suivi d’un traitement adapté ne peut être confirmé. Les patients recevant </w:t>
      </w:r>
      <w:r w:rsidR="004D2D10" w:rsidRPr="002B65F7">
        <w:t>WEZENLA</w:t>
      </w:r>
      <w:r w:rsidRPr="002B65F7">
        <w:t xml:space="preserve"> doivent être étroitement surveillés pour dépister les signes et symptômes de tuberculose active pendant et après le traitement.</w:t>
      </w:r>
    </w:p>
    <w:p w14:paraId="03B57CC8" w14:textId="77777777" w:rsidR="00092F83" w:rsidRPr="002B65F7" w:rsidRDefault="00092F83" w:rsidP="00496255">
      <w:pPr>
        <w:widowControl/>
      </w:pPr>
    </w:p>
    <w:p w14:paraId="03B57CC9" w14:textId="4FD66EBD" w:rsidR="00092F83" w:rsidRPr="002B65F7" w:rsidRDefault="00C31740" w:rsidP="00496255">
      <w:pPr>
        <w:widowControl/>
      </w:pPr>
      <w:r w:rsidRPr="002B65F7">
        <w:t xml:space="preserve">Les patients doivent être informés de la nécessité de consulter un médecin en cas de survenue de signes ou symptômes évocateurs d’une infection. Si un patient développe une infection grave, le patient devra être étroitement surveillé et </w:t>
      </w:r>
      <w:r w:rsidR="004D2D10" w:rsidRPr="002B65F7">
        <w:t>WEZENLA</w:t>
      </w:r>
      <w:r w:rsidRPr="002B65F7">
        <w:t xml:space="preserve"> ne devra pas être administré avant la guérison de l’infection.</w:t>
      </w:r>
    </w:p>
    <w:p w14:paraId="03B57CCA" w14:textId="77777777" w:rsidR="00092F83" w:rsidRPr="002B65F7" w:rsidRDefault="00092F83" w:rsidP="00496255">
      <w:pPr>
        <w:widowControl/>
      </w:pPr>
    </w:p>
    <w:p w14:paraId="03B57CCB" w14:textId="77777777" w:rsidR="00092F83" w:rsidRPr="002B65F7" w:rsidRDefault="00C31740" w:rsidP="00496255">
      <w:pPr>
        <w:keepNext/>
        <w:widowControl/>
        <w:rPr>
          <w:u w:val="single"/>
        </w:rPr>
      </w:pPr>
      <w:r w:rsidRPr="002B65F7">
        <w:rPr>
          <w:u w:val="single"/>
        </w:rPr>
        <w:lastRenderedPageBreak/>
        <w:t>Tumeurs malignes</w:t>
      </w:r>
    </w:p>
    <w:p w14:paraId="69996B23" w14:textId="77777777" w:rsidR="00425ADA" w:rsidRPr="002B65F7" w:rsidRDefault="00425ADA" w:rsidP="00496255">
      <w:pPr>
        <w:keepNext/>
        <w:widowControl/>
        <w:rPr>
          <w:u w:val="single"/>
        </w:rPr>
      </w:pPr>
    </w:p>
    <w:p w14:paraId="03B57CCC" w14:textId="4E153749" w:rsidR="00092F83" w:rsidRPr="002B65F7" w:rsidRDefault="00C31740" w:rsidP="00496255">
      <w:pPr>
        <w:widowControl/>
      </w:pPr>
      <w:r w:rsidRPr="002B65F7">
        <w:t>Les immunosuppresseurs comme l’</w:t>
      </w:r>
      <w:r w:rsidR="0071390F" w:rsidRPr="002B65F7">
        <w:t>ustekinumab</w:t>
      </w:r>
      <w:r w:rsidRPr="002B65F7">
        <w:t xml:space="preserve"> sont susceptibles d’augmenter le risque de tumeurs malignes. Certains patients ayant reçu </w:t>
      </w:r>
      <w:r w:rsidR="004D2D10" w:rsidRPr="002B65F7">
        <w:t>de l’</w:t>
      </w:r>
      <w:r w:rsidR="0071390F" w:rsidRPr="002B65F7">
        <w:t>ustekinumab</w:t>
      </w:r>
      <w:r w:rsidRPr="002B65F7">
        <w:t xml:space="preserve"> au cours d’études cliniques et des patients atteints de psoriasis dans une étude observationnelle après mise sur le marché ont développé des tumeurs malignes cutanées et non-cutanées (voir rubrique</w:t>
      </w:r>
      <w:r w:rsidR="00425ADA" w:rsidRPr="002B65F7">
        <w:t> </w:t>
      </w:r>
      <w:r w:rsidRPr="002B65F7">
        <w:t>4.8). Le risque de tumeur maligne peut être supérieur chez les patients atteints de psoriasis qui ont été traités avec d’autres médicaments biologiques au cours de leur maladie.</w:t>
      </w:r>
    </w:p>
    <w:p w14:paraId="219E819D" w14:textId="77777777" w:rsidR="0092259D" w:rsidRPr="002B65F7" w:rsidRDefault="0092259D" w:rsidP="00496255">
      <w:pPr>
        <w:widowControl/>
      </w:pPr>
    </w:p>
    <w:p w14:paraId="03B57CCD" w14:textId="7945FD80" w:rsidR="00092F83" w:rsidRPr="002B65F7" w:rsidRDefault="00C31740" w:rsidP="00496255">
      <w:pPr>
        <w:widowControl/>
      </w:pPr>
      <w:r w:rsidRPr="002B65F7">
        <w:t xml:space="preserve">Aucune étude n’a été conduite chez des patients avec antécédents de tumeur maligne ou chez des patients ayant continué leur traitement alors qu’ils avaient développé une tumeur maligne sous </w:t>
      </w:r>
      <w:r w:rsidR="0071390F" w:rsidRPr="002B65F7">
        <w:t>ustekinumab</w:t>
      </w:r>
      <w:r w:rsidRPr="002B65F7">
        <w:t xml:space="preserve">. En conséquence, des précautions doivent être prises lorsqu’un traitement par </w:t>
      </w:r>
      <w:r w:rsidR="00D97054" w:rsidRPr="002B65F7">
        <w:t>ustekinumab</w:t>
      </w:r>
      <w:r w:rsidRPr="002B65F7">
        <w:t xml:space="preserve"> est envisagé chez ces patients.</w:t>
      </w:r>
    </w:p>
    <w:p w14:paraId="03B57CCE" w14:textId="77777777" w:rsidR="00092F83" w:rsidRPr="002B65F7" w:rsidRDefault="00092F83" w:rsidP="00496255">
      <w:pPr>
        <w:widowControl/>
      </w:pPr>
    </w:p>
    <w:p w14:paraId="03B57CCF" w14:textId="44214C11" w:rsidR="00092F83" w:rsidRPr="002B65F7" w:rsidRDefault="00C31740" w:rsidP="00496255">
      <w:pPr>
        <w:widowControl/>
      </w:pPr>
      <w:r w:rsidRPr="002B65F7">
        <w:t>Tous les patients doivent être surveillés pour éviter l’apparition d’un cancer de la peau, en particulier ceux âgés de plus de 60</w:t>
      </w:r>
      <w:r w:rsidR="007F4B1E" w:rsidRPr="002B65F7">
        <w:t> </w:t>
      </w:r>
      <w:r w:rsidRPr="002B65F7">
        <w:t>ans, ceux avec des antécédents médicaux de traitements prolongés par immunosuppresseurs ou ceux ayant des antécédents de traitement par puvathérapie (voir rubrique</w:t>
      </w:r>
      <w:r w:rsidR="00342949" w:rsidRPr="002B65F7">
        <w:t> </w:t>
      </w:r>
      <w:r w:rsidRPr="002B65F7">
        <w:t>4.8).</w:t>
      </w:r>
    </w:p>
    <w:p w14:paraId="03B57CD0" w14:textId="77777777" w:rsidR="00092F83" w:rsidRPr="002B65F7" w:rsidRDefault="00092F83" w:rsidP="00496255">
      <w:pPr>
        <w:widowControl/>
      </w:pPr>
    </w:p>
    <w:p w14:paraId="03B57CD1" w14:textId="77777777" w:rsidR="00092F83" w:rsidRPr="002B65F7" w:rsidRDefault="00C31740" w:rsidP="00496255">
      <w:pPr>
        <w:keepNext/>
        <w:widowControl/>
        <w:rPr>
          <w:u w:val="single"/>
        </w:rPr>
      </w:pPr>
      <w:r w:rsidRPr="002B65F7">
        <w:rPr>
          <w:u w:val="single"/>
        </w:rPr>
        <w:t>Réactions d’hypersensibilité systémique et respiratoire</w:t>
      </w:r>
    </w:p>
    <w:p w14:paraId="13C5E7EE" w14:textId="77777777" w:rsidR="00467D51" w:rsidRPr="002B65F7" w:rsidRDefault="00467D51" w:rsidP="00496255">
      <w:pPr>
        <w:keepNext/>
        <w:widowControl/>
      </w:pPr>
    </w:p>
    <w:p w14:paraId="03B57CD2" w14:textId="76180D5F" w:rsidR="00092F83" w:rsidRPr="002B65F7" w:rsidRDefault="00C31740" w:rsidP="00496255">
      <w:pPr>
        <w:keepNext/>
        <w:widowControl/>
        <w:rPr>
          <w:i/>
          <w:iCs/>
        </w:rPr>
      </w:pPr>
      <w:r w:rsidRPr="002B65F7">
        <w:rPr>
          <w:i/>
          <w:iCs/>
        </w:rPr>
        <w:t>Systémique</w:t>
      </w:r>
    </w:p>
    <w:p w14:paraId="269A588C" w14:textId="77777777" w:rsidR="00467D51" w:rsidRPr="002B65F7" w:rsidRDefault="00467D51" w:rsidP="00496255">
      <w:pPr>
        <w:keepNext/>
        <w:widowControl/>
        <w:rPr>
          <w:i/>
          <w:iCs/>
        </w:rPr>
      </w:pPr>
    </w:p>
    <w:p w14:paraId="03B57CD3" w14:textId="55037DC4" w:rsidR="00092F83" w:rsidRPr="002B65F7" w:rsidRDefault="00C31740" w:rsidP="00496255">
      <w:pPr>
        <w:widowControl/>
      </w:pPr>
      <w:r w:rsidRPr="002B65F7">
        <w:t xml:space="preserve">Des réactions d’hypersensibilité graves ont été rapportées depuis la mise sur le marché du produit, dans certains cas plusieurs jours après le traitement. Des anaphylaxies et </w:t>
      </w:r>
      <w:r w:rsidR="007246B2" w:rsidRPr="002B65F7">
        <w:t>angioœdèmes</w:t>
      </w:r>
      <w:r w:rsidRPr="002B65F7">
        <w:t xml:space="preserve"> sont survenus. En cas de survenue d’une réaction anaphylactique ou d’une autre réaction d’hypersensibilité grave, un traitement approprié doit être instauré et l’administration de </w:t>
      </w:r>
      <w:r w:rsidR="004D2D10" w:rsidRPr="002B65F7">
        <w:t>WEZENLA</w:t>
      </w:r>
      <w:r w:rsidRPr="002B65F7">
        <w:t xml:space="preserve"> doit être interrompue (voir rubrique</w:t>
      </w:r>
      <w:r w:rsidR="00C958FA" w:rsidRPr="002B65F7">
        <w:t> </w:t>
      </w:r>
      <w:r w:rsidRPr="002B65F7">
        <w:t>4.8).</w:t>
      </w:r>
    </w:p>
    <w:p w14:paraId="03B57CD4" w14:textId="77777777" w:rsidR="00092F83" w:rsidRPr="002B65F7" w:rsidRDefault="00092F83" w:rsidP="00496255">
      <w:pPr>
        <w:widowControl/>
      </w:pPr>
    </w:p>
    <w:p w14:paraId="03B57CD5" w14:textId="77777777" w:rsidR="00092F83" w:rsidRPr="002B65F7" w:rsidRDefault="00C31740" w:rsidP="00496255">
      <w:pPr>
        <w:keepNext/>
        <w:widowControl/>
        <w:rPr>
          <w:i/>
          <w:iCs/>
        </w:rPr>
      </w:pPr>
      <w:r w:rsidRPr="002B65F7">
        <w:rPr>
          <w:i/>
          <w:iCs/>
        </w:rPr>
        <w:t>Réactions liées à la perfusion</w:t>
      </w:r>
    </w:p>
    <w:p w14:paraId="25EACEB4" w14:textId="77777777" w:rsidR="00C958FA" w:rsidRPr="002B65F7" w:rsidRDefault="00C958FA" w:rsidP="00496255">
      <w:pPr>
        <w:keepNext/>
        <w:widowControl/>
        <w:rPr>
          <w:i/>
          <w:iCs/>
        </w:rPr>
      </w:pPr>
    </w:p>
    <w:p w14:paraId="03B57CD6" w14:textId="2B13A76D" w:rsidR="00092F83" w:rsidRPr="002B65F7" w:rsidRDefault="00C31740" w:rsidP="00496255">
      <w:pPr>
        <w:widowControl/>
      </w:pPr>
      <w:r w:rsidRPr="002B65F7">
        <w:t>Des réactions liées à la perfusion ont été observées dans des études cliniques (voir rubrique</w:t>
      </w:r>
      <w:r w:rsidR="00C958FA" w:rsidRPr="002B65F7">
        <w:t> </w:t>
      </w:r>
      <w:r w:rsidRPr="002B65F7">
        <w:t>4.8). De graves réactions liées à la perfusion, notamment des réactions anaphylactiques, ont été rapportées depuis la mise sur le marché du produit. En cas de survenue d’une réaction grave ou mettant en jeu le pronostic vital, un traitement approprié doit être instauré et l’administration de l’</w:t>
      </w:r>
      <w:r w:rsidR="0071390F" w:rsidRPr="002B65F7">
        <w:t>ustekinumab</w:t>
      </w:r>
      <w:r w:rsidRPr="002B65F7">
        <w:t xml:space="preserve"> doit être interrompue.</w:t>
      </w:r>
    </w:p>
    <w:p w14:paraId="03B57CD7" w14:textId="77777777" w:rsidR="00092F83" w:rsidRPr="002B65F7" w:rsidRDefault="00092F83" w:rsidP="00E82841">
      <w:pPr>
        <w:keepNext/>
        <w:keepLines/>
        <w:widowControl/>
      </w:pPr>
    </w:p>
    <w:p w14:paraId="03B57CD8" w14:textId="77777777" w:rsidR="00092F83" w:rsidRPr="002B65F7" w:rsidRDefault="00C31740" w:rsidP="00496255">
      <w:pPr>
        <w:keepNext/>
        <w:widowControl/>
        <w:rPr>
          <w:i/>
          <w:iCs/>
        </w:rPr>
      </w:pPr>
      <w:r w:rsidRPr="002B65F7">
        <w:rPr>
          <w:i/>
          <w:iCs/>
        </w:rPr>
        <w:t>Respiratoire</w:t>
      </w:r>
    </w:p>
    <w:p w14:paraId="147BB954" w14:textId="77777777" w:rsidR="00C958FA" w:rsidRPr="002B65F7" w:rsidRDefault="00C958FA" w:rsidP="00496255">
      <w:pPr>
        <w:keepNext/>
        <w:widowControl/>
        <w:rPr>
          <w:i/>
          <w:iCs/>
        </w:rPr>
      </w:pPr>
    </w:p>
    <w:p w14:paraId="03B57CD9" w14:textId="76C80100" w:rsidR="00092F83" w:rsidRPr="002B65F7" w:rsidRDefault="00C31740" w:rsidP="00496255">
      <w:pPr>
        <w:widowControl/>
      </w:pPr>
      <w:r w:rsidRPr="002B65F7">
        <w:t>Des cas d’alvéolite allergique, de pneumopathie à éosinophiles, et de pneumopathie organisée non infectieuse ont été rapportés depuis la mise sur le marché d’</w:t>
      </w:r>
      <w:r w:rsidR="0071390F" w:rsidRPr="002B65F7">
        <w:t>ustekinumab</w:t>
      </w:r>
      <w:r w:rsidRPr="002B65F7">
        <w:t>. Les symptômes cliniques comprenaient toux, dyspnée, infiltrats interstitiels après une à trois administrations. Les complications graves incluaient insuffisance respiratoire et prolongation d’hospitalisation. Une amélioration a été rapportée après arrêt de l’</w:t>
      </w:r>
      <w:r w:rsidR="0071390F" w:rsidRPr="002B65F7">
        <w:t>ustekinumab</w:t>
      </w:r>
      <w:r w:rsidRPr="002B65F7">
        <w:t xml:space="preserve"> et aussi dans certains cas après administration de corticoïdes. Si l’infection a été exclue et le diagnostic confirmé, l’administration de l’</w:t>
      </w:r>
      <w:r w:rsidR="0071390F" w:rsidRPr="002B65F7">
        <w:t>ustekinumab</w:t>
      </w:r>
      <w:r w:rsidRPr="002B65F7">
        <w:t xml:space="preserve"> doit être interrompue et un traitement approprié doit être instauré (voir rubrique</w:t>
      </w:r>
      <w:r w:rsidR="00C958FA" w:rsidRPr="002B65F7">
        <w:t> </w:t>
      </w:r>
      <w:r w:rsidRPr="002B65F7">
        <w:t>4.8).</w:t>
      </w:r>
    </w:p>
    <w:p w14:paraId="7AAB71E2" w14:textId="77777777" w:rsidR="00092F83" w:rsidRPr="002B65F7" w:rsidRDefault="00092F83" w:rsidP="00496255">
      <w:pPr>
        <w:widowControl/>
      </w:pPr>
    </w:p>
    <w:p w14:paraId="03B57CDB" w14:textId="77777777" w:rsidR="00092F83" w:rsidRPr="002B65F7" w:rsidRDefault="00C31740" w:rsidP="00496255">
      <w:pPr>
        <w:keepNext/>
        <w:widowControl/>
        <w:rPr>
          <w:u w:val="single"/>
        </w:rPr>
      </w:pPr>
      <w:r w:rsidRPr="002B65F7">
        <w:rPr>
          <w:u w:val="single"/>
        </w:rPr>
        <w:t>Événements cardiovasculaires</w:t>
      </w:r>
    </w:p>
    <w:p w14:paraId="50AAA796" w14:textId="77777777" w:rsidR="00096B01" w:rsidRPr="002B65F7" w:rsidRDefault="00096B01" w:rsidP="00496255">
      <w:pPr>
        <w:keepNext/>
        <w:widowControl/>
        <w:rPr>
          <w:u w:val="single"/>
        </w:rPr>
      </w:pPr>
    </w:p>
    <w:p w14:paraId="03B57CDC" w14:textId="546F0F41" w:rsidR="00092F83" w:rsidRPr="002B65F7" w:rsidRDefault="00C31740" w:rsidP="00496255">
      <w:pPr>
        <w:widowControl/>
      </w:pPr>
      <w:r w:rsidRPr="002B65F7">
        <w:t xml:space="preserve">Des événements cardiovasculaires dont infarctus du myocarde et accident vasculaire cérébral ont été observés chez des patients atteints de psoriasis exposés à </w:t>
      </w:r>
      <w:r w:rsidR="00DC27DD" w:rsidRPr="002B65F7">
        <w:t>l’</w:t>
      </w:r>
      <w:r w:rsidR="0071390F" w:rsidRPr="002B65F7">
        <w:t>ustekinumab</w:t>
      </w:r>
      <w:r w:rsidRPr="002B65F7">
        <w:t xml:space="preserve"> dans une étude observationnelle après mise sur le marché. Les facteurs de risque de maladie cardiovasculaire doivent être régulièrement évalués au cours du traitement par </w:t>
      </w:r>
      <w:r w:rsidR="00DC27DD" w:rsidRPr="002B65F7">
        <w:t>WEZENLA</w:t>
      </w:r>
      <w:r w:rsidRPr="002B65F7">
        <w:t>.</w:t>
      </w:r>
    </w:p>
    <w:p w14:paraId="23196142" w14:textId="77777777" w:rsidR="00096B01" w:rsidRPr="002B65F7" w:rsidRDefault="00096B01" w:rsidP="00496255">
      <w:pPr>
        <w:widowControl/>
      </w:pPr>
    </w:p>
    <w:p w14:paraId="03B57CDD" w14:textId="3DEC08C6" w:rsidR="00092F83" w:rsidRPr="002B65F7" w:rsidRDefault="00C31740" w:rsidP="00496255">
      <w:pPr>
        <w:keepNext/>
        <w:widowControl/>
        <w:rPr>
          <w:u w:val="single"/>
        </w:rPr>
      </w:pPr>
      <w:r w:rsidRPr="002B65F7">
        <w:rPr>
          <w:u w:val="single"/>
        </w:rPr>
        <w:t>Vaccinations</w:t>
      </w:r>
    </w:p>
    <w:p w14:paraId="1013BC64" w14:textId="77777777" w:rsidR="00096B01" w:rsidRPr="002B65F7" w:rsidRDefault="00096B01" w:rsidP="00496255">
      <w:pPr>
        <w:keepNext/>
        <w:widowControl/>
        <w:rPr>
          <w:u w:val="single"/>
        </w:rPr>
      </w:pPr>
    </w:p>
    <w:p w14:paraId="03B57CDE" w14:textId="5F8992F9" w:rsidR="00092F83" w:rsidRPr="002B65F7" w:rsidRDefault="00C31740" w:rsidP="00496255">
      <w:pPr>
        <w:widowControl/>
      </w:pPr>
      <w:r w:rsidRPr="002B65F7">
        <w:t xml:space="preserve">Il est recommandé que les vaccins vivants viraux ou bactériens (tel que Bacille de Calmette-Guérin (BCG)) ne soient pas administrés de manière concomitante à </w:t>
      </w:r>
      <w:r w:rsidR="00DC27DD" w:rsidRPr="002B65F7">
        <w:t>WEZENLA</w:t>
      </w:r>
      <w:r w:rsidRPr="002B65F7">
        <w:t xml:space="preserve">. Aucune étude spécifique </w:t>
      </w:r>
      <w:r w:rsidRPr="002B65F7">
        <w:lastRenderedPageBreak/>
        <w:t xml:space="preserve">n’a été conduite chez des patients qui ont reçu récemment un traitement par un vaccin vivant viral ou bactérien. Aucune donnée n’est disponible sur la transmission secondaire d’infection par vaccins vivants chez les patients recevant </w:t>
      </w:r>
      <w:r w:rsidR="00DC27DD" w:rsidRPr="002B65F7">
        <w:t>de l’</w:t>
      </w:r>
      <w:r w:rsidR="0071390F" w:rsidRPr="002B65F7">
        <w:t>ustekinumab</w:t>
      </w:r>
      <w:r w:rsidRPr="002B65F7">
        <w:t xml:space="preserve">. Avant toute vaccination par un traitement vivant viral ou bactérien, le traitement par </w:t>
      </w:r>
      <w:r w:rsidR="00DC27DD" w:rsidRPr="002B65F7">
        <w:t>WEZENLA</w:t>
      </w:r>
      <w:r w:rsidRPr="002B65F7">
        <w:t xml:space="preserve"> doit être arrêté au moins</w:t>
      </w:r>
      <w:r w:rsidR="00B63572" w:rsidRPr="002B65F7">
        <w:t xml:space="preserve"> </w:t>
      </w:r>
      <w:r w:rsidRPr="002B65F7">
        <w:t>15</w:t>
      </w:r>
      <w:r w:rsidR="00B63572" w:rsidRPr="002B65F7">
        <w:t> </w:t>
      </w:r>
      <w:r w:rsidRPr="002B65F7">
        <w:t>semaines avant et peut être repris au moins</w:t>
      </w:r>
      <w:r w:rsidR="000B411D" w:rsidRPr="002B65F7">
        <w:t xml:space="preserve"> </w:t>
      </w:r>
      <w:r w:rsidRPr="002B65F7">
        <w:t>2</w:t>
      </w:r>
      <w:r w:rsidR="000B411D" w:rsidRPr="002B65F7">
        <w:t> </w:t>
      </w:r>
      <w:r w:rsidRPr="002B65F7">
        <w:t>semaines après la vaccination. Les prescripteurs doivent consulter le Résumé des Caractéristiques du Produit des vaccins spécifiques pour toute information supplémentaire ou recommandations sur l’utilisation concomitante d’agents immunosuppresseurs après vaccination.</w:t>
      </w:r>
    </w:p>
    <w:p w14:paraId="03B57CDF" w14:textId="77777777" w:rsidR="00092F83" w:rsidRPr="002B65F7" w:rsidRDefault="00092F83" w:rsidP="00496255">
      <w:pPr>
        <w:widowControl/>
      </w:pPr>
    </w:p>
    <w:p w14:paraId="03B57CE0" w14:textId="326E87B3" w:rsidR="00092F83" w:rsidRPr="002B65F7" w:rsidRDefault="00C31740" w:rsidP="00496255">
      <w:pPr>
        <w:widowControl/>
      </w:pPr>
      <w:r w:rsidRPr="002B65F7">
        <w:t>L’administration de vaccins vivants (tel que le vaccin BCG) aux nourrissons exposés à l’</w:t>
      </w:r>
      <w:r w:rsidR="0071390F" w:rsidRPr="002B65F7">
        <w:t>ustekinumab</w:t>
      </w:r>
      <w:r w:rsidRPr="002B65F7">
        <w:t xml:space="preserve"> </w:t>
      </w:r>
      <w:r w:rsidRPr="002B65F7">
        <w:rPr>
          <w:i/>
          <w:iCs/>
        </w:rPr>
        <w:t>in utero</w:t>
      </w:r>
      <w:r w:rsidRPr="002B65F7">
        <w:t xml:space="preserve"> n’est pas recommandée au cours </w:t>
      </w:r>
      <w:r w:rsidR="00B91FEC" w:rsidRPr="00C958FA">
        <w:t xml:space="preserve">des </w:t>
      </w:r>
      <w:r w:rsidR="00B91FEC">
        <w:t>douze</w:t>
      </w:r>
      <w:r w:rsidR="00B91FEC" w:rsidRPr="00C958FA">
        <w:t xml:space="preserve"> </w:t>
      </w:r>
      <w:r w:rsidRPr="002B65F7">
        <w:t>mois suivant la naissance ou jusqu’à ce que les taux sériques d’</w:t>
      </w:r>
      <w:r w:rsidR="0071390F" w:rsidRPr="002B65F7">
        <w:t>ustekinumab</w:t>
      </w:r>
      <w:r w:rsidRPr="002B65F7">
        <w:t xml:space="preserve"> soient indétectables chez le nourrisson (voir rubriques</w:t>
      </w:r>
      <w:r w:rsidR="00877023" w:rsidRPr="002B65F7">
        <w:t> </w:t>
      </w:r>
      <w:r w:rsidRPr="002B65F7">
        <w:t>4.5 et</w:t>
      </w:r>
      <w:r w:rsidR="00877023" w:rsidRPr="002B65F7">
        <w:t> </w:t>
      </w:r>
      <w:r w:rsidRPr="002B65F7">
        <w:t>4.6). En cas de bénéfice clinique évident pour le nourrisson, l’administration d’un vaccin vivant peut être envisagée de manière plus précoce si les taux sériques d’</w:t>
      </w:r>
      <w:r w:rsidR="0071390F" w:rsidRPr="002B65F7">
        <w:t>ustekinumab</w:t>
      </w:r>
      <w:r w:rsidRPr="002B65F7">
        <w:t xml:space="preserve"> chez le nourrisson sont indétectables.</w:t>
      </w:r>
    </w:p>
    <w:p w14:paraId="03B57CE1" w14:textId="77777777" w:rsidR="00092F83" w:rsidRPr="002B65F7" w:rsidRDefault="00092F83" w:rsidP="00496255">
      <w:pPr>
        <w:widowControl/>
      </w:pPr>
    </w:p>
    <w:p w14:paraId="03B57CE2" w14:textId="57306263" w:rsidR="00092F83" w:rsidRPr="002B65F7" w:rsidRDefault="00C31740" w:rsidP="00496255">
      <w:pPr>
        <w:widowControl/>
      </w:pPr>
      <w:r w:rsidRPr="002B65F7">
        <w:t xml:space="preserve">Les patients recevant </w:t>
      </w:r>
      <w:r w:rsidR="00DC27DD" w:rsidRPr="002B65F7">
        <w:t>WEZENLA</w:t>
      </w:r>
      <w:r w:rsidRPr="002B65F7">
        <w:t xml:space="preserve"> peuvent recevoir de façon concomitante des vaccins inactivés ou non vivants.</w:t>
      </w:r>
    </w:p>
    <w:p w14:paraId="3FBC01F4" w14:textId="77777777" w:rsidR="00877023" w:rsidRPr="002B65F7" w:rsidRDefault="00877023" w:rsidP="00496255">
      <w:pPr>
        <w:widowControl/>
      </w:pPr>
    </w:p>
    <w:p w14:paraId="03B57CE3" w14:textId="630A4A7A" w:rsidR="00092F83" w:rsidRPr="002B65F7" w:rsidRDefault="00C31740" w:rsidP="00496255">
      <w:pPr>
        <w:widowControl/>
      </w:pPr>
      <w:r w:rsidRPr="002B65F7">
        <w:t xml:space="preserve">Le traitement au long cours par </w:t>
      </w:r>
      <w:r w:rsidR="00D97054" w:rsidRPr="002B65F7">
        <w:t xml:space="preserve">WEZENLA </w:t>
      </w:r>
      <w:r w:rsidRPr="002B65F7">
        <w:t>ne réprime pas la réponse immunitaire humorale aux vaccins pneumococcique</w:t>
      </w:r>
      <w:r w:rsidR="007246B2" w:rsidRPr="002B65F7">
        <w:t>s</w:t>
      </w:r>
      <w:r w:rsidRPr="002B65F7">
        <w:t xml:space="preserve"> polysaccharidique</w:t>
      </w:r>
      <w:r w:rsidR="007246B2" w:rsidRPr="002B65F7">
        <w:t>s</w:t>
      </w:r>
      <w:r w:rsidRPr="002B65F7">
        <w:t xml:space="preserve"> et anti-tétanique</w:t>
      </w:r>
      <w:r w:rsidR="007246B2" w:rsidRPr="002B65F7">
        <w:t>s</w:t>
      </w:r>
      <w:r w:rsidRPr="002B65F7">
        <w:t xml:space="preserve"> (voir rubrique</w:t>
      </w:r>
      <w:r w:rsidR="00877023" w:rsidRPr="002B65F7">
        <w:t> </w:t>
      </w:r>
      <w:r w:rsidRPr="002B65F7">
        <w:t>5.1).</w:t>
      </w:r>
    </w:p>
    <w:p w14:paraId="0A2A284E" w14:textId="77777777" w:rsidR="006E7624" w:rsidRPr="002B65F7" w:rsidRDefault="006E7624" w:rsidP="00496255">
      <w:pPr>
        <w:widowControl/>
      </w:pPr>
    </w:p>
    <w:p w14:paraId="03B57CE4" w14:textId="2487D604" w:rsidR="00092F83" w:rsidRPr="002B65F7" w:rsidRDefault="00C31740" w:rsidP="00496255">
      <w:pPr>
        <w:keepNext/>
        <w:widowControl/>
        <w:rPr>
          <w:u w:val="single"/>
        </w:rPr>
      </w:pPr>
      <w:r w:rsidRPr="002B65F7">
        <w:rPr>
          <w:u w:val="single"/>
        </w:rPr>
        <w:t>Traitement immunosuppresseur concomitant</w:t>
      </w:r>
    </w:p>
    <w:p w14:paraId="044CFCE3" w14:textId="77777777" w:rsidR="006E7624" w:rsidRPr="002B65F7" w:rsidRDefault="006E7624" w:rsidP="00496255">
      <w:pPr>
        <w:keepNext/>
        <w:widowControl/>
        <w:rPr>
          <w:u w:val="single"/>
        </w:rPr>
      </w:pPr>
    </w:p>
    <w:p w14:paraId="03B57CE5" w14:textId="0B0538EA" w:rsidR="00092F83" w:rsidRPr="002B65F7" w:rsidRDefault="00C31740" w:rsidP="00496255">
      <w:pPr>
        <w:widowControl/>
      </w:pPr>
      <w:r w:rsidRPr="002B65F7">
        <w:t xml:space="preserve">Dans les études sur le psoriasis, la sécurité et l’efficacité de </w:t>
      </w:r>
      <w:r w:rsidR="004105B2" w:rsidRPr="002B65F7">
        <w:t>l’</w:t>
      </w:r>
      <w:r w:rsidR="0071390F" w:rsidRPr="002B65F7">
        <w:t>ustekinumab</w:t>
      </w:r>
      <w:r w:rsidRPr="002B65F7">
        <w:t xml:space="preserve"> en association avec des immunosuppresseurs, y compris des traitements biologiques, ou de la photothérapie n’ont pas été évaluées. Dans les études sur le rhumatisme psoriasique, il n’est pas apparu que l’utilisation concomitante de méthotrexate (MTX) influence la sécurité ou l’efficacité de </w:t>
      </w:r>
      <w:r w:rsidR="00DC27DD" w:rsidRPr="002B65F7">
        <w:t>l’</w:t>
      </w:r>
      <w:r w:rsidR="0071390F" w:rsidRPr="002B65F7">
        <w:t>ustekinumab</w:t>
      </w:r>
      <w:r w:rsidRPr="002B65F7">
        <w:t xml:space="preserve">. Dans les études sur la maladie de Crohn et la rectocolite hémorragique, l’utilisation concomitante d’agents immunosuppresseurs ou de corticoïdes n’a pas semblé influencer la sécurité ou l’efficacité de </w:t>
      </w:r>
      <w:r w:rsidR="00DC27DD" w:rsidRPr="002B65F7">
        <w:t>l’</w:t>
      </w:r>
      <w:r w:rsidR="0071390F" w:rsidRPr="002B65F7">
        <w:t>ustekinumab</w:t>
      </w:r>
      <w:r w:rsidRPr="002B65F7">
        <w:t xml:space="preserve">. Des précautions doivent être prises avant l’utilisation concomitante d’autres immunosuppresseurs avec </w:t>
      </w:r>
      <w:r w:rsidR="00DC27DD" w:rsidRPr="002B65F7">
        <w:t>WEZENLA</w:t>
      </w:r>
      <w:r w:rsidRPr="002B65F7">
        <w:t xml:space="preserve"> ou lors du relais après d’autres immunosuppresseurs biologiques (voir rubrique</w:t>
      </w:r>
      <w:r w:rsidR="00580823" w:rsidRPr="002B65F7">
        <w:t> </w:t>
      </w:r>
      <w:r w:rsidRPr="002B65F7">
        <w:t>4.5).</w:t>
      </w:r>
    </w:p>
    <w:p w14:paraId="03B57CE6" w14:textId="77777777" w:rsidR="00092F83" w:rsidRPr="002B65F7" w:rsidRDefault="00092F83" w:rsidP="00496255">
      <w:pPr>
        <w:widowControl/>
      </w:pPr>
    </w:p>
    <w:p w14:paraId="03B57CE7" w14:textId="77777777" w:rsidR="00092F83" w:rsidRPr="002B65F7" w:rsidRDefault="00C31740" w:rsidP="00496255">
      <w:pPr>
        <w:keepNext/>
        <w:widowControl/>
        <w:rPr>
          <w:u w:val="single"/>
        </w:rPr>
      </w:pPr>
      <w:r w:rsidRPr="002B65F7">
        <w:rPr>
          <w:u w:val="single"/>
        </w:rPr>
        <w:t>Immunothérapie</w:t>
      </w:r>
    </w:p>
    <w:p w14:paraId="58E99387" w14:textId="77777777" w:rsidR="00580823" w:rsidRPr="002B65F7" w:rsidRDefault="00580823" w:rsidP="00496255">
      <w:pPr>
        <w:keepNext/>
        <w:widowControl/>
        <w:rPr>
          <w:u w:val="single"/>
        </w:rPr>
      </w:pPr>
    </w:p>
    <w:p w14:paraId="03B57CE8" w14:textId="58A37318" w:rsidR="00092F83" w:rsidRPr="002B65F7" w:rsidRDefault="004105B2" w:rsidP="00496255">
      <w:pPr>
        <w:widowControl/>
      </w:pPr>
      <w:r w:rsidRPr="002B65F7">
        <w:t>L’</w:t>
      </w:r>
      <w:r w:rsidR="0071390F" w:rsidRPr="002B65F7">
        <w:t>ustekinumab</w:t>
      </w:r>
      <w:r w:rsidR="00C31740" w:rsidRPr="002B65F7">
        <w:t xml:space="preserve"> n’a pas été évalué chez des patients qui ont été désensibilisés pour leur allergie. On ne sait pas si </w:t>
      </w:r>
      <w:r w:rsidRPr="002B65F7">
        <w:t>WEZENLA</w:t>
      </w:r>
      <w:r w:rsidR="00C31740" w:rsidRPr="002B65F7">
        <w:t xml:space="preserve"> peut interférer avec un traitement de désensibilisation pour allergie.</w:t>
      </w:r>
    </w:p>
    <w:p w14:paraId="45ABF1FA" w14:textId="77777777" w:rsidR="00580823" w:rsidRPr="002B65F7" w:rsidRDefault="00580823" w:rsidP="00496255">
      <w:pPr>
        <w:widowControl/>
      </w:pPr>
    </w:p>
    <w:p w14:paraId="03B57CE9" w14:textId="2EDF4021" w:rsidR="00092F83" w:rsidRPr="002B65F7" w:rsidRDefault="00C31740" w:rsidP="00496255">
      <w:pPr>
        <w:keepNext/>
        <w:widowControl/>
        <w:rPr>
          <w:u w:val="single"/>
        </w:rPr>
      </w:pPr>
      <w:r w:rsidRPr="002B65F7">
        <w:rPr>
          <w:u w:val="single"/>
        </w:rPr>
        <w:t>Affections graves de la peau</w:t>
      </w:r>
    </w:p>
    <w:p w14:paraId="104A047A" w14:textId="77777777" w:rsidR="00580823" w:rsidRPr="002B65F7" w:rsidRDefault="00580823" w:rsidP="00496255">
      <w:pPr>
        <w:keepNext/>
        <w:widowControl/>
        <w:rPr>
          <w:u w:val="single"/>
        </w:rPr>
      </w:pPr>
    </w:p>
    <w:p w14:paraId="03B57CEA" w14:textId="6C00E8D0" w:rsidR="00092F83" w:rsidRPr="002B65F7" w:rsidRDefault="00C31740" w:rsidP="00496255">
      <w:pPr>
        <w:widowControl/>
      </w:pPr>
      <w:r w:rsidRPr="002B65F7">
        <w:t xml:space="preserve">Chez les patients atteints de psoriasis, une érythrodermie a été rapportée à la suite d’un traitement par </w:t>
      </w:r>
      <w:r w:rsidR="0071390F" w:rsidRPr="002B65F7">
        <w:t>ustekinumab</w:t>
      </w:r>
      <w:r w:rsidRPr="002B65F7">
        <w:t xml:space="preserve"> (voir rubrique</w:t>
      </w:r>
      <w:r w:rsidR="00580823" w:rsidRPr="002B65F7">
        <w:t> </w:t>
      </w:r>
      <w:r w:rsidRPr="002B65F7">
        <w:t xml:space="preserve">4.8). Dans le cadre de l’évolution naturelle de leur maladie, les patients atteints de psoriasis en plaques peuvent développer un psoriasis érythrodermique avec des symptômes pouvant être cliniquement indifférenciables d’une érythrodermie. Dans le cadre du suivi des patients atteints de psoriasis, les médecins doivent être vigilants en cas de symptômes de psoriasis érythrodermique ou d’érythrodermie. Si ces symptômes apparaissent, un traitement approprié doit être instauré. </w:t>
      </w:r>
      <w:r w:rsidR="004105B2" w:rsidRPr="002B65F7">
        <w:t>WEZENLA</w:t>
      </w:r>
      <w:r w:rsidRPr="002B65F7">
        <w:t xml:space="preserve"> doit être arrêté en cas de suspicion de réaction médicamenteuse.</w:t>
      </w:r>
    </w:p>
    <w:p w14:paraId="50A91B69" w14:textId="77777777" w:rsidR="00580823" w:rsidRPr="002B65F7" w:rsidRDefault="00580823" w:rsidP="00496255">
      <w:pPr>
        <w:widowControl/>
      </w:pPr>
    </w:p>
    <w:p w14:paraId="03B57CEB" w14:textId="77777777" w:rsidR="00092F83" w:rsidRPr="002B65F7" w:rsidRDefault="00C31740" w:rsidP="00496255">
      <w:pPr>
        <w:keepNext/>
        <w:widowControl/>
        <w:rPr>
          <w:u w:val="single"/>
        </w:rPr>
      </w:pPr>
      <w:r w:rsidRPr="002B65F7">
        <w:rPr>
          <w:u w:val="single"/>
        </w:rPr>
        <w:t>Affections liées au lupus</w:t>
      </w:r>
    </w:p>
    <w:p w14:paraId="04A19225" w14:textId="77777777" w:rsidR="00580823" w:rsidRPr="002B65F7" w:rsidRDefault="00580823" w:rsidP="00496255">
      <w:pPr>
        <w:keepNext/>
        <w:widowControl/>
        <w:rPr>
          <w:u w:val="single"/>
        </w:rPr>
      </w:pPr>
    </w:p>
    <w:p w14:paraId="03B57CEE" w14:textId="64FD3D59" w:rsidR="00092F83" w:rsidRPr="002B65F7" w:rsidRDefault="00C31740" w:rsidP="00496255">
      <w:pPr>
        <w:widowControl/>
      </w:pPr>
      <w:r w:rsidRPr="002B65F7">
        <w:t xml:space="preserve">Des cas d’affections liées au lupus ont été rapportés chez des patients traités par </w:t>
      </w:r>
      <w:r w:rsidR="0071390F" w:rsidRPr="002B65F7">
        <w:t>ustekinumab</w:t>
      </w:r>
      <w:r w:rsidRPr="002B65F7">
        <w:t>, notamment un lupus érythémateux cutané et un syndrome de type lupus. Si des lésions apparaissent, en particulier sur des zones de peau exposées au soleil ou si elles sont accompagnées d’arthralgies, le</w:t>
      </w:r>
      <w:r w:rsidR="00CB0D43" w:rsidRPr="002B65F7">
        <w:t xml:space="preserve"> </w:t>
      </w:r>
      <w:r w:rsidRPr="002B65F7">
        <w:t>patient</w:t>
      </w:r>
      <w:r w:rsidRPr="002B65F7">
        <w:rPr>
          <w:spacing w:val="-3"/>
        </w:rPr>
        <w:t xml:space="preserve"> </w:t>
      </w:r>
      <w:r w:rsidRPr="002B65F7">
        <w:t>doit</w:t>
      </w:r>
      <w:r w:rsidRPr="002B65F7">
        <w:rPr>
          <w:spacing w:val="-3"/>
        </w:rPr>
        <w:t xml:space="preserve"> </w:t>
      </w:r>
      <w:r w:rsidRPr="002B65F7">
        <w:t>immédiatement</w:t>
      </w:r>
      <w:r w:rsidRPr="002B65F7">
        <w:rPr>
          <w:spacing w:val="-3"/>
        </w:rPr>
        <w:t xml:space="preserve"> </w:t>
      </w:r>
      <w:r w:rsidRPr="002B65F7">
        <w:t>consulter</w:t>
      </w:r>
      <w:r w:rsidRPr="002B65F7">
        <w:rPr>
          <w:spacing w:val="-3"/>
        </w:rPr>
        <w:t xml:space="preserve"> </w:t>
      </w:r>
      <w:r w:rsidRPr="002B65F7">
        <w:t>un</w:t>
      </w:r>
      <w:r w:rsidRPr="002B65F7">
        <w:rPr>
          <w:spacing w:val="-3"/>
        </w:rPr>
        <w:t xml:space="preserve"> </w:t>
      </w:r>
      <w:r w:rsidRPr="002B65F7">
        <w:t>médecin.</w:t>
      </w:r>
      <w:r w:rsidRPr="002B65F7">
        <w:rPr>
          <w:spacing w:val="-3"/>
        </w:rPr>
        <w:t xml:space="preserve"> </w:t>
      </w:r>
      <w:r w:rsidRPr="002B65F7">
        <w:t>Si</w:t>
      </w:r>
      <w:r w:rsidRPr="002B65F7">
        <w:rPr>
          <w:spacing w:val="-3"/>
        </w:rPr>
        <w:t xml:space="preserve"> </w:t>
      </w:r>
      <w:r w:rsidRPr="002B65F7">
        <w:t>le</w:t>
      </w:r>
      <w:r w:rsidRPr="002B65F7">
        <w:rPr>
          <w:spacing w:val="-3"/>
        </w:rPr>
        <w:t xml:space="preserve"> </w:t>
      </w:r>
      <w:r w:rsidRPr="002B65F7">
        <w:t>diagnostic</w:t>
      </w:r>
      <w:r w:rsidRPr="002B65F7">
        <w:rPr>
          <w:spacing w:val="-3"/>
        </w:rPr>
        <w:t xml:space="preserve"> </w:t>
      </w:r>
      <w:r w:rsidRPr="002B65F7">
        <w:t>d’une</w:t>
      </w:r>
      <w:r w:rsidRPr="002B65F7">
        <w:rPr>
          <w:spacing w:val="-3"/>
        </w:rPr>
        <w:t xml:space="preserve"> </w:t>
      </w:r>
      <w:r w:rsidRPr="002B65F7">
        <w:t>affection</w:t>
      </w:r>
      <w:r w:rsidRPr="002B65F7">
        <w:rPr>
          <w:spacing w:val="-3"/>
        </w:rPr>
        <w:t xml:space="preserve"> </w:t>
      </w:r>
      <w:r w:rsidRPr="002B65F7">
        <w:t>liée</w:t>
      </w:r>
      <w:r w:rsidRPr="002B65F7">
        <w:rPr>
          <w:spacing w:val="-3"/>
        </w:rPr>
        <w:t xml:space="preserve"> </w:t>
      </w:r>
      <w:r w:rsidRPr="002B65F7">
        <w:t>au</w:t>
      </w:r>
      <w:r w:rsidRPr="002B65F7">
        <w:rPr>
          <w:spacing w:val="-3"/>
        </w:rPr>
        <w:t xml:space="preserve"> </w:t>
      </w:r>
      <w:r w:rsidRPr="002B65F7">
        <w:t>lupus</w:t>
      </w:r>
      <w:r w:rsidRPr="002B65F7">
        <w:rPr>
          <w:spacing w:val="-3"/>
        </w:rPr>
        <w:t xml:space="preserve"> </w:t>
      </w:r>
      <w:r w:rsidRPr="002B65F7">
        <w:t>est confirmé, l’</w:t>
      </w:r>
      <w:r w:rsidR="0071390F" w:rsidRPr="002B65F7">
        <w:t>ustekinumab</w:t>
      </w:r>
      <w:r w:rsidRPr="002B65F7">
        <w:t xml:space="preserve"> doit être arrêté et un traitement approprié initié.</w:t>
      </w:r>
    </w:p>
    <w:p w14:paraId="03B57CEF" w14:textId="77777777" w:rsidR="00092F83" w:rsidRPr="002B65F7" w:rsidRDefault="00092F83" w:rsidP="00496255">
      <w:pPr>
        <w:widowControl/>
      </w:pPr>
    </w:p>
    <w:p w14:paraId="03B57CF0" w14:textId="77777777" w:rsidR="00092F83" w:rsidRPr="002B65F7" w:rsidRDefault="00C31740" w:rsidP="00496255">
      <w:pPr>
        <w:keepNext/>
        <w:widowControl/>
        <w:rPr>
          <w:u w:val="single"/>
        </w:rPr>
      </w:pPr>
      <w:r w:rsidRPr="002B65F7">
        <w:rPr>
          <w:u w:val="single"/>
        </w:rPr>
        <w:lastRenderedPageBreak/>
        <w:t>Populations particulières</w:t>
      </w:r>
    </w:p>
    <w:p w14:paraId="0D9B2061" w14:textId="77777777" w:rsidR="00CB0D43" w:rsidRPr="002B65F7" w:rsidRDefault="00CB0D43" w:rsidP="00496255">
      <w:pPr>
        <w:keepNext/>
        <w:widowControl/>
        <w:rPr>
          <w:u w:val="single"/>
        </w:rPr>
      </w:pPr>
    </w:p>
    <w:p w14:paraId="03B57CF1" w14:textId="5D486464" w:rsidR="00092F83" w:rsidRPr="002B65F7" w:rsidRDefault="00C31740" w:rsidP="00496255">
      <w:pPr>
        <w:keepNext/>
        <w:widowControl/>
        <w:rPr>
          <w:i/>
          <w:iCs/>
        </w:rPr>
      </w:pPr>
      <w:r w:rsidRPr="002B65F7">
        <w:rPr>
          <w:i/>
          <w:iCs/>
        </w:rPr>
        <w:t>Sujets âgés (≥</w:t>
      </w:r>
      <w:r w:rsidR="00CB0D43" w:rsidRPr="002B65F7">
        <w:rPr>
          <w:i/>
          <w:iCs/>
        </w:rPr>
        <w:t> </w:t>
      </w:r>
      <w:r w:rsidRPr="002B65F7">
        <w:rPr>
          <w:i/>
          <w:iCs/>
        </w:rPr>
        <w:t>65</w:t>
      </w:r>
      <w:r w:rsidR="00CB0D43" w:rsidRPr="002B65F7">
        <w:rPr>
          <w:i/>
          <w:iCs/>
        </w:rPr>
        <w:t> </w:t>
      </w:r>
      <w:r w:rsidRPr="002B65F7">
        <w:rPr>
          <w:i/>
          <w:iCs/>
        </w:rPr>
        <w:t>ans)</w:t>
      </w:r>
    </w:p>
    <w:p w14:paraId="62173FDC" w14:textId="77777777" w:rsidR="00CB0D43" w:rsidRPr="002B65F7" w:rsidRDefault="00CB0D43" w:rsidP="00496255">
      <w:pPr>
        <w:keepNext/>
        <w:widowControl/>
        <w:rPr>
          <w:i/>
          <w:iCs/>
        </w:rPr>
      </w:pPr>
    </w:p>
    <w:p w14:paraId="03B57CF2" w14:textId="75CE8B19" w:rsidR="00092F83" w:rsidRPr="002B65F7" w:rsidRDefault="00C31740" w:rsidP="00496255">
      <w:pPr>
        <w:widowControl/>
      </w:pPr>
      <w:r w:rsidRPr="002B65F7">
        <w:t>Chez les sujets âgés de 65</w:t>
      </w:r>
      <w:r w:rsidR="000F5324" w:rsidRPr="002B65F7">
        <w:t> </w:t>
      </w:r>
      <w:r w:rsidRPr="002B65F7">
        <w:t xml:space="preserve">ans et plus ayant reçu </w:t>
      </w:r>
      <w:r w:rsidR="00367C28" w:rsidRPr="002B65F7">
        <w:t>de l’</w:t>
      </w:r>
      <w:r w:rsidR="0071390F" w:rsidRPr="002B65F7">
        <w:t>ustekinumab</w:t>
      </w:r>
      <w:r w:rsidRPr="002B65F7">
        <w:t>, aucune différence globale concernant l’efficacité et la sécurité n’a été observée en comparaison avec les sujets plus jeunes dans le cadre d’études cliniques dans des indications approuvées, cependant le nombre de patients âgés de 65</w:t>
      </w:r>
      <w:r w:rsidR="00CB0D43" w:rsidRPr="002B65F7">
        <w:t> </w:t>
      </w:r>
      <w:r w:rsidRPr="002B65F7">
        <w:t>ans et plus n’est pas suffisant pour déterminer s’ils répondent différemment des patients plus jeunes. De façon générale, en raison d’une incidence plus élevée d’infections dans la population âgée, la prudence est recommandée pendant le traitement des sujets âgés.</w:t>
      </w:r>
    </w:p>
    <w:p w14:paraId="25BB8CF6" w14:textId="77777777" w:rsidR="00CB0D43" w:rsidRPr="002B65F7" w:rsidRDefault="00CB0D43" w:rsidP="00496255">
      <w:pPr>
        <w:widowControl/>
      </w:pPr>
    </w:p>
    <w:p w14:paraId="03B57CF3" w14:textId="6BF15E4C" w:rsidR="00092F83" w:rsidRPr="002B65F7" w:rsidRDefault="00C31740" w:rsidP="00496255">
      <w:pPr>
        <w:keepNext/>
        <w:widowControl/>
        <w:rPr>
          <w:u w:val="single"/>
        </w:rPr>
      </w:pPr>
      <w:r w:rsidRPr="002B65F7">
        <w:rPr>
          <w:u w:val="single"/>
        </w:rPr>
        <w:t>Teneur en sodium</w:t>
      </w:r>
    </w:p>
    <w:p w14:paraId="0DA3457A" w14:textId="77777777" w:rsidR="000F5324" w:rsidRPr="002B65F7" w:rsidRDefault="000F5324" w:rsidP="00496255">
      <w:pPr>
        <w:keepNext/>
        <w:widowControl/>
        <w:rPr>
          <w:u w:val="single"/>
        </w:rPr>
      </w:pPr>
    </w:p>
    <w:p w14:paraId="03B57CF4" w14:textId="67F495E1" w:rsidR="00092F83" w:rsidRDefault="00367C28" w:rsidP="00496255">
      <w:pPr>
        <w:widowControl/>
      </w:pPr>
      <w:r w:rsidRPr="002B65F7">
        <w:t>WEZENLA</w:t>
      </w:r>
      <w:r w:rsidR="00C31740" w:rsidRPr="002B65F7">
        <w:t xml:space="preserve"> contient moins d’1</w:t>
      </w:r>
      <w:r w:rsidR="000F5324" w:rsidRPr="002B65F7">
        <w:t> </w:t>
      </w:r>
      <w:r w:rsidR="00C31740" w:rsidRPr="002B65F7">
        <w:t>mmol (23</w:t>
      </w:r>
      <w:r w:rsidR="000F5324" w:rsidRPr="002B65F7">
        <w:t> </w:t>
      </w:r>
      <w:r w:rsidR="00C31740" w:rsidRPr="002B65F7">
        <w:t>mg) de sodium par dose, c</w:t>
      </w:r>
      <w:r w:rsidR="006D22F7" w:rsidRPr="002B65F7">
        <w:t>.</w:t>
      </w:r>
      <w:r w:rsidR="00C31740" w:rsidRPr="002B65F7">
        <w:t>-à-d</w:t>
      </w:r>
      <w:r w:rsidR="006D22F7" w:rsidRPr="002B65F7">
        <w:t>.</w:t>
      </w:r>
      <w:r w:rsidR="00C31740" w:rsidRPr="002B65F7">
        <w:t xml:space="preserve"> </w:t>
      </w:r>
      <w:r w:rsidR="003F37B6">
        <w:t xml:space="preserve">qu’il est </w:t>
      </w:r>
      <w:r w:rsidR="00C31740" w:rsidRPr="002B65F7">
        <w:t>essentiellement «</w:t>
      </w:r>
      <w:r w:rsidR="00984ACA" w:rsidRPr="002B65F7">
        <w:t> </w:t>
      </w:r>
      <w:r w:rsidR="00C31740" w:rsidRPr="002B65F7">
        <w:t>sans sodium</w:t>
      </w:r>
      <w:r w:rsidR="00984ACA" w:rsidRPr="002B65F7">
        <w:t> </w:t>
      </w:r>
      <w:r w:rsidR="00C31740" w:rsidRPr="002B65F7">
        <w:t xml:space="preserve">». </w:t>
      </w:r>
      <w:r w:rsidRPr="002B65F7">
        <w:t>WEZENLA</w:t>
      </w:r>
      <w:r w:rsidR="00C31740" w:rsidRPr="002B65F7">
        <w:t xml:space="preserve"> est cependant dilué avec une solution pour perfusion de chlorure de sodium à 9</w:t>
      </w:r>
      <w:r w:rsidR="000F5324" w:rsidRPr="002B65F7">
        <w:t> </w:t>
      </w:r>
      <w:r w:rsidR="00C31740" w:rsidRPr="002B65F7">
        <w:t>mg/mL (0,9</w:t>
      </w:r>
      <w:r w:rsidR="000F5324" w:rsidRPr="002B65F7">
        <w:t> </w:t>
      </w:r>
      <w:r w:rsidR="00C31740" w:rsidRPr="002B65F7">
        <w:t>%). Cela doit être pris en compte chez les patients suivant un régime hyposodé (voir rubrique</w:t>
      </w:r>
      <w:r w:rsidR="007B2638" w:rsidRPr="002B65F7">
        <w:t> </w:t>
      </w:r>
      <w:r w:rsidR="00C31740" w:rsidRPr="002B65F7">
        <w:t>6.6).</w:t>
      </w:r>
    </w:p>
    <w:p w14:paraId="54E8E35E" w14:textId="77777777" w:rsidR="00DE0892" w:rsidRDefault="00DE0892" w:rsidP="00496255">
      <w:pPr>
        <w:widowControl/>
      </w:pPr>
    </w:p>
    <w:p w14:paraId="6D95CAAC" w14:textId="568A6ADF" w:rsidR="00DE0892" w:rsidRPr="00B007D2" w:rsidRDefault="006B13CB" w:rsidP="00496255">
      <w:pPr>
        <w:widowControl/>
        <w:rPr>
          <w:u w:val="single"/>
        </w:rPr>
      </w:pPr>
      <w:r w:rsidRPr="00B007D2">
        <w:rPr>
          <w:u w:val="single"/>
        </w:rPr>
        <w:t>Polysorbate 80</w:t>
      </w:r>
    </w:p>
    <w:p w14:paraId="66F04523" w14:textId="77777777" w:rsidR="006B13CB" w:rsidRDefault="006B13CB" w:rsidP="00496255">
      <w:pPr>
        <w:widowControl/>
      </w:pPr>
    </w:p>
    <w:p w14:paraId="732CE9FD" w14:textId="7B84F9D2" w:rsidR="006B13CB" w:rsidRDefault="006B13CB" w:rsidP="00496255">
      <w:pPr>
        <w:widowControl/>
      </w:pPr>
      <w:r>
        <w:t>WEZENLA contient 10,4</w:t>
      </w:r>
      <w:r w:rsidR="00762B37" w:rsidRPr="002B65F7">
        <w:t> </w:t>
      </w:r>
      <w:r>
        <w:t>mg de polysorbate</w:t>
      </w:r>
      <w:r w:rsidR="00762B37" w:rsidRPr="002B65F7">
        <w:t> </w:t>
      </w:r>
      <w:r>
        <w:t>80 (E</w:t>
      </w:r>
      <w:r w:rsidR="00762B37" w:rsidRPr="002B65F7">
        <w:t> </w:t>
      </w:r>
      <w:r w:rsidR="00762B37">
        <w:t xml:space="preserve"> </w:t>
      </w:r>
      <w:r>
        <w:t>433) par dose équivalent à 0,40</w:t>
      </w:r>
      <w:r w:rsidR="00762B37" w:rsidRPr="002B65F7">
        <w:t> </w:t>
      </w:r>
      <w:r>
        <w:t xml:space="preserve">mg/mL. Les polysorbates peuvent provoquer des réactions allergiques. </w:t>
      </w:r>
    </w:p>
    <w:p w14:paraId="39E8B084" w14:textId="77777777" w:rsidR="000F5324" w:rsidRPr="002B65F7" w:rsidRDefault="000F5324" w:rsidP="00496255">
      <w:pPr>
        <w:widowControl/>
      </w:pPr>
    </w:p>
    <w:p w14:paraId="03B57CF5" w14:textId="7768ED47" w:rsidR="00092F83" w:rsidRPr="002B65F7" w:rsidRDefault="00F6550A" w:rsidP="00B927A3">
      <w:pPr>
        <w:keepNext/>
        <w:widowControl/>
        <w:ind w:left="567" w:hanging="567"/>
        <w:rPr>
          <w:b/>
          <w:bCs/>
        </w:rPr>
      </w:pPr>
      <w:r w:rsidRPr="002B65F7">
        <w:rPr>
          <w:b/>
          <w:bCs/>
        </w:rPr>
        <w:t>4.5</w:t>
      </w:r>
      <w:r w:rsidRPr="002B65F7">
        <w:rPr>
          <w:b/>
          <w:bCs/>
        </w:rPr>
        <w:tab/>
        <w:t>Interactions avec d’autres médicaments et autres formes d’interactions</w:t>
      </w:r>
    </w:p>
    <w:p w14:paraId="7F67BF0A" w14:textId="77777777" w:rsidR="00F6550A" w:rsidRPr="002B65F7" w:rsidRDefault="00F6550A" w:rsidP="00496255">
      <w:pPr>
        <w:keepNext/>
        <w:widowControl/>
        <w:rPr>
          <w:b/>
          <w:bCs/>
        </w:rPr>
      </w:pPr>
    </w:p>
    <w:p w14:paraId="648966F1" w14:textId="4161905A" w:rsidR="00B41E23" w:rsidRPr="002B65F7" w:rsidRDefault="00C31740" w:rsidP="00496255">
      <w:pPr>
        <w:widowControl/>
      </w:pPr>
      <w:r w:rsidRPr="002B65F7">
        <w:t xml:space="preserve">Les vaccins vivants ne doivent pas être donnés de manière concomitante avec </w:t>
      </w:r>
      <w:r w:rsidR="00367C28" w:rsidRPr="002B65F7">
        <w:t>WEZENLA</w:t>
      </w:r>
      <w:r w:rsidRPr="002B65F7">
        <w:t>.</w:t>
      </w:r>
    </w:p>
    <w:p w14:paraId="538D17BC" w14:textId="77777777" w:rsidR="00B41E23" w:rsidRPr="002B65F7" w:rsidRDefault="00B41E23" w:rsidP="00496255">
      <w:pPr>
        <w:widowControl/>
      </w:pPr>
    </w:p>
    <w:p w14:paraId="03B57CF7" w14:textId="77E7E92F" w:rsidR="00092F83" w:rsidRPr="002B65F7" w:rsidRDefault="00C31740" w:rsidP="00496255">
      <w:pPr>
        <w:widowControl/>
      </w:pPr>
      <w:r w:rsidRPr="002B65F7">
        <w:t>L’administration de vaccins vivants (tel que le vaccin BCG) aux nourrissons exposés à l’</w:t>
      </w:r>
      <w:r w:rsidR="0071390F" w:rsidRPr="002B65F7">
        <w:t>ustekinumab</w:t>
      </w:r>
      <w:r w:rsidR="00B41E23" w:rsidRPr="002B65F7">
        <w:t xml:space="preserve"> </w:t>
      </w:r>
      <w:r w:rsidRPr="002B65F7">
        <w:rPr>
          <w:i/>
          <w:iCs/>
        </w:rPr>
        <w:t>in utero</w:t>
      </w:r>
      <w:r w:rsidRPr="002B65F7">
        <w:t xml:space="preserve"> n’est pas recommandée au cours </w:t>
      </w:r>
      <w:r w:rsidR="00B91FEC" w:rsidRPr="00CB0D43">
        <w:t xml:space="preserve">des </w:t>
      </w:r>
      <w:r w:rsidR="00B91FEC">
        <w:t>douze</w:t>
      </w:r>
      <w:r w:rsidR="00B91FEC" w:rsidRPr="00CB0D43">
        <w:t xml:space="preserve"> </w:t>
      </w:r>
      <w:r w:rsidRPr="002B65F7">
        <w:t>mois suivant la naissance ou jusqu’à ce que les taux sériques d’</w:t>
      </w:r>
      <w:r w:rsidR="0071390F" w:rsidRPr="002B65F7">
        <w:t>ustekinumab</w:t>
      </w:r>
      <w:r w:rsidRPr="002B65F7">
        <w:t xml:space="preserve"> soient indétectables chez le nourrisson (voir rubriques</w:t>
      </w:r>
      <w:r w:rsidR="00204920" w:rsidRPr="002B65F7">
        <w:t> </w:t>
      </w:r>
      <w:r w:rsidRPr="002B65F7">
        <w:t>4.4 et</w:t>
      </w:r>
      <w:r w:rsidR="00204920" w:rsidRPr="002B65F7">
        <w:t> </w:t>
      </w:r>
      <w:r w:rsidRPr="002B65F7">
        <w:t>4.6). En cas de bénéfice clinique évident pour le nourrisson, l’administration d’un vaccin vivant peut être envisagée de manière plus précoce si les taux sériques d’</w:t>
      </w:r>
      <w:r w:rsidR="0071390F" w:rsidRPr="002B65F7">
        <w:t>ustekinumab</w:t>
      </w:r>
      <w:r w:rsidRPr="002B65F7">
        <w:t xml:space="preserve"> chez le nourrisson sont indétectables.</w:t>
      </w:r>
    </w:p>
    <w:p w14:paraId="03B57CF8" w14:textId="77777777" w:rsidR="00092F83" w:rsidRPr="002B65F7" w:rsidRDefault="00092F83" w:rsidP="00496255">
      <w:pPr>
        <w:widowControl/>
      </w:pPr>
    </w:p>
    <w:p w14:paraId="03B57CF9" w14:textId="3770EE04" w:rsidR="00092F83" w:rsidRPr="002B65F7" w:rsidRDefault="00C31740" w:rsidP="00496255">
      <w:pPr>
        <w:widowControl/>
      </w:pPr>
      <w:r w:rsidRPr="002B65F7">
        <w:t>Dans les analyses pharmacocinétiques de population des études de phase</w:t>
      </w:r>
      <w:r w:rsidR="00204920" w:rsidRPr="002B65F7">
        <w:t> </w:t>
      </w:r>
      <w:r w:rsidRPr="002B65F7">
        <w:t>3, l’effet des médicaments les plus souvent utilisés de façon concomitante chez des patients présentant un psoriasis (incluant paracétamol, ibuprofène, acide acétylsalicylique, metformine, atorvastatine, lévothyroxine) sur la pharmacocinétique de l’</w:t>
      </w:r>
      <w:r w:rsidR="0071390F" w:rsidRPr="002B65F7">
        <w:t>ustekinumab</w:t>
      </w:r>
      <w:r w:rsidRPr="002B65F7">
        <w:t xml:space="preserve"> a été exploré. Il n’y a pas eu d’élément suggérant une interaction avec ces médicaments co-administrés. Cette analyse est fondée sur l’observation d’au moins 100</w:t>
      </w:r>
      <w:r w:rsidR="00204920" w:rsidRPr="002B65F7">
        <w:t> </w:t>
      </w:r>
      <w:r w:rsidRPr="002B65F7">
        <w:t>patients (&gt;</w:t>
      </w:r>
      <w:r w:rsidR="00204920" w:rsidRPr="002B65F7">
        <w:t> </w:t>
      </w:r>
      <w:r w:rsidRPr="002B65F7">
        <w:t>5% de la population étudiée) traités concomitamment par ces médicaments pendant au moins 90% de la période étudiée. La pharmacocinétique de l’</w:t>
      </w:r>
      <w:r w:rsidR="0071390F" w:rsidRPr="002B65F7">
        <w:t>ustekinumab</w:t>
      </w:r>
      <w:r w:rsidRPr="002B65F7">
        <w:t xml:space="preserve"> n’a pas été modifiée par l’utilisation concomitante de MTX, d’AINS, de 6-mercaptopurine, d’azathioprine et de corticoïdes oraux chez les patients atteints de rhumatisme psoriasique, de la maladie de Crohn ou de rectocolite hémorragique, ou par une exposition préalable à des agents anti-TNFα chez les patients atteints de rhumatisme psoriasique ou de la maladie de Crohn, ou par une exposition préalable à des agents biologiques (c’est-à-dire agents anti- TNFα et/ou vedolizumab) chez les patients atteints de rectocolite hémorragique.</w:t>
      </w:r>
    </w:p>
    <w:p w14:paraId="03B57CFA" w14:textId="77777777" w:rsidR="00092F83" w:rsidRPr="002B65F7" w:rsidRDefault="00092F83" w:rsidP="00496255">
      <w:pPr>
        <w:widowControl/>
      </w:pPr>
    </w:p>
    <w:p w14:paraId="03B57CFB" w14:textId="2606BA23" w:rsidR="00092F83" w:rsidRPr="002B65F7" w:rsidRDefault="00C31740" w:rsidP="00496255">
      <w:pPr>
        <w:widowControl/>
      </w:pPr>
      <w:r w:rsidRPr="002B65F7">
        <w:t xml:space="preserve">Les résultats d’une étude in vitro </w:t>
      </w:r>
      <w:r w:rsidR="006B13CB">
        <w:t xml:space="preserve">et d’une étude de phase 1 chez des sujets atteints de maladie de Crohn active </w:t>
      </w:r>
      <w:r w:rsidRPr="002B65F7">
        <w:t>ne suggèrent pas qu’il soit nécessaire d’ajuster la posologie chez les patients recevant de manière concomitante des substrats du CYP450 (voir rubrique</w:t>
      </w:r>
      <w:r w:rsidR="00A32768" w:rsidRPr="002B65F7">
        <w:t> </w:t>
      </w:r>
      <w:r w:rsidRPr="002B65F7">
        <w:t>5.2).</w:t>
      </w:r>
    </w:p>
    <w:p w14:paraId="63F8A17A" w14:textId="77777777" w:rsidR="00A32768" w:rsidRPr="002B65F7" w:rsidRDefault="00A32768" w:rsidP="00496255">
      <w:pPr>
        <w:widowControl/>
      </w:pPr>
    </w:p>
    <w:p w14:paraId="03B57CFC" w14:textId="2AD027BF" w:rsidR="00092F83" w:rsidRPr="002B65F7" w:rsidRDefault="00C31740" w:rsidP="00496255">
      <w:pPr>
        <w:widowControl/>
      </w:pPr>
      <w:r w:rsidRPr="002B65F7">
        <w:t xml:space="preserve">Dans les études sur le psoriasis, la sécurité et l’efficacité de </w:t>
      </w:r>
      <w:r w:rsidR="00705C2B" w:rsidRPr="002B65F7">
        <w:t>l’</w:t>
      </w:r>
      <w:r w:rsidR="0071390F" w:rsidRPr="002B65F7">
        <w:t>ustekinumab</w:t>
      </w:r>
      <w:r w:rsidRPr="002B65F7">
        <w:t xml:space="preserve"> en association avec des immunosuppresseurs, y compris des traitements biologiques, ou la photothérapie n’ont pas été évaluées. Dans les études sur le rhumatisme psoriasique, l’utilisation concomitante de MTX n’a pas semblé influencer la sécurité ou l’efficacité de </w:t>
      </w:r>
      <w:r w:rsidR="00705C2B" w:rsidRPr="002B65F7">
        <w:t>l’</w:t>
      </w:r>
      <w:r w:rsidR="0071390F" w:rsidRPr="002B65F7">
        <w:t>ustekinumab</w:t>
      </w:r>
      <w:r w:rsidRPr="002B65F7">
        <w:t xml:space="preserve">. Dans les études sur la maladie de Crohn </w:t>
      </w:r>
      <w:r w:rsidRPr="002B65F7">
        <w:lastRenderedPageBreak/>
        <w:t xml:space="preserve">et la rectocolite hémorragique, l’utilisation concomitante d’agents immunosuppresseurs ou de corticoïdes n’a pas semblé influencer la sécurité ou l’efficacité de </w:t>
      </w:r>
      <w:r w:rsidR="00705C2B" w:rsidRPr="002B65F7">
        <w:t>l’</w:t>
      </w:r>
      <w:r w:rsidR="0071390F" w:rsidRPr="002B65F7">
        <w:t>ustekinumab</w:t>
      </w:r>
      <w:r w:rsidRPr="002B65F7">
        <w:t xml:space="preserve"> (voir rubrique</w:t>
      </w:r>
      <w:r w:rsidR="00A32768" w:rsidRPr="002B65F7">
        <w:t> </w:t>
      </w:r>
      <w:r w:rsidRPr="002B65F7">
        <w:t>4.4).</w:t>
      </w:r>
    </w:p>
    <w:p w14:paraId="03B57CFD" w14:textId="77777777" w:rsidR="00092F83" w:rsidRPr="002B65F7" w:rsidRDefault="00092F83" w:rsidP="00496255">
      <w:pPr>
        <w:widowControl/>
      </w:pPr>
    </w:p>
    <w:p w14:paraId="03B57CFE" w14:textId="7B3DD725" w:rsidR="00092F83" w:rsidRPr="002B65F7" w:rsidRDefault="00AD5BCD" w:rsidP="00B927A3">
      <w:pPr>
        <w:keepNext/>
        <w:widowControl/>
        <w:ind w:left="567" w:hanging="567"/>
        <w:rPr>
          <w:b/>
          <w:bCs/>
        </w:rPr>
      </w:pPr>
      <w:r w:rsidRPr="002B65F7">
        <w:rPr>
          <w:b/>
          <w:bCs/>
        </w:rPr>
        <w:t>4.6</w:t>
      </w:r>
      <w:r w:rsidRPr="002B65F7">
        <w:rPr>
          <w:b/>
          <w:bCs/>
        </w:rPr>
        <w:tab/>
        <w:t>Fertilité, grossesse et allaitement</w:t>
      </w:r>
    </w:p>
    <w:p w14:paraId="03B57CFF" w14:textId="77777777" w:rsidR="00092F83" w:rsidRPr="002B65F7" w:rsidRDefault="00092F83" w:rsidP="00496255">
      <w:pPr>
        <w:keepNext/>
        <w:widowControl/>
      </w:pPr>
    </w:p>
    <w:p w14:paraId="03B57D00" w14:textId="77777777" w:rsidR="00092F83" w:rsidRPr="002B65F7" w:rsidRDefault="00C31740" w:rsidP="00496255">
      <w:pPr>
        <w:keepNext/>
        <w:widowControl/>
        <w:rPr>
          <w:u w:val="single"/>
        </w:rPr>
      </w:pPr>
      <w:r w:rsidRPr="002B65F7">
        <w:rPr>
          <w:u w:val="single"/>
        </w:rPr>
        <w:t>Femmes en âge de procréer</w:t>
      </w:r>
    </w:p>
    <w:p w14:paraId="05CCD9B1" w14:textId="77777777" w:rsidR="00AD5BCD" w:rsidRPr="002B65F7" w:rsidRDefault="00AD5BCD" w:rsidP="00496255">
      <w:pPr>
        <w:keepNext/>
        <w:widowControl/>
      </w:pPr>
    </w:p>
    <w:p w14:paraId="03B57D01" w14:textId="3EA379E2" w:rsidR="00092F83" w:rsidRPr="002B65F7" w:rsidRDefault="00C31740" w:rsidP="00496255">
      <w:pPr>
        <w:widowControl/>
      </w:pPr>
      <w:r w:rsidRPr="002B65F7">
        <w:t>Les femmes en âge de procréer doivent utiliser une méthode contraceptive efficace pendant le traitement et au moins pendant les 15</w:t>
      </w:r>
      <w:r w:rsidR="00531D77" w:rsidRPr="002B65F7">
        <w:t> </w:t>
      </w:r>
      <w:r w:rsidRPr="002B65F7">
        <w:t>semaines qui suivent l’arrêt du traitement.</w:t>
      </w:r>
    </w:p>
    <w:p w14:paraId="35789557" w14:textId="77777777" w:rsidR="00F160FA" w:rsidRPr="002B65F7" w:rsidRDefault="00F160FA" w:rsidP="00496255">
      <w:pPr>
        <w:widowControl/>
      </w:pPr>
    </w:p>
    <w:p w14:paraId="03B57D03" w14:textId="77777777" w:rsidR="00092F83" w:rsidRPr="002B65F7" w:rsidRDefault="00C31740" w:rsidP="00496255">
      <w:pPr>
        <w:keepNext/>
        <w:widowControl/>
        <w:rPr>
          <w:u w:val="single"/>
        </w:rPr>
      </w:pPr>
      <w:r w:rsidRPr="002B65F7">
        <w:rPr>
          <w:u w:val="single"/>
        </w:rPr>
        <w:t>Grossesse</w:t>
      </w:r>
    </w:p>
    <w:p w14:paraId="3428C30E" w14:textId="77777777" w:rsidR="006D08CB" w:rsidRPr="002B65F7" w:rsidRDefault="006D08CB" w:rsidP="00496255">
      <w:pPr>
        <w:keepNext/>
        <w:widowControl/>
        <w:rPr>
          <w:u w:val="single"/>
        </w:rPr>
      </w:pPr>
    </w:p>
    <w:p w14:paraId="65CF9D39" w14:textId="77777777" w:rsidR="00B91FEC" w:rsidRDefault="00B91FEC" w:rsidP="00B91FEC">
      <w:pPr>
        <w:widowControl/>
      </w:pPr>
      <w:r>
        <w:t>Les données, recueillies de manière prospective après exposition à l’ustekinumab, issues d’un nombre modéré de grossesses avec une évolution connue, incluant plus de 450 grossesses exposées au cours du premier trimestre, n’indiquent pas de risque accru de malformations congénitales majeures chez le nouveau-né.</w:t>
      </w:r>
    </w:p>
    <w:p w14:paraId="68CF860C" w14:textId="77777777" w:rsidR="00B91FEC" w:rsidRDefault="00B91FEC" w:rsidP="00B91FEC">
      <w:pPr>
        <w:widowControl/>
      </w:pPr>
    </w:p>
    <w:p w14:paraId="7C565B3D" w14:textId="77777777" w:rsidR="00B91FEC" w:rsidRDefault="00B91FEC" w:rsidP="00B91FEC">
      <w:pPr>
        <w:widowControl/>
      </w:pPr>
      <w:r w:rsidRPr="00F160FA">
        <w:t>Les études effectuées chez l’animal n’ont pas mis en évidence d’effets délétères directs ou indirects sur la gestation, le développement embryonnaire/fœtal, la parturition ou le développement post-natal (voir rubrique</w:t>
      </w:r>
      <w:r>
        <w:t> </w:t>
      </w:r>
      <w:r w:rsidRPr="00F160FA">
        <w:t xml:space="preserve">5.3). </w:t>
      </w:r>
    </w:p>
    <w:p w14:paraId="17F72E0C" w14:textId="77777777" w:rsidR="00B91FEC" w:rsidRDefault="00B91FEC" w:rsidP="00B91FEC">
      <w:pPr>
        <w:widowControl/>
      </w:pPr>
    </w:p>
    <w:p w14:paraId="00AE31A5" w14:textId="77777777" w:rsidR="00B91FEC" w:rsidRPr="00F160FA" w:rsidRDefault="00B91FEC" w:rsidP="00B91FEC">
      <w:pPr>
        <w:widowControl/>
      </w:pPr>
      <w:r>
        <w:t xml:space="preserve">Cependant, l’expérience clinique disponible est limitée. </w:t>
      </w:r>
      <w:r w:rsidRPr="00F160FA">
        <w:t xml:space="preserve">Par mesure de précaution, il est préférable d’éviter l’utilisation de </w:t>
      </w:r>
      <w:r w:rsidRPr="00740A4E">
        <w:t>WEZENLA</w:t>
      </w:r>
      <w:r w:rsidRPr="00F160FA">
        <w:t xml:space="preserve"> pendant la grossesse.</w:t>
      </w:r>
    </w:p>
    <w:p w14:paraId="35B32BA8" w14:textId="77777777" w:rsidR="00B91FEC" w:rsidRPr="00F160FA" w:rsidRDefault="00B91FEC" w:rsidP="00B91FEC">
      <w:pPr>
        <w:widowControl/>
      </w:pPr>
    </w:p>
    <w:p w14:paraId="03B57D07" w14:textId="359EA606" w:rsidR="00092F83" w:rsidRPr="002B65F7" w:rsidRDefault="00B91FEC" w:rsidP="00B91FEC">
      <w:pPr>
        <w:widowControl/>
      </w:pPr>
      <w:r w:rsidRPr="00F160FA">
        <w:t>L’</w:t>
      </w:r>
      <w:r>
        <w:t>ustekinumab</w:t>
      </w:r>
      <w:r w:rsidRPr="00F160FA">
        <w:t xml:space="preserve"> traverse la barrière placentaire, il a été détecté dans le sérum de nourrissons nés de patientes traitées par </w:t>
      </w:r>
      <w:r>
        <w:t>ustekinumab</w:t>
      </w:r>
      <w:r w:rsidRPr="00F160FA">
        <w:t xml:space="preserve"> au cours de la grossesse. L’impact clinique en est inconnu, toutefois, le risque d’infection des nourrissons exposés à l’</w:t>
      </w:r>
      <w:r>
        <w:t>ustekinumab</w:t>
      </w:r>
      <w:r w:rsidRPr="00F160FA">
        <w:t xml:space="preserve"> </w:t>
      </w:r>
      <w:r w:rsidRPr="00C27136">
        <w:rPr>
          <w:i/>
          <w:iCs/>
        </w:rPr>
        <w:t>in utero</w:t>
      </w:r>
      <w:r w:rsidRPr="00F160FA">
        <w:t xml:space="preserve"> peut être augmenté après la naissance.</w:t>
      </w:r>
      <w:r>
        <w:t xml:space="preserve"> </w:t>
      </w:r>
      <w:r w:rsidRPr="00F160FA">
        <w:t>L’administration de vaccins vivants (tel que le vaccin BCG) aux nourrissons exposés à l’</w:t>
      </w:r>
      <w:r>
        <w:t>ustekinumab</w:t>
      </w:r>
      <w:r w:rsidRPr="00F160FA">
        <w:t xml:space="preserve"> </w:t>
      </w:r>
      <w:r w:rsidRPr="00C27136">
        <w:rPr>
          <w:i/>
          <w:iCs/>
        </w:rPr>
        <w:t>in utero</w:t>
      </w:r>
      <w:r w:rsidRPr="00F160FA">
        <w:t xml:space="preserve"> n’est pas recommandée au cours des </w:t>
      </w:r>
      <w:r>
        <w:t>douze</w:t>
      </w:r>
      <w:r w:rsidRPr="00F160FA">
        <w:t xml:space="preserve"> mois suivant la naissance ou jusqu’à ce que les taux sériques d’</w:t>
      </w:r>
      <w:r>
        <w:t>ustekinumab</w:t>
      </w:r>
      <w:r w:rsidRPr="00F160FA">
        <w:t xml:space="preserve"> soient indétectables chez le nourrisson (voir rubriques</w:t>
      </w:r>
      <w:r>
        <w:t> </w:t>
      </w:r>
      <w:r w:rsidRPr="00F160FA">
        <w:t>4.4 et</w:t>
      </w:r>
      <w:r>
        <w:t> </w:t>
      </w:r>
      <w:r w:rsidRPr="00F160FA">
        <w:t>4.5). En cas de bénéfice clinique évident pour le nourrisson, l’administration d’un vaccin vivant peut être envisagée de manière plus précoce si les taux sériques d’</w:t>
      </w:r>
      <w:r>
        <w:t>ustekinumab</w:t>
      </w:r>
      <w:r w:rsidRPr="00F160FA">
        <w:t xml:space="preserve"> chez le nourrisson sont indétectables.</w:t>
      </w:r>
    </w:p>
    <w:p w14:paraId="03B57D08" w14:textId="77777777" w:rsidR="00092F83" w:rsidRPr="002B65F7" w:rsidRDefault="00092F83" w:rsidP="00496255">
      <w:pPr>
        <w:widowControl/>
      </w:pPr>
    </w:p>
    <w:p w14:paraId="03B57D09" w14:textId="77777777" w:rsidR="00092F83" w:rsidRPr="002B65F7" w:rsidRDefault="00C31740" w:rsidP="00496255">
      <w:pPr>
        <w:keepNext/>
        <w:widowControl/>
        <w:rPr>
          <w:u w:val="single"/>
        </w:rPr>
      </w:pPr>
      <w:r w:rsidRPr="002B65F7">
        <w:rPr>
          <w:u w:val="single"/>
        </w:rPr>
        <w:t>Allaitement</w:t>
      </w:r>
    </w:p>
    <w:p w14:paraId="7F896F64" w14:textId="77777777" w:rsidR="00D73939" w:rsidRPr="002B65F7" w:rsidRDefault="00D73939" w:rsidP="00496255">
      <w:pPr>
        <w:keepNext/>
        <w:widowControl/>
        <w:rPr>
          <w:u w:val="single"/>
        </w:rPr>
      </w:pPr>
    </w:p>
    <w:p w14:paraId="03B57D0A" w14:textId="04761F2C" w:rsidR="00092F83" w:rsidRPr="002B65F7" w:rsidRDefault="00C31740" w:rsidP="00496255">
      <w:pPr>
        <w:widowControl/>
      </w:pPr>
      <w:r w:rsidRPr="002B65F7">
        <w:t>Les données issues de la littérature sont limitées et suggèrent que l’</w:t>
      </w:r>
      <w:r w:rsidR="0071390F" w:rsidRPr="002B65F7">
        <w:t>ustekinumab</w:t>
      </w:r>
      <w:r w:rsidRPr="002B65F7">
        <w:t xml:space="preserve"> est excrété en très faible quantité dans le lait maternel humain. On ne sait pas si l’</w:t>
      </w:r>
      <w:r w:rsidR="0071390F" w:rsidRPr="002B65F7">
        <w:t>ustekinumab</w:t>
      </w:r>
      <w:r w:rsidRPr="002B65F7">
        <w:t xml:space="preserve"> passe dans la circulation systémique après ingestion. A cause du risque potentiel d’effets indésirables de l’</w:t>
      </w:r>
      <w:r w:rsidR="0071390F" w:rsidRPr="002B65F7">
        <w:t>ustekinumab</w:t>
      </w:r>
      <w:r w:rsidRPr="002B65F7">
        <w:t xml:space="preserve"> chez les nourrissons allaités, l’arrêt de l’allaitement pendant le traitement et pendant les 15</w:t>
      </w:r>
      <w:r w:rsidR="00D73939" w:rsidRPr="002B65F7">
        <w:t> </w:t>
      </w:r>
      <w:r w:rsidRPr="002B65F7">
        <w:t xml:space="preserve">semaines qui suivent l’arrêt du traitement par </w:t>
      </w:r>
      <w:r w:rsidR="00705C2B" w:rsidRPr="002B65F7">
        <w:t>WEZENLA</w:t>
      </w:r>
      <w:r w:rsidRPr="002B65F7">
        <w:t xml:space="preserve"> doit être évalué, en tenant compte du bénéfice de l’allaitement pour l’enfant et de celui du traitement par </w:t>
      </w:r>
      <w:r w:rsidR="00705C2B" w:rsidRPr="002B65F7">
        <w:t>WEZENLA</w:t>
      </w:r>
      <w:r w:rsidRPr="002B65F7">
        <w:t xml:space="preserve"> pour la femme.</w:t>
      </w:r>
    </w:p>
    <w:p w14:paraId="03B57D0B" w14:textId="77777777" w:rsidR="00092F83" w:rsidRPr="002B65F7" w:rsidRDefault="00092F83" w:rsidP="00496255">
      <w:pPr>
        <w:widowControl/>
      </w:pPr>
    </w:p>
    <w:p w14:paraId="03B57D0C" w14:textId="77777777" w:rsidR="00092F83" w:rsidRPr="002B65F7" w:rsidRDefault="00C31740" w:rsidP="00496255">
      <w:pPr>
        <w:keepNext/>
        <w:widowControl/>
        <w:rPr>
          <w:u w:val="single"/>
        </w:rPr>
      </w:pPr>
      <w:r w:rsidRPr="002B65F7">
        <w:rPr>
          <w:u w:val="single"/>
        </w:rPr>
        <w:t>Fertilité</w:t>
      </w:r>
    </w:p>
    <w:p w14:paraId="69F7FB2E" w14:textId="77777777" w:rsidR="00D73939" w:rsidRPr="002B65F7" w:rsidRDefault="00D73939" w:rsidP="00496255">
      <w:pPr>
        <w:keepNext/>
        <w:widowControl/>
        <w:rPr>
          <w:u w:val="single"/>
        </w:rPr>
      </w:pPr>
    </w:p>
    <w:p w14:paraId="03B57D0D" w14:textId="01EE1123" w:rsidR="00092F83" w:rsidRPr="002B65F7" w:rsidRDefault="00C31740" w:rsidP="00496255">
      <w:pPr>
        <w:widowControl/>
      </w:pPr>
      <w:r w:rsidRPr="002B65F7">
        <w:t>L’effet de l’</w:t>
      </w:r>
      <w:r w:rsidR="0071390F" w:rsidRPr="002B65F7">
        <w:t>ustekinumab</w:t>
      </w:r>
      <w:r w:rsidRPr="002B65F7">
        <w:t xml:space="preserve"> sur la fertilité humaine n’a pas été évalué (voir rubrique</w:t>
      </w:r>
      <w:r w:rsidR="00D73939" w:rsidRPr="002B65F7">
        <w:t> </w:t>
      </w:r>
      <w:r w:rsidRPr="002B65F7">
        <w:t>5.3).</w:t>
      </w:r>
    </w:p>
    <w:p w14:paraId="77500D69" w14:textId="77777777" w:rsidR="00CC578D" w:rsidRPr="002B65F7" w:rsidRDefault="00CC578D" w:rsidP="00496255">
      <w:pPr>
        <w:widowControl/>
      </w:pPr>
    </w:p>
    <w:p w14:paraId="03B57D0E" w14:textId="64ADCFC0" w:rsidR="00092F83" w:rsidRPr="002B65F7" w:rsidRDefault="00CC578D" w:rsidP="00B927A3">
      <w:pPr>
        <w:keepNext/>
        <w:widowControl/>
        <w:ind w:left="567" w:hanging="567"/>
        <w:rPr>
          <w:b/>
          <w:bCs/>
        </w:rPr>
      </w:pPr>
      <w:r w:rsidRPr="002B65F7">
        <w:rPr>
          <w:b/>
          <w:bCs/>
        </w:rPr>
        <w:t>4.7</w:t>
      </w:r>
      <w:r w:rsidRPr="002B65F7">
        <w:rPr>
          <w:b/>
          <w:bCs/>
        </w:rPr>
        <w:tab/>
        <w:t>Effets sur l’aptitude à conduire des véhicules et à utiliser des machines</w:t>
      </w:r>
    </w:p>
    <w:p w14:paraId="03B57D0F" w14:textId="77777777" w:rsidR="00092F83" w:rsidRPr="002B65F7" w:rsidRDefault="00092F83" w:rsidP="00496255">
      <w:pPr>
        <w:keepNext/>
        <w:widowControl/>
      </w:pPr>
    </w:p>
    <w:p w14:paraId="03B57D10" w14:textId="43F179AE" w:rsidR="00092F83" w:rsidRPr="002B65F7" w:rsidRDefault="00705C2B" w:rsidP="00496255">
      <w:pPr>
        <w:widowControl/>
      </w:pPr>
      <w:r w:rsidRPr="002B65F7">
        <w:t>WEZENLA</w:t>
      </w:r>
      <w:r w:rsidR="00C31740" w:rsidRPr="002B65F7">
        <w:t xml:space="preserve"> n’a aucun effet ou qu’un effet négligeable sur l’aptitude à conduire des véhicules et à utiliser des machines.</w:t>
      </w:r>
    </w:p>
    <w:p w14:paraId="223648CD" w14:textId="77777777" w:rsidR="00FA03B7" w:rsidRPr="002B65F7" w:rsidRDefault="00FA03B7" w:rsidP="00496255">
      <w:pPr>
        <w:widowControl/>
      </w:pPr>
    </w:p>
    <w:p w14:paraId="03B57D11" w14:textId="7BCFC550" w:rsidR="00092F83" w:rsidRPr="002B65F7" w:rsidRDefault="00FA03B7" w:rsidP="00B927A3">
      <w:pPr>
        <w:keepNext/>
        <w:widowControl/>
        <w:ind w:left="567" w:hanging="567"/>
        <w:rPr>
          <w:b/>
          <w:bCs/>
        </w:rPr>
      </w:pPr>
      <w:r w:rsidRPr="002B65F7">
        <w:rPr>
          <w:b/>
          <w:bCs/>
        </w:rPr>
        <w:lastRenderedPageBreak/>
        <w:t>4.8</w:t>
      </w:r>
      <w:r w:rsidRPr="002B65F7">
        <w:rPr>
          <w:b/>
          <w:bCs/>
        </w:rPr>
        <w:tab/>
      </w:r>
      <w:r w:rsidR="00C31740" w:rsidRPr="002B65F7">
        <w:rPr>
          <w:b/>
          <w:bCs/>
        </w:rPr>
        <w:t>Effets indésirables</w:t>
      </w:r>
    </w:p>
    <w:p w14:paraId="03B57D12" w14:textId="77777777" w:rsidR="00092F83" w:rsidRPr="002B65F7" w:rsidRDefault="00092F83" w:rsidP="00496255">
      <w:pPr>
        <w:keepNext/>
        <w:widowControl/>
      </w:pPr>
    </w:p>
    <w:p w14:paraId="03B57D13" w14:textId="343DF7F9" w:rsidR="00092F83" w:rsidRPr="002B65F7" w:rsidRDefault="00CC578D" w:rsidP="00496255">
      <w:pPr>
        <w:keepNext/>
        <w:widowControl/>
        <w:rPr>
          <w:u w:val="single"/>
        </w:rPr>
      </w:pPr>
      <w:r w:rsidRPr="002B65F7">
        <w:rPr>
          <w:u w:val="single"/>
        </w:rPr>
        <w:t>Résumé du profil de sécurité</w:t>
      </w:r>
    </w:p>
    <w:p w14:paraId="0452CF9F" w14:textId="77777777" w:rsidR="00CC578D" w:rsidRPr="002B65F7" w:rsidRDefault="00CC578D" w:rsidP="00496255">
      <w:pPr>
        <w:keepNext/>
        <w:widowControl/>
      </w:pPr>
    </w:p>
    <w:p w14:paraId="03B57D14" w14:textId="7AA1D9C7" w:rsidR="00092F83" w:rsidRPr="002B65F7" w:rsidRDefault="00C31740" w:rsidP="00496255">
      <w:pPr>
        <w:widowControl/>
      </w:pPr>
      <w:r w:rsidRPr="002B65F7">
        <w:t>Les effets indésirables les plus fréquents (&gt;</w:t>
      </w:r>
      <w:r w:rsidR="0073367D" w:rsidRPr="002B65F7">
        <w:t> </w:t>
      </w:r>
      <w:r w:rsidRPr="002B65F7">
        <w:t>5%) dans les phases contrôlées des études cliniques conduites avec l’</w:t>
      </w:r>
      <w:r w:rsidR="0071390F" w:rsidRPr="002B65F7">
        <w:t>ustekinumab</w:t>
      </w:r>
      <w:r w:rsidRPr="002B65F7">
        <w:t xml:space="preserve"> chez les patients adultes atteints de psoriasis, de rhumatisme psoriasique, de la maladie de Crohn et de rectocolite hémorragique étaient des rhinopharyngites et des céphalées. La plupart ont été considérés comme étant légers et n’ont pas nécessité d’interruption du traitement étudié. Les effets indésirables les plus graves rapportés avec </w:t>
      </w:r>
      <w:r w:rsidR="00705C2B" w:rsidRPr="002B65F7">
        <w:t>l’</w:t>
      </w:r>
      <w:r w:rsidR="0071390F" w:rsidRPr="002B65F7">
        <w:t>ustekinumab</w:t>
      </w:r>
      <w:r w:rsidRPr="002B65F7">
        <w:t xml:space="preserve"> sont des réactions d’hypersensibilité graves incluant l’anaphylaxie (voir rubrique</w:t>
      </w:r>
      <w:r w:rsidR="0073367D" w:rsidRPr="002B65F7">
        <w:t> </w:t>
      </w:r>
      <w:r w:rsidRPr="002B65F7">
        <w:t>4.4). Le profil de sécurité global était similaire pour les patients atteints de psoriasis, de rhumatisme psoriasique, de la maladie de Crohn et de rectocolite hémorragique.</w:t>
      </w:r>
    </w:p>
    <w:p w14:paraId="647BD4A0" w14:textId="77777777" w:rsidR="0073367D" w:rsidRPr="002B65F7" w:rsidRDefault="0073367D" w:rsidP="00496255">
      <w:pPr>
        <w:widowControl/>
      </w:pPr>
    </w:p>
    <w:p w14:paraId="03B57D15" w14:textId="3397E012" w:rsidR="00092F83" w:rsidRPr="002B65F7" w:rsidRDefault="00C31740" w:rsidP="00496255">
      <w:pPr>
        <w:keepNext/>
        <w:widowControl/>
        <w:rPr>
          <w:u w:val="single"/>
        </w:rPr>
      </w:pPr>
      <w:r w:rsidRPr="002B65F7">
        <w:rPr>
          <w:u w:val="single"/>
        </w:rPr>
        <w:t>Tableau des effets indésirables</w:t>
      </w:r>
    </w:p>
    <w:p w14:paraId="6CD2A2B1" w14:textId="77777777" w:rsidR="0073367D" w:rsidRPr="002B65F7" w:rsidRDefault="0073367D" w:rsidP="00496255">
      <w:pPr>
        <w:keepNext/>
        <w:widowControl/>
        <w:rPr>
          <w:u w:val="single"/>
        </w:rPr>
      </w:pPr>
    </w:p>
    <w:p w14:paraId="03B57D16" w14:textId="2964812E" w:rsidR="00092F83" w:rsidRPr="002B65F7" w:rsidRDefault="00C31740" w:rsidP="00496255">
      <w:pPr>
        <w:widowControl/>
      </w:pPr>
      <w:r w:rsidRPr="002B65F7">
        <w:t>Les données de sécurité décrites ci-dessous reflètent l’exposition de sujets adultes à l’</w:t>
      </w:r>
      <w:r w:rsidR="0071390F" w:rsidRPr="002B65F7">
        <w:t>ustekinumab</w:t>
      </w:r>
      <w:r w:rsidRPr="002B65F7">
        <w:t xml:space="preserve"> dans 14</w:t>
      </w:r>
      <w:r w:rsidR="00F25780" w:rsidRPr="002B65F7">
        <w:t> </w:t>
      </w:r>
      <w:r w:rsidRPr="002B65F7">
        <w:t>études de phase</w:t>
      </w:r>
      <w:r w:rsidR="00F25780" w:rsidRPr="002B65F7">
        <w:t> </w:t>
      </w:r>
      <w:r w:rsidRPr="002B65F7">
        <w:t>2 et de phase</w:t>
      </w:r>
      <w:r w:rsidR="00F25780" w:rsidRPr="002B65F7">
        <w:t> </w:t>
      </w:r>
      <w:r w:rsidRPr="002B65F7">
        <w:t>3 menées chez 6</w:t>
      </w:r>
      <w:r w:rsidR="00912BED" w:rsidRPr="002B65F7">
        <w:t> </w:t>
      </w:r>
      <w:r w:rsidRPr="002B65F7">
        <w:t>7</w:t>
      </w:r>
      <w:r w:rsidR="006B13CB">
        <w:t>10</w:t>
      </w:r>
      <w:r w:rsidR="004B32EA" w:rsidRPr="002B65F7">
        <w:t> </w:t>
      </w:r>
      <w:r w:rsidRPr="002B65F7">
        <w:t>patients (4</w:t>
      </w:r>
      <w:r w:rsidR="00912BED" w:rsidRPr="002B65F7">
        <w:t> </w:t>
      </w:r>
      <w:r w:rsidRPr="002B65F7">
        <w:t>135 atteints de psoriasis et/ou de rhumatisme psoriasique, 1</w:t>
      </w:r>
      <w:r w:rsidR="00F125F4" w:rsidRPr="002B65F7">
        <w:t> </w:t>
      </w:r>
      <w:r w:rsidRPr="002B65F7">
        <w:t>749 atteints de maladie de Crohn et 82</w:t>
      </w:r>
      <w:r w:rsidR="006B13CB">
        <w:t>6</w:t>
      </w:r>
      <w:r w:rsidR="00F25780" w:rsidRPr="002B65F7">
        <w:t> </w:t>
      </w:r>
      <w:r w:rsidR="00DD1329">
        <w:t xml:space="preserve">patients </w:t>
      </w:r>
      <w:r w:rsidRPr="002B65F7">
        <w:t xml:space="preserve">atteints de rectocolite hémorragique). Cela inclut l’exposition à </w:t>
      </w:r>
      <w:r w:rsidR="00705C2B" w:rsidRPr="002B65F7">
        <w:t>l’</w:t>
      </w:r>
      <w:r w:rsidR="0071390F" w:rsidRPr="002B65F7">
        <w:t>ustekinumab</w:t>
      </w:r>
      <w:r w:rsidRPr="002B65F7">
        <w:t xml:space="preserve"> dans les phases contrôlées et non contrôlées des études cliniques </w:t>
      </w:r>
      <w:r w:rsidR="006B13CB">
        <w:t>chez les patients atteints de psoriasis, de rhumatisme psoriasique, de maladie de Crohn ou de rectocolite hémorragique pendant au moins 6 mois (4 577 patients) ou au moins 1 an (3</w:t>
      </w:r>
      <w:r w:rsidR="006B13CB" w:rsidRPr="002B65F7">
        <w:t> </w:t>
      </w:r>
      <w:r w:rsidR="006B13CB">
        <w:t>648 patients). 2</w:t>
      </w:r>
      <w:r w:rsidR="006B13CB" w:rsidRPr="002B65F7">
        <w:t> </w:t>
      </w:r>
      <w:r w:rsidR="006B13CB">
        <w:t>194 patients atteints de psoriasis, de maladie de Crohn ou de rectocolite hémorragique, ont été exposés pendant au moins 4</w:t>
      </w:r>
      <w:r w:rsidR="006B13CB" w:rsidRPr="002B65F7">
        <w:t> </w:t>
      </w:r>
      <w:r w:rsidR="006B13CB">
        <w:t>ans tandis que 1</w:t>
      </w:r>
      <w:r w:rsidR="006B13CB" w:rsidRPr="002B65F7">
        <w:t> </w:t>
      </w:r>
      <w:r w:rsidR="006B13CB">
        <w:t>148 patients atteints de psoriasis ou de maladie de Crohn ont été exposés pendant au moins 5</w:t>
      </w:r>
      <w:r w:rsidR="006B13CB" w:rsidRPr="002B65F7">
        <w:t> </w:t>
      </w:r>
      <w:r w:rsidR="006B13CB">
        <w:t xml:space="preserve">ans. </w:t>
      </w:r>
    </w:p>
    <w:p w14:paraId="64D9A96C" w14:textId="77777777" w:rsidR="00F25780" w:rsidRPr="002B65F7" w:rsidRDefault="00F25780" w:rsidP="00496255">
      <w:pPr>
        <w:widowControl/>
      </w:pPr>
    </w:p>
    <w:p w14:paraId="03B57D1A" w14:textId="5D4EE578" w:rsidR="00092F83" w:rsidRPr="002B65F7" w:rsidRDefault="00C31740" w:rsidP="00496255">
      <w:pPr>
        <w:widowControl/>
      </w:pPr>
      <w:r w:rsidRPr="002B65F7">
        <w:t xml:space="preserve">Le </w:t>
      </w:r>
      <w:r w:rsidR="00B75907" w:rsidRPr="002B65F7">
        <w:t>t</w:t>
      </w:r>
      <w:r w:rsidRPr="002B65F7">
        <w:t>ableau</w:t>
      </w:r>
      <w:r w:rsidR="00F25780" w:rsidRPr="002B65F7">
        <w:t> </w:t>
      </w:r>
      <w:r w:rsidR="00524545">
        <w:t>3</w:t>
      </w:r>
      <w:r w:rsidRPr="002B65F7">
        <w:t xml:space="preserve"> fournit une liste des effets indésirables observés chez des adultes dans les études cliniques sur le psoriasis, le rhumatisme psoriasique, la maladie de Crohn et la rectocolite</w:t>
      </w:r>
      <w:r w:rsidR="00F160FA" w:rsidRPr="002B65F7">
        <w:t xml:space="preserve"> </w:t>
      </w:r>
      <w:r w:rsidRPr="002B65F7">
        <w:t>hémorragique,</w:t>
      </w:r>
      <w:r w:rsidRPr="002B65F7">
        <w:rPr>
          <w:spacing w:val="-3"/>
        </w:rPr>
        <w:t xml:space="preserve"> </w:t>
      </w:r>
      <w:r w:rsidRPr="002B65F7">
        <w:t>ainsi</w:t>
      </w:r>
      <w:r w:rsidRPr="002B65F7">
        <w:rPr>
          <w:spacing w:val="-3"/>
        </w:rPr>
        <w:t xml:space="preserve"> </w:t>
      </w:r>
      <w:r w:rsidRPr="002B65F7">
        <w:t>que</w:t>
      </w:r>
      <w:r w:rsidRPr="002B65F7">
        <w:rPr>
          <w:spacing w:val="-3"/>
        </w:rPr>
        <w:t xml:space="preserve"> </w:t>
      </w:r>
      <w:r w:rsidRPr="002B65F7">
        <w:t>les</w:t>
      </w:r>
      <w:r w:rsidRPr="002B65F7">
        <w:rPr>
          <w:spacing w:val="-3"/>
        </w:rPr>
        <w:t xml:space="preserve"> </w:t>
      </w:r>
      <w:r w:rsidRPr="002B65F7">
        <w:t>effets</w:t>
      </w:r>
      <w:r w:rsidRPr="002B65F7">
        <w:rPr>
          <w:spacing w:val="-3"/>
        </w:rPr>
        <w:t xml:space="preserve"> </w:t>
      </w:r>
      <w:r w:rsidRPr="002B65F7">
        <w:t>indésirables</w:t>
      </w:r>
      <w:r w:rsidRPr="002B65F7">
        <w:rPr>
          <w:spacing w:val="-3"/>
        </w:rPr>
        <w:t xml:space="preserve"> </w:t>
      </w:r>
      <w:r w:rsidRPr="002B65F7">
        <w:t>déclarés</w:t>
      </w:r>
      <w:r w:rsidRPr="002B65F7">
        <w:rPr>
          <w:spacing w:val="-3"/>
        </w:rPr>
        <w:t xml:space="preserve"> </w:t>
      </w:r>
      <w:r w:rsidRPr="002B65F7">
        <w:t>depuis</w:t>
      </w:r>
      <w:r w:rsidRPr="002B65F7">
        <w:rPr>
          <w:spacing w:val="-3"/>
        </w:rPr>
        <w:t xml:space="preserve"> </w:t>
      </w:r>
      <w:r w:rsidRPr="002B65F7">
        <w:t>la</w:t>
      </w:r>
      <w:r w:rsidRPr="002B65F7">
        <w:rPr>
          <w:spacing w:val="-3"/>
        </w:rPr>
        <w:t xml:space="preserve"> </w:t>
      </w:r>
      <w:r w:rsidRPr="002B65F7">
        <w:t>mise</w:t>
      </w:r>
      <w:r w:rsidRPr="002B65F7">
        <w:rPr>
          <w:spacing w:val="-3"/>
        </w:rPr>
        <w:t xml:space="preserve"> </w:t>
      </w:r>
      <w:r w:rsidRPr="002B65F7">
        <w:t>sur</w:t>
      </w:r>
      <w:r w:rsidRPr="002B65F7">
        <w:rPr>
          <w:spacing w:val="-3"/>
        </w:rPr>
        <w:t xml:space="preserve"> </w:t>
      </w:r>
      <w:r w:rsidRPr="002B65F7">
        <w:t>le</w:t>
      </w:r>
      <w:r w:rsidRPr="002B65F7">
        <w:rPr>
          <w:spacing w:val="-3"/>
        </w:rPr>
        <w:t xml:space="preserve"> </w:t>
      </w:r>
      <w:r w:rsidRPr="002B65F7">
        <w:t>marché</w:t>
      </w:r>
      <w:r w:rsidRPr="002B65F7">
        <w:rPr>
          <w:spacing w:val="-3"/>
        </w:rPr>
        <w:t xml:space="preserve"> </w:t>
      </w:r>
      <w:r w:rsidRPr="002B65F7">
        <w:t>du</w:t>
      </w:r>
      <w:r w:rsidRPr="002B65F7">
        <w:rPr>
          <w:spacing w:val="-3"/>
        </w:rPr>
        <w:t xml:space="preserve"> </w:t>
      </w:r>
      <w:r w:rsidRPr="002B65F7">
        <w:t>produit.</w:t>
      </w:r>
      <w:r w:rsidRPr="002B65F7">
        <w:rPr>
          <w:spacing w:val="-3"/>
        </w:rPr>
        <w:t xml:space="preserve"> </w:t>
      </w:r>
      <w:r w:rsidRPr="002B65F7">
        <w:t xml:space="preserve">Les effets indésirables sont classés par </w:t>
      </w:r>
      <w:r w:rsidR="00705C2B" w:rsidRPr="002B65F7">
        <w:t>c</w:t>
      </w:r>
      <w:r w:rsidRPr="002B65F7">
        <w:t xml:space="preserve">lasses de </w:t>
      </w:r>
      <w:r w:rsidR="00705C2B" w:rsidRPr="002B65F7">
        <w:t>s</w:t>
      </w:r>
      <w:r w:rsidRPr="002B65F7">
        <w:t>ystèmes d’</w:t>
      </w:r>
      <w:r w:rsidR="00705C2B" w:rsidRPr="002B65F7">
        <w:t>o</w:t>
      </w:r>
      <w:r w:rsidRPr="002B65F7">
        <w:t>rganes et par fréquence, en utilisant les catégories suivantes</w:t>
      </w:r>
      <w:r w:rsidR="00DD1AD1" w:rsidRPr="002B65F7">
        <w:t xml:space="preserve"> </w:t>
      </w:r>
      <w:r w:rsidRPr="002B65F7">
        <w:t xml:space="preserve">: </w:t>
      </w:r>
      <w:r w:rsidR="00B75907" w:rsidRPr="002B65F7">
        <w:t>t</w:t>
      </w:r>
      <w:r w:rsidRPr="002B65F7">
        <w:t>rès fréquent (≥</w:t>
      </w:r>
      <w:r w:rsidR="00F25780" w:rsidRPr="002B65F7">
        <w:t> </w:t>
      </w:r>
      <w:r w:rsidRPr="002B65F7">
        <w:t xml:space="preserve">1/10), </w:t>
      </w:r>
      <w:r w:rsidR="00B75907" w:rsidRPr="002B65F7">
        <w:t>f</w:t>
      </w:r>
      <w:r w:rsidRPr="002B65F7">
        <w:t>réquent (≥</w:t>
      </w:r>
      <w:r w:rsidR="00F25780" w:rsidRPr="002B65F7">
        <w:t> </w:t>
      </w:r>
      <w:r w:rsidRPr="002B65F7">
        <w:t>1/100 à</w:t>
      </w:r>
      <w:r w:rsidR="00F25780" w:rsidRPr="002B65F7">
        <w:t> </w:t>
      </w:r>
      <w:r w:rsidRPr="002B65F7">
        <w:t>&lt;</w:t>
      </w:r>
      <w:r w:rsidR="00F25780" w:rsidRPr="002B65F7">
        <w:t> </w:t>
      </w:r>
      <w:r w:rsidRPr="002B65F7">
        <w:t xml:space="preserve">1/10), </w:t>
      </w:r>
      <w:r w:rsidR="00B75907" w:rsidRPr="002B65F7">
        <w:t>p</w:t>
      </w:r>
      <w:r w:rsidRPr="002B65F7">
        <w:t>eu fréquent (≥</w:t>
      </w:r>
      <w:r w:rsidR="00F25780" w:rsidRPr="002B65F7">
        <w:t> </w:t>
      </w:r>
      <w:r w:rsidRPr="002B65F7">
        <w:t>1/1</w:t>
      </w:r>
      <w:r w:rsidR="00F25780" w:rsidRPr="002B65F7">
        <w:t> </w:t>
      </w:r>
      <w:r w:rsidRPr="002B65F7">
        <w:t>000 à</w:t>
      </w:r>
      <w:r w:rsidR="00F25780" w:rsidRPr="002B65F7">
        <w:t> </w:t>
      </w:r>
      <w:r w:rsidRPr="002B65F7">
        <w:t>&lt;</w:t>
      </w:r>
      <w:r w:rsidR="00F25780" w:rsidRPr="002B65F7">
        <w:t> </w:t>
      </w:r>
      <w:r w:rsidRPr="002B65F7">
        <w:t xml:space="preserve">1/100), </w:t>
      </w:r>
      <w:r w:rsidR="00B75907" w:rsidRPr="002B65F7">
        <w:t>r</w:t>
      </w:r>
      <w:r w:rsidRPr="002B65F7">
        <w:t>are (≥</w:t>
      </w:r>
      <w:r w:rsidR="001B146C" w:rsidRPr="002B65F7">
        <w:t> </w:t>
      </w:r>
      <w:r w:rsidRPr="002B65F7">
        <w:t>1/10</w:t>
      </w:r>
      <w:r w:rsidR="001B146C" w:rsidRPr="002B65F7">
        <w:t> </w:t>
      </w:r>
      <w:r w:rsidRPr="002B65F7">
        <w:t>000 à</w:t>
      </w:r>
      <w:r w:rsidR="001B146C" w:rsidRPr="002B65F7">
        <w:t> </w:t>
      </w:r>
      <w:r w:rsidRPr="002B65F7">
        <w:t>&lt;</w:t>
      </w:r>
      <w:r w:rsidR="001B146C" w:rsidRPr="002B65F7">
        <w:t> </w:t>
      </w:r>
      <w:r w:rsidRPr="002B65F7">
        <w:t>1/1</w:t>
      </w:r>
      <w:r w:rsidR="001B146C" w:rsidRPr="002B65F7">
        <w:t> </w:t>
      </w:r>
      <w:r w:rsidRPr="002B65F7">
        <w:t xml:space="preserve">000), </w:t>
      </w:r>
      <w:r w:rsidR="00B75907" w:rsidRPr="002B65F7">
        <w:t>t</w:t>
      </w:r>
      <w:r w:rsidRPr="002B65F7">
        <w:t>rès rare (&lt;</w:t>
      </w:r>
      <w:r w:rsidR="001B146C" w:rsidRPr="002B65F7">
        <w:t> </w:t>
      </w:r>
      <w:r w:rsidRPr="002B65F7">
        <w:t>1/10</w:t>
      </w:r>
      <w:r w:rsidR="001B146C" w:rsidRPr="002B65F7">
        <w:t> </w:t>
      </w:r>
      <w:r w:rsidRPr="002B65F7">
        <w:t>000), fréquence indéterminée (ne peut être estimée sur la base des données disponibles). Au sein de chaque groupe de fréquence, les effets indésirables doivent être présentés suivant un ordre décroissant de gravité.</w:t>
      </w:r>
    </w:p>
    <w:p w14:paraId="1788F84E" w14:textId="77777777" w:rsidR="006D08CB" w:rsidRPr="002B65F7" w:rsidRDefault="006D08CB" w:rsidP="00496255">
      <w:pPr>
        <w:widowControl/>
      </w:pPr>
    </w:p>
    <w:p w14:paraId="03B57D1B" w14:textId="36C624DB" w:rsidR="00092F83" w:rsidRPr="002B65F7" w:rsidRDefault="00C31740" w:rsidP="00B007D2">
      <w:pPr>
        <w:keepNext/>
        <w:keepLines/>
        <w:widowControl/>
        <w:rPr>
          <w:b/>
          <w:bCs/>
        </w:rPr>
      </w:pPr>
      <w:r w:rsidRPr="002B65F7">
        <w:rPr>
          <w:b/>
          <w:bCs/>
        </w:rPr>
        <w:t>Tableau</w:t>
      </w:r>
      <w:r w:rsidR="00082658" w:rsidRPr="002B65F7">
        <w:rPr>
          <w:b/>
          <w:bCs/>
        </w:rPr>
        <w:t> </w:t>
      </w:r>
      <w:r w:rsidR="00524545">
        <w:rPr>
          <w:b/>
          <w:bCs/>
        </w:rPr>
        <w:t>3</w:t>
      </w:r>
      <w:r w:rsidR="007E3C12" w:rsidRPr="002B65F7">
        <w:rPr>
          <w:b/>
          <w:bCs/>
        </w:rPr>
        <w:t xml:space="preserve">. </w:t>
      </w:r>
      <w:r w:rsidRPr="002B65F7">
        <w:rPr>
          <w:b/>
          <w:bCs/>
        </w:rPr>
        <w:t>Liste des effets indésirables</w:t>
      </w:r>
    </w:p>
    <w:p w14:paraId="58D8E013" w14:textId="77777777" w:rsidR="007E3C12" w:rsidRPr="002B65F7" w:rsidRDefault="007E3C12" w:rsidP="00B007D2">
      <w:pPr>
        <w:keepNext/>
        <w:keepLines/>
        <w:widowControl/>
        <w:rPr>
          <w:b/>
          <w:bCs/>
        </w:rPr>
      </w:pPr>
    </w:p>
    <w:tbl>
      <w:tblPr>
        <w:tblW w:w="5000"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56"/>
        <w:gridCol w:w="6299"/>
      </w:tblGrid>
      <w:tr w:rsidR="00092F83" w:rsidRPr="002B65F7" w14:paraId="03B57D1E" w14:textId="77777777" w:rsidTr="00F12460">
        <w:trPr>
          <w:cantSplit/>
          <w:trHeight w:val="505"/>
          <w:tblHeader/>
        </w:trPr>
        <w:tc>
          <w:tcPr>
            <w:tcW w:w="1522" w:type="pct"/>
            <w:tcBorders>
              <w:right w:val="single" w:sz="4" w:space="0" w:color="auto"/>
            </w:tcBorders>
          </w:tcPr>
          <w:p w14:paraId="03B57D1C" w14:textId="1BE6CFFB" w:rsidR="00092F83" w:rsidRPr="002B65F7" w:rsidRDefault="00C31740" w:rsidP="00B007D2">
            <w:pPr>
              <w:keepNext/>
              <w:keepLines/>
              <w:widowControl/>
              <w:rPr>
                <w:b/>
                <w:bCs/>
              </w:rPr>
            </w:pPr>
            <w:r w:rsidRPr="002B65F7">
              <w:rPr>
                <w:b/>
                <w:bCs/>
              </w:rPr>
              <w:t xml:space="preserve">Classes de </w:t>
            </w:r>
            <w:r w:rsidR="00705C2B" w:rsidRPr="002B65F7">
              <w:rPr>
                <w:b/>
                <w:bCs/>
              </w:rPr>
              <w:t>systèmes d’organes</w:t>
            </w:r>
          </w:p>
        </w:tc>
        <w:tc>
          <w:tcPr>
            <w:tcW w:w="3478" w:type="pct"/>
            <w:tcBorders>
              <w:left w:val="single" w:sz="4" w:space="0" w:color="auto"/>
            </w:tcBorders>
          </w:tcPr>
          <w:p w14:paraId="03B57D1D" w14:textId="00C5908D" w:rsidR="00092F83" w:rsidRPr="002B65F7" w:rsidRDefault="00C31740" w:rsidP="00B007D2">
            <w:pPr>
              <w:keepNext/>
              <w:keepLines/>
              <w:widowControl/>
              <w:rPr>
                <w:b/>
                <w:bCs/>
              </w:rPr>
            </w:pPr>
            <w:r w:rsidRPr="002B65F7">
              <w:rPr>
                <w:b/>
                <w:bCs/>
              </w:rPr>
              <w:t>Fréquence</w:t>
            </w:r>
            <w:r w:rsidR="001D7B3E" w:rsidRPr="002B65F7">
              <w:rPr>
                <w:b/>
                <w:bCs/>
              </w:rPr>
              <w:t xml:space="preserve"> </w:t>
            </w:r>
            <w:r w:rsidRPr="002B65F7">
              <w:rPr>
                <w:b/>
                <w:bCs/>
              </w:rPr>
              <w:t xml:space="preserve">: </w:t>
            </w:r>
            <w:r w:rsidR="00705C2B" w:rsidRPr="002B65F7">
              <w:rPr>
                <w:b/>
                <w:bCs/>
              </w:rPr>
              <w:t xml:space="preserve">effet </w:t>
            </w:r>
            <w:r w:rsidRPr="002B65F7">
              <w:rPr>
                <w:b/>
                <w:bCs/>
              </w:rPr>
              <w:t>indésirable</w:t>
            </w:r>
          </w:p>
        </w:tc>
      </w:tr>
      <w:tr w:rsidR="00092F83" w:rsidRPr="002B65F7" w14:paraId="03B57D22" w14:textId="77777777" w:rsidTr="00F12460">
        <w:trPr>
          <w:cantSplit/>
          <w:trHeight w:val="1304"/>
        </w:trPr>
        <w:tc>
          <w:tcPr>
            <w:tcW w:w="1522" w:type="pct"/>
            <w:tcBorders>
              <w:right w:val="single" w:sz="4" w:space="0" w:color="auto"/>
            </w:tcBorders>
          </w:tcPr>
          <w:p w14:paraId="03B57D1F" w14:textId="77777777" w:rsidR="00092F83" w:rsidRPr="002B65F7" w:rsidRDefault="00C31740" w:rsidP="00496255">
            <w:pPr>
              <w:widowControl/>
            </w:pPr>
            <w:r w:rsidRPr="002B65F7">
              <w:t>Infections et infestations</w:t>
            </w:r>
          </w:p>
        </w:tc>
        <w:tc>
          <w:tcPr>
            <w:tcW w:w="3478" w:type="pct"/>
            <w:tcBorders>
              <w:left w:val="single" w:sz="4" w:space="0" w:color="auto"/>
            </w:tcBorders>
          </w:tcPr>
          <w:p w14:paraId="03B57D20" w14:textId="77777777" w:rsidR="00092F83" w:rsidRPr="002B65F7" w:rsidRDefault="00C31740" w:rsidP="00496255">
            <w:pPr>
              <w:widowControl/>
            </w:pPr>
            <w:r w:rsidRPr="002B65F7">
              <w:t>Fréquent : Infection des voies respiratoires supérieures, rhinopharyngite, sinusite</w:t>
            </w:r>
          </w:p>
          <w:p w14:paraId="03B57D21" w14:textId="77777777" w:rsidR="00092F83" w:rsidRPr="002B65F7" w:rsidRDefault="00C31740" w:rsidP="00496255">
            <w:pPr>
              <w:widowControl/>
            </w:pPr>
            <w:r w:rsidRPr="002B65F7">
              <w:t>Peu fréquent : Cellulite, infections dentaires, zona, infection des voies respiratoires inférieures, infection virale des voies respiratoires supérieures, infection mycotique vulvovaginale</w:t>
            </w:r>
          </w:p>
        </w:tc>
      </w:tr>
      <w:tr w:rsidR="00092F83" w:rsidRPr="002B65F7" w14:paraId="03B57D25" w14:textId="77777777" w:rsidTr="00F12460">
        <w:trPr>
          <w:cantSplit/>
          <w:trHeight w:val="794"/>
        </w:trPr>
        <w:tc>
          <w:tcPr>
            <w:tcW w:w="1522" w:type="pct"/>
            <w:tcBorders>
              <w:right w:val="single" w:sz="4" w:space="0" w:color="auto"/>
            </w:tcBorders>
          </w:tcPr>
          <w:p w14:paraId="03B57D23" w14:textId="77777777" w:rsidR="00092F83" w:rsidRPr="002B65F7" w:rsidRDefault="00C31740" w:rsidP="00496255">
            <w:pPr>
              <w:widowControl/>
            </w:pPr>
            <w:r w:rsidRPr="002B65F7">
              <w:t>Affections du système immunitaire</w:t>
            </w:r>
          </w:p>
        </w:tc>
        <w:tc>
          <w:tcPr>
            <w:tcW w:w="3478" w:type="pct"/>
            <w:tcBorders>
              <w:left w:val="single" w:sz="4" w:space="0" w:color="auto"/>
            </w:tcBorders>
          </w:tcPr>
          <w:p w14:paraId="03B57D24" w14:textId="364725D3" w:rsidR="00092F83" w:rsidRPr="002B65F7" w:rsidRDefault="00C31740" w:rsidP="00496255">
            <w:pPr>
              <w:widowControl/>
            </w:pPr>
            <w:r w:rsidRPr="002B65F7">
              <w:t xml:space="preserve">Peu fréquent : Réactions d’hypersensibilité (incluant rash, urticaire) Rare : Réactions d’hypersensibilité graves (incluant anaphylaxie, </w:t>
            </w:r>
            <w:r w:rsidR="007246B2" w:rsidRPr="002B65F7">
              <w:t>angioœdème</w:t>
            </w:r>
            <w:r w:rsidRPr="002B65F7">
              <w:t>)</w:t>
            </w:r>
          </w:p>
        </w:tc>
      </w:tr>
      <w:tr w:rsidR="00092F83" w:rsidRPr="002B65F7" w14:paraId="03B57D28" w14:textId="77777777" w:rsidTr="00F12460">
        <w:trPr>
          <w:cantSplit/>
          <w:trHeight w:val="340"/>
        </w:trPr>
        <w:tc>
          <w:tcPr>
            <w:tcW w:w="1522" w:type="pct"/>
            <w:tcBorders>
              <w:right w:val="single" w:sz="4" w:space="0" w:color="auto"/>
            </w:tcBorders>
          </w:tcPr>
          <w:p w14:paraId="03B57D26" w14:textId="77777777" w:rsidR="00092F83" w:rsidRPr="002B65F7" w:rsidRDefault="00C31740" w:rsidP="00496255">
            <w:pPr>
              <w:widowControl/>
            </w:pPr>
            <w:r w:rsidRPr="002B65F7">
              <w:t>Affections psychiatriques</w:t>
            </w:r>
          </w:p>
        </w:tc>
        <w:tc>
          <w:tcPr>
            <w:tcW w:w="3478" w:type="pct"/>
            <w:tcBorders>
              <w:left w:val="single" w:sz="4" w:space="0" w:color="auto"/>
            </w:tcBorders>
          </w:tcPr>
          <w:p w14:paraId="03B57D27" w14:textId="77777777" w:rsidR="00092F83" w:rsidRPr="002B65F7" w:rsidRDefault="00C31740" w:rsidP="00496255">
            <w:pPr>
              <w:widowControl/>
            </w:pPr>
            <w:r w:rsidRPr="002B65F7">
              <w:t>Peu fréquent : Dépression</w:t>
            </w:r>
          </w:p>
        </w:tc>
      </w:tr>
      <w:tr w:rsidR="00092F83" w:rsidRPr="002B65F7" w14:paraId="03B57D2B" w14:textId="77777777" w:rsidTr="00F12460">
        <w:trPr>
          <w:cantSplit/>
          <w:trHeight w:val="567"/>
        </w:trPr>
        <w:tc>
          <w:tcPr>
            <w:tcW w:w="1522" w:type="pct"/>
            <w:tcBorders>
              <w:right w:val="single" w:sz="4" w:space="0" w:color="auto"/>
            </w:tcBorders>
          </w:tcPr>
          <w:p w14:paraId="03B57D29" w14:textId="77777777" w:rsidR="00092F83" w:rsidRPr="002B65F7" w:rsidRDefault="00C31740" w:rsidP="00496255">
            <w:pPr>
              <w:widowControl/>
            </w:pPr>
            <w:r w:rsidRPr="002B65F7">
              <w:t>Affections du système nerveux</w:t>
            </w:r>
          </w:p>
        </w:tc>
        <w:tc>
          <w:tcPr>
            <w:tcW w:w="3478" w:type="pct"/>
            <w:tcBorders>
              <w:left w:val="single" w:sz="4" w:space="0" w:color="auto"/>
            </w:tcBorders>
          </w:tcPr>
          <w:p w14:paraId="03B57D2A" w14:textId="77777777" w:rsidR="00092F83" w:rsidRPr="002B65F7" w:rsidRDefault="00C31740" w:rsidP="00496255">
            <w:pPr>
              <w:widowControl/>
            </w:pPr>
            <w:r w:rsidRPr="002B65F7">
              <w:t>Fréquent : Vertiges, céphalée Peu fréquent : Paralysie faciale</w:t>
            </w:r>
          </w:p>
        </w:tc>
      </w:tr>
      <w:tr w:rsidR="00092F83" w:rsidRPr="002B65F7" w14:paraId="03B57D2F" w14:textId="77777777" w:rsidTr="00F12460">
        <w:trPr>
          <w:cantSplit/>
          <w:trHeight w:val="794"/>
        </w:trPr>
        <w:tc>
          <w:tcPr>
            <w:tcW w:w="1522" w:type="pct"/>
            <w:tcBorders>
              <w:right w:val="single" w:sz="4" w:space="0" w:color="auto"/>
            </w:tcBorders>
          </w:tcPr>
          <w:p w14:paraId="03B57D2C" w14:textId="77777777" w:rsidR="00092F83" w:rsidRPr="002B65F7" w:rsidRDefault="00C31740" w:rsidP="00496255">
            <w:pPr>
              <w:widowControl/>
            </w:pPr>
            <w:r w:rsidRPr="002B65F7">
              <w:t>Affections respiratoires, thoraciques et médiastinales</w:t>
            </w:r>
          </w:p>
        </w:tc>
        <w:tc>
          <w:tcPr>
            <w:tcW w:w="3478" w:type="pct"/>
            <w:tcBorders>
              <w:left w:val="single" w:sz="4" w:space="0" w:color="auto"/>
            </w:tcBorders>
          </w:tcPr>
          <w:p w14:paraId="108C42C4" w14:textId="77777777" w:rsidR="002E7794" w:rsidRPr="002B65F7" w:rsidRDefault="00C31740" w:rsidP="00496255">
            <w:pPr>
              <w:widowControl/>
            </w:pPr>
            <w:r w:rsidRPr="002B65F7">
              <w:t xml:space="preserve">Fréquent : Douleur oropharyngée </w:t>
            </w:r>
          </w:p>
          <w:p w14:paraId="03B57D2D" w14:textId="3F7542B0" w:rsidR="00092F83" w:rsidRPr="002B65F7" w:rsidRDefault="00C31740" w:rsidP="00496255">
            <w:pPr>
              <w:widowControl/>
            </w:pPr>
            <w:r w:rsidRPr="002B65F7">
              <w:t>Peu fréquent : Congestion nasale</w:t>
            </w:r>
          </w:p>
          <w:p w14:paraId="03B57D2E" w14:textId="77777777" w:rsidR="00092F83" w:rsidRPr="002B65F7" w:rsidRDefault="00C31740" w:rsidP="00496255">
            <w:pPr>
              <w:widowControl/>
            </w:pPr>
            <w:r w:rsidRPr="002B65F7">
              <w:t>Rare : Alvéolite allergique, pneumopathie à éosinophiles Très rare : Pneumopathie organisée*</w:t>
            </w:r>
          </w:p>
        </w:tc>
      </w:tr>
      <w:tr w:rsidR="00092F83" w:rsidRPr="002B65F7" w14:paraId="03B57D32" w14:textId="77777777" w:rsidTr="00F12460">
        <w:trPr>
          <w:cantSplit/>
          <w:trHeight w:val="340"/>
        </w:trPr>
        <w:tc>
          <w:tcPr>
            <w:tcW w:w="1522" w:type="pct"/>
            <w:tcBorders>
              <w:right w:val="single" w:sz="4" w:space="0" w:color="auto"/>
            </w:tcBorders>
          </w:tcPr>
          <w:p w14:paraId="03B57D30" w14:textId="77777777" w:rsidR="00092F83" w:rsidRPr="002B65F7" w:rsidRDefault="00C31740" w:rsidP="00496255">
            <w:pPr>
              <w:widowControl/>
            </w:pPr>
            <w:r w:rsidRPr="002B65F7">
              <w:t>Affections gastro-intestinales</w:t>
            </w:r>
          </w:p>
        </w:tc>
        <w:tc>
          <w:tcPr>
            <w:tcW w:w="3478" w:type="pct"/>
            <w:tcBorders>
              <w:left w:val="single" w:sz="4" w:space="0" w:color="auto"/>
            </w:tcBorders>
          </w:tcPr>
          <w:p w14:paraId="03B57D31" w14:textId="77777777" w:rsidR="00092F83" w:rsidRPr="002B65F7" w:rsidRDefault="00C31740" w:rsidP="00496255">
            <w:pPr>
              <w:widowControl/>
            </w:pPr>
            <w:r w:rsidRPr="002B65F7">
              <w:t>Fréquent : Diarrhée, nausée, vomissements</w:t>
            </w:r>
          </w:p>
        </w:tc>
      </w:tr>
      <w:tr w:rsidR="00092F83" w:rsidRPr="002B65F7" w14:paraId="03B57D37" w14:textId="77777777" w:rsidTr="00F12460">
        <w:trPr>
          <w:cantSplit/>
          <w:trHeight w:val="1077"/>
        </w:trPr>
        <w:tc>
          <w:tcPr>
            <w:tcW w:w="1522" w:type="pct"/>
            <w:tcBorders>
              <w:right w:val="single" w:sz="4" w:space="0" w:color="auto"/>
            </w:tcBorders>
          </w:tcPr>
          <w:p w14:paraId="03B57D33" w14:textId="77777777" w:rsidR="00092F83" w:rsidRPr="002B65F7" w:rsidRDefault="00C31740" w:rsidP="00496255">
            <w:pPr>
              <w:widowControl/>
            </w:pPr>
            <w:r w:rsidRPr="002B65F7">
              <w:lastRenderedPageBreak/>
              <w:t>Affections de la peau et du tissu sous-cutané</w:t>
            </w:r>
          </w:p>
        </w:tc>
        <w:tc>
          <w:tcPr>
            <w:tcW w:w="3478" w:type="pct"/>
            <w:tcBorders>
              <w:left w:val="single" w:sz="4" w:space="0" w:color="auto"/>
            </w:tcBorders>
          </w:tcPr>
          <w:p w14:paraId="03B57D34" w14:textId="77777777" w:rsidR="00092F83" w:rsidRPr="002B65F7" w:rsidRDefault="00C31740" w:rsidP="00496255">
            <w:pPr>
              <w:widowControl/>
            </w:pPr>
            <w:r w:rsidRPr="002B65F7">
              <w:t>Fréquent : Prurit</w:t>
            </w:r>
          </w:p>
          <w:p w14:paraId="43DD84DD" w14:textId="77777777" w:rsidR="002E7794" w:rsidRPr="002B65F7" w:rsidRDefault="00C31740" w:rsidP="00496255">
            <w:pPr>
              <w:widowControl/>
            </w:pPr>
            <w:r w:rsidRPr="002B65F7">
              <w:t xml:space="preserve">Peu fréquent : Psoriasis pustuleux, desquamation cutanée, acné </w:t>
            </w:r>
          </w:p>
          <w:p w14:paraId="03B57D35" w14:textId="46F86F95" w:rsidR="00092F83" w:rsidRPr="002B65F7" w:rsidRDefault="00C31740" w:rsidP="00496255">
            <w:pPr>
              <w:widowControl/>
            </w:pPr>
            <w:r w:rsidRPr="002B65F7">
              <w:t>Rare : Erythrodermie, vascularite d’hypersensibilité</w:t>
            </w:r>
          </w:p>
          <w:p w14:paraId="03B57D36" w14:textId="77777777" w:rsidR="00092F83" w:rsidRPr="002B65F7" w:rsidRDefault="00C31740" w:rsidP="00496255">
            <w:pPr>
              <w:widowControl/>
            </w:pPr>
            <w:r w:rsidRPr="002B65F7">
              <w:t>Très rare : Pemphigoïde bulleuse, lupus érythémateux cutané</w:t>
            </w:r>
          </w:p>
        </w:tc>
      </w:tr>
      <w:tr w:rsidR="00092F83" w:rsidRPr="002B65F7" w14:paraId="03B57D3A" w14:textId="77777777" w:rsidTr="00F12460">
        <w:trPr>
          <w:cantSplit/>
          <w:trHeight w:val="567"/>
        </w:trPr>
        <w:tc>
          <w:tcPr>
            <w:tcW w:w="1522" w:type="pct"/>
            <w:tcBorders>
              <w:right w:val="single" w:sz="4" w:space="0" w:color="auto"/>
            </w:tcBorders>
          </w:tcPr>
          <w:p w14:paraId="03B57D38" w14:textId="77777777" w:rsidR="00092F83" w:rsidRPr="002B65F7" w:rsidRDefault="00C31740" w:rsidP="00496255">
            <w:pPr>
              <w:widowControl/>
            </w:pPr>
            <w:r w:rsidRPr="002B65F7">
              <w:t>Affections musculo- squelettiques et systémiques</w:t>
            </w:r>
          </w:p>
        </w:tc>
        <w:tc>
          <w:tcPr>
            <w:tcW w:w="3478" w:type="pct"/>
            <w:tcBorders>
              <w:left w:val="single" w:sz="4" w:space="0" w:color="auto"/>
            </w:tcBorders>
          </w:tcPr>
          <w:p w14:paraId="289858CA" w14:textId="77777777" w:rsidR="002E7794" w:rsidRPr="002B65F7" w:rsidRDefault="00C31740" w:rsidP="00496255">
            <w:pPr>
              <w:widowControl/>
            </w:pPr>
            <w:r w:rsidRPr="002B65F7">
              <w:t xml:space="preserve">Fréquent : Dorsalgie, myalgie, arthralgie </w:t>
            </w:r>
          </w:p>
          <w:p w14:paraId="03B57D39" w14:textId="7AB2634C" w:rsidR="00092F83" w:rsidRPr="002B65F7" w:rsidRDefault="00C31740" w:rsidP="00496255">
            <w:pPr>
              <w:widowControl/>
            </w:pPr>
            <w:r w:rsidRPr="002B65F7">
              <w:t>Très rare : Syndrome de type lupus</w:t>
            </w:r>
          </w:p>
        </w:tc>
      </w:tr>
      <w:tr w:rsidR="00D559D9" w:rsidRPr="002B65F7" w14:paraId="59C9519C" w14:textId="77777777" w:rsidTr="00F12460">
        <w:trPr>
          <w:cantSplit/>
          <w:trHeight w:val="757"/>
        </w:trPr>
        <w:tc>
          <w:tcPr>
            <w:tcW w:w="1522" w:type="pct"/>
            <w:tcBorders>
              <w:right w:val="single" w:sz="4" w:space="0" w:color="auto"/>
            </w:tcBorders>
          </w:tcPr>
          <w:p w14:paraId="6AEE24C2" w14:textId="17882C80" w:rsidR="00D559D9" w:rsidRPr="002B65F7" w:rsidRDefault="00D559D9" w:rsidP="00496255">
            <w:pPr>
              <w:widowControl/>
            </w:pPr>
            <w:r w:rsidRPr="002B65F7">
              <w:rPr>
                <w:rFonts w:eastAsia="TimesNewRoman"/>
              </w:rPr>
              <w:t>Troubles généraux et</w:t>
            </w:r>
            <w:r w:rsidR="00885BFF" w:rsidRPr="002B65F7">
              <w:rPr>
                <w:rFonts w:eastAsia="TimesNewRoman"/>
              </w:rPr>
              <w:t xml:space="preserve"> </w:t>
            </w:r>
            <w:r w:rsidRPr="002B65F7">
              <w:rPr>
                <w:rFonts w:eastAsia="TimesNewRoman"/>
              </w:rPr>
              <w:t>anomalies au site</w:t>
            </w:r>
            <w:r w:rsidR="00885BFF" w:rsidRPr="002B65F7">
              <w:rPr>
                <w:rFonts w:eastAsia="TimesNewRoman"/>
              </w:rPr>
              <w:t xml:space="preserve"> </w:t>
            </w:r>
            <w:r w:rsidRPr="002B65F7">
              <w:rPr>
                <w:rFonts w:eastAsia="TimesNewRoman"/>
              </w:rPr>
              <w:t>d’administration</w:t>
            </w:r>
          </w:p>
        </w:tc>
        <w:tc>
          <w:tcPr>
            <w:tcW w:w="3478" w:type="pct"/>
            <w:tcBorders>
              <w:left w:val="single" w:sz="4" w:space="0" w:color="auto"/>
            </w:tcBorders>
          </w:tcPr>
          <w:p w14:paraId="011767EE" w14:textId="526F8ACA" w:rsidR="00885BFF" w:rsidRPr="002B65F7" w:rsidRDefault="00885BFF" w:rsidP="00496255">
            <w:pPr>
              <w:widowControl/>
              <w:rPr>
                <w:rFonts w:eastAsia="TimesNewRoman"/>
              </w:rPr>
            </w:pPr>
            <w:r w:rsidRPr="002B65F7">
              <w:rPr>
                <w:rFonts w:eastAsia="TimesNewRoman"/>
              </w:rPr>
              <w:t>Fréquent : Fatigue, érythème au site d’injection, douleur au site d’injection</w:t>
            </w:r>
          </w:p>
          <w:p w14:paraId="4D052781" w14:textId="0209E941" w:rsidR="00D559D9" w:rsidRPr="002B65F7" w:rsidRDefault="00885BFF" w:rsidP="00496255">
            <w:pPr>
              <w:widowControl/>
            </w:pPr>
            <w:r w:rsidRPr="002B65F7">
              <w:rPr>
                <w:rFonts w:eastAsia="TimesNewRoman"/>
              </w:rPr>
              <w:t>Peu fréquent : Réactions au site d’injection (incluant hémorragie,</w:t>
            </w:r>
            <w:r w:rsidR="0026083F" w:rsidRPr="002B65F7">
              <w:rPr>
                <w:rFonts w:eastAsia="TimesNewRoman"/>
              </w:rPr>
              <w:t xml:space="preserve"> </w:t>
            </w:r>
            <w:r w:rsidRPr="002B65F7">
              <w:rPr>
                <w:rFonts w:eastAsia="TimesNewRoman"/>
              </w:rPr>
              <w:t>hématome, induration, gonflement et prurit), asthénie</w:t>
            </w:r>
          </w:p>
        </w:tc>
      </w:tr>
    </w:tbl>
    <w:p w14:paraId="03B57D47" w14:textId="0CCDA815" w:rsidR="00092F83" w:rsidRPr="002B65F7" w:rsidRDefault="00C31740" w:rsidP="00496255">
      <w:pPr>
        <w:widowControl/>
        <w:rPr>
          <w:sz w:val="20"/>
          <w:szCs w:val="20"/>
        </w:rPr>
      </w:pPr>
      <w:r w:rsidRPr="002B65F7">
        <w:rPr>
          <w:sz w:val="20"/>
          <w:szCs w:val="20"/>
        </w:rPr>
        <w:t>* Voir rubrique</w:t>
      </w:r>
      <w:r w:rsidR="00832033" w:rsidRPr="002B65F7">
        <w:rPr>
          <w:sz w:val="20"/>
          <w:szCs w:val="20"/>
        </w:rPr>
        <w:t> </w:t>
      </w:r>
      <w:r w:rsidRPr="002B65F7">
        <w:rPr>
          <w:sz w:val="20"/>
          <w:szCs w:val="20"/>
        </w:rPr>
        <w:t>4.4, Réactions d’hypersensibilité systémique et respiratoire.</w:t>
      </w:r>
    </w:p>
    <w:p w14:paraId="31779571" w14:textId="77777777" w:rsidR="001368F4" w:rsidRPr="002B65F7" w:rsidRDefault="001368F4" w:rsidP="00496255">
      <w:pPr>
        <w:widowControl/>
      </w:pPr>
    </w:p>
    <w:p w14:paraId="03B57D48" w14:textId="77777777" w:rsidR="00092F83" w:rsidRPr="002B65F7" w:rsidRDefault="00C31740" w:rsidP="00496255">
      <w:pPr>
        <w:keepNext/>
        <w:widowControl/>
        <w:rPr>
          <w:u w:val="single"/>
        </w:rPr>
      </w:pPr>
      <w:r w:rsidRPr="002B65F7">
        <w:rPr>
          <w:u w:val="single"/>
        </w:rPr>
        <w:t>Description de certains effets indésirables</w:t>
      </w:r>
    </w:p>
    <w:p w14:paraId="03B57D49" w14:textId="77777777" w:rsidR="00092F83" w:rsidRPr="002B65F7" w:rsidRDefault="00092F83" w:rsidP="00496255">
      <w:pPr>
        <w:keepNext/>
        <w:widowControl/>
        <w:rPr>
          <w:u w:val="single"/>
        </w:rPr>
      </w:pPr>
    </w:p>
    <w:p w14:paraId="03B57D4A" w14:textId="77777777" w:rsidR="00092F83" w:rsidRPr="002B65F7" w:rsidRDefault="00C31740" w:rsidP="00496255">
      <w:pPr>
        <w:keepNext/>
        <w:widowControl/>
        <w:rPr>
          <w:i/>
          <w:iCs/>
        </w:rPr>
      </w:pPr>
      <w:r w:rsidRPr="002B65F7">
        <w:rPr>
          <w:i/>
          <w:iCs/>
        </w:rPr>
        <w:t>Infections</w:t>
      </w:r>
    </w:p>
    <w:p w14:paraId="1C70B7ED" w14:textId="77777777" w:rsidR="001368F4" w:rsidRPr="002B65F7" w:rsidRDefault="001368F4" w:rsidP="00496255">
      <w:pPr>
        <w:keepNext/>
        <w:widowControl/>
        <w:rPr>
          <w:u w:val="single"/>
        </w:rPr>
      </w:pPr>
    </w:p>
    <w:p w14:paraId="03B57D4D" w14:textId="427315E8" w:rsidR="00092F83" w:rsidRPr="002B65F7" w:rsidRDefault="00C31740" w:rsidP="00496255">
      <w:pPr>
        <w:widowControl/>
      </w:pPr>
      <w:r w:rsidRPr="002B65F7">
        <w:t xml:space="preserve">Dans les études contrôlées </w:t>
      </w:r>
      <w:r w:rsidRPr="002B65F7">
        <w:rPr>
          <w:i/>
          <w:iCs/>
        </w:rPr>
        <w:t>versus</w:t>
      </w:r>
      <w:r w:rsidRPr="002B65F7">
        <w:t xml:space="preserve"> placebo chez des patients atteints de psoriasis, de rhumatisme psoriasique, de la maladie de Crohn et de la rectocolite hémorragique, le taux d’infections ou infections graves, a été similaire entre le groupe de patients traités par l’</w:t>
      </w:r>
      <w:r w:rsidR="0071390F" w:rsidRPr="002B65F7">
        <w:t>ustekinumab</w:t>
      </w:r>
      <w:r w:rsidRPr="002B65F7">
        <w:t xml:space="preserve"> et celui recevant le placebo. Dans les phases contrôlées </w:t>
      </w:r>
      <w:r w:rsidRPr="002B65F7">
        <w:rPr>
          <w:i/>
          <w:iCs/>
        </w:rPr>
        <w:t>versus</w:t>
      </w:r>
      <w:r w:rsidRPr="002B65F7">
        <w:t xml:space="preserve"> placebo de ces études cliniques, le taux d’infections a été de 1,36</w:t>
      </w:r>
      <w:r w:rsidR="00461A91" w:rsidRPr="002B65F7">
        <w:t> </w:t>
      </w:r>
      <w:r w:rsidRPr="002B65F7">
        <w:t xml:space="preserve">par patient-année dans le groupe de patients traités par </w:t>
      </w:r>
      <w:r w:rsidR="0071390F" w:rsidRPr="002B65F7">
        <w:t>ustekinumab</w:t>
      </w:r>
      <w:r w:rsidRPr="002B65F7">
        <w:t xml:space="preserve"> et de 1,34</w:t>
      </w:r>
      <w:r w:rsidR="00461A91" w:rsidRPr="002B65F7">
        <w:t> </w:t>
      </w:r>
      <w:r w:rsidRPr="002B65F7">
        <w:t>dans le groupe de patients traités par placebo. La fréquence des infections graves a été de 0,03</w:t>
      </w:r>
      <w:r w:rsidR="00461A91" w:rsidRPr="002B65F7">
        <w:t> </w:t>
      </w:r>
      <w:r w:rsidRPr="002B65F7">
        <w:t xml:space="preserve">par patient-année de suivi chez les patients traités par </w:t>
      </w:r>
      <w:r w:rsidR="0071390F" w:rsidRPr="002B65F7">
        <w:t>ustekinumab</w:t>
      </w:r>
      <w:r w:rsidRPr="002B65F7">
        <w:t xml:space="preserve"> (30</w:t>
      </w:r>
      <w:r w:rsidR="001368F4" w:rsidRPr="002B65F7">
        <w:t> </w:t>
      </w:r>
      <w:r w:rsidRPr="002B65F7">
        <w:t>infections graves pour 930</w:t>
      </w:r>
      <w:r w:rsidR="001368F4" w:rsidRPr="002B65F7">
        <w:t> </w:t>
      </w:r>
      <w:r w:rsidRPr="002B65F7">
        <w:t>patient-années de suivi)</w:t>
      </w:r>
      <w:r w:rsidR="001368F4" w:rsidRPr="002B65F7">
        <w:t xml:space="preserve"> </w:t>
      </w:r>
      <w:r w:rsidRPr="002B65F7">
        <w:t>et</w:t>
      </w:r>
      <w:r w:rsidRPr="002B65F7">
        <w:rPr>
          <w:spacing w:val="-2"/>
        </w:rPr>
        <w:t xml:space="preserve"> </w:t>
      </w:r>
      <w:r w:rsidRPr="002B65F7">
        <w:t>de</w:t>
      </w:r>
      <w:r w:rsidRPr="002B65F7">
        <w:rPr>
          <w:spacing w:val="-2"/>
        </w:rPr>
        <w:t xml:space="preserve"> </w:t>
      </w:r>
      <w:r w:rsidRPr="002B65F7">
        <w:t>0,03</w:t>
      </w:r>
      <w:r w:rsidR="001368F4" w:rsidRPr="002B65F7">
        <w:rPr>
          <w:spacing w:val="-2"/>
        </w:rPr>
        <w:t> </w:t>
      </w:r>
      <w:r w:rsidRPr="002B65F7">
        <w:t>chez</w:t>
      </w:r>
      <w:r w:rsidRPr="002B65F7">
        <w:rPr>
          <w:spacing w:val="-2"/>
        </w:rPr>
        <w:t xml:space="preserve"> </w:t>
      </w:r>
      <w:r w:rsidRPr="002B65F7">
        <w:t>les</w:t>
      </w:r>
      <w:r w:rsidRPr="002B65F7">
        <w:rPr>
          <w:spacing w:val="-2"/>
        </w:rPr>
        <w:t xml:space="preserve"> </w:t>
      </w:r>
      <w:r w:rsidRPr="002B65F7">
        <w:t>patients</w:t>
      </w:r>
      <w:r w:rsidRPr="002B65F7">
        <w:rPr>
          <w:spacing w:val="-2"/>
        </w:rPr>
        <w:t xml:space="preserve"> </w:t>
      </w:r>
      <w:r w:rsidRPr="002B65F7">
        <w:t>traités</w:t>
      </w:r>
      <w:r w:rsidRPr="002B65F7">
        <w:rPr>
          <w:spacing w:val="-2"/>
        </w:rPr>
        <w:t xml:space="preserve"> </w:t>
      </w:r>
      <w:r w:rsidRPr="002B65F7">
        <w:t>par</w:t>
      </w:r>
      <w:r w:rsidRPr="002B65F7">
        <w:rPr>
          <w:spacing w:val="-2"/>
        </w:rPr>
        <w:t xml:space="preserve"> </w:t>
      </w:r>
      <w:r w:rsidRPr="002B65F7">
        <w:t>placebo</w:t>
      </w:r>
      <w:r w:rsidRPr="002B65F7">
        <w:rPr>
          <w:spacing w:val="-2"/>
        </w:rPr>
        <w:t xml:space="preserve"> </w:t>
      </w:r>
      <w:r w:rsidRPr="002B65F7">
        <w:t>(15</w:t>
      </w:r>
      <w:r w:rsidR="001368F4" w:rsidRPr="002B65F7">
        <w:rPr>
          <w:spacing w:val="-4"/>
        </w:rPr>
        <w:t> </w:t>
      </w:r>
      <w:r w:rsidRPr="002B65F7">
        <w:t>infections</w:t>
      </w:r>
      <w:r w:rsidRPr="002B65F7">
        <w:rPr>
          <w:spacing w:val="-2"/>
        </w:rPr>
        <w:t xml:space="preserve"> </w:t>
      </w:r>
      <w:r w:rsidRPr="002B65F7">
        <w:t>graves</w:t>
      </w:r>
      <w:r w:rsidRPr="002B65F7">
        <w:rPr>
          <w:spacing w:val="-2"/>
        </w:rPr>
        <w:t xml:space="preserve"> </w:t>
      </w:r>
      <w:r w:rsidRPr="002B65F7">
        <w:t>pour</w:t>
      </w:r>
      <w:r w:rsidRPr="002B65F7">
        <w:rPr>
          <w:spacing w:val="-2"/>
        </w:rPr>
        <w:t xml:space="preserve"> </w:t>
      </w:r>
      <w:r w:rsidRPr="002B65F7">
        <w:t>434</w:t>
      </w:r>
      <w:r w:rsidR="001368F4" w:rsidRPr="002B65F7">
        <w:rPr>
          <w:spacing w:val="-1"/>
        </w:rPr>
        <w:t> </w:t>
      </w:r>
      <w:r w:rsidRPr="002B65F7">
        <w:t>patient-années</w:t>
      </w:r>
      <w:r w:rsidRPr="002B65F7">
        <w:rPr>
          <w:spacing w:val="-2"/>
        </w:rPr>
        <w:t xml:space="preserve"> </w:t>
      </w:r>
      <w:r w:rsidRPr="002B65F7">
        <w:t>de</w:t>
      </w:r>
      <w:r w:rsidRPr="002B65F7">
        <w:rPr>
          <w:spacing w:val="-1"/>
        </w:rPr>
        <w:t xml:space="preserve"> </w:t>
      </w:r>
      <w:r w:rsidRPr="002B65F7">
        <w:t>suivi) (voir rubrique</w:t>
      </w:r>
      <w:r w:rsidR="001368F4" w:rsidRPr="002B65F7">
        <w:t> </w:t>
      </w:r>
      <w:r w:rsidRPr="002B65F7">
        <w:t>4.4).</w:t>
      </w:r>
    </w:p>
    <w:p w14:paraId="03B57D4E" w14:textId="77777777" w:rsidR="00092F83" w:rsidRPr="002B65F7" w:rsidRDefault="00092F83" w:rsidP="00496255">
      <w:pPr>
        <w:widowControl/>
      </w:pPr>
    </w:p>
    <w:p w14:paraId="03B57D4F" w14:textId="450FE10F" w:rsidR="00092F83" w:rsidRPr="002B65F7" w:rsidRDefault="00C31740" w:rsidP="00496255">
      <w:pPr>
        <w:widowControl/>
      </w:pPr>
      <w:r w:rsidRPr="002B65F7">
        <w:t>Dans les phases contrôlées et non-contrôlées des études cliniques sur le psoriasis, le rhumatisme psoriasique, la maladie de Crohn et la rectocolite hémorragique, représentant 1</w:t>
      </w:r>
      <w:r w:rsidR="001F1069">
        <w:t>5</w:t>
      </w:r>
      <w:r w:rsidR="001368F4" w:rsidRPr="002B65F7">
        <w:t> </w:t>
      </w:r>
      <w:r w:rsidR="001F1069">
        <w:t>227</w:t>
      </w:r>
      <w:r w:rsidR="006215EA" w:rsidRPr="002B65F7">
        <w:t> </w:t>
      </w:r>
      <w:r w:rsidRPr="002B65F7">
        <w:t>patient-années d’exposition</w:t>
      </w:r>
      <w:r w:rsidR="001F1069">
        <w:t xml:space="preserve"> à l’ustekinumab</w:t>
      </w:r>
      <w:r w:rsidRPr="002B65F7">
        <w:t xml:space="preserve"> chez 6</w:t>
      </w:r>
      <w:r w:rsidR="00912BED" w:rsidRPr="002B65F7">
        <w:t> </w:t>
      </w:r>
      <w:r w:rsidRPr="002B65F7">
        <w:t>7</w:t>
      </w:r>
      <w:r w:rsidR="001F1069">
        <w:t>10</w:t>
      </w:r>
      <w:r w:rsidR="006215EA" w:rsidRPr="002B65F7">
        <w:t> </w:t>
      </w:r>
      <w:r w:rsidRPr="002B65F7">
        <w:t>patients, le suivi médian était de 1,</w:t>
      </w:r>
      <w:r w:rsidR="001F1069">
        <w:t>2</w:t>
      </w:r>
      <w:r w:rsidR="001368F4" w:rsidRPr="002B65F7">
        <w:t> </w:t>
      </w:r>
      <w:r w:rsidRPr="002B65F7">
        <w:t>année</w:t>
      </w:r>
      <w:r w:rsidR="001D7B3E" w:rsidRPr="002B65F7">
        <w:t xml:space="preserve"> </w:t>
      </w:r>
      <w:r w:rsidRPr="002B65F7">
        <w:t>; 1,</w:t>
      </w:r>
      <w:r w:rsidR="001F1069">
        <w:t>7</w:t>
      </w:r>
      <w:r w:rsidR="001368F4" w:rsidRPr="002B65F7">
        <w:t> </w:t>
      </w:r>
      <w:r w:rsidRPr="002B65F7">
        <w:t>année pour les études dans le</w:t>
      </w:r>
      <w:r w:rsidR="001F1069">
        <w:t>s maladies</w:t>
      </w:r>
      <w:r w:rsidRPr="002B65F7">
        <w:t xml:space="preserve"> psoriasi</w:t>
      </w:r>
      <w:r w:rsidR="001F1069">
        <w:t>ques</w:t>
      </w:r>
      <w:r w:rsidRPr="002B65F7">
        <w:t>, 0,6</w:t>
      </w:r>
      <w:r w:rsidR="001368F4" w:rsidRPr="002B65F7">
        <w:t> </w:t>
      </w:r>
      <w:r w:rsidRPr="002B65F7">
        <w:t xml:space="preserve">année pour les études dans la maladie de Crohn et </w:t>
      </w:r>
      <w:r w:rsidR="001F1069">
        <w:t>2</w:t>
      </w:r>
      <w:r w:rsidRPr="002B65F7">
        <w:t>,</w:t>
      </w:r>
      <w:r w:rsidR="001F1069">
        <w:t>3</w:t>
      </w:r>
      <w:r w:rsidR="006215EA" w:rsidRPr="002B65F7">
        <w:t> </w:t>
      </w:r>
      <w:r w:rsidRPr="002B65F7">
        <w:t>année</w:t>
      </w:r>
      <w:r w:rsidR="001F1069">
        <w:t>s</w:t>
      </w:r>
      <w:r w:rsidRPr="002B65F7">
        <w:t xml:space="preserve"> pour les études dans la rectocolite hémorragique. Concernant les patients traités par l’</w:t>
      </w:r>
      <w:r w:rsidR="0071390F" w:rsidRPr="002B65F7">
        <w:t>ustekinumab</w:t>
      </w:r>
      <w:r w:rsidRPr="002B65F7">
        <w:t>, la fréquence des infections a été de 0,</w:t>
      </w:r>
      <w:r w:rsidR="001F1069">
        <w:t>85</w:t>
      </w:r>
      <w:r w:rsidR="006222F8" w:rsidRPr="002B65F7">
        <w:t> </w:t>
      </w:r>
      <w:r w:rsidRPr="002B65F7">
        <w:t>par patient-année de suivi et celle des infections graves de 0,02</w:t>
      </w:r>
      <w:r w:rsidR="00461A91" w:rsidRPr="002B65F7">
        <w:t> </w:t>
      </w:r>
      <w:r w:rsidRPr="002B65F7">
        <w:t>par patient-année (</w:t>
      </w:r>
      <w:r w:rsidR="001F1069">
        <w:t>28</w:t>
      </w:r>
      <w:r w:rsidRPr="002B65F7">
        <w:t>9</w:t>
      </w:r>
      <w:r w:rsidR="001368F4" w:rsidRPr="002B65F7">
        <w:t> </w:t>
      </w:r>
      <w:r w:rsidRPr="002B65F7">
        <w:t>infections graves pour 1</w:t>
      </w:r>
      <w:r w:rsidR="001F1069">
        <w:t>5</w:t>
      </w:r>
      <w:r w:rsidR="001368F4" w:rsidRPr="002B65F7">
        <w:t> </w:t>
      </w:r>
      <w:r w:rsidR="001F1069">
        <w:t>227</w:t>
      </w:r>
      <w:r w:rsidR="006222F8" w:rsidRPr="002B65F7">
        <w:t> </w:t>
      </w:r>
      <w:r w:rsidRPr="002B65F7">
        <w:t>patient-années de suivi), les infections graves rapportées incluaient pneumonie, abcès anal, cellulite, diverticulite, gastro-entérite et infections virales.</w:t>
      </w:r>
    </w:p>
    <w:p w14:paraId="5A3A9D0E" w14:textId="77777777" w:rsidR="001368F4" w:rsidRPr="002B65F7" w:rsidRDefault="001368F4" w:rsidP="00496255">
      <w:pPr>
        <w:widowControl/>
      </w:pPr>
    </w:p>
    <w:p w14:paraId="03B57D50" w14:textId="3EABA736" w:rsidR="00092F83" w:rsidRPr="002B65F7" w:rsidRDefault="00C31740" w:rsidP="00496255">
      <w:pPr>
        <w:widowControl/>
      </w:pPr>
      <w:r w:rsidRPr="002B65F7">
        <w:t>Dans les études cliniques, les patients atteints d’une tuberculose latente traités simultanément avec de l’isoniazide n’ont pas développé de tuberculose.</w:t>
      </w:r>
    </w:p>
    <w:p w14:paraId="03B57D51" w14:textId="77777777" w:rsidR="00092F83" w:rsidRPr="002B65F7" w:rsidRDefault="00092F83" w:rsidP="00496255">
      <w:pPr>
        <w:widowControl/>
      </w:pPr>
    </w:p>
    <w:p w14:paraId="03B57D52" w14:textId="77777777" w:rsidR="00092F83" w:rsidRPr="002B65F7" w:rsidRDefault="00C31740" w:rsidP="00496255">
      <w:pPr>
        <w:keepNext/>
        <w:widowControl/>
        <w:rPr>
          <w:i/>
          <w:iCs/>
        </w:rPr>
      </w:pPr>
      <w:r w:rsidRPr="002B65F7">
        <w:rPr>
          <w:i/>
          <w:iCs/>
        </w:rPr>
        <w:t>Tumeurs malignes</w:t>
      </w:r>
    </w:p>
    <w:p w14:paraId="69DA14DC" w14:textId="77777777" w:rsidR="001368F4" w:rsidRPr="002B65F7" w:rsidRDefault="001368F4" w:rsidP="00496255">
      <w:pPr>
        <w:keepNext/>
        <w:widowControl/>
        <w:rPr>
          <w:u w:val="single"/>
        </w:rPr>
      </w:pPr>
    </w:p>
    <w:p w14:paraId="03B57D53" w14:textId="329503DD" w:rsidR="00092F83" w:rsidRPr="002B65F7" w:rsidRDefault="00C31740" w:rsidP="00496255">
      <w:pPr>
        <w:widowControl/>
      </w:pPr>
      <w:r w:rsidRPr="002B65F7">
        <w:t xml:space="preserve">Dans les phases contrôlées </w:t>
      </w:r>
      <w:r w:rsidRPr="002B65F7">
        <w:rPr>
          <w:i/>
          <w:iCs/>
        </w:rPr>
        <w:t>versus</w:t>
      </w:r>
      <w:r w:rsidRPr="002B65F7">
        <w:t xml:space="preserve"> placebo des études cliniques dans le psoriasis, le rhumatisme psoriasique, la maladie de Crohn et la rectocolite hémorragique, l’incidence des tumeurs malignes à l’exception des cancers de la peau non-mélanome a été de 0,11</w:t>
      </w:r>
      <w:r w:rsidR="001368F4" w:rsidRPr="002B65F7">
        <w:t> </w:t>
      </w:r>
      <w:r w:rsidRPr="002B65F7">
        <w:t>pour 100</w:t>
      </w:r>
      <w:r w:rsidR="001368F4" w:rsidRPr="002B65F7">
        <w:t> </w:t>
      </w:r>
      <w:r w:rsidRPr="002B65F7">
        <w:t xml:space="preserve">patient-années chez les patients traités par </w:t>
      </w:r>
      <w:r w:rsidR="0071390F" w:rsidRPr="002B65F7">
        <w:t>ustekinumab</w:t>
      </w:r>
      <w:r w:rsidRPr="002B65F7">
        <w:t xml:space="preserve"> (1</w:t>
      </w:r>
      <w:r w:rsidR="006222F8" w:rsidRPr="002B65F7">
        <w:t> </w:t>
      </w:r>
      <w:r w:rsidRPr="002B65F7">
        <w:t>patient pour 929</w:t>
      </w:r>
      <w:r w:rsidR="001368F4" w:rsidRPr="002B65F7">
        <w:t> </w:t>
      </w:r>
      <w:r w:rsidRPr="002B65F7">
        <w:t>patient-années de suivi) comparé à 0,23</w:t>
      </w:r>
      <w:r w:rsidR="001368F4" w:rsidRPr="002B65F7">
        <w:t> </w:t>
      </w:r>
      <w:r w:rsidRPr="002B65F7">
        <w:t>chez les patients traités par placebo (</w:t>
      </w:r>
      <w:r w:rsidR="000F4C3F" w:rsidRPr="002B65F7">
        <w:t>1</w:t>
      </w:r>
      <w:r w:rsidR="001368F4" w:rsidRPr="002B65F7">
        <w:t> </w:t>
      </w:r>
      <w:r w:rsidRPr="002B65F7">
        <w:t>patient pour 434</w:t>
      </w:r>
      <w:r w:rsidR="001368F4" w:rsidRPr="002B65F7">
        <w:t> </w:t>
      </w:r>
      <w:r w:rsidRPr="002B65F7">
        <w:t>patient-années de suivi). L’incidence des cancers de la peau non-mélanome a été de 0,43</w:t>
      </w:r>
      <w:r w:rsidR="001368F4" w:rsidRPr="002B65F7">
        <w:t> </w:t>
      </w:r>
      <w:r w:rsidRPr="002B65F7">
        <w:t>pour 100</w:t>
      </w:r>
      <w:r w:rsidR="001368F4" w:rsidRPr="002B65F7">
        <w:t> </w:t>
      </w:r>
      <w:r w:rsidRPr="002B65F7">
        <w:t xml:space="preserve">patient-années de suivi chez les patients traités par </w:t>
      </w:r>
      <w:r w:rsidR="0071390F" w:rsidRPr="002B65F7">
        <w:t>ustekinumab</w:t>
      </w:r>
      <w:r w:rsidRPr="002B65F7">
        <w:t xml:space="preserve"> (4</w:t>
      </w:r>
      <w:r w:rsidR="001368F4" w:rsidRPr="002B65F7">
        <w:t> </w:t>
      </w:r>
      <w:r w:rsidRPr="002B65F7">
        <w:t>patients pour 929</w:t>
      </w:r>
      <w:r w:rsidR="001368F4" w:rsidRPr="002B65F7">
        <w:t> </w:t>
      </w:r>
      <w:r w:rsidRPr="002B65F7">
        <w:t>patient-années de suivi) comparé à 0,46</w:t>
      </w:r>
      <w:r w:rsidR="001368F4" w:rsidRPr="002B65F7">
        <w:t> </w:t>
      </w:r>
      <w:r w:rsidRPr="002B65F7">
        <w:t>chez les patients traités par placebo (</w:t>
      </w:r>
      <w:r w:rsidR="00C30938" w:rsidRPr="002B65F7">
        <w:t>2</w:t>
      </w:r>
      <w:r w:rsidR="001368F4" w:rsidRPr="002B65F7">
        <w:t> </w:t>
      </w:r>
      <w:r w:rsidRPr="002B65F7">
        <w:t>patients pour 433</w:t>
      </w:r>
      <w:r w:rsidR="001368F4" w:rsidRPr="002B65F7">
        <w:t> </w:t>
      </w:r>
      <w:r w:rsidRPr="002B65F7">
        <w:t>patient-années de suivi).</w:t>
      </w:r>
    </w:p>
    <w:p w14:paraId="03B57D54" w14:textId="77777777" w:rsidR="00092F83" w:rsidRPr="002B65F7" w:rsidRDefault="00092F83" w:rsidP="00496255">
      <w:pPr>
        <w:widowControl/>
      </w:pPr>
    </w:p>
    <w:p w14:paraId="03B57D56" w14:textId="199F9762" w:rsidR="00092F83" w:rsidRPr="002B65F7" w:rsidRDefault="00C31740" w:rsidP="00496255">
      <w:pPr>
        <w:widowControl/>
      </w:pPr>
      <w:r w:rsidRPr="002B65F7">
        <w:t>Dans les phases contrôlées et non-contrôlées des études cliniques dans le psoriasis, le rhumatisme psoriasique, la maladie de Crohn et la rectocolite hémorragique, représentant 1</w:t>
      </w:r>
      <w:r w:rsidR="001F1069">
        <w:t>5</w:t>
      </w:r>
      <w:r w:rsidR="008E50D2" w:rsidRPr="002B65F7">
        <w:t> </w:t>
      </w:r>
      <w:r w:rsidR="001F1069">
        <w:t>205</w:t>
      </w:r>
      <w:r w:rsidR="005D5089" w:rsidRPr="002B65F7">
        <w:t> </w:t>
      </w:r>
      <w:r w:rsidRPr="002B65F7">
        <w:t>patient-années d’exposition</w:t>
      </w:r>
      <w:r w:rsidR="001F1069">
        <w:t xml:space="preserve"> à l’ustekinumab</w:t>
      </w:r>
      <w:r w:rsidRPr="002B65F7">
        <w:t xml:space="preserve"> chez 6</w:t>
      </w:r>
      <w:r w:rsidR="00912BED" w:rsidRPr="002B65F7">
        <w:t> </w:t>
      </w:r>
      <w:r w:rsidRPr="002B65F7">
        <w:t>7</w:t>
      </w:r>
      <w:r w:rsidR="001F1069">
        <w:t>10</w:t>
      </w:r>
      <w:r w:rsidR="005D5089" w:rsidRPr="002B65F7">
        <w:t> </w:t>
      </w:r>
      <w:r w:rsidRPr="002B65F7">
        <w:t>patients, le suivi médian était de 1,</w:t>
      </w:r>
      <w:r w:rsidR="001F1069">
        <w:t>2</w:t>
      </w:r>
      <w:r w:rsidR="008E50D2" w:rsidRPr="002B65F7">
        <w:t> </w:t>
      </w:r>
      <w:r w:rsidRPr="002B65F7">
        <w:t>année ; 1,</w:t>
      </w:r>
      <w:r w:rsidR="001F1069">
        <w:t>7</w:t>
      </w:r>
      <w:r w:rsidR="005D5089" w:rsidRPr="002B65F7">
        <w:t> </w:t>
      </w:r>
      <w:r w:rsidRPr="002B65F7">
        <w:t>année pour les études dans les maladies psoriasiques, 0,6</w:t>
      </w:r>
      <w:r w:rsidR="008E50D2" w:rsidRPr="002B65F7">
        <w:t> </w:t>
      </w:r>
      <w:r w:rsidRPr="002B65F7">
        <w:t xml:space="preserve">année pour les études dans la maladie de Crohn et </w:t>
      </w:r>
      <w:r w:rsidR="001F1069">
        <w:lastRenderedPageBreak/>
        <w:t>2</w:t>
      </w:r>
      <w:r w:rsidRPr="002B65F7">
        <w:t>,</w:t>
      </w:r>
      <w:r w:rsidR="001F1069">
        <w:t>3</w:t>
      </w:r>
      <w:r w:rsidR="008E50D2" w:rsidRPr="002B65F7">
        <w:t> </w:t>
      </w:r>
      <w:r w:rsidRPr="002B65F7">
        <w:t>année</w:t>
      </w:r>
      <w:r w:rsidR="003C49B2">
        <w:t>s</w:t>
      </w:r>
      <w:r w:rsidRPr="002B65F7">
        <w:t xml:space="preserve"> pour les études dans la rectocolite hémorragique. Des tumeurs malignes, excluant les cancers de la peau non-mélanome ont été rapportées chez </w:t>
      </w:r>
      <w:r w:rsidR="001F1069">
        <w:t>76</w:t>
      </w:r>
      <w:r w:rsidR="008E50D2" w:rsidRPr="002B65F7">
        <w:t> </w:t>
      </w:r>
      <w:r w:rsidRPr="002B65F7">
        <w:t>patients pour 1</w:t>
      </w:r>
      <w:r w:rsidR="001F1069">
        <w:t>5</w:t>
      </w:r>
      <w:r w:rsidR="008E50D2" w:rsidRPr="002B65F7">
        <w:t> </w:t>
      </w:r>
      <w:r w:rsidR="001F1069">
        <w:t>205</w:t>
      </w:r>
      <w:r w:rsidR="00781474" w:rsidRPr="002B65F7">
        <w:t> </w:t>
      </w:r>
      <w:r w:rsidRPr="002B65F7">
        <w:t>patient-années de suivi (incidence de</w:t>
      </w:r>
      <w:r w:rsidR="001368F4" w:rsidRPr="002B65F7">
        <w:t xml:space="preserve"> </w:t>
      </w:r>
      <w:r w:rsidRPr="002B65F7">
        <w:t>0,5</w:t>
      </w:r>
      <w:r w:rsidR="001F1069">
        <w:t>0</w:t>
      </w:r>
      <w:r w:rsidR="008E50D2" w:rsidRPr="002B65F7">
        <w:t> </w:t>
      </w:r>
      <w:r w:rsidRPr="002B65F7">
        <w:t>pour 100</w:t>
      </w:r>
      <w:r w:rsidR="008E50D2" w:rsidRPr="002B65F7">
        <w:t> </w:t>
      </w:r>
      <w:r w:rsidRPr="002B65F7">
        <w:t xml:space="preserve">patient-année de suivi pour les patients traités par </w:t>
      </w:r>
      <w:r w:rsidR="0071390F" w:rsidRPr="002B65F7">
        <w:t>ustekinumab</w:t>
      </w:r>
      <w:r w:rsidRPr="002B65F7">
        <w:t xml:space="preserve">). L’incidence des tumeurs malignes rapportées chez les patients traités par </w:t>
      </w:r>
      <w:r w:rsidR="0071390F" w:rsidRPr="002B65F7">
        <w:t>ustekinumab</w:t>
      </w:r>
      <w:r w:rsidRPr="002B65F7">
        <w:t xml:space="preserve"> était comparable à l’incidence attendue dans la population générale (ratio standardisé d’incidence</w:t>
      </w:r>
      <w:r w:rsidR="008E50D2" w:rsidRPr="002B65F7">
        <w:t> </w:t>
      </w:r>
      <w:r w:rsidRPr="002B65F7">
        <w:t>=</w:t>
      </w:r>
      <w:r w:rsidR="008E50D2" w:rsidRPr="002B65F7">
        <w:t> </w:t>
      </w:r>
      <w:r w:rsidRPr="002B65F7">
        <w:t>0,9</w:t>
      </w:r>
      <w:r w:rsidR="001F1069">
        <w:t>4</w:t>
      </w:r>
      <w:r w:rsidRPr="002B65F7">
        <w:t xml:space="preserve"> [intervalle de confiance à 95% : 0,7</w:t>
      </w:r>
      <w:r w:rsidR="001F1069">
        <w:t>3</w:t>
      </w:r>
      <w:r w:rsidRPr="002B65F7">
        <w:t>, 1,</w:t>
      </w:r>
      <w:r w:rsidR="001F1069">
        <w:t>18</w:t>
      </w:r>
      <w:r w:rsidRPr="002B65F7">
        <w:t xml:space="preserve">], ajusté à l’âge, au sexe et à l’ethnie). Les tumeurs malignes les plus fréquemment rapportées, autre que le cancer de la peau non-mélanome, étaient le cancer de la prostate, </w:t>
      </w:r>
      <w:r w:rsidR="001F1069">
        <w:t xml:space="preserve">le mélanome, </w:t>
      </w:r>
      <w:r w:rsidRPr="002B65F7">
        <w:t>le cancer colorectal</w:t>
      </w:r>
      <w:r w:rsidR="001F1069">
        <w:t xml:space="preserve"> </w:t>
      </w:r>
      <w:r w:rsidRPr="002B65F7">
        <w:t>et le cancer du sein. L’incidence des cancers de la peau non-mélanome était de 0,4</w:t>
      </w:r>
      <w:r w:rsidR="008F1B22">
        <w:t>6</w:t>
      </w:r>
      <w:r w:rsidR="008E50D2" w:rsidRPr="002B65F7">
        <w:t> </w:t>
      </w:r>
      <w:r w:rsidRPr="002B65F7">
        <w:t>pour 100</w:t>
      </w:r>
      <w:r w:rsidR="008E50D2" w:rsidRPr="002B65F7">
        <w:t> </w:t>
      </w:r>
      <w:r w:rsidRPr="002B65F7">
        <w:t xml:space="preserve">patient-années de suivi chez les patients traités par </w:t>
      </w:r>
      <w:r w:rsidR="0071390F" w:rsidRPr="002B65F7">
        <w:t>ustekinumab</w:t>
      </w:r>
      <w:r w:rsidRPr="002B65F7">
        <w:t xml:space="preserve"> (</w:t>
      </w:r>
      <w:r w:rsidR="008F1B22">
        <w:t>69</w:t>
      </w:r>
      <w:r w:rsidR="008E50D2" w:rsidRPr="002B65F7">
        <w:t> </w:t>
      </w:r>
      <w:r w:rsidRPr="002B65F7">
        <w:t>patients pour 1</w:t>
      </w:r>
      <w:r w:rsidR="008F1B22">
        <w:t>5</w:t>
      </w:r>
      <w:r w:rsidR="008E50D2" w:rsidRPr="002B65F7">
        <w:t> </w:t>
      </w:r>
      <w:r w:rsidR="008F1B22">
        <w:t>165</w:t>
      </w:r>
      <w:r w:rsidR="00120924" w:rsidRPr="002B65F7">
        <w:t> </w:t>
      </w:r>
      <w:r w:rsidRPr="002B65F7">
        <w:t xml:space="preserve">patient-années de suivi). Le ratio de patients atteints de cancer de la peau basocellulaire </w:t>
      </w:r>
      <w:r w:rsidRPr="002B65F7">
        <w:rPr>
          <w:i/>
          <w:iCs/>
        </w:rPr>
        <w:t>versus</w:t>
      </w:r>
      <w:r w:rsidRPr="002B65F7">
        <w:t xml:space="preserve"> spinocellulaire (3:1) est comparable au ratio attendu dans la population générale (voir rubrique</w:t>
      </w:r>
      <w:r w:rsidR="008E50D2" w:rsidRPr="002B65F7">
        <w:t> </w:t>
      </w:r>
      <w:r w:rsidRPr="002B65F7">
        <w:t>4.4).</w:t>
      </w:r>
    </w:p>
    <w:p w14:paraId="0CB3D598" w14:textId="77777777" w:rsidR="008E50D2" w:rsidRPr="002B65F7" w:rsidRDefault="008E50D2" w:rsidP="00496255">
      <w:pPr>
        <w:widowControl/>
      </w:pPr>
    </w:p>
    <w:p w14:paraId="03B57D57" w14:textId="7C456154" w:rsidR="00092F83" w:rsidRPr="002B65F7" w:rsidRDefault="00C31740" w:rsidP="00496255">
      <w:pPr>
        <w:keepNext/>
        <w:widowControl/>
        <w:rPr>
          <w:i/>
          <w:iCs/>
        </w:rPr>
      </w:pPr>
      <w:r w:rsidRPr="002B65F7">
        <w:rPr>
          <w:i/>
          <w:iCs/>
        </w:rPr>
        <w:t>Hypersensibilité et réactions liées à la perfusion</w:t>
      </w:r>
    </w:p>
    <w:p w14:paraId="657CF79B" w14:textId="77777777" w:rsidR="008E50D2" w:rsidRPr="002B65F7" w:rsidRDefault="008E50D2" w:rsidP="00496255">
      <w:pPr>
        <w:keepNext/>
        <w:widowControl/>
        <w:rPr>
          <w:i/>
          <w:iCs/>
        </w:rPr>
      </w:pPr>
    </w:p>
    <w:p w14:paraId="03B57D59" w14:textId="6DF21963" w:rsidR="00092F83" w:rsidRPr="002B65F7" w:rsidRDefault="00C31740" w:rsidP="00496255">
      <w:pPr>
        <w:widowControl/>
      </w:pPr>
      <w:r w:rsidRPr="002B65F7">
        <w:t>Au cours des études d’induction intraveineuse dans la maladie de Crohn et la rectocolite hémorragique, aucun événement de type anaphylaxie ou autre réaction grave liée à la perfusion n’a été rapporté après l’administration de la dose unique en intraveineuse. Dans ces études, 2,2% des</w:t>
      </w:r>
      <w:r w:rsidR="00471C97" w:rsidRPr="002B65F7">
        <w:t xml:space="preserve"> </w:t>
      </w:r>
      <w:r w:rsidRPr="002B65F7">
        <w:t>785</w:t>
      </w:r>
      <w:r w:rsidR="00471C97" w:rsidRPr="002B65F7">
        <w:t> </w:t>
      </w:r>
      <w:r w:rsidRPr="002B65F7">
        <w:t>patients traités par placebo et 1,9% des 790</w:t>
      </w:r>
      <w:r w:rsidR="00471C97" w:rsidRPr="002B65F7">
        <w:t> </w:t>
      </w:r>
      <w:r w:rsidRPr="002B65F7">
        <w:t>patients traités par la dose recommandée d’</w:t>
      </w:r>
      <w:r w:rsidR="0071390F" w:rsidRPr="002B65F7">
        <w:t>ustekinumab</w:t>
      </w:r>
      <w:r w:rsidRPr="002B65F7">
        <w:t xml:space="preserve"> ont rapporté des événements indésirables survenus pendant ou dans l’heure suivant la perfusion. De graves réactions liées à la perfusion, notamment des réactions anaphylactiques, ont été rapportées depuis la mise sur le marché du produit (voir rubrique 4.4).</w:t>
      </w:r>
    </w:p>
    <w:p w14:paraId="083A8880" w14:textId="77777777" w:rsidR="0026083F" w:rsidRPr="002B65F7" w:rsidRDefault="0026083F" w:rsidP="00496255">
      <w:pPr>
        <w:widowControl/>
      </w:pPr>
    </w:p>
    <w:p w14:paraId="03B57D5A" w14:textId="77777777" w:rsidR="00092F83" w:rsidRPr="002B65F7" w:rsidRDefault="00C31740" w:rsidP="00496255">
      <w:pPr>
        <w:keepNext/>
        <w:widowControl/>
        <w:rPr>
          <w:u w:val="single"/>
        </w:rPr>
      </w:pPr>
      <w:r w:rsidRPr="002B65F7">
        <w:rPr>
          <w:u w:val="single"/>
        </w:rPr>
        <w:t>Population pédiatrique</w:t>
      </w:r>
    </w:p>
    <w:p w14:paraId="5E898F7E" w14:textId="77777777" w:rsidR="0026083F" w:rsidRPr="002B65F7" w:rsidRDefault="0026083F" w:rsidP="00496255">
      <w:pPr>
        <w:keepNext/>
        <w:widowControl/>
        <w:rPr>
          <w:u w:val="single"/>
        </w:rPr>
      </w:pPr>
    </w:p>
    <w:p w14:paraId="03B57D5B" w14:textId="5F44B12A" w:rsidR="00092F83" w:rsidRPr="002B65F7" w:rsidRDefault="00C31740" w:rsidP="00496255">
      <w:pPr>
        <w:keepNext/>
        <w:widowControl/>
        <w:rPr>
          <w:i/>
          <w:iCs/>
        </w:rPr>
      </w:pPr>
      <w:r w:rsidRPr="002B65F7">
        <w:rPr>
          <w:i/>
          <w:iCs/>
        </w:rPr>
        <w:t>Patients pédiatriques de 6</w:t>
      </w:r>
      <w:r w:rsidR="0026083F" w:rsidRPr="002B65F7">
        <w:rPr>
          <w:i/>
          <w:iCs/>
        </w:rPr>
        <w:t> </w:t>
      </w:r>
      <w:r w:rsidRPr="002B65F7">
        <w:rPr>
          <w:i/>
          <w:iCs/>
        </w:rPr>
        <w:t>ans et plus atteints de psoriasis en plaques</w:t>
      </w:r>
    </w:p>
    <w:p w14:paraId="2706F76E" w14:textId="77777777" w:rsidR="0026083F" w:rsidRPr="002B65F7" w:rsidRDefault="0026083F" w:rsidP="00496255">
      <w:pPr>
        <w:keepNext/>
        <w:widowControl/>
        <w:rPr>
          <w:i/>
          <w:iCs/>
        </w:rPr>
      </w:pPr>
    </w:p>
    <w:p w14:paraId="03B57D5F" w14:textId="65706754" w:rsidR="00092F83" w:rsidRPr="002B65F7" w:rsidRDefault="00C31740" w:rsidP="00496255">
      <w:pPr>
        <w:widowControl/>
      </w:pPr>
      <w:r w:rsidRPr="002B65F7">
        <w:t>La sécurité de l’</w:t>
      </w:r>
      <w:r w:rsidR="0071390F" w:rsidRPr="002B65F7">
        <w:t>ustekinumab</w:t>
      </w:r>
      <w:r w:rsidRPr="002B65F7">
        <w:t xml:space="preserve"> a été étudiée dans deux études de phase</w:t>
      </w:r>
      <w:r w:rsidR="006A230B" w:rsidRPr="002B65F7">
        <w:t> </w:t>
      </w:r>
      <w:r w:rsidRPr="002B65F7">
        <w:t>3</w:t>
      </w:r>
      <w:r w:rsidR="006A230B" w:rsidRPr="002B65F7">
        <w:t xml:space="preserve"> </w:t>
      </w:r>
      <w:r w:rsidRPr="002B65F7">
        <w:t>portant sur des patients pédiatriques atteints de psoriasis en plaques modéré à sévère. La première étude portait sur</w:t>
      </w:r>
      <w:r w:rsidR="007C674E" w:rsidRPr="002B65F7">
        <w:t xml:space="preserve"> </w:t>
      </w:r>
      <w:r w:rsidRPr="002B65F7">
        <w:t>110</w:t>
      </w:r>
      <w:r w:rsidR="007C674E" w:rsidRPr="002B65F7">
        <w:t> </w:t>
      </w:r>
      <w:r w:rsidRPr="002B65F7">
        <w:t>patients âgés de 12</w:t>
      </w:r>
      <w:r w:rsidR="006A230B" w:rsidRPr="002B65F7">
        <w:t> </w:t>
      </w:r>
      <w:r w:rsidRPr="002B65F7">
        <w:t>à 17</w:t>
      </w:r>
      <w:r w:rsidR="003F5C45" w:rsidRPr="002B65F7">
        <w:t> </w:t>
      </w:r>
      <w:r w:rsidRPr="002B65F7">
        <w:t>ans traités sur une durée allant jusqu’à 60</w:t>
      </w:r>
      <w:r w:rsidR="007C674E" w:rsidRPr="002B65F7">
        <w:t> </w:t>
      </w:r>
      <w:r w:rsidRPr="002B65F7">
        <w:t>semaines et la seconde étude portait sur 44</w:t>
      </w:r>
      <w:r w:rsidR="007C674E" w:rsidRPr="002B65F7">
        <w:t> </w:t>
      </w:r>
      <w:r w:rsidRPr="002B65F7">
        <w:t>patients âgés de 6</w:t>
      </w:r>
      <w:r w:rsidR="006A230B" w:rsidRPr="002B65F7">
        <w:t> </w:t>
      </w:r>
      <w:r w:rsidRPr="002B65F7">
        <w:t>à 11</w:t>
      </w:r>
      <w:r w:rsidR="007C674E" w:rsidRPr="002B65F7">
        <w:t> </w:t>
      </w:r>
      <w:r w:rsidRPr="002B65F7">
        <w:t>ans traités sur une durée allant jusqu’à 56</w:t>
      </w:r>
      <w:r w:rsidR="007C674E" w:rsidRPr="002B65F7">
        <w:t> </w:t>
      </w:r>
      <w:r w:rsidRPr="002B65F7">
        <w:t>semaines. En général, les évènements indésirables rapportés dans ces deux études avec des données de sécurité allant jusqu’à</w:t>
      </w:r>
      <w:r w:rsidR="0026083F" w:rsidRPr="002B65F7">
        <w:t xml:space="preserve"> </w:t>
      </w:r>
      <w:r w:rsidRPr="002B65F7">
        <w:t>1</w:t>
      </w:r>
      <w:r w:rsidR="006A230B" w:rsidRPr="002B65F7">
        <w:t> </w:t>
      </w:r>
      <w:r w:rsidRPr="002B65F7">
        <w:t>an étaient similaires à ceux observés dans les précédentes études menées chez des patients adultes atteints de psoriasis en plaques.</w:t>
      </w:r>
    </w:p>
    <w:p w14:paraId="1753E57D" w14:textId="77777777" w:rsidR="0082328A" w:rsidRDefault="0082328A" w:rsidP="0082328A">
      <w:pPr>
        <w:keepNext/>
        <w:rPr>
          <w:i/>
          <w:iCs/>
          <w:noProof/>
          <w:lang w:eastAsia="nl-BE"/>
        </w:rPr>
      </w:pPr>
      <w:bookmarkStart w:id="2" w:name="_Hlk191290265"/>
    </w:p>
    <w:p w14:paraId="45970C45" w14:textId="59D3398E" w:rsidR="0082328A" w:rsidRDefault="0082328A" w:rsidP="003743BD">
      <w:pPr>
        <w:keepNext/>
        <w:rPr>
          <w:i/>
          <w:iCs/>
          <w:noProof/>
          <w:lang w:eastAsia="nl-BE"/>
        </w:rPr>
      </w:pPr>
      <w:r>
        <w:rPr>
          <w:i/>
          <w:iCs/>
          <w:noProof/>
          <w:lang w:eastAsia="nl-BE"/>
        </w:rPr>
        <w:t>Patients pédiatriques pesant au moins 40 kg atteints de la maladie de Crohn</w:t>
      </w:r>
    </w:p>
    <w:p w14:paraId="7E7D5132" w14:textId="77777777" w:rsidR="0082328A" w:rsidRDefault="0082328A" w:rsidP="0082328A">
      <w:pPr>
        <w:rPr>
          <w:noProof/>
          <w:lang w:eastAsia="nl-BE"/>
        </w:rPr>
      </w:pPr>
    </w:p>
    <w:p w14:paraId="4EBE9FC9" w14:textId="781CA89C" w:rsidR="0082328A" w:rsidRDefault="0082328A" w:rsidP="0082328A">
      <w:pPr>
        <w:rPr>
          <w:noProof/>
          <w:lang w:eastAsia="nl-BE"/>
        </w:rPr>
      </w:pPr>
      <w:r>
        <w:rPr>
          <w:noProof/>
          <w:lang w:eastAsia="nl-BE"/>
        </w:rPr>
        <w:t>La sécurité de l’ustekinumab a été étudiée dans une étude de phase 1 et une étude de phase 3 chez des patients pédiatriques atteints de la maladie de Crohn active modérée à sévère jusqu’à la semaine 240 et la semaine 52, respectivement. En général, le profil de sécurité dans cette cohorte (n = 71) était similaire à celui observé dans les études précédentes menées chez les adultes atteints de la maladie de Crohn.</w:t>
      </w:r>
    </w:p>
    <w:bookmarkEnd w:id="2"/>
    <w:p w14:paraId="03B57D60" w14:textId="77777777" w:rsidR="00092F83" w:rsidRPr="002B65F7" w:rsidRDefault="00092F83" w:rsidP="00496255">
      <w:pPr>
        <w:widowControl/>
        <w:rPr>
          <w:u w:val="single"/>
        </w:rPr>
      </w:pPr>
    </w:p>
    <w:p w14:paraId="03B57D61" w14:textId="77777777" w:rsidR="00092F83" w:rsidRPr="002B65F7" w:rsidRDefault="00C31740" w:rsidP="00496255">
      <w:pPr>
        <w:keepNext/>
        <w:widowControl/>
        <w:rPr>
          <w:u w:val="single"/>
        </w:rPr>
      </w:pPr>
      <w:r w:rsidRPr="002B65F7">
        <w:rPr>
          <w:u w:val="single"/>
        </w:rPr>
        <w:t>Déclaration des effets indésirables suspectés</w:t>
      </w:r>
    </w:p>
    <w:p w14:paraId="53938E38" w14:textId="77777777" w:rsidR="007C674E" w:rsidRPr="002B65F7" w:rsidRDefault="007C674E" w:rsidP="00496255">
      <w:pPr>
        <w:keepNext/>
        <w:widowControl/>
        <w:rPr>
          <w:u w:val="single"/>
        </w:rPr>
      </w:pPr>
    </w:p>
    <w:p w14:paraId="03B57D62" w14:textId="55476AA7" w:rsidR="00092F83" w:rsidRPr="002B65F7" w:rsidRDefault="00C31740" w:rsidP="00496255">
      <w:pPr>
        <w:keepNext/>
        <w:widowControl/>
      </w:pPr>
      <w:r w:rsidRPr="002B65F7">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 voir </w:t>
      </w:r>
      <w:hyperlink r:id="rId10" w:history="1">
        <w:r>
          <w:rPr>
            <w:rStyle w:val="Hyperlink"/>
            <w:highlight w:val="lightGray"/>
          </w:rPr>
          <w:t>Annexe V</w:t>
        </w:r>
      </w:hyperlink>
      <w:r w:rsidRPr="002B65F7">
        <w:t>.</w:t>
      </w:r>
    </w:p>
    <w:p w14:paraId="03B57D63" w14:textId="77777777" w:rsidR="00092F83" w:rsidRPr="002B65F7" w:rsidRDefault="00092F83" w:rsidP="00496255">
      <w:pPr>
        <w:widowControl/>
      </w:pPr>
    </w:p>
    <w:p w14:paraId="03B57D64" w14:textId="4D746922" w:rsidR="00092F83" w:rsidRPr="002B65F7" w:rsidRDefault="00634312" w:rsidP="00496255">
      <w:pPr>
        <w:keepNext/>
        <w:widowControl/>
        <w:tabs>
          <w:tab w:val="left" w:pos="567"/>
        </w:tabs>
        <w:ind w:left="567" w:hanging="567"/>
        <w:rPr>
          <w:b/>
          <w:bCs/>
        </w:rPr>
      </w:pPr>
      <w:r w:rsidRPr="002B65F7">
        <w:rPr>
          <w:b/>
          <w:bCs/>
        </w:rPr>
        <w:t>4.9</w:t>
      </w:r>
      <w:r w:rsidRPr="002B65F7">
        <w:rPr>
          <w:b/>
          <w:bCs/>
        </w:rPr>
        <w:tab/>
        <w:t>Surdosage</w:t>
      </w:r>
    </w:p>
    <w:p w14:paraId="03B57D65" w14:textId="77777777" w:rsidR="00092F83" w:rsidRPr="002B65F7" w:rsidRDefault="00092F83" w:rsidP="00496255">
      <w:pPr>
        <w:keepNext/>
        <w:widowControl/>
      </w:pPr>
    </w:p>
    <w:p w14:paraId="03B57D66" w14:textId="2C8E4A5C" w:rsidR="00092F83" w:rsidRPr="002B65F7" w:rsidRDefault="00C31740" w:rsidP="00496255">
      <w:pPr>
        <w:widowControl/>
      </w:pPr>
      <w:r w:rsidRPr="002B65F7">
        <w:t>Des doses uniques allant jusqu’à 6</w:t>
      </w:r>
      <w:r w:rsidR="004E28CA" w:rsidRPr="002B65F7">
        <w:t> </w:t>
      </w:r>
      <w:r w:rsidRPr="002B65F7">
        <w:t>mg/kg ont été administrées par voie intraveineuse au cours des études cliniques sans toxicité dose-limitante. En cas de surdosage, il est recommandé que le patient soit surveillé afin de détecter tout signe ou symptôme évoquant des effets indésirables et qu’un traitement symptomatique approprié soit immédiatement instauré.</w:t>
      </w:r>
    </w:p>
    <w:p w14:paraId="03B57D67" w14:textId="77777777" w:rsidR="00092F83" w:rsidRPr="002B65F7" w:rsidRDefault="00092F83" w:rsidP="00496255">
      <w:pPr>
        <w:widowControl/>
      </w:pPr>
    </w:p>
    <w:p w14:paraId="37BDEEE4" w14:textId="77777777" w:rsidR="00634312" w:rsidRPr="002B65F7" w:rsidRDefault="00634312" w:rsidP="00496255">
      <w:pPr>
        <w:widowControl/>
      </w:pPr>
    </w:p>
    <w:p w14:paraId="03B57D68" w14:textId="1C84AC73" w:rsidR="00092F83" w:rsidRPr="002B65F7" w:rsidRDefault="00634312" w:rsidP="00496255">
      <w:pPr>
        <w:keepNext/>
        <w:widowControl/>
        <w:tabs>
          <w:tab w:val="left" w:pos="567"/>
        </w:tabs>
        <w:ind w:left="567" w:hanging="567"/>
        <w:rPr>
          <w:b/>
          <w:bCs/>
        </w:rPr>
      </w:pPr>
      <w:r w:rsidRPr="002B65F7">
        <w:rPr>
          <w:b/>
          <w:bCs/>
        </w:rPr>
        <w:lastRenderedPageBreak/>
        <w:t>5.</w:t>
      </w:r>
      <w:r w:rsidRPr="002B65F7">
        <w:rPr>
          <w:b/>
          <w:bCs/>
        </w:rPr>
        <w:tab/>
        <w:t>PROPRIETÉS PHARMACOLOGIQUES</w:t>
      </w:r>
    </w:p>
    <w:p w14:paraId="03B57D69" w14:textId="77777777" w:rsidR="00092F83" w:rsidRPr="002B65F7" w:rsidRDefault="00092F83" w:rsidP="00496255">
      <w:pPr>
        <w:keepNext/>
        <w:widowControl/>
      </w:pPr>
    </w:p>
    <w:p w14:paraId="03B57D6A" w14:textId="53C00131" w:rsidR="00092F83" w:rsidRPr="002B65F7" w:rsidRDefault="00634312" w:rsidP="00496255">
      <w:pPr>
        <w:keepNext/>
        <w:widowControl/>
        <w:tabs>
          <w:tab w:val="left" w:pos="567"/>
        </w:tabs>
        <w:ind w:left="567" w:hanging="567"/>
        <w:rPr>
          <w:b/>
          <w:bCs/>
        </w:rPr>
      </w:pPr>
      <w:r w:rsidRPr="002B65F7">
        <w:rPr>
          <w:b/>
          <w:bCs/>
        </w:rPr>
        <w:t>5.1</w:t>
      </w:r>
      <w:r w:rsidRPr="002B65F7">
        <w:rPr>
          <w:b/>
          <w:bCs/>
        </w:rPr>
        <w:tab/>
        <w:t>Propriétés pharmacodynamiques</w:t>
      </w:r>
    </w:p>
    <w:p w14:paraId="03B57D6B" w14:textId="77777777" w:rsidR="00092F83" w:rsidRPr="002B65F7" w:rsidRDefault="00092F83" w:rsidP="00496255">
      <w:pPr>
        <w:keepNext/>
        <w:widowControl/>
      </w:pPr>
    </w:p>
    <w:p w14:paraId="03B57D6C" w14:textId="77777777" w:rsidR="00092F83" w:rsidRPr="002B65F7" w:rsidRDefault="00C31740" w:rsidP="00496255">
      <w:pPr>
        <w:widowControl/>
      </w:pPr>
      <w:r w:rsidRPr="002B65F7">
        <w:t>Classe pharmacothérapeutique : Immunosuppresseurs, inhibiteurs d’interleukine, Code ATC : L04AC05.</w:t>
      </w:r>
    </w:p>
    <w:p w14:paraId="4189DF7F" w14:textId="77777777" w:rsidR="00705C2B" w:rsidRPr="002B65F7" w:rsidRDefault="00705C2B" w:rsidP="00496255">
      <w:pPr>
        <w:widowControl/>
      </w:pPr>
    </w:p>
    <w:p w14:paraId="7BB915D7" w14:textId="1CD8268E" w:rsidR="00705C2B" w:rsidRPr="002B65F7" w:rsidRDefault="00705C2B" w:rsidP="00DF04BE">
      <w:pPr>
        <w:widowControl/>
      </w:pPr>
      <w:r w:rsidRPr="002B65F7">
        <w:t>WEZENLA est un médicament biosimilaire. Des informations détaillées sont disponibles sur le site</w:t>
      </w:r>
      <w:r w:rsidR="00A00D2B" w:rsidRPr="002B65F7">
        <w:t xml:space="preserve"> internet</w:t>
      </w:r>
      <w:r w:rsidRPr="002B65F7">
        <w:t xml:space="preserve"> de l’Agence européenne des médicaments </w:t>
      </w:r>
      <w:hyperlink r:id="rId11" w:history="1">
        <w:r w:rsidR="00595693">
          <w:rPr>
            <w:rStyle w:val="Hyperlink"/>
          </w:rPr>
          <w:t>https://www.ema.europa.eu</w:t>
        </w:r>
      </w:hyperlink>
      <w:r w:rsidRPr="002B65F7">
        <w:t>.</w:t>
      </w:r>
    </w:p>
    <w:p w14:paraId="50781431" w14:textId="77777777" w:rsidR="00D557F7" w:rsidRPr="002B65F7" w:rsidRDefault="00D557F7" w:rsidP="00496255">
      <w:pPr>
        <w:widowControl/>
      </w:pPr>
    </w:p>
    <w:p w14:paraId="03B57D6D" w14:textId="04EE9934" w:rsidR="00092F83" w:rsidRPr="002B65F7" w:rsidRDefault="00C31740" w:rsidP="00496255">
      <w:pPr>
        <w:keepNext/>
        <w:widowControl/>
        <w:rPr>
          <w:u w:val="single"/>
        </w:rPr>
      </w:pPr>
      <w:r w:rsidRPr="002B65F7">
        <w:rPr>
          <w:u w:val="single"/>
        </w:rPr>
        <w:t>Mécanisme d’action</w:t>
      </w:r>
    </w:p>
    <w:p w14:paraId="3090B47A" w14:textId="77777777" w:rsidR="00D557F7" w:rsidRPr="002B65F7" w:rsidRDefault="00D557F7" w:rsidP="00496255">
      <w:pPr>
        <w:keepNext/>
        <w:widowControl/>
        <w:rPr>
          <w:u w:val="single"/>
        </w:rPr>
      </w:pPr>
    </w:p>
    <w:p w14:paraId="03B57D6F" w14:textId="3209D9AD" w:rsidR="00092F83" w:rsidRPr="002B65F7" w:rsidRDefault="00C31740" w:rsidP="003606CF">
      <w:pPr>
        <w:widowControl/>
      </w:pPr>
      <w:r w:rsidRPr="002B65F7">
        <w:t>L’</w:t>
      </w:r>
      <w:r w:rsidR="0071390F" w:rsidRPr="002B65F7">
        <w:t>ustekinumab</w:t>
      </w:r>
      <w:r w:rsidRPr="002B65F7">
        <w:t xml:space="preserve"> est un anticorps monoclonal IgG1κ entièrement humain qui se lie spécifiquement à la sous-unité protéique p40</w:t>
      </w:r>
      <w:r w:rsidR="006873C9" w:rsidRPr="002B65F7">
        <w:t> </w:t>
      </w:r>
      <w:r w:rsidRPr="002B65F7">
        <w:t>commune aux cytokines humaines interleukine</w:t>
      </w:r>
      <w:r w:rsidR="003F37B6">
        <w:t>s</w:t>
      </w:r>
      <w:r w:rsidRPr="002B65F7">
        <w:t xml:space="preserve"> (IL)-12 et IL-23.</w:t>
      </w:r>
      <w:r w:rsidR="003606CF">
        <w:t xml:space="preserve"> </w:t>
      </w:r>
      <w:r w:rsidRPr="002B65F7">
        <w:t>L’</w:t>
      </w:r>
      <w:r w:rsidR="0071390F" w:rsidRPr="002B65F7">
        <w:t>ustekinumab</w:t>
      </w:r>
      <w:r w:rsidRPr="002B65F7">
        <w:t xml:space="preserve"> inhibe la bioactivité de l’IL-12 et de l’IL-23 humaines en empêchant la p40</w:t>
      </w:r>
      <w:r w:rsidR="006873C9" w:rsidRPr="002B65F7">
        <w:t> </w:t>
      </w:r>
      <w:r w:rsidRPr="002B65F7">
        <w:t>de se lier au récepteur protéique IL-12Rβ1 exprimé à la surface de cellules immunitaires. L’</w:t>
      </w:r>
      <w:r w:rsidR="0071390F" w:rsidRPr="002B65F7">
        <w:t>ustekinumab</w:t>
      </w:r>
      <w:r w:rsidRPr="002B65F7">
        <w:t xml:space="preserve"> ne peut pas se lier à l’IL-12</w:t>
      </w:r>
      <w:r w:rsidR="00113DDA" w:rsidRPr="002B65F7">
        <w:t> </w:t>
      </w:r>
      <w:r w:rsidRPr="002B65F7">
        <w:t>ou à l’IL-23</w:t>
      </w:r>
      <w:r w:rsidR="00113DDA" w:rsidRPr="002B65F7">
        <w:t> </w:t>
      </w:r>
      <w:r w:rsidRPr="002B65F7">
        <w:t>si elles sont préalablement fixées à leurs récepteurs cellulaires de surface IL-12Rβ1. Il est donc peu probable que l’</w:t>
      </w:r>
      <w:r w:rsidR="0071390F" w:rsidRPr="002B65F7">
        <w:t>ustekinumab</w:t>
      </w:r>
      <w:r w:rsidRPr="002B65F7">
        <w:t xml:space="preserve"> contribue à la cytotoxicité médiée par le complément ou par les anticorps des cellules comportant des récepteurs à l’IL-12</w:t>
      </w:r>
      <w:r w:rsidR="00113DDA" w:rsidRPr="002B65F7">
        <w:t> </w:t>
      </w:r>
      <w:r w:rsidRPr="002B65F7">
        <w:t>et/ou IL-23. IL-12</w:t>
      </w:r>
      <w:r w:rsidR="00113DDA" w:rsidRPr="002B65F7">
        <w:t> </w:t>
      </w:r>
      <w:r w:rsidRPr="002B65F7">
        <w:t>et IL-23</w:t>
      </w:r>
      <w:r w:rsidR="00113DDA" w:rsidRPr="002B65F7">
        <w:t> </w:t>
      </w:r>
      <w:r w:rsidRPr="002B65F7">
        <w:t>sont des cytokines hétérodimériques sécrétées par des cellules présentatrices d’antigènes activées telles que les macrophages et les cellules dendritiques. Chacune des cytokines participent aux fonctions immunitaires ; l’IL-12 stimule les cellules natural killer (NK) et conduit à la différenciation des lymphocytes T CD4+</w:t>
      </w:r>
      <w:r w:rsidR="00113DDA" w:rsidRPr="002B65F7">
        <w:t> </w:t>
      </w:r>
      <w:r w:rsidRPr="002B65F7">
        <w:t>vers le phénotype T helper</w:t>
      </w:r>
      <w:r w:rsidR="005E6733" w:rsidRPr="002B65F7">
        <w:t> </w:t>
      </w:r>
      <w:r w:rsidRPr="002B65F7">
        <w:t>1 (Th1), l’IL-23 induit la différenciation en lymphocyte T helper</w:t>
      </w:r>
      <w:r w:rsidR="00113DDA" w:rsidRPr="002B65F7">
        <w:t> </w:t>
      </w:r>
      <w:r w:rsidRPr="002B65F7">
        <w:t>17 (Th17). Cependant, une anomalie de la régulation des IL-12 et IL-23 a été associée à des maladies à médiation immunitaire, telles que le psoriasis, le rhumatisme psoriasique</w:t>
      </w:r>
      <w:r w:rsidR="00705C2B" w:rsidRPr="002B65F7">
        <w:t xml:space="preserve"> et</w:t>
      </w:r>
      <w:r w:rsidRPr="002B65F7">
        <w:t xml:space="preserve"> la maladie de Crohn.</w:t>
      </w:r>
    </w:p>
    <w:p w14:paraId="154C588F" w14:textId="77777777" w:rsidR="00113DDA" w:rsidRPr="002B65F7" w:rsidRDefault="00113DDA" w:rsidP="00496255">
      <w:pPr>
        <w:widowControl/>
      </w:pPr>
    </w:p>
    <w:p w14:paraId="03B57D70" w14:textId="0C52A098" w:rsidR="00092F83" w:rsidRPr="002B65F7" w:rsidRDefault="00C31740" w:rsidP="00496255">
      <w:pPr>
        <w:widowControl/>
      </w:pPr>
      <w:r w:rsidRPr="002B65F7">
        <w:t>En se fixant à la sous-unité p40</w:t>
      </w:r>
      <w:r w:rsidR="00113DDA" w:rsidRPr="002B65F7">
        <w:t> </w:t>
      </w:r>
      <w:r w:rsidRPr="002B65F7">
        <w:t>commune aux IL-12</w:t>
      </w:r>
      <w:r w:rsidR="00F16C06" w:rsidRPr="002B65F7">
        <w:t> </w:t>
      </w:r>
      <w:r w:rsidRPr="002B65F7">
        <w:t>et IL-23, l’</w:t>
      </w:r>
      <w:r w:rsidR="0071390F" w:rsidRPr="002B65F7">
        <w:t>ustekinumab</w:t>
      </w:r>
      <w:r w:rsidRPr="002B65F7">
        <w:t xml:space="preserve"> peut exercer ses effets cliniques à la fois sur le psoriasis, sur le rhumatisme psoriasique</w:t>
      </w:r>
      <w:r w:rsidR="00705C2B" w:rsidRPr="002B65F7">
        <w:t xml:space="preserve"> et</w:t>
      </w:r>
      <w:r w:rsidRPr="002B65F7">
        <w:t xml:space="preserve"> sur la maladie de Crohn par inhibition des voies cytokiniques Th1 et Th17, qui occupent une place centrale dans la physiopathologie de ces maladies.</w:t>
      </w:r>
    </w:p>
    <w:p w14:paraId="03B57D71" w14:textId="77777777" w:rsidR="00092F83" w:rsidRPr="002B65F7" w:rsidRDefault="00092F83" w:rsidP="00496255">
      <w:pPr>
        <w:widowControl/>
      </w:pPr>
    </w:p>
    <w:p w14:paraId="03B57D72" w14:textId="5A6F5038" w:rsidR="00092F83" w:rsidRPr="002B65F7" w:rsidRDefault="00C31740" w:rsidP="00496255">
      <w:pPr>
        <w:widowControl/>
      </w:pPr>
      <w:r w:rsidRPr="002B65F7">
        <w:t xml:space="preserve">Chez les patients atteints de la maladie de Crohn, le traitement par </w:t>
      </w:r>
      <w:r w:rsidR="0071390F" w:rsidRPr="002B65F7">
        <w:t>ustekinumab</w:t>
      </w:r>
      <w:r w:rsidRPr="002B65F7">
        <w:t xml:space="preserve"> a conduit durant la phase d’induction à une diminution des marqueurs inflammatoires, incluant la protéine C-réactive (CRP) et la calprotectine fécale, qui s’est maintenue tout au long de la phase d’entretien. La CRP a été mesurée pendant l’étude d’extension et les diminutions observées pendant l’entretien ont été généralement maintenues jusqu’à la semaine</w:t>
      </w:r>
      <w:r w:rsidR="00F16C06" w:rsidRPr="002B65F7">
        <w:t> </w:t>
      </w:r>
      <w:r w:rsidRPr="002B65F7">
        <w:t>252.</w:t>
      </w:r>
    </w:p>
    <w:p w14:paraId="03B57D73" w14:textId="77777777" w:rsidR="00092F83" w:rsidRPr="002B65F7" w:rsidRDefault="00092F83" w:rsidP="00496255">
      <w:pPr>
        <w:widowControl/>
      </w:pPr>
    </w:p>
    <w:p w14:paraId="03B57D76" w14:textId="2466AE29" w:rsidR="00092F83" w:rsidRPr="002B65F7" w:rsidRDefault="00C31740" w:rsidP="00496255">
      <w:pPr>
        <w:keepNext/>
        <w:widowControl/>
        <w:rPr>
          <w:u w:val="single"/>
        </w:rPr>
      </w:pPr>
      <w:r w:rsidRPr="002B65F7">
        <w:rPr>
          <w:u w:val="single"/>
        </w:rPr>
        <w:t>Immunisation</w:t>
      </w:r>
    </w:p>
    <w:p w14:paraId="342FDFEF" w14:textId="77777777" w:rsidR="003D3A1E" w:rsidRPr="002B65F7" w:rsidRDefault="003D3A1E" w:rsidP="00496255">
      <w:pPr>
        <w:keepNext/>
        <w:widowControl/>
        <w:rPr>
          <w:u w:val="single"/>
        </w:rPr>
      </w:pPr>
    </w:p>
    <w:p w14:paraId="03B57D77" w14:textId="02949F2D" w:rsidR="00092F83" w:rsidRPr="002B65F7" w:rsidRDefault="00C31740" w:rsidP="00496255">
      <w:pPr>
        <w:widowControl/>
      </w:pPr>
      <w:r w:rsidRPr="002B65F7">
        <w:t>Pendant le suivi à long terme de l’étude Psoriasis</w:t>
      </w:r>
      <w:r w:rsidR="00225F81" w:rsidRPr="002B65F7">
        <w:t> </w:t>
      </w:r>
      <w:r w:rsidRPr="002B65F7">
        <w:t>2 (PHOENIX</w:t>
      </w:r>
      <w:r w:rsidR="00225F81" w:rsidRPr="002B65F7">
        <w:t> </w:t>
      </w:r>
      <w:r w:rsidRPr="002B65F7">
        <w:t xml:space="preserve">2), les patients adultes traités par </w:t>
      </w:r>
      <w:r w:rsidR="0071390F" w:rsidRPr="002B65F7">
        <w:t>ustekinumab</w:t>
      </w:r>
      <w:r w:rsidR="00705C2B" w:rsidRPr="002B65F7">
        <w:t xml:space="preserve"> </w:t>
      </w:r>
      <w:r w:rsidRPr="002B65F7">
        <w:t>pendant au moins 3,5</w:t>
      </w:r>
      <w:r w:rsidR="00225F81" w:rsidRPr="002B65F7">
        <w:t> </w:t>
      </w:r>
      <w:r w:rsidRPr="002B65F7">
        <w:t>ans ont vu leurs réponses en anticorps vis-à-vis des vaccins pneumococcique</w:t>
      </w:r>
      <w:r w:rsidR="00306B3C" w:rsidRPr="002B65F7">
        <w:t>s</w:t>
      </w:r>
      <w:r w:rsidRPr="002B65F7">
        <w:t xml:space="preserve"> polysacc</w:t>
      </w:r>
      <w:r w:rsidR="003F37B6">
        <w:t>h</w:t>
      </w:r>
      <w:r w:rsidRPr="002B65F7">
        <w:t>aridique</w:t>
      </w:r>
      <w:r w:rsidR="00306B3C" w:rsidRPr="002B65F7">
        <w:t>s</w:t>
      </w:r>
      <w:r w:rsidRPr="002B65F7">
        <w:t xml:space="preserve"> et anti-tétanique</w:t>
      </w:r>
      <w:r w:rsidR="00306B3C" w:rsidRPr="002B65F7">
        <w:t>s</w:t>
      </w:r>
      <w:r w:rsidRPr="002B65F7">
        <w:t xml:space="preserve"> augmenter de façon similaire au groupe contrôle psoriasis non traité par voie systémique. Une proportion similaire de patients adultes a développé des taux protecteurs d’anticorps anti-pneumococciques et anti-tétaniques et les titres d’anticorps étaient similaires chez les patients traités par </w:t>
      </w:r>
      <w:r w:rsidR="0071390F" w:rsidRPr="002B65F7">
        <w:t>ustekinumab</w:t>
      </w:r>
      <w:r w:rsidR="00705C2B" w:rsidRPr="002B65F7">
        <w:t xml:space="preserve"> </w:t>
      </w:r>
      <w:r w:rsidRPr="002B65F7">
        <w:t>et dans le groupe contrôle.</w:t>
      </w:r>
    </w:p>
    <w:p w14:paraId="03B57D78" w14:textId="77777777" w:rsidR="00092F83" w:rsidRPr="002B65F7" w:rsidRDefault="00092F83" w:rsidP="00496255">
      <w:pPr>
        <w:widowControl/>
      </w:pPr>
    </w:p>
    <w:p w14:paraId="03B57D79" w14:textId="173D93F0" w:rsidR="00092F83" w:rsidRPr="002B65F7" w:rsidRDefault="00C31740" w:rsidP="00496255">
      <w:pPr>
        <w:keepNext/>
        <w:widowControl/>
        <w:rPr>
          <w:u w:val="single"/>
        </w:rPr>
      </w:pPr>
      <w:r w:rsidRPr="002B65F7">
        <w:rPr>
          <w:u w:val="single"/>
        </w:rPr>
        <w:t xml:space="preserve">Efficacité </w:t>
      </w:r>
      <w:r w:rsidR="00A00D2B" w:rsidRPr="002B65F7">
        <w:rPr>
          <w:u w:val="single"/>
        </w:rPr>
        <w:t xml:space="preserve">et sécurité </w:t>
      </w:r>
      <w:r w:rsidRPr="002B65F7">
        <w:rPr>
          <w:u w:val="single"/>
        </w:rPr>
        <w:t>clinique</w:t>
      </w:r>
      <w:r w:rsidR="00A00D2B" w:rsidRPr="002B65F7">
        <w:rPr>
          <w:u w:val="single"/>
        </w:rPr>
        <w:t>s</w:t>
      </w:r>
    </w:p>
    <w:p w14:paraId="03B57D7A" w14:textId="77777777" w:rsidR="00092F83" w:rsidRPr="002B65F7" w:rsidRDefault="00092F83" w:rsidP="00496255">
      <w:pPr>
        <w:keepNext/>
        <w:widowControl/>
      </w:pPr>
    </w:p>
    <w:p w14:paraId="03B57D7B" w14:textId="77777777" w:rsidR="00092F83" w:rsidRPr="002B65F7" w:rsidRDefault="00C31740" w:rsidP="00496255">
      <w:pPr>
        <w:keepNext/>
        <w:widowControl/>
        <w:rPr>
          <w:i/>
          <w:iCs/>
        </w:rPr>
      </w:pPr>
      <w:r w:rsidRPr="002B65F7">
        <w:rPr>
          <w:i/>
          <w:iCs/>
        </w:rPr>
        <w:t>Maladie de Crohn</w:t>
      </w:r>
    </w:p>
    <w:p w14:paraId="3C65A976" w14:textId="77777777" w:rsidR="0021609D" w:rsidRPr="002B65F7" w:rsidRDefault="0021609D" w:rsidP="00496255">
      <w:pPr>
        <w:keepNext/>
        <w:widowControl/>
        <w:rPr>
          <w:i/>
          <w:iCs/>
        </w:rPr>
      </w:pPr>
    </w:p>
    <w:p w14:paraId="03B57D7E" w14:textId="21A7F278" w:rsidR="00092F83" w:rsidRPr="002B65F7" w:rsidRDefault="00C31740" w:rsidP="00496255">
      <w:pPr>
        <w:widowControl/>
      </w:pPr>
      <w:r w:rsidRPr="002B65F7">
        <w:t>La sécurité et l’efficacité de l’</w:t>
      </w:r>
      <w:r w:rsidR="0071390F" w:rsidRPr="002B65F7">
        <w:t>ustekinumab</w:t>
      </w:r>
      <w:r w:rsidRPr="002B65F7">
        <w:t xml:space="preserve"> ont été évaluées dans trois études multicentriques randomisées, en double aveugle, contrôlées </w:t>
      </w:r>
      <w:r w:rsidRPr="002B65F7">
        <w:rPr>
          <w:i/>
          <w:iCs/>
        </w:rPr>
        <w:t>versus</w:t>
      </w:r>
      <w:r w:rsidRPr="002B65F7">
        <w:t xml:space="preserve"> placebo chez des patients adultes atteints d’une maladie de Crohn active modérée à sévère (score CDAI [Crohn’s Disease Activity Index] ≥</w:t>
      </w:r>
      <w:r w:rsidR="0021609D" w:rsidRPr="002B65F7">
        <w:t> </w:t>
      </w:r>
      <w:r w:rsidRPr="002B65F7">
        <w:t>220</w:t>
      </w:r>
      <w:r w:rsidR="0021609D" w:rsidRPr="002B65F7">
        <w:t> </w:t>
      </w:r>
      <w:r w:rsidRPr="002B65F7">
        <w:t>et</w:t>
      </w:r>
      <w:r w:rsidR="0021609D" w:rsidRPr="002B65F7">
        <w:t> </w:t>
      </w:r>
      <w:r w:rsidRPr="002B65F7">
        <w:t>≤</w:t>
      </w:r>
      <w:r w:rsidR="0021609D" w:rsidRPr="002B65F7">
        <w:t> </w:t>
      </w:r>
      <w:r w:rsidRPr="002B65F7">
        <w:t>450). Le programme de développement clinique consistait en deux études d’induction intraveineuse de 8</w:t>
      </w:r>
      <w:r w:rsidR="003F6283" w:rsidRPr="002B65F7">
        <w:t> </w:t>
      </w:r>
      <w:r w:rsidRPr="002B65F7">
        <w:t>semaines (UNITI-1 et UNITI-2) suivies d’une étude d’entretien randomisée, sous</w:t>
      </w:r>
      <w:r w:rsidR="00782261">
        <w:noBreakHyphen/>
      </w:r>
      <w:r w:rsidRPr="002B65F7">
        <w:t>cutanée de</w:t>
      </w:r>
      <w:r w:rsidR="003F6283" w:rsidRPr="002B65F7">
        <w:t xml:space="preserve"> </w:t>
      </w:r>
      <w:r w:rsidRPr="002B65F7">
        <w:t>44</w:t>
      </w:r>
      <w:r w:rsidR="003F6283" w:rsidRPr="002B65F7">
        <w:t> </w:t>
      </w:r>
      <w:r w:rsidRPr="002B65F7">
        <w:t>semaines (IM-UNITI), ce qui représente 52</w:t>
      </w:r>
      <w:r w:rsidR="003F6283" w:rsidRPr="002B65F7">
        <w:t> </w:t>
      </w:r>
      <w:r w:rsidRPr="002B65F7">
        <w:t>semaines de traitement.</w:t>
      </w:r>
    </w:p>
    <w:p w14:paraId="03B57D7F" w14:textId="77777777" w:rsidR="00092F83" w:rsidRPr="002B65F7" w:rsidRDefault="00092F83" w:rsidP="00496255">
      <w:pPr>
        <w:widowControl/>
      </w:pPr>
    </w:p>
    <w:p w14:paraId="03B57D80" w14:textId="4104B074" w:rsidR="00092F83" w:rsidRPr="002B65F7" w:rsidRDefault="00C31740" w:rsidP="00496255">
      <w:pPr>
        <w:widowControl/>
      </w:pPr>
      <w:r w:rsidRPr="002B65F7">
        <w:t>Les études d’induction incluaient 1</w:t>
      </w:r>
      <w:r w:rsidR="003F6283" w:rsidRPr="002B65F7">
        <w:t> </w:t>
      </w:r>
      <w:r w:rsidRPr="002B65F7">
        <w:t>409 (UNITI-1, n</w:t>
      </w:r>
      <w:r w:rsidR="003F6283" w:rsidRPr="002B65F7">
        <w:t> </w:t>
      </w:r>
      <w:r w:rsidRPr="002B65F7">
        <w:t>=</w:t>
      </w:r>
      <w:r w:rsidR="003F6283" w:rsidRPr="002B65F7">
        <w:t> </w:t>
      </w:r>
      <w:r w:rsidRPr="002B65F7">
        <w:t>769 ; UNITI-2, n</w:t>
      </w:r>
      <w:r w:rsidR="003F6283" w:rsidRPr="002B65F7">
        <w:t> </w:t>
      </w:r>
      <w:r w:rsidRPr="002B65F7">
        <w:t>=</w:t>
      </w:r>
      <w:r w:rsidR="003F6283" w:rsidRPr="002B65F7">
        <w:t> </w:t>
      </w:r>
      <w:r w:rsidRPr="002B65F7">
        <w:t>640) patients. Le critère primaire d’évaluation des deux études d’induction était la proportion de sujets présentant une réponse clinique (définie comme une réduction du score CDAI</w:t>
      </w:r>
      <w:r w:rsidR="003F6283" w:rsidRPr="002B65F7">
        <w:t> </w:t>
      </w:r>
      <w:r w:rsidRPr="002B65F7">
        <w:t>≥</w:t>
      </w:r>
      <w:r w:rsidR="003F6283" w:rsidRPr="002B65F7">
        <w:t> </w:t>
      </w:r>
      <w:r w:rsidRPr="002B65F7">
        <w:t>100</w:t>
      </w:r>
      <w:r w:rsidR="003F6283" w:rsidRPr="002B65F7">
        <w:t> </w:t>
      </w:r>
      <w:r w:rsidRPr="002B65F7">
        <w:t>points) à la semaine</w:t>
      </w:r>
      <w:r w:rsidR="003F6283" w:rsidRPr="002B65F7">
        <w:t> </w:t>
      </w:r>
      <w:r w:rsidRPr="002B65F7">
        <w:t>6. Les données d’efficacité ont été recueillies et analysées jusqu’à la semaine 8</w:t>
      </w:r>
      <w:r w:rsidR="00994278" w:rsidRPr="002B65F7">
        <w:t> </w:t>
      </w:r>
      <w:r w:rsidRPr="002B65F7">
        <w:t>pour les deux études. L’administration concomitante de corticoïdes oraux, d’immunomodulateurs, d’aminosalicylates et d’antibiotiques était autorisée et 75% des patients ont continué à recevoir au moins un de ces médicaments. Dans les deux études, les patients étaient randomisés pour recevoir une administration intraveineuse unique de la dose recommandée en fonction du poids d’environ 6</w:t>
      </w:r>
      <w:r w:rsidR="00994278" w:rsidRPr="002B65F7">
        <w:t> </w:t>
      </w:r>
      <w:r w:rsidRPr="002B65F7">
        <w:t xml:space="preserve">mg/kg (voir </w:t>
      </w:r>
      <w:r w:rsidR="00705C2B" w:rsidRPr="002B65F7">
        <w:t>t</w:t>
      </w:r>
      <w:r w:rsidRPr="002B65F7">
        <w:t>ableau</w:t>
      </w:r>
      <w:r w:rsidR="00994278" w:rsidRPr="002B65F7">
        <w:t> </w:t>
      </w:r>
      <w:r w:rsidRPr="002B65F7">
        <w:t>1, rubrique</w:t>
      </w:r>
      <w:r w:rsidR="00994278" w:rsidRPr="002B65F7">
        <w:t> </w:t>
      </w:r>
      <w:r w:rsidRPr="002B65F7">
        <w:t>4.2), d’une dose fixe de 130</w:t>
      </w:r>
      <w:r w:rsidR="00994278" w:rsidRPr="002B65F7">
        <w:t> </w:t>
      </w:r>
      <w:r w:rsidRPr="002B65F7">
        <w:t>mg d’</w:t>
      </w:r>
      <w:r w:rsidR="0071390F" w:rsidRPr="002B65F7">
        <w:t>ustekinumab</w:t>
      </w:r>
      <w:r w:rsidRPr="002B65F7">
        <w:t xml:space="preserve"> ou d’un placebo à la semaine</w:t>
      </w:r>
      <w:r w:rsidR="00994278" w:rsidRPr="002B65F7">
        <w:t> </w:t>
      </w:r>
      <w:r w:rsidRPr="002B65F7">
        <w:t>0.</w:t>
      </w:r>
    </w:p>
    <w:p w14:paraId="03B57D81" w14:textId="77777777" w:rsidR="00092F83" w:rsidRPr="002B65F7" w:rsidRDefault="00092F83" w:rsidP="00496255">
      <w:pPr>
        <w:widowControl/>
      </w:pPr>
    </w:p>
    <w:p w14:paraId="03B57D82" w14:textId="5A1F2564" w:rsidR="00092F83" w:rsidRPr="002B65F7" w:rsidRDefault="00C31740" w:rsidP="00496255">
      <w:pPr>
        <w:widowControl/>
      </w:pPr>
      <w:r w:rsidRPr="002B65F7">
        <w:t>Les patients de l’étude UNITI-1 étaient en échec ou intolérants à un précédent traitement anti-TNFα. Environ</w:t>
      </w:r>
      <w:r w:rsidR="0018421A" w:rsidRPr="002B65F7">
        <w:t> </w:t>
      </w:r>
      <w:r w:rsidRPr="002B65F7">
        <w:t>48% des patients avaient présenté un échec lors d’1 précédent traitement anti-TNFα et</w:t>
      </w:r>
      <w:r w:rsidR="0018421A" w:rsidRPr="002B65F7">
        <w:t> </w:t>
      </w:r>
      <w:r w:rsidRPr="002B65F7">
        <w:t>52% avaient échoué à 2</w:t>
      </w:r>
      <w:r w:rsidR="005E6733" w:rsidRPr="002B65F7">
        <w:t> </w:t>
      </w:r>
      <w:r w:rsidRPr="002B65F7">
        <w:t>ou 3</w:t>
      </w:r>
      <w:r w:rsidR="005E6733" w:rsidRPr="002B65F7">
        <w:t> </w:t>
      </w:r>
      <w:r w:rsidRPr="002B65F7">
        <w:t>précédents traitements anti-TNFα. Dans cette étude, 29,1% des patients avaient présenté une réponse initiale insuffisante (non-répondeurs primaires), 69,4% avaient répondu mais étaient en échappement après une réponse initiale (non-répondeurs secondaires) et 36,4% étaient intolérants aux anti-TNFα.</w:t>
      </w:r>
    </w:p>
    <w:p w14:paraId="03B57D83" w14:textId="77777777" w:rsidR="00092F83" w:rsidRPr="002B65F7" w:rsidRDefault="00092F83" w:rsidP="00496255">
      <w:pPr>
        <w:widowControl/>
      </w:pPr>
    </w:p>
    <w:p w14:paraId="03B57D84" w14:textId="77777777" w:rsidR="00092F83" w:rsidRPr="002B65F7" w:rsidRDefault="00C31740" w:rsidP="00496255">
      <w:pPr>
        <w:widowControl/>
      </w:pPr>
      <w:r w:rsidRPr="002B65F7">
        <w:t>Les patients de l’étude UNITI-2 étaient en échec à au moins un traitement conventionnel, incluant les corticoïdes ou immunomodulateurs, et étaient naïfs d’anti-TNFα (68,6%) ou avaient précédemment reçu un traitement anti-TNFα sans échec (31,4%).</w:t>
      </w:r>
    </w:p>
    <w:p w14:paraId="0DEB06A2" w14:textId="77777777" w:rsidR="0018421A" w:rsidRPr="002B65F7" w:rsidRDefault="0018421A" w:rsidP="00496255">
      <w:pPr>
        <w:widowControl/>
      </w:pPr>
    </w:p>
    <w:p w14:paraId="03B57D85" w14:textId="7D87344A" w:rsidR="00092F83" w:rsidRPr="002B65F7" w:rsidRDefault="00C31740" w:rsidP="00496255">
      <w:pPr>
        <w:widowControl/>
      </w:pPr>
      <w:r w:rsidRPr="002B65F7">
        <w:t xml:space="preserve">Dans UNITI-1 et UNITI-2, une proportion significativement supérieure de patients présentait une réponse et une rémission cliniques dans le groupe traité par </w:t>
      </w:r>
      <w:r w:rsidR="0071390F" w:rsidRPr="002B65F7">
        <w:t>ustekinumab</w:t>
      </w:r>
      <w:r w:rsidRPr="002B65F7">
        <w:t xml:space="preserve"> comparativement au placebo (</w:t>
      </w:r>
      <w:r w:rsidR="00705C2B" w:rsidRPr="002B65F7">
        <w:t>voir t</w:t>
      </w:r>
      <w:r w:rsidRPr="002B65F7">
        <w:t>ableau</w:t>
      </w:r>
      <w:r w:rsidR="00634EA7" w:rsidRPr="002B65F7">
        <w:t> </w:t>
      </w:r>
      <w:r w:rsidR="000F0A68">
        <w:t>4</w:t>
      </w:r>
      <w:r w:rsidRPr="002B65F7">
        <w:t xml:space="preserve">). Chez les patients traités par </w:t>
      </w:r>
      <w:r w:rsidR="0071390F" w:rsidRPr="002B65F7">
        <w:t>ustekinumab</w:t>
      </w:r>
      <w:r w:rsidRPr="002B65F7">
        <w:t>, la réponse et la rémission cliniques étaient significatives dès la semaine 3</w:t>
      </w:r>
      <w:r w:rsidR="00634EA7" w:rsidRPr="002B65F7">
        <w:t> </w:t>
      </w:r>
      <w:r w:rsidRPr="002B65F7">
        <w:t>et ont continué à s’améliorer jusqu’à la semaine</w:t>
      </w:r>
      <w:r w:rsidR="0066333E" w:rsidRPr="002B65F7">
        <w:t> </w:t>
      </w:r>
      <w:r w:rsidRPr="002B65F7">
        <w:t>8. Dans ces études d’induction, l’efficacité était plus élevée et plus durable dans le groupe recevant une dose déterminée en fonction du poids comparativement au groupe de dose 130</w:t>
      </w:r>
      <w:r w:rsidR="00634EA7" w:rsidRPr="002B65F7">
        <w:t> </w:t>
      </w:r>
      <w:r w:rsidRPr="002B65F7">
        <w:t>mg. Un dosage par palier est donc recommandé pour l’induction intraveineuse.</w:t>
      </w:r>
    </w:p>
    <w:p w14:paraId="03B57D86" w14:textId="77777777" w:rsidR="00092F83" w:rsidRPr="002B65F7" w:rsidRDefault="00092F83" w:rsidP="00496255">
      <w:pPr>
        <w:widowControl/>
      </w:pPr>
    </w:p>
    <w:p w14:paraId="03B57D87" w14:textId="46EDEA27" w:rsidR="00092F83" w:rsidRPr="002B65F7" w:rsidRDefault="00C31740" w:rsidP="00496255">
      <w:pPr>
        <w:keepNext/>
        <w:keepLines/>
        <w:widowControl/>
        <w:spacing w:before="1"/>
        <w:rPr>
          <w:b/>
          <w:bCs/>
          <w:iCs/>
          <w:spacing w:val="-10"/>
        </w:rPr>
      </w:pPr>
      <w:r w:rsidRPr="002B65F7">
        <w:rPr>
          <w:b/>
          <w:bCs/>
          <w:iCs/>
        </w:rPr>
        <w:t>Tableau</w:t>
      </w:r>
      <w:r w:rsidR="00082658" w:rsidRPr="002B65F7">
        <w:rPr>
          <w:b/>
          <w:bCs/>
          <w:iCs/>
          <w:spacing w:val="-6"/>
        </w:rPr>
        <w:t> </w:t>
      </w:r>
      <w:r w:rsidR="000F0A68">
        <w:rPr>
          <w:b/>
          <w:bCs/>
          <w:iCs/>
        </w:rPr>
        <w:t>4</w:t>
      </w:r>
      <w:r w:rsidR="00634EA7" w:rsidRPr="002B65F7">
        <w:rPr>
          <w:b/>
          <w:bCs/>
          <w:iCs/>
          <w:spacing w:val="55"/>
        </w:rPr>
        <w:t xml:space="preserve">. </w:t>
      </w:r>
      <w:r w:rsidRPr="002B65F7">
        <w:rPr>
          <w:b/>
          <w:bCs/>
          <w:iCs/>
        </w:rPr>
        <w:t>Induction</w:t>
      </w:r>
      <w:r w:rsidRPr="002B65F7">
        <w:rPr>
          <w:b/>
          <w:bCs/>
          <w:iCs/>
          <w:spacing w:val="-4"/>
        </w:rPr>
        <w:t xml:space="preserve"> </w:t>
      </w:r>
      <w:r w:rsidRPr="002B65F7">
        <w:rPr>
          <w:b/>
          <w:bCs/>
          <w:iCs/>
        </w:rPr>
        <w:t>de</w:t>
      </w:r>
      <w:r w:rsidRPr="002B65F7">
        <w:rPr>
          <w:b/>
          <w:bCs/>
          <w:iCs/>
          <w:spacing w:val="-4"/>
        </w:rPr>
        <w:t xml:space="preserve"> </w:t>
      </w:r>
      <w:r w:rsidRPr="002B65F7">
        <w:rPr>
          <w:b/>
          <w:bCs/>
          <w:iCs/>
        </w:rPr>
        <w:t>la</w:t>
      </w:r>
      <w:r w:rsidRPr="002B65F7">
        <w:rPr>
          <w:b/>
          <w:bCs/>
          <w:iCs/>
          <w:spacing w:val="-4"/>
        </w:rPr>
        <w:t xml:space="preserve"> </w:t>
      </w:r>
      <w:r w:rsidRPr="002B65F7">
        <w:rPr>
          <w:b/>
          <w:bCs/>
          <w:iCs/>
        </w:rPr>
        <w:t>réponse</w:t>
      </w:r>
      <w:r w:rsidRPr="002B65F7">
        <w:rPr>
          <w:b/>
          <w:bCs/>
          <w:iCs/>
          <w:spacing w:val="-4"/>
        </w:rPr>
        <w:t xml:space="preserve"> </w:t>
      </w:r>
      <w:r w:rsidRPr="002B65F7">
        <w:rPr>
          <w:b/>
          <w:bCs/>
          <w:iCs/>
        </w:rPr>
        <w:t>et</w:t>
      </w:r>
      <w:r w:rsidRPr="002B65F7">
        <w:rPr>
          <w:b/>
          <w:bCs/>
          <w:iCs/>
          <w:spacing w:val="-4"/>
        </w:rPr>
        <w:t xml:space="preserve"> </w:t>
      </w:r>
      <w:r w:rsidRPr="002B65F7">
        <w:rPr>
          <w:b/>
          <w:bCs/>
          <w:iCs/>
        </w:rPr>
        <w:t>de</w:t>
      </w:r>
      <w:r w:rsidRPr="002B65F7">
        <w:rPr>
          <w:b/>
          <w:bCs/>
          <w:iCs/>
          <w:spacing w:val="-4"/>
        </w:rPr>
        <w:t xml:space="preserve"> </w:t>
      </w:r>
      <w:r w:rsidRPr="002B65F7">
        <w:rPr>
          <w:b/>
          <w:bCs/>
          <w:iCs/>
        </w:rPr>
        <w:t>la</w:t>
      </w:r>
      <w:r w:rsidRPr="002B65F7">
        <w:rPr>
          <w:b/>
          <w:bCs/>
          <w:iCs/>
          <w:spacing w:val="-4"/>
        </w:rPr>
        <w:t xml:space="preserve"> </w:t>
      </w:r>
      <w:r w:rsidRPr="002B65F7">
        <w:rPr>
          <w:b/>
          <w:bCs/>
          <w:iCs/>
        </w:rPr>
        <w:t>rémission</w:t>
      </w:r>
      <w:r w:rsidRPr="002B65F7">
        <w:rPr>
          <w:b/>
          <w:bCs/>
          <w:iCs/>
          <w:spacing w:val="-4"/>
        </w:rPr>
        <w:t xml:space="preserve"> </w:t>
      </w:r>
      <w:r w:rsidRPr="002B65F7">
        <w:rPr>
          <w:b/>
          <w:bCs/>
          <w:iCs/>
        </w:rPr>
        <w:t>cliniques</w:t>
      </w:r>
      <w:r w:rsidRPr="002B65F7">
        <w:rPr>
          <w:b/>
          <w:bCs/>
          <w:iCs/>
          <w:spacing w:val="-4"/>
        </w:rPr>
        <w:t xml:space="preserve"> </w:t>
      </w:r>
      <w:r w:rsidRPr="002B65F7">
        <w:rPr>
          <w:b/>
          <w:bCs/>
          <w:iCs/>
        </w:rPr>
        <w:t>dans</w:t>
      </w:r>
      <w:r w:rsidRPr="002B65F7">
        <w:rPr>
          <w:b/>
          <w:bCs/>
          <w:iCs/>
          <w:spacing w:val="-4"/>
        </w:rPr>
        <w:t xml:space="preserve"> </w:t>
      </w:r>
      <w:r w:rsidRPr="002B65F7">
        <w:rPr>
          <w:b/>
          <w:bCs/>
          <w:iCs/>
        </w:rPr>
        <w:t>les</w:t>
      </w:r>
      <w:r w:rsidRPr="002B65F7">
        <w:rPr>
          <w:b/>
          <w:bCs/>
          <w:iCs/>
          <w:spacing w:val="-4"/>
        </w:rPr>
        <w:t xml:space="preserve"> </w:t>
      </w:r>
      <w:r w:rsidRPr="002B65F7">
        <w:rPr>
          <w:b/>
          <w:bCs/>
          <w:iCs/>
        </w:rPr>
        <w:t>études</w:t>
      </w:r>
      <w:r w:rsidRPr="002B65F7">
        <w:rPr>
          <w:b/>
          <w:bCs/>
          <w:iCs/>
          <w:spacing w:val="-3"/>
        </w:rPr>
        <w:t xml:space="preserve"> </w:t>
      </w:r>
      <w:r w:rsidRPr="002B65F7">
        <w:rPr>
          <w:b/>
          <w:bCs/>
          <w:iCs/>
        </w:rPr>
        <w:t>UNITI-1</w:t>
      </w:r>
      <w:r w:rsidRPr="002B65F7">
        <w:rPr>
          <w:b/>
          <w:bCs/>
          <w:iCs/>
          <w:spacing w:val="-4"/>
        </w:rPr>
        <w:t xml:space="preserve"> </w:t>
      </w:r>
      <w:r w:rsidRPr="002B65F7">
        <w:rPr>
          <w:b/>
          <w:bCs/>
          <w:iCs/>
        </w:rPr>
        <w:t>et</w:t>
      </w:r>
      <w:r w:rsidRPr="002B65F7">
        <w:rPr>
          <w:b/>
          <w:bCs/>
          <w:iCs/>
          <w:spacing w:val="-4"/>
        </w:rPr>
        <w:t xml:space="preserve"> </w:t>
      </w:r>
      <w:r w:rsidRPr="002B65F7">
        <w:rPr>
          <w:b/>
          <w:bCs/>
          <w:iCs/>
        </w:rPr>
        <w:t>UNITI</w:t>
      </w:r>
      <w:r w:rsidR="00E51616" w:rsidRPr="002B65F7">
        <w:rPr>
          <w:b/>
          <w:bCs/>
          <w:iCs/>
          <w:spacing w:val="-4"/>
        </w:rPr>
        <w:noBreakHyphen/>
      </w:r>
      <w:r w:rsidRPr="002B65F7">
        <w:rPr>
          <w:b/>
          <w:bCs/>
          <w:iCs/>
          <w:spacing w:val="-10"/>
        </w:rPr>
        <w:t>2</w:t>
      </w:r>
    </w:p>
    <w:p w14:paraId="7B1300B4" w14:textId="77777777" w:rsidR="00634EA7" w:rsidRPr="002B65F7" w:rsidRDefault="00634EA7" w:rsidP="00496255">
      <w:pPr>
        <w:keepNext/>
        <w:keepLines/>
        <w:widowControl/>
        <w:spacing w:before="1"/>
        <w:rPr>
          <w:iCs/>
        </w:rPr>
      </w:pPr>
    </w:p>
    <w:tbl>
      <w:tblPr>
        <w:tblW w:w="9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2"/>
        <w:gridCol w:w="1559"/>
        <w:gridCol w:w="1843"/>
        <w:gridCol w:w="1276"/>
        <w:gridCol w:w="1650"/>
      </w:tblGrid>
      <w:tr w:rsidR="00C43AE6" w:rsidRPr="002B65F7" w14:paraId="76556D14" w14:textId="77777777" w:rsidTr="000238BD">
        <w:trPr>
          <w:cantSplit/>
          <w:trHeight w:val="254"/>
          <w:tblHeader/>
        </w:trPr>
        <w:tc>
          <w:tcPr>
            <w:tcW w:w="3222" w:type="dxa"/>
          </w:tcPr>
          <w:p w14:paraId="3F3511ED" w14:textId="77777777" w:rsidR="00C43AE6" w:rsidRPr="002B65F7" w:rsidRDefault="00C43AE6" w:rsidP="00DF04BE">
            <w:pPr>
              <w:widowControl/>
              <w:tabs>
                <w:tab w:val="left" w:pos="567"/>
              </w:tabs>
            </w:pPr>
          </w:p>
        </w:tc>
        <w:tc>
          <w:tcPr>
            <w:tcW w:w="3402" w:type="dxa"/>
            <w:gridSpan w:val="2"/>
          </w:tcPr>
          <w:p w14:paraId="71FD8457" w14:textId="77777777" w:rsidR="00C43AE6" w:rsidRPr="002B65F7" w:rsidRDefault="00C43AE6" w:rsidP="00496255">
            <w:pPr>
              <w:widowControl/>
              <w:tabs>
                <w:tab w:val="left" w:pos="567"/>
              </w:tabs>
              <w:jc w:val="center"/>
              <w:rPr>
                <w:b/>
                <w:bCs/>
              </w:rPr>
            </w:pPr>
            <w:r w:rsidRPr="002B65F7">
              <w:rPr>
                <w:b/>
                <w:bCs/>
              </w:rPr>
              <w:t>UNITI-1*</w:t>
            </w:r>
          </w:p>
        </w:tc>
        <w:tc>
          <w:tcPr>
            <w:tcW w:w="2926" w:type="dxa"/>
            <w:gridSpan w:val="2"/>
          </w:tcPr>
          <w:p w14:paraId="25CAF63E" w14:textId="77777777" w:rsidR="00C43AE6" w:rsidRPr="002B65F7" w:rsidRDefault="00C43AE6" w:rsidP="00496255">
            <w:pPr>
              <w:widowControl/>
              <w:tabs>
                <w:tab w:val="left" w:pos="567"/>
              </w:tabs>
              <w:jc w:val="center"/>
              <w:rPr>
                <w:b/>
                <w:bCs/>
              </w:rPr>
            </w:pPr>
            <w:r w:rsidRPr="002B65F7">
              <w:rPr>
                <w:b/>
                <w:bCs/>
              </w:rPr>
              <w:t>UNITI-2**</w:t>
            </w:r>
          </w:p>
        </w:tc>
      </w:tr>
      <w:tr w:rsidR="00C43AE6" w:rsidRPr="002B65F7" w14:paraId="266F17D6" w14:textId="77777777" w:rsidTr="000238BD">
        <w:trPr>
          <w:cantSplit/>
          <w:trHeight w:val="1009"/>
          <w:tblHeader/>
        </w:trPr>
        <w:tc>
          <w:tcPr>
            <w:tcW w:w="3222" w:type="dxa"/>
          </w:tcPr>
          <w:p w14:paraId="4646A02F" w14:textId="77777777" w:rsidR="00C43AE6" w:rsidRPr="002B65F7" w:rsidRDefault="00C43AE6" w:rsidP="00DF04BE">
            <w:pPr>
              <w:widowControl/>
              <w:tabs>
                <w:tab w:val="left" w:pos="567"/>
              </w:tabs>
            </w:pPr>
          </w:p>
        </w:tc>
        <w:tc>
          <w:tcPr>
            <w:tcW w:w="1559" w:type="dxa"/>
          </w:tcPr>
          <w:p w14:paraId="1E7C1819" w14:textId="77777777" w:rsidR="00C43AE6" w:rsidRPr="002B65F7" w:rsidRDefault="00C43AE6" w:rsidP="00496255">
            <w:pPr>
              <w:widowControl/>
              <w:tabs>
                <w:tab w:val="left" w:pos="567"/>
              </w:tabs>
              <w:jc w:val="center"/>
              <w:rPr>
                <w:b/>
                <w:bCs/>
              </w:rPr>
            </w:pPr>
            <w:r w:rsidRPr="002B65F7">
              <w:rPr>
                <w:b/>
                <w:bCs/>
              </w:rPr>
              <w:t>Placebo</w:t>
            </w:r>
          </w:p>
          <w:p w14:paraId="19B53593" w14:textId="69C5E4CD" w:rsidR="00C43AE6" w:rsidRPr="002B65F7" w:rsidRDefault="00C43AE6" w:rsidP="00496255">
            <w:pPr>
              <w:widowControl/>
              <w:tabs>
                <w:tab w:val="left" w:pos="567"/>
              </w:tabs>
              <w:jc w:val="center"/>
              <w:rPr>
                <w:b/>
                <w:bCs/>
              </w:rPr>
            </w:pPr>
            <w:r w:rsidRPr="002B65F7">
              <w:rPr>
                <w:b/>
                <w:bCs/>
              </w:rPr>
              <w:t>N</w:t>
            </w:r>
            <w:r w:rsidR="00CE1D14" w:rsidRPr="002B65F7">
              <w:rPr>
                <w:b/>
                <w:bCs/>
              </w:rPr>
              <w:t> </w:t>
            </w:r>
            <w:r w:rsidRPr="002B65F7">
              <w:rPr>
                <w:b/>
                <w:bCs/>
              </w:rPr>
              <w:t>=</w:t>
            </w:r>
            <w:r w:rsidR="00CE1D14" w:rsidRPr="002B65F7">
              <w:rPr>
                <w:b/>
                <w:bCs/>
              </w:rPr>
              <w:t> </w:t>
            </w:r>
            <w:r w:rsidRPr="002B65F7">
              <w:rPr>
                <w:b/>
                <w:bCs/>
              </w:rPr>
              <w:t>247</w:t>
            </w:r>
          </w:p>
        </w:tc>
        <w:tc>
          <w:tcPr>
            <w:tcW w:w="1843" w:type="dxa"/>
          </w:tcPr>
          <w:p w14:paraId="1B5E241D" w14:textId="1AF0D1EC" w:rsidR="00B41E23" w:rsidRPr="002B65F7" w:rsidRDefault="00C43AE6" w:rsidP="00496255">
            <w:pPr>
              <w:widowControl/>
              <w:tabs>
                <w:tab w:val="left" w:pos="567"/>
              </w:tabs>
              <w:jc w:val="center"/>
              <w:rPr>
                <w:b/>
                <w:bCs/>
              </w:rPr>
            </w:pPr>
            <w:r w:rsidRPr="002B65F7">
              <w:rPr>
                <w:b/>
                <w:bCs/>
              </w:rPr>
              <w:t>Dose recommandée</w:t>
            </w:r>
            <w:r w:rsidR="000E62BA" w:rsidRPr="002B65F7">
              <w:rPr>
                <w:b/>
                <w:bCs/>
              </w:rPr>
              <w:t xml:space="preserve"> </w:t>
            </w:r>
            <w:r w:rsidRPr="002B65F7">
              <w:rPr>
                <w:b/>
                <w:bCs/>
              </w:rPr>
              <w:t>d’</w:t>
            </w:r>
            <w:r w:rsidR="0071390F" w:rsidRPr="002B65F7">
              <w:rPr>
                <w:b/>
                <w:bCs/>
              </w:rPr>
              <w:t>ustekinumab</w:t>
            </w:r>
          </w:p>
          <w:p w14:paraId="239E5815" w14:textId="7FD53AAD" w:rsidR="00C43AE6" w:rsidRPr="002B65F7" w:rsidRDefault="00C43AE6" w:rsidP="00496255">
            <w:pPr>
              <w:widowControl/>
              <w:tabs>
                <w:tab w:val="left" w:pos="567"/>
              </w:tabs>
              <w:jc w:val="center"/>
              <w:rPr>
                <w:b/>
                <w:bCs/>
              </w:rPr>
            </w:pPr>
            <w:r w:rsidRPr="002B65F7">
              <w:rPr>
                <w:b/>
                <w:bCs/>
              </w:rPr>
              <w:t>N</w:t>
            </w:r>
            <w:r w:rsidR="00312165" w:rsidRPr="002B65F7">
              <w:rPr>
                <w:b/>
                <w:bCs/>
              </w:rPr>
              <w:t> </w:t>
            </w:r>
            <w:r w:rsidRPr="002B65F7">
              <w:rPr>
                <w:b/>
                <w:bCs/>
              </w:rPr>
              <w:t>=</w:t>
            </w:r>
            <w:r w:rsidR="00312165" w:rsidRPr="002B65F7">
              <w:rPr>
                <w:b/>
                <w:bCs/>
              </w:rPr>
              <w:t> </w:t>
            </w:r>
            <w:r w:rsidRPr="002B65F7">
              <w:rPr>
                <w:b/>
                <w:bCs/>
              </w:rPr>
              <w:t>249</w:t>
            </w:r>
          </w:p>
        </w:tc>
        <w:tc>
          <w:tcPr>
            <w:tcW w:w="1276" w:type="dxa"/>
          </w:tcPr>
          <w:p w14:paraId="0CA5D634" w14:textId="77777777" w:rsidR="00C43AE6" w:rsidRPr="002B65F7" w:rsidRDefault="00C43AE6" w:rsidP="00496255">
            <w:pPr>
              <w:widowControl/>
              <w:tabs>
                <w:tab w:val="left" w:pos="567"/>
              </w:tabs>
              <w:jc w:val="center"/>
              <w:rPr>
                <w:b/>
                <w:bCs/>
              </w:rPr>
            </w:pPr>
            <w:r w:rsidRPr="002B65F7">
              <w:rPr>
                <w:b/>
                <w:bCs/>
              </w:rPr>
              <w:t>Placebo</w:t>
            </w:r>
          </w:p>
          <w:p w14:paraId="511741B0" w14:textId="17A0D8D0" w:rsidR="00C43AE6" w:rsidRPr="002B65F7" w:rsidRDefault="00C43AE6" w:rsidP="00496255">
            <w:pPr>
              <w:widowControl/>
              <w:tabs>
                <w:tab w:val="left" w:pos="567"/>
              </w:tabs>
              <w:jc w:val="center"/>
              <w:rPr>
                <w:b/>
                <w:bCs/>
              </w:rPr>
            </w:pPr>
            <w:r w:rsidRPr="002B65F7">
              <w:rPr>
                <w:b/>
                <w:bCs/>
              </w:rPr>
              <w:t>N</w:t>
            </w:r>
            <w:r w:rsidR="00312165" w:rsidRPr="002B65F7">
              <w:rPr>
                <w:b/>
                <w:bCs/>
              </w:rPr>
              <w:t> </w:t>
            </w:r>
            <w:r w:rsidRPr="002B65F7">
              <w:rPr>
                <w:b/>
                <w:bCs/>
              </w:rPr>
              <w:t>=</w:t>
            </w:r>
            <w:r w:rsidR="00312165" w:rsidRPr="002B65F7">
              <w:rPr>
                <w:b/>
                <w:bCs/>
              </w:rPr>
              <w:t> </w:t>
            </w:r>
            <w:r w:rsidRPr="002B65F7">
              <w:rPr>
                <w:b/>
                <w:bCs/>
              </w:rPr>
              <w:t>209</w:t>
            </w:r>
          </w:p>
        </w:tc>
        <w:tc>
          <w:tcPr>
            <w:tcW w:w="1650" w:type="dxa"/>
          </w:tcPr>
          <w:p w14:paraId="13508D99" w14:textId="41E3329D" w:rsidR="00B41E23" w:rsidRPr="002B65F7" w:rsidRDefault="00C43AE6" w:rsidP="00496255">
            <w:pPr>
              <w:widowControl/>
              <w:tabs>
                <w:tab w:val="left" w:pos="567"/>
              </w:tabs>
              <w:jc w:val="center"/>
              <w:rPr>
                <w:b/>
                <w:bCs/>
              </w:rPr>
            </w:pPr>
            <w:r w:rsidRPr="002B65F7">
              <w:rPr>
                <w:b/>
                <w:bCs/>
              </w:rPr>
              <w:t>Dose recommandée</w:t>
            </w:r>
            <w:r w:rsidR="000E62BA" w:rsidRPr="002B65F7">
              <w:rPr>
                <w:b/>
                <w:bCs/>
              </w:rPr>
              <w:t xml:space="preserve"> </w:t>
            </w:r>
            <w:r w:rsidRPr="002B65F7">
              <w:rPr>
                <w:b/>
                <w:bCs/>
              </w:rPr>
              <w:t>d’</w:t>
            </w:r>
            <w:r w:rsidR="0071390F" w:rsidRPr="002B65F7">
              <w:rPr>
                <w:b/>
                <w:bCs/>
              </w:rPr>
              <w:t>ustekinumab</w:t>
            </w:r>
          </w:p>
          <w:p w14:paraId="1E4DB6EB" w14:textId="3A19424B" w:rsidR="00C43AE6" w:rsidRPr="002B65F7" w:rsidRDefault="00C43AE6" w:rsidP="00496255">
            <w:pPr>
              <w:widowControl/>
              <w:tabs>
                <w:tab w:val="left" w:pos="567"/>
              </w:tabs>
              <w:jc w:val="center"/>
              <w:rPr>
                <w:b/>
                <w:bCs/>
              </w:rPr>
            </w:pPr>
            <w:r w:rsidRPr="002B65F7">
              <w:rPr>
                <w:b/>
                <w:bCs/>
              </w:rPr>
              <w:t>N</w:t>
            </w:r>
            <w:r w:rsidR="00312165" w:rsidRPr="002B65F7">
              <w:rPr>
                <w:b/>
                <w:bCs/>
              </w:rPr>
              <w:t> </w:t>
            </w:r>
            <w:r w:rsidRPr="002B65F7">
              <w:rPr>
                <w:b/>
                <w:bCs/>
              </w:rPr>
              <w:t>=</w:t>
            </w:r>
            <w:r w:rsidR="00312165" w:rsidRPr="002B65F7">
              <w:rPr>
                <w:b/>
                <w:bCs/>
              </w:rPr>
              <w:t> </w:t>
            </w:r>
            <w:r w:rsidRPr="002B65F7">
              <w:rPr>
                <w:b/>
                <w:bCs/>
              </w:rPr>
              <w:t>209</w:t>
            </w:r>
          </w:p>
        </w:tc>
      </w:tr>
      <w:tr w:rsidR="00C43AE6" w:rsidRPr="002B65F7" w14:paraId="50CE5454" w14:textId="77777777" w:rsidTr="00F12460">
        <w:trPr>
          <w:cantSplit/>
          <w:trHeight w:val="254"/>
        </w:trPr>
        <w:tc>
          <w:tcPr>
            <w:tcW w:w="3222" w:type="dxa"/>
          </w:tcPr>
          <w:p w14:paraId="0EF224A4" w14:textId="05E1DA55" w:rsidR="00C43AE6" w:rsidRPr="002B65F7" w:rsidRDefault="00C43AE6" w:rsidP="00DF04BE">
            <w:pPr>
              <w:widowControl/>
              <w:tabs>
                <w:tab w:val="left" w:pos="567"/>
              </w:tabs>
            </w:pPr>
            <w:r w:rsidRPr="002B65F7">
              <w:t>Rémission clinique, semaine</w:t>
            </w:r>
            <w:r w:rsidR="003E344F" w:rsidRPr="002B65F7">
              <w:t> </w:t>
            </w:r>
            <w:r w:rsidRPr="002B65F7">
              <w:t>8</w:t>
            </w:r>
          </w:p>
        </w:tc>
        <w:tc>
          <w:tcPr>
            <w:tcW w:w="1559" w:type="dxa"/>
          </w:tcPr>
          <w:p w14:paraId="7A746E62" w14:textId="77777777" w:rsidR="00C43AE6" w:rsidRPr="002B65F7" w:rsidRDefault="00C43AE6" w:rsidP="00496255">
            <w:pPr>
              <w:widowControl/>
              <w:tabs>
                <w:tab w:val="left" w:pos="567"/>
              </w:tabs>
              <w:jc w:val="center"/>
            </w:pPr>
            <w:r w:rsidRPr="002B65F7">
              <w:t>18 (7,3%)</w:t>
            </w:r>
          </w:p>
        </w:tc>
        <w:tc>
          <w:tcPr>
            <w:tcW w:w="1843" w:type="dxa"/>
          </w:tcPr>
          <w:p w14:paraId="5FBB9864" w14:textId="77777777" w:rsidR="00C43AE6" w:rsidRPr="002B65F7" w:rsidRDefault="00C43AE6" w:rsidP="00496255">
            <w:pPr>
              <w:widowControl/>
              <w:tabs>
                <w:tab w:val="left" w:pos="567"/>
              </w:tabs>
              <w:jc w:val="center"/>
            </w:pPr>
            <w:r w:rsidRPr="002B65F7">
              <w:t>52 (20,9%)</w:t>
            </w:r>
            <w:r w:rsidRPr="002B65F7">
              <w:rPr>
                <w:vertAlign w:val="superscript"/>
              </w:rPr>
              <w:t>a</w:t>
            </w:r>
          </w:p>
        </w:tc>
        <w:tc>
          <w:tcPr>
            <w:tcW w:w="1276" w:type="dxa"/>
          </w:tcPr>
          <w:p w14:paraId="3AD218A8" w14:textId="77777777" w:rsidR="00C43AE6" w:rsidRPr="002B65F7" w:rsidRDefault="00C43AE6" w:rsidP="00496255">
            <w:pPr>
              <w:widowControl/>
              <w:tabs>
                <w:tab w:val="left" w:pos="567"/>
              </w:tabs>
              <w:jc w:val="center"/>
            </w:pPr>
            <w:r w:rsidRPr="002B65F7">
              <w:t>41 (19,6%)</w:t>
            </w:r>
          </w:p>
        </w:tc>
        <w:tc>
          <w:tcPr>
            <w:tcW w:w="1650" w:type="dxa"/>
          </w:tcPr>
          <w:p w14:paraId="2908C730" w14:textId="77777777" w:rsidR="00C43AE6" w:rsidRPr="002B65F7" w:rsidRDefault="00C43AE6" w:rsidP="00496255">
            <w:pPr>
              <w:widowControl/>
              <w:tabs>
                <w:tab w:val="left" w:pos="567"/>
              </w:tabs>
              <w:jc w:val="center"/>
            </w:pPr>
            <w:r w:rsidRPr="002B65F7">
              <w:t>84 (40,2%)</w:t>
            </w:r>
            <w:r w:rsidRPr="002B65F7">
              <w:rPr>
                <w:vertAlign w:val="superscript"/>
              </w:rPr>
              <w:t>a</w:t>
            </w:r>
          </w:p>
        </w:tc>
      </w:tr>
      <w:tr w:rsidR="00C43AE6" w:rsidRPr="002B65F7" w14:paraId="1CDAA12A" w14:textId="77777777" w:rsidTr="00F12460">
        <w:trPr>
          <w:cantSplit/>
          <w:trHeight w:val="283"/>
        </w:trPr>
        <w:tc>
          <w:tcPr>
            <w:tcW w:w="3222" w:type="dxa"/>
          </w:tcPr>
          <w:p w14:paraId="1685F6D5" w14:textId="76D1EF2E" w:rsidR="00C43AE6" w:rsidRPr="002B65F7" w:rsidRDefault="00C43AE6" w:rsidP="00DF04BE">
            <w:pPr>
              <w:widowControl/>
              <w:tabs>
                <w:tab w:val="left" w:pos="567"/>
              </w:tabs>
            </w:pPr>
            <w:r w:rsidRPr="002B65F7">
              <w:t>Réponse clinique (100</w:t>
            </w:r>
            <w:r w:rsidR="009F69EB" w:rsidRPr="002B65F7">
              <w:t> </w:t>
            </w:r>
            <w:r w:rsidRPr="002B65F7">
              <w:t>points), semaine</w:t>
            </w:r>
            <w:r w:rsidR="009F69EB" w:rsidRPr="002B65F7">
              <w:t> </w:t>
            </w:r>
            <w:r w:rsidRPr="002B65F7">
              <w:t>6</w:t>
            </w:r>
          </w:p>
        </w:tc>
        <w:tc>
          <w:tcPr>
            <w:tcW w:w="1559" w:type="dxa"/>
          </w:tcPr>
          <w:p w14:paraId="2C5AF477" w14:textId="77777777" w:rsidR="00C43AE6" w:rsidRPr="002B65F7" w:rsidRDefault="00C43AE6" w:rsidP="00496255">
            <w:pPr>
              <w:widowControl/>
              <w:tabs>
                <w:tab w:val="left" w:pos="567"/>
              </w:tabs>
              <w:jc w:val="center"/>
            </w:pPr>
            <w:r w:rsidRPr="002B65F7">
              <w:t>53 (21,5%)</w:t>
            </w:r>
          </w:p>
        </w:tc>
        <w:tc>
          <w:tcPr>
            <w:tcW w:w="1843" w:type="dxa"/>
          </w:tcPr>
          <w:p w14:paraId="38613DB7" w14:textId="77777777" w:rsidR="00C43AE6" w:rsidRPr="002B65F7" w:rsidRDefault="00C43AE6" w:rsidP="00496255">
            <w:pPr>
              <w:widowControl/>
              <w:tabs>
                <w:tab w:val="left" w:pos="567"/>
              </w:tabs>
              <w:jc w:val="center"/>
            </w:pPr>
            <w:r w:rsidRPr="002B65F7">
              <w:t>84 (33,7%)</w:t>
            </w:r>
            <w:r w:rsidRPr="002B65F7">
              <w:rPr>
                <w:vertAlign w:val="superscript"/>
              </w:rPr>
              <w:t>b</w:t>
            </w:r>
          </w:p>
        </w:tc>
        <w:tc>
          <w:tcPr>
            <w:tcW w:w="1276" w:type="dxa"/>
          </w:tcPr>
          <w:p w14:paraId="05897013" w14:textId="77777777" w:rsidR="00C43AE6" w:rsidRPr="002B65F7" w:rsidRDefault="00C43AE6" w:rsidP="00496255">
            <w:pPr>
              <w:widowControl/>
              <w:tabs>
                <w:tab w:val="left" w:pos="567"/>
              </w:tabs>
              <w:jc w:val="center"/>
            </w:pPr>
            <w:r w:rsidRPr="002B65F7">
              <w:t>60 (28,7%)</w:t>
            </w:r>
          </w:p>
        </w:tc>
        <w:tc>
          <w:tcPr>
            <w:tcW w:w="1650" w:type="dxa"/>
          </w:tcPr>
          <w:p w14:paraId="049D2D2C" w14:textId="77777777" w:rsidR="00C43AE6" w:rsidRPr="002B65F7" w:rsidRDefault="00C43AE6" w:rsidP="00496255">
            <w:pPr>
              <w:widowControl/>
              <w:tabs>
                <w:tab w:val="left" w:pos="567"/>
              </w:tabs>
              <w:jc w:val="center"/>
            </w:pPr>
            <w:r w:rsidRPr="002B65F7">
              <w:t>116 (55,5%)</w:t>
            </w:r>
            <w:r w:rsidRPr="002B65F7">
              <w:rPr>
                <w:vertAlign w:val="superscript"/>
              </w:rPr>
              <w:t>a</w:t>
            </w:r>
          </w:p>
        </w:tc>
      </w:tr>
      <w:tr w:rsidR="00C43AE6" w:rsidRPr="002B65F7" w14:paraId="7489F0F8" w14:textId="77777777" w:rsidTr="00F12460">
        <w:trPr>
          <w:cantSplit/>
          <w:trHeight w:val="227"/>
        </w:trPr>
        <w:tc>
          <w:tcPr>
            <w:tcW w:w="3222" w:type="dxa"/>
          </w:tcPr>
          <w:p w14:paraId="0A659A3C" w14:textId="38A89EF4" w:rsidR="00C43AE6" w:rsidRPr="002B65F7" w:rsidRDefault="00C43AE6" w:rsidP="00DF04BE">
            <w:pPr>
              <w:widowControl/>
              <w:tabs>
                <w:tab w:val="left" w:pos="567"/>
              </w:tabs>
            </w:pPr>
            <w:r w:rsidRPr="002B65F7">
              <w:t>Réponse clinique (100</w:t>
            </w:r>
            <w:r w:rsidR="009F69EB" w:rsidRPr="002B65F7">
              <w:t> </w:t>
            </w:r>
            <w:r w:rsidRPr="002B65F7">
              <w:t>points), semaine</w:t>
            </w:r>
            <w:r w:rsidR="009F69EB" w:rsidRPr="002B65F7">
              <w:t> </w:t>
            </w:r>
            <w:r w:rsidRPr="002B65F7">
              <w:t>8</w:t>
            </w:r>
          </w:p>
        </w:tc>
        <w:tc>
          <w:tcPr>
            <w:tcW w:w="1559" w:type="dxa"/>
          </w:tcPr>
          <w:p w14:paraId="76DA9854" w14:textId="77777777" w:rsidR="00C43AE6" w:rsidRPr="002B65F7" w:rsidRDefault="00C43AE6" w:rsidP="00496255">
            <w:pPr>
              <w:widowControl/>
              <w:tabs>
                <w:tab w:val="left" w:pos="567"/>
              </w:tabs>
              <w:jc w:val="center"/>
            </w:pPr>
            <w:r w:rsidRPr="002B65F7">
              <w:t>50 (20,2%)</w:t>
            </w:r>
          </w:p>
        </w:tc>
        <w:tc>
          <w:tcPr>
            <w:tcW w:w="1843" w:type="dxa"/>
          </w:tcPr>
          <w:p w14:paraId="3B12D8FC" w14:textId="77777777" w:rsidR="00C43AE6" w:rsidRPr="002B65F7" w:rsidRDefault="00C43AE6" w:rsidP="00496255">
            <w:pPr>
              <w:widowControl/>
              <w:tabs>
                <w:tab w:val="left" w:pos="567"/>
              </w:tabs>
              <w:jc w:val="center"/>
            </w:pPr>
            <w:r w:rsidRPr="002B65F7">
              <w:t>94 (37,8%)</w:t>
            </w:r>
            <w:r w:rsidRPr="002B65F7">
              <w:rPr>
                <w:vertAlign w:val="superscript"/>
              </w:rPr>
              <w:t>a</w:t>
            </w:r>
          </w:p>
        </w:tc>
        <w:tc>
          <w:tcPr>
            <w:tcW w:w="1276" w:type="dxa"/>
          </w:tcPr>
          <w:p w14:paraId="5D1B08CC" w14:textId="77777777" w:rsidR="00C43AE6" w:rsidRPr="002B65F7" w:rsidRDefault="00C43AE6" w:rsidP="00496255">
            <w:pPr>
              <w:widowControl/>
              <w:tabs>
                <w:tab w:val="left" w:pos="567"/>
              </w:tabs>
              <w:jc w:val="center"/>
            </w:pPr>
            <w:r w:rsidRPr="002B65F7">
              <w:t>67 (32,1%)</w:t>
            </w:r>
          </w:p>
        </w:tc>
        <w:tc>
          <w:tcPr>
            <w:tcW w:w="1650" w:type="dxa"/>
          </w:tcPr>
          <w:p w14:paraId="712D5E5C" w14:textId="77777777" w:rsidR="00C43AE6" w:rsidRPr="002B65F7" w:rsidRDefault="00C43AE6" w:rsidP="00496255">
            <w:pPr>
              <w:widowControl/>
              <w:tabs>
                <w:tab w:val="left" w:pos="567"/>
              </w:tabs>
              <w:jc w:val="center"/>
            </w:pPr>
            <w:r w:rsidRPr="002B65F7">
              <w:t>121 (57,9%)</w:t>
            </w:r>
            <w:r w:rsidRPr="002B65F7">
              <w:rPr>
                <w:vertAlign w:val="superscript"/>
              </w:rPr>
              <w:t>a</w:t>
            </w:r>
          </w:p>
        </w:tc>
      </w:tr>
      <w:tr w:rsidR="00C43AE6" w:rsidRPr="002B65F7" w14:paraId="17E65C35" w14:textId="77777777" w:rsidTr="00F12460">
        <w:trPr>
          <w:cantSplit/>
          <w:trHeight w:val="283"/>
        </w:trPr>
        <w:tc>
          <w:tcPr>
            <w:tcW w:w="3222" w:type="dxa"/>
          </w:tcPr>
          <w:p w14:paraId="6AEE5C8B" w14:textId="1EFFF0F4" w:rsidR="00C43AE6" w:rsidRPr="002B65F7" w:rsidRDefault="00C43AE6" w:rsidP="00DF04BE">
            <w:pPr>
              <w:widowControl/>
              <w:tabs>
                <w:tab w:val="left" w:pos="567"/>
              </w:tabs>
            </w:pPr>
            <w:r w:rsidRPr="002B65F7">
              <w:t>Réponse 70</w:t>
            </w:r>
            <w:r w:rsidR="009F69EB" w:rsidRPr="002B65F7">
              <w:t> </w:t>
            </w:r>
            <w:r w:rsidRPr="002B65F7">
              <w:t>points, semaine</w:t>
            </w:r>
            <w:r w:rsidR="009F69EB" w:rsidRPr="002B65F7">
              <w:t> </w:t>
            </w:r>
            <w:r w:rsidRPr="002B65F7">
              <w:t>3</w:t>
            </w:r>
          </w:p>
        </w:tc>
        <w:tc>
          <w:tcPr>
            <w:tcW w:w="1559" w:type="dxa"/>
          </w:tcPr>
          <w:p w14:paraId="5561237A" w14:textId="77777777" w:rsidR="00C43AE6" w:rsidRPr="002B65F7" w:rsidRDefault="00C43AE6" w:rsidP="00496255">
            <w:pPr>
              <w:widowControl/>
              <w:tabs>
                <w:tab w:val="left" w:pos="567"/>
              </w:tabs>
              <w:jc w:val="center"/>
            </w:pPr>
            <w:r w:rsidRPr="002B65F7">
              <w:t>67 (27,1%)</w:t>
            </w:r>
          </w:p>
        </w:tc>
        <w:tc>
          <w:tcPr>
            <w:tcW w:w="1843" w:type="dxa"/>
          </w:tcPr>
          <w:p w14:paraId="0A9AD737" w14:textId="77777777" w:rsidR="00C43AE6" w:rsidRPr="002B65F7" w:rsidRDefault="00C43AE6" w:rsidP="00496255">
            <w:pPr>
              <w:widowControl/>
              <w:tabs>
                <w:tab w:val="left" w:pos="567"/>
              </w:tabs>
              <w:jc w:val="center"/>
            </w:pPr>
            <w:r w:rsidRPr="002B65F7">
              <w:t>101 (40,6%)</w:t>
            </w:r>
            <w:r w:rsidRPr="002B65F7">
              <w:rPr>
                <w:vertAlign w:val="superscript"/>
              </w:rPr>
              <w:t>b</w:t>
            </w:r>
          </w:p>
        </w:tc>
        <w:tc>
          <w:tcPr>
            <w:tcW w:w="1276" w:type="dxa"/>
          </w:tcPr>
          <w:p w14:paraId="713F0EED" w14:textId="77777777" w:rsidR="00C43AE6" w:rsidRPr="002B65F7" w:rsidRDefault="00C43AE6" w:rsidP="00496255">
            <w:pPr>
              <w:widowControl/>
              <w:tabs>
                <w:tab w:val="left" w:pos="567"/>
              </w:tabs>
              <w:jc w:val="center"/>
            </w:pPr>
            <w:r w:rsidRPr="002B65F7">
              <w:t>66 (31,6%)</w:t>
            </w:r>
          </w:p>
        </w:tc>
        <w:tc>
          <w:tcPr>
            <w:tcW w:w="1650" w:type="dxa"/>
          </w:tcPr>
          <w:p w14:paraId="1B2C91E9" w14:textId="77777777" w:rsidR="00C43AE6" w:rsidRPr="002B65F7" w:rsidRDefault="00C43AE6" w:rsidP="00496255">
            <w:pPr>
              <w:widowControl/>
              <w:tabs>
                <w:tab w:val="left" w:pos="567"/>
              </w:tabs>
              <w:jc w:val="center"/>
            </w:pPr>
            <w:r w:rsidRPr="002B65F7">
              <w:t>106 (50,7%)</w:t>
            </w:r>
            <w:r w:rsidRPr="002B65F7">
              <w:rPr>
                <w:vertAlign w:val="superscript"/>
              </w:rPr>
              <w:t>a</w:t>
            </w:r>
          </w:p>
        </w:tc>
      </w:tr>
      <w:tr w:rsidR="00C43AE6" w:rsidRPr="002B65F7" w14:paraId="69826B95" w14:textId="77777777" w:rsidTr="00F12460">
        <w:trPr>
          <w:cantSplit/>
          <w:trHeight w:val="340"/>
        </w:trPr>
        <w:tc>
          <w:tcPr>
            <w:tcW w:w="3222" w:type="dxa"/>
          </w:tcPr>
          <w:p w14:paraId="7B6C1872" w14:textId="29C796D4" w:rsidR="00C43AE6" w:rsidRPr="002B65F7" w:rsidRDefault="00C43AE6" w:rsidP="00DF04BE">
            <w:pPr>
              <w:widowControl/>
              <w:tabs>
                <w:tab w:val="left" w:pos="567"/>
              </w:tabs>
            </w:pPr>
            <w:r w:rsidRPr="002B65F7">
              <w:t>Réponse 70</w:t>
            </w:r>
            <w:r w:rsidR="009F69EB" w:rsidRPr="002B65F7">
              <w:t> </w:t>
            </w:r>
            <w:r w:rsidRPr="002B65F7">
              <w:t>points, semaine</w:t>
            </w:r>
            <w:r w:rsidR="009F69EB" w:rsidRPr="002B65F7">
              <w:t> </w:t>
            </w:r>
            <w:r w:rsidRPr="002B65F7">
              <w:t>6</w:t>
            </w:r>
          </w:p>
        </w:tc>
        <w:tc>
          <w:tcPr>
            <w:tcW w:w="1559" w:type="dxa"/>
          </w:tcPr>
          <w:p w14:paraId="7CF2BA48" w14:textId="77777777" w:rsidR="00C43AE6" w:rsidRPr="002B65F7" w:rsidRDefault="00C43AE6" w:rsidP="00496255">
            <w:pPr>
              <w:widowControl/>
              <w:tabs>
                <w:tab w:val="left" w:pos="567"/>
              </w:tabs>
              <w:jc w:val="center"/>
            </w:pPr>
            <w:r w:rsidRPr="002B65F7">
              <w:t>75 (30,4%)</w:t>
            </w:r>
          </w:p>
        </w:tc>
        <w:tc>
          <w:tcPr>
            <w:tcW w:w="1843" w:type="dxa"/>
          </w:tcPr>
          <w:p w14:paraId="06E15984" w14:textId="77777777" w:rsidR="00C43AE6" w:rsidRPr="002B65F7" w:rsidRDefault="00C43AE6" w:rsidP="00496255">
            <w:pPr>
              <w:widowControl/>
              <w:tabs>
                <w:tab w:val="left" w:pos="567"/>
              </w:tabs>
              <w:jc w:val="center"/>
            </w:pPr>
            <w:r w:rsidRPr="002B65F7">
              <w:t>109 (43,8%)</w:t>
            </w:r>
            <w:r w:rsidRPr="002B65F7">
              <w:rPr>
                <w:vertAlign w:val="superscript"/>
              </w:rPr>
              <w:t>b</w:t>
            </w:r>
          </w:p>
        </w:tc>
        <w:tc>
          <w:tcPr>
            <w:tcW w:w="1276" w:type="dxa"/>
          </w:tcPr>
          <w:p w14:paraId="0E33CC16" w14:textId="77777777" w:rsidR="00C43AE6" w:rsidRPr="002B65F7" w:rsidRDefault="00C43AE6" w:rsidP="00496255">
            <w:pPr>
              <w:widowControl/>
              <w:tabs>
                <w:tab w:val="left" w:pos="567"/>
              </w:tabs>
              <w:jc w:val="center"/>
            </w:pPr>
            <w:r w:rsidRPr="002B65F7">
              <w:t>81 (38,8%)</w:t>
            </w:r>
          </w:p>
        </w:tc>
        <w:tc>
          <w:tcPr>
            <w:tcW w:w="1650" w:type="dxa"/>
          </w:tcPr>
          <w:p w14:paraId="74292521" w14:textId="77777777" w:rsidR="00C43AE6" w:rsidRPr="002B65F7" w:rsidRDefault="00C43AE6" w:rsidP="00496255">
            <w:pPr>
              <w:widowControl/>
              <w:tabs>
                <w:tab w:val="left" w:pos="567"/>
              </w:tabs>
              <w:jc w:val="center"/>
            </w:pPr>
            <w:r w:rsidRPr="002B65F7">
              <w:t>135 (64,6%)</w:t>
            </w:r>
            <w:r w:rsidRPr="002B65F7">
              <w:rPr>
                <w:vertAlign w:val="superscript"/>
              </w:rPr>
              <w:t>a</w:t>
            </w:r>
          </w:p>
        </w:tc>
      </w:tr>
    </w:tbl>
    <w:p w14:paraId="03B57DB3" w14:textId="54960699" w:rsidR="00092F83" w:rsidRPr="002B65F7" w:rsidRDefault="00C31740" w:rsidP="00496255">
      <w:pPr>
        <w:widowControl/>
        <w:rPr>
          <w:sz w:val="20"/>
          <w:szCs w:val="20"/>
        </w:rPr>
      </w:pPr>
      <w:r w:rsidRPr="002B65F7">
        <w:rPr>
          <w:sz w:val="20"/>
          <w:szCs w:val="20"/>
        </w:rPr>
        <w:t>La rémission clinique est définie comme un score CDAI</w:t>
      </w:r>
      <w:r w:rsidR="0043231E" w:rsidRPr="002B65F7">
        <w:rPr>
          <w:sz w:val="20"/>
          <w:szCs w:val="20"/>
        </w:rPr>
        <w:t> </w:t>
      </w:r>
      <w:r w:rsidRPr="002B65F7">
        <w:rPr>
          <w:sz w:val="20"/>
          <w:szCs w:val="20"/>
        </w:rPr>
        <w:t>&lt;</w:t>
      </w:r>
      <w:r w:rsidR="0043231E" w:rsidRPr="002B65F7">
        <w:rPr>
          <w:sz w:val="20"/>
          <w:szCs w:val="20"/>
        </w:rPr>
        <w:t> </w:t>
      </w:r>
      <w:r w:rsidRPr="002B65F7">
        <w:rPr>
          <w:sz w:val="20"/>
          <w:szCs w:val="20"/>
        </w:rPr>
        <w:t>150 ; La réponse clinique est définie comme une réduction du score CDAI d’au moins 100</w:t>
      </w:r>
      <w:r w:rsidR="0043231E" w:rsidRPr="002B65F7">
        <w:rPr>
          <w:sz w:val="20"/>
          <w:szCs w:val="20"/>
        </w:rPr>
        <w:t> </w:t>
      </w:r>
      <w:r w:rsidRPr="002B65F7">
        <w:rPr>
          <w:sz w:val="20"/>
          <w:szCs w:val="20"/>
        </w:rPr>
        <w:t>points ou un état de rémission clinique</w:t>
      </w:r>
    </w:p>
    <w:p w14:paraId="03B57DB4" w14:textId="6A9566C8" w:rsidR="00092F83" w:rsidRPr="002B65F7" w:rsidRDefault="00C31740" w:rsidP="00496255">
      <w:pPr>
        <w:widowControl/>
        <w:rPr>
          <w:sz w:val="20"/>
          <w:szCs w:val="20"/>
        </w:rPr>
      </w:pPr>
      <w:r w:rsidRPr="002B65F7">
        <w:rPr>
          <w:sz w:val="20"/>
          <w:szCs w:val="20"/>
        </w:rPr>
        <w:t>La réponse 70</w:t>
      </w:r>
      <w:r w:rsidR="0043231E" w:rsidRPr="002B65F7">
        <w:rPr>
          <w:sz w:val="20"/>
          <w:szCs w:val="20"/>
        </w:rPr>
        <w:t> </w:t>
      </w:r>
      <w:r w:rsidRPr="002B65F7">
        <w:rPr>
          <w:sz w:val="20"/>
          <w:szCs w:val="20"/>
        </w:rPr>
        <w:t>points est définie comme une réduction du score CDAI d’au moins 70</w:t>
      </w:r>
      <w:r w:rsidR="0043231E" w:rsidRPr="002B65F7">
        <w:rPr>
          <w:sz w:val="20"/>
          <w:szCs w:val="20"/>
        </w:rPr>
        <w:t> </w:t>
      </w:r>
      <w:r w:rsidRPr="002B65F7">
        <w:rPr>
          <w:sz w:val="20"/>
          <w:szCs w:val="20"/>
        </w:rPr>
        <w:t>points</w:t>
      </w:r>
    </w:p>
    <w:p w14:paraId="03B57DB5" w14:textId="20FF619D" w:rsidR="00092F83" w:rsidRPr="002B65F7" w:rsidRDefault="002E7794" w:rsidP="00496255">
      <w:pPr>
        <w:widowControl/>
        <w:rPr>
          <w:sz w:val="20"/>
          <w:szCs w:val="20"/>
        </w:rPr>
      </w:pPr>
      <w:r w:rsidRPr="002B65F7">
        <w:rPr>
          <w:sz w:val="20"/>
          <w:szCs w:val="20"/>
        </w:rPr>
        <w:t>*</w:t>
      </w:r>
      <w:r w:rsidR="00C31740" w:rsidRPr="002B65F7">
        <w:rPr>
          <w:sz w:val="20"/>
          <w:szCs w:val="20"/>
        </w:rPr>
        <w:t>Échec des anti-TNFα</w:t>
      </w:r>
    </w:p>
    <w:p w14:paraId="03B57DB6" w14:textId="77777777" w:rsidR="00092F83" w:rsidRPr="002B65F7" w:rsidRDefault="00C31740" w:rsidP="00496255">
      <w:pPr>
        <w:widowControl/>
        <w:rPr>
          <w:sz w:val="20"/>
          <w:szCs w:val="20"/>
        </w:rPr>
      </w:pPr>
      <w:r w:rsidRPr="002B65F7">
        <w:rPr>
          <w:sz w:val="20"/>
          <w:szCs w:val="20"/>
        </w:rPr>
        <w:t>** Échec des traitements conventionnels</w:t>
      </w:r>
    </w:p>
    <w:p w14:paraId="03B57DB7" w14:textId="5B48CD14" w:rsidR="00092F83" w:rsidRPr="002B65F7" w:rsidRDefault="00C31740" w:rsidP="00496255">
      <w:pPr>
        <w:widowControl/>
        <w:rPr>
          <w:sz w:val="20"/>
          <w:szCs w:val="20"/>
        </w:rPr>
      </w:pPr>
      <w:r w:rsidRPr="002B65F7">
        <w:rPr>
          <w:sz w:val="20"/>
          <w:szCs w:val="20"/>
          <w:vertAlign w:val="superscript"/>
        </w:rPr>
        <w:t>a</w:t>
      </w:r>
      <w:r w:rsidR="0043231E" w:rsidRPr="002B65F7">
        <w:rPr>
          <w:sz w:val="20"/>
          <w:szCs w:val="20"/>
        </w:rPr>
        <w:t xml:space="preserve"> </w:t>
      </w:r>
      <w:r w:rsidRPr="002B65F7">
        <w:rPr>
          <w:sz w:val="20"/>
          <w:szCs w:val="20"/>
        </w:rPr>
        <w:t>p</w:t>
      </w:r>
      <w:r w:rsidR="0043231E" w:rsidRPr="002B65F7">
        <w:rPr>
          <w:sz w:val="20"/>
          <w:szCs w:val="20"/>
        </w:rPr>
        <w:t> </w:t>
      </w:r>
      <w:r w:rsidRPr="002B65F7">
        <w:rPr>
          <w:sz w:val="20"/>
          <w:szCs w:val="20"/>
        </w:rPr>
        <w:t>&lt;</w:t>
      </w:r>
      <w:r w:rsidR="0043231E" w:rsidRPr="002B65F7">
        <w:rPr>
          <w:sz w:val="20"/>
          <w:szCs w:val="20"/>
        </w:rPr>
        <w:t> </w:t>
      </w:r>
      <w:r w:rsidRPr="002B65F7">
        <w:rPr>
          <w:sz w:val="20"/>
          <w:szCs w:val="20"/>
        </w:rPr>
        <w:t>0,001</w:t>
      </w:r>
    </w:p>
    <w:p w14:paraId="03B57DB8" w14:textId="47961C4D" w:rsidR="00092F83" w:rsidRPr="002B65F7" w:rsidRDefault="00C31740" w:rsidP="00496255">
      <w:pPr>
        <w:widowControl/>
        <w:rPr>
          <w:sz w:val="20"/>
          <w:szCs w:val="20"/>
        </w:rPr>
      </w:pPr>
      <w:r w:rsidRPr="002B65F7">
        <w:rPr>
          <w:sz w:val="20"/>
          <w:szCs w:val="20"/>
          <w:vertAlign w:val="superscript"/>
        </w:rPr>
        <w:t>b</w:t>
      </w:r>
      <w:r w:rsidR="0043231E" w:rsidRPr="002B65F7">
        <w:rPr>
          <w:sz w:val="20"/>
          <w:szCs w:val="20"/>
        </w:rPr>
        <w:t xml:space="preserve"> </w:t>
      </w:r>
      <w:r w:rsidRPr="002B65F7">
        <w:rPr>
          <w:sz w:val="20"/>
          <w:szCs w:val="20"/>
        </w:rPr>
        <w:t>p</w:t>
      </w:r>
      <w:r w:rsidR="0043231E" w:rsidRPr="002B65F7">
        <w:rPr>
          <w:sz w:val="20"/>
          <w:szCs w:val="20"/>
        </w:rPr>
        <w:t> </w:t>
      </w:r>
      <w:r w:rsidRPr="002B65F7">
        <w:rPr>
          <w:sz w:val="20"/>
          <w:szCs w:val="20"/>
        </w:rPr>
        <w:t>&lt;</w:t>
      </w:r>
      <w:r w:rsidR="0043231E" w:rsidRPr="002B65F7">
        <w:rPr>
          <w:sz w:val="20"/>
          <w:szCs w:val="20"/>
        </w:rPr>
        <w:t> </w:t>
      </w:r>
      <w:r w:rsidRPr="002B65F7">
        <w:rPr>
          <w:sz w:val="20"/>
          <w:szCs w:val="20"/>
        </w:rPr>
        <w:t>0,01</w:t>
      </w:r>
    </w:p>
    <w:p w14:paraId="03B57DB9" w14:textId="77777777" w:rsidR="00092F83" w:rsidRPr="002B65F7" w:rsidRDefault="00092F83" w:rsidP="00496255">
      <w:pPr>
        <w:widowControl/>
      </w:pPr>
    </w:p>
    <w:p w14:paraId="581FD3E2" w14:textId="1658F1E2" w:rsidR="00B41E23" w:rsidRPr="002B65F7" w:rsidRDefault="00C31740" w:rsidP="00496255">
      <w:pPr>
        <w:widowControl/>
      </w:pPr>
      <w:r w:rsidRPr="002B65F7">
        <w:t>L’étude d’entretien (IM-UNITI) a évalué 388</w:t>
      </w:r>
      <w:r w:rsidR="002C5839" w:rsidRPr="002B65F7">
        <w:t> </w:t>
      </w:r>
      <w:r w:rsidRPr="002B65F7">
        <w:t>patients ayant obtenu une réponse clinique de 100</w:t>
      </w:r>
      <w:r w:rsidR="002C5839" w:rsidRPr="002B65F7">
        <w:t> </w:t>
      </w:r>
      <w:r w:rsidRPr="002B65F7">
        <w:t>points à la semaine</w:t>
      </w:r>
      <w:r w:rsidR="00F6151C" w:rsidRPr="002B65F7">
        <w:t> </w:t>
      </w:r>
      <w:r w:rsidRPr="002B65F7">
        <w:t xml:space="preserve">8 après un traitement d’induction par </w:t>
      </w:r>
      <w:r w:rsidR="0071390F" w:rsidRPr="002B65F7">
        <w:t>ustekinumab</w:t>
      </w:r>
      <w:r w:rsidRPr="002B65F7">
        <w:t xml:space="preserve"> dans les études UNITI-1 et UNITI-2. Les patients étaient randomisés pour recevoir un traitement d’entretien sous-cutané par 90</w:t>
      </w:r>
      <w:r w:rsidR="005A6F8F" w:rsidRPr="002B65F7">
        <w:t> </w:t>
      </w:r>
      <w:r w:rsidRPr="002B65F7">
        <w:t>mg d’</w:t>
      </w:r>
      <w:r w:rsidR="0071390F" w:rsidRPr="002B65F7">
        <w:t>ustekinumab</w:t>
      </w:r>
      <w:r w:rsidRPr="002B65F7">
        <w:t xml:space="preserve"> toutes les 8</w:t>
      </w:r>
      <w:r w:rsidR="002C5839" w:rsidRPr="002B65F7">
        <w:t> </w:t>
      </w:r>
      <w:r w:rsidRPr="002B65F7">
        <w:t>semaines, ou 90</w:t>
      </w:r>
      <w:r w:rsidR="002C5839" w:rsidRPr="002B65F7">
        <w:t> </w:t>
      </w:r>
      <w:r w:rsidRPr="002B65F7">
        <w:t>mg d’</w:t>
      </w:r>
      <w:r w:rsidR="0071390F" w:rsidRPr="002B65F7">
        <w:t>ustekinumab</w:t>
      </w:r>
      <w:r w:rsidRPr="002B65F7">
        <w:t xml:space="preserve"> toutes les 12</w:t>
      </w:r>
      <w:r w:rsidR="002C5839" w:rsidRPr="002B65F7">
        <w:t> </w:t>
      </w:r>
      <w:r w:rsidRPr="002B65F7">
        <w:t xml:space="preserve">semaines ou un placebo </w:t>
      </w:r>
      <w:r w:rsidRPr="002B65F7">
        <w:lastRenderedPageBreak/>
        <w:t>pendant 44</w:t>
      </w:r>
      <w:r w:rsidR="00F60367" w:rsidRPr="002B65F7">
        <w:t> </w:t>
      </w:r>
      <w:r w:rsidRPr="002B65F7">
        <w:t>semaines (pour la posologie recommandée pour le traitement d’entretien, voir rubrique</w:t>
      </w:r>
      <w:r w:rsidR="002C5839" w:rsidRPr="002B65F7">
        <w:t> </w:t>
      </w:r>
      <w:r w:rsidRPr="002B65F7">
        <w:t xml:space="preserve">4.2 des RCP de </w:t>
      </w:r>
      <w:r w:rsidR="00705C2B" w:rsidRPr="002B65F7">
        <w:rPr>
          <w:spacing w:val="-1"/>
        </w:rPr>
        <w:t>WEZENLA</w:t>
      </w:r>
      <w:r w:rsidRPr="002B65F7">
        <w:t xml:space="preserve"> </w:t>
      </w:r>
      <w:r w:rsidR="00272BDF">
        <w:t>s</w:t>
      </w:r>
      <w:r w:rsidRPr="002B65F7">
        <w:t xml:space="preserve">olution injectable (flacon) et </w:t>
      </w:r>
      <w:r w:rsidR="00272BDF">
        <w:t>s</w:t>
      </w:r>
      <w:r w:rsidRPr="002B65F7">
        <w:t>olution injectable en seringue préremplie</w:t>
      </w:r>
      <w:r w:rsidR="00D97054" w:rsidRPr="002B65F7">
        <w:t xml:space="preserve"> ou </w:t>
      </w:r>
      <w:r w:rsidR="00DF4439" w:rsidRPr="002B65F7">
        <w:t>en</w:t>
      </w:r>
      <w:r w:rsidR="00D97054" w:rsidRPr="002B65F7">
        <w:t xml:space="preserve"> stylo prérempli</w:t>
      </w:r>
      <w:r w:rsidRPr="002B65F7">
        <w:t>).</w:t>
      </w:r>
    </w:p>
    <w:p w14:paraId="03AB4E5F" w14:textId="77777777" w:rsidR="00B41E23" w:rsidRPr="002B65F7" w:rsidRDefault="00B41E23" w:rsidP="00496255">
      <w:pPr>
        <w:widowControl/>
      </w:pPr>
    </w:p>
    <w:p w14:paraId="03B57DBB" w14:textId="303CA9F8" w:rsidR="00092F83" w:rsidRPr="002B65F7" w:rsidRDefault="00C31740" w:rsidP="00496255">
      <w:pPr>
        <w:widowControl/>
      </w:pPr>
      <w:r w:rsidRPr="002B65F7">
        <w:t xml:space="preserve">Une proportion significativement supérieure de patients a maintenu une rémission et une réponse cliniques dans les groupes traités par </w:t>
      </w:r>
      <w:r w:rsidR="0071390F" w:rsidRPr="002B65F7">
        <w:t>ustekinumab</w:t>
      </w:r>
      <w:r w:rsidRPr="002B65F7">
        <w:t xml:space="preserve"> comparativement au groupe placebo à la semaine</w:t>
      </w:r>
      <w:r w:rsidR="00F60367" w:rsidRPr="002B65F7">
        <w:t> </w:t>
      </w:r>
      <w:r w:rsidRPr="002B65F7">
        <w:t xml:space="preserve">44 (voir </w:t>
      </w:r>
      <w:r w:rsidR="00705C2B" w:rsidRPr="002B65F7">
        <w:t>t</w:t>
      </w:r>
      <w:r w:rsidRPr="002B65F7">
        <w:t>ableau</w:t>
      </w:r>
      <w:r w:rsidR="00D41714" w:rsidRPr="002B65F7">
        <w:t> </w:t>
      </w:r>
      <w:r w:rsidR="000F0A68">
        <w:t>5</w:t>
      </w:r>
      <w:r w:rsidRPr="002B65F7">
        <w:t>).</w:t>
      </w:r>
    </w:p>
    <w:p w14:paraId="03B57DBC" w14:textId="77777777" w:rsidR="00092F83" w:rsidRPr="002B65F7" w:rsidRDefault="00092F83" w:rsidP="00496255">
      <w:pPr>
        <w:widowControl/>
      </w:pPr>
    </w:p>
    <w:p w14:paraId="03B57DBD" w14:textId="225153BB" w:rsidR="00092F83" w:rsidRPr="002B65F7" w:rsidRDefault="00C31740" w:rsidP="00496255">
      <w:pPr>
        <w:keepNext/>
        <w:widowControl/>
        <w:rPr>
          <w:b/>
          <w:bCs/>
        </w:rPr>
      </w:pPr>
      <w:r w:rsidRPr="002B65F7">
        <w:rPr>
          <w:b/>
          <w:bCs/>
        </w:rPr>
        <w:t>Tableau</w:t>
      </w:r>
      <w:r w:rsidR="00D41714" w:rsidRPr="002B65F7">
        <w:rPr>
          <w:b/>
          <w:bCs/>
        </w:rPr>
        <w:t> </w:t>
      </w:r>
      <w:r w:rsidR="000F0A68">
        <w:rPr>
          <w:b/>
          <w:bCs/>
        </w:rPr>
        <w:t>5</w:t>
      </w:r>
      <w:r w:rsidR="005A6F8F" w:rsidRPr="002B65F7">
        <w:rPr>
          <w:b/>
          <w:bCs/>
        </w:rPr>
        <w:t xml:space="preserve">. </w:t>
      </w:r>
      <w:r w:rsidRPr="002B65F7">
        <w:rPr>
          <w:b/>
          <w:bCs/>
        </w:rPr>
        <w:t>Maintien de la réponse et de la rémission cliniques dans l’étude IM-UNITI (semaine</w:t>
      </w:r>
      <w:r w:rsidR="009526F6" w:rsidRPr="002B65F7">
        <w:rPr>
          <w:b/>
          <w:bCs/>
        </w:rPr>
        <w:t> </w:t>
      </w:r>
      <w:r w:rsidRPr="002B65F7">
        <w:rPr>
          <w:b/>
          <w:bCs/>
        </w:rPr>
        <w:t>44 ; 52 semaines après l’initiation avec la dose d’induction)</w:t>
      </w:r>
    </w:p>
    <w:p w14:paraId="2717D26C" w14:textId="77777777" w:rsidR="009526F6" w:rsidRPr="002B65F7" w:rsidRDefault="009526F6" w:rsidP="00496255">
      <w:pPr>
        <w:keepNext/>
        <w:widowControl/>
      </w:pPr>
    </w:p>
    <w:tbl>
      <w:tblPr>
        <w:tblW w:w="50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5"/>
        <w:gridCol w:w="1297"/>
        <w:gridCol w:w="1639"/>
        <w:gridCol w:w="1604"/>
      </w:tblGrid>
      <w:tr w:rsidR="00092F83" w:rsidRPr="002B65F7" w14:paraId="03B57DC8" w14:textId="77777777" w:rsidTr="000238BD">
        <w:trPr>
          <w:cantSplit/>
          <w:trHeight w:val="1264"/>
          <w:tblHeader/>
        </w:trPr>
        <w:tc>
          <w:tcPr>
            <w:tcW w:w="2504" w:type="pct"/>
            <w:tcBorders>
              <w:top w:val="single" w:sz="4" w:space="0" w:color="auto"/>
            </w:tcBorders>
          </w:tcPr>
          <w:p w14:paraId="03B57DBE" w14:textId="77777777" w:rsidR="00092F83" w:rsidRPr="002B65F7" w:rsidRDefault="00092F83" w:rsidP="00496255">
            <w:pPr>
              <w:widowControl/>
              <w:adjustRightInd w:val="0"/>
              <w:snapToGrid w:val="0"/>
            </w:pPr>
          </w:p>
        </w:tc>
        <w:tc>
          <w:tcPr>
            <w:tcW w:w="713" w:type="pct"/>
          </w:tcPr>
          <w:p w14:paraId="03B57DBF" w14:textId="77777777" w:rsidR="00092F83" w:rsidRPr="002B65F7" w:rsidRDefault="00C31740" w:rsidP="00496255">
            <w:pPr>
              <w:widowControl/>
              <w:adjustRightInd w:val="0"/>
              <w:snapToGrid w:val="0"/>
              <w:jc w:val="center"/>
              <w:rPr>
                <w:b/>
                <w:bCs/>
              </w:rPr>
            </w:pPr>
            <w:r w:rsidRPr="002B65F7">
              <w:rPr>
                <w:b/>
                <w:bCs/>
              </w:rPr>
              <w:t>Placebo*</w:t>
            </w:r>
          </w:p>
          <w:p w14:paraId="03B57DC0" w14:textId="77777777" w:rsidR="00092F83" w:rsidRPr="002B65F7" w:rsidRDefault="00092F83" w:rsidP="00496255">
            <w:pPr>
              <w:widowControl/>
              <w:adjustRightInd w:val="0"/>
              <w:snapToGrid w:val="0"/>
              <w:jc w:val="center"/>
              <w:rPr>
                <w:b/>
                <w:bCs/>
              </w:rPr>
            </w:pPr>
          </w:p>
          <w:p w14:paraId="03B57DC1" w14:textId="77777777" w:rsidR="00092F83" w:rsidRPr="002B65F7" w:rsidRDefault="00092F83" w:rsidP="00496255">
            <w:pPr>
              <w:widowControl/>
              <w:adjustRightInd w:val="0"/>
              <w:snapToGrid w:val="0"/>
              <w:jc w:val="center"/>
              <w:rPr>
                <w:b/>
                <w:bCs/>
              </w:rPr>
            </w:pPr>
          </w:p>
          <w:p w14:paraId="03B57DC2" w14:textId="77777777" w:rsidR="00092F83" w:rsidRPr="002B65F7" w:rsidRDefault="00092F83" w:rsidP="00496255">
            <w:pPr>
              <w:widowControl/>
              <w:adjustRightInd w:val="0"/>
              <w:snapToGrid w:val="0"/>
              <w:jc w:val="center"/>
              <w:rPr>
                <w:b/>
                <w:bCs/>
              </w:rPr>
            </w:pPr>
          </w:p>
          <w:p w14:paraId="03B57DC3" w14:textId="38CD840A" w:rsidR="00092F83" w:rsidRPr="002B65F7" w:rsidRDefault="00C31740" w:rsidP="00496255">
            <w:pPr>
              <w:widowControl/>
              <w:adjustRightInd w:val="0"/>
              <w:snapToGrid w:val="0"/>
              <w:jc w:val="center"/>
            </w:pPr>
            <w:r w:rsidRPr="002B65F7">
              <w:rPr>
                <w:b/>
                <w:bCs/>
              </w:rPr>
              <w:t>N</w:t>
            </w:r>
            <w:r w:rsidR="005F7D16" w:rsidRPr="002B65F7">
              <w:rPr>
                <w:b/>
                <w:bCs/>
              </w:rPr>
              <w:t> </w:t>
            </w:r>
            <w:r w:rsidRPr="002B65F7">
              <w:rPr>
                <w:b/>
                <w:bCs/>
              </w:rPr>
              <w:t>=</w:t>
            </w:r>
            <w:r w:rsidR="005F7D16" w:rsidRPr="002B65F7">
              <w:rPr>
                <w:b/>
                <w:bCs/>
              </w:rPr>
              <w:t> </w:t>
            </w:r>
            <w:r w:rsidRPr="002B65F7">
              <w:rPr>
                <w:b/>
                <w:bCs/>
              </w:rPr>
              <w:t>131</w:t>
            </w:r>
            <w:r w:rsidRPr="002B65F7">
              <w:rPr>
                <w:b/>
                <w:bCs/>
                <w:vertAlign w:val="superscript"/>
              </w:rPr>
              <w:t>†</w:t>
            </w:r>
          </w:p>
        </w:tc>
        <w:tc>
          <w:tcPr>
            <w:tcW w:w="901" w:type="pct"/>
          </w:tcPr>
          <w:p w14:paraId="61215D27" w14:textId="574E80E8" w:rsidR="008509A1" w:rsidRPr="002B65F7" w:rsidRDefault="00C31740" w:rsidP="00496255">
            <w:pPr>
              <w:widowControl/>
              <w:adjustRightInd w:val="0"/>
              <w:snapToGrid w:val="0"/>
              <w:jc w:val="center"/>
              <w:rPr>
                <w:b/>
                <w:bCs/>
              </w:rPr>
            </w:pPr>
            <w:r w:rsidRPr="002B65F7">
              <w:rPr>
                <w:b/>
                <w:bCs/>
              </w:rPr>
              <w:t>90</w:t>
            </w:r>
            <w:r w:rsidR="005F7D16" w:rsidRPr="002B65F7">
              <w:rPr>
                <w:b/>
                <w:bCs/>
              </w:rPr>
              <w:t> </w:t>
            </w:r>
            <w:r w:rsidRPr="002B65F7">
              <w:rPr>
                <w:b/>
                <w:bCs/>
              </w:rPr>
              <w:t>mg d’</w:t>
            </w:r>
            <w:r w:rsidR="0071390F" w:rsidRPr="002B65F7">
              <w:rPr>
                <w:b/>
                <w:bCs/>
              </w:rPr>
              <w:t>ustekinumab</w:t>
            </w:r>
          </w:p>
          <w:p w14:paraId="22D536F5" w14:textId="2303BAC8" w:rsidR="009526F6" w:rsidRPr="002B65F7" w:rsidRDefault="00C31740" w:rsidP="00496255">
            <w:pPr>
              <w:widowControl/>
              <w:adjustRightInd w:val="0"/>
              <w:snapToGrid w:val="0"/>
              <w:jc w:val="center"/>
              <w:rPr>
                <w:b/>
                <w:bCs/>
              </w:rPr>
            </w:pPr>
            <w:r w:rsidRPr="002B65F7">
              <w:rPr>
                <w:b/>
                <w:bCs/>
              </w:rPr>
              <w:t>toutes les</w:t>
            </w:r>
            <w:r w:rsidR="00E139F8" w:rsidRPr="002B65F7">
              <w:rPr>
                <w:b/>
                <w:bCs/>
              </w:rPr>
              <w:t xml:space="preserve"> </w:t>
            </w:r>
            <w:r w:rsidRPr="002B65F7">
              <w:rPr>
                <w:b/>
                <w:bCs/>
              </w:rPr>
              <w:t>8</w:t>
            </w:r>
            <w:r w:rsidR="005F7D16" w:rsidRPr="002B65F7">
              <w:rPr>
                <w:b/>
                <w:bCs/>
              </w:rPr>
              <w:t> </w:t>
            </w:r>
            <w:r w:rsidRPr="002B65F7">
              <w:rPr>
                <w:b/>
                <w:bCs/>
              </w:rPr>
              <w:t>semaines</w:t>
            </w:r>
          </w:p>
          <w:p w14:paraId="03B57DC5" w14:textId="351A0A27" w:rsidR="00092F83" w:rsidRPr="002B65F7" w:rsidRDefault="00C31740" w:rsidP="00496255">
            <w:pPr>
              <w:widowControl/>
              <w:adjustRightInd w:val="0"/>
              <w:snapToGrid w:val="0"/>
              <w:jc w:val="center"/>
            </w:pPr>
            <w:r w:rsidRPr="002B65F7">
              <w:rPr>
                <w:b/>
                <w:bCs/>
              </w:rPr>
              <w:t>N</w:t>
            </w:r>
            <w:r w:rsidR="005F7D16" w:rsidRPr="002B65F7">
              <w:rPr>
                <w:b/>
                <w:bCs/>
              </w:rPr>
              <w:t> </w:t>
            </w:r>
            <w:r w:rsidRPr="002B65F7">
              <w:rPr>
                <w:b/>
                <w:bCs/>
              </w:rPr>
              <w:t>=</w:t>
            </w:r>
            <w:r w:rsidR="005F7D16" w:rsidRPr="002B65F7">
              <w:rPr>
                <w:b/>
                <w:bCs/>
              </w:rPr>
              <w:t> </w:t>
            </w:r>
            <w:r w:rsidRPr="002B65F7">
              <w:rPr>
                <w:b/>
                <w:bCs/>
              </w:rPr>
              <w:t>128</w:t>
            </w:r>
            <w:r w:rsidRPr="002B65F7">
              <w:rPr>
                <w:b/>
                <w:bCs/>
                <w:vertAlign w:val="superscript"/>
              </w:rPr>
              <w:t>†</w:t>
            </w:r>
          </w:p>
        </w:tc>
        <w:tc>
          <w:tcPr>
            <w:tcW w:w="882" w:type="pct"/>
          </w:tcPr>
          <w:p w14:paraId="1CB3AF0A" w14:textId="4B29AD6D" w:rsidR="008509A1" w:rsidRPr="002B65F7" w:rsidRDefault="00C31740" w:rsidP="00496255">
            <w:pPr>
              <w:widowControl/>
              <w:adjustRightInd w:val="0"/>
              <w:snapToGrid w:val="0"/>
              <w:jc w:val="center"/>
              <w:rPr>
                <w:b/>
                <w:bCs/>
              </w:rPr>
            </w:pPr>
            <w:r w:rsidRPr="002B65F7">
              <w:rPr>
                <w:b/>
                <w:bCs/>
              </w:rPr>
              <w:t>90</w:t>
            </w:r>
            <w:r w:rsidR="005F7D16" w:rsidRPr="002B65F7">
              <w:rPr>
                <w:b/>
                <w:bCs/>
              </w:rPr>
              <w:t> </w:t>
            </w:r>
            <w:r w:rsidRPr="002B65F7">
              <w:rPr>
                <w:b/>
                <w:bCs/>
              </w:rPr>
              <w:t>mg d’</w:t>
            </w:r>
            <w:r w:rsidR="0071390F" w:rsidRPr="002B65F7">
              <w:rPr>
                <w:b/>
                <w:bCs/>
              </w:rPr>
              <w:t>ustekinumab</w:t>
            </w:r>
          </w:p>
          <w:p w14:paraId="5F533A00" w14:textId="24A302EB" w:rsidR="009526F6" w:rsidRPr="002B65F7" w:rsidRDefault="00C31740" w:rsidP="00496255">
            <w:pPr>
              <w:widowControl/>
              <w:adjustRightInd w:val="0"/>
              <w:snapToGrid w:val="0"/>
              <w:jc w:val="center"/>
              <w:rPr>
                <w:b/>
                <w:bCs/>
              </w:rPr>
            </w:pPr>
            <w:r w:rsidRPr="002B65F7">
              <w:rPr>
                <w:b/>
                <w:bCs/>
              </w:rPr>
              <w:t>toutes les</w:t>
            </w:r>
            <w:r w:rsidR="00E139F8" w:rsidRPr="002B65F7">
              <w:rPr>
                <w:b/>
                <w:bCs/>
              </w:rPr>
              <w:t xml:space="preserve"> </w:t>
            </w:r>
            <w:r w:rsidRPr="002B65F7">
              <w:rPr>
                <w:b/>
                <w:bCs/>
              </w:rPr>
              <w:t>12</w:t>
            </w:r>
            <w:r w:rsidR="005F7D16" w:rsidRPr="002B65F7">
              <w:rPr>
                <w:b/>
                <w:bCs/>
              </w:rPr>
              <w:t> </w:t>
            </w:r>
            <w:r w:rsidRPr="002B65F7">
              <w:rPr>
                <w:b/>
                <w:bCs/>
              </w:rPr>
              <w:t>semaines</w:t>
            </w:r>
          </w:p>
          <w:p w14:paraId="03B57DC7" w14:textId="7CB4FDB8" w:rsidR="00092F83" w:rsidRPr="002B65F7" w:rsidRDefault="00C31740" w:rsidP="00496255">
            <w:pPr>
              <w:widowControl/>
              <w:adjustRightInd w:val="0"/>
              <w:snapToGrid w:val="0"/>
              <w:jc w:val="center"/>
            </w:pPr>
            <w:r w:rsidRPr="002B65F7">
              <w:rPr>
                <w:b/>
                <w:bCs/>
              </w:rPr>
              <w:t>N</w:t>
            </w:r>
            <w:r w:rsidR="005F7D16" w:rsidRPr="002B65F7">
              <w:rPr>
                <w:b/>
                <w:bCs/>
              </w:rPr>
              <w:t> </w:t>
            </w:r>
            <w:r w:rsidRPr="002B65F7">
              <w:rPr>
                <w:b/>
                <w:bCs/>
              </w:rPr>
              <w:t>=</w:t>
            </w:r>
            <w:r w:rsidR="005F7D16" w:rsidRPr="002B65F7">
              <w:rPr>
                <w:b/>
                <w:bCs/>
              </w:rPr>
              <w:t> </w:t>
            </w:r>
            <w:r w:rsidRPr="002B65F7">
              <w:rPr>
                <w:b/>
                <w:bCs/>
              </w:rPr>
              <w:t>129</w:t>
            </w:r>
            <w:r w:rsidRPr="002B65F7">
              <w:rPr>
                <w:b/>
                <w:bCs/>
                <w:vertAlign w:val="superscript"/>
              </w:rPr>
              <w:t>†</w:t>
            </w:r>
          </w:p>
        </w:tc>
      </w:tr>
      <w:tr w:rsidR="00092F83" w:rsidRPr="002B65F7" w14:paraId="03B57DCD" w14:textId="77777777" w:rsidTr="00F12460">
        <w:trPr>
          <w:cantSplit/>
          <w:trHeight w:val="250"/>
        </w:trPr>
        <w:tc>
          <w:tcPr>
            <w:tcW w:w="2504" w:type="pct"/>
          </w:tcPr>
          <w:p w14:paraId="03B57DC9" w14:textId="77777777" w:rsidR="00092F83" w:rsidRPr="002B65F7" w:rsidRDefault="00C31740" w:rsidP="00496255">
            <w:pPr>
              <w:widowControl/>
              <w:adjustRightInd w:val="0"/>
              <w:snapToGrid w:val="0"/>
            </w:pPr>
            <w:r w:rsidRPr="002B65F7">
              <w:t>Rémission clinique</w:t>
            </w:r>
          </w:p>
        </w:tc>
        <w:tc>
          <w:tcPr>
            <w:tcW w:w="713" w:type="pct"/>
          </w:tcPr>
          <w:p w14:paraId="03B57DCA" w14:textId="77777777" w:rsidR="00092F83" w:rsidRPr="002B65F7" w:rsidRDefault="00C31740" w:rsidP="00496255">
            <w:pPr>
              <w:widowControl/>
              <w:adjustRightInd w:val="0"/>
              <w:snapToGrid w:val="0"/>
              <w:jc w:val="center"/>
            </w:pPr>
            <w:r w:rsidRPr="002B65F7">
              <w:t>36%</w:t>
            </w:r>
          </w:p>
        </w:tc>
        <w:tc>
          <w:tcPr>
            <w:tcW w:w="901" w:type="pct"/>
          </w:tcPr>
          <w:p w14:paraId="03B57DCB" w14:textId="77777777" w:rsidR="00092F83" w:rsidRPr="002B65F7" w:rsidRDefault="00C31740" w:rsidP="00496255">
            <w:pPr>
              <w:widowControl/>
              <w:adjustRightInd w:val="0"/>
              <w:snapToGrid w:val="0"/>
              <w:jc w:val="center"/>
            </w:pPr>
            <w:r w:rsidRPr="002B65F7">
              <w:t>53%</w:t>
            </w:r>
            <w:r w:rsidRPr="002B65F7">
              <w:rPr>
                <w:vertAlign w:val="superscript"/>
              </w:rPr>
              <w:t>a</w:t>
            </w:r>
          </w:p>
        </w:tc>
        <w:tc>
          <w:tcPr>
            <w:tcW w:w="882" w:type="pct"/>
          </w:tcPr>
          <w:p w14:paraId="03B57DCC" w14:textId="77777777" w:rsidR="00092F83" w:rsidRPr="002B65F7" w:rsidRDefault="00C31740" w:rsidP="00496255">
            <w:pPr>
              <w:widowControl/>
              <w:adjustRightInd w:val="0"/>
              <w:snapToGrid w:val="0"/>
              <w:jc w:val="center"/>
            </w:pPr>
            <w:r w:rsidRPr="002B65F7">
              <w:t>49%</w:t>
            </w:r>
            <w:r w:rsidRPr="002B65F7">
              <w:rPr>
                <w:vertAlign w:val="superscript"/>
              </w:rPr>
              <w:t>b</w:t>
            </w:r>
          </w:p>
        </w:tc>
      </w:tr>
      <w:tr w:rsidR="00092F83" w:rsidRPr="002B65F7" w14:paraId="03B57DD2" w14:textId="77777777" w:rsidTr="00F12460">
        <w:trPr>
          <w:cantSplit/>
          <w:trHeight w:val="251"/>
        </w:trPr>
        <w:tc>
          <w:tcPr>
            <w:tcW w:w="2504" w:type="pct"/>
          </w:tcPr>
          <w:p w14:paraId="03B57DCE" w14:textId="77777777" w:rsidR="00092F83" w:rsidRPr="002B65F7" w:rsidRDefault="00C31740" w:rsidP="00496255">
            <w:pPr>
              <w:widowControl/>
              <w:adjustRightInd w:val="0"/>
              <w:snapToGrid w:val="0"/>
            </w:pPr>
            <w:r w:rsidRPr="002B65F7">
              <w:t>Réponse clinique</w:t>
            </w:r>
          </w:p>
        </w:tc>
        <w:tc>
          <w:tcPr>
            <w:tcW w:w="713" w:type="pct"/>
          </w:tcPr>
          <w:p w14:paraId="03B57DCF" w14:textId="77777777" w:rsidR="00092F83" w:rsidRPr="002B65F7" w:rsidRDefault="00C31740" w:rsidP="00496255">
            <w:pPr>
              <w:widowControl/>
              <w:adjustRightInd w:val="0"/>
              <w:snapToGrid w:val="0"/>
              <w:jc w:val="center"/>
            </w:pPr>
            <w:r w:rsidRPr="002B65F7">
              <w:t>44%</w:t>
            </w:r>
          </w:p>
        </w:tc>
        <w:tc>
          <w:tcPr>
            <w:tcW w:w="901" w:type="pct"/>
          </w:tcPr>
          <w:p w14:paraId="03B57DD0" w14:textId="77777777" w:rsidR="00092F83" w:rsidRPr="002B65F7" w:rsidRDefault="00C31740" w:rsidP="00496255">
            <w:pPr>
              <w:widowControl/>
              <w:adjustRightInd w:val="0"/>
              <w:snapToGrid w:val="0"/>
              <w:jc w:val="center"/>
            </w:pPr>
            <w:r w:rsidRPr="002B65F7">
              <w:t>59%</w:t>
            </w:r>
            <w:r w:rsidRPr="002B65F7">
              <w:rPr>
                <w:vertAlign w:val="superscript"/>
              </w:rPr>
              <w:t>b</w:t>
            </w:r>
          </w:p>
        </w:tc>
        <w:tc>
          <w:tcPr>
            <w:tcW w:w="882" w:type="pct"/>
          </w:tcPr>
          <w:p w14:paraId="03B57DD1" w14:textId="77777777" w:rsidR="00092F83" w:rsidRPr="002B65F7" w:rsidRDefault="00C31740" w:rsidP="00496255">
            <w:pPr>
              <w:widowControl/>
              <w:adjustRightInd w:val="0"/>
              <w:snapToGrid w:val="0"/>
              <w:jc w:val="center"/>
            </w:pPr>
            <w:r w:rsidRPr="002B65F7">
              <w:t>58%</w:t>
            </w:r>
            <w:r w:rsidRPr="002B65F7">
              <w:rPr>
                <w:vertAlign w:val="superscript"/>
              </w:rPr>
              <w:t>b</w:t>
            </w:r>
          </w:p>
        </w:tc>
      </w:tr>
      <w:tr w:rsidR="00092F83" w:rsidRPr="002B65F7" w14:paraId="03B57DD7" w14:textId="77777777" w:rsidTr="00F12460">
        <w:trPr>
          <w:cantSplit/>
          <w:trHeight w:val="254"/>
        </w:trPr>
        <w:tc>
          <w:tcPr>
            <w:tcW w:w="2504" w:type="pct"/>
          </w:tcPr>
          <w:p w14:paraId="03B57DD3" w14:textId="77777777" w:rsidR="00092F83" w:rsidRPr="002B65F7" w:rsidRDefault="00C31740" w:rsidP="00496255">
            <w:pPr>
              <w:widowControl/>
              <w:adjustRightInd w:val="0"/>
              <w:snapToGrid w:val="0"/>
            </w:pPr>
            <w:r w:rsidRPr="002B65F7">
              <w:t>Rémission clinique sans corticoïdes</w:t>
            </w:r>
          </w:p>
        </w:tc>
        <w:tc>
          <w:tcPr>
            <w:tcW w:w="713" w:type="pct"/>
          </w:tcPr>
          <w:p w14:paraId="03B57DD4" w14:textId="77777777" w:rsidR="00092F83" w:rsidRPr="002B65F7" w:rsidRDefault="00C31740" w:rsidP="00496255">
            <w:pPr>
              <w:widowControl/>
              <w:adjustRightInd w:val="0"/>
              <w:snapToGrid w:val="0"/>
              <w:jc w:val="center"/>
            </w:pPr>
            <w:r w:rsidRPr="002B65F7">
              <w:t>30%</w:t>
            </w:r>
          </w:p>
        </w:tc>
        <w:tc>
          <w:tcPr>
            <w:tcW w:w="901" w:type="pct"/>
          </w:tcPr>
          <w:p w14:paraId="03B57DD5" w14:textId="77777777" w:rsidR="00092F83" w:rsidRPr="002B65F7" w:rsidRDefault="00C31740" w:rsidP="00496255">
            <w:pPr>
              <w:widowControl/>
              <w:adjustRightInd w:val="0"/>
              <w:snapToGrid w:val="0"/>
              <w:jc w:val="center"/>
            </w:pPr>
            <w:r w:rsidRPr="002B65F7">
              <w:t>47%</w:t>
            </w:r>
            <w:r w:rsidRPr="002B65F7">
              <w:rPr>
                <w:vertAlign w:val="superscript"/>
              </w:rPr>
              <w:t>a</w:t>
            </w:r>
          </w:p>
        </w:tc>
        <w:tc>
          <w:tcPr>
            <w:tcW w:w="882" w:type="pct"/>
          </w:tcPr>
          <w:p w14:paraId="03B57DD6" w14:textId="77777777" w:rsidR="00092F83" w:rsidRPr="002B65F7" w:rsidRDefault="00C31740" w:rsidP="00496255">
            <w:pPr>
              <w:widowControl/>
              <w:adjustRightInd w:val="0"/>
              <w:snapToGrid w:val="0"/>
              <w:jc w:val="center"/>
            </w:pPr>
            <w:r w:rsidRPr="002B65F7">
              <w:t>43%</w:t>
            </w:r>
            <w:r w:rsidRPr="002B65F7">
              <w:rPr>
                <w:vertAlign w:val="superscript"/>
              </w:rPr>
              <w:t>c</w:t>
            </w:r>
          </w:p>
        </w:tc>
      </w:tr>
      <w:tr w:rsidR="00092F83" w:rsidRPr="002B65F7" w14:paraId="03B57DDC" w14:textId="77777777" w:rsidTr="00F12460">
        <w:trPr>
          <w:cantSplit/>
          <w:trHeight w:val="251"/>
        </w:trPr>
        <w:tc>
          <w:tcPr>
            <w:tcW w:w="2504" w:type="pct"/>
          </w:tcPr>
          <w:p w14:paraId="03B57DD8" w14:textId="77777777" w:rsidR="00092F83" w:rsidRPr="002B65F7" w:rsidRDefault="00C31740" w:rsidP="00496255">
            <w:pPr>
              <w:widowControl/>
              <w:adjustRightInd w:val="0"/>
              <w:snapToGrid w:val="0"/>
            </w:pPr>
            <w:r w:rsidRPr="002B65F7">
              <w:t>Rémission clinique chez les patients :</w:t>
            </w:r>
          </w:p>
        </w:tc>
        <w:tc>
          <w:tcPr>
            <w:tcW w:w="713" w:type="pct"/>
          </w:tcPr>
          <w:p w14:paraId="03B57DD9" w14:textId="77777777" w:rsidR="00092F83" w:rsidRPr="002B65F7" w:rsidRDefault="00092F83" w:rsidP="00496255">
            <w:pPr>
              <w:widowControl/>
              <w:adjustRightInd w:val="0"/>
              <w:snapToGrid w:val="0"/>
              <w:jc w:val="center"/>
            </w:pPr>
          </w:p>
        </w:tc>
        <w:tc>
          <w:tcPr>
            <w:tcW w:w="901" w:type="pct"/>
          </w:tcPr>
          <w:p w14:paraId="03B57DDA" w14:textId="77777777" w:rsidR="00092F83" w:rsidRPr="002B65F7" w:rsidRDefault="00092F83" w:rsidP="00496255">
            <w:pPr>
              <w:widowControl/>
              <w:adjustRightInd w:val="0"/>
              <w:snapToGrid w:val="0"/>
              <w:jc w:val="center"/>
            </w:pPr>
          </w:p>
        </w:tc>
        <w:tc>
          <w:tcPr>
            <w:tcW w:w="882" w:type="pct"/>
          </w:tcPr>
          <w:p w14:paraId="03B57DDB" w14:textId="77777777" w:rsidR="00092F83" w:rsidRPr="002B65F7" w:rsidRDefault="00092F83" w:rsidP="00496255">
            <w:pPr>
              <w:widowControl/>
              <w:adjustRightInd w:val="0"/>
              <w:snapToGrid w:val="0"/>
              <w:jc w:val="center"/>
            </w:pPr>
          </w:p>
        </w:tc>
      </w:tr>
      <w:tr w:rsidR="00092F83" w:rsidRPr="002B65F7" w14:paraId="03B57DE1" w14:textId="77777777" w:rsidTr="00F12460">
        <w:trPr>
          <w:cantSplit/>
          <w:trHeight w:val="170"/>
        </w:trPr>
        <w:tc>
          <w:tcPr>
            <w:tcW w:w="2504" w:type="pct"/>
          </w:tcPr>
          <w:p w14:paraId="03B57DDD" w14:textId="77777777" w:rsidR="00092F83" w:rsidRPr="002B65F7" w:rsidRDefault="00C31740" w:rsidP="00496255">
            <w:pPr>
              <w:widowControl/>
              <w:adjustRightInd w:val="0"/>
              <w:snapToGrid w:val="0"/>
            </w:pPr>
            <w:r w:rsidRPr="002B65F7">
              <w:t>en rémission au début du traitement d’entretien</w:t>
            </w:r>
          </w:p>
        </w:tc>
        <w:tc>
          <w:tcPr>
            <w:tcW w:w="713" w:type="pct"/>
          </w:tcPr>
          <w:p w14:paraId="03B57DDE" w14:textId="77777777" w:rsidR="00092F83" w:rsidRPr="002B65F7" w:rsidRDefault="00C31740" w:rsidP="00496255">
            <w:pPr>
              <w:widowControl/>
              <w:adjustRightInd w:val="0"/>
              <w:snapToGrid w:val="0"/>
              <w:jc w:val="center"/>
            </w:pPr>
            <w:r w:rsidRPr="002B65F7">
              <w:t>46% (36/79)</w:t>
            </w:r>
          </w:p>
        </w:tc>
        <w:tc>
          <w:tcPr>
            <w:tcW w:w="901" w:type="pct"/>
          </w:tcPr>
          <w:p w14:paraId="03B57DDF" w14:textId="77777777" w:rsidR="00092F83" w:rsidRPr="002B65F7" w:rsidRDefault="00C31740" w:rsidP="00496255">
            <w:pPr>
              <w:widowControl/>
              <w:adjustRightInd w:val="0"/>
              <w:snapToGrid w:val="0"/>
              <w:jc w:val="center"/>
            </w:pPr>
            <w:r w:rsidRPr="002B65F7">
              <w:t>67% (52/78)</w:t>
            </w:r>
            <w:r w:rsidRPr="002B65F7">
              <w:rPr>
                <w:vertAlign w:val="superscript"/>
              </w:rPr>
              <w:t>a</w:t>
            </w:r>
          </w:p>
        </w:tc>
        <w:tc>
          <w:tcPr>
            <w:tcW w:w="882" w:type="pct"/>
          </w:tcPr>
          <w:p w14:paraId="03B57DE0" w14:textId="77777777" w:rsidR="00092F83" w:rsidRPr="002B65F7" w:rsidRDefault="00C31740" w:rsidP="00496255">
            <w:pPr>
              <w:widowControl/>
              <w:adjustRightInd w:val="0"/>
              <w:snapToGrid w:val="0"/>
              <w:jc w:val="center"/>
            </w:pPr>
            <w:r w:rsidRPr="002B65F7">
              <w:t>56% (44/78)</w:t>
            </w:r>
          </w:p>
        </w:tc>
      </w:tr>
      <w:tr w:rsidR="00092F83" w:rsidRPr="002B65F7" w14:paraId="03B57DE6" w14:textId="77777777" w:rsidTr="00F12460">
        <w:trPr>
          <w:cantSplit/>
          <w:trHeight w:val="253"/>
        </w:trPr>
        <w:tc>
          <w:tcPr>
            <w:tcW w:w="2504" w:type="pct"/>
          </w:tcPr>
          <w:p w14:paraId="03B57DE2" w14:textId="77777777" w:rsidR="00092F83" w:rsidRPr="002B65F7" w:rsidRDefault="00C31740" w:rsidP="00496255">
            <w:pPr>
              <w:widowControl/>
              <w:adjustRightInd w:val="0"/>
              <w:snapToGrid w:val="0"/>
            </w:pPr>
            <w:r w:rsidRPr="002B65F7">
              <w:t>issus de l’étude CRD3002</w:t>
            </w:r>
            <w:r w:rsidRPr="002B65F7">
              <w:rPr>
                <w:vertAlign w:val="superscript"/>
              </w:rPr>
              <w:t>‡</w:t>
            </w:r>
          </w:p>
        </w:tc>
        <w:tc>
          <w:tcPr>
            <w:tcW w:w="713" w:type="pct"/>
          </w:tcPr>
          <w:p w14:paraId="03B57DE3" w14:textId="77777777" w:rsidR="00092F83" w:rsidRPr="002B65F7" w:rsidRDefault="00C31740" w:rsidP="00496255">
            <w:pPr>
              <w:widowControl/>
              <w:adjustRightInd w:val="0"/>
              <w:snapToGrid w:val="0"/>
              <w:jc w:val="center"/>
            </w:pPr>
            <w:r w:rsidRPr="002B65F7">
              <w:t>44% (31/70)</w:t>
            </w:r>
          </w:p>
        </w:tc>
        <w:tc>
          <w:tcPr>
            <w:tcW w:w="901" w:type="pct"/>
          </w:tcPr>
          <w:p w14:paraId="03B57DE4" w14:textId="77777777" w:rsidR="00092F83" w:rsidRPr="002B65F7" w:rsidRDefault="00C31740" w:rsidP="00496255">
            <w:pPr>
              <w:widowControl/>
              <w:adjustRightInd w:val="0"/>
              <w:snapToGrid w:val="0"/>
              <w:jc w:val="center"/>
            </w:pPr>
            <w:r w:rsidRPr="002B65F7">
              <w:t>63% (45/72)</w:t>
            </w:r>
            <w:r w:rsidRPr="002B65F7">
              <w:rPr>
                <w:vertAlign w:val="superscript"/>
              </w:rPr>
              <w:t>c</w:t>
            </w:r>
          </w:p>
        </w:tc>
        <w:tc>
          <w:tcPr>
            <w:tcW w:w="882" w:type="pct"/>
          </w:tcPr>
          <w:p w14:paraId="03B57DE5" w14:textId="77777777" w:rsidR="00092F83" w:rsidRPr="002B65F7" w:rsidRDefault="00C31740" w:rsidP="00496255">
            <w:pPr>
              <w:widowControl/>
              <w:adjustRightInd w:val="0"/>
              <w:snapToGrid w:val="0"/>
              <w:jc w:val="center"/>
            </w:pPr>
            <w:r w:rsidRPr="002B65F7">
              <w:t>57% (41/72)</w:t>
            </w:r>
          </w:p>
        </w:tc>
      </w:tr>
      <w:tr w:rsidR="00092F83" w:rsidRPr="002B65F7" w14:paraId="03B57DEB" w14:textId="77777777" w:rsidTr="00F12460">
        <w:trPr>
          <w:cantSplit/>
          <w:trHeight w:val="253"/>
        </w:trPr>
        <w:tc>
          <w:tcPr>
            <w:tcW w:w="2504" w:type="pct"/>
          </w:tcPr>
          <w:p w14:paraId="03B57DE7" w14:textId="77777777" w:rsidR="00092F83" w:rsidRPr="002B65F7" w:rsidRDefault="00C31740" w:rsidP="00496255">
            <w:pPr>
              <w:widowControl/>
              <w:adjustRightInd w:val="0"/>
              <w:snapToGrid w:val="0"/>
            </w:pPr>
            <w:r w:rsidRPr="002B65F7">
              <w:t>naïfs d’anti-TNFα</w:t>
            </w:r>
          </w:p>
        </w:tc>
        <w:tc>
          <w:tcPr>
            <w:tcW w:w="713" w:type="pct"/>
          </w:tcPr>
          <w:p w14:paraId="03B57DE8" w14:textId="77777777" w:rsidR="00092F83" w:rsidRPr="002B65F7" w:rsidRDefault="00C31740" w:rsidP="00496255">
            <w:pPr>
              <w:widowControl/>
              <w:adjustRightInd w:val="0"/>
              <w:snapToGrid w:val="0"/>
              <w:jc w:val="center"/>
            </w:pPr>
            <w:r w:rsidRPr="002B65F7">
              <w:t>49% (25/51)</w:t>
            </w:r>
          </w:p>
        </w:tc>
        <w:tc>
          <w:tcPr>
            <w:tcW w:w="901" w:type="pct"/>
          </w:tcPr>
          <w:p w14:paraId="03B57DE9" w14:textId="77777777" w:rsidR="00092F83" w:rsidRPr="002B65F7" w:rsidRDefault="00C31740" w:rsidP="00496255">
            <w:pPr>
              <w:widowControl/>
              <w:adjustRightInd w:val="0"/>
              <w:snapToGrid w:val="0"/>
              <w:jc w:val="center"/>
            </w:pPr>
            <w:r w:rsidRPr="002B65F7">
              <w:t>65% (34/52)</w:t>
            </w:r>
            <w:r w:rsidRPr="002B65F7">
              <w:rPr>
                <w:vertAlign w:val="superscript"/>
              </w:rPr>
              <w:t>c</w:t>
            </w:r>
          </w:p>
        </w:tc>
        <w:tc>
          <w:tcPr>
            <w:tcW w:w="882" w:type="pct"/>
          </w:tcPr>
          <w:p w14:paraId="03B57DEA" w14:textId="77777777" w:rsidR="00092F83" w:rsidRPr="002B65F7" w:rsidRDefault="00C31740" w:rsidP="00496255">
            <w:pPr>
              <w:widowControl/>
              <w:adjustRightInd w:val="0"/>
              <w:snapToGrid w:val="0"/>
              <w:jc w:val="center"/>
            </w:pPr>
            <w:r w:rsidRPr="002B65F7">
              <w:t>57% (30/53)</w:t>
            </w:r>
          </w:p>
        </w:tc>
      </w:tr>
      <w:tr w:rsidR="00092F83" w:rsidRPr="002B65F7" w14:paraId="03B57DF0" w14:textId="77777777" w:rsidTr="00F12460">
        <w:trPr>
          <w:cantSplit/>
          <w:trHeight w:val="251"/>
        </w:trPr>
        <w:tc>
          <w:tcPr>
            <w:tcW w:w="2504" w:type="pct"/>
          </w:tcPr>
          <w:p w14:paraId="03B57DEC" w14:textId="77777777" w:rsidR="00092F83" w:rsidRPr="002B65F7" w:rsidRDefault="00C31740" w:rsidP="00496255">
            <w:pPr>
              <w:widowControl/>
              <w:adjustRightInd w:val="0"/>
              <w:snapToGrid w:val="0"/>
            </w:pPr>
            <w:r w:rsidRPr="002B65F7">
              <w:t>issus de l’étude CRD3001</w:t>
            </w:r>
            <w:r w:rsidRPr="002B65F7">
              <w:rPr>
                <w:vertAlign w:val="superscript"/>
              </w:rPr>
              <w:t>§</w:t>
            </w:r>
          </w:p>
        </w:tc>
        <w:tc>
          <w:tcPr>
            <w:tcW w:w="713" w:type="pct"/>
          </w:tcPr>
          <w:p w14:paraId="03B57DED" w14:textId="77777777" w:rsidR="00092F83" w:rsidRPr="002B65F7" w:rsidRDefault="00C31740" w:rsidP="00496255">
            <w:pPr>
              <w:widowControl/>
              <w:adjustRightInd w:val="0"/>
              <w:snapToGrid w:val="0"/>
              <w:jc w:val="center"/>
            </w:pPr>
            <w:r w:rsidRPr="002B65F7">
              <w:t>26% (16/61)</w:t>
            </w:r>
          </w:p>
        </w:tc>
        <w:tc>
          <w:tcPr>
            <w:tcW w:w="901" w:type="pct"/>
          </w:tcPr>
          <w:p w14:paraId="03B57DEE" w14:textId="77777777" w:rsidR="00092F83" w:rsidRPr="002B65F7" w:rsidRDefault="00C31740" w:rsidP="00496255">
            <w:pPr>
              <w:widowControl/>
              <w:adjustRightInd w:val="0"/>
              <w:snapToGrid w:val="0"/>
              <w:jc w:val="center"/>
            </w:pPr>
            <w:r w:rsidRPr="002B65F7">
              <w:t>41% (23/56)</w:t>
            </w:r>
          </w:p>
        </w:tc>
        <w:tc>
          <w:tcPr>
            <w:tcW w:w="882" w:type="pct"/>
          </w:tcPr>
          <w:p w14:paraId="03B57DEF" w14:textId="77777777" w:rsidR="00092F83" w:rsidRPr="002B65F7" w:rsidRDefault="00C31740" w:rsidP="00496255">
            <w:pPr>
              <w:widowControl/>
              <w:adjustRightInd w:val="0"/>
              <w:snapToGrid w:val="0"/>
              <w:jc w:val="center"/>
            </w:pPr>
            <w:r w:rsidRPr="002B65F7">
              <w:t>39% (22/57)</w:t>
            </w:r>
          </w:p>
        </w:tc>
      </w:tr>
    </w:tbl>
    <w:p w14:paraId="03B57DF1" w14:textId="633BC5D9" w:rsidR="00092F83" w:rsidRPr="002B65F7" w:rsidRDefault="00C31740" w:rsidP="00496255">
      <w:pPr>
        <w:widowControl/>
        <w:rPr>
          <w:sz w:val="20"/>
          <w:szCs w:val="20"/>
        </w:rPr>
      </w:pPr>
      <w:r w:rsidRPr="002B65F7">
        <w:rPr>
          <w:sz w:val="20"/>
          <w:szCs w:val="20"/>
        </w:rPr>
        <w:t>La rémission clinique est définie comme un score CDAI</w:t>
      </w:r>
      <w:r w:rsidR="005D7CC7" w:rsidRPr="002B65F7">
        <w:rPr>
          <w:sz w:val="20"/>
          <w:szCs w:val="20"/>
        </w:rPr>
        <w:t> </w:t>
      </w:r>
      <w:r w:rsidRPr="002B65F7">
        <w:rPr>
          <w:sz w:val="20"/>
          <w:szCs w:val="20"/>
        </w:rPr>
        <w:t>&lt;</w:t>
      </w:r>
      <w:r w:rsidR="005D7CC7" w:rsidRPr="002B65F7">
        <w:rPr>
          <w:sz w:val="20"/>
          <w:szCs w:val="20"/>
        </w:rPr>
        <w:t> </w:t>
      </w:r>
      <w:r w:rsidRPr="002B65F7">
        <w:rPr>
          <w:sz w:val="20"/>
          <w:szCs w:val="20"/>
        </w:rPr>
        <w:t>150 ; La réponse clinique est définie comme une réduction du score CDAI d’au moins 100</w:t>
      </w:r>
      <w:r w:rsidR="00771B4D" w:rsidRPr="002B65F7">
        <w:rPr>
          <w:sz w:val="20"/>
          <w:szCs w:val="20"/>
        </w:rPr>
        <w:t> </w:t>
      </w:r>
      <w:r w:rsidRPr="002B65F7">
        <w:rPr>
          <w:sz w:val="20"/>
          <w:szCs w:val="20"/>
        </w:rPr>
        <w:t>points ou un état de rémission clinique</w:t>
      </w:r>
    </w:p>
    <w:p w14:paraId="03B57DF2" w14:textId="430DB3BE" w:rsidR="00092F83" w:rsidRPr="002B65F7" w:rsidRDefault="005D7CC7" w:rsidP="00496255">
      <w:pPr>
        <w:widowControl/>
        <w:rPr>
          <w:sz w:val="20"/>
          <w:szCs w:val="20"/>
        </w:rPr>
      </w:pPr>
      <w:r w:rsidRPr="00B007D2">
        <w:rPr>
          <w:sz w:val="20"/>
          <w:szCs w:val="20"/>
        </w:rPr>
        <w:t xml:space="preserve">* </w:t>
      </w:r>
      <w:r w:rsidRPr="002B65F7">
        <w:rPr>
          <w:sz w:val="20"/>
          <w:szCs w:val="20"/>
        </w:rPr>
        <w:t>Le groupe placebo était constitué des patients ayant répondu à l’</w:t>
      </w:r>
      <w:r w:rsidR="0071390F" w:rsidRPr="002B65F7">
        <w:rPr>
          <w:sz w:val="20"/>
          <w:szCs w:val="20"/>
        </w:rPr>
        <w:t>ustekinumab</w:t>
      </w:r>
      <w:r w:rsidRPr="002B65F7">
        <w:rPr>
          <w:sz w:val="20"/>
          <w:szCs w:val="20"/>
        </w:rPr>
        <w:t xml:space="preserve"> et randomisés pour recevoir le placebo au début du traitement d’entretien</w:t>
      </w:r>
    </w:p>
    <w:p w14:paraId="03B57DF3" w14:textId="799BA479" w:rsidR="00092F83" w:rsidRPr="002B65F7" w:rsidRDefault="00C31740" w:rsidP="00496255">
      <w:pPr>
        <w:widowControl/>
        <w:rPr>
          <w:sz w:val="20"/>
          <w:szCs w:val="20"/>
        </w:rPr>
      </w:pPr>
      <w:r w:rsidRPr="002B65F7">
        <w:rPr>
          <w:sz w:val="20"/>
          <w:szCs w:val="20"/>
          <w:vertAlign w:val="superscript"/>
        </w:rPr>
        <w:t>†</w:t>
      </w:r>
      <w:r w:rsidRPr="002B65F7">
        <w:rPr>
          <w:sz w:val="20"/>
          <w:szCs w:val="20"/>
        </w:rPr>
        <w:t xml:space="preserve"> Patients présentant une réponse clinique 100</w:t>
      </w:r>
      <w:r w:rsidR="005D7CC7" w:rsidRPr="002B65F7">
        <w:rPr>
          <w:sz w:val="20"/>
          <w:szCs w:val="20"/>
        </w:rPr>
        <w:t> </w:t>
      </w:r>
      <w:r w:rsidRPr="002B65F7">
        <w:rPr>
          <w:sz w:val="20"/>
          <w:szCs w:val="20"/>
        </w:rPr>
        <w:t>points à l’</w:t>
      </w:r>
      <w:r w:rsidR="0071390F" w:rsidRPr="002B65F7">
        <w:rPr>
          <w:sz w:val="20"/>
          <w:szCs w:val="20"/>
        </w:rPr>
        <w:t>ustekinumab</w:t>
      </w:r>
      <w:r w:rsidRPr="002B65F7">
        <w:rPr>
          <w:sz w:val="20"/>
          <w:szCs w:val="20"/>
        </w:rPr>
        <w:t xml:space="preserve"> au début du traitement d’entretien</w:t>
      </w:r>
    </w:p>
    <w:p w14:paraId="03B57DF4" w14:textId="58C2ED97" w:rsidR="00092F83" w:rsidRPr="002B65F7" w:rsidRDefault="00C31740" w:rsidP="00496255">
      <w:pPr>
        <w:widowControl/>
        <w:rPr>
          <w:sz w:val="20"/>
          <w:szCs w:val="20"/>
        </w:rPr>
      </w:pPr>
      <w:r w:rsidRPr="002B65F7">
        <w:rPr>
          <w:sz w:val="20"/>
          <w:szCs w:val="20"/>
          <w:vertAlign w:val="superscript"/>
        </w:rPr>
        <w:t>‡</w:t>
      </w:r>
      <w:r w:rsidR="005D7CC7" w:rsidRPr="002B65F7">
        <w:rPr>
          <w:sz w:val="20"/>
          <w:szCs w:val="20"/>
        </w:rPr>
        <w:t xml:space="preserve"> </w:t>
      </w:r>
      <w:r w:rsidRPr="002B65F7">
        <w:rPr>
          <w:sz w:val="20"/>
          <w:szCs w:val="20"/>
        </w:rPr>
        <w:t>Patients ayant présenté un échec sous traitement conventionnel, mais pas sous traitement anti-TNFα</w:t>
      </w:r>
    </w:p>
    <w:p w14:paraId="03B57DF5" w14:textId="27FDE768" w:rsidR="00092F83" w:rsidRPr="002B65F7" w:rsidRDefault="00C31740" w:rsidP="00496255">
      <w:pPr>
        <w:widowControl/>
        <w:rPr>
          <w:sz w:val="20"/>
          <w:szCs w:val="20"/>
        </w:rPr>
      </w:pPr>
      <w:r w:rsidRPr="002B65F7">
        <w:rPr>
          <w:sz w:val="20"/>
          <w:szCs w:val="20"/>
          <w:vertAlign w:val="superscript"/>
        </w:rPr>
        <w:t>§</w:t>
      </w:r>
      <w:r w:rsidR="005D7CC7" w:rsidRPr="002B65F7">
        <w:rPr>
          <w:sz w:val="20"/>
          <w:szCs w:val="20"/>
        </w:rPr>
        <w:t xml:space="preserve"> </w:t>
      </w:r>
      <w:r w:rsidRPr="002B65F7">
        <w:rPr>
          <w:sz w:val="20"/>
          <w:szCs w:val="20"/>
        </w:rPr>
        <w:t>Patients réfractaires/intolérants aux anti-TNFα</w:t>
      </w:r>
    </w:p>
    <w:p w14:paraId="03B57DF6" w14:textId="609783A0" w:rsidR="00092F83" w:rsidRPr="002B65F7" w:rsidRDefault="00C31740" w:rsidP="00496255">
      <w:pPr>
        <w:widowControl/>
        <w:rPr>
          <w:sz w:val="20"/>
          <w:szCs w:val="20"/>
        </w:rPr>
      </w:pPr>
      <w:r w:rsidRPr="002B65F7">
        <w:rPr>
          <w:sz w:val="20"/>
          <w:szCs w:val="20"/>
          <w:vertAlign w:val="superscript"/>
        </w:rPr>
        <w:t>a</w:t>
      </w:r>
      <w:r w:rsidR="005D7CC7" w:rsidRPr="002B65F7">
        <w:rPr>
          <w:sz w:val="20"/>
          <w:szCs w:val="20"/>
        </w:rPr>
        <w:t xml:space="preserve"> </w:t>
      </w:r>
      <w:r w:rsidRPr="002B65F7">
        <w:rPr>
          <w:sz w:val="20"/>
          <w:szCs w:val="20"/>
        </w:rPr>
        <w:t>p</w:t>
      </w:r>
      <w:r w:rsidR="005D7CC7" w:rsidRPr="002B65F7">
        <w:rPr>
          <w:sz w:val="20"/>
          <w:szCs w:val="20"/>
        </w:rPr>
        <w:t> </w:t>
      </w:r>
      <w:r w:rsidRPr="002B65F7">
        <w:rPr>
          <w:sz w:val="20"/>
          <w:szCs w:val="20"/>
        </w:rPr>
        <w:t>&lt;</w:t>
      </w:r>
      <w:r w:rsidR="005D7CC7" w:rsidRPr="002B65F7">
        <w:rPr>
          <w:sz w:val="20"/>
          <w:szCs w:val="20"/>
        </w:rPr>
        <w:t> </w:t>
      </w:r>
      <w:r w:rsidRPr="002B65F7">
        <w:rPr>
          <w:sz w:val="20"/>
          <w:szCs w:val="20"/>
        </w:rPr>
        <w:t>0,01</w:t>
      </w:r>
    </w:p>
    <w:p w14:paraId="03B57DF7" w14:textId="7B6623CD" w:rsidR="00092F83" w:rsidRPr="002B65F7" w:rsidRDefault="00C31740" w:rsidP="00496255">
      <w:pPr>
        <w:widowControl/>
        <w:rPr>
          <w:sz w:val="20"/>
          <w:szCs w:val="20"/>
        </w:rPr>
      </w:pPr>
      <w:r w:rsidRPr="002B65F7">
        <w:rPr>
          <w:sz w:val="20"/>
          <w:szCs w:val="20"/>
          <w:vertAlign w:val="superscript"/>
        </w:rPr>
        <w:t>b</w:t>
      </w:r>
      <w:r w:rsidR="005D7CC7" w:rsidRPr="002B65F7">
        <w:rPr>
          <w:sz w:val="20"/>
          <w:szCs w:val="20"/>
        </w:rPr>
        <w:t xml:space="preserve"> </w:t>
      </w:r>
      <w:r w:rsidRPr="002B65F7">
        <w:rPr>
          <w:sz w:val="20"/>
          <w:szCs w:val="20"/>
        </w:rPr>
        <w:t>p</w:t>
      </w:r>
      <w:r w:rsidR="005D7CC7" w:rsidRPr="002B65F7">
        <w:rPr>
          <w:sz w:val="20"/>
          <w:szCs w:val="20"/>
        </w:rPr>
        <w:t> </w:t>
      </w:r>
      <w:r w:rsidRPr="002B65F7">
        <w:rPr>
          <w:sz w:val="20"/>
          <w:szCs w:val="20"/>
        </w:rPr>
        <w:t>&lt;</w:t>
      </w:r>
      <w:r w:rsidR="005D7CC7" w:rsidRPr="002B65F7">
        <w:rPr>
          <w:sz w:val="20"/>
          <w:szCs w:val="20"/>
        </w:rPr>
        <w:t> </w:t>
      </w:r>
      <w:r w:rsidRPr="002B65F7">
        <w:rPr>
          <w:sz w:val="20"/>
          <w:szCs w:val="20"/>
        </w:rPr>
        <w:t>0,05</w:t>
      </w:r>
    </w:p>
    <w:p w14:paraId="03B57DF8" w14:textId="504C8B53" w:rsidR="00092F83" w:rsidRPr="002B65F7" w:rsidRDefault="00C31740" w:rsidP="00496255">
      <w:pPr>
        <w:widowControl/>
        <w:rPr>
          <w:sz w:val="20"/>
          <w:szCs w:val="20"/>
        </w:rPr>
      </w:pPr>
      <w:r w:rsidRPr="002B65F7">
        <w:rPr>
          <w:sz w:val="20"/>
          <w:szCs w:val="20"/>
          <w:vertAlign w:val="superscript"/>
        </w:rPr>
        <w:t>c</w:t>
      </w:r>
      <w:r w:rsidR="005D7CC7" w:rsidRPr="002B65F7">
        <w:rPr>
          <w:sz w:val="20"/>
          <w:szCs w:val="20"/>
        </w:rPr>
        <w:t xml:space="preserve"> </w:t>
      </w:r>
      <w:r w:rsidRPr="002B65F7">
        <w:rPr>
          <w:sz w:val="20"/>
          <w:szCs w:val="20"/>
        </w:rPr>
        <w:t>significatif de manière nominale (p</w:t>
      </w:r>
      <w:r w:rsidR="00CC37E0" w:rsidRPr="002B65F7">
        <w:rPr>
          <w:sz w:val="20"/>
          <w:szCs w:val="20"/>
        </w:rPr>
        <w:t> </w:t>
      </w:r>
      <w:r w:rsidRPr="002B65F7">
        <w:rPr>
          <w:sz w:val="20"/>
          <w:szCs w:val="20"/>
        </w:rPr>
        <w:t>&lt;</w:t>
      </w:r>
      <w:r w:rsidR="00CC37E0" w:rsidRPr="002B65F7">
        <w:rPr>
          <w:sz w:val="20"/>
          <w:szCs w:val="20"/>
        </w:rPr>
        <w:t> </w:t>
      </w:r>
      <w:r w:rsidRPr="002B65F7">
        <w:rPr>
          <w:sz w:val="20"/>
          <w:szCs w:val="20"/>
        </w:rPr>
        <w:t>0,05)</w:t>
      </w:r>
    </w:p>
    <w:p w14:paraId="03B57DF9" w14:textId="77777777" w:rsidR="00092F83" w:rsidRPr="002B65F7" w:rsidRDefault="00092F83" w:rsidP="00496255">
      <w:pPr>
        <w:widowControl/>
      </w:pPr>
    </w:p>
    <w:p w14:paraId="03B57DFB" w14:textId="25CD7CF2" w:rsidR="00092F83" w:rsidRPr="002B65F7" w:rsidRDefault="00C31740" w:rsidP="00496255">
      <w:pPr>
        <w:widowControl/>
      </w:pPr>
      <w:r w:rsidRPr="002B65F7">
        <w:t>Dans l’étude IM-UNITI, lors d’un traitement toutes les 12</w:t>
      </w:r>
      <w:r w:rsidR="00A05C68" w:rsidRPr="002B65F7">
        <w:t> </w:t>
      </w:r>
      <w:r w:rsidRPr="002B65F7">
        <w:t>semaines, la réponse à l’</w:t>
      </w:r>
      <w:r w:rsidR="0071390F" w:rsidRPr="002B65F7">
        <w:t>ustekinumab</w:t>
      </w:r>
      <w:r w:rsidRPr="002B65F7">
        <w:t xml:space="preserve"> n’a pas été maintenue chez 29</w:t>
      </w:r>
      <w:r w:rsidR="00C17D90" w:rsidRPr="002B65F7">
        <w:t> </w:t>
      </w:r>
      <w:r w:rsidRPr="002B65F7">
        <w:t>des 129</w:t>
      </w:r>
      <w:r w:rsidR="00C17D90" w:rsidRPr="002B65F7">
        <w:t> </w:t>
      </w:r>
      <w:r w:rsidRPr="002B65F7">
        <w:t>patients, et une adaptation posologique a été autorisée pour qu’ils reçoivent l’</w:t>
      </w:r>
      <w:r w:rsidR="0071390F" w:rsidRPr="002B65F7">
        <w:t>ustekinumab</w:t>
      </w:r>
      <w:r w:rsidRPr="002B65F7">
        <w:t xml:space="preserve"> toutes les 8</w:t>
      </w:r>
      <w:r w:rsidR="00EC720F" w:rsidRPr="002B65F7">
        <w:t> </w:t>
      </w:r>
      <w:r w:rsidRPr="002B65F7">
        <w:t>semaines. L’échappement après une réponse initiale était défini par un score CDAI ≥</w:t>
      </w:r>
      <w:r w:rsidR="00A05C68" w:rsidRPr="002B65F7">
        <w:t> </w:t>
      </w:r>
      <w:r w:rsidRPr="002B65F7">
        <w:t>220</w:t>
      </w:r>
      <w:r w:rsidR="00EC720F" w:rsidRPr="002B65F7">
        <w:t> </w:t>
      </w:r>
      <w:r w:rsidRPr="002B65F7">
        <w:t>points et une augmentation du score CDAI</w:t>
      </w:r>
      <w:r w:rsidR="00A05C68" w:rsidRPr="002B65F7">
        <w:t> </w:t>
      </w:r>
      <w:r w:rsidRPr="002B65F7">
        <w:t>≥</w:t>
      </w:r>
      <w:r w:rsidR="00A05C68" w:rsidRPr="002B65F7">
        <w:t> </w:t>
      </w:r>
      <w:r w:rsidRPr="002B65F7">
        <w:t>100</w:t>
      </w:r>
      <w:r w:rsidR="00EC720F" w:rsidRPr="002B65F7">
        <w:t> </w:t>
      </w:r>
      <w:r w:rsidRPr="002B65F7">
        <w:t>points par rapport à l’inclusion. Chez ces patients, une rémission clinique a été obtenue chez 41,4% des patients</w:t>
      </w:r>
      <w:r w:rsidR="00AE35EE" w:rsidRPr="002B65F7">
        <w:t xml:space="preserve"> </w:t>
      </w:r>
      <w:r w:rsidRPr="002B65F7">
        <w:t>16</w:t>
      </w:r>
      <w:r w:rsidR="00C17D90" w:rsidRPr="002B65F7">
        <w:t> </w:t>
      </w:r>
      <w:r w:rsidRPr="002B65F7">
        <w:t>semaines après l’adaptation posologique.</w:t>
      </w:r>
    </w:p>
    <w:p w14:paraId="643197E3" w14:textId="77777777" w:rsidR="00092F83" w:rsidRPr="002B65F7" w:rsidRDefault="00092F83" w:rsidP="00496255">
      <w:pPr>
        <w:widowControl/>
      </w:pPr>
    </w:p>
    <w:p w14:paraId="03B57DFD" w14:textId="6B0A379A" w:rsidR="00092F83" w:rsidRPr="002B65F7" w:rsidRDefault="00C31740" w:rsidP="00496255">
      <w:pPr>
        <w:widowControl/>
      </w:pPr>
      <w:r w:rsidRPr="002B65F7">
        <w:t xml:space="preserve">Les patients qui ne présentaient pas de réponse clinique à l’induction par </w:t>
      </w:r>
      <w:r w:rsidR="0071390F" w:rsidRPr="002B65F7">
        <w:t>ustekinumab</w:t>
      </w:r>
      <w:r w:rsidRPr="002B65F7">
        <w:t xml:space="preserve"> à la semaine</w:t>
      </w:r>
      <w:r w:rsidR="002A4D07" w:rsidRPr="002B65F7">
        <w:t> </w:t>
      </w:r>
      <w:r w:rsidRPr="002B65F7">
        <w:t>8 des études d’induction UNITI-1 et UNITI-2 (476</w:t>
      </w:r>
      <w:r w:rsidR="005605C3" w:rsidRPr="002B65F7">
        <w:t> </w:t>
      </w:r>
      <w:r w:rsidRPr="002B65F7">
        <w:t>patients) sont entrés dans la portion non randomisée de l’étude d’entretien (IM-UNITI) et ont reçu une injection sous-cutanée de 90</w:t>
      </w:r>
      <w:r w:rsidR="005605C3" w:rsidRPr="002B65F7">
        <w:t> </w:t>
      </w:r>
      <w:r w:rsidRPr="002B65F7">
        <w:t>mg d’</w:t>
      </w:r>
      <w:r w:rsidR="0071390F" w:rsidRPr="002B65F7">
        <w:t>ustekinumab</w:t>
      </w:r>
      <w:r w:rsidRPr="002B65F7">
        <w:t xml:space="preserve"> à ce moment-là. Huit semaines plus tard, 50,5% des patients avaient obtenu une réponse clinique et continuaient de recevoir la dose d’entretien toutes les 8</w:t>
      </w:r>
      <w:r w:rsidR="00AE35EE" w:rsidRPr="002B65F7">
        <w:t> </w:t>
      </w:r>
      <w:r w:rsidRPr="002B65F7">
        <w:t>semaines ; parmi ces patients poursuivant le traitement d’entretien, une majorité a présenté une réponse maintenue (68,1%) et obtenu une rémission (50,2%) à la semaine</w:t>
      </w:r>
      <w:r w:rsidR="00AE35EE" w:rsidRPr="002B65F7">
        <w:t> </w:t>
      </w:r>
      <w:r w:rsidRPr="002B65F7">
        <w:t xml:space="preserve">44, à des proportions similaires aux patients ayant initialement répondu à l’induction par </w:t>
      </w:r>
      <w:r w:rsidR="0071390F" w:rsidRPr="002B65F7">
        <w:t>ustekinumab</w:t>
      </w:r>
      <w:r w:rsidRPr="002B65F7">
        <w:t>.</w:t>
      </w:r>
    </w:p>
    <w:p w14:paraId="03B57DFE" w14:textId="77777777" w:rsidR="00092F83" w:rsidRPr="002B65F7" w:rsidRDefault="00092F83" w:rsidP="00496255">
      <w:pPr>
        <w:widowControl/>
      </w:pPr>
    </w:p>
    <w:p w14:paraId="03B57DFF" w14:textId="6D76BBD7" w:rsidR="00092F83" w:rsidRPr="002B65F7" w:rsidRDefault="00C31740" w:rsidP="00496255">
      <w:pPr>
        <w:widowControl/>
      </w:pPr>
      <w:r w:rsidRPr="002B65F7">
        <w:t>Sur 131</w:t>
      </w:r>
      <w:r w:rsidR="00AE35EE" w:rsidRPr="002B65F7">
        <w:t> </w:t>
      </w:r>
      <w:r w:rsidRPr="002B65F7">
        <w:t xml:space="preserve">patients ayant répondu à l’induction par </w:t>
      </w:r>
      <w:r w:rsidR="0071390F" w:rsidRPr="002B65F7">
        <w:t>ustekinumab</w:t>
      </w:r>
      <w:r w:rsidRPr="002B65F7">
        <w:t xml:space="preserve"> et randomisés dans le groupe placebo au début de l’étude d’entretien, 51</w:t>
      </w:r>
      <w:r w:rsidR="00AE35EE" w:rsidRPr="002B65F7">
        <w:t> </w:t>
      </w:r>
      <w:r w:rsidRPr="002B65F7">
        <w:t>ont par la suite présenté une perte de réponse et reçu 90</w:t>
      </w:r>
      <w:r w:rsidR="00AE35EE" w:rsidRPr="002B65F7">
        <w:t> </w:t>
      </w:r>
      <w:r w:rsidRPr="002B65F7">
        <w:t xml:space="preserve">mg </w:t>
      </w:r>
      <w:r w:rsidRPr="002B65F7">
        <w:lastRenderedPageBreak/>
        <w:t>d’</w:t>
      </w:r>
      <w:r w:rsidR="0071390F" w:rsidRPr="002B65F7">
        <w:t>ustekinumab</w:t>
      </w:r>
      <w:r w:rsidRPr="002B65F7">
        <w:t xml:space="preserve"> par voie sous-cutanée toutes les 8</w:t>
      </w:r>
      <w:r w:rsidR="002A4D07" w:rsidRPr="002B65F7">
        <w:t> </w:t>
      </w:r>
      <w:r w:rsidRPr="002B65F7">
        <w:t>semaines. La majorité des patients ayant présenté une perte de réponse et repris l’</w:t>
      </w:r>
      <w:r w:rsidR="0071390F" w:rsidRPr="002B65F7">
        <w:t>ustekinumab</w:t>
      </w:r>
      <w:r w:rsidRPr="002B65F7">
        <w:t xml:space="preserve"> l’ont fait dans les 24</w:t>
      </w:r>
      <w:r w:rsidR="002A4D07" w:rsidRPr="002B65F7">
        <w:t> </w:t>
      </w:r>
      <w:r w:rsidRPr="002B65F7">
        <w:t>semaines suivant la perfusion d’induction. Sur ces 51</w:t>
      </w:r>
      <w:r w:rsidR="00AE35EE" w:rsidRPr="002B65F7">
        <w:t> </w:t>
      </w:r>
      <w:r w:rsidRPr="002B65F7">
        <w:t>patients, 70,6% ont obtenu une réponse clinique et 39,2%</w:t>
      </w:r>
      <w:r w:rsidR="00AE35EE" w:rsidRPr="002B65F7">
        <w:t> </w:t>
      </w:r>
      <w:r w:rsidRPr="002B65F7">
        <w:t>ont obtenu une rémission clinique 16</w:t>
      </w:r>
      <w:r w:rsidR="00AE35EE" w:rsidRPr="002B65F7">
        <w:t> </w:t>
      </w:r>
      <w:r w:rsidRPr="002B65F7">
        <w:t>semaines après avoir reçu la première dose sous-cutanée d’</w:t>
      </w:r>
      <w:r w:rsidR="0071390F" w:rsidRPr="002B65F7">
        <w:t>ustekinumab</w:t>
      </w:r>
      <w:r w:rsidRPr="002B65F7">
        <w:t>.</w:t>
      </w:r>
    </w:p>
    <w:p w14:paraId="03B57E00" w14:textId="77777777" w:rsidR="00092F83" w:rsidRPr="002B65F7" w:rsidRDefault="00092F83" w:rsidP="00E82841">
      <w:pPr>
        <w:keepNext/>
        <w:widowControl/>
      </w:pPr>
    </w:p>
    <w:p w14:paraId="03B57E01" w14:textId="3BDFE51F" w:rsidR="00092F83" w:rsidRPr="002B65F7" w:rsidRDefault="00C31740" w:rsidP="00496255">
      <w:pPr>
        <w:widowControl/>
      </w:pPr>
      <w:r w:rsidRPr="002B65F7">
        <w:t>Dans IM-UNITI, les patients ayant poursuivi l’étude jusqu’à la semaine 44</w:t>
      </w:r>
      <w:r w:rsidR="00AE35EE" w:rsidRPr="002B65F7">
        <w:t> </w:t>
      </w:r>
      <w:r w:rsidRPr="002B65F7">
        <w:t>étaient éligibles à continuer le traitement dans une étude d’extension. Parmi les 567</w:t>
      </w:r>
      <w:r w:rsidR="00AE35EE" w:rsidRPr="002B65F7">
        <w:t> </w:t>
      </w:r>
      <w:r w:rsidRPr="002B65F7">
        <w:t xml:space="preserve">patients qui sont entrés et ont été traités par </w:t>
      </w:r>
      <w:r w:rsidR="0071390F" w:rsidRPr="002B65F7">
        <w:t>ustekinumab</w:t>
      </w:r>
      <w:r w:rsidRPr="002B65F7">
        <w:t xml:space="preserve"> dans l’étude d’extension, la rémission et la réponse cliniques étaient généralement maintenues jusqu’à la semaine</w:t>
      </w:r>
      <w:r w:rsidR="002A4D07" w:rsidRPr="002B65F7">
        <w:t> </w:t>
      </w:r>
      <w:r w:rsidRPr="002B65F7">
        <w:t>252, chez les patients en échec aux anti-TNF et chez les patients en échec aux traitements conventionnels.</w:t>
      </w:r>
    </w:p>
    <w:p w14:paraId="1E98305B" w14:textId="77777777" w:rsidR="00AE35EE" w:rsidRPr="002B65F7" w:rsidRDefault="00AE35EE" w:rsidP="00496255">
      <w:pPr>
        <w:widowControl/>
      </w:pPr>
    </w:p>
    <w:p w14:paraId="03B57E02" w14:textId="136A9694" w:rsidR="00092F83" w:rsidRPr="002B65F7" w:rsidRDefault="00C31740" w:rsidP="00496255">
      <w:pPr>
        <w:widowControl/>
      </w:pPr>
      <w:r w:rsidRPr="002B65F7">
        <w:t>Aucun nouveau risque lié à la sécurité n’a été identifié dans cette étude d’extension après</w:t>
      </w:r>
      <w:r w:rsidR="002A4D07" w:rsidRPr="002B65F7">
        <w:t> </w:t>
      </w:r>
      <w:r w:rsidRPr="002B65F7">
        <w:t>5 ans de traitement chez les patients atteints de maladie de Crohn.</w:t>
      </w:r>
    </w:p>
    <w:p w14:paraId="03B57E03" w14:textId="77777777" w:rsidR="00092F83" w:rsidRPr="002B65F7" w:rsidRDefault="00092F83" w:rsidP="00496255">
      <w:pPr>
        <w:widowControl/>
      </w:pPr>
    </w:p>
    <w:p w14:paraId="03B57E04" w14:textId="77777777" w:rsidR="00092F83" w:rsidRPr="002B65F7" w:rsidRDefault="00C31740" w:rsidP="00496255">
      <w:pPr>
        <w:keepNext/>
        <w:widowControl/>
        <w:rPr>
          <w:i/>
          <w:iCs/>
          <w:u w:val="single"/>
        </w:rPr>
      </w:pPr>
      <w:r w:rsidRPr="002B65F7">
        <w:rPr>
          <w:i/>
          <w:iCs/>
          <w:u w:val="single"/>
        </w:rPr>
        <w:t>Endoscopie</w:t>
      </w:r>
    </w:p>
    <w:p w14:paraId="123B2FB4" w14:textId="77777777" w:rsidR="00AE35EE" w:rsidRPr="002B65F7" w:rsidRDefault="00AE35EE" w:rsidP="00496255">
      <w:pPr>
        <w:keepNext/>
        <w:widowControl/>
        <w:rPr>
          <w:i/>
          <w:iCs/>
        </w:rPr>
      </w:pPr>
    </w:p>
    <w:p w14:paraId="03B57E05" w14:textId="27EF5E54" w:rsidR="00092F83" w:rsidRPr="002B65F7" w:rsidRDefault="00C31740" w:rsidP="00496255">
      <w:pPr>
        <w:widowControl/>
      </w:pPr>
      <w:r w:rsidRPr="002B65F7">
        <w:t>Dans une sous-étude, l’aspect endoscopique de la muqueuse a été évalué chez 252</w:t>
      </w:r>
      <w:r w:rsidR="00462448" w:rsidRPr="002B65F7">
        <w:t> </w:t>
      </w:r>
      <w:r w:rsidRPr="002B65F7">
        <w:t>patients présentant une activité initiale de la maladie à l’endoscopie les rendant éligibles à l’inclusion. Le critère primaire d’évaluation était le changement par rapport à l’inclusion du score SES-CD (Simplified Endoscopic Disease Severity Score for Crohn’s Disease), un score composite portant, au niveau de 5</w:t>
      </w:r>
      <w:r w:rsidR="008F4C02" w:rsidRPr="002B65F7">
        <w:t> </w:t>
      </w:r>
      <w:r w:rsidRPr="002B65F7">
        <w:t>segments iléo-coliques, sur la présence/taille des ulcères, la proportion de surface muqueuse couverte par des ulcères, la proportion de surface muqueuse présentant toute autre lésion et la présence/le type de rétrécissements/sténoses. À la semaine</w:t>
      </w:r>
      <w:r w:rsidR="005B310E" w:rsidRPr="002B65F7">
        <w:t> </w:t>
      </w:r>
      <w:r w:rsidRPr="002B65F7">
        <w:t xml:space="preserve">8, après une dose unique d’induction en intraveineuse, le changement du score SES-CD était supérieur dans le groupe </w:t>
      </w:r>
      <w:r w:rsidR="0071390F" w:rsidRPr="002B65F7">
        <w:t>ustekinumab</w:t>
      </w:r>
      <w:r w:rsidRPr="002B65F7">
        <w:t xml:space="preserve"> (n</w:t>
      </w:r>
      <w:r w:rsidR="00462448" w:rsidRPr="002B65F7">
        <w:t> </w:t>
      </w:r>
      <w:r w:rsidRPr="002B65F7">
        <w:t>=</w:t>
      </w:r>
      <w:r w:rsidR="00462448" w:rsidRPr="002B65F7">
        <w:t> </w:t>
      </w:r>
      <w:r w:rsidRPr="002B65F7">
        <w:t>155, changement moyen</w:t>
      </w:r>
      <w:r w:rsidR="00462448" w:rsidRPr="002B65F7">
        <w:t> </w:t>
      </w:r>
      <w:r w:rsidRPr="002B65F7">
        <w:t>=</w:t>
      </w:r>
      <w:r w:rsidR="00462448" w:rsidRPr="002B65F7">
        <w:t> </w:t>
      </w:r>
      <w:r w:rsidR="00705C2B" w:rsidRPr="002B65F7">
        <w:rPr>
          <w:spacing w:val="-4"/>
        </w:rPr>
        <w:t>−</w:t>
      </w:r>
      <w:r w:rsidRPr="002B65F7">
        <w:t>2,8) comparativement au groupe placebo (n</w:t>
      </w:r>
      <w:r w:rsidR="00462448" w:rsidRPr="002B65F7">
        <w:t> </w:t>
      </w:r>
      <w:r w:rsidRPr="002B65F7">
        <w:t>=</w:t>
      </w:r>
      <w:r w:rsidR="00462448" w:rsidRPr="002B65F7">
        <w:t> </w:t>
      </w:r>
      <w:r w:rsidRPr="002B65F7">
        <w:t>97, changement moyen</w:t>
      </w:r>
      <w:r w:rsidR="005B310E" w:rsidRPr="002B65F7">
        <w:t> </w:t>
      </w:r>
      <w:r w:rsidRPr="002B65F7">
        <w:t>=</w:t>
      </w:r>
      <w:r w:rsidR="005B310E" w:rsidRPr="002B65F7">
        <w:t> </w:t>
      </w:r>
      <w:r w:rsidR="00016067" w:rsidRPr="002B65F7">
        <w:rPr>
          <w:spacing w:val="-4"/>
        </w:rPr>
        <w:t>−</w:t>
      </w:r>
      <w:r w:rsidRPr="002B65F7">
        <w:t>0,7, p</w:t>
      </w:r>
      <w:r w:rsidR="005B310E" w:rsidRPr="002B65F7">
        <w:t> </w:t>
      </w:r>
      <w:r w:rsidRPr="002B65F7">
        <w:t>=</w:t>
      </w:r>
      <w:r w:rsidR="005B310E" w:rsidRPr="002B65F7">
        <w:t> </w:t>
      </w:r>
      <w:r w:rsidRPr="002B65F7">
        <w:t>0,012).</w:t>
      </w:r>
    </w:p>
    <w:p w14:paraId="648C9C73" w14:textId="77777777" w:rsidR="00C57EF5" w:rsidRPr="002B65F7" w:rsidRDefault="00C57EF5" w:rsidP="00496255">
      <w:pPr>
        <w:widowControl/>
        <w:rPr>
          <w:i/>
          <w:iCs/>
          <w:u w:val="single"/>
        </w:rPr>
      </w:pPr>
    </w:p>
    <w:p w14:paraId="03B57E06" w14:textId="001C9BAB" w:rsidR="00092F83" w:rsidRPr="002B65F7" w:rsidRDefault="00C31740" w:rsidP="00496255">
      <w:pPr>
        <w:keepNext/>
        <w:widowControl/>
        <w:rPr>
          <w:i/>
          <w:iCs/>
          <w:u w:val="single"/>
        </w:rPr>
      </w:pPr>
      <w:r w:rsidRPr="002B65F7">
        <w:rPr>
          <w:i/>
          <w:iCs/>
          <w:u w:val="single"/>
        </w:rPr>
        <w:t>Réponse sur les fistules</w:t>
      </w:r>
    </w:p>
    <w:p w14:paraId="16E44F5B" w14:textId="77777777" w:rsidR="00C57EF5" w:rsidRPr="002B65F7" w:rsidRDefault="00C57EF5" w:rsidP="00496255">
      <w:pPr>
        <w:keepNext/>
        <w:widowControl/>
      </w:pPr>
    </w:p>
    <w:p w14:paraId="03B57E08" w14:textId="5A7F2DA9" w:rsidR="00092F83" w:rsidRPr="002B65F7" w:rsidRDefault="00C31740" w:rsidP="00496255">
      <w:pPr>
        <w:widowControl/>
      </w:pPr>
      <w:r w:rsidRPr="002B65F7">
        <w:t>Dans un sous-groupe de patients présentant des fistules avec écoulement à l’inclusion (8,8% ; n</w:t>
      </w:r>
      <w:r w:rsidR="0021639B" w:rsidRPr="002B65F7">
        <w:t> </w:t>
      </w:r>
      <w:r w:rsidRPr="002B65F7">
        <w:t>=</w:t>
      </w:r>
      <w:r w:rsidR="0021639B" w:rsidRPr="002B65F7">
        <w:t> </w:t>
      </w:r>
      <w:r w:rsidRPr="002B65F7">
        <w:t xml:space="preserve">26), 12/15 (80%) des patients traités par </w:t>
      </w:r>
      <w:r w:rsidR="0071390F" w:rsidRPr="002B65F7">
        <w:t>ustekinumab</w:t>
      </w:r>
      <w:r w:rsidRPr="002B65F7">
        <w:t xml:space="preserve"> ont obtenu une réponse sur les fistules sous</w:t>
      </w:r>
      <w:r w:rsidR="0021639B" w:rsidRPr="002B65F7">
        <w:t xml:space="preserve"> </w:t>
      </w:r>
      <w:r w:rsidRPr="002B65F7">
        <w:t>44</w:t>
      </w:r>
      <w:r w:rsidR="0021639B" w:rsidRPr="002B65F7">
        <w:t> </w:t>
      </w:r>
      <w:r w:rsidRPr="002B65F7">
        <w:t>semaines (définie comme une réduction du nombre de fistules avec écoulement</w:t>
      </w:r>
      <w:r w:rsidR="0021639B" w:rsidRPr="002B65F7">
        <w:t> </w:t>
      </w:r>
      <w:r w:rsidRPr="002B65F7">
        <w:t>≥</w:t>
      </w:r>
      <w:r w:rsidR="0021639B" w:rsidRPr="002B65F7">
        <w:t> </w:t>
      </w:r>
      <w:r w:rsidRPr="002B65F7">
        <w:t>50% par rapport à l’inclusion dans l’étude d’induction) comparé à 5/11 (45,5%) des patients exposés au placebo.</w:t>
      </w:r>
    </w:p>
    <w:p w14:paraId="1FA408C1" w14:textId="77777777" w:rsidR="00B46961" w:rsidRPr="002B65F7" w:rsidRDefault="00B46961" w:rsidP="00496255">
      <w:pPr>
        <w:widowControl/>
        <w:rPr>
          <w:i/>
          <w:iCs/>
        </w:rPr>
      </w:pPr>
    </w:p>
    <w:p w14:paraId="03B57E09" w14:textId="7138806F" w:rsidR="00092F83" w:rsidRPr="002B65F7" w:rsidRDefault="00C31740" w:rsidP="00496255">
      <w:pPr>
        <w:keepNext/>
        <w:widowControl/>
        <w:rPr>
          <w:i/>
          <w:iCs/>
          <w:u w:val="single"/>
        </w:rPr>
      </w:pPr>
      <w:r w:rsidRPr="002B65F7">
        <w:rPr>
          <w:i/>
          <w:iCs/>
          <w:u w:val="single"/>
        </w:rPr>
        <w:t>Qualité de vie liée à la santé</w:t>
      </w:r>
    </w:p>
    <w:p w14:paraId="3B456B77" w14:textId="77777777" w:rsidR="00B46961" w:rsidRPr="002B65F7" w:rsidRDefault="00B46961" w:rsidP="00496255">
      <w:pPr>
        <w:keepNext/>
        <w:widowControl/>
        <w:rPr>
          <w:i/>
          <w:iCs/>
        </w:rPr>
      </w:pPr>
    </w:p>
    <w:p w14:paraId="03B57E0A" w14:textId="2A0ABAFF" w:rsidR="00092F83" w:rsidRPr="002B65F7" w:rsidRDefault="00C31740" w:rsidP="00496255">
      <w:pPr>
        <w:widowControl/>
      </w:pPr>
      <w:r w:rsidRPr="002B65F7">
        <w:t>La qualité de vie liée à la santé a été évaluée par les questionnaires sur la maladie inflammatoire intestinale (IBDQ) et SF-36. À la semaine</w:t>
      </w:r>
      <w:r w:rsidR="008802AF" w:rsidRPr="002B65F7">
        <w:t> </w:t>
      </w:r>
      <w:r w:rsidRPr="002B65F7">
        <w:t>8, les patients recevant l’</w:t>
      </w:r>
      <w:r w:rsidR="0071390F" w:rsidRPr="002B65F7">
        <w:t>ustekinumab</w:t>
      </w:r>
      <w:r w:rsidRPr="002B65F7">
        <w:t xml:space="preserve"> ont montré des améliorations supérieures, de manière statistiquement significative, et importantes sur le plan clinique, du score total IBDQ et de la composante mentale du score SF-36</w:t>
      </w:r>
      <w:r w:rsidR="008802AF" w:rsidRPr="002B65F7">
        <w:t> </w:t>
      </w:r>
      <w:r w:rsidRPr="002B65F7">
        <w:t>dans les études UNITI-1 et UNITI-2, et de la composante physique du score SF-36</w:t>
      </w:r>
      <w:r w:rsidR="008802AF" w:rsidRPr="002B65F7">
        <w:t> </w:t>
      </w:r>
      <w:r w:rsidRPr="002B65F7">
        <w:t xml:space="preserve">dans l’étude UNITI-2, comparativement au placebo. Ces améliorations se sont généralement mieux maintenues chez les patients traités par </w:t>
      </w:r>
      <w:r w:rsidR="0071390F" w:rsidRPr="002B65F7">
        <w:t>ustekinumab</w:t>
      </w:r>
      <w:r w:rsidRPr="002B65F7">
        <w:t xml:space="preserve"> dans l’étude IM-UNITI jusqu’à la semaine 44 comparativement au placebo. L’amélioration de la qualité de vie liée à la santé était généralement maintenue pendant l’étude d’extension jusqu’à la semaine</w:t>
      </w:r>
      <w:r w:rsidR="008802AF" w:rsidRPr="002B65F7">
        <w:t> </w:t>
      </w:r>
      <w:r w:rsidRPr="002B65F7">
        <w:t>252.</w:t>
      </w:r>
    </w:p>
    <w:p w14:paraId="03B57EE8" w14:textId="77777777" w:rsidR="00092F83" w:rsidRPr="002B65F7" w:rsidRDefault="00092F83" w:rsidP="00496255">
      <w:pPr>
        <w:widowControl/>
      </w:pPr>
    </w:p>
    <w:p w14:paraId="03B57EE9" w14:textId="77777777" w:rsidR="00092F83" w:rsidRPr="002B65F7" w:rsidRDefault="00C31740" w:rsidP="00496255">
      <w:pPr>
        <w:keepNext/>
        <w:widowControl/>
        <w:rPr>
          <w:u w:val="single"/>
        </w:rPr>
      </w:pPr>
      <w:r w:rsidRPr="002B65F7">
        <w:rPr>
          <w:u w:val="single"/>
        </w:rPr>
        <w:t>Immunogénicité</w:t>
      </w:r>
    </w:p>
    <w:p w14:paraId="19CBD28C" w14:textId="77777777" w:rsidR="006E3B8C" w:rsidRPr="002B65F7" w:rsidRDefault="006E3B8C" w:rsidP="00496255">
      <w:pPr>
        <w:keepNext/>
        <w:widowControl/>
        <w:rPr>
          <w:u w:val="single"/>
        </w:rPr>
      </w:pPr>
    </w:p>
    <w:p w14:paraId="03B57EEA" w14:textId="4158E892" w:rsidR="00092F83" w:rsidRPr="002B65F7" w:rsidRDefault="00C31740" w:rsidP="00496255">
      <w:pPr>
        <w:widowControl/>
      </w:pPr>
      <w:r w:rsidRPr="002B65F7">
        <w:t>Des anticorps dirigés contre l’</w:t>
      </w:r>
      <w:r w:rsidR="0071390F" w:rsidRPr="002B65F7">
        <w:t>ustekinumab</w:t>
      </w:r>
      <w:r w:rsidRPr="002B65F7">
        <w:t xml:space="preserve"> peuvent se développer durant le traitement par </w:t>
      </w:r>
      <w:r w:rsidR="0071390F" w:rsidRPr="002B65F7">
        <w:t>ustekinumab</w:t>
      </w:r>
      <w:r w:rsidRPr="002B65F7">
        <w:t>, et la plupart sont neutralisants. La formation d’anticorps dirigés contre l’</w:t>
      </w:r>
      <w:r w:rsidR="0071390F" w:rsidRPr="002B65F7">
        <w:t>ustekinumab</w:t>
      </w:r>
      <w:r w:rsidRPr="002B65F7">
        <w:t xml:space="preserve"> est associée à une augmentation de la clairance de l’</w:t>
      </w:r>
      <w:r w:rsidR="0071390F" w:rsidRPr="002B65F7">
        <w:t>ustekinumab</w:t>
      </w:r>
      <w:r w:rsidRPr="002B65F7">
        <w:t xml:space="preserve"> chez les patients atteints de la maladie de Crohn. Aucune diminution de l’efficacité n’a été observée. Il n’y a pas de corrélation apparente entre la présence d’anticorps dirigés contre l’</w:t>
      </w:r>
      <w:r w:rsidR="0071390F" w:rsidRPr="002B65F7">
        <w:t>ustekinumab</w:t>
      </w:r>
      <w:r w:rsidRPr="002B65F7">
        <w:t xml:space="preserve"> et la survenue de réactions au site d’injection.</w:t>
      </w:r>
    </w:p>
    <w:p w14:paraId="03B57EEB" w14:textId="77777777" w:rsidR="00092F83" w:rsidRPr="002B65F7" w:rsidRDefault="00092F83" w:rsidP="00496255">
      <w:pPr>
        <w:widowControl/>
      </w:pPr>
    </w:p>
    <w:p w14:paraId="03B57EEC" w14:textId="77777777" w:rsidR="00092F83" w:rsidRPr="002B65F7" w:rsidRDefault="00C31740" w:rsidP="00496255">
      <w:pPr>
        <w:keepNext/>
        <w:widowControl/>
        <w:rPr>
          <w:u w:val="single"/>
        </w:rPr>
      </w:pPr>
      <w:r w:rsidRPr="002B65F7">
        <w:rPr>
          <w:u w:val="single"/>
        </w:rPr>
        <w:lastRenderedPageBreak/>
        <w:t>Population pédiatrique</w:t>
      </w:r>
    </w:p>
    <w:p w14:paraId="4C10D457" w14:textId="77777777" w:rsidR="006E3B8C" w:rsidRPr="002B65F7" w:rsidRDefault="006E3B8C" w:rsidP="00496255">
      <w:pPr>
        <w:keepNext/>
        <w:widowControl/>
      </w:pPr>
    </w:p>
    <w:p w14:paraId="03B57EED" w14:textId="30192A46" w:rsidR="00092F83" w:rsidRPr="002B65F7" w:rsidRDefault="00C31740" w:rsidP="00496255">
      <w:pPr>
        <w:widowControl/>
      </w:pPr>
      <w:r w:rsidRPr="002B65F7">
        <w:t>L’Agence européenne des médicaments a différé l’obligation de soumettre les résultats d’études réalisées avec l’</w:t>
      </w:r>
      <w:r w:rsidR="0071390F" w:rsidRPr="002B65F7">
        <w:t>ustekinumab</w:t>
      </w:r>
      <w:r w:rsidRPr="002B65F7">
        <w:t xml:space="preserve"> dans un ou plusieurs sous-groupes de la population pédiatrique dans la maladie de Crohn (voir rubrique</w:t>
      </w:r>
      <w:r w:rsidR="006E3B8C" w:rsidRPr="002B65F7">
        <w:t> </w:t>
      </w:r>
      <w:r w:rsidRPr="002B65F7">
        <w:t>4.2 pour les informations concernant l’usage pédiatrique).</w:t>
      </w:r>
    </w:p>
    <w:p w14:paraId="6126A552" w14:textId="77777777" w:rsidR="00F56E2A" w:rsidRDefault="00F56E2A" w:rsidP="009274B2">
      <w:pPr>
        <w:keepNext/>
        <w:rPr>
          <w:i/>
          <w:iCs/>
          <w:noProof/>
          <w:lang w:eastAsia="nl-BE"/>
        </w:rPr>
      </w:pPr>
      <w:bookmarkStart w:id="3" w:name="_Hlk191645842"/>
      <w:bookmarkStart w:id="4" w:name="_Hlk191290312"/>
    </w:p>
    <w:p w14:paraId="7FC55930" w14:textId="72B9E8D8" w:rsidR="009274B2" w:rsidRDefault="009274B2" w:rsidP="003743BD">
      <w:pPr>
        <w:keepNext/>
        <w:keepLines/>
        <w:rPr>
          <w:i/>
          <w:iCs/>
          <w:noProof/>
          <w:lang w:eastAsia="nl-BE"/>
        </w:rPr>
      </w:pPr>
      <w:r>
        <w:rPr>
          <w:i/>
          <w:iCs/>
          <w:noProof/>
          <w:lang w:eastAsia="nl-BE"/>
        </w:rPr>
        <w:t>Maladie de Crohn chez l’enfant</w:t>
      </w:r>
    </w:p>
    <w:p w14:paraId="0C7CBB4E" w14:textId="77777777" w:rsidR="00F56E2A" w:rsidRDefault="00F56E2A" w:rsidP="003743BD">
      <w:pPr>
        <w:keepNext/>
        <w:keepLines/>
        <w:rPr>
          <w:noProof/>
          <w:lang w:eastAsia="nl-BE"/>
        </w:rPr>
      </w:pPr>
    </w:p>
    <w:p w14:paraId="50FB7AA7" w14:textId="6FC8FC1C" w:rsidR="009274B2" w:rsidRDefault="009274B2" w:rsidP="003743BD">
      <w:pPr>
        <w:keepNext/>
        <w:keepLines/>
      </w:pPr>
      <w:r>
        <w:rPr>
          <w:noProof/>
          <w:lang w:eastAsia="nl-BE"/>
        </w:rPr>
        <w:t>La sécurité et l’efficacité de l’ustekinumab ont été évaluées chez 48 patients pédiatriques pesant au moins 40 kg, au cours d’une analyse intermédiaire d’une étude de phase 3 multicentrique (UNITI­Jr) chez des patients pédiatriques atteints de la maladie de Crohn active modérée à sévère (définie par un score PCDAI [Paediatric Crohn’s Disease Activity Index] &gt; 30) pendant 52 semaines de traitement (8 semaines de traitement d’induction et 44 semaines de traitement d’entretien). Les patients inclus dans l’étude avaient présenté une réponse insuffisante ou n’avaient pas toléré un précédent traitement biologique ou conventionnel pour la maladie de Crohn. L’étude comprenait un traitement d’induction en ouvert avec une dose intraveineuse unique d’ustekinumab d’environ 6 mg/kg (voir rubrique 4.2), suivi d’une phase randomisée en double aveugle de traitement d’entretien sous-cutané de 90 mg d’ustekinumab administré toutes les 8 ou 12 semaines.</w:t>
      </w:r>
    </w:p>
    <w:bookmarkEnd w:id="3"/>
    <w:p w14:paraId="5A9D2804" w14:textId="77777777" w:rsidR="009274B2" w:rsidRDefault="009274B2" w:rsidP="009274B2">
      <w:pPr>
        <w:rPr>
          <w:noProof/>
          <w:lang w:eastAsia="nl-BE"/>
        </w:rPr>
      </w:pPr>
    </w:p>
    <w:p w14:paraId="5A150901" w14:textId="2505EF19" w:rsidR="009274B2" w:rsidRPr="003743BD" w:rsidRDefault="009274B2" w:rsidP="009274B2">
      <w:pPr>
        <w:keepNext/>
        <w:rPr>
          <w:i/>
          <w:iCs/>
          <w:noProof/>
          <w:u w:val="single"/>
          <w:lang w:eastAsia="nl-BE"/>
        </w:rPr>
      </w:pPr>
      <w:r w:rsidRPr="003743BD">
        <w:rPr>
          <w:i/>
          <w:iCs/>
          <w:noProof/>
          <w:u w:val="single"/>
          <w:lang w:eastAsia="nl-BE"/>
        </w:rPr>
        <w:t>Résultats d’efficacité</w:t>
      </w:r>
    </w:p>
    <w:p w14:paraId="2CBCF5B7" w14:textId="77777777" w:rsidR="00F56E2A" w:rsidRDefault="00F56E2A" w:rsidP="003743BD">
      <w:pPr>
        <w:keepNext/>
        <w:rPr>
          <w:i/>
          <w:iCs/>
          <w:noProof/>
          <w:lang w:eastAsia="nl-BE"/>
        </w:rPr>
      </w:pPr>
    </w:p>
    <w:p w14:paraId="74074640" w14:textId="6FB25477" w:rsidR="009274B2" w:rsidRDefault="009274B2" w:rsidP="009274B2">
      <w:r>
        <w:rPr>
          <w:noProof/>
          <w:lang w:eastAsia="nl-BE"/>
        </w:rPr>
        <w:t xml:space="preserve">Le critère primaire de l’étude était la rémission clinique à la semaine 8 de l’induction (définie par un score PCDAI </w:t>
      </w:r>
      <w:r>
        <w:rPr>
          <w:rFonts w:hint="eastAsia"/>
          <w:noProof/>
          <w:lang w:eastAsia="nl-BE"/>
        </w:rPr>
        <w:t>≤</w:t>
      </w:r>
      <w:r>
        <w:rPr>
          <w:noProof/>
          <w:lang w:eastAsia="nl-BE"/>
        </w:rPr>
        <w:t> 10). La proportion de patients ayant atteint une rémission clinique était de 52,1 % (25/48), ce qui est comparable à celle observée dans les études de phase 3 sur l’ustekinumab chez l’adulte.</w:t>
      </w:r>
    </w:p>
    <w:p w14:paraId="561EEBC0" w14:textId="77777777" w:rsidR="009274B2" w:rsidRDefault="009274B2" w:rsidP="009274B2">
      <w:pPr>
        <w:rPr>
          <w:noProof/>
          <w:lang w:eastAsia="nl-BE"/>
        </w:rPr>
      </w:pPr>
    </w:p>
    <w:p w14:paraId="7B47112B" w14:textId="275F56E3" w:rsidR="009274B2" w:rsidRDefault="009274B2" w:rsidP="009274B2">
      <w:pPr>
        <w:rPr>
          <w:noProof/>
          <w:lang w:eastAsia="nl-BE"/>
        </w:rPr>
      </w:pPr>
      <w:bookmarkStart w:id="5" w:name="_Hlk191646041"/>
      <w:r>
        <w:rPr>
          <w:noProof/>
          <w:lang w:eastAsia="nl-BE"/>
        </w:rPr>
        <w:t>La réponse clinique a été observée dès la semaine 3. La proportion de patients présentant une réponse clinique à la semaine 8 (définie comme une réduction du score PCDAI de &gt; 12,5 points par rapport à l’inclusion, avec un score PCDAI total ne dépassant pas 30) était de 93,8 % (45/48).</w:t>
      </w:r>
    </w:p>
    <w:bookmarkEnd w:id="5"/>
    <w:p w14:paraId="706A9874" w14:textId="77777777" w:rsidR="009274B2" w:rsidRDefault="009274B2" w:rsidP="009274B2">
      <w:pPr>
        <w:rPr>
          <w:noProof/>
          <w:lang w:eastAsia="nl-BE"/>
        </w:rPr>
      </w:pPr>
    </w:p>
    <w:p w14:paraId="44678178" w14:textId="0F950D79" w:rsidR="009274B2" w:rsidRDefault="009274B2" w:rsidP="009274B2">
      <w:pPr>
        <w:rPr>
          <w:noProof/>
          <w:lang w:eastAsia="nl-BE"/>
        </w:rPr>
      </w:pPr>
      <w:r>
        <w:rPr>
          <w:noProof/>
          <w:lang w:eastAsia="nl-BE"/>
        </w:rPr>
        <w:t>Le Tableau 6 présente les analyses des critères secondaires jusqu’à la semaine 44 d’entretien.</w:t>
      </w:r>
    </w:p>
    <w:p w14:paraId="51DE9EA7" w14:textId="77777777" w:rsidR="009274B2" w:rsidRDefault="009274B2" w:rsidP="009274B2">
      <w:pPr>
        <w:rPr>
          <w:noProof/>
          <w:lang w:eastAsia="nl-BE"/>
        </w:rPr>
      </w:pPr>
    </w:p>
    <w:p w14:paraId="64794023" w14:textId="19F22AEA" w:rsidR="009274B2" w:rsidRDefault="009274B2" w:rsidP="009274B2">
      <w:pPr>
        <w:keepNext/>
        <w:ind w:left="1134" w:hanging="1134"/>
        <w:rPr>
          <w:b/>
          <w:bCs/>
          <w:noProof/>
          <w:lang w:eastAsia="nl-BE"/>
        </w:rPr>
      </w:pPr>
      <w:r w:rsidRPr="003743BD">
        <w:rPr>
          <w:b/>
          <w:bCs/>
          <w:noProof/>
          <w:lang w:eastAsia="nl-BE"/>
        </w:rPr>
        <w:t>Tableau </w:t>
      </w:r>
      <w:r>
        <w:rPr>
          <w:b/>
          <w:bCs/>
          <w:noProof/>
          <w:lang w:eastAsia="nl-BE"/>
        </w:rPr>
        <w:t>6</w:t>
      </w:r>
      <w:r w:rsidRPr="003743BD">
        <w:rPr>
          <w:b/>
          <w:bCs/>
          <w:noProof/>
          <w:lang w:eastAsia="nl-BE"/>
        </w:rPr>
        <w:t> </w:t>
      </w:r>
      <w:r>
        <w:rPr>
          <w:b/>
          <w:bCs/>
          <w:noProof/>
          <w:lang w:eastAsia="nl-BE"/>
        </w:rPr>
        <w:t>.</w:t>
      </w:r>
      <w:r w:rsidRPr="003743BD">
        <w:rPr>
          <w:b/>
          <w:bCs/>
          <w:noProof/>
          <w:lang w:eastAsia="nl-BE"/>
        </w:rPr>
        <w:t xml:space="preserve"> Résumé des critères secondaires jusqu'à la semaine 44 d’entretien</w:t>
      </w:r>
    </w:p>
    <w:p w14:paraId="4101809D" w14:textId="77777777" w:rsidR="00F56E2A" w:rsidRPr="003743BD" w:rsidRDefault="00F56E2A" w:rsidP="003743BD">
      <w:pPr>
        <w:keepNext/>
        <w:ind w:left="1134" w:hanging="1134"/>
        <w:rPr>
          <w:b/>
          <w:bCs/>
          <w:noProof/>
          <w:lang w:eastAsia="nl-BE"/>
        </w:rPr>
      </w:pPr>
    </w:p>
    <w:tbl>
      <w:tblPr>
        <w:tblW w:w="9072"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16"/>
        <w:gridCol w:w="1835"/>
        <w:gridCol w:w="1775"/>
        <w:gridCol w:w="2046"/>
      </w:tblGrid>
      <w:tr w:rsidR="009274B2" w14:paraId="1A635704"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49B7BA3D" w14:textId="77777777" w:rsidR="009274B2" w:rsidRDefault="009274B2" w:rsidP="002F173E">
            <w:pPr>
              <w:keepNext/>
              <w:jc w:val="center"/>
            </w:pPr>
            <w:r>
              <w:rPr>
                <w:b/>
                <w:bCs/>
              </w:rPr>
              <w:t> </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28708AE8" w14:textId="77777777" w:rsidR="009274B2" w:rsidRDefault="009274B2" w:rsidP="002F173E">
            <w:pPr>
              <w:keepNext/>
              <w:jc w:val="center"/>
              <w:rPr>
                <w:b/>
                <w:bCs/>
              </w:rPr>
            </w:pPr>
            <w:r>
              <w:rPr>
                <w:b/>
                <w:bCs/>
              </w:rPr>
              <w:t>Ustekinumab 90 mg toutes les 8 semaines</w:t>
            </w:r>
          </w:p>
          <w:p w14:paraId="008DAA78" w14:textId="77777777" w:rsidR="009274B2" w:rsidRDefault="009274B2" w:rsidP="002F173E">
            <w:pPr>
              <w:keepNext/>
              <w:jc w:val="center"/>
            </w:pPr>
            <w:r>
              <w:rPr>
                <w:b/>
                <w:bCs/>
              </w:rPr>
              <w:t>N = 23</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55D17C4F" w14:textId="77777777" w:rsidR="009274B2" w:rsidRDefault="009274B2" w:rsidP="002F173E">
            <w:pPr>
              <w:keepNext/>
              <w:jc w:val="center"/>
              <w:rPr>
                <w:b/>
                <w:bCs/>
              </w:rPr>
            </w:pPr>
            <w:r>
              <w:rPr>
                <w:b/>
                <w:bCs/>
              </w:rPr>
              <w:t>Ustekinumab 90 mg toutes les 12 semaines</w:t>
            </w:r>
          </w:p>
          <w:p w14:paraId="609ABDD0" w14:textId="77777777" w:rsidR="009274B2" w:rsidRDefault="009274B2" w:rsidP="002F173E">
            <w:pPr>
              <w:keepNext/>
              <w:jc w:val="center"/>
            </w:pPr>
            <w:r>
              <w:rPr>
                <w:b/>
                <w:bCs/>
              </w:rPr>
              <w:t>N = 25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2B70B512" w14:textId="77777777" w:rsidR="009274B2" w:rsidRDefault="009274B2" w:rsidP="002F173E">
            <w:pPr>
              <w:keepNext/>
              <w:jc w:val="center"/>
            </w:pPr>
            <w:r>
              <w:rPr>
                <w:b/>
                <w:bCs/>
              </w:rPr>
              <w:t>Nombre total de patients</w:t>
            </w:r>
          </w:p>
          <w:p w14:paraId="1DDF4B95" w14:textId="77777777" w:rsidR="009274B2" w:rsidRDefault="009274B2" w:rsidP="002F173E">
            <w:pPr>
              <w:keepNext/>
              <w:jc w:val="center"/>
            </w:pPr>
            <w:r>
              <w:rPr>
                <w:b/>
                <w:bCs/>
              </w:rPr>
              <w:t>N = 48</w:t>
            </w:r>
          </w:p>
        </w:tc>
      </w:tr>
      <w:tr w:rsidR="009274B2" w14:paraId="7AF36302"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700DFDA8" w14:textId="77777777" w:rsidR="009274B2" w:rsidRDefault="009274B2" w:rsidP="002F173E">
            <w:pPr>
              <w:rPr>
                <w:sz w:val="17"/>
                <w:szCs w:val="17"/>
              </w:rPr>
            </w:pPr>
            <w:r>
              <w:t xml:space="preserve">Rémission clinique </w:t>
            </w:r>
            <w:r>
              <w:rPr>
                <w:vertAlign w:val="superscript"/>
              </w:rPr>
              <w:t>* </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63C901A0" w14:textId="77777777" w:rsidR="009274B2" w:rsidRDefault="009274B2" w:rsidP="002F173E">
            <w:pPr>
              <w:jc w:val="center"/>
            </w:pPr>
            <w:r>
              <w:t>43,5 % (10/23)</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31505109" w14:textId="77777777" w:rsidR="009274B2" w:rsidRDefault="009274B2" w:rsidP="002F173E">
            <w:pPr>
              <w:jc w:val="center"/>
            </w:pPr>
            <w:r>
              <w:t>60,0 % (15/25)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71418E0C" w14:textId="77777777" w:rsidR="009274B2" w:rsidRDefault="009274B2" w:rsidP="002F173E">
            <w:pPr>
              <w:jc w:val="center"/>
            </w:pPr>
            <w:r>
              <w:t>52,1 % (25/48)</w:t>
            </w:r>
          </w:p>
        </w:tc>
      </w:tr>
      <w:tr w:rsidR="009274B2" w14:paraId="3742AD54"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662A3F48" w14:textId="77777777" w:rsidR="009274B2" w:rsidRDefault="009274B2" w:rsidP="002F173E">
            <w:r>
              <w:t>Rémission clinique sans corticoïdes </w:t>
            </w:r>
            <w:r>
              <w:rPr>
                <w:vertAlign w:val="superscript"/>
              </w:rPr>
              <w:t>§</w:t>
            </w:r>
            <w:r>
              <w:t> </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7DCA9B39" w14:textId="77777777" w:rsidR="009274B2" w:rsidRDefault="009274B2" w:rsidP="002F173E">
            <w:pPr>
              <w:jc w:val="center"/>
            </w:pPr>
            <w:r>
              <w:t>43,5 % (10/23)</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60B1D364" w14:textId="77777777" w:rsidR="009274B2" w:rsidRDefault="009274B2" w:rsidP="002F173E">
            <w:pPr>
              <w:jc w:val="center"/>
            </w:pPr>
            <w:r>
              <w:t>60,0 % (15/25)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21077C92" w14:textId="77777777" w:rsidR="009274B2" w:rsidRDefault="009274B2" w:rsidP="002F173E">
            <w:pPr>
              <w:jc w:val="center"/>
            </w:pPr>
            <w:r>
              <w:t>52,1 % (25/48)</w:t>
            </w:r>
          </w:p>
        </w:tc>
      </w:tr>
      <w:tr w:rsidR="009274B2" w14:paraId="6DF23035"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14004383" w14:textId="77777777" w:rsidR="009274B2" w:rsidRDefault="009274B2" w:rsidP="002F173E">
            <w:r>
              <w:t>Rémission clinique pour les patients qui étaient en rémission clinique à la semaine 8 de l’induction</w:t>
            </w:r>
            <w:r>
              <w:rPr>
                <w:vertAlign w:val="superscript"/>
              </w:rPr>
              <w:t xml:space="preserve"> *</w:t>
            </w:r>
            <w:r>
              <w:t> </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692AC3D1" w14:textId="77777777" w:rsidR="009274B2" w:rsidRDefault="009274B2" w:rsidP="002F173E">
            <w:pPr>
              <w:jc w:val="center"/>
            </w:pPr>
            <w:r>
              <w:t>64,3 % (9/14)</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28A710DA" w14:textId="77777777" w:rsidR="009274B2" w:rsidRDefault="009274B2" w:rsidP="002F173E">
            <w:pPr>
              <w:jc w:val="center"/>
            </w:pPr>
            <w:r>
              <w:t>54,5 % (6/11)</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2C3E5290" w14:textId="77777777" w:rsidR="009274B2" w:rsidRDefault="009274B2" w:rsidP="002F173E">
            <w:pPr>
              <w:jc w:val="center"/>
            </w:pPr>
            <w:r>
              <w:t>60,0 % (15/25)</w:t>
            </w:r>
          </w:p>
        </w:tc>
      </w:tr>
      <w:tr w:rsidR="009274B2" w14:paraId="0D4A2ADE"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7F304F8B" w14:textId="77777777" w:rsidR="009274B2" w:rsidRDefault="009274B2" w:rsidP="002F173E">
            <w:r>
              <w:t xml:space="preserve">Réponse clinique </w:t>
            </w:r>
            <w:r>
              <w:rPr>
                <w:vertAlign w:val="superscript"/>
              </w:rPr>
              <w:t>†</w:t>
            </w:r>
            <w:r>
              <w:t> </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7B689615" w14:textId="77777777" w:rsidR="009274B2" w:rsidRDefault="009274B2" w:rsidP="002F173E">
            <w:pPr>
              <w:jc w:val="center"/>
            </w:pPr>
            <w:r>
              <w:t>52,2 % (12/23)</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765296F1" w14:textId="77777777" w:rsidR="009274B2" w:rsidRDefault="009274B2" w:rsidP="002F173E">
            <w:pPr>
              <w:jc w:val="center"/>
            </w:pPr>
            <w:r>
              <w:t>60,0 % (15/25)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59758A5E" w14:textId="77777777" w:rsidR="009274B2" w:rsidRDefault="009274B2" w:rsidP="002F173E">
            <w:pPr>
              <w:jc w:val="center"/>
            </w:pPr>
            <w:r>
              <w:t>56,3 % (27/48)</w:t>
            </w:r>
          </w:p>
        </w:tc>
      </w:tr>
      <w:tr w:rsidR="009274B2" w14:paraId="59FF970E"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715B3DA5" w14:textId="77777777" w:rsidR="009274B2" w:rsidRDefault="009274B2" w:rsidP="002F173E">
            <w:r>
              <w:t xml:space="preserve">Réponse endoscopique </w:t>
            </w:r>
            <w:r>
              <w:rPr>
                <w:vertAlign w:val="superscript"/>
              </w:rPr>
              <w:t>£</w:t>
            </w:r>
            <w:r>
              <w:t> </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5458C938" w14:textId="77777777" w:rsidR="009274B2" w:rsidRDefault="009274B2" w:rsidP="002F173E">
            <w:pPr>
              <w:jc w:val="center"/>
            </w:pPr>
            <w:r>
              <w:t>22,7 % (5/22)</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6D2C40EF" w14:textId="77777777" w:rsidR="009274B2" w:rsidRDefault="009274B2" w:rsidP="002F173E">
            <w:pPr>
              <w:jc w:val="center"/>
            </w:pPr>
            <w:r>
              <w:t>28,0 % (7/25)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55C3F7A0" w14:textId="77777777" w:rsidR="009274B2" w:rsidRDefault="009274B2" w:rsidP="002F173E">
            <w:pPr>
              <w:jc w:val="center"/>
            </w:pPr>
            <w:r>
              <w:t>25,5 % (12/47)</w:t>
            </w:r>
          </w:p>
        </w:tc>
      </w:tr>
      <w:tr w:rsidR="009274B2" w14:paraId="49F6ED91" w14:textId="77777777" w:rsidTr="003743BD">
        <w:trPr>
          <w:cantSplit/>
          <w:jc w:val="center"/>
        </w:trPr>
        <w:tc>
          <w:tcPr>
            <w:tcW w:w="9045" w:type="dxa"/>
            <w:gridSpan w:val="4"/>
            <w:tcBorders>
              <w:top w:val="single" w:sz="6" w:space="0" w:color="auto"/>
              <w:left w:val="nil"/>
              <w:bottom w:val="nil"/>
              <w:right w:val="nil"/>
            </w:tcBorders>
            <w:tcMar>
              <w:left w:w="105" w:type="dxa"/>
              <w:right w:w="105" w:type="dxa"/>
            </w:tcMar>
          </w:tcPr>
          <w:p w14:paraId="3D52DD70" w14:textId="3502D0F1" w:rsidR="009274B2" w:rsidRPr="003743BD" w:rsidRDefault="009274B2" w:rsidP="003743BD">
            <w:pPr>
              <w:rPr>
                <w:sz w:val="20"/>
                <w:szCs w:val="20"/>
              </w:rPr>
            </w:pPr>
            <w:r w:rsidRPr="003743BD">
              <w:rPr>
                <w:sz w:val="20"/>
                <w:szCs w:val="20"/>
                <w:vertAlign w:val="superscript"/>
              </w:rPr>
              <w:t>*</w:t>
            </w:r>
            <w:r w:rsidR="00F56E2A" w:rsidRPr="003743BD">
              <w:rPr>
                <w:sz w:val="20"/>
                <w:szCs w:val="20"/>
              </w:rPr>
              <w:t xml:space="preserve"> </w:t>
            </w:r>
            <w:r w:rsidRPr="003743BD">
              <w:rPr>
                <w:sz w:val="20"/>
                <w:szCs w:val="20"/>
              </w:rPr>
              <w:t>La rémission clinique est définie par un score PCDAI ≤ 10 points.</w:t>
            </w:r>
          </w:p>
          <w:p w14:paraId="2F05D400" w14:textId="48167E8C" w:rsidR="009274B2" w:rsidRPr="003743BD" w:rsidRDefault="009274B2" w:rsidP="003743BD">
            <w:pPr>
              <w:rPr>
                <w:sz w:val="20"/>
                <w:szCs w:val="20"/>
              </w:rPr>
            </w:pPr>
            <w:r w:rsidRPr="003743BD">
              <w:rPr>
                <w:sz w:val="20"/>
                <w:szCs w:val="20"/>
                <w:vertAlign w:val="superscript"/>
              </w:rPr>
              <w:t>§</w:t>
            </w:r>
            <w:r w:rsidR="00F56E2A" w:rsidRPr="003743BD">
              <w:rPr>
                <w:sz w:val="20"/>
                <w:szCs w:val="20"/>
              </w:rPr>
              <w:t xml:space="preserve"> </w:t>
            </w:r>
            <w:r w:rsidRPr="003743BD">
              <w:rPr>
                <w:sz w:val="20"/>
                <w:szCs w:val="20"/>
              </w:rPr>
              <w:t>La rémission sans corticoïdes est définie par un score PCDAI de ≤ 10 points sans recevoir de corticoïdes pendant au moins 90 jours avant la semaine 44 d’entretien.</w:t>
            </w:r>
          </w:p>
          <w:p w14:paraId="0DA2D454" w14:textId="2201A843" w:rsidR="009274B2" w:rsidRPr="003743BD" w:rsidRDefault="009274B2" w:rsidP="003743BD">
            <w:pPr>
              <w:rPr>
                <w:sz w:val="20"/>
                <w:szCs w:val="20"/>
              </w:rPr>
            </w:pPr>
            <w:r w:rsidRPr="003743BD">
              <w:rPr>
                <w:sz w:val="20"/>
                <w:szCs w:val="20"/>
                <w:vertAlign w:val="superscript"/>
              </w:rPr>
              <w:t>†</w:t>
            </w:r>
            <w:r w:rsidR="00F56E2A" w:rsidRPr="003743BD">
              <w:rPr>
                <w:sz w:val="20"/>
                <w:szCs w:val="20"/>
              </w:rPr>
              <w:t xml:space="preserve"> </w:t>
            </w:r>
            <w:r w:rsidRPr="003743BD">
              <w:rPr>
                <w:sz w:val="20"/>
                <w:szCs w:val="20"/>
              </w:rPr>
              <w:t>La réponse clinique est définie comme une réduction du score PCDAI de ≥ 12,5 points par rapport à l’inclusion avec un score PCDAI total ne dépassant pas 30.</w:t>
            </w:r>
          </w:p>
          <w:p w14:paraId="3AB84334" w14:textId="34A0DF4B" w:rsidR="009274B2" w:rsidRPr="003743BD" w:rsidRDefault="009274B2" w:rsidP="003743BD">
            <w:pPr>
              <w:rPr>
                <w:sz w:val="20"/>
                <w:szCs w:val="20"/>
              </w:rPr>
            </w:pPr>
            <w:r w:rsidRPr="003743BD">
              <w:rPr>
                <w:sz w:val="20"/>
                <w:szCs w:val="20"/>
                <w:vertAlign w:val="superscript"/>
              </w:rPr>
              <w:t>£</w:t>
            </w:r>
            <w:r w:rsidR="00F56E2A" w:rsidRPr="003743BD">
              <w:rPr>
                <w:sz w:val="20"/>
                <w:szCs w:val="20"/>
              </w:rPr>
              <w:t xml:space="preserve"> </w:t>
            </w:r>
            <w:r w:rsidRPr="003743BD">
              <w:rPr>
                <w:sz w:val="20"/>
                <w:szCs w:val="20"/>
              </w:rPr>
              <w:t>La réponse endoscopique est définie comme une réduction du score SES-CD de ≥ 50 % ou un score SES-CD ≤ 2, chez les patients ayant un score SES-CD ≥ 3 à l’inclusion.</w:t>
            </w:r>
          </w:p>
        </w:tc>
      </w:tr>
    </w:tbl>
    <w:p w14:paraId="4E22145D" w14:textId="77777777" w:rsidR="009274B2" w:rsidRDefault="009274B2" w:rsidP="009274B2">
      <w:pPr>
        <w:rPr>
          <w:i/>
          <w:iCs/>
          <w:noProof/>
          <w:lang w:eastAsia="nl-BE"/>
        </w:rPr>
      </w:pPr>
    </w:p>
    <w:p w14:paraId="0C7407EF" w14:textId="77777777" w:rsidR="009274B2" w:rsidRPr="003743BD" w:rsidRDefault="009274B2" w:rsidP="009274B2">
      <w:pPr>
        <w:keepNext/>
        <w:rPr>
          <w:i/>
          <w:iCs/>
          <w:noProof/>
          <w:u w:val="single"/>
          <w:lang w:eastAsia="nl-BE"/>
        </w:rPr>
      </w:pPr>
      <w:bookmarkStart w:id="6" w:name="_Hlk191646189"/>
      <w:r w:rsidRPr="003743BD">
        <w:rPr>
          <w:i/>
          <w:iCs/>
          <w:noProof/>
          <w:u w:val="single"/>
          <w:lang w:eastAsia="nl-BE"/>
        </w:rPr>
        <w:t>Ajustement posologique</w:t>
      </w:r>
    </w:p>
    <w:p w14:paraId="4345425E" w14:textId="77777777" w:rsidR="00F56E2A" w:rsidRDefault="00F56E2A" w:rsidP="003743BD">
      <w:pPr>
        <w:keepNext/>
        <w:rPr>
          <w:i/>
          <w:iCs/>
          <w:noProof/>
          <w:lang w:eastAsia="nl-BE"/>
        </w:rPr>
      </w:pPr>
    </w:p>
    <w:p w14:paraId="5A610EA0" w14:textId="79A406A5" w:rsidR="009274B2" w:rsidRDefault="009274B2" w:rsidP="009274B2">
      <w:pPr>
        <w:rPr>
          <w:noProof/>
          <w:lang w:eastAsia="nl-BE"/>
        </w:rPr>
      </w:pPr>
      <w:r w:rsidRPr="003743BD">
        <w:rPr>
          <w:noProof/>
          <w:lang w:eastAsia="nl-BE"/>
        </w:rPr>
        <w:t xml:space="preserve">Les patients qui sont entrés dans la phase </w:t>
      </w:r>
      <w:r>
        <w:rPr>
          <w:noProof/>
          <w:lang w:eastAsia="nl-BE"/>
        </w:rPr>
        <w:t>d’entretien</w:t>
      </w:r>
      <w:r w:rsidRPr="003743BD">
        <w:rPr>
          <w:noProof/>
          <w:lang w:eastAsia="nl-BE"/>
        </w:rPr>
        <w:t xml:space="preserve"> et qui ont présenté une perte de réponse basée sur </w:t>
      </w:r>
      <w:r w:rsidRPr="003743BD">
        <w:rPr>
          <w:noProof/>
          <w:lang w:eastAsia="nl-BE"/>
        </w:rPr>
        <w:lastRenderedPageBreak/>
        <w:t xml:space="preserve">le score PCDAI étaient éligibles à un ajustement </w:t>
      </w:r>
      <w:r>
        <w:rPr>
          <w:noProof/>
          <w:lang w:eastAsia="nl-BE"/>
        </w:rPr>
        <w:t>posologique</w:t>
      </w:r>
      <w:r w:rsidRPr="003743BD">
        <w:rPr>
          <w:noProof/>
          <w:lang w:eastAsia="nl-BE"/>
        </w:rPr>
        <w:t>. Les patients sont soit passé</w:t>
      </w:r>
      <w:r>
        <w:rPr>
          <w:noProof/>
          <w:lang w:eastAsia="nl-BE"/>
        </w:rPr>
        <w:t>s</w:t>
      </w:r>
      <w:r w:rsidRPr="003743BD">
        <w:rPr>
          <w:noProof/>
          <w:lang w:eastAsia="nl-BE"/>
        </w:rPr>
        <w:t xml:space="preserve"> d’un traitement toutes les 12</w:t>
      </w:r>
      <w:r>
        <w:rPr>
          <w:noProof/>
          <w:lang w:eastAsia="nl-BE"/>
        </w:rPr>
        <w:t xml:space="preserve"> semaines </w:t>
      </w:r>
      <w:r w:rsidRPr="003743BD">
        <w:rPr>
          <w:noProof/>
          <w:lang w:eastAsia="nl-BE"/>
        </w:rPr>
        <w:t xml:space="preserve">à </w:t>
      </w:r>
      <w:r>
        <w:rPr>
          <w:noProof/>
          <w:lang w:eastAsia="nl-BE"/>
        </w:rPr>
        <w:t xml:space="preserve">un traitement toutes les </w:t>
      </w:r>
      <w:r w:rsidRPr="003743BD">
        <w:rPr>
          <w:noProof/>
          <w:lang w:eastAsia="nl-BE"/>
        </w:rPr>
        <w:t>8</w:t>
      </w:r>
      <w:r>
        <w:rPr>
          <w:noProof/>
          <w:lang w:eastAsia="nl-BE"/>
        </w:rPr>
        <w:t> </w:t>
      </w:r>
      <w:r w:rsidRPr="003743BD">
        <w:rPr>
          <w:noProof/>
          <w:lang w:eastAsia="nl-BE"/>
        </w:rPr>
        <w:t xml:space="preserve">semaines ou sont restés </w:t>
      </w:r>
      <w:r>
        <w:rPr>
          <w:noProof/>
          <w:lang w:eastAsia="nl-BE"/>
        </w:rPr>
        <w:t>sur</w:t>
      </w:r>
      <w:r w:rsidRPr="003743BD">
        <w:rPr>
          <w:noProof/>
          <w:lang w:eastAsia="nl-BE"/>
        </w:rPr>
        <w:t xml:space="preserve"> un traitement toutes les 8</w:t>
      </w:r>
      <w:r>
        <w:rPr>
          <w:noProof/>
          <w:lang w:eastAsia="nl-BE"/>
        </w:rPr>
        <w:t> </w:t>
      </w:r>
      <w:r w:rsidRPr="003743BD">
        <w:rPr>
          <w:noProof/>
          <w:lang w:eastAsia="nl-BE"/>
        </w:rPr>
        <w:t>semaines (ajustement placebo). 2</w:t>
      </w:r>
      <w:r>
        <w:rPr>
          <w:noProof/>
          <w:lang w:eastAsia="nl-BE"/>
        </w:rPr>
        <w:t> </w:t>
      </w:r>
      <w:r w:rsidRPr="003743BD">
        <w:rPr>
          <w:noProof/>
          <w:lang w:eastAsia="nl-BE"/>
        </w:rPr>
        <w:t>patie</w:t>
      </w:r>
      <w:r>
        <w:rPr>
          <w:noProof/>
          <w:lang w:eastAsia="nl-BE"/>
        </w:rPr>
        <w:t>n</w:t>
      </w:r>
      <w:r w:rsidRPr="003743BD">
        <w:rPr>
          <w:noProof/>
          <w:lang w:eastAsia="nl-BE"/>
        </w:rPr>
        <w:t xml:space="preserve">ts ont eu un ajustement </w:t>
      </w:r>
      <w:r>
        <w:rPr>
          <w:noProof/>
          <w:lang w:eastAsia="nl-BE"/>
        </w:rPr>
        <w:t>posologique</w:t>
      </w:r>
      <w:r w:rsidRPr="003743BD">
        <w:rPr>
          <w:noProof/>
          <w:lang w:eastAsia="nl-BE"/>
        </w:rPr>
        <w:t xml:space="preserve"> </w:t>
      </w:r>
      <w:r>
        <w:rPr>
          <w:noProof/>
          <w:lang w:eastAsia="nl-BE"/>
        </w:rPr>
        <w:t>pour</w:t>
      </w:r>
      <w:r w:rsidRPr="003743BD">
        <w:rPr>
          <w:noProof/>
          <w:lang w:eastAsia="nl-BE"/>
        </w:rPr>
        <w:t xml:space="preserve"> </w:t>
      </w:r>
      <w:r>
        <w:rPr>
          <w:noProof/>
          <w:lang w:eastAsia="nl-BE"/>
        </w:rPr>
        <w:t>l’</w:t>
      </w:r>
      <w:r w:rsidRPr="003743BD">
        <w:rPr>
          <w:noProof/>
          <w:lang w:eastAsia="nl-BE"/>
        </w:rPr>
        <w:t>interval</w:t>
      </w:r>
      <w:r>
        <w:rPr>
          <w:noProof/>
          <w:lang w:eastAsia="nl-BE"/>
        </w:rPr>
        <w:t>le</w:t>
      </w:r>
      <w:r w:rsidRPr="003743BD">
        <w:rPr>
          <w:noProof/>
          <w:lang w:eastAsia="nl-BE"/>
        </w:rPr>
        <w:t xml:space="preserve"> de traitement </w:t>
      </w:r>
      <w:r>
        <w:rPr>
          <w:noProof/>
          <w:lang w:eastAsia="nl-BE"/>
        </w:rPr>
        <w:t xml:space="preserve">le </w:t>
      </w:r>
      <w:r w:rsidRPr="003743BD">
        <w:rPr>
          <w:noProof/>
          <w:lang w:eastAsia="nl-BE"/>
        </w:rPr>
        <w:t>plus court. Chez ces p</w:t>
      </w:r>
      <w:r>
        <w:rPr>
          <w:noProof/>
          <w:lang w:eastAsia="nl-BE"/>
        </w:rPr>
        <w:t>a</w:t>
      </w:r>
      <w:r w:rsidRPr="003743BD">
        <w:rPr>
          <w:noProof/>
          <w:lang w:eastAsia="nl-BE"/>
        </w:rPr>
        <w:t>tients, la rémission clinique a été atteinte chez 100 % (2/2) des patients</w:t>
      </w:r>
      <w:r>
        <w:rPr>
          <w:noProof/>
          <w:lang w:eastAsia="nl-BE"/>
        </w:rPr>
        <w:t xml:space="preserve"> 8 semaines</w:t>
      </w:r>
      <w:r w:rsidRPr="003743BD">
        <w:rPr>
          <w:noProof/>
          <w:lang w:eastAsia="nl-BE"/>
        </w:rPr>
        <w:t xml:space="preserve"> après l’ajustement </w:t>
      </w:r>
      <w:r>
        <w:rPr>
          <w:noProof/>
          <w:lang w:eastAsia="nl-BE"/>
        </w:rPr>
        <w:t>posologique</w:t>
      </w:r>
      <w:r w:rsidRPr="003743BD">
        <w:rPr>
          <w:noProof/>
          <w:lang w:eastAsia="nl-BE"/>
        </w:rPr>
        <w:t>.</w:t>
      </w:r>
    </w:p>
    <w:bookmarkEnd w:id="6"/>
    <w:p w14:paraId="587AEFCF" w14:textId="77777777" w:rsidR="009274B2" w:rsidRDefault="009274B2" w:rsidP="009274B2">
      <w:pPr>
        <w:rPr>
          <w:noProof/>
          <w:lang w:eastAsia="nl-BE"/>
        </w:rPr>
      </w:pPr>
    </w:p>
    <w:p w14:paraId="7F4EB050" w14:textId="23FE979C" w:rsidR="009274B2" w:rsidRPr="003743BD" w:rsidRDefault="009274B2" w:rsidP="009274B2">
      <w:pPr>
        <w:rPr>
          <w:noProof/>
          <w:lang w:eastAsia="nl-BE"/>
        </w:rPr>
      </w:pPr>
      <w:bookmarkStart w:id="7" w:name="_Hlk191646285"/>
      <w:r>
        <w:rPr>
          <w:noProof/>
          <w:lang w:eastAsia="nl-BE"/>
        </w:rPr>
        <w:t>Le profil de sécurité des phases de traitement d’induction et d’entretien dans la population pédiatrique pesant au moins 40 kg est comparable avec celui établi chez les patients adultes atteints de la maladie de Crohn (voir rubrique 4.8).</w:t>
      </w:r>
    </w:p>
    <w:bookmarkEnd w:id="7"/>
    <w:p w14:paraId="08CEDE48" w14:textId="77777777" w:rsidR="009274B2" w:rsidRDefault="009274B2" w:rsidP="009274B2">
      <w:pPr>
        <w:rPr>
          <w:i/>
          <w:iCs/>
          <w:noProof/>
          <w:lang w:eastAsia="nl-BE"/>
        </w:rPr>
      </w:pPr>
    </w:p>
    <w:p w14:paraId="03323552" w14:textId="77777777" w:rsidR="009274B2" w:rsidRPr="003743BD" w:rsidRDefault="009274B2" w:rsidP="009274B2">
      <w:pPr>
        <w:keepNext/>
        <w:rPr>
          <w:i/>
          <w:iCs/>
          <w:noProof/>
          <w:u w:val="single"/>
          <w:lang w:eastAsia="nl-BE"/>
        </w:rPr>
      </w:pPr>
      <w:r w:rsidRPr="003743BD">
        <w:rPr>
          <w:i/>
          <w:iCs/>
          <w:noProof/>
          <w:u w:val="single"/>
          <w:lang w:eastAsia="nl-BE"/>
        </w:rPr>
        <w:t>Biomarqueurs inflammatoires sériques et fécaux</w:t>
      </w:r>
    </w:p>
    <w:p w14:paraId="4F1F899B" w14:textId="77777777" w:rsidR="00F56E2A" w:rsidRDefault="00F56E2A" w:rsidP="003743BD">
      <w:pPr>
        <w:keepNext/>
        <w:rPr>
          <w:i/>
          <w:iCs/>
          <w:noProof/>
          <w:lang w:eastAsia="nl-BE"/>
        </w:rPr>
      </w:pPr>
    </w:p>
    <w:p w14:paraId="38343101" w14:textId="3587DF54" w:rsidR="009274B2" w:rsidRDefault="009274B2" w:rsidP="009274B2">
      <w:r>
        <w:rPr>
          <w:noProof/>
          <w:lang w:eastAsia="nl-BE"/>
        </w:rPr>
        <w:t>Le changement moyen à la semaine 44 d’entretien par rapport à l’inclusion des concentrations de protéine C-réactive (CRP) et de calprotectine fécale était de -11,17 mg/L (24,159) et de -538,2 mg/kg (1271,33), respectivement.</w:t>
      </w:r>
    </w:p>
    <w:p w14:paraId="4548BF45" w14:textId="77777777" w:rsidR="009274B2" w:rsidRDefault="009274B2" w:rsidP="009274B2">
      <w:pPr>
        <w:rPr>
          <w:noProof/>
          <w:lang w:eastAsia="nl-BE"/>
        </w:rPr>
      </w:pPr>
    </w:p>
    <w:p w14:paraId="12DE84A0" w14:textId="77777777" w:rsidR="009274B2" w:rsidRPr="003743BD" w:rsidRDefault="009274B2" w:rsidP="009274B2">
      <w:pPr>
        <w:keepNext/>
        <w:rPr>
          <w:i/>
          <w:iCs/>
          <w:noProof/>
          <w:u w:val="single"/>
          <w:lang w:eastAsia="nl-BE"/>
        </w:rPr>
      </w:pPr>
      <w:r w:rsidRPr="003743BD">
        <w:rPr>
          <w:i/>
          <w:iCs/>
          <w:noProof/>
          <w:u w:val="single"/>
          <w:lang w:eastAsia="nl-BE"/>
        </w:rPr>
        <w:t>Qualité de vie liée à la santé</w:t>
      </w:r>
    </w:p>
    <w:p w14:paraId="3F3CDACB" w14:textId="77777777" w:rsidR="00F56E2A" w:rsidRDefault="00F56E2A" w:rsidP="003743BD">
      <w:pPr>
        <w:keepNext/>
        <w:rPr>
          <w:i/>
          <w:iCs/>
          <w:noProof/>
          <w:lang w:eastAsia="nl-BE"/>
        </w:rPr>
      </w:pPr>
    </w:p>
    <w:p w14:paraId="7D929755" w14:textId="77777777" w:rsidR="009274B2" w:rsidRDefault="009274B2" w:rsidP="009274B2">
      <w:r>
        <w:rPr>
          <w:noProof/>
          <w:lang w:eastAsia="nl-BE"/>
        </w:rPr>
        <w:t>Les scores totaux IMPACT-III et tous les sous-domaines (symptômes intestinaux, symptômes systémiques liés à la fatigue et bien-être) ont montré des améliorations cliniquement significatives après 52 semaines.</w:t>
      </w:r>
    </w:p>
    <w:bookmarkEnd w:id="4"/>
    <w:p w14:paraId="142F2950" w14:textId="77777777" w:rsidR="006E3B8C" w:rsidRPr="002B65F7" w:rsidRDefault="006E3B8C" w:rsidP="00496255">
      <w:pPr>
        <w:widowControl/>
      </w:pPr>
    </w:p>
    <w:p w14:paraId="03B57EEE" w14:textId="67F05A93" w:rsidR="00092F83" w:rsidRPr="002B65F7" w:rsidRDefault="00FB6894" w:rsidP="00F12460">
      <w:pPr>
        <w:keepNext/>
        <w:widowControl/>
        <w:ind w:left="567" w:hanging="567"/>
        <w:rPr>
          <w:b/>
          <w:bCs/>
        </w:rPr>
      </w:pPr>
      <w:r w:rsidRPr="002B65F7">
        <w:rPr>
          <w:b/>
          <w:bCs/>
        </w:rPr>
        <w:t>5.2</w:t>
      </w:r>
      <w:r w:rsidRPr="002B65F7">
        <w:rPr>
          <w:b/>
          <w:bCs/>
        </w:rPr>
        <w:tab/>
      </w:r>
      <w:r w:rsidR="00C31740" w:rsidRPr="002B65F7">
        <w:rPr>
          <w:b/>
          <w:bCs/>
        </w:rPr>
        <w:t>Propriétés pharmacocinétiques</w:t>
      </w:r>
    </w:p>
    <w:p w14:paraId="03B57EEF" w14:textId="77777777" w:rsidR="00092F83" w:rsidRPr="002B65F7" w:rsidRDefault="00092F83" w:rsidP="00496255">
      <w:pPr>
        <w:keepNext/>
        <w:widowControl/>
      </w:pPr>
    </w:p>
    <w:p w14:paraId="03B57EF0" w14:textId="01F8D711" w:rsidR="00092F83" w:rsidRPr="002B65F7" w:rsidRDefault="00C31740" w:rsidP="00496255">
      <w:pPr>
        <w:widowControl/>
      </w:pPr>
      <w:r w:rsidRPr="002B65F7">
        <w:t>Après la dose d’induction intraveineuse recommandée, le pic médian de la concentration sérique d’</w:t>
      </w:r>
      <w:r w:rsidR="0071390F" w:rsidRPr="002B65F7">
        <w:t>ustekinumab</w:t>
      </w:r>
      <w:r w:rsidRPr="002B65F7">
        <w:t>, observé 1</w:t>
      </w:r>
      <w:r w:rsidR="00324EC5" w:rsidRPr="002B65F7">
        <w:t> </w:t>
      </w:r>
      <w:r w:rsidRPr="002B65F7">
        <w:t>heure après la perfusion, était de 126,1</w:t>
      </w:r>
      <w:r w:rsidR="00291EA9" w:rsidRPr="002B65F7">
        <w:t> </w:t>
      </w:r>
      <w:r w:rsidR="00DF383F" w:rsidRPr="002B65F7">
        <w:t>microgrammes</w:t>
      </w:r>
      <w:r w:rsidRPr="002B65F7">
        <w:t>/mL chez les patients présentant une maladie de Crohn.</w:t>
      </w:r>
    </w:p>
    <w:p w14:paraId="03B57EF1" w14:textId="77777777" w:rsidR="00092F83" w:rsidRPr="002B65F7" w:rsidRDefault="00092F83" w:rsidP="00496255">
      <w:pPr>
        <w:widowControl/>
      </w:pPr>
    </w:p>
    <w:p w14:paraId="03B57EF2" w14:textId="77777777" w:rsidR="00092F83" w:rsidRPr="002B65F7" w:rsidRDefault="00C31740" w:rsidP="00496255">
      <w:pPr>
        <w:keepNext/>
        <w:widowControl/>
        <w:rPr>
          <w:u w:val="single"/>
        </w:rPr>
      </w:pPr>
      <w:r w:rsidRPr="002B65F7">
        <w:rPr>
          <w:u w:val="single"/>
        </w:rPr>
        <w:t>Distribution</w:t>
      </w:r>
    </w:p>
    <w:p w14:paraId="58BDBE48" w14:textId="77777777" w:rsidR="00FB6894" w:rsidRPr="002B65F7" w:rsidRDefault="00FB6894" w:rsidP="00496255">
      <w:pPr>
        <w:keepNext/>
        <w:widowControl/>
        <w:rPr>
          <w:u w:val="single"/>
        </w:rPr>
      </w:pPr>
    </w:p>
    <w:p w14:paraId="03B57EF3" w14:textId="4181480F" w:rsidR="00092F83" w:rsidRPr="002B65F7" w:rsidRDefault="00C31740" w:rsidP="00496255">
      <w:pPr>
        <w:widowControl/>
      </w:pPr>
      <w:r w:rsidRPr="002B65F7">
        <w:t>Le volume de distribution médian pendant la phase finale (V</w:t>
      </w:r>
      <w:r w:rsidRPr="002B65F7">
        <w:rPr>
          <w:vertAlign w:val="subscript"/>
        </w:rPr>
        <w:t>z</w:t>
      </w:r>
      <w:r w:rsidRPr="002B65F7">
        <w:t>) après administration unique en intraveineuse à des patients présentant un psoriasis était comprise entre 57 et 83</w:t>
      </w:r>
      <w:r w:rsidR="00291EA9" w:rsidRPr="002B65F7">
        <w:t> </w:t>
      </w:r>
      <w:r w:rsidRPr="002B65F7">
        <w:t>mL/kg.</w:t>
      </w:r>
    </w:p>
    <w:p w14:paraId="46FBF9A8" w14:textId="77777777" w:rsidR="00291EA9" w:rsidRPr="002B65F7" w:rsidRDefault="00291EA9" w:rsidP="00496255">
      <w:pPr>
        <w:widowControl/>
        <w:rPr>
          <w:u w:val="single"/>
        </w:rPr>
      </w:pPr>
    </w:p>
    <w:p w14:paraId="03B57EF4" w14:textId="17B6482F" w:rsidR="00092F83" w:rsidRPr="002B65F7" w:rsidRDefault="00C31740" w:rsidP="00496255">
      <w:pPr>
        <w:keepNext/>
        <w:widowControl/>
        <w:rPr>
          <w:u w:val="single"/>
        </w:rPr>
      </w:pPr>
      <w:r w:rsidRPr="002B65F7">
        <w:rPr>
          <w:u w:val="single"/>
        </w:rPr>
        <w:t>Biotransformation</w:t>
      </w:r>
    </w:p>
    <w:p w14:paraId="272924B4" w14:textId="77777777" w:rsidR="00291EA9" w:rsidRPr="002B65F7" w:rsidRDefault="00291EA9" w:rsidP="00496255">
      <w:pPr>
        <w:keepNext/>
        <w:widowControl/>
      </w:pPr>
    </w:p>
    <w:p w14:paraId="03B57EF5" w14:textId="1B88C447" w:rsidR="00092F83" w:rsidRPr="002B65F7" w:rsidRDefault="00C31740" w:rsidP="00496255">
      <w:pPr>
        <w:widowControl/>
      </w:pPr>
      <w:r w:rsidRPr="002B65F7">
        <w:t>La voie métabolique exacte de l’</w:t>
      </w:r>
      <w:r w:rsidR="0071390F" w:rsidRPr="002B65F7">
        <w:t>ustekinumab</w:t>
      </w:r>
      <w:r w:rsidRPr="002B65F7">
        <w:t xml:space="preserve"> n’est pas connue.</w:t>
      </w:r>
    </w:p>
    <w:p w14:paraId="03B57EF6" w14:textId="77777777" w:rsidR="00092F83" w:rsidRPr="002B65F7" w:rsidRDefault="00092F83" w:rsidP="00496255">
      <w:pPr>
        <w:widowControl/>
      </w:pPr>
    </w:p>
    <w:p w14:paraId="03B57EF7" w14:textId="77777777" w:rsidR="00092F83" w:rsidRPr="002B65F7" w:rsidRDefault="00C31740" w:rsidP="00496255">
      <w:pPr>
        <w:keepNext/>
        <w:widowControl/>
        <w:rPr>
          <w:u w:val="single"/>
        </w:rPr>
      </w:pPr>
      <w:r w:rsidRPr="002B65F7">
        <w:rPr>
          <w:u w:val="single"/>
        </w:rPr>
        <w:t>Elimination</w:t>
      </w:r>
    </w:p>
    <w:p w14:paraId="4AE93F97" w14:textId="77777777" w:rsidR="00FB6894" w:rsidRPr="002B65F7" w:rsidRDefault="00FB6894" w:rsidP="00496255">
      <w:pPr>
        <w:keepNext/>
        <w:widowControl/>
        <w:rPr>
          <w:u w:val="single"/>
        </w:rPr>
      </w:pPr>
    </w:p>
    <w:p w14:paraId="03B57EF8" w14:textId="42DC51FB" w:rsidR="00092F83" w:rsidRPr="002B65F7" w:rsidRDefault="00C31740" w:rsidP="00496255">
      <w:pPr>
        <w:widowControl/>
      </w:pPr>
      <w:r w:rsidRPr="002B65F7">
        <w:t>La clairance médiane systémique (Cl) après administration unique en intraveineuse à des patients présentant un psoriasis était comprise entre 1,99</w:t>
      </w:r>
      <w:r w:rsidR="00291EA9" w:rsidRPr="002B65F7">
        <w:t> </w:t>
      </w:r>
      <w:r w:rsidRPr="002B65F7">
        <w:t>et 2,34</w:t>
      </w:r>
      <w:r w:rsidR="00291EA9" w:rsidRPr="002B65F7">
        <w:t> </w:t>
      </w:r>
      <w:r w:rsidRPr="002B65F7">
        <w:t>mL/jour/kg. La demi-vie médiane (t</w:t>
      </w:r>
      <w:r w:rsidRPr="002B65F7">
        <w:rPr>
          <w:vertAlign w:val="subscript"/>
        </w:rPr>
        <w:t>1/2</w:t>
      </w:r>
      <w:r w:rsidRPr="002B65F7">
        <w:t>) de l’</w:t>
      </w:r>
      <w:r w:rsidR="0071390F" w:rsidRPr="002B65F7">
        <w:t>ustekinumab</w:t>
      </w:r>
      <w:r w:rsidRPr="002B65F7">
        <w:t xml:space="preserve"> était d’environ 3</w:t>
      </w:r>
      <w:r w:rsidR="00291EA9" w:rsidRPr="002B65F7">
        <w:t> </w:t>
      </w:r>
      <w:r w:rsidRPr="002B65F7">
        <w:t>semaines chez les patients présentant une maladie de Crohn, un psoriasis et/ou un rhumatisme psoriasique ; elle était comprise entre 15</w:t>
      </w:r>
      <w:r w:rsidR="00291EA9" w:rsidRPr="002B65F7">
        <w:t> </w:t>
      </w:r>
      <w:r w:rsidRPr="002B65F7">
        <w:t>et</w:t>
      </w:r>
      <w:r w:rsidR="00291EA9" w:rsidRPr="002B65F7">
        <w:t> </w:t>
      </w:r>
      <w:r w:rsidRPr="002B65F7">
        <w:t>32</w:t>
      </w:r>
      <w:r w:rsidR="00291EA9" w:rsidRPr="002B65F7">
        <w:t> </w:t>
      </w:r>
      <w:r w:rsidRPr="002B65F7">
        <w:t>jours sur l’ensemble des études réalisées dans le psoriasis et le rhumatisme psoriasique.</w:t>
      </w:r>
    </w:p>
    <w:p w14:paraId="1BF95FBF" w14:textId="77777777" w:rsidR="00FB6894" w:rsidRPr="002B65F7" w:rsidRDefault="00FB6894" w:rsidP="00496255">
      <w:pPr>
        <w:widowControl/>
      </w:pPr>
    </w:p>
    <w:p w14:paraId="03B57EF9" w14:textId="4F7A2564" w:rsidR="00092F83" w:rsidRPr="002B65F7" w:rsidRDefault="00C31740" w:rsidP="00496255">
      <w:pPr>
        <w:keepNext/>
        <w:widowControl/>
        <w:rPr>
          <w:u w:val="single"/>
        </w:rPr>
      </w:pPr>
      <w:r w:rsidRPr="002B65F7">
        <w:rPr>
          <w:u w:val="single"/>
        </w:rPr>
        <w:t>Linéarité de dose</w:t>
      </w:r>
    </w:p>
    <w:p w14:paraId="1064D8C7" w14:textId="77777777" w:rsidR="00FB6894" w:rsidRPr="002B65F7" w:rsidRDefault="00FB6894" w:rsidP="00496255">
      <w:pPr>
        <w:keepNext/>
        <w:widowControl/>
        <w:rPr>
          <w:u w:val="single"/>
        </w:rPr>
      </w:pPr>
    </w:p>
    <w:p w14:paraId="03B57EFB" w14:textId="0430CD68" w:rsidR="00092F83" w:rsidRPr="002B65F7" w:rsidRDefault="00C31740" w:rsidP="00496255">
      <w:pPr>
        <w:widowControl/>
      </w:pPr>
      <w:r w:rsidRPr="002B65F7">
        <w:t>L’exposition systémique à l’</w:t>
      </w:r>
      <w:r w:rsidR="0071390F" w:rsidRPr="002B65F7">
        <w:t>ustekinumab</w:t>
      </w:r>
      <w:r w:rsidRPr="002B65F7">
        <w:t xml:space="preserve"> (C</w:t>
      </w:r>
      <w:r w:rsidRPr="002B65F7">
        <w:rPr>
          <w:vertAlign w:val="subscript"/>
        </w:rPr>
        <w:t>max</w:t>
      </w:r>
      <w:r w:rsidRPr="002B65F7">
        <w:t xml:space="preserve"> et ASC) a augmenté de manière quasi-proportion</w:t>
      </w:r>
      <w:r w:rsidR="002077C1" w:rsidRPr="002B65F7">
        <w:t>n</w:t>
      </w:r>
      <w:r w:rsidRPr="002B65F7">
        <w:t>elle à la dose après administration unique intraveineuse à des posologies comprises entre 0,09</w:t>
      </w:r>
      <w:r w:rsidR="00291EA9" w:rsidRPr="002B65F7">
        <w:t> </w:t>
      </w:r>
      <w:r w:rsidRPr="002B65F7">
        <w:t>mg/kg et</w:t>
      </w:r>
      <w:r w:rsidR="00324EC5" w:rsidRPr="002B65F7">
        <w:t xml:space="preserve"> </w:t>
      </w:r>
      <w:r w:rsidRPr="002B65F7">
        <w:t>4,5</w:t>
      </w:r>
      <w:r w:rsidR="002767ED" w:rsidRPr="002B65F7">
        <w:t> </w:t>
      </w:r>
      <w:r w:rsidRPr="002B65F7">
        <w:t>mg/kg.</w:t>
      </w:r>
    </w:p>
    <w:p w14:paraId="03A19126" w14:textId="77777777" w:rsidR="00291EA9" w:rsidRPr="002B65F7" w:rsidRDefault="00291EA9" w:rsidP="00496255">
      <w:pPr>
        <w:widowControl/>
      </w:pPr>
    </w:p>
    <w:p w14:paraId="03B57EFC" w14:textId="77777777" w:rsidR="00092F83" w:rsidRPr="002B65F7" w:rsidRDefault="00C31740" w:rsidP="00496255">
      <w:pPr>
        <w:keepNext/>
        <w:widowControl/>
        <w:rPr>
          <w:u w:val="single"/>
        </w:rPr>
      </w:pPr>
      <w:r w:rsidRPr="002B65F7">
        <w:rPr>
          <w:u w:val="single"/>
        </w:rPr>
        <w:t>Populations particulières</w:t>
      </w:r>
    </w:p>
    <w:p w14:paraId="79B547F8" w14:textId="77777777" w:rsidR="00291EA9" w:rsidRPr="002B65F7" w:rsidRDefault="00291EA9" w:rsidP="00496255">
      <w:pPr>
        <w:keepNext/>
        <w:widowControl/>
        <w:rPr>
          <w:u w:val="single"/>
        </w:rPr>
      </w:pPr>
    </w:p>
    <w:p w14:paraId="03B57EFD" w14:textId="77777777" w:rsidR="00092F83" w:rsidRPr="002B65F7" w:rsidRDefault="00C31740" w:rsidP="00496255">
      <w:pPr>
        <w:widowControl/>
      </w:pPr>
      <w:r w:rsidRPr="002B65F7">
        <w:t>Aucune donnée pharmacocinétique n’est disponible concernant les patients présentant une insuffisance rénale ou hépatique.</w:t>
      </w:r>
    </w:p>
    <w:p w14:paraId="3A68E879" w14:textId="77777777" w:rsidR="000E5AAB" w:rsidRPr="002B65F7" w:rsidRDefault="000E5AAB" w:rsidP="00496255">
      <w:pPr>
        <w:widowControl/>
      </w:pPr>
    </w:p>
    <w:p w14:paraId="03B57EFE" w14:textId="2C8440AF" w:rsidR="00092F83" w:rsidRPr="002B65F7" w:rsidRDefault="00C31740" w:rsidP="00496255">
      <w:pPr>
        <w:widowControl/>
      </w:pPr>
      <w:r w:rsidRPr="002B65F7">
        <w:lastRenderedPageBreak/>
        <w:t>Aucune étude spécifique n’a été conduite avec l’</w:t>
      </w:r>
      <w:r w:rsidR="0071390F" w:rsidRPr="002B65F7">
        <w:t>ustekinumab</w:t>
      </w:r>
      <w:r w:rsidRPr="002B65F7">
        <w:t xml:space="preserve"> par voie intraveineuse chez des patients âgés ou pédiatriques</w:t>
      </w:r>
      <w:r w:rsidR="00857725" w:rsidRPr="00B82392">
        <w:rPr>
          <w:noProof/>
          <w:lang w:eastAsia="nl-BE"/>
        </w:rPr>
        <w:t xml:space="preserve"> </w:t>
      </w:r>
      <w:r w:rsidR="00857725">
        <w:rPr>
          <w:noProof/>
          <w:lang w:eastAsia="nl-BE"/>
        </w:rPr>
        <w:t>pesant moins de 40 kg</w:t>
      </w:r>
      <w:r w:rsidRPr="002B65F7">
        <w:t>.</w:t>
      </w:r>
    </w:p>
    <w:p w14:paraId="66B030E7" w14:textId="77777777" w:rsidR="00A56CBC" w:rsidRPr="002B65F7" w:rsidRDefault="00A56CBC" w:rsidP="00496255">
      <w:pPr>
        <w:widowControl/>
      </w:pPr>
    </w:p>
    <w:p w14:paraId="03B57F01" w14:textId="7FB56B2B" w:rsidR="00092F83" w:rsidRPr="002B65F7" w:rsidRDefault="00C31740" w:rsidP="00496255">
      <w:pPr>
        <w:widowControl/>
      </w:pPr>
      <w:r w:rsidRPr="002B65F7">
        <w:t>Chez les patients atteints de la maladie de Crohn, la variabilité de la clairance de l’</w:t>
      </w:r>
      <w:r w:rsidR="0071390F" w:rsidRPr="002B65F7">
        <w:t>ustekinumab</w:t>
      </w:r>
      <w:r w:rsidRPr="002B65F7">
        <w:t xml:space="preserve"> était affectée par le poids corporel, le taux d’albumine sérique, le sexe et le</w:t>
      </w:r>
      <w:r w:rsidR="00A56CBC" w:rsidRPr="002B65F7">
        <w:t xml:space="preserve"> </w:t>
      </w:r>
      <w:r w:rsidRPr="002B65F7">
        <w:t>statut d’anticorps anti</w:t>
      </w:r>
      <w:r w:rsidR="00612790">
        <w:noBreakHyphen/>
      </w:r>
      <w:r w:rsidR="0071390F" w:rsidRPr="002B65F7">
        <w:t>ustekinumab</w:t>
      </w:r>
      <w:r w:rsidRPr="002B65F7">
        <w:t xml:space="preserve">, tandis que le poids corporel était la variable principale affectant le volume de distribution. De plus, dans la maladie de Crohn, la clairance était affectée par la protéine C réactive, le statut d’échec des anti-TNF et l’origine ethnique (asiatique </w:t>
      </w:r>
      <w:r w:rsidRPr="002B65F7">
        <w:rPr>
          <w:i/>
          <w:iCs/>
        </w:rPr>
        <w:t>versus</w:t>
      </w:r>
      <w:r w:rsidRPr="002B65F7">
        <w:t xml:space="preserve"> non asiatique). L’impact de ces covariables était de</w:t>
      </w:r>
      <w:r w:rsidR="005E21A1" w:rsidRPr="002B65F7">
        <w:t> </w:t>
      </w:r>
      <w:r w:rsidRPr="002B65F7">
        <w:t>±</w:t>
      </w:r>
      <w:r w:rsidR="005E21A1" w:rsidRPr="002B65F7">
        <w:t> </w:t>
      </w:r>
      <w:r w:rsidRPr="002B65F7">
        <w:t>20% des valeurs typiques ou de référence du paramètre PK respectif ; ainsi, l’ajustement posologique n’est pas garanti pour ces covariables. L’utilisation concomitante d’immunomodulateurs n’a pas eu d’impact significatif sur l’élimination de l’</w:t>
      </w:r>
      <w:r w:rsidR="0071390F" w:rsidRPr="002B65F7">
        <w:t>ustekinumab</w:t>
      </w:r>
      <w:r w:rsidRPr="002B65F7">
        <w:t>.</w:t>
      </w:r>
    </w:p>
    <w:p w14:paraId="03B57F02" w14:textId="77777777" w:rsidR="00092F83" w:rsidRPr="002B65F7" w:rsidRDefault="00092F83" w:rsidP="00496255">
      <w:pPr>
        <w:widowControl/>
      </w:pPr>
    </w:p>
    <w:p w14:paraId="03B57F03" w14:textId="77777777" w:rsidR="00092F83" w:rsidRPr="002B65F7" w:rsidRDefault="00C31740" w:rsidP="00496255">
      <w:pPr>
        <w:keepNext/>
        <w:widowControl/>
        <w:rPr>
          <w:u w:val="single"/>
        </w:rPr>
      </w:pPr>
      <w:r w:rsidRPr="002B65F7">
        <w:rPr>
          <w:u w:val="single"/>
        </w:rPr>
        <w:t>Régulation des enzymes du CYP450</w:t>
      </w:r>
    </w:p>
    <w:p w14:paraId="6B5EE97D" w14:textId="77777777" w:rsidR="00D419A8" w:rsidRPr="002B65F7" w:rsidRDefault="00D419A8" w:rsidP="00496255">
      <w:pPr>
        <w:keepNext/>
        <w:widowControl/>
        <w:rPr>
          <w:u w:val="single"/>
        </w:rPr>
      </w:pPr>
    </w:p>
    <w:p w14:paraId="03B57F04" w14:textId="780E06C0" w:rsidR="00092F83" w:rsidRDefault="00C31740" w:rsidP="00496255">
      <w:pPr>
        <w:widowControl/>
      </w:pPr>
      <w:r w:rsidRPr="002B65F7">
        <w:t>Les effets de l’IL-12 ou de l’IL-23 sur la régulation des enzymes du CYP450 ont été évalués dans une étude in vitro sur des hépatocytes humains, qui a montré que l’IL-12 et/ou l’IL-23 à des concentrations de 10</w:t>
      </w:r>
      <w:r w:rsidR="00B1346A" w:rsidRPr="002B65F7">
        <w:t> </w:t>
      </w:r>
      <w:r w:rsidRPr="002B65F7">
        <w:t>ng/mL n’altéraient pas les activités enzymatiques du CYP450 humain (CYP1A2, 2B6, 2C9, 2C19, 2D6, ou 3A4 ; voir rubrique</w:t>
      </w:r>
      <w:r w:rsidR="00347FDA" w:rsidRPr="002B65F7">
        <w:t> </w:t>
      </w:r>
      <w:r w:rsidRPr="002B65F7">
        <w:t>4.5).</w:t>
      </w:r>
    </w:p>
    <w:p w14:paraId="7DCF5F09" w14:textId="77777777" w:rsidR="008F1B22" w:rsidRDefault="008F1B22" w:rsidP="00496255">
      <w:pPr>
        <w:widowControl/>
      </w:pPr>
    </w:p>
    <w:p w14:paraId="7849A96B" w14:textId="12A0CCD8" w:rsidR="008F1B22" w:rsidRPr="002B65F7" w:rsidRDefault="008F1B22" w:rsidP="00496255">
      <w:pPr>
        <w:widowControl/>
      </w:pPr>
      <w:r w:rsidRPr="008F1B22">
        <w:t>Une étude d’interaction médicamenteuse de phase 1, en ouvert, CNTO1275CRD1003, a été conduite pour évaluer l’effet de l’ustekinumab sur l’activité enzymatique du cytochrome P450 suite à des doses d’induction et d’entretien chez des patients atteints de maladie de Crohn active (n</w:t>
      </w:r>
      <w:r w:rsidRPr="002B65F7">
        <w:t> </w:t>
      </w:r>
      <w:r w:rsidRPr="008F1B22">
        <w:t>=</w:t>
      </w:r>
      <w:r w:rsidRPr="002B65F7">
        <w:t> </w:t>
      </w:r>
      <w:r w:rsidRPr="008F1B22">
        <w:t>18). Il n’y a pas eu de modification cliniquement significative observée sur l’exposition à la caféine (substrat du CYP1A2), la warfarine (substrat du CYP2C9), l’oméprazole (substrat du CYP2C19), au dextrométhorphane (substrat du CYP2D6) ou au midazolam (substrat du CYP3A) lors d’une utilisation concomitante avec l’ustekinumab aux doses recommandées approuvées chez les patients atteints de la maladie de Crohn (voir rubrique 4.5).</w:t>
      </w:r>
    </w:p>
    <w:p w14:paraId="54F06C04" w14:textId="77777777" w:rsidR="00380704" w:rsidRDefault="00380704" w:rsidP="00380704">
      <w:pPr>
        <w:rPr>
          <w:noProof/>
          <w:lang w:eastAsia="nl-BE"/>
        </w:rPr>
      </w:pPr>
    </w:p>
    <w:p w14:paraId="266CBF7B" w14:textId="77777777" w:rsidR="00380704" w:rsidRDefault="00380704" w:rsidP="00380704">
      <w:pPr>
        <w:keepNext/>
        <w:rPr>
          <w:noProof/>
          <w:u w:val="single"/>
          <w:lang w:eastAsia="nl-BE"/>
        </w:rPr>
      </w:pPr>
      <w:bookmarkStart w:id="8" w:name="_Hlk191290328"/>
      <w:r w:rsidRPr="003743BD">
        <w:rPr>
          <w:noProof/>
          <w:u w:val="single"/>
          <w:lang w:eastAsia="nl-BE"/>
        </w:rPr>
        <w:t>Population pédiatrique</w:t>
      </w:r>
    </w:p>
    <w:p w14:paraId="4FEAD53E" w14:textId="77777777" w:rsidR="000240ED" w:rsidRPr="003743BD" w:rsidRDefault="000240ED" w:rsidP="003743BD">
      <w:pPr>
        <w:keepNext/>
        <w:rPr>
          <w:noProof/>
          <w:u w:val="single"/>
          <w:lang w:eastAsia="nl-BE"/>
        </w:rPr>
      </w:pPr>
    </w:p>
    <w:p w14:paraId="34FA85FC" w14:textId="77777777" w:rsidR="00380704" w:rsidRDefault="00380704" w:rsidP="00380704">
      <w:pPr>
        <w:rPr>
          <w:noProof/>
          <w:lang w:eastAsia="nl-BE"/>
        </w:rPr>
      </w:pPr>
      <w:r>
        <w:rPr>
          <w:noProof/>
          <w:lang w:eastAsia="nl-BE"/>
        </w:rPr>
        <w:t>Les concentrations sériques d’ustekinumab chez les patients pédiatriques atteints de la maladie de Crohn et pesant au moins 40 kg, traités avec la dose recommandée en fonction du poids, étaient généralement comparables à celles de la population adulte atteinte de la maladie de Crohn et traitée avec la dose en fonction du poids.</w:t>
      </w:r>
    </w:p>
    <w:bookmarkEnd w:id="8"/>
    <w:p w14:paraId="46B2F22F" w14:textId="77777777" w:rsidR="00347FDA" w:rsidRPr="002B65F7" w:rsidRDefault="00347FDA" w:rsidP="00496255">
      <w:pPr>
        <w:widowControl/>
      </w:pPr>
    </w:p>
    <w:p w14:paraId="03B57F06" w14:textId="620A3944" w:rsidR="00092F83" w:rsidRPr="002B65F7" w:rsidRDefault="007338E5" w:rsidP="00F12460">
      <w:pPr>
        <w:keepNext/>
        <w:widowControl/>
        <w:ind w:left="567" w:hanging="567"/>
        <w:rPr>
          <w:b/>
          <w:bCs/>
        </w:rPr>
      </w:pPr>
      <w:r w:rsidRPr="002B65F7">
        <w:rPr>
          <w:b/>
          <w:bCs/>
        </w:rPr>
        <w:t>5.3</w:t>
      </w:r>
      <w:r w:rsidR="00347FDA" w:rsidRPr="002B65F7">
        <w:rPr>
          <w:b/>
          <w:bCs/>
        </w:rPr>
        <w:tab/>
      </w:r>
      <w:r w:rsidR="00C31740" w:rsidRPr="002B65F7">
        <w:rPr>
          <w:b/>
          <w:bCs/>
        </w:rPr>
        <w:t>Données de sécurité préclinique</w:t>
      </w:r>
    </w:p>
    <w:p w14:paraId="03B57F07" w14:textId="77777777" w:rsidR="00092F83" w:rsidRPr="002B65F7" w:rsidRDefault="00092F83" w:rsidP="00496255">
      <w:pPr>
        <w:keepNext/>
        <w:widowControl/>
      </w:pPr>
    </w:p>
    <w:p w14:paraId="03B57F08" w14:textId="77777777" w:rsidR="00092F83" w:rsidRPr="002B65F7" w:rsidRDefault="00C31740" w:rsidP="00496255">
      <w:pPr>
        <w:widowControl/>
      </w:pPr>
      <w:r w:rsidRPr="002B65F7">
        <w:t>Les données non cliniques issues des études de toxicologie en administration répétée, de toxicologie des fonctions de reproduction et de développement, incluant les évaluations de pharmacologie de sécurité, n’ont pas révélé de risque particulier pour l’homme (par exemple, organotoxicité). Dans les études de toxicologie des fonctions de reproduction et de développement menées chez des singes cynomolgus, aucun effet indésirable sur les indices de fertilité chez le mâle, ni aucune anomalie congénitale ou toxicité sur le développement n’ont été observés. Aucun effet délétère sur les indices de fertilité chez la femelle n’a été observé en utilisant un analogue d’un anticorps anti IL-12/23 chez les souris.</w:t>
      </w:r>
    </w:p>
    <w:p w14:paraId="5FC72BDD" w14:textId="77777777" w:rsidR="007338E5" w:rsidRPr="002B65F7" w:rsidRDefault="007338E5" w:rsidP="00496255">
      <w:pPr>
        <w:widowControl/>
      </w:pPr>
    </w:p>
    <w:p w14:paraId="03B57F09" w14:textId="27446425" w:rsidR="00092F83" w:rsidRPr="002B65F7" w:rsidRDefault="00C31740" w:rsidP="00496255">
      <w:pPr>
        <w:widowControl/>
      </w:pPr>
      <w:r w:rsidRPr="002B65F7">
        <w:t>Les niveaux de doses utilisées dans les études animales étaient jusqu’à approximativement 45</w:t>
      </w:r>
      <w:r w:rsidR="0013289D" w:rsidRPr="002B65F7">
        <w:t> </w:t>
      </w:r>
      <w:r w:rsidRPr="002B65F7">
        <w:t>fois supérieurs à la dose maximale équivalente destinée à être administrée aux patients atteints de psoriasis et ont conduit à des pics de concentrations sériques chez le singe plus de 100</w:t>
      </w:r>
      <w:r w:rsidR="0013289D" w:rsidRPr="002B65F7">
        <w:t> </w:t>
      </w:r>
      <w:r w:rsidRPr="002B65F7">
        <w:t>fois supérieurs à ceux observés chez l’homme.</w:t>
      </w:r>
    </w:p>
    <w:p w14:paraId="24B98A00" w14:textId="77777777" w:rsidR="007338E5" w:rsidRPr="002B65F7" w:rsidRDefault="007338E5" w:rsidP="00496255">
      <w:pPr>
        <w:widowControl/>
      </w:pPr>
    </w:p>
    <w:p w14:paraId="03B57F0A" w14:textId="15FA7536" w:rsidR="00092F83" w:rsidRPr="002B65F7" w:rsidRDefault="00C31740" w:rsidP="00496255">
      <w:pPr>
        <w:widowControl/>
      </w:pPr>
      <w:r w:rsidRPr="002B65F7">
        <w:t>Aucune étude de carcinogénicité n’a été effectuée avec l’</w:t>
      </w:r>
      <w:r w:rsidR="0071390F" w:rsidRPr="002B65F7">
        <w:t>ustekinumab</w:t>
      </w:r>
      <w:r w:rsidRPr="002B65F7">
        <w:t xml:space="preserve"> en raison du manque de modèles appropriés pour un anticorps sans réactivité croisée avec l’IL-12/23 p40 des rongeurs.</w:t>
      </w:r>
    </w:p>
    <w:p w14:paraId="03B57F0B" w14:textId="77777777" w:rsidR="00092F83" w:rsidRPr="002B65F7" w:rsidRDefault="00092F83" w:rsidP="00496255">
      <w:pPr>
        <w:widowControl/>
      </w:pPr>
    </w:p>
    <w:p w14:paraId="03B57F0C" w14:textId="77777777" w:rsidR="00092F83" w:rsidRPr="002B65F7" w:rsidRDefault="00092F83" w:rsidP="00496255">
      <w:pPr>
        <w:widowControl/>
      </w:pPr>
    </w:p>
    <w:p w14:paraId="03B57F0D" w14:textId="54655291" w:rsidR="00092F83" w:rsidRPr="002B65F7" w:rsidRDefault="007338E5" w:rsidP="00F12460">
      <w:pPr>
        <w:keepNext/>
        <w:keepLines/>
        <w:widowControl/>
        <w:ind w:left="567" w:hanging="567"/>
        <w:rPr>
          <w:b/>
          <w:bCs/>
        </w:rPr>
      </w:pPr>
      <w:r w:rsidRPr="002B65F7">
        <w:rPr>
          <w:b/>
          <w:bCs/>
        </w:rPr>
        <w:lastRenderedPageBreak/>
        <w:t>6.</w:t>
      </w:r>
      <w:r w:rsidRPr="002B65F7">
        <w:rPr>
          <w:b/>
          <w:bCs/>
        </w:rPr>
        <w:tab/>
      </w:r>
      <w:r w:rsidR="00C31740" w:rsidRPr="002B65F7">
        <w:rPr>
          <w:b/>
          <w:bCs/>
        </w:rPr>
        <w:t>DONNÉES PHARMACEUTIQUES</w:t>
      </w:r>
    </w:p>
    <w:p w14:paraId="03B57F0E" w14:textId="77777777" w:rsidR="00092F83" w:rsidRPr="002B65F7" w:rsidRDefault="00092F83" w:rsidP="00496255">
      <w:pPr>
        <w:keepNext/>
        <w:keepLines/>
        <w:widowControl/>
      </w:pPr>
    </w:p>
    <w:p w14:paraId="03B57F0F" w14:textId="17F11E60" w:rsidR="00092F83" w:rsidRPr="002B65F7" w:rsidRDefault="007338E5" w:rsidP="00F12460">
      <w:pPr>
        <w:keepNext/>
        <w:keepLines/>
        <w:widowControl/>
        <w:ind w:left="567" w:hanging="567"/>
        <w:rPr>
          <w:b/>
          <w:bCs/>
        </w:rPr>
      </w:pPr>
      <w:r w:rsidRPr="002B65F7">
        <w:rPr>
          <w:b/>
          <w:bCs/>
        </w:rPr>
        <w:t>6.1</w:t>
      </w:r>
      <w:r w:rsidRPr="002B65F7">
        <w:rPr>
          <w:b/>
          <w:bCs/>
        </w:rPr>
        <w:tab/>
      </w:r>
      <w:r w:rsidR="00C31740" w:rsidRPr="002B65F7">
        <w:rPr>
          <w:b/>
          <w:bCs/>
        </w:rPr>
        <w:t>Liste des excipients</w:t>
      </w:r>
    </w:p>
    <w:p w14:paraId="03B57F10" w14:textId="77777777" w:rsidR="00092F83" w:rsidRPr="002B65F7" w:rsidRDefault="00092F83" w:rsidP="00496255">
      <w:pPr>
        <w:keepNext/>
        <w:keepLines/>
        <w:widowControl/>
      </w:pPr>
    </w:p>
    <w:p w14:paraId="743B0BE0" w14:textId="77777777" w:rsidR="00B41E23" w:rsidRPr="002B65F7" w:rsidRDefault="00C31740" w:rsidP="00496255">
      <w:pPr>
        <w:keepNext/>
        <w:keepLines/>
        <w:widowControl/>
      </w:pPr>
      <w:r w:rsidRPr="002B65F7">
        <w:t>EDTA sel disodique dihydraté</w:t>
      </w:r>
    </w:p>
    <w:p w14:paraId="03B57F11" w14:textId="7A10DEAA" w:rsidR="00092F83" w:rsidRPr="002B65F7" w:rsidRDefault="00C31740" w:rsidP="00496255">
      <w:pPr>
        <w:keepNext/>
        <w:keepLines/>
        <w:widowControl/>
      </w:pPr>
      <w:r w:rsidRPr="002B65F7">
        <w:t>L-histidine</w:t>
      </w:r>
    </w:p>
    <w:p w14:paraId="03B57F12" w14:textId="10919F8D" w:rsidR="00092F83" w:rsidRPr="002B65F7" w:rsidRDefault="00751A3B" w:rsidP="00496255">
      <w:pPr>
        <w:keepNext/>
        <w:keepLines/>
        <w:widowControl/>
      </w:pPr>
      <w:r w:rsidRPr="002B65F7">
        <w:t>C</w:t>
      </w:r>
      <w:r w:rsidR="00C31740" w:rsidRPr="002B65F7">
        <w:t>hlorhydrate monohydraté de L-histidine</w:t>
      </w:r>
    </w:p>
    <w:p w14:paraId="5966A3E3" w14:textId="77777777" w:rsidR="00B41E23" w:rsidRPr="002B65F7" w:rsidRDefault="00C31740" w:rsidP="00496255">
      <w:pPr>
        <w:keepNext/>
        <w:widowControl/>
      </w:pPr>
      <w:r w:rsidRPr="002B65F7">
        <w:t>L-méthionine</w:t>
      </w:r>
    </w:p>
    <w:p w14:paraId="22DCF823" w14:textId="0A9F9124" w:rsidR="00B41E23" w:rsidRPr="002B65F7" w:rsidRDefault="00C31740" w:rsidP="00496255">
      <w:pPr>
        <w:keepNext/>
        <w:widowControl/>
      </w:pPr>
      <w:r w:rsidRPr="002B65F7">
        <w:t>Polysorbate 80</w:t>
      </w:r>
      <w:r w:rsidR="00762B37">
        <w:t xml:space="preserve"> (E</w:t>
      </w:r>
      <w:r w:rsidR="000519D4" w:rsidRPr="00B007D2">
        <w:t> </w:t>
      </w:r>
      <w:r w:rsidR="00762B37">
        <w:t>433)</w:t>
      </w:r>
    </w:p>
    <w:p w14:paraId="03B57F13" w14:textId="385152A9" w:rsidR="00092F83" w:rsidRPr="002B65F7" w:rsidRDefault="00C31740" w:rsidP="00496255">
      <w:pPr>
        <w:keepNext/>
        <w:widowControl/>
      </w:pPr>
      <w:r w:rsidRPr="002B65F7">
        <w:t>Saccharose</w:t>
      </w:r>
    </w:p>
    <w:p w14:paraId="40B1F30D" w14:textId="56279693" w:rsidR="00751A3B" w:rsidRPr="002B65F7" w:rsidRDefault="00751A3B" w:rsidP="00496255">
      <w:pPr>
        <w:keepNext/>
        <w:widowControl/>
      </w:pPr>
      <w:r w:rsidRPr="002B65F7">
        <w:t>Hydroxyde de sodium (pour ajuster le pH)</w:t>
      </w:r>
    </w:p>
    <w:p w14:paraId="03B57F14" w14:textId="77777777" w:rsidR="00092F83" w:rsidRPr="002B65F7" w:rsidRDefault="00C31740" w:rsidP="00496255">
      <w:pPr>
        <w:widowControl/>
      </w:pPr>
      <w:r w:rsidRPr="002B65F7">
        <w:t>Eau pour préparations injectables</w:t>
      </w:r>
    </w:p>
    <w:p w14:paraId="3A50AC5B" w14:textId="77777777" w:rsidR="00480B91" w:rsidRPr="002B65F7" w:rsidRDefault="00480B91" w:rsidP="00496255">
      <w:pPr>
        <w:widowControl/>
      </w:pPr>
    </w:p>
    <w:p w14:paraId="03B57F15" w14:textId="70716C3A" w:rsidR="00092F83" w:rsidRPr="002B65F7" w:rsidRDefault="00480B91" w:rsidP="00F12460">
      <w:pPr>
        <w:keepNext/>
        <w:widowControl/>
        <w:ind w:left="567" w:hanging="567"/>
        <w:rPr>
          <w:b/>
          <w:bCs/>
        </w:rPr>
      </w:pPr>
      <w:r w:rsidRPr="002B65F7">
        <w:rPr>
          <w:b/>
          <w:bCs/>
        </w:rPr>
        <w:t>6.2</w:t>
      </w:r>
      <w:r w:rsidRPr="002B65F7">
        <w:rPr>
          <w:b/>
          <w:bCs/>
        </w:rPr>
        <w:tab/>
      </w:r>
      <w:r w:rsidR="00C31740" w:rsidRPr="002B65F7">
        <w:rPr>
          <w:b/>
          <w:bCs/>
        </w:rPr>
        <w:t>Incompatibilités</w:t>
      </w:r>
    </w:p>
    <w:p w14:paraId="03B57F16" w14:textId="77777777" w:rsidR="00092F83" w:rsidRPr="002B65F7" w:rsidRDefault="00092F83" w:rsidP="00496255">
      <w:pPr>
        <w:keepNext/>
        <w:widowControl/>
      </w:pPr>
    </w:p>
    <w:p w14:paraId="03B57F17" w14:textId="0D192A8B" w:rsidR="00092F83" w:rsidRPr="002B65F7" w:rsidRDefault="00C31740" w:rsidP="00496255">
      <w:pPr>
        <w:widowControl/>
      </w:pPr>
      <w:r w:rsidRPr="002B65F7">
        <w:t xml:space="preserve">En l’absence d’études de compatibilité, ce médicament ne doit pas être mélangé avec d’autres médicaments. </w:t>
      </w:r>
      <w:r w:rsidR="00751A3B" w:rsidRPr="002B65F7">
        <w:rPr>
          <w:spacing w:val="-1"/>
        </w:rPr>
        <w:t>WEZENLA</w:t>
      </w:r>
      <w:r w:rsidRPr="002B65F7">
        <w:t xml:space="preserve"> doit être dilué uniquement avec une solution de chlorure de sodium à 9</w:t>
      </w:r>
      <w:r w:rsidR="005F7D16" w:rsidRPr="002B65F7">
        <w:t> </w:t>
      </w:r>
      <w:r w:rsidRPr="002B65F7">
        <w:t xml:space="preserve">mg/mL (0,9%). </w:t>
      </w:r>
      <w:r w:rsidR="00751A3B" w:rsidRPr="002B65F7">
        <w:rPr>
          <w:spacing w:val="-1"/>
        </w:rPr>
        <w:t>WEZENLA</w:t>
      </w:r>
      <w:r w:rsidRPr="002B65F7">
        <w:t xml:space="preserve"> ne doit pas être administré de manière concomitante avec d’autres médicaments dans la même ligne de perfusion.</w:t>
      </w:r>
    </w:p>
    <w:p w14:paraId="0399B089" w14:textId="77777777" w:rsidR="007338E5" w:rsidRPr="002B65F7" w:rsidRDefault="007338E5" w:rsidP="00496255">
      <w:pPr>
        <w:widowControl/>
      </w:pPr>
    </w:p>
    <w:p w14:paraId="03B57F18" w14:textId="0F98AD82" w:rsidR="00092F83" w:rsidRPr="002B65F7" w:rsidRDefault="00480B91" w:rsidP="00F12460">
      <w:pPr>
        <w:keepNext/>
        <w:widowControl/>
        <w:ind w:left="567" w:hanging="567"/>
        <w:rPr>
          <w:b/>
          <w:bCs/>
        </w:rPr>
      </w:pPr>
      <w:r w:rsidRPr="002B65F7">
        <w:rPr>
          <w:b/>
          <w:bCs/>
        </w:rPr>
        <w:t>6.3</w:t>
      </w:r>
      <w:r w:rsidRPr="002B65F7">
        <w:rPr>
          <w:b/>
          <w:bCs/>
        </w:rPr>
        <w:tab/>
      </w:r>
      <w:r w:rsidR="00C31740" w:rsidRPr="002B65F7">
        <w:rPr>
          <w:b/>
          <w:bCs/>
        </w:rPr>
        <w:t>Durée de conservation</w:t>
      </w:r>
    </w:p>
    <w:p w14:paraId="03B57F19" w14:textId="77777777" w:rsidR="00092F83" w:rsidRPr="002B65F7" w:rsidRDefault="00092F83" w:rsidP="00496255">
      <w:pPr>
        <w:keepNext/>
        <w:widowControl/>
      </w:pPr>
    </w:p>
    <w:p w14:paraId="03B57F1A" w14:textId="6DDD4715" w:rsidR="00092F83" w:rsidRPr="002B65F7" w:rsidRDefault="00B815CF" w:rsidP="00496255">
      <w:pPr>
        <w:widowControl/>
      </w:pPr>
      <w:r>
        <w:t>3</w:t>
      </w:r>
      <w:r w:rsidR="0013289D" w:rsidRPr="002B65F7">
        <w:t> </w:t>
      </w:r>
      <w:r w:rsidR="00C31740" w:rsidRPr="002B65F7">
        <w:t>ans</w:t>
      </w:r>
    </w:p>
    <w:p w14:paraId="03B57F1B" w14:textId="22DDAAC1" w:rsidR="00092F83" w:rsidRPr="002B65F7" w:rsidRDefault="00092F83" w:rsidP="00496255">
      <w:pPr>
        <w:widowControl/>
      </w:pPr>
    </w:p>
    <w:p w14:paraId="03B57F1D" w14:textId="73ADC725" w:rsidR="00092F83" w:rsidRPr="002B65F7" w:rsidRDefault="0046210A" w:rsidP="00496255">
      <w:pPr>
        <w:widowControl/>
      </w:pPr>
      <w:r w:rsidRPr="002B65F7">
        <w:t>Après dilution</w:t>
      </w:r>
      <w:r w:rsidR="00645587" w:rsidRPr="002B65F7">
        <w:t xml:space="preserve"> à une concentration comprise entre 0,86 mg/mL et 2,60 mg/mL</w:t>
      </w:r>
      <w:r w:rsidRPr="002B65F7">
        <w:t>, l</w:t>
      </w:r>
      <w:r w:rsidR="00C31740" w:rsidRPr="002B65F7">
        <w:t>a stabilité physico</w:t>
      </w:r>
      <w:r w:rsidR="00612790">
        <w:noBreakHyphen/>
      </w:r>
      <w:r w:rsidR="00C31740" w:rsidRPr="002B65F7">
        <w:t xml:space="preserve">chimique de la solution diluée a été démontrée pendant </w:t>
      </w:r>
      <w:ins w:id="9" w:author="Author">
        <w:r w:rsidR="00AB08A1">
          <w:t>35 jours</w:t>
        </w:r>
      </w:ins>
      <w:del w:id="10" w:author="Author">
        <w:r w:rsidRPr="002B65F7" w:rsidDel="00AB08A1">
          <w:delText>24</w:delText>
        </w:r>
        <w:r w:rsidR="000E5AAB" w:rsidRPr="002B65F7" w:rsidDel="00AB08A1">
          <w:delText> </w:delText>
        </w:r>
        <w:r w:rsidR="00C31740" w:rsidRPr="002B65F7" w:rsidDel="00AB08A1">
          <w:delText>heures</w:delText>
        </w:r>
      </w:del>
      <w:r w:rsidR="00C31740" w:rsidRPr="002B65F7">
        <w:t xml:space="preserve"> entre </w:t>
      </w:r>
      <w:ins w:id="11" w:author="Author">
        <w:r w:rsidR="00AB08A1">
          <w:t>2</w:t>
        </w:r>
      </w:ins>
      <w:del w:id="12" w:author="Author">
        <w:r w:rsidR="00C31740" w:rsidRPr="002B65F7" w:rsidDel="00AB08A1">
          <w:delText>15</w:delText>
        </w:r>
      </w:del>
      <w:r w:rsidR="00472746" w:rsidRPr="002B65F7">
        <w:t>°C</w:t>
      </w:r>
      <w:r w:rsidR="00C31740" w:rsidRPr="002B65F7">
        <w:t xml:space="preserve"> et </w:t>
      </w:r>
      <w:ins w:id="13" w:author="Author">
        <w:r w:rsidR="00AB08A1">
          <w:t>8</w:t>
        </w:r>
      </w:ins>
      <w:del w:id="14" w:author="Author">
        <w:r w:rsidR="00C31740" w:rsidRPr="002B65F7" w:rsidDel="00AB08A1">
          <w:delText>25</w:delText>
        </w:r>
      </w:del>
      <w:r w:rsidR="00C31740" w:rsidRPr="002B65F7">
        <w:t>°C</w:t>
      </w:r>
      <w:ins w:id="15" w:author="Author">
        <w:r w:rsidR="00AB08A1">
          <w:t>, suivis de 72</w:t>
        </w:r>
        <w:r w:rsidR="000F43D8">
          <w:t> </w:t>
        </w:r>
        <w:r w:rsidR="00AB08A1">
          <w:t>heures supplémentaires à température ambiante allant jusqu’à 30°C</w:t>
        </w:r>
      </w:ins>
      <w:r w:rsidR="00C31740" w:rsidRPr="002B65F7">
        <w:t>.</w:t>
      </w:r>
      <w:r w:rsidRPr="002B65F7">
        <w:t xml:space="preserve"> Ne pas remettre </w:t>
      </w:r>
      <w:ins w:id="16" w:author="Author">
        <w:r w:rsidR="00AB08A1">
          <w:t xml:space="preserve">la solution diluée </w:t>
        </w:r>
      </w:ins>
      <w:r w:rsidRPr="002B65F7">
        <w:t>au réfrigérateur</w:t>
      </w:r>
      <w:ins w:id="17" w:author="Author">
        <w:r w:rsidR="00AB08A1">
          <w:t xml:space="preserve"> une fois stockée à température ambiante</w:t>
        </w:r>
      </w:ins>
      <w:r w:rsidRPr="002B65F7">
        <w:t>.</w:t>
      </w:r>
      <w:r w:rsidR="00C93DAC">
        <w:t xml:space="preserve"> </w:t>
      </w:r>
      <w:ins w:id="18" w:author="Author">
        <w:r w:rsidR="00C93DAC" w:rsidRPr="00C93DAC">
          <w:t xml:space="preserve">La solution diluée doit être conservée à l’abri de la lumière. </w:t>
        </w:r>
        <w:r w:rsidR="00C93DAC">
          <w:t>Lors de</w:t>
        </w:r>
        <w:r w:rsidR="00C93DAC" w:rsidRPr="00C93DAC">
          <w:t xml:space="preserve"> la préparation et </w:t>
        </w:r>
        <w:r w:rsidR="00C93DAC">
          <w:t xml:space="preserve">de </w:t>
        </w:r>
        <w:r w:rsidR="00C93DAC" w:rsidRPr="00C93DAC">
          <w:t xml:space="preserve">l’administration, la solution diluée peut être exposée à la lumière </w:t>
        </w:r>
        <w:r w:rsidR="00C93DAC">
          <w:t>pendant une durée maximale de</w:t>
        </w:r>
        <w:r w:rsidR="00C93DAC" w:rsidRPr="00C93DAC">
          <w:t xml:space="preserve"> 24 heures.</w:t>
        </w:r>
      </w:ins>
    </w:p>
    <w:p w14:paraId="03B57F1E" w14:textId="77777777" w:rsidR="00092F83" w:rsidRPr="002B65F7" w:rsidRDefault="00092F83" w:rsidP="00496255">
      <w:pPr>
        <w:widowControl/>
      </w:pPr>
    </w:p>
    <w:p w14:paraId="03B57F1F" w14:textId="0AB6F4C2" w:rsidR="00092F83" w:rsidRPr="002B65F7" w:rsidRDefault="00AB08A1" w:rsidP="00496255">
      <w:pPr>
        <w:widowControl/>
      </w:pPr>
      <w:ins w:id="19" w:author="Author">
        <w:r>
          <w:t>D’</w:t>
        </w:r>
      </w:ins>
      <w:del w:id="20" w:author="Author">
        <w:r w:rsidR="00C31740" w:rsidRPr="002B65F7" w:rsidDel="00AB08A1">
          <w:delText>Toutefois, d'</w:delText>
        </w:r>
      </w:del>
      <w:r w:rsidR="00C31740" w:rsidRPr="002B65F7">
        <w:t>un point de vue microbiologique</w:t>
      </w:r>
      <w:ins w:id="21" w:author="Author">
        <w:r w:rsidR="00792E8A">
          <w:t xml:space="preserve">, </w:t>
        </w:r>
      </w:ins>
      <w:del w:id="22" w:author="Author">
        <w:r w:rsidR="00C31740" w:rsidRPr="002B65F7" w:rsidDel="00AB08A1">
          <w:delText>, à moins que la méthode de dilution exclu</w:delText>
        </w:r>
        <w:r w:rsidR="006D22F7" w:rsidRPr="002B65F7" w:rsidDel="00AB08A1">
          <w:delText>e</w:delText>
        </w:r>
        <w:r w:rsidR="00C31740" w:rsidRPr="002B65F7" w:rsidDel="00AB08A1">
          <w:delText xml:space="preserve"> le risque de contamination microbienne, </w:delText>
        </w:r>
      </w:del>
      <w:r w:rsidR="00C31740" w:rsidRPr="002B65F7">
        <w:t>le produit doit être utilisé immédiatement. En cas d’utilisation non immédiate, les durées et conditions de conservation</w:t>
      </w:r>
      <w:ins w:id="23" w:author="Author">
        <w:r>
          <w:t xml:space="preserve"> avant utilisation</w:t>
        </w:r>
      </w:ins>
      <w:r w:rsidR="00C31740" w:rsidRPr="002B65F7">
        <w:t xml:space="preserve"> </w:t>
      </w:r>
      <w:del w:id="24" w:author="Author">
        <w:r w:rsidR="00C31740" w:rsidRPr="002B65F7" w:rsidDel="00AB08A1">
          <w:delText xml:space="preserve">après dilution </w:delText>
        </w:r>
      </w:del>
      <w:r w:rsidR="00C31740" w:rsidRPr="002B65F7">
        <w:t>relèvent de la seule responsabilité de l'utilisateur</w:t>
      </w:r>
      <w:ins w:id="25" w:author="Author">
        <w:r>
          <w:t xml:space="preserve"> et ne dépassent normalement pas 8 heures à</w:t>
        </w:r>
        <w:r w:rsidR="00BB6B52">
          <w:t xml:space="preserve"> une température allant jusqu’à</w:t>
        </w:r>
        <w:r>
          <w:t xml:space="preserve"> 25°C, </w:t>
        </w:r>
        <w:r w:rsidR="000F43D8" w:rsidRPr="000F43D8">
          <w:t xml:space="preserve">sauf </w:t>
        </w:r>
        <w:r w:rsidR="00633D4C">
          <w:t xml:space="preserve">si la </w:t>
        </w:r>
        <w:r w:rsidR="000F43D8" w:rsidRPr="000F43D8">
          <w:t xml:space="preserve">dilution </w:t>
        </w:r>
        <w:r w:rsidR="00633D4C">
          <w:t xml:space="preserve">a été faite </w:t>
        </w:r>
        <w:r w:rsidR="000F43D8" w:rsidRPr="000F43D8">
          <w:t>dans des conditions aseptiques contrôlées et validées.</w:t>
        </w:r>
      </w:ins>
      <w:del w:id="26" w:author="Author">
        <w:r w:rsidR="00C31740" w:rsidRPr="002B65F7" w:rsidDel="000F43D8">
          <w:delText>.</w:delText>
        </w:r>
      </w:del>
    </w:p>
    <w:p w14:paraId="498F902B" w14:textId="77777777" w:rsidR="00480B91" w:rsidRPr="002B65F7" w:rsidRDefault="00480B91" w:rsidP="00496255">
      <w:pPr>
        <w:widowControl/>
      </w:pPr>
    </w:p>
    <w:p w14:paraId="03B57F20" w14:textId="7FB41AD0" w:rsidR="00092F83" w:rsidRPr="002B65F7" w:rsidRDefault="00480B91" w:rsidP="002E27CA">
      <w:pPr>
        <w:keepNext/>
        <w:widowControl/>
        <w:ind w:left="567" w:hanging="567"/>
        <w:rPr>
          <w:b/>
          <w:bCs/>
        </w:rPr>
      </w:pPr>
      <w:r w:rsidRPr="002B65F7">
        <w:rPr>
          <w:b/>
          <w:bCs/>
        </w:rPr>
        <w:t>6.4</w:t>
      </w:r>
      <w:r w:rsidRPr="002B65F7">
        <w:rPr>
          <w:b/>
          <w:bCs/>
        </w:rPr>
        <w:tab/>
      </w:r>
      <w:r w:rsidR="00C31740" w:rsidRPr="002B65F7">
        <w:rPr>
          <w:b/>
          <w:bCs/>
        </w:rPr>
        <w:t>Précautions particulières de conservation</w:t>
      </w:r>
    </w:p>
    <w:p w14:paraId="03B57F21" w14:textId="77777777" w:rsidR="00092F83" w:rsidRPr="002B65F7" w:rsidRDefault="00092F83" w:rsidP="00496255">
      <w:pPr>
        <w:keepNext/>
        <w:widowControl/>
      </w:pPr>
    </w:p>
    <w:p w14:paraId="5C631A57" w14:textId="77777777" w:rsidR="000E5AAB" w:rsidRPr="002B65F7" w:rsidRDefault="00C31740" w:rsidP="00496255">
      <w:pPr>
        <w:widowControl/>
      </w:pPr>
      <w:r w:rsidRPr="002B65F7">
        <w:t>A conserver au réfrigérateur (entre 2°C</w:t>
      </w:r>
      <w:r w:rsidR="00ED6A78" w:rsidRPr="002B65F7">
        <w:t> </w:t>
      </w:r>
      <w:r w:rsidRPr="002B65F7">
        <w:t>et</w:t>
      </w:r>
      <w:r w:rsidR="00ED6A78" w:rsidRPr="002B65F7">
        <w:t> </w:t>
      </w:r>
      <w:r w:rsidRPr="002B65F7">
        <w:t xml:space="preserve">8°C). </w:t>
      </w:r>
    </w:p>
    <w:p w14:paraId="15D83B5C" w14:textId="77777777" w:rsidR="00EB4E9B" w:rsidRPr="002B65F7" w:rsidRDefault="00C31740" w:rsidP="00496255">
      <w:pPr>
        <w:widowControl/>
      </w:pPr>
      <w:r w:rsidRPr="002B65F7">
        <w:t xml:space="preserve">Ne pas congeler. </w:t>
      </w:r>
    </w:p>
    <w:p w14:paraId="03B57F22" w14:textId="038163A4" w:rsidR="00092F83" w:rsidRPr="002B65F7" w:rsidRDefault="00C31740" w:rsidP="00496255">
      <w:pPr>
        <w:widowControl/>
      </w:pPr>
      <w:r w:rsidRPr="002B65F7">
        <w:t>Conserver le flacon dans l’emballage extérieur à l’abri de la lumière.</w:t>
      </w:r>
    </w:p>
    <w:p w14:paraId="5DD3EC51" w14:textId="77777777" w:rsidR="00ED6A78" w:rsidRPr="002B65F7" w:rsidRDefault="00ED6A78" w:rsidP="00496255">
      <w:pPr>
        <w:widowControl/>
      </w:pPr>
    </w:p>
    <w:p w14:paraId="03B57F23" w14:textId="448AC508" w:rsidR="00092F83" w:rsidRPr="002B65F7" w:rsidRDefault="00C31740" w:rsidP="00496255">
      <w:pPr>
        <w:widowControl/>
      </w:pPr>
      <w:r w:rsidRPr="002B65F7">
        <w:t>Pour les conditions de conservation du médicament après dilution, voir la rubrique</w:t>
      </w:r>
      <w:r w:rsidR="00ED6A78" w:rsidRPr="002B65F7">
        <w:t> </w:t>
      </w:r>
      <w:r w:rsidRPr="002B65F7">
        <w:t>6.3.</w:t>
      </w:r>
    </w:p>
    <w:p w14:paraId="03B57F24" w14:textId="77777777" w:rsidR="00092F83" w:rsidRPr="002B65F7" w:rsidRDefault="00092F83" w:rsidP="00496255">
      <w:pPr>
        <w:widowControl/>
      </w:pPr>
    </w:p>
    <w:p w14:paraId="03B57F25" w14:textId="4740E170" w:rsidR="00092F83" w:rsidRPr="002B65F7" w:rsidRDefault="00ED6A78" w:rsidP="002E27CA">
      <w:pPr>
        <w:keepNext/>
        <w:widowControl/>
        <w:ind w:left="567" w:hanging="567"/>
        <w:rPr>
          <w:b/>
          <w:bCs/>
        </w:rPr>
      </w:pPr>
      <w:r w:rsidRPr="002B65F7">
        <w:rPr>
          <w:b/>
          <w:bCs/>
        </w:rPr>
        <w:t>6.5</w:t>
      </w:r>
      <w:r w:rsidRPr="002B65F7">
        <w:rPr>
          <w:b/>
          <w:bCs/>
        </w:rPr>
        <w:tab/>
      </w:r>
      <w:r w:rsidR="00C31740" w:rsidRPr="002B65F7">
        <w:rPr>
          <w:b/>
          <w:bCs/>
        </w:rPr>
        <w:t>Nature et contenu de l’emballage extérieur</w:t>
      </w:r>
    </w:p>
    <w:p w14:paraId="03B57F26" w14:textId="77777777" w:rsidR="00092F83" w:rsidRPr="002B65F7" w:rsidRDefault="00092F83" w:rsidP="00496255">
      <w:pPr>
        <w:keepNext/>
        <w:widowControl/>
      </w:pPr>
    </w:p>
    <w:p w14:paraId="733D631B" w14:textId="2F7CBFB0" w:rsidR="00B41E23" w:rsidRPr="002B65F7" w:rsidRDefault="00C31740" w:rsidP="00496255">
      <w:pPr>
        <w:widowControl/>
      </w:pPr>
      <w:r w:rsidRPr="002B65F7">
        <w:t>26</w:t>
      </w:r>
      <w:r w:rsidR="00ED6A78" w:rsidRPr="002B65F7">
        <w:t> </w:t>
      </w:r>
      <w:r w:rsidRPr="002B65F7">
        <w:t>mL de solution dans un flacon de 30</w:t>
      </w:r>
      <w:r w:rsidR="00ED6A78" w:rsidRPr="002B65F7">
        <w:t> </w:t>
      </w:r>
      <w:r w:rsidRPr="002B65F7">
        <w:t xml:space="preserve">mL en verre de type I fermé par un bouchon en </w:t>
      </w:r>
      <w:r w:rsidR="0046210A" w:rsidRPr="002B65F7">
        <w:t>élastomère</w:t>
      </w:r>
      <w:r w:rsidRPr="002B65F7">
        <w:t>.</w:t>
      </w:r>
    </w:p>
    <w:p w14:paraId="251DD426" w14:textId="77777777" w:rsidR="00B41E23" w:rsidRPr="002B65F7" w:rsidRDefault="00B41E23" w:rsidP="00496255">
      <w:pPr>
        <w:widowControl/>
      </w:pPr>
    </w:p>
    <w:p w14:paraId="03B57F27" w14:textId="2A433918" w:rsidR="00092F83" w:rsidRPr="002B65F7" w:rsidRDefault="0046210A" w:rsidP="00496255">
      <w:pPr>
        <w:widowControl/>
      </w:pPr>
      <w:r w:rsidRPr="002B65F7">
        <w:t>WEZENLA</w:t>
      </w:r>
      <w:r w:rsidR="00C31740" w:rsidRPr="002B65F7">
        <w:t xml:space="preserve"> est disponible dans une boîte contenant 1</w:t>
      </w:r>
      <w:r w:rsidR="0013289D" w:rsidRPr="002B65F7">
        <w:t> </w:t>
      </w:r>
      <w:r w:rsidR="00C31740" w:rsidRPr="002B65F7">
        <w:t>flacon.</w:t>
      </w:r>
    </w:p>
    <w:p w14:paraId="394517B9" w14:textId="77777777" w:rsidR="00ED6A78" w:rsidRPr="002B65F7" w:rsidRDefault="00ED6A78" w:rsidP="00496255">
      <w:pPr>
        <w:widowControl/>
      </w:pPr>
    </w:p>
    <w:p w14:paraId="03B57F28" w14:textId="74F4B1D7" w:rsidR="00092F83" w:rsidRPr="002B65F7" w:rsidRDefault="00ED6A78" w:rsidP="002E27CA">
      <w:pPr>
        <w:keepNext/>
        <w:widowControl/>
        <w:ind w:left="567" w:hanging="567"/>
        <w:rPr>
          <w:b/>
          <w:bCs/>
        </w:rPr>
      </w:pPr>
      <w:r w:rsidRPr="002B65F7">
        <w:rPr>
          <w:b/>
          <w:bCs/>
        </w:rPr>
        <w:t>6.6</w:t>
      </w:r>
      <w:r w:rsidRPr="002B65F7">
        <w:rPr>
          <w:b/>
          <w:bCs/>
        </w:rPr>
        <w:tab/>
      </w:r>
      <w:r w:rsidR="00C31740" w:rsidRPr="002B65F7">
        <w:rPr>
          <w:b/>
          <w:bCs/>
        </w:rPr>
        <w:t>Précautions particulières d’élimination et manipulation</w:t>
      </w:r>
    </w:p>
    <w:p w14:paraId="03B57F29" w14:textId="77777777" w:rsidR="00092F83" w:rsidRPr="002B65F7" w:rsidRDefault="00092F83" w:rsidP="00496255">
      <w:pPr>
        <w:keepNext/>
        <w:widowControl/>
      </w:pPr>
    </w:p>
    <w:p w14:paraId="03B57F2A" w14:textId="32FF2302" w:rsidR="00092F83" w:rsidRPr="002B65F7" w:rsidRDefault="00C31740" w:rsidP="00496255">
      <w:pPr>
        <w:widowControl/>
      </w:pPr>
      <w:r w:rsidRPr="002B65F7">
        <w:t xml:space="preserve">Ne pas agiter la solution contenue dans le flacon </w:t>
      </w:r>
      <w:r w:rsidR="0046210A" w:rsidRPr="002B65F7">
        <w:t>WEZENLA</w:t>
      </w:r>
      <w:r w:rsidRPr="002B65F7">
        <w:t>. Avant administration, la solution doit être inspectée visuellement à la recherche de particules ou d’un changement de coloration. La solution est limpide</w:t>
      </w:r>
      <w:r w:rsidR="0010720B" w:rsidRPr="002B65F7">
        <w:t xml:space="preserve"> à opalescente</w:t>
      </w:r>
      <w:r w:rsidRPr="002B65F7">
        <w:t>, incolore à jaune clair. Le médicament ne doit pas être utilisé si la solution est décolorée ou laiteuse, ou si des particules étrangères sont présentes.</w:t>
      </w:r>
    </w:p>
    <w:p w14:paraId="03B57F2B" w14:textId="77777777" w:rsidR="00092F83" w:rsidRPr="002B65F7" w:rsidRDefault="00092F83" w:rsidP="00496255">
      <w:pPr>
        <w:widowControl/>
      </w:pPr>
    </w:p>
    <w:p w14:paraId="03B57F2C" w14:textId="77777777" w:rsidR="00092F83" w:rsidRPr="002B65F7" w:rsidRDefault="00C31740" w:rsidP="00496255">
      <w:pPr>
        <w:keepNext/>
        <w:widowControl/>
        <w:rPr>
          <w:u w:val="single"/>
        </w:rPr>
      </w:pPr>
      <w:r w:rsidRPr="002B65F7">
        <w:rPr>
          <w:u w:val="single"/>
        </w:rPr>
        <w:lastRenderedPageBreak/>
        <w:t>Dilution</w:t>
      </w:r>
    </w:p>
    <w:p w14:paraId="372CA147" w14:textId="77777777" w:rsidR="00ED6A78" w:rsidRPr="002B65F7" w:rsidRDefault="00ED6A78" w:rsidP="00496255">
      <w:pPr>
        <w:keepNext/>
        <w:widowControl/>
        <w:rPr>
          <w:u w:val="single"/>
        </w:rPr>
      </w:pPr>
    </w:p>
    <w:p w14:paraId="03B57F2D" w14:textId="65B9E0BA" w:rsidR="00092F83" w:rsidRPr="002B65F7" w:rsidRDefault="0010720B" w:rsidP="0032119C">
      <w:pPr>
        <w:keepNext/>
        <w:widowControl/>
      </w:pPr>
      <w:r w:rsidRPr="002B65F7">
        <w:t>WEZENLA</w:t>
      </w:r>
      <w:r w:rsidR="00C31740" w:rsidRPr="002B65F7">
        <w:t xml:space="preserve"> solution à diluer pour perfusion doit être dilué et préparé par un professionnel de santé en utilisant une technique aseptique.</w:t>
      </w:r>
    </w:p>
    <w:p w14:paraId="03B57F2E" w14:textId="77777777" w:rsidR="00092F83" w:rsidRPr="002B65F7" w:rsidRDefault="00092F83" w:rsidP="0032119C">
      <w:pPr>
        <w:keepNext/>
        <w:widowControl/>
        <w:ind w:left="567" w:hanging="567"/>
      </w:pPr>
    </w:p>
    <w:p w14:paraId="03B57F2F" w14:textId="496C1D7A" w:rsidR="00092F83" w:rsidRPr="002B65F7" w:rsidRDefault="00B50F30" w:rsidP="00496255">
      <w:pPr>
        <w:widowControl/>
        <w:ind w:left="567" w:hanging="567"/>
      </w:pPr>
      <w:r w:rsidRPr="002B65F7">
        <w:t>1.</w:t>
      </w:r>
      <w:r w:rsidRPr="002B65F7">
        <w:tab/>
      </w:r>
      <w:r w:rsidR="00C31740" w:rsidRPr="002B65F7">
        <w:t xml:space="preserve">Calculer la dose et le nombre de flacons de </w:t>
      </w:r>
      <w:r w:rsidR="0010720B" w:rsidRPr="002B65F7">
        <w:t>WEZENLA</w:t>
      </w:r>
      <w:r w:rsidR="00C31740" w:rsidRPr="002B65F7">
        <w:t xml:space="preserve"> nécessaires sur la base du poids du patient (voir rubrique</w:t>
      </w:r>
      <w:r w:rsidR="002A2211" w:rsidRPr="002B65F7">
        <w:t> </w:t>
      </w:r>
      <w:r w:rsidR="00C31740" w:rsidRPr="002B65F7">
        <w:t xml:space="preserve">4.2, </w:t>
      </w:r>
      <w:r w:rsidR="0010720B" w:rsidRPr="002B65F7">
        <w:t>t</w:t>
      </w:r>
      <w:r w:rsidR="00C31740" w:rsidRPr="002B65F7">
        <w:t>ableau</w:t>
      </w:r>
      <w:r w:rsidR="002A2211" w:rsidRPr="002B65F7">
        <w:t> </w:t>
      </w:r>
      <w:r w:rsidR="00C31740" w:rsidRPr="002B65F7">
        <w:t>1). Chaque flacon de 26</w:t>
      </w:r>
      <w:r w:rsidR="002A2211" w:rsidRPr="002B65F7">
        <w:t> </w:t>
      </w:r>
      <w:r w:rsidR="00C31740" w:rsidRPr="002B65F7">
        <w:t xml:space="preserve">mL de </w:t>
      </w:r>
      <w:r w:rsidR="0010720B" w:rsidRPr="002B65F7">
        <w:t>WEZENLA</w:t>
      </w:r>
      <w:r w:rsidR="00C31740" w:rsidRPr="002B65F7">
        <w:t xml:space="preserve"> contient 130</w:t>
      </w:r>
      <w:r w:rsidR="002A2211" w:rsidRPr="002B65F7">
        <w:t> </w:t>
      </w:r>
      <w:r w:rsidR="00C31740" w:rsidRPr="002B65F7">
        <w:t>mg d’</w:t>
      </w:r>
      <w:r w:rsidR="0071390F" w:rsidRPr="002B65F7">
        <w:t>ustekinumab</w:t>
      </w:r>
      <w:r w:rsidR="00C31740" w:rsidRPr="002B65F7">
        <w:t xml:space="preserve">. Utiliser uniquement des flacons entiers de </w:t>
      </w:r>
      <w:r w:rsidR="0010720B" w:rsidRPr="002B65F7">
        <w:t>WEZENLA</w:t>
      </w:r>
      <w:r w:rsidR="00C31740" w:rsidRPr="002B65F7">
        <w:t>.</w:t>
      </w:r>
    </w:p>
    <w:p w14:paraId="03B57F31" w14:textId="29B39793" w:rsidR="00092F83" w:rsidRPr="002B65F7" w:rsidRDefault="002A2211" w:rsidP="00496255">
      <w:pPr>
        <w:widowControl/>
        <w:ind w:left="567" w:hanging="567"/>
      </w:pPr>
      <w:r w:rsidRPr="002B65F7">
        <w:t>2.</w:t>
      </w:r>
      <w:r w:rsidRPr="002B65F7">
        <w:tab/>
      </w:r>
      <w:r w:rsidR="00C31740" w:rsidRPr="002B65F7">
        <w:t>Prélever et jeter un volume de solution de chlorure de sodium à 9</w:t>
      </w:r>
      <w:r w:rsidR="00A42491" w:rsidRPr="002B65F7">
        <w:t> </w:t>
      </w:r>
      <w:r w:rsidR="00C31740" w:rsidRPr="002B65F7">
        <w:t>mg/m</w:t>
      </w:r>
      <w:r w:rsidR="001932B8" w:rsidRPr="002B65F7">
        <w:t>L</w:t>
      </w:r>
      <w:r w:rsidR="00C31740" w:rsidRPr="002B65F7">
        <w:t xml:space="preserve"> (0,9%) de la poche de perfusion de 250</w:t>
      </w:r>
      <w:r w:rsidRPr="002B65F7">
        <w:t> </w:t>
      </w:r>
      <w:r w:rsidR="00C31740" w:rsidRPr="002B65F7">
        <w:t xml:space="preserve">mL égal au volume de </w:t>
      </w:r>
      <w:r w:rsidR="0010720B" w:rsidRPr="002B65F7">
        <w:t>WEZENLA</w:t>
      </w:r>
      <w:r w:rsidR="00C31740" w:rsidRPr="002B65F7">
        <w:t xml:space="preserve"> à ajouter (jeter 26</w:t>
      </w:r>
      <w:r w:rsidR="00A42491" w:rsidRPr="002B65F7">
        <w:t> </w:t>
      </w:r>
      <w:r w:rsidR="00C31740" w:rsidRPr="002B65F7">
        <w:t xml:space="preserve">mL de chlorure de sodium pour chaque flacon de </w:t>
      </w:r>
      <w:r w:rsidR="0010720B" w:rsidRPr="002B65F7">
        <w:t>WEZENLA</w:t>
      </w:r>
      <w:r w:rsidR="00C31740" w:rsidRPr="002B65F7">
        <w:t xml:space="preserve"> nécessaire, pour 2</w:t>
      </w:r>
      <w:r w:rsidR="0013289D" w:rsidRPr="002B65F7">
        <w:t> </w:t>
      </w:r>
      <w:r w:rsidR="00C31740" w:rsidRPr="002B65F7">
        <w:t>flacons - jeter 52</w:t>
      </w:r>
      <w:r w:rsidR="00A42491" w:rsidRPr="002B65F7">
        <w:t> </w:t>
      </w:r>
      <w:r w:rsidR="00C31740" w:rsidRPr="002B65F7">
        <w:t>mL, pour</w:t>
      </w:r>
      <w:r w:rsidR="007459A1" w:rsidRPr="002B65F7">
        <w:t xml:space="preserve"> </w:t>
      </w:r>
      <w:r w:rsidR="00C31740" w:rsidRPr="002B65F7">
        <w:t>3</w:t>
      </w:r>
      <w:r w:rsidR="0013289D" w:rsidRPr="002B65F7">
        <w:t> </w:t>
      </w:r>
      <w:r w:rsidR="00C31740" w:rsidRPr="002B65F7">
        <w:t>flacons - jeter 78</w:t>
      </w:r>
      <w:r w:rsidR="00A42491" w:rsidRPr="002B65F7">
        <w:t> </w:t>
      </w:r>
      <w:r w:rsidR="00C31740" w:rsidRPr="002B65F7">
        <w:t>mL, pour 4</w:t>
      </w:r>
      <w:r w:rsidR="005E0999" w:rsidRPr="002B65F7">
        <w:t> </w:t>
      </w:r>
      <w:r w:rsidR="00C31740" w:rsidRPr="002B65F7">
        <w:t>flacons - jeter 104</w:t>
      </w:r>
      <w:r w:rsidR="00A42491" w:rsidRPr="002B65F7">
        <w:t> </w:t>
      </w:r>
      <w:r w:rsidR="00C31740" w:rsidRPr="002B65F7">
        <w:t>mL).</w:t>
      </w:r>
    </w:p>
    <w:p w14:paraId="03B57F32" w14:textId="1E1DD0CE" w:rsidR="00092F83" w:rsidRPr="002B65F7" w:rsidRDefault="002A2211" w:rsidP="00496255">
      <w:pPr>
        <w:widowControl/>
        <w:ind w:left="567" w:hanging="567"/>
      </w:pPr>
      <w:r w:rsidRPr="002B65F7">
        <w:t>3.</w:t>
      </w:r>
      <w:r w:rsidRPr="002B65F7">
        <w:tab/>
      </w:r>
      <w:r w:rsidR="00C31740" w:rsidRPr="002B65F7">
        <w:t>Prélever 26</w:t>
      </w:r>
      <w:r w:rsidR="00A42491" w:rsidRPr="002B65F7">
        <w:t> </w:t>
      </w:r>
      <w:r w:rsidR="00C31740" w:rsidRPr="002B65F7">
        <w:t xml:space="preserve">mL de </w:t>
      </w:r>
      <w:r w:rsidR="0010720B" w:rsidRPr="002B65F7">
        <w:t>WEZENLA</w:t>
      </w:r>
      <w:r w:rsidR="00C31740" w:rsidRPr="002B65F7">
        <w:t xml:space="preserve"> de chaque flacon nécessaire et les ajouter à la poche de perfusion de 250</w:t>
      </w:r>
      <w:r w:rsidR="00A42491" w:rsidRPr="002B65F7">
        <w:t> </w:t>
      </w:r>
      <w:r w:rsidR="00C31740" w:rsidRPr="002B65F7">
        <w:t>mL. Le volume final dans la poche de perfusion doit être de 250</w:t>
      </w:r>
      <w:r w:rsidR="00A42491" w:rsidRPr="002B65F7">
        <w:t> </w:t>
      </w:r>
      <w:r w:rsidR="00C31740" w:rsidRPr="002B65F7">
        <w:t>mL. Mélanger délicatement.</w:t>
      </w:r>
    </w:p>
    <w:p w14:paraId="03B57F33" w14:textId="347D1EE6" w:rsidR="00092F83" w:rsidRPr="002B65F7" w:rsidRDefault="002A2211" w:rsidP="00496255">
      <w:pPr>
        <w:widowControl/>
        <w:ind w:left="567" w:hanging="567"/>
      </w:pPr>
      <w:r w:rsidRPr="002B65F7">
        <w:t>4.</w:t>
      </w:r>
      <w:r w:rsidRPr="002B65F7">
        <w:tab/>
      </w:r>
      <w:r w:rsidR="00C31740" w:rsidRPr="002B65F7">
        <w:t>Inspecter visuellement la solution diluée avant administration. Ne pas utiliser si des particules visibles opaques, un changement de coloration ou des particules étrangères sont observés.</w:t>
      </w:r>
    </w:p>
    <w:p w14:paraId="03B57F34" w14:textId="78E03DE2" w:rsidR="00092F83" w:rsidRPr="002B65F7" w:rsidRDefault="002A2211" w:rsidP="00496255">
      <w:pPr>
        <w:widowControl/>
        <w:ind w:left="567" w:hanging="567"/>
      </w:pPr>
      <w:r w:rsidRPr="002B65F7">
        <w:t>5.</w:t>
      </w:r>
      <w:r w:rsidRPr="002B65F7">
        <w:tab/>
      </w:r>
      <w:r w:rsidR="00C31740" w:rsidRPr="002B65F7">
        <w:t xml:space="preserve">Administrer la solution diluée sur une période d’au moins une heure. </w:t>
      </w:r>
    </w:p>
    <w:p w14:paraId="03B57F35" w14:textId="13508D5D" w:rsidR="00092F83" w:rsidRPr="002B65F7" w:rsidRDefault="002A2211" w:rsidP="00496255">
      <w:pPr>
        <w:widowControl/>
        <w:ind w:left="567" w:hanging="567"/>
      </w:pPr>
      <w:r w:rsidRPr="002B65F7">
        <w:t>6.</w:t>
      </w:r>
      <w:r w:rsidRPr="002B65F7">
        <w:tab/>
      </w:r>
      <w:r w:rsidR="00C31740" w:rsidRPr="002B65F7">
        <w:t>Utiliser exclusivement un ensemble de perfusion avec filtre en ligne stérile, non pyrogène, à faible fixation protéique (taille de pores 0,2</w:t>
      </w:r>
      <w:r w:rsidR="00A42491" w:rsidRPr="002B65F7">
        <w:t> </w:t>
      </w:r>
      <w:r w:rsidR="00C31740" w:rsidRPr="002B65F7">
        <w:t>micromètre).</w:t>
      </w:r>
    </w:p>
    <w:p w14:paraId="03B57F36" w14:textId="538A5047" w:rsidR="00092F83" w:rsidRPr="002B65F7" w:rsidRDefault="002A2211" w:rsidP="00496255">
      <w:pPr>
        <w:widowControl/>
        <w:ind w:left="567" w:hanging="567"/>
      </w:pPr>
      <w:r w:rsidRPr="002B65F7">
        <w:t>7.</w:t>
      </w:r>
      <w:r w:rsidRPr="002B65F7">
        <w:tab/>
      </w:r>
      <w:r w:rsidR="00C31740" w:rsidRPr="002B65F7">
        <w:t>Chaque flacon est à usage unique et tout médicament non utilisé doit être éliminé conformément à la réglementation en vigueur.</w:t>
      </w:r>
    </w:p>
    <w:p w14:paraId="03B57F37" w14:textId="77777777" w:rsidR="00092F83" w:rsidRPr="002B65F7" w:rsidRDefault="00092F83" w:rsidP="00496255">
      <w:pPr>
        <w:widowControl/>
      </w:pPr>
    </w:p>
    <w:p w14:paraId="6A40A3F1" w14:textId="77777777" w:rsidR="002A2211" w:rsidRPr="002B65F7" w:rsidRDefault="002A2211" w:rsidP="00496255">
      <w:pPr>
        <w:widowControl/>
      </w:pPr>
    </w:p>
    <w:p w14:paraId="03B57F38" w14:textId="0E7D7988" w:rsidR="00092F83" w:rsidRPr="002B65F7" w:rsidRDefault="002A2211" w:rsidP="002E27CA">
      <w:pPr>
        <w:keepNext/>
        <w:widowControl/>
        <w:ind w:left="567" w:hanging="567"/>
        <w:rPr>
          <w:b/>
          <w:bCs/>
        </w:rPr>
      </w:pPr>
      <w:r w:rsidRPr="002B65F7">
        <w:rPr>
          <w:b/>
          <w:bCs/>
        </w:rPr>
        <w:t>7.</w:t>
      </w:r>
      <w:r w:rsidRPr="002B65F7">
        <w:rPr>
          <w:b/>
          <w:bCs/>
        </w:rPr>
        <w:tab/>
      </w:r>
      <w:r w:rsidR="00C31740" w:rsidRPr="002B65F7">
        <w:rPr>
          <w:b/>
          <w:bCs/>
        </w:rPr>
        <w:t>TITULAIRE DE L’AUTORISATION DE MISE SUR LE MARCHÉ</w:t>
      </w:r>
    </w:p>
    <w:p w14:paraId="03B57F39" w14:textId="77777777" w:rsidR="00092F83" w:rsidRPr="002B65F7" w:rsidRDefault="00092F83" w:rsidP="00496255">
      <w:pPr>
        <w:keepNext/>
        <w:widowControl/>
      </w:pPr>
    </w:p>
    <w:p w14:paraId="5DD3BE3B" w14:textId="77777777" w:rsidR="0010720B" w:rsidRPr="002B65F7" w:rsidRDefault="0010720B" w:rsidP="0010720B">
      <w:pPr>
        <w:keepNext/>
        <w:rPr>
          <w:lang w:val="en-GB"/>
        </w:rPr>
      </w:pPr>
      <w:r w:rsidRPr="002B65F7">
        <w:rPr>
          <w:lang w:val="en-GB"/>
        </w:rPr>
        <w:t>Amgen Technology (Ireland) UC,</w:t>
      </w:r>
    </w:p>
    <w:p w14:paraId="1F35C74F" w14:textId="77777777" w:rsidR="0010720B" w:rsidRPr="002B65F7" w:rsidRDefault="0010720B" w:rsidP="0010720B">
      <w:pPr>
        <w:keepNext/>
        <w:rPr>
          <w:lang w:val="en-GB"/>
        </w:rPr>
      </w:pPr>
      <w:r w:rsidRPr="002B65F7">
        <w:rPr>
          <w:lang w:val="en-GB"/>
        </w:rPr>
        <w:t>Pottery Road,</w:t>
      </w:r>
    </w:p>
    <w:p w14:paraId="6D2BEE6C" w14:textId="77777777" w:rsidR="0010720B" w:rsidRPr="0065709C" w:rsidRDefault="0010720B" w:rsidP="0010720B">
      <w:pPr>
        <w:keepNext/>
        <w:rPr>
          <w:lang w:val="fr-CA"/>
        </w:rPr>
      </w:pPr>
      <w:r w:rsidRPr="0065709C">
        <w:rPr>
          <w:lang w:val="fr-CA"/>
        </w:rPr>
        <w:t>Dun Laoghaire,</w:t>
      </w:r>
    </w:p>
    <w:p w14:paraId="4966A570" w14:textId="77777777" w:rsidR="0010720B" w:rsidRPr="0065709C" w:rsidRDefault="0010720B" w:rsidP="0010720B">
      <w:pPr>
        <w:keepNext/>
        <w:rPr>
          <w:lang w:val="fr-CA"/>
        </w:rPr>
      </w:pPr>
      <w:r w:rsidRPr="0065709C">
        <w:rPr>
          <w:lang w:val="fr-CA"/>
        </w:rPr>
        <w:t>Co Dublin,</w:t>
      </w:r>
    </w:p>
    <w:p w14:paraId="03B57F3B" w14:textId="5E3EC77B" w:rsidR="00092F83" w:rsidRPr="0065709C" w:rsidRDefault="0010720B" w:rsidP="00496255">
      <w:pPr>
        <w:widowControl/>
        <w:rPr>
          <w:lang w:val="fr-CA"/>
        </w:rPr>
      </w:pPr>
      <w:r w:rsidRPr="0065709C">
        <w:rPr>
          <w:lang w:val="fr-CA"/>
        </w:rPr>
        <w:t>Irlande</w:t>
      </w:r>
    </w:p>
    <w:p w14:paraId="763FD9FD" w14:textId="77777777" w:rsidR="002A2211" w:rsidRPr="0065709C" w:rsidRDefault="002A2211" w:rsidP="00496255">
      <w:pPr>
        <w:widowControl/>
        <w:rPr>
          <w:lang w:val="fr-CA"/>
        </w:rPr>
      </w:pPr>
    </w:p>
    <w:p w14:paraId="6BFEEBB3" w14:textId="77777777" w:rsidR="002A2211" w:rsidRPr="0065709C" w:rsidRDefault="002A2211" w:rsidP="00496255">
      <w:pPr>
        <w:widowControl/>
        <w:rPr>
          <w:lang w:val="fr-CA"/>
        </w:rPr>
      </w:pPr>
    </w:p>
    <w:p w14:paraId="03B57F3D" w14:textId="15E5269F" w:rsidR="00092F83" w:rsidRPr="002B65F7" w:rsidRDefault="002A2211" w:rsidP="002E27CA">
      <w:pPr>
        <w:keepNext/>
        <w:widowControl/>
        <w:ind w:left="567" w:hanging="567"/>
        <w:rPr>
          <w:b/>
          <w:bCs/>
        </w:rPr>
      </w:pPr>
      <w:r w:rsidRPr="002B65F7">
        <w:rPr>
          <w:b/>
          <w:bCs/>
        </w:rPr>
        <w:t>8.</w:t>
      </w:r>
      <w:r w:rsidRPr="002B65F7">
        <w:rPr>
          <w:b/>
          <w:bCs/>
        </w:rPr>
        <w:tab/>
      </w:r>
      <w:r w:rsidR="00C31740" w:rsidRPr="002B65F7">
        <w:rPr>
          <w:b/>
          <w:bCs/>
        </w:rPr>
        <w:t>NUMÉRO(S) D’AUTORISATION DE MISE SUR LE MARCHÉ</w:t>
      </w:r>
    </w:p>
    <w:p w14:paraId="03B57F3E" w14:textId="77777777" w:rsidR="00092F83" w:rsidRPr="002B65F7" w:rsidRDefault="00092F83" w:rsidP="00496255">
      <w:pPr>
        <w:keepNext/>
        <w:widowControl/>
      </w:pPr>
    </w:p>
    <w:p w14:paraId="03B57F3F" w14:textId="1A1F36B2" w:rsidR="00092F83" w:rsidRPr="002B65F7" w:rsidRDefault="0010720B" w:rsidP="00496255">
      <w:pPr>
        <w:widowControl/>
      </w:pPr>
      <w:r w:rsidRPr="002B65F7">
        <w:t>EU/1/</w:t>
      </w:r>
      <w:r w:rsidR="006D22F7" w:rsidRPr="002B65F7">
        <w:t>24</w:t>
      </w:r>
      <w:r w:rsidRPr="002B65F7">
        <w:t>/</w:t>
      </w:r>
      <w:r w:rsidR="006D22F7" w:rsidRPr="002B65F7">
        <w:t>1823</w:t>
      </w:r>
      <w:r w:rsidRPr="002B65F7">
        <w:rPr>
          <w:spacing w:val="1"/>
        </w:rPr>
        <w:t>/</w:t>
      </w:r>
      <w:r w:rsidR="006D22F7" w:rsidRPr="002B65F7">
        <w:t>004</w:t>
      </w:r>
    </w:p>
    <w:p w14:paraId="03B57F40" w14:textId="77777777" w:rsidR="00092F83" w:rsidRPr="002B65F7" w:rsidRDefault="00092F83" w:rsidP="00496255">
      <w:pPr>
        <w:widowControl/>
      </w:pPr>
    </w:p>
    <w:p w14:paraId="522D06BC" w14:textId="77777777" w:rsidR="002A2211" w:rsidRPr="002B65F7" w:rsidRDefault="002A2211" w:rsidP="00496255">
      <w:pPr>
        <w:widowControl/>
      </w:pPr>
    </w:p>
    <w:p w14:paraId="03B57F41" w14:textId="7DB62DC9" w:rsidR="00092F83" w:rsidRPr="002B65F7" w:rsidRDefault="002A2211" w:rsidP="002E27CA">
      <w:pPr>
        <w:keepNext/>
        <w:widowControl/>
        <w:ind w:left="567" w:hanging="567"/>
        <w:rPr>
          <w:b/>
          <w:bCs/>
        </w:rPr>
      </w:pPr>
      <w:r w:rsidRPr="002B65F7">
        <w:rPr>
          <w:b/>
          <w:bCs/>
        </w:rPr>
        <w:t>9.</w:t>
      </w:r>
      <w:r w:rsidRPr="002B65F7">
        <w:rPr>
          <w:b/>
          <w:bCs/>
        </w:rPr>
        <w:tab/>
      </w:r>
      <w:r w:rsidR="00C31740" w:rsidRPr="002B65F7">
        <w:rPr>
          <w:b/>
          <w:bCs/>
        </w:rPr>
        <w:t>DATE DE PREMIÈRE AUTORISATION/DE RENOUVELLEMENT DE L’AUTORISATION</w:t>
      </w:r>
    </w:p>
    <w:p w14:paraId="03B57F42" w14:textId="77777777" w:rsidR="00092F83" w:rsidRPr="002B65F7" w:rsidRDefault="00092F83" w:rsidP="00496255">
      <w:pPr>
        <w:keepNext/>
        <w:widowControl/>
      </w:pPr>
    </w:p>
    <w:p w14:paraId="03B57F43" w14:textId="1D0DEBA6" w:rsidR="00092F83" w:rsidRPr="002B65F7" w:rsidRDefault="00C31740" w:rsidP="0010720B">
      <w:pPr>
        <w:widowControl/>
      </w:pPr>
      <w:r w:rsidRPr="002B65F7">
        <w:t xml:space="preserve">Date de première autorisation : </w:t>
      </w:r>
      <w:r w:rsidR="00B815CF" w:rsidRPr="00B815CF">
        <w:t>20 juin 2024</w:t>
      </w:r>
    </w:p>
    <w:p w14:paraId="03B57F44" w14:textId="77777777" w:rsidR="00092F83" w:rsidRPr="002B65F7" w:rsidRDefault="00092F83" w:rsidP="00496255">
      <w:pPr>
        <w:widowControl/>
      </w:pPr>
    </w:p>
    <w:p w14:paraId="4D5589DA" w14:textId="77777777" w:rsidR="002A2211" w:rsidRPr="002B65F7" w:rsidRDefault="002A2211" w:rsidP="00496255">
      <w:pPr>
        <w:widowControl/>
      </w:pPr>
    </w:p>
    <w:p w14:paraId="03B57F45" w14:textId="5D94B91A" w:rsidR="00092F83" w:rsidRPr="002B65F7" w:rsidRDefault="002A2211" w:rsidP="002E27CA">
      <w:pPr>
        <w:keepNext/>
        <w:widowControl/>
        <w:ind w:left="567" w:hanging="567"/>
        <w:rPr>
          <w:b/>
          <w:bCs/>
        </w:rPr>
      </w:pPr>
      <w:r w:rsidRPr="002B65F7">
        <w:rPr>
          <w:b/>
          <w:bCs/>
        </w:rPr>
        <w:t>10.</w:t>
      </w:r>
      <w:r w:rsidRPr="002B65F7">
        <w:rPr>
          <w:b/>
          <w:bCs/>
        </w:rPr>
        <w:tab/>
      </w:r>
      <w:r w:rsidR="00C31740" w:rsidRPr="002B65F7">
        <w:rPr>
          <w:b/>
          <w:bCs/>
        </w:rPr>
        <w:t>DATE DE MISE A JOUR DU TEXTE</w:t>
      </w:r>
    </w:p>
    <w:p w14:paraId="03B57F46" w14:textId="77777777" w:rsidR="00092F83" w:rsidRPr="002B65F7" w:rsidRDefault="00092F83" w:rsidP="00496255">
      <w:pPr>
        <w:keepNext/>
        <w:widowControl/>
      </w:pPr>
    </w:p>
    <w:p w14:paraId="03B57F47" w14:textId="77777777" w:rsidR="00092F83" w:rsidRPr="002B65F7" w:rsidRDefault="00092F83" w:rsidP="00496255">
      <w:pPr>
        <w:widowControl/>
      </w:pPr>
    </w:p>
    <w:p w14:paraId="03B57F48" w14:textId="77777777" w:rsidR="00092F83" w:rsidRPr="002B65F7" w:rsidRDefault="00092F83" w:rsidP="00496255">
      <w:pPr>
        <w:widowControl/>
      </w:pPr>
    </w:p>
    <w:p w14:paraId="4A1710A4" w14:textId="6D442578" w:rsidR="00B41E23" w:rsidRPr="002B65F7" w:rsidRDefault="00C31740" w:rsidP="00496255">
      <w:pPr>
        <w:widowControl/>
      </w:pPr>
      <w:r w:rsidRPr="002B65F7">
        <w:t xml:space="preserve">Des informations détaillées sur ce médicament sont disponibles sur le site internet de l’Agence européenne des médicaments </w:t>
      </w:r>
      <w:hyperlink r:id="rId12" w:history="1">
        <w:r w:rsidR="00F83FD7">
          <w:rPr>
            <w:rStyle w:val="Hyperlink"/>
          </w:rPr>
          <w:t>https://www.ema.europa.eu</w:t>
        </w:r>
      </w:hyperlink>
      <w:r w:rsidRPr="002B65F7">
        <w:t>.</w:t>
      </w:r>
    </w:p>
    <w:p w14:paraId="77E39B3C" w14:textId="129E678E" w:rsidR="0010720B" w:rsidRPr="002B65F7" w:rsidRDefault="00A42491" w:rsidP="000238BD">
      <w:pPr>
        <w:widowControl/>
        <w:rPr>
          <w:b/>
          <w:bCs/>
        </w:rPr>
      </w:pPr>
      <w:r w:rsidRPr="002B65F7">
        <w:br w:type="page"/>
      </w:r>
      <w:r w:rsidR="00A2167E">
        <w:rPr>
          <w:noProof/>
          <w:lang w:val="en-US" w:eastAsia="zh-CN"/>
        </w:rPr>
        <w:lastRenderedPageBreak/>
        <w:drawing>
          <wp:inline distT="0" distB="0" distL="0" distR="0" wp14:anchorId="0A9DC343" wp14:editId="0B31DAAA">
            <wp:extent cx="187960" cy="187960"/>
            <wp:effectExtent l="0" t="0" r="0" b="0"/>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sidR="0010720B" w:rsidRPr="002B65F7">
        <w:t>Ce médicament fait l’objet d’une surveillance supplémentaire</w:t>
      </w:r>
      <w:r w:rsidR="000E5AAB" w:rsidRPr="002B65F7">
        <w:t xml:space="preserve"> qui </w:t>
      </w:r>
      <w:r w:rsidR="0010720B" w:rsidRPr="002B65F7">
        <w:t xml:space="preserve">permettra </w:t>
      </w:r>
      <w:r w:rsidR="000E5AAB" w:rsidRPr="002B65F7">
        <w:t>l</w:t>
      </w:r>
      <w:r w:rsidR="0010720B" w:rsidRPr="002B65F7">
        <w:t>’identifi</w:t>
      </w:r>
      <w:r w:rsidR="000E5AAB" w:rsidRPr="002B65F7">
        <w:t>cation</w:t>
      </w:r>
      <w:r w:rsidR="0010720B" w:rsidRPr="002B65F7">
        <w:t xml:space="preserve"> rapide de nouvelles informations </w:t>
      </w:r>
      <w:r w:rsidR="000E5AAB" w:rsidRPr="002B65F7">
        <w:t>relatives à</w:t>
      </w:r>
      <w:r w:rsidR="0010720B" w:rsidRPr="002B65F7">
        <w:t xml:space="preserve"> la sécurité. Les professionnels de </w:t>
      </w:r>
      <w:r w:rsidR="000E5AAB" w:rsidRPr="002B65F7">
        <w:t xml:space="preserve">la </w:t>
      </w:r>
      <w:r w:rsidR="0010720B" w:rsidRPr="002B65F7">
        <w:t xml:space="preserve">santé </w:t>
      </w:r>
      <w:r w:rsidR="000E5AAB" w:rsidRPr="002B65F7">
        <w:t>déclarent</w:t>
      </w:r>
      <w:r w:rsidR="0010720B" w:rsidRPr="002B65F7">
        <w:t xml:space="preserve"> tout</w:t>
      </w:r>
      <w:r w:rsidR="000E5AAB" w:rsidRPr="002B65F7">
        <w:t xml:space="preserve"> effet indésirable suspecté</w:t>
      </w:r>
      <w:r w:rsidR="0010720B" w:rsidRPr="002B65F7">
        <w:t xml:space="preserve">. </w:t>
      </w:r>
      <w:r w:rsidR="000E5AAB" w:rsidRPr="002B65F7">
        <w:t>Voir</w:t>
      </w:r>
      <w:r w:rsidR="0010720B" w:rsidRPr="002B65F7">
        <w:t xml:space="preserve"> rubrique</w:t>
      </w:r>
      <w:r w:rsidR="000E5AAB" w:rsidRPr="002B65F7">
        <w:t> </w:t>
      </w:r>
      <w:r w:rsidR="0010720B" w:rsidRPr="002B65F7">
        <w:t xml:space="preserve">4.8 pour </w:t>
      </w:r>
      <w:r w:rsidR="000E5AAB" w:rsidRPr="002B65F7">
        <w:t>les modalités de déclaration des</w:t>
      </w:r>
      <w:r w:rsidR="0010720B" w:rsidRPr="002B65F7">
        <w:t xml:space="preserve"> effets indésirables.</w:t>
      </w:r>
    </w:p>
    <w:p w14:paraId="39FEA3C4" w14:textId="77777777" w:rsidR="00A42491" w:rsidRPr="002B65F7" w:rsidRDefault="00A42491" w:rsidP="00496255">
      <w:pPr>
        <w:widowControl/>
      </w:pPr>
    </w:p>
    <w:p w14:paraId="7D737E17" w14:textId="77777777" w:rsidR="0010720B" w:rsidRPr="002B65F7" w:rsidRDefault="0010720B" w:rsidP="00496255">
      <w:pPr>
        <w:widowControl/>
      </w:pPr>
    </w:p>
    <w:p w14:paraId="03B57F4B" w14:textId="47EF7DE4" w:rsidR="00092F83" w:rsidRPr="002B65F7" w:rsidRDefault="00F91441" w:rsidP="001B44BA">
      <w:pPr>
        <w:keepNext/>
        <w:widowControl/>
        <w:ind w:left="567" w:hanging="567"/>
        <w:rPr>
          <w:b/>
          <w:bCs/>
        </w:rPr>
      </w:pPr>
      <w:r w:rsidRPr="002B65F7">
        <w:rPr>
          <w:b/>
          <w:bCs/>
        </w:rPr>
        <w:t>1.</w:t>
      </w:r>
      <w:r w:rsidRPr="002B65F7">
        <w:rPr>
          <w:b/>
          <w:bCs/>
        </w:rPr>
        <w:tab/>
      </w:r>
      <w:r w:rsidR="00C31740" w:rsidRPr="002B65F7">
        <w:rPr>
          <w:b/>
          <w:bCs/>
        </w:rPr>
        <w:t>DÉNOMINATION DU MÉDICAMENT</w:t>
      </w:r>
    </w:p>
    <w:p w14:paraId="03B57F4C" w14:textId="77777777" w:rsidR="00092F83" w:rsidRPr="002B65F7" w:rsidRDefault="00092F83" w:rsidP="00496255">
      <w:pPr>
        <w:keepNext/>
        <w:widowControl/>
      </w:pPr>
    </w:p>
    <w:p w14:paraId="03B57F4D" w14:textId="133E5EB2" w:rsidR="00092F83" w:rsidRPr="002B65F7" w:rsidRDefault="0010720B" w:rsidP="00496255">
      <w:pPr>
        <w:widowControl/>
      </w:pPr>
      <w:r w:rsidRPr="002B65F7">
        <w:t>WEZENLA</w:t>
      </w:r>
      <w:r w:rsidR="00C31740" w:rsidRPr="002B65F7">
        <w:t xml:space="preserve"> 45</w:t>
      </w:r>
      <w:r w:rsidR="00F91441" w:rsidRPr="002B65F7">
        <w:t> </w:t>
      </w:r>
      <w:r w:rsidR="00C31740" w:rsidRPr="002B65F7">
        <w:t>mg solution injectable</w:t>
      </w:r>
    </w:p>
    <w:p w14:paraId="50E88260" w14:textId="18D01255" w:rsidR="00B41E23" w:rsidRPr="002B65F7" w:rsidRDefault="0010720B" w:rsidP="00496255">
      <w:pPr>
        <w:widowControl/>
      </w:pPr>
      <w:r w:rsidRPr="002B65F7">
        <w:t>WEZENLA</w:t>
      </w:r>
      <w:r w:rsidR="00C31740" w:rsidRPr="002B65F7">
        <w:t xml:space="preserve"> 45</w:t>
      </w:r>
      <w:r w:rsidR="00F91441" w:rsidRPr="002B65F7">
        <w:t> </w:t>
      </w:r>
      <w:r w:rsidR="00C31740" w:rsidRPr="002B65F7">
        <w:t>mg solution injectable en seringue préremplie</w:t>
      </w:r>
    </w:p>
    <w:p w14:paraId="03B57F4E" w14:textId="422A1503" w:rsidR="00092F83" w:rsidRPr="002B65F7" w:rsidRDefault="0010720B" w:rsidP="00496255">
      <w:pPr>
        <w:widowControl/>
      </w:pPr>
      <w:r w:rsidRPr="002B65F7">
        <w:t>WEZENLA</w:t>
      </w:r>
      <w:r w:rsidR="00C31740" w:rsidRPr="002B65F7">
        <w:t xml:space="preserve"> 90</w:t>
      </w:r>
      <w:r w:rsidR="00F91441" w:rsidRPr="002B65F7">
        <w:t> </w:t>
      </w:r>
      <w:r w:rsidR="00C31740" w:rsidRPr="002B65F7">
        <w:t>mg solution injectable en seringue préremplie</w:t>
      </w:r>
    </w:p>
    <w:p w14:paraId="03B57F4F" w14:textId="77777777" w:rsidR="00092F83" w:rsidRPr="002B65F7" w:rsidRDefault="00092F83" w:rsidP="00496255">
      <w:pPr>
        <w:widowControl/>
      </w:pPr>
    </w:p>
    <w:p w14:paraId="3ABF0566" w14:textId="77777777" w:rsidR="009C4D13" w:rsidRPr="002B65F7" w:rsidRDefault="009C4D13" w:rsidP="00496255">
      <w:pPr>
        <w:widowControl/>
      </w:pPr>
    </w:p>
    <w:p w14:paraId="03B57F50" w14:textId="42D7D194" w:rsidR="00092F83" w:rsidRPr="002B65F7" w:rsidRDefault="00F91441" w:rsidP="001B44BA">
      <w:pPr>
        <w:keepNext/>
        <w:widowControl/>
        <w:ind w:left="567" w:hanging="567"/>
        <w:rPr>
          <w:b/>
          <w:bCs/>
        </w:rPr>
      </w:pPr>
      <w:r w:rsidRPr="002B65F7">
        <w:rPr>
          <w:b/>
          <w:bCs/>
        </w:rPr>
        <w:t>2.</w:t>
      </w:r>
      <w:r w:rsidRPr="002B65F7">
        <w:rPr>
          <w:b/>
          <w:bCs/>
        </w:rPr>
        <w:tab/>
      </w:r>
      <w:r w:rsidR="00C31740" w:rsidRPr="002B65F7">
        <w:rPr>
          <w:b/>
          <w:bCs/>
        </w:rPr>
        <w:t>COMPOSITION QUALITATIVE ET QUANTITATIVE</w:t>
      </w:r>
    </w:p>
    <w:p w14:paraId="03B57F51" w14:textId="77777777" w:rsidR="00092F83" w:rsidRPr="002B65F7" w:rsidRDefault="00092F83" w:rsidP="00496255">
      <w:pPr>
        <w:keepNext/>
        <w:widowControl/>
      </w:pPr>
    </w:p>
    <w:p w14:paraId="03B57F52" w14:textId="19682EA0" w:rsidR="00092F83" w:rsidRPr="002B65F7" w:rsidRDefault="0010720B" w:rsidP="00496255">
      <w:pPr>
        <w:keepNext/>
        <w:widowControl/>
        <w:rPr>
          <w:u w:val="single"/>
        </w:rPr>
      </w:pPr>
      <w:r w:rsidRPr="002B65F7">
        <w:rPr>
          <w:u w:val="single"/>
        </w:rPr>
        <w:t>WEZENLA</w:t>
      </w:r>
      <w:r w:rsidR="00C31740" w:rsidRPr="002B65F7">
        <w:rPr>
          <w:u w:val="single"/>
        </w:rPr>
        <w:t xml:space="preserve"> 45</w:t>
      </w:r>
      <w:r w:rsidR="00F91441" w:rsidRPr="002B65F7">
        <w:rPr>
          <w:u w:val="single"/>
        </w:rPr>
        <w:t> </w:t>
      </w:r>
      <w:r w:rsidR="00C31740" w:rsidRPr="002B65F7">
        <w:rPr>
          <w:u w:val="single"/>
        </w:rPr>
        <w:t>mg solution injectable</w:t>
      </w:r>
    </w:p>
    <w:p w14:paraId="3D09DA4C" w14:textId="77777777" w:rsidR="00F91441" w:rsidRPr="002B65F7" w:rsidRDefault="00F91441" w:rsidP="00496255">
      <w:pPr>
        <w:keepNext/>
        <w:widowControl/>
        <w:rPr>
          <w:u w:val="single"/>
        </w:rPr>
      </w:pPr>
    </w:p>
    <w:p w14:paraId="03B57F53" w14:textId="732CD7AE" w:rsidR="00092F83" w:rsidRPr="002B65F7" w:rsidRDefault="00C31740" w:rsidP="00496255">
      <w:pPr>
        <w:widowControl/>
      </w:pPr>
      <w:r w:rsidRPr="002B65F7">
        <w:t>Chaque flacon contient 45</w:t>
      </w:r>
      <w:r w:rsidR="00F91441" w:rsidRPr="002B65F7">
        <w:t> </w:t>
      </w:r>
      <w:r w:rsidRPr="002B65F7">
        <w:t>mg d’</w:t>
      </w:r>
      <w:r w:rsidR="0071390F" w:rsidRPr="002B65F7">
        <w:t>ustekinumab</w:t>
      </w:r>
      <w:r w:rsidRPr="002B65F7">
        <w:t xml:space="preserve"> dans 0,5</w:t>
      </w:r>
      <w:r w:rsidR="00F91441" w:rsidRPr="002B65F7">
        <w:t> </w:t>
      </w:r>
      <w:r w:rsidRPr="002B65F7">
        <w:t>mL.</w:t>
      </w:r>
    </w:p>
    <w:p w14:paraId="12140295" w14:textId="77777777" w:rsidR="00F91441" w:rsidRPr="002B65F7" w:rsidRDefault="00F91441" w:rsidP="00496255">
      <w:pPr>
        <w:widowControl/>
      </w:pPr>
    </w:p>
    <w:p w14:paraId="03B57F54" w14:textId="75362F50" w:rsidR="00092F83" w:rsidRPr="002B65F7" w:rsidRDefault="0010720B" w:rsidP="00496255">
      <w:pPr>
        <w:keepNext/>
        <w:widowControl/>
        <w:rPr>
          <w:u w:val="single"/>
        </w:rPr>
      </w:pPr>
      <w:r w:rsidRPr="002B65F7">
        <w:rPr>
          <w:u w:val="single"/>
        </w:rPr>
        <w:t>WEZENLA</w:t>
      </w:r>
      <w:r w:rsidR="00C31740" w:rsidRPr="002B65F7">
        <w:rPr>
          <w:u w:val="single"/>
        </w:rPr>
        <w:t xml:space="preserve"> 45</w:t>
      </w:r>
      <w:r w:rsidR="009C4D13" w:rsidRPr="002B65F7">
        <w:rPr>
          <w:u w:val="single"/>
        </w:rPr>
        <w:t> </w:t>
      </w:r>
      <w:r w:rsidR="00C31740" w:rsidRPr="002B65F7">
        <w:rPr>
          <w:u w:val="single"/>
        </w:rPr>
        <w:t>mg solution injectable en seringue préremplie.</w:t>
      </w:r>
    </w:p>
    <w:p w14:paraId="12E86598" w14:textId="77777777" w:rsidR="009C4D13" w:rsidRPr="002B65F7" w:rsidRDefault="009C4D13" w:rsidP="00496255">
      <w:pPr>
        <w:keepNext/>
        <w:widowControl/>
      </w:pPr>
    </w:p>
    <w:p w14:paraId="03B57F55" w14:textId="11874F04" w:rsidR="00092F83" w:rsidRPr="002B65F7" w:rsidRDefault="00C31740" w:rsidP="00496255">
      <w:pPr>
        <w:widowControl/>
      </w:pPr>
      <w:r w:rsidRPr="002B65F7">
        <w:t>Chaque seringue préremplie contient 45</w:t>
      </w:r>
      <w:r w:rsidR="009C4D13" w:rsidRPr="002B65F7">
        <w:t> </w:t>
      </w:r>
      <w:r w:rsidRPr="002B65F7">
        <w:t>mg d’</w:t>
      </w:r>
      <w:r w:rsidR="0071390F" w:rsidRPr="002B65F7">
        <w:t>ustekinumab</w:t>
      </w:r>
      <w:r w:rsidRPr="002B65F7">
        <w:t xml:space="preserve"> dans 0,5</w:t>
      </w:r>
      <w:r w:rsidR="009C4D13" w:rsidRPr="002B65F7">
        <w:t> </w:t>
      </w:r>
      <w:r w:rsidRPr="002B65F7">
        <w:t>mL.</w:t>
      </w:r>
    </w:p>
    <w:p w14:paraId="03B57F56" w14:textId="77777777" w:rsidR="00092F83" w:rsidRPr="002B65F7" w:rsidRDefault="00092F83" w:rsidP="00496255">
      <w:pPr>
        <w:widowControl/>
      </w:pPr>
    </w:p>
    <w:p w14:paraId="03B57F57" w14:textId="7DE39F9C" w:rsidR="00092F83" w:rsidRPr="002B65F7" w:rsidRDefault="0010720B" w:rsidP="00496255">
      <w:pPr>
        <w:keepNext/>
        <w:widowControl/>
        <w:rPr>
          <w:u w:val="single"/>
        </w:rPr>
      </w:pPr>
      <w:r w:rsidRPr="002B65F7">
        <w:rPr>
          <w:u w:val="single"/>
        </w:rPr>
        <w:t>WEZENLA</w:t>
      </w:r>
      <w:r w:rsidR="00C31740" w:rsidRPr="002B65F7">
        <w:rPr>
          <w:u w:val="single"/>
        </w:rPr>
        <w:t xml:space="preserve"> 90</w:t>
      </w:r>
      <w:r w:rsidR="009C4D13" w:rsidRPr="002B65F7">
        <w:rPr>
          <w:u w:val="single"/>
        </w:rPr>
        <w:t> </w:t>
      </w:r>
      <w:r w:rsidR="00C31740" w:rsidRPr="002B65F7">
        <w:rPr>
          <w:u w:val="single"/>
        </w:rPr>
        <w:t>mg solution injectable en seringue préremplie.</w:t>
      </w:r>
    </w:p>
    <w:p w14:paraId="3563C173" w14:textId="77777777" w:rsidR="009C4D13" w:rsidRPr="002B65F7" w:rsidRDefault="009C4D13" w:rsidP="00496255">
      <w:pPr>
        <w:keepNext/>
        <w:widowControl/>
        <w:rPr>
          <w:u w:val="single"/>
        </w:rPr>
      </w:pPr>
    </w:p>
    <w:p w14:paraId="03B57F58" w14:textId="304E6567" w:rsidR="00092F83" w:rsidRPr="002B65F7" w:rsidRDefault="00C31740" w:rsidP="00496255">
      <w:pPr>
        <w:widowControl/>
      </w:pPr>
      <w:r w:rsidRPr="002B65F7">
        <w:t>Chaque seringue préremplie contient 90</w:t>
      </w:r>
      <w:r w:rsidR="009C4D13" w:rsidRPr="002B65F7">
        <w:t> </w:t>
      </w:r>
      <w:r w:rsidRPr="002B65F7">
        <w:t>mg d’</w:t>
      </w:r>
      <w:r w:rsidR="0071390F" w:rsidRPr="002B65F7">
        <w:t>ustekinumab</w:t>
      </w:r>
      <w:r w:rsidRPr="002B65F7">
        <w:t xml:space="preserve"> dans 1</w:t>
      </w:r>
      <w:r w:rsidR="009C4D13" w:rsidRPr="002B65F7">
        <w:t> </w:t>
      </w:r>
      <w:r w:rsidRPr="002B65F7">
        <w:t>mL.</w:t>
      </w:r>
    </w:p>
    <w:p w14:paraId="03B57F59" w14:textId="77777777" w:rsidR="00092F83" w:rsidRPr="002B65F7" w:rsidRDefault="00092F83" w:rsidP="00496255">
      <w:pPr>
        <w:widowControl/>
      </w:pPr>
    </w:p>
    <w:p w14:paraId="03B57F5A" w14:textId="7EF6BE06" w:rsidR="00092F83" w:rsidRPr="002B65F7" w:rsidRDefault="00C31740" w:rsidP="00496255">
      <w:pPr>
        <w:widowControl/>
      </w:pPr>
      <w:r w:rsidRPr="002B65F7">
        <w:t>L’</w:t>
      </w:r>
      <w:r w:rsidR="0071390F" w:rsidRPr="002B65F7">
        <w:t>ustekinumab</w:t>
      </w:r>
      <w:r w:rsidRPr="002B65F7">
        <w:t xml:space="preserve"> est un anticorps monoclonal IgG1κ anti</w:t>
      </w:r>
      <w:r w:rsidR="007246B2" w:rsidRPr="002B65F7">
        <w:t>-</w:t>
      </w:r>
      <w:r w:rsidRPr="002B65F7">
        <w:t xml:space="preserve">interleukine (IL)-12/23 entièrement humain produit par une lignée cellulaire </w:t>
      </w:r>
      <w:r w:rsidR="000B6494" w:rsidRPr="002B65F7">
        <w:t>d’ovaire de hamster chinois</w:t>
      </w:r>
      <w:r w:rsidRPr="002B65F7">
        <w:t xml:space="preserve"> en utilisant une technique d’ADN recombinant.</w:t>
      </w:r>
    </w:p>
    <w:p w14:paraId="449CA516" w14:textId="77777777" w:rsidR="009C4D13" w:rsidRDefault="009C4D13" w:rsidP="00496255">
      <w:pPr>
        <w:widowControl/>
      </w:pPr>
    </w:p>
    <w:p w14:paraId="55255675" w14:textId="77777777" w:rsidR="00FB33DF" w:rsidRPr="003743BD" w:rsidRDefault="00FB33DF" w:rsidP="00FB33DF">
      <w:pPr>
        <w:widowControl/>
        <w:rPr>
          <w:u w:val="single"/>
        </w:rPr>
      </w:pPr>
      <w:r w:rsidRPr="003743BD">
        <w:rPr>
          <w:u w:val="single"/>
        </w:rPr>
        <w:t>Excipient à effet notoire</w:t>
      </w:r>
    </w:p>
    <w:p w14:paraId="14729B8D" w14:textId="77777777" w:rsidR="00FB33DF" w:rsidRDefault="00FB33DF" w:rsidP="00FB33DF">
      <w:pPr>
        <w:widowControl/>
      </w:pPr>
    </w:p>
    <w:p w14:paraId="0BC629EC" w14:textId="66739C46" w:rsidR="00FB33DF" w:rsidRDefault="00FB33DF" w:rsidP="00FB33DF">
      <w:pPr>
        <w:widowControl/>
      </w:pPr>
      <w:r>
        <w:t>Ce médicament contient 0,02 mg (45 mg/0,5 mL) ou 0,04 mg (90 mg/1,0 mL) de polysorbate 80 (E 433) dans chaque dose.</w:t>
      </w:r>
    </w:p>
    <w:p w14:paraId="7E970E5D" w14:textId="77777777" w:rsidR="00FB33DF" w:rsidRPr="002B65F7" w:rsidRDefault="00FB33DF" w:rsidP="00496255">
      <w:pPr>
        <w:widowControl/>
      </w:pPr>
    </w:p>
    <w:p w14:paraId="03B57F5B" w14:textId="75EF1432" w:rsidR="00092F83" w:rsidRPr="002B65F7" w:rsidRDefault="00C31740" w:rsidP="00496255">
      <w:pPr>
        <w:widowControl/>
      </w:pPr>
      <w:r w:rsidRPr="002B65F7">
        <w:t>Pour la liste complète des excipients, voir rubrique</w:t>
      </w:r>
      <w:r w:rsidR="009C4D13" w:rsidRPr="002B65F7">
        <w:t> </w:t>
      </w:r>
      <w:r w:rsidRPr="002B65F7">
        <w:t>6.1.</w:t>
      </w:r>
    </w:p>
    <w:p w14:paraId="03B57F5C" w14:textId="77777777" w:rsidR="00092F83" w:rsidRPr="002B65F7" w:rsidRDefault="00092F83" w:rsidP="00496255">
      <w:pPr>
        <w:widowControl/>
      </w:pPr>
    </w:p>
    <w:p w14:paraId="0495190E" w14:textId="77777777" w:rsidR="009C4D13" w:rsidRPr="002B65F7" w:rsidRDefault="009C4D13" w:rsidP="00496255">
      <w:pPr>
        <w:widowControl/>
      </w:pPr>
    </w:p>
    <w:p w14:paraId="03B57F5D" w14:textId="685EFBF7" w:rsidR="00092F83" w:rsidRPr="002B65F7" w:rsidRDefault="009C4D13" w:rsidP="001B44BA">
      <w:pPr>
        <w:keepNext/>
        <w:widowControl/>
        <w:ind w:left="567" w:hanging="567"/>
        <w:rPr>
          <w:b/>
          <w:bCs/>
        </w:rPr>
      </w:pPr>
      <w:r w:rsidRPr="002B65F7">
        <w:rPr>
          <w:b/>
          <w:bCs/>
        </w:rPr>
        <w:t>3.</w:t>
      </w:r>
      <w:r w:rsidRPr="002B65F7">
        <w:rPr>
          <w:b/>
          <w:bCs/>
        </w:rPr>
        <w:tab/>
      </w:r>
      <w:r w:rsidR="00C31740" w:rsidRPr="002B65F7">
        <w:rPr>
          <w:b/>
          <w:bCs/>
        </w:rPr>
        <w:t>FORME PHARMACEUTIQUE</w:t>
      </w:r>
    </w:p>
    <w:p w14:paraId="03B57F5E" w14:textId="77777777" w:rsidR="00092F83" w:rsidRPr="002B65F7" w:rsidRDefault="00092F83" w:rsidP="00496255">
      <w:pPr>
        <w:keepNext/>
        <w:widowControl/>
      </w:pPr>
    </w:p>
    <w:p w14:paraId="4ADA5689" w14:textId="7C3AF113" w:rsidR="00B41E23" w:rsidRPr="002B65F7" w:rsidRDefault="000B6494" w:rsidP="00496255">
      <w:pPr>
        <w:keepNext/>
        <w:widowControl/>
        <w:rPr>
          <w:u w:val="single"/>
        </w:rPr>
      </w:pPr>
      <w:r w:rsidRPr="002B65F7">
        <w:rPr>
          <w:u w:val="single" w:color="000000"/>
        </w:rPr>
        <w:t>WEZENLA</w:t>
      </w:r>
      <w:r w:rsidR="00C31740" w:rsidRPr="002B65F7">
        <w:rPr>
          <w:u w:val="single"/>
        </w:rPr>
        <w:t xml:space="preserve"> 45</w:t>
      </w:r>
      <w:r w:rsidR="00C80D25" w:rsidRPr="002B65F7">
        <w:rPr>
          <w:u w:val="single"/>
        </w:rPr>
        <w:t> </w:t>
      </w:r>
      <w:r w:rsidR="00C31740" w:rsidRPr="002B65F7">
        <w:rPr>
          <w:u w:val="single"/>
        </w:rPr>
        <w:t>mg solution injectable</w:t>
      </w:r>
    </w:p>
    <w:p w14:paraId="18687C57" w14:textId="77777777" w:rsidR="00B41E23" w:rsidRPr="002B65F7" w:rsidRDefault="00B41E23" w:rsidP="00496255">
      <w:pPr>
        <w:keepNext/>
        <w:widowControl/>
      </w:pPr>
    </w:p>
    <w:p w14:paraId="03B57F5F" w14:textId="49A7EDA0" w:rsidR="00092F83" w:rsidRPr="002B65F7" w:rsidRDefault="00C31740" w:rsidP="00496255">
      <w:pPr>
        <w:widowControl/>
      </w:pPr>
      <w:r w:rsidRPr="002B65F7">
        <w:t>Solution injectable.</w:t>
      </w:r>
    </w:p>
    <w:p w14:paraId="70BC46DD" w14:textId="77777777" w:rsidR="00C80D25" w:rsidRPr="002B65F7" w:rsidRDefault="00C80D25" w:rsidP="00496255">
      <w:pPr>
        <w:widowControl/>
      </w:pPr>
    </w:p>
    <w:p w14:paraId="6930E31C" w14:textId="253A62A2" w:rsidR="00B41E23" w:rsidRPr="002B65F7" w:rsidRDefault="000B6494" w:rsidP="00496255">
      <w:pPr>
        <w:keepNext/>
        <w:widowControl/>
        <w:rPr>
          <w:u w:val="single"/>
        </w:rPr>
      </w:pPr>
      <w:r w:rsidRPr="002B65F7">
        <w:rPr>
          <w:u w:val="single" w:color="000000"/>
        </w:rPr>
        <w:t>WEZENLA</w:t>
      </w:r>
      <w:r w:rsidR="00C31740" w:rsidRPr="002B65F7">
        <w:rPr>
          <w:u w:val="single"/>
        </w:rPr>
        <w:t xml:space="preserve"> 45</w:t>
      </w:r>
      <w:r w:rsidR="00C80D25" w:rsidRPr="002B65F7">
        <w:rPr>
          <w:u w:val="single"/>
        </w:rPr>
        <w:t> </w:t>
      </w:r>
      <w:r w:rsidR="00C31740" w:rsidRPr="002B65F7">
        <w:rPr>
          <w:u w:val="single"/>
        </w:rPr>
        <w:t>mg solution injectable en seringue préremplie.</w:t>
      </w:r>
    </w:p>
    <w:p w14:paraId="423BD45D" w14:textId="77777777" w:rsidR="00B41E23" w:rsidRPr="002B65F7" w:rsidRDefault="00B41E23" w:rsidP="00496255">
      <w:pPr>
        <w:keepNext/>
        <w:widowControl/>
      </w:pPr>
    </w:p>
    <w:p w14:paraId="03B57F60" w14:textId="74B76368" w:rsidR="00092F83" w:rsidRPr="002B65F7" w:rsidRDefault="00C31740" w:rsidP="00496255">
      <w:pPr>
        <w:widowControl/>
      </w:pPr>
      <w:r w:rsidRPr="002B65F7">
        <w:t>Solution injectable.</w:t>
      </w:r>
    </w:p>
    <w:p w14:paraId="03B57F61" w14:textId="77777777" w:rsidR="00092F83" w:rsidRPr="002B65F7" w:rsidRDefault="00092F83" w:rsidP="00496255">
      <w:pPr>
        <w:widowControl/>
      </w:pPr>
    </w:p>
    <w:p w14:paraId="70446C50" w14:textId="69171DB3" w:rsidR="00B41E23" w:rsidRPr="002B65F7" w:rsidRDefault="000B6494" w:rsidP="00496255">
      <w:pPr>
        <w:keepNext/>
        <w:widowControl/>
      </w:pPr>
      <w:r w:rsidRPr="002B65F7">
        <w:rPr>
          <w:u w:val="single" w:color="000000"/>
        </w:rPr>
        <w:t>WEZENLA</w:t>
      </w:r>
      <w:r w:rsidR="00C31740" w:rsidRPr="002B65F7">
        <w:rPr>
          <w:u w:val="single"/>
        </w:rPr>
        <w:t xml:space="preserve"> 90</w:t>
      </w:r>
      <w:r w:rsidR="00C80D25" w:rsidRPr="002B65F7">
        <w:rPr>
          <w:u w:val="single"/>
        </w:rPr>
        <w:t> </w:t>
      </w:r>
      <w:r w:rsidR="00C31740" w:rsidRPr="002B65F7">
        <w:rPr>
          <w:u w:val="single"/>
        </w:rPr>
        <w:t>mg solution injectable en seringue préremplie.</w:t>
      </w:r>
    </w:p>
    <w:p w14:paraId="736E3C68" w14:textId="77777777" w:rsidR="00B41E23" w:rsidRPr="002B65F7" w:rsidRDefault="00B41E23" w:rsidP="00496255">
      <w:pPr>
        <w:keepNext/>
        <w:widowControl/>
      </w:pPr>
    </w:p>
    <w:p w14:paraId="03B57F62" w14:textId="2F321F2B" w:rsidR="00092F83" w:rsidRPr="002B65F7" w:rsidRDefault="00C31740" w:rsidP="00496255">
      <w:pPr>
        <w:widowControl/>
      </w:pPr>
      <w:r w:rsidRPr="002B65F7">
        <w:t>Solution injectable.</w:t>
      </w:r>
    </w:p>
    <w:p w14:paraId="03B57F63" w14:textId="77777777" w:rsidR="00092F83" w:rsidRPr="002B65F7" w:rsidRDefault="00092F83" w:rsidP="00496255">
      <w:pPr>
        <w:widowControl/>
      </w:pPr>
    </w:p>
    <w:p w14:paraId="03B57F64" w14:textId="44C68E90" w:rsidR="00092F83" w:rsidRPr="002B65F7" w:rsidRDefault="00C31740" w:rsidP="00496255">
      <w:pPr>
        <w:widowControl/>
      </w:pPr>
      <w:r w:rsidRPr="002B65F7">
        <w:t>La solution est limpide à opalescente, incolore à jaune clair.</w:t>
      </w:r>
      <w:r w:rsidR="00146587">
        <w:t xml:space="preserve"> La solution a un pH d’approximativement 6,0 et une osmolalité d’environ 280 mOsm/kg.</w:t>
      </w:r>
    </w:p>
    <w:p w14:paraId="7CD9F9F2" w14:textId="77777777" w:rsidR="000B6494" w:rsidRPr="002B65F7" w:rsidRDefault="000B6494" w:rsidP="00496255">
      <w:pPr>
        <w:widowControl/>
      </w:pPr>
    </w:p>
    <w:p w14:paraId="03B57F65" w14:textId="77777777" w:rsidR="00092F83" w:rsidRPr="002B65F7" w:rsidRDefault="00092F83" w:rsidP="00496255">
      <w:pPr>
        <w:widowControl/>
      </w:pPr>
    </w:p>
    <w:p w14:paraId="03B57F66" w14:textId="4D03AFC2" w:rsidR="00092F83" w:rsidRPr="002B65F7" w:rsidRDefault="00C80D25" w:rsidP="001B44BA">
      <w:pPr>
        <w:keepNext/>
        <w:widowControl/>
        <w:ind w:left="567" w:hanging="567"/>
        <w:rPr>
          <w:b/>
          <w:bCs/>
        </w:rPr>
      </w:pPr>
      <w:r w:rsidRPr="002B65F7">
        <w:rPr>
          <w:b/>
          <w:bCs/>
        </w:rPr>
        <w:lastRenderedPageBreak/>
        <w:t>4.</w:t>
      </w:r>
      <w:r w:rsidRPr="002B65F7">
        <w:rPr>
          <w:b/>
          <w:bCs/>
        </w:rPr>
        <w:tab/>
      </w:r>
      <w:r w:rsidR="00C31740" w:rsidRPr="002B65F7">
        <w:rPr>
          <w:b/>
          <w:bCs/>
        </w:rPr>
        <w:t>INFORMATIONS CLINIQUES</w:t>
      </w:r>
    </w:p>
    <w:p w14:paraId="03B57F67" w14:textId="77777777" w:rsidR="00092F83" w:rsidRPr="002B65F7" w:rsidRDefault="00092F83" w:rsidP="00496255">
      <w:pPr>
        <w:keepNext/>
        <w:widowControl/>
      </w:pPr>
    </w:p>
    <w:p w14:paraId="03B57F68" w14:textId="50D29D7E" w:rsidR="00092F83" w:rsidRPr="002B65F7" w:rsidRDefault="00C80D25" w:rsidP="001B44BA">
      <w:pPr>
        <w:keepNext/>
        <w:widowControl/>
        <w:ind w:left="567" w:hanging="567"/>
        <w:rPr>
          <w:b/>
          <w:bCs/>
        </w:rPr>
      </w:pPr>
      <w:r w:rsidRPr="002B65F7">
        <w:rPr>
          <w:b/>
          <w:bCs/>
        </w:rPr>
        <w:t>4.1</w:t>
      </w:r>
      <w:r w:rsidRPr="002B65F7">
        <w:rPr>
          <w:b/>
          <w:bCs/>
        </w:rPr>
        <w:tab/>
      </w:r>
      <w:r w:rsidR="00C31740" w:rsidRPr="002B65F7">
        <w:rPr>
          <w:b/>
          <w:bCs/>
        </w:rPr>
        <w:t>Indications thérapeutiques</w:t>
      </w:r>
    </w:p>
    <w:p w14:paraId="03B57F69" w14:textId="77777777" w:rsidR="00092F83" w:rsidRPr="002B65F7" w:rsidRDefault="00092F83" w:rsidP="00496255">
      <w:pPr>
        <w:keepNext/>
        <w:widowControl/>
      </w:pPr>
    </w:p>
    <w:p w14:paraId="03B57F6A" w14:textId="77777777" w:rsidR="00092F83" w:rsidRPr="002B65F7" w:rsidRDefault="00C31740" w:rsidP="00496255">
      <w:pPr>
        <w:keepNext/>
        <w:widowControl/>
        <w:rPr>
          <w:u w:val="single"/>
        </w:rPr>
      </w:pPr>
      <w:r w:rsidRPr="002B65F7">
        <w:rPr>
          <w:u w:val="single"/>
        </w:rPr>
        <w:t>Psoriasis en plaques</w:t>
      </w:r>
    </w:p>
    <w:p w14:paraId="3D71FB5D" w14:textId="77777777" w:rsidR="00C80D25" w:rsidRPr="002B65F7" w:rsidRDefault="00C80D25" w:rsidP="00496255">
      <w:pPr>
        <w:keepNext/>
        <w:widowControl/>
        <w:rPr>
          <w:u w:val="single"/>
        </w:rPr>
      </w:pPr>
    </w:p>
    <w:p w14:paraId="03B57F6B" w14:textId="581F6C9A" w:rsidR="00092F83" w:rsidRPr="002B65F7" w:rsidRDefault="000B6494" w:rsidP="00496255">
      <w:pPr>
        <w:widowControl/>
      </w:pPr>
      <w:r w:rsidRPr="002B65F7">
        <w:t>WEZENLA</w:t>
      </w:r>
      <w:r w:rsidR="00C31740" w:rsidRPr="002B65F7">
        <w:t xml:space="preserve"> est indiqué dans le traitement du psoriasis en plaques modéré à sévère chez l’adulte qui n’a pas répondu, ou qui présente une contre-indication, ou qui est intolérant aux autres traitements systémiques dont la ciclosporine, le méthotrexate (MTX) ou la puvathérapie (psoralène et UVA) (voir rubrique</w:t>
      </w:r>
      <w:r w:rsidR="00C80D25" w:rsidRPr="002B65F7">
        <w:t> </w:t>
      </w:r>
      <w:r w:rsidR="00C31740" w:rsidRPr="002B65F7">
        <w:t>5.1).</w:t>
      </w:r>
    </w:p>
    <w:p w14:paraId="76CF5E3C" w14:textId="77777777" w:rsidR="00C80D25" w:rsidRPr="002B65F7" w:rsidRDefault="00C80D25" w:rsidP="00496255">
      <w:pPr>
        <w:widowControl/>
      </w:pPr>
    </w:p>
    <w:p w14:paraId="03B57F6C" w14:textId="345688EB" w:rsidR="00092F83" w:rsidRPr="002B65F7" w:rsidRDefault="00C31740" w:rsidP="00496255">
      <w:pPr>
        <w:keepNext/>
        <w:keepLines/>
        <w:widowControl/>
        <w:rPr>
          <w:u w:val="single"/>
        </w:rPr>
      </w:pPr>
      <w:r w:rsidRPr="002B65F7">
        <w:rPr>
          <w:u w:val="single"/>
        </w:rPr>
        <w:t>Psoriasis en plaques de la population pédiatrique</w:t>
      </w:r>
    </w:p>
    <w:p w14:paraId="357CADC9" w14:textId="77777777" w:rsidR="00C80D25" w:rsidRPr="002B65F7" w:rsidRDefault="00C80D25" w:rsidP="00496255">
      <w:pPr>
        <w:keepNext/>
        <w:keepLines/>
        <w:widowControl/>
      </w:pPr>
    </w:p>
    <w:p w14:paraId="03B57F6D" w14:textId="4693D5BF" w:rsidR="00092F83" w:rsidRPr="002B65F7" w:rsidRDefault="000B6494" w:rsidP="00496255">
      <w:pPr>
        <w:keepNext/>
        <w:keepLines/>
        <w:widowControl/>
      </w:pPr>
      <w:r w:rsidRPr="002B65F7">
        <w:t>WEZENLA</w:t>
      </w:r>
      <w:r w:rsidR="00C31740" w:rsidRPr="002B65F7">
        <w:t xml:space="preserve"> est indiqué dans le traitement du psoriasis en plaques modéré à sévère chez l’enfant et l’adolescent âgé de 6 ans et plus, en cas de réponse insuffisante ou d’intolérance aux autres traitements systémiques ou aux photothérapies (voir rubrique</w:t>
      </w:r>
      <w:r w:rsidR="00C80D25" w:rsidRPr="002B65F7">
        <w:t> </w:t>
      </w:r>
      <w:r w:rsidR="00C31740" w:rsidRPr="002B65F7">
        <w:t>5.1).</w:t>
      </w:r>
    </w:p>
    <w:p w14:paraId="03B57F6E" w14:textId="77777777" w:rsidR="00092F83" w:rsidRPr="002B65F7" w:rsidRDefault="00092F83" w:rsidP="00496255">
      <w:pPr>
        <w:widowControl/>
      </w:pPr>
    </w:p>
    <w:p w14:paraId="03B57F6F" w14:textId="77777777" w:rsidR="00092F83" w:rsidRPr="002B65F7" w:rsidRDefault="00C31740" w:rsidP="00496255">
      <w:pPr>
        <w:keepNext/>
        <w:widowControl/>
        <w:rPr>
          <w:u w:val="single"/>
        </w:rPr>
      </w:pPr>
      <w:r w:rsidRPr="002B65F7">
        <w:rPr>
          <w:u w:val="single"/>
        </w:rPr>
        <w:t>Rhumatisme psoriasique (RP)</w:t>
      </w:r>
    </w:p>
    <w:p w14:paraId="4CE6A9D5" w14:textId="77777777" w:rsidR="00C80D25" w:rsidRPr="002B65F7" w:rsidRDefault="00C80D25" w:rsidP="00496255">
      <w:pPr>
        <w:keepNext/>
        <w:widowControl/>
        <w:rPr>
          <w:u w:val="single"/>
        </w:rPr>
      </w:pPr>
    </w:p>
    <w:p w14:paraId="03B57F70" w14:textId="1D0D769D" w:rsidR="00092F83" w:rsidRPr="002B65F7" w:rsidRDefault="000B6494" w:rsidP="00496255">
      <w:pPr>
        <w:widowControl/>
      </w:pPr>
      <w:r w:rsidRPr="002B65F7">
        <w:t>WEZENLA</w:t>
      </w:r>
      <w:r w:rsidR="00C31740" w:rsidRPr="002B65F7">
        <w:t>, seul ou en association avec le méthotrexate (MTX), est indiqué dans le traitement du rhumatisme psoriasique actif chez l’adulte lorsque la réponse à un précédent traitement de fond antirhumatismal non-biologique (DMARD) a été inadéquate (voir rubrique</w:t>
      </w:r>
      <w:r w:rsidR="008777A6" w:rsidRPr="002B65F7">
        <w:t> </w:t>
      </w:r>
      <w:r w:rsidR="00C31740" w:rsidRPr="002B65F7">
        <w:t>5.1).</w:t>
      </w:r>
    </w:p>
    <w:p w14:paraId="66F97125" w14:textId="77777777" w:rsidR="008777A6" w:rsidRPr="002B65F7" w:rsidRDefault="008777A6" w:rsidP="00496255">
      <w:pPr>
        <w:widowControl/>
      </w:pPr>
    </w:p>
    <w:p w14:paraId="03B57F72" w14:textId="142EDC53" w:rsidR="00092F83" w:rsidRPr="002B65F7" w:rsidRDefault="00C31740" w:rsidP="00496255">
      <w:pPr>
        <w:keepNext/>
        <w:widowControl/>
        <w:rPr>
          <w:u w:val="single"/>
        </w:rPr>
      </w:pPr>
      <w:r w:rsidRPr="002B65F7">
        <w:rPr>
          <w:u w:val="single"/>
        </w:rPr>
        <w:t>Maladie de Crohn</w:t>
      </w:r>
      <w:r w:rsidR="00040AC7" w:rsidRPr="0032430B">
        <w:rPr>
          <w:noProof/>
          <w:u w:val="single"/>
          <w:lang w:eastAsia="nl-BE"/>
        </w:rPr>
        <w:t xml:space="preserve"> </w:t>
      </w:r>
      <w:r w:rsidR="00040AC7">
        <w:rPr>
          <w:noProof/>
          <w:u w:val="single"/>
          <w:lang w:eastAsia="nl-BE"/>
        </w:rPr>
        <w:t>chez l’adulte</w:t>
      </w:r>
    </w:p>
    <w:p w14:paraId="5EAC7DBC" w14:textId="77777777" w:rsidR="008777A6" w:rsidRPr="002B65F7" w:rsidRDefault="008777A6" w:rsidP="00496255">
      <w:pPr>
        <w:keepNext/>
        <w:widowControl/>
        <w:rPr>
          <w:u w:val="single"/>
        </w:rPr>
      </w:pPr>
    </w:p>
    <w:p w14:paraId="03B57F73" w14:textId="13CD4936" w:rsidR="00092F83" w:rsidRPr="002B65F7" w:rsidRDefault="000B6494" w:rsidP="00496255">
      <w:pPr>
        <w:widowControl/>
      </w:pPr>
      <w:r w:rsidRPr="002B65F7">
        <w:t>WEZENLA</w:t>
      </w:r>
      <w:r w:rsidR="00C31740" w:rsidRPr="002B65F7">
        <w:t xml:space="preserve"> est indiqué dans le traitement de la maladie de Crohn active modérée à sévère chez les patients adultes présentant une réponse insuffisante, une perte de réponse ou une intolérance à un traitement conventionnel ou par anti-TNFα.</w:t>
      </w:r>
    </w:p>
    <w:p w14:paraId="0182D0A8" w14:textId="77777777" w:rsidR="007F24E7" w:rsidRDefault="007F24E7" w:rsidP="007F24E7">
      <w:pPr>
        <w:keepNext/>
        <w:rPr>
          <w:noProof/>
          <w:u w:val="single"/>
          <w:lang w:eastAsia="nl-BE"/>
        </w:rPr>
      </w:pPr>
    </w:p>
    <w:p w14:paraId="722094D2" w14:textId="50F5D1EA" w:rsidR="007F24E7" w:rsidRDefault="007F24E7" w:rsidP="007F24E7">
      <w:pPr>
        <w:keepNext/>
        <w:rPr>
          <w:noProof/>
          <w:u w:val="single"/>
          <w:lang w:eastAsia="nl-BE"/>
        </w:rPr>
      </w:pPr>
      <w:r>
        <w:rPr>
          <w:noProof/>
          <w:u w:val="single"/>
          <w:lang w:eastAsia="nl-BE"/>
        </w:rPr>
        <w:t>Maladie de Crohn chez l’enfant</w:t>
      </w:r>
    </w:p>
    <w:p w14:paraId="66FA312D" w14:textId="5BED7E98" w:rsidR="007F24E7" w:rsidRDefault="007F24E7" w:rsidP="007F24E7">
      <w:pPr>
        <w:keepNext/>
        <w:rPr>
          <w:noProof/>
          <w:u w:val="single"/>
          <w:lang w:eastAsia="nl-BE"/>
        </w:rPr>
      </w:pPr>
    </w:p>
    <w:p w14:paraId="273D72FA" w14:textId="647D31A9" w:rsidR="007F24E7" w:rsidRDefault="007F24E7" w:rsidP="007F24E7">
      <w:pPr>
        <w:keepNext/>
        <w:rPr>
          <w:noProof/>
          <w:lang w:eastAsia="nl-BE"/>
        </w:rPr>
      </w:pPr>
      <w:r>
        <w:rPr>
          <w:noProof/>
          <w:lang w:eastAsia="nl-BE"/>
        </w:rPr>
        <w:t>WEZENLA est indiqué dans le traitement de la maladie de Crohn active modérée à sévère chez les patients pédiatriques pesant au moins 40 kg, présentant une réponse insuffisante ou une intolérance à un traitement conventionnel ou biologique.</w:t>
      </w:r>
    </w:p>
    <w:p w14:paraId="03B57F76" w14:textId="77777777" w:rsidR="00092F83" w:rsidRPr="002B65F7" w:rsidRDefault="00092F83" w:rsidP="00496255">
      <w:pPr>
        <w:widowControl/>
      </w:pPr>
    </w:p>
    <w:p w14:paraId="03B57F77" w14:textId="2BE2F5C9" w:rsidR="00092F83" w:rsidRPr="002B65F7" w:rsidRDefault="00681505" w:rsidP="001B44BA">
      <w:pPr>
        <w:keepNext/>
        <w:widowControl/>
        <w:ind w:left="567" w:hanging="567"/>
        <w:rPr>
          <w:b/>
          <w:bCs/>
        </w:rPr>
      </w:pPr>
      <w:r w:rsidRPr="002B65F7">
        <w:rPr>
          <w:b/>
          <w:bCs/>
        </w:rPr>
        <w:t>4.2</w:t>
      </w:r>
      <w:r w:rsidRPr="002B65F7">
        <w:rPr>
          <w:b/>
          <w:bCs/>
        </w:rPr>
        <w:tab/>
      </w:r>
      <w:r w:rsidR="00C31740" w:rsidRPr="002B65F7">
        <w:rPr>
          <w:b/>
          <w:bCs/>
        </w:rPr>
        <w:t>Posologie et mode d’administration</w:t>
      </w:r>
    </w:p>
    <w:p w14:paraId="03B57F78" w14:textId="77777777" w:rsidR="00092F83" w:rsidRPr="002B65F7" w:rsidRDefault="00092F83" w:rsidP="00496255">
      <w:pPr>
        <w:keepNext/>
        <w:widowControl/>
      </w:pPr>
    </w:p>
    <w:p w14:paraId="03B57F79" w14:textId="107FB5B8" w:rsidR="00092F83" w:rsidRPr="002B65F7" w:rsidRDefault="000B6494" w:rsidP="00496255">
      <w:pPr>
        <w:widowControl/>
      </w:pPr>
      <w:r w:rsidRPr="002B65F7">
        <w:t>WEZENLA</w:t>
      </w:r>
      <w:r w:rsidR="00C31740" w:rsidRPr="002B65F7">
        <w:t xml:space="preserve"> est destiné à une utilisation sous la responsabilité et la surveillance de médecins qualifiés en matière de diagnostic et de traitement des affections pour lesquelles </w:t>
      </w:r>
      <w:r w:rsidRPr="002B65F7">
        <w:t>WEZENLA</w:t>
      </w:r>
      <w:r w:rsidR="00C31740" w:rsidRPr="002B65F7">
        <w:t xml:space="preserve"> est indiqué.</w:t>
      </w:r>
    </w:p>
    <w:p w14:paraId="25495129" w14:textId="77777777" w:rsidR="00681505" w:rsidRPr="002B65F7" w:rsidRDefault="00681505" w:rsidP="00496255">
      <w:pPr>
        <w:widowControl/>
      </w:pPr>
    </w:p>
    <w:p w14:paraId="03B57F7A" w14:textId="3CFBDC90" w:rsidR="00092F83" w:rsidRPr="002B65F7" w:rsidRDefault="00C31740" w:rsidP="00496255">
      <w:pPr>
        <w:keepNext/>
        <w:widowControl/>
        <w:rPr>
          <w:u w:val="single"/>
        </w:rPr>
      </w:pPr>
      <w:r w:rsidRPr="002B65F7">
        <w:rPr>
          <w:u w:val="single"/>
        </w:rPr>
        <w:t>Posologie</w:t>
      </w:r>
    </w:p>
    <w:p w14:paraId="03B57F7B" w14:textId="77777777" w:rsidR="00092F83" w:rsidRPr="002B65F7" w:rsidRDefault="00092F83" w:rsidP="00496255">
      <w:pPr>
        <w:keepNext/>
        <w:widowControl/>
      </w:pPr>
    </w:p>
    <w:p w14:paraId="03B57F7C" w14:textId="77777777" w:rsidR="00092F83" w:rsidRPr="002B65F7" w:rsidRDefault="00C31740" w:rsidP="00496255">
      <w:pPr>
        <w:keepNext/>
        <w:widowControl/>
        <w:rPr>
          <w:u w:val="single"/>
        </w:rPr>
      </w:pPr>
      <w:r w:rsidRPr="002B65F7">
        <w:rPr>
          <w:u w:val="single"/>
        </w:rPr>
        <w:t>Psoriasis en plaques</w:t>
      </w:r>
    </w:p>
    <w:p w14:paraId="27D992FF" w14:textId="77777777" w:rsidR="00681505" w:rsidRPr="002B65F7" w:rsidRDefault="00681505" w:rsidP="00496255">
      <w:pPr>
        <w:keepNext/>
        <w:widowControl/>
      </w:pPr>
    </w:p>
    <w:p w14:paraId="03B57F7D" w14:textId="3B5802B6" w:rsidR="00092F83" w:rsidRPr="002B65F7" w:rsidRDefault="00C31740" w:rsidP="00496255">
      <w:pPr>
        <w:widowControl/>
      </w:pPr>
      <w:r w:rsidRPr="002B65F7">
        <w:t xml:space="preserve">La posologie recommandée de </w:t>
      </w:r>
      <w:r w:rsidR="000B6494" w:rsidRPr="002B65F7">
        <w:t>WEZENLA</w:t>
      </w:r>
      <w:r w:rsidRPr="002B65F7">
        <w:t xml:space="preserve"> est d’une dose initiale de 45</w:t>
      </w:r>
      <w:r w:rsidR="00681505" w:rsidRPr="002B65F7">
        <w:t> </w:t>
      </w:r>
      <w:r w:rsidRPr="002B65F7">
        <w:t>mg administrée en sous- cutanée, suivie d’une dose de 45</w:t>
      </w:r>
      <w:r w:rsidR="00681505" w:rsidRPr="002B65F7">
        <w:t> </w:t>
      </w:r>
      <w:r w:rsidRPr="002B65F7">
        <w:t>mg 4</w:t>
      </w:r>
      <w:r w:rsidR="00681505" w:rsidRPr="002B65F7">
        <w:t> </w:t>
      </w:r>
      <w:r w:rsidRPr="002B65F7">
        <w:t>semaines plus tard, puis ensuite toutes les 12</w:t>
      </w:r>
      <w:r w:rsidR="00681505" w:rsidRPr="002B65F7">
        <w:t> </w:t>
      </w:r>
      <w:r w:rsidRPr="002B65F7">
        <w:t>semaines.</w:t>
      </w:r>
    </w:p>
    <w:p w14:paraId="7245FFBB" w14:textId="77777777" w:rsidR="00681505" w:rsidRPr="002B65F7" w:rsidRDefault="00681505" w:rsidP="00496255">
      <w:pPr>
        <w:widowControl/>
      </w:pPr>
    </w:p>
    <w:p w14:paraId="03B57F7E" w14:textId="2B242A70" w:rsidR="00092F83" w:rsidRPr="002B65F7" w:rsidRDefault="00C31740" w:rsidP="00496255">
      <w:pPr>
        <w:widowControl/>
      </w:pPr>
      <w:r w:rsidRPr="002B65F7">
        <w:t>L’arrêt du traitement doit être envisagé chez les patients ne présentant pas de réponse après 28</w:t>
      </w:r>
      <w:r w:rsidR="00EC66E4" w:rsidRPr="002B65F7">
        <w:t> </w:t>
      </w:r>
      <w:r w:rsidRPr="002B65F7">
        <w:t>semaines de traitement.</w:t>
      </w:r>
    </w:p>
    <w:p w14:paraId="03B57F7F" w14:textId="77777777" w:rsidR="00092F83" w:rsidRPr="002B65F7" w:rsidRDefault="00092F83" w:rsidP="00496255">
      <w:pPr>
        <w:widowControl/>
      </w:pPr>
    </w:p>
    <w:p w14:paraId="03B57F80" w14:textId="3E3D9F26" w:rsidR="00092F83" w:rsidRPr="002B65F7" w:rsidRDefault="00C31740" w:rsidP="00496255">
      <w:pPr>
        <w:keepNext/>
        <w:widowControl/>
        <w:rPr>
          <w:i/>
          <w:iCs/>
        </w:rPr>
      </w:pPr>
      <w:r w:rsidRPr="002B65F7">
        <w:rPr>
          <w:i/>
          <w:iCs/>
        </w:rPr>
        <w:t>Patients de poids</w:t>
      </w:r>
      <w:r w:rsidR="00681505" w:rsidRPr="002B65F7">
        <w:rPr>
          <w:i/>
          <w:iCs/>
        </w:rPr>
        <w:t> </w:t>
      </w:r>
      <w:r w:rsidRPr="002B65F7">
        <w:rPr>
          <w:i/>
          <w:iCs/>
        </w:rPr>
        <w:t>&gt;</w:t>
      </w:r>
      <w:r w:rsidR="00681505" w:rsidRPr="002B65F7">
        <w:rPr>
          <w:i/>
          <w:iCs/>
        </w:rPr>
        <w:t> </w:t>
      </w:r>
      <w:r w:rsidRPr="002B65F7">
        <w:rPr>
          <w:i/>
          <w:iCs/>
        </w:rPr>
        <w:t>100</w:t>
      </w:r>
      <w:r w:rsidR="00681505" w:rsidRPr="002B65F7">
        <w:rPr>
          <w:i/>
          <w:iCs/>
        </w:rPr>
        <w:t> </w:t>
      </w:r>
      <w:r w:rsidRPr="002B65F7">
        <w:rPr>
          <w:i/>
          <w:iCs/>
        </w:rPr>
        <w:t>kg</w:t>
      </w:r>
    </w:p>
    <w:p w14:paraId="5F19B28D" w14:textId="77777777" w:rsidR="00681505" w:rsidRPr="002B65F7" w:rsidRDefault="00681505" w:rsidP="00496255">
      <w:pPr>
        <w:keepNext/>
        <w:widowControl/>
        <w:rPr>
          <w:i/>
          <w:iCs/>
        </w:rPr>
      </w:pPr>
    </w:p>
    <w:p w14:paraId="03B57F81" w14:textId="3A6CD516" w:rsidR="00092F83" w:rsidRPr="002B65F7" w:rsidRDefault="00C31740" w:rsidP="00496255">
      <w:pPr>
        <w:widowControl/>
      </w:pPr>
      <w:r w:rsidRPr="002B65F7">
        <w:t>Pour les patients ayant un poids</w:t>
      </w:r>
      <w:r w:rsidR="00681505" w:rsidRPr="002B65F7">
        <w:t> </w:t>
      </w:r>
      <w:r w:rsidRPr="002B65F7">
        <w:t>&gt;</w:t>
      </w:r>
      <w:r w:rsidR="00681505" w:rsidRPr="002B65F7">
        <w:t> </w:t>
      </w:r>
      <w:r w:rsidRPr="002B65F7">
        <w:t>100</w:t>
      </w:r>
      <w:r w:rsidR="00681505" w:rsidRPr="002B65F7">
        <w:t> </w:t>
      </w:r>
      <w:r w:rsidRPr="002B65F7">
        <w:t>kg la dose initiale est de 90</w:t>
      </w:r>
      <w:r w:rsidR="00681505" w:rsidRPr="002B65F7">
        <w:t> </w:t>
      </w:r>
      <w:r w:rsidRPr="002B65F7">
        <w:t>mg administrée en sous-cutanée, suivie d’une dose de 90</w:t>
      </w:r>
      <w:r w:rsidR="00681505" w:rsidRPr="002B65F7">
        <w:t> </w:t>
      </w:r>
      <w:r w:rsidRPr="002B65F7">
        <w:t>mg 4</w:t>
      </w:r>
      <w:r w:rsidR="00681505" w:rsidRPr="002B65F7">
        <w:t> </w:t>
      </w:r>
      <w:r w:rsidRPr="002B65F7">
        <w:t>semaines plus tard, puis ensuite toutes les 12</w:t>
      </w:r>
      <w:r w:rsidR="00681505" w:rsidRPr="002B65F7">
        <w:t> </w:t>
      </w:r>
      <w:r w:rsidRPr="002B65F7">
        <w:t>semaines. Chez ces patients, l’efficacité de la dose de 45</w:t>
      </w:r>
      <w:r w:rsidR="00681505" w:rsidRPr="002B65F7">
        <w:t> </w:t>
      </w:r>
      <w:r w:rsidRPr="002B65F7">
        <w:t>mg a également été démontrée. Cependant, la dose de 90</w:t>
      </w:r>
      <w:r w:rsidR="00681505" w:rsidRPr="002B65F7">
        <w:t> </w:t>
      </w:r>
      <w:r w:rsidRPr="002B65F7">
        <w:t>mg a montré une meilleure efficacité (voir rubrique</w:t>
      </w:r>
      <w:r w:rsidR="00681505" w:rsidRPr="002B65F7">
        <w:t> </w:t>
      </w:r>
      <w:r w:rsidRPr="002B65F7">
        <w:t xml:space="preserve">5.1, </w:t>
      </w:r>
      <w:r w:rsidR="000E5AAB" w:rsidRPr="002B65F7">
        <w:t>t</w:t>
      </w:r>
      <w:r w:rsidRPr="002B65F7">
        <w:t>ableau</w:t>
      </w:r>
      <w:r w:rsidR="00681505" w:rsidRPr="002B65F7">
        <w:t> </w:t>
      </w:r>
      <w:r w:rsidRPr="002B65F7">
        <w:t>4).</w:t>
      </w:r>
    </w:p>
    <w:p w14:paraId="03B57F82" w14:textId="77777777" w:rsidR="00092F83" w:rsidRPr="002B65F7" w:rsidRDefault="00092F83" w:rsidP="00496255">
      <w:pPr>
        <w:widowControl/>
      </w:pPr>
    </w:p>
    <w:p w14:paraId="03B57F83" w14:textId="77777777" w:rsidR="00092F83" w:rsidRPr="002B65F7" w:rsidRDefault="00C31740" w:rsidP="00496255">
      <w:pPr>
        <w:keepNext/>
        <w:widowControl/>
        <w:rPr>
          <w:u w:val="single"/>
        </w:rPr>
      </w:pPr>
      <w:r w:rsidRPr="002B65F7">
        <w:rPr>
          <w:u w:val="single"/>
        </w:rPr>
        <w:lastRenderedPageBreak/>
        <w:t>Rhumatisme psoriasique (RP)</w:t>
      </w:r>
    </w:p>
    <w:p w14:paraId="0226A10A" w14:textId="77777777" w:rsidR="00681505" w:rsidRPr="002B65F7" w:rsidRDefault="00681505" w:rsidP="00496255">
      <w:pPr>
        <w:keepNext/>
        <w:widowControl/>
        <w:rPr>
          <w:u w:val="single"/>
        </w:rPr>
      </w:pPr>
    </w:p>
    <w:p w14:paraId="03B57F84" w14:textId="791FAC57" w:rsidR="00092F83" w:rsidRPr="002B65F7" w:rsidRDefault="00C31740" w:rsidP="00496255">
      <w:pPr>
        <w:widowControl/>
      </w:pPr>
      <w:r w:rsidRPr="002B65F7">
        <w:t xml:space="preserve">La posologie recommandée de </w:t>
      </w:r>
      <w:r w:rsidR="000B6494" w:rsidRPr="002B65F7">
        <w:t>WEZENLA</w:t>
      </w:r>
      <w:r w:rsidRPr="002B65F7">
        <w:t xml:space="preserve"> est d’une dose initiale de 45</w:t>
      </w:r>
      <w:r w:rsidR="001736C5" w:rsidRPr="002B65F7">
        <w:t> </w:t>
      </w:r>
      <w:r w:rsidRPr="002B65F7">
        <w:t>mg administrée par voie sous- cutanée, suivie d’une dose de 45</w:t>
      </w:r>
      <w:r w:rsidR="001736C5" w:rsidRPr="002B65F7">
        <w:t> </w:t>
      </w:r>
      <w:r w:rsidRPr="002B65F7">
        <w:t>mg 4</w:t>
      </w:r>
      <w:r w:rsidR="001736C5" w:rsidRPr="002B65F7">
        <w:t> </w:t>
      </w:r>
      <w:r w:rsidRPr="002B65F7">
        <w:t>semaines plus tard, puis ensuite toutes les 12</w:t>
      </w:r>
      <w:r w:rsidR="001736C5" w:rsidRPr="002B65F7">
        <w:t> </w:t>
      </w:r>
      <w:r w:rsidRPr="002B65F7">
        <w:t>semaines. Il est possible d’utiliser 90</w:t>
      </w:r>
      <w:r w:rsidR="005F7D16" w:rsidRPr="002B65F7">
        <w:t> </w:t>
      </w:r>
      <w:r w:rsidRPr="002B65F7">
        <w:t>mg chez les patients ayant un poids</w:t>
      </w:r>
      <w:r w:rsidR="001736C5" w:rsidRPr="002B65F7">
        <w:t> </w:t>
      </w:r>
      <w:r w:rsidRPr="002B65F7">
        <w:t>&gt;</w:t>
      </w:r>
      <w:r w:rsidR="001736C5" w:rsidRPr="002B65F7">
        <w:t> </w:t>
      </w:r>
      <w:r w:rsidRPr="002B65F7">
        <w:t>100</w:t>
      </w:r>
      <w:r w:rsidR="002409FC" w:rsidRPr="002B65F7">
        <w:t> </w:t>
      </w:r>
      <w:r w:rsidRPr="002B65F7">
        <w:t>kg.</w:t>
      </w:r>
    </w:p>
    <w:p w14:paraId="03B57F85" w14:textId="77777777" w:rsidR="00092F83" w:rsidRPr="002B65F7" w:rsidRDefault="00092F83" w:rsidP="00496255">
      <w:pPr>
        <w:widowControl/>
      </w:pPr>
    </w:p>
    <w:p w14:paraId="03B57F86" w14:textId="26163720" w:rsidR="00092F83" w:rsidRPr="002B65F7" w:rsidRDefault="00C31740" w:rsidP="00496255">
      <w:pPr>
        <w:widowControl/>
      </w:pPr>
      <w:r w:rsidRPr="002B65F7">
        <w:t>L’arrêt du traitement doit être envisagé chez les patients ne présentant pas de réponse après 28</w:t>
      </w:r>
      <w:r w:rsidR="00612790">
        <w:t> </w:t>
      </w:r>
      <w:r w:rsidRPr="002B65F7">
        <w:t>semaines de traitement.</w:t>
      </w:r>
    </w:p>
    <w:p w14:paraId="14F78862" w14:textId="77777777" w:rsidR="002409FC" w:rsidRPr="002B65F7" w:rsidRDefault="002409FC" w:rsidP="00496255">
      <w:pPr>
        <w:widowControl/>
      </w:pPr>
    </w:p>
    <w:p w14:paraId="03B57F87" w14:textId="693D2F6A" w:rsidR="00092F83" w:rsidRPr="002B65F7" w:rsidRDefault="00C31740" w:rsidP="00496255">
      <w:pPr>
        <w:keepNext/>
        <w:widowControl/>
        <w:rPr>
          <w:i/>
          <w:iCs/>
        </w:rPr>
      </w:pPr>
      <w:r w:rsidRPr="002B65F7">
        <w:rPr>
          <w:i/>
          <w:iCs/>
        </w:rPr>
        <w:t>Sujets âgés (≥</w:t>
      </w:r>
      <w:r w:rsidR="002409FC" w:rsidRPr="002B65F7">
        <w:rPr>
          <w:i/>
          <w:iCs/>
        </w:rPr>
        <w:t> </w:t>
      </w:r>
      <w:r w:rsidRPr="002B65F7">
        <w:rPr>
          <w:i/>
          <w:iCs/>
        </w:rPr>
        <w:t>65</w:t>
      </w:r>
      <w:r w:rsidR="002409FC" w:rsidRPr="002B65F7">
        <w:rPr>
          <w:i/>
          <w:iCs/>
        </w:rPr>
        <w:t> </w:t>
      </w:r>
      <w:r w:rsidRPr="002B65F7">
        <w:rPr>
          <w:i/>
          <w:iCs/>
        </w:rPr>
        <w:t>ans)</w:t>
      </w:r>
    </w:p>
    <w:p w14:paraId="76720BD4" w14:textId="77777777" w:rsidR="002409FC" w:rsidRPr="002B65F7" w:rsidRDefault="002409FC" w:rsidP="00496255">
      <w:pPr>
        <w:keepNext/>
        <w:widowControl/>
        <w:rPr>
          <w:i/>
          <w:iCs/>
        </w:rPr>
      </w:pPr>
    </w:p>
    <w:p w14:paraId="03B57F88" w14:textId="1079D25D" w:rsidR="00092F83" w:rsidRPr="002B65F7" w:rsidRDefault="00C31740" w:rsidP="00496255">
      <w:pPr>
        <w:keepNext/>
        <w:widowControl/>
      </w:pPr>
      <w:r w:rsidRPr="002B65F7">
        <w:t>Il n'est pas nécessaire d'adapter la posologie chez les sujets âgés (voir rubrique</w:t>
      </w:r>
      <w:r w:rsidR="002409FC" w:rsidRPr="002B65F7">
        <w:t> </w:t>
      </w:r>
      <w:r w:rsidRPr="002B65F7">
        <w:t>4.4).</w:t>
      </w:r>
    </w:p>
    <w:p w14:paraId="305AAA2E" w14:textId="77777777" w:rsidR="00527D61" w:rsidRPr="002B65F7" w:rsidRDefault="00527D61" w:rsidP="00496255">
      <w:pPr>
        <w:widowControl/>
      </w:pPr>
    </w:p>
    <w:p w14:paraId="03B57F89" w14:textId="50FA60A6" w:rsidR="00092F83" w:rsidRPr="002B65F7" w:rsidRDefault="00C31740" w:rsidP="00496255">
      <w:pPr>
        <w:keepNext/>
        <w:widowControl/>
        <w:rPr>
          <w:i/>
          <w:iCs/>
        </w:rPr>
      </w:pPr>
      <w:r w:rsidRPr="002B65F7">
        <w:rPr>
          <w:i/>
          <w:iCs/>
        </w:rPr>
        <w:t>Insuffisance rénale et hépatique</w:t>
      </w:r>
    </w:p>
    <w:p w14:paraId="1A3C6987" w14:textId="77777777" w:rsidR="00527D61" w:rsidRPr="002B65F7" w:rsidRDefault="00527D61" w:rsidP="00496255">
      <w:pPr>
        <w:keepNext/>
        <w:widowControl/>
        <w:rPr>
          <w:i/>
          <w:iCs/>
        </w:rPr>
      </w:pPr>
    </w:p>
    <w:p w14:paraId="03B57F8A" w14:textId="3A38BBF6" w:rsidR="00092F83" w:rsidRPr="002B65F7" w:rsidRDefault="00694420" w:rsidP="00496255">
      <w:pPr>
        <w:widowControl/>
      </w:pPr>
      <w:r w:rsidRPr="002B65F7">
        <w:t>L’</w:t>
      </w:r>
      <w:r w:rsidR="0071390F" w:rsidRPr="002B65F7">
        <w:t>ustekinumab</w:t>
      </w:r>
      <w:r w:rsidR="00C31740" w:rsidRPr="002B65F7">
        <w:t xml:space="preserve"> n’a pas été étudié chez ces populations de patients. Aucune recommandation de dose ne peut être faite.</w:t>
      </w:r>
    </w:p>
    <w:p w14:paraId="67E512DE" w14:textId="77777777" w:rsidR="00527D61" w:rsidRPr="002B65F7" w:rsidRDefault="00527D61" w:rsidP="00496255">
      <w:pPr>
        <w:widowControl/>
      </w:pPr>
    </w:p>
    <w:p w14:paraId="03B57F8B" w14:textId="1AA931B8" w:rsidR="00092F83" w:rsidRPr="002B65F7" w:rsidRDefault="00C31740" w:rsidP="00496255">
      <w:pPr>
        <w:keepNext/>
        <w:widowControl/>
        <w:rPr>
          <w:i/>
          <w:iCs/>
        </w:rPr>
      </w:pPr>
      <w:r w:rsidRPr="002B65F7">
        <w:rPr>
          <w:i/>
          <w:iCs/>
        </w:rPr>
        <w:t>Population pédiatrique</w:t>
      </w:r>
    </w:p>
    <w:p w14:paraId="767BC6E9" w14:textId="77777777" w:rsidR="00527D61" w:rsidRPr="002B65F7" w:rsidRDefault="00527D61" w:rsidP="00496255">
      <w:pPr>
        <w:keepNext/>
        <w:widowControl/>
        <w:rPr>
          <w:i/>
          <w:iCs/>
        </w:rPr>
      </w:pPr>
    </w:p>
    <w:p w14:paraId="03B57F8C" w14:textId="697DF75C" w:rsidR="00092F83" w:rsidRPr="002B65F7" w:rsidRDefault="00C31740" w:rsidP="00496255">
      <w:pPr>
        <w:widowControl/>
      </w:pPr>
      <w:r w:rsidRPr="002B65F7">
        <w:t xml:space="preserve">La sécurité et l’efficacité de </w:t>
      </w:r>
      <w:r w:rsidR="00694420" w:rsidRPr="002B65F7">
        <w:t>l’</w:t>
      </w:r>
      <w:r w:rsidR="0071390F" w:rsidRPr="002B65F7">
        <w:t>ustekinumab</w:t>
      </w:r>
      <w:r w:rsidRPr="002B65F7">
        <w:t xml:space="preserve"> chez les enfants âgés de moins de 6</w:t>
      </w:r>
      <w:r w:rsidR="00EC66E4" w:rsidRPr="002B65F7">
        <w:t> </w:t>
      </w:r>
      <w:r w:rsidRPr="002B65F7">
        <w:t>ans atteints de psoriasis ou chez les enfants âgés de moins de 18</w:t>
      </w:r>
      <w:r w:rsidR="00EC66E4" w:rsidRPr="002B65F7">
        <w:t> </w:t>
      </w:r>
      <w:r w:rsidRPr="002B65F7">
        <w:t>ans atteints de rhumatisme psoriasique n’ont pas encore été établies.</w:t>
      </w:r>
    </w:p>
    <w:p w14:paraId="03B57F8D" w14:textId="77777777" w:rsidR="00092F83" w:rsidRPr="002B65F7" w:rsidRDefault="00092F83" w:rsidP="00496255">
      <w:pPr>
        <w:widowControl/>
      </w:pPr>
    </w:p>
    <w:p w14:paraId="03B57F8E" w14:textId="7E9A1376" w:rsidR="00092F83" w:rsidRPr="002B65F7" w:rsidRDefault="00C31740" w:rsidP="00496255">
      <w:pPr>
        <w:keepNext/>
        <w:widowControl/>
        <w:rPr>
          <w:u w:val="single"/>
        </w:rPr>
      </w:pPr>
      <w:r w:rsidRPr="002B65F7">
        <w:rPr>
          <w:u w:val="single"/>
        </w:rPr>
        <w:t>Psoriasis en plaques de la population pédiatrique (6</w:t>
      </w:r>
      <w:r w:rsidR="00527D61" w:rsidRPr="002B65F7">
        <w:rPr>
          <w:u w:val="single"/>
        </w:rPr>
        <w:t> </w:t>
      </w:r>
      <w:r w:rsidRPr="002B65F7">
        <w:rPr>
          <w:u w:val="single"/>
        </w:rPr>
        <w:t>ans et plus)</w:t>
      </w:r>
    </w:p>
    <w:p w14:paraId="587C7348" w14:textId="77777777" w:rsidR="00527D61" w:rsidRPr="002B65F7" w:rsidRDefault="00527D61" w:rsidP="00496255">
      <w:pPr>
        <w:keepNext/>
        <w:widowControl/>
        <w:rPr>
          <w:u w:val="single"/>
        </w:rPr>
      </w:pPr>
    </w:p>
    <w:p w14:paraId="03B57F8F" w14:textId="2FE507C3" w:rsidR="00092F83" w:rsidRPr="002B65F7" w:rsidRDefault="00C31740" w:rsidP="00496255">
      <w:pPr>
        <w:widowControl/>
      </w:pPr>
      <w:r w:rsidRPr="002B65F7">
        <w:t xml:space="preserve">La posologie recommandée de </w:t>
      </w:r>
      <w:r w:rsidR="00694420" w:rsidRPr="002B65F7">
        <w:t>WEZENLA</w:t>
      </w:r>
      <w:r w:rsidRPr="002B65F7">
        <w:t xml:space="preserve"> en fonction du poids corporel est indiquée ci-dessous (</w:t>
      </w:r>
      <w:r w:rsidR="00694420" w:rsidRPr="002B65F7">
        <w:t>voir t</w:t>
      </w:r>
      <w:r w:rsidRPr="002B65F7">
        <w:t>ableaux</w:t>
      </w:r>
      <w:r w:rsidR="00527D61" w:rsidRPr="002B65F7">
        <w:t> </w:t>
      </w:r>
      <w:r w:rsidRPr="002B65F7">
        <w:t>1 et</w:t>
      </w:r>
      <w:r w:rsidR="00745C90" w:rsidRPr="002B65F7">
        <w:t> </w:t>
      </w:r>
      <w:r w:rsidRPr="002B65F7">
        <w:t xml:space="preserve">2). </w:t>
      </w:r>
      <w:r w:rsidR="00694420" w:rsidRPr="002B65F7">
        <w:t>WEZENLA</w:t>
      </w:r>
      <w:r w:rsidRPr="002B65F7">
        <w:t xml:space="preserve"> doit être administré </w:t>
      </w:r>
      <w:r w:rsidR="00D42A62" w:rsidRPr="002B65F7">
        <w:t>par voie</w:t>
      </w:r>
      <w:r w:rsidR="00694420" w:rsidRPr="002B65F7">
        <w:t xml:space="preserve"> sous-cutané</w:t>
      </w:r>
      <w:r w:rsidR="00D42A62" w:rsidRPr="002B65F7">
        <w:t>e</w:t>
      </w:r>
      <w:r w:rsidR="00694420" w:rsidRPr="002B65F7">
        <w:t xml:space="preserve"> </w:t>
      </w:r>
      <w:r w:rsidRPr="002B65F7">
        <w:t xml:space="preserve">aux </w:t>
      </w:r>
      <w:r w:rsidR="00694420" w:rsidRPr="002B65F7">
        <w:t>s</w:t>
      </w:r>
      <w:r w:rsidRPr="002B65F7">
        <w:t>emaines</w:t>
      </w:r>
      <w:r w:rsidR="003676B2" w:rsidRPr="002B65F7">
        <w:t> </w:t>
      </w:r>
      <w:r w:rsidRPr="002B65F7">
        <w:t>0 et</w:t>
      </w:r>
      <w:r w:rsidR="003676B2" w:rsidRPr="002B65F7">
        <w:t> </w:t>
      </w:r>
      <w:r w:rsidRPr="002B65F7">
        <w:t>4, puis toutes les 12</w:t>
      </w:r>
      <w:r w:rsidR="003676B2" w:rsidRPr="002B65F7">
        <w:t> </w:t>
      </w:r>
      <w:r w:rsidRPr="002B65F7">
        <w:t>semaines.</w:t>
      </w:r>
    </w:p>
    <w:p w14:paraId="2559A0EA" w14:textId="77777777" w:rsidR="00353539" w:rsidRPr="002B65F7" w:rsidRDefault="00353539" w:rsidP="00496255">
      <w:pPr>
        <w:widowControl/>
      </w:pPr>
    </w:p>
    <w:p w14:paraId="03B57F91" w14:textId="21021A6E" w:rsidR="00092F83" w:rsidRPr="002B65F7" w:rsidRDefault="00C31740" w:rsidP="00496255">
      <w:pPr>
        <w:keepNext/>
        <w:widowControl/>
        <w:rPr>
          <w:b/>
          <w:bCs/>
        </w:rPr>
      </w:pPr>
      <w:r w:rsidRPr="002B65F7">
        <w:rPr>
          <w:b/>
          <w:bCs/>
        </w:rPr>
        <w:t>Tableau</w:t>
      </w:r>
      <w:r w:rsidR="00D41714" w:rsidRPr="002B65F7">
        <w:rPr>
          <w:b/>
          <w:bCs/>
        </w:rPr>
        <w:t> </w:t>
      </w:r>
      <w:r w:rsidRPr="002B65F7">
        <w:rPr>
          <w:b/>
          <w:bCs/>
        </w:rPr>
        <w:t>1</w:t>
      </w:r>
      <w:r w:rsidR="00DA20AE" w:rsidRPr="002B65F7">
        <w:rPr>
          <w:b/>
          <w:bCs/>
        </w:rPr>
        <w:t xml:space="preserve">. </w:t>
      </w:r>
      <w:r w:rsidRPr="002B65F7">
        <w:rPr>
          <w:b/>
          <w:bCs/>
        </w:rPr>
        <w:t xml:space="preserve">Dose recommandée de </w:t>
      </w:r>
      <w:r w:rsidR="00694420" w:rsidRPr="002B65F7">
        <w:rPr>
          <w:b/>
          <w:bCs/>
        </w:rPr>
        <w:t>WEZENLA</w:t>
      </w:r>
      <w:r w:rsidRPr="002B65F7">
        <w:rPr>
          <w:b/>
          <w:bCs/>
        </w:rPr>
        <w:t xml:space="preserve"> dans le psoriasis de l’adolescent</w:t>
      </w:r>
    </w:p>
    <w:p w14:paraId="1550ADC4" w14:textId="77777777" w:rsidR="00DA20AE" w:rsidRPr="002B65F7" w:rsidRDefault="00DA20AE" w:rsidP="00496255">
      <w:pPr>
        <w:keepNext/>
        <w:widowControl/>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1"/>
        <w:gridCol w:w="3800"/>
      </w:tblGrid>
      <w:tr w:rsidR="00092F83" w:rsidRPr="002B65F7" w14:paraId="03B57F94" w14:textId="77777777" w:rsidTr="000238BD">
        <w:trPr>
          <w:cantSplit/>
          <w:trHeight w:val="251"/>
          <w:tblHeader/>
        </w:trPr>
        <w:tc>
          <w:tcPr>
            <w:tcW w:w="2903" w:type="pct"/>
          </w:tcPr>
          <w:p w14:paraId="03B57F92" w14:textId="77777777" w:rsidR="00092F83" w:rsidRPr="002B65F7" w:rsidRDefault="00C31740" w:rsidP="00496255">
            <w:pPr>
              <w:widowControl/>
              <w:jc w:val="center"/>
              <w:rPr>
                <w:b/>
                <w:bCs/>
              </w:rPr>
            </w:pPr>
            <w:r w:rsidRPr="002B65F7">
              <w:rPr>
                <w:b/>
                <w:bCs/>
              </w:rPr>
              <w:t>Poids au moment de l’administration</w:t>
            </w:r>
          </w:p>
        </w:tc>
        <w:tc>
          <w:tcPr>
            <w:tcW w:w="2097" w:type="pct"/>
          </w:tcPr>
          <w:p w14:paraId="03B57F93" w14:textId="77777777" w:rsidR="00092F83" w:rsidRPr="002B65F7" w:rsidRDefault="00C31740" w:rsidP="00496255">
            <w:pPr>
              <w:widowControl/>
              <w:jc w:val="center"/>
              <w:rPr>
                <w:b/>
                <w:bCs/>
              </w:rPr>
            </w:pPr>
            <w:r w:rsidRPr="002B65F7">
              <w:rPr>
                <w:b/>
                <w:bCs/>
              </w:rPr>
              <w:t>Dose recommandée</w:t>
            </w:r>
          </w:p>
        </w:tc>
      </w:tr>
      <w:tr w:rsidR="00092F83" w:rsidRPr="002B65F7" w14:paraId="03B57F97" w14:textId="77777777" w:rsidTr="002A1095">
        <w:trPr>
          <w:cantSplit/>
          <w:trHeight w:val="254"/>
        </w:trPr>
        <w:tc>
          <w:tcPr>
            <w:tcW w:w="2903" w:type="pct"/>
          </w:tcPr>
          <w:p w14:paraId="03B57F95" w14:textId="2A6515C7" w:rsidR="00092F83" w:rsidRPr="002B65F7" w:rsidRDefault="00C31740" w:rsidP="00496255">
            <w:pPr>
              <w:widowControl/>
              <w:jc w:val="center"/>
            </w:pPr>
            <w:r w:rsidRPr="002B65F7">
              <w:t>&lt;</w:t>
            </w:r>
            <w:r w:rsidR="00DA20AE" w:rsidRPr="002B65F7">
              <w:t> </w:t>
            </w:r>
            <w:r w:rsidRPr="002B65F7">
              <w:t>60</w:t>
            </w:r>
            <w:r w:rsidR="00DA20AE" w:rsidRPr="002B65F7">
              <w:t> </w:t>
            </w:r>
            <w:r w:rsidRPr="002B65F7">
              <w:t>kg</w:t>
            </w:r>
          </w:p>
        </w:tc>
        <w:tc>
          <w:tcPr>
            <w:tcW w:w="2097" w:type="pct"/>
          </w:tcPr>
          <w:p w14:paraId="03B57F96" w14:textId="104E38AF" w:rsidR="00092F83" w:rsidRPr="002B65F7" w:rsidRDefault="00C31740" w:rsidP="00496255">
            <w:pPr>
              <w:widowControl/>
              <w:jc w:val="center"/>
            </w:pPr>
            <w:r w:rsidRPr="002B65F7">
              <w:t>0,75</w:t>
            </w:r>
            <w:r w:rsidR="00DA20AE" w:rsidRPr="002B65F7">
              <w:t> </w:t>
            </w:r>
            <w:r w:rsidRPr="002B65F7">
              <w:t>mg/kg</w:t>
            </w:r>
          </w:p>
        </w:tc>
      </w:tr>
      <w:tr w:rsidR="00092F83" w:rsidRPr="002B65F7" w14:paraId="03B57F9A" w14:textId="77777777" w:rsidTr="002A1095">
        <w:trPr>
          <w:cantSplit/>
          <w:trHeight w:val="253"/>
        </w:trPr>
        <w:tc>
          <w:tcPr>
            <w:tcW w:w="2903" w:type="pct"/>
          </w:tcPr>
          <w:p w14:paraId="03B57F98" w14:textId="68BCB119" w:rsidR="00092F83" w:rsidRPr="002B65F7" w:rsidRDefault="00C31740" w:rsidP="00496255">
            <w:pPr>
              <w:widowControl/>
              <w:jc w:val="center"/>
            </w:pPr>
            <w:r w:rsidRPr="002B65F7">
              <w:t>≥</w:t>
            </w:r>
            <w:r w:rsidR="00DA20AE" w:rsidRPr="002B65F7">
              <w:t> </w:t>
            </w:r>
            <w:r w:rsidRPr="002B65F7">
              <w:t>60</w:t>
            </w:r>
            <w:r w:rsidR="001932B8" w:rsidRPr="002B65F7">
              <w:t> </w:t>
            </w:r>
            <w:r w:rsidRPr="002B65F7">
              <w:t>≤</w:t>
            </w:r>
            <w:r w:rsidR="004B79CB" w:rsidRPr="002B65F7">
              <w:t> </w:t>
            </w:r>
            <w:r w:rsidRPr="002B65F7">
              <w:t>100</w:t>
            </w:r>
            <w:r w:rsidR="004B79CB" w:rsidRPr="002B65F7">
              <w:t> </w:t>
            </w:r>
            <w:r w:rsidRPr="002B65F7">
              <w:t>kg</w:t>
            </w:r>
          </w:p>
        </w:tc>
        <w:tc>
          <w:tcPr>
            <w:tcW w:w="2097" w:type="pct"/>
          </w:tcPr>
          <w:p w14:paraId="03B57F99" w14:textId="3678557D" w:rsidR="00092F83" w:rsidRPr="002B65F7" w:rsidRDefault="00C31740" w:rsidP="00496255">
            <w:pPr>
              <w:widowControl/>
              <w:jc w:val="center"/>
            </w:pPr>
            <w:r w:rsidRPr="002B65F7">
              <w:t>45</w:t>
            </w:r>
            <w:r w:rsidR="00A73AF6" w:rsidRPr="002B65F7">
              <w:t> </w:t>
            </w:r>
            <w:r w:rsidRPr="002B65F7">
              <w:t>mg</w:t>
            </w:r>
          </w:p>
        </w:tc>
      </w:tr>
      <w:tr w:rsidR="00092F83" w:rsidRPr="002B65F7" w14:paraId="03B57F9D" w14:textId="77777777" w:rsidTr="002A1095">
        <w:trPr>
          <w:cantSplit/>
          <w:trHeight w:val="251"/>
        </w:trPr>
        <w:tc>
          <w:tcPr>
            <w:tcW w:w="2903" w:type="pct"/>
          </w:tcPr>
          <w:p w14:paraId="03B57F9B" w14:textId="75CFD7EE" w:rsidR="00092F83" w:rsidRPr="002B65F7" w:rsidRDefault="00C31740" w:rsidP="00496255">
            <w:pPr>
              <w:widowControl/>
              <w:jc w:val="center"/>
            </w:pPr>
            <w:r w:rsidRPr="002B65F7">
              <w:t>&gt;</w:t>
            </w:r>
            <w:r w:rsidR="00DA20AE" w:rsidRPr="002B65F7">
              <w:t> </w:t>
            </w:r>
            <w:r w:rsidRPr="002B65F7">
              <w:t>100</w:t>
            </w:r>
            <w:r w:rsidR="00DA20AE" w:rsidRPr="002B65F7">
              <w:t> </w:t>
            </w:r>
            <w:r w:rsidRPr="002B65F7">
              <w:t>kg</w:t>
            </w:r>
          </w:p>
        </w:tc>
        <w:tc>
          <w:tcPr>
            <w:tcW w:w="2097" w:type="pct"/>
          </w:tcPr>
          <w:p w14:paraId="03B57F9C" w14:textId="2BB8691F" w:rsidR="00092F83" w:rsidRPr="002B65F7" w:rsidRDefault="00C31740" w:rsidP="00496255">
            <w:pPr>
              <w:widowControl/>
              <w:jc w:val="center"/>
            </w:pPr>
            <w:r w:rsidRPr="002B65F7">
              <w:t>90</w:t>
            </w:r>
            <w:r w:rsidR="00A73AF6" w:rsidRPr="002B65F7">
              <w:t> </w:t>
            </w:r>
            <w:r w:rsidRPr="002B65F7">
              <w:t>mg</w:t>
            </w:r>
          </w:p>
        </w:tc>
      </w:tr>
    </w:tbl>
    <w:p w14:paraId="03B57F9E" w14:textId="77777777" w:rsidR="00092F83" w:rsidRPr="002B65F7" w:rsidRDefault="00092F83" w:rsidP="00496255">
      <w:pPr>
        <w:widowControl/>
      </w:pPr>
    </w:p>
    <w:p w14:paraId="03B57F9F" w14:textId="18C9DB87" w:rsidR="00092F83" w:rsidRPr="002B65F7" w:rsidRDefault="00C31740" w:rsidP="00496255">
      <w:pPr>
        <w:widowControl/>
      </w:pPr>
      <w:r w:rsidRPr="002B65F7">
        <w:t>Pour calculer le volume d’injection (en m</w:t>
      </w:r>
      <w:r w:rsidR="001932B8" w:rsidRPr="002B65F7">
        <w:t>L</w:t>
      </w:r>
      <w:r w:rsidRPr="002B65F7">
        <w:t>) chez les patients pesant</w:t>
      </w:r>
      <w:r w:rsidR="004B79CB" w:rsidRPr="002B65F7">
        <w:t> </w:t>
      </w:r>
      <w:r w:rsidRPr="002B65F7">
        <w:t>&lt;</w:t>
      </w:r>
      <w:r w:rsidR="004B79CB" w:rsidRPr="002B65F7">
        <w:t> </w:t>
      </w:r>
      <w:r w:rsidRPr="002B65F7">
        <w:t>60</w:t>
      </w:r>
      <w:r w:rsidR="004B79CB" w:rsidRPr="002B65F7">
        <w:t> </w:t>
      </w:r>
      <w:r w:rsidRPr="002B65F7">
        <w:t>kg, appliquer la formule suivante : poids corporel (kg)</w:t>
      </w:r>
      <w:r w:rsidR="000005F7" w:rsidRPr="002B65F7">
        <w:t> × </w:t>
      </w:r>
      <w:r w:rsidRPr="002B65F7">
        <w:t>0,0083 (m</w:t>
      </w:r>
      <w:r w:rsidR="001932B8" w:rsidRPr="002B65F7">
        <w:t>L</w:t>
      </w:r>
      <w:r w:rsidRPr="002B65F7">
        <w:t xml:space="preserve">/kg) ou se reporter au </w:t>
      </w:r>
      <w:r w:rsidR="00D42A62" w:rsidRPr="002B65F7">
        <w:t>t</w:t>
      </w:r>
      <w:r w:rsidRPr="002B65F7">
        <w:t>ableau</w:t>
      </w:r>
      <w:r w:rsidR="004B79CB" w:rsidRPr="002B65F7">
        <w:t> </w:t>
      </w:r>
      <w:r w:rsidRPr="002B65F7">
        <w:t>2. Le volume calculé doit être arrondi au 0,01</w:t>
      </w:r>
      <w:r w:rsidR="00A87AAD" w:rsidRPr="002B65F7">
        <w:t> </w:t>
      </w:r>
      <w:r w:rsidRPr="002B65F7">
        <w:t>m</w:t>
      </w:r>
      <w:r w:rsidR="001932B8" w:rsidRPr="002B65F7">
        <w:t>L</w:t>
      </w:r>
      <w:r w:rsidRPr="002B65F7">
        <w:t xml:space="preserve"> le plus proche et administré au moyen d’une seringue graduée de 1</w:t>
      </w:r>
      <w:r w:rsidR="004B79CB" w:rsidRPr="002B65F7">
        <w:t> </w:t>
      </w:r>
      <w:r w:rsidRPr="002B65F7">
        <w:t>m</w:t>
      </w:r>
      <w:r w:rsidR="001932B8" w:rsidRPr="002B65F7">
        <w:t>L</w:t>
      </w:r>
      <w:r w:rsidRPr="002B65F7">
        <w:t>. Un flacon de 45</w:t>
      </w:r>
      <w:r w:rsidR="004B79CB" w:rsidRPr="002B65F7">
        <w:t> </w:t>
      </w:r>
      <w:r w:rsidRPr="002B65F7">
        <w:t>mg est disponible pour les patients pédiatriques qui doivent recevoir moins que la dose complète de 45</w:t>
      </w:r>
      <w:r w:rsidR="005F7D16" w:rsidRPr="002B65F7">
        <w:t> </w:t>
      </w:r>
      <w:r w:rsidRPr="002B65F7">
        <w:t>mg.</w:t>
      </w:r>
    </w:p>
    <w:p w14:paraId="27937BC8" w14:textId="77777777" w:rsidR="00A87AAD" w:rsidRPr="002B65F7" w:rsidRDefault="00A87AAD" w:rsidP="00496255">
      <w:pPr>
        <w:widowControl/>
      </w:pPr>
    </w:p>
    <w:p w14:paraId="03B57FA1" w14:textId="3CF2F957" w:rsidR="00092F83" w:rsidRPr="002B65F7" w:rsidRDefault="00C31740" w:rsidP="00496255">
      <w:pPr>
        <w:keepNext/>
        <w:widowControl/>
        <w:rPr>
          <w:b/>
          <w:bCs/>
        </w:rPr>
      </w:pPr>
      <w:r w:rsidRPr="002B65F7">
        <w:rPr>
          <w:b/>
          <w:bCs/>
        </w:rPr>
        <w:t>Tableau</w:t>
      </w:r>
      <w:r w:rsidR="00291BEA" w:rsidRPr="002B65F7">
        <w:rPr>
          <w:b/>
          <w:bCs/>
        </w:rPr>
        <w:t> </w:t>
      </w:r>
      <w:r w:rsidRPr="002B65F7">
        <w:rPr>
          <w:b/>
          <w:bCs/>
        </w:rPr>
        <w:t>2</w:t>
      </w:r>
      <w:r w:rsidR="00A87AAD" w:rsidRPr="002B65F7">
        <w:rPr>
          <w:b/>
          <w:bCs/>
        </w:rPr>
        <w:t xml:space="preserve">. </w:t>
      </w:r>
      <w:r w:rsidRPr="002B65F7">
        <w:rPr>
          <w:b/>
          <w:bCs/>
        </w:rPr>
        <w:t xml:space="preserve">Volumes d’injection de </w:t>
      </w:r>
      <w:r w:rsidR="00694420" w:rsidRPr="002B65F7">
        <w:rPr>
          <w:b/>
          <w:bCs/>
        </w:rPr>
        <w:t>WEZENLA</w:t>
      </w:r>
      <w:r w:rsidRPr="002B65F7">
        <w:rPr>
          <w:b/>
          <w:bCs/>
        </w:rPr>
        <w:t xml:space="preserve"> pour les adolescents atteints de psoriasis pesant</w:t>
      </w:r>
      <w:r w:rsidR="001E244B" w:rsidRPr="002B65F7">
        <w:rPr>
          <w:b/>
          <w:bCs/>
        </w:rPr>
        <w:t> </w:t>
      </w:r>
      <w:r w:rsidRPr="002B65F7">
        <w:rPr>
          <w:b/>
          <w:bCs/>
        </w:rPr>
        <w:t>&lt;</w:t>
      </w:r>
      <w:r w:rsidR="001E244B" w:rsidRPr="002B65F7">
        <w:t> </w:t>
      </w:r>
      <w:r w:rsidRPr="002B65F7">
        <w:rPr>
          <w:b/>
          <w:bCs/>
        </w:rPr>
        <w:t>60</w:t>
      </w:r>
      <w:r w:rsidR="001E244B" w:rsidRPr="002B65F7">
        <w:rPr>
          <w:b/>
          <w:bCs/>
        </w:rPr>
        <w:t> </w:t>
      </w:r>
      <w:r w:rsidRPr="002B65F7">
        <w:rPr>
          <w:b/>
          <w:bCs/>
        </w:rPr>
        <w:t>kg</w:t>
      </w:r>
    </w:p>
    <w:p w14:paraId="2416B973" w14:textId="77777777" w:rsidR="00A87AAD" w:rsidRPr="002B65F7" w:rsidRDefault="00A87AAD" w:rsidP="00496255">
      <w:pPr>
        <w:keepNext/>
        <w:widowControl/>
        <w:rPr>
          <w:b/>
          <w:bCs/>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8"/>
        <w:gridCol w:w="2613"/>
        <w:gridCol w:w="3220"/>
      </w:tblGrid>
      <w:tr w:rsidR="00FA3B0B" w:rsidRPr="002B65F7" w14:paraId="18B616BB" w14:textId="77777777" w:rsidTr="002A1095">
        <w:trPr>
          <w:cantSplit/>
          <w:trHeight w:val="505"/>
          <w:tblHeader/>
        </w:trPr>
        <w:tc>
          <w:tcPr>
            <w:tcW w:w="1781" w:type="pct"/>
            <w:vAlign w:val="center"/>
          </w:tcPr>
          <w:p w14:paraId="363CD233" w14:textId="77777777" w:rsidR="008509A1" w:rsidRPr="002B65F7" w:rsidRDefault="00FA3B0B" w:rsidP="008509A1">
            <w:pPr>
              <w:keepNext/>
              <w:widowControl/>
              <w:adjustRightInd w:val="0"/>
              <w:snapToGrid w:val="0"/>
              <w:jc w:val="center"/>
              <w:rPr>
                <w:b/>
                <w:bCs/>
              </w:rPr>
            </w:pPr>
            <w:r w:rsidRPr="002B65F7">
              <w:rPr>
                <w:b/>
                <w:bCs/>
              </w:rPr>
              <w:t>Poids au moment de l’administration</w:t>
            </w:r>
          </w:p>
          <w:p w14:paraId="6DA5023A" w14:textId="32670BCF" w:rsidR="00FA3B0B" w:rsidRPr="002B65F7" w:rsidRDefault="00FA3B0B" w:rsidP="008509A1">
            <w:pPr>
              <w:keepNext/>
              <w:widowControl/>
              <w:adjustRightInd w:val="0"/>
              <w:snapToGrid w:val="0"/>
              <w:jc w:val="center"/>
              <w:rPr>
                <w:b/>
                <w:bCs/>
              </w:rPr>
            </w:pPr>
            <w:r w:rsidRPr="002B65F7">
              <w:rPr>
                <w:b/>
                <w:bCs/>
              </w:rPr>
              <w:t>(kg)</w:t>
            </w:r>
          </w:p>
        </w:tc>
        <w:tc>
          <w:tcPr>
            <w:tcW w:w="1442" w:type="pct"/>
            <w:vAlign w:val="center"/>
          </w:tcPr>
          <w:p w14:paraId="6E535577" w14:textId="77777777" w:rsidR="00FA3B0B" w:rsidRPr="002B65F7" w:rsidRDefault="00FA3B0B" w:rsidP="008509A1">
            <w:pPr>
              <w:keepNext/>
              <w:widowControl/>
              <w:adjustRightInd w:val="0"/>
              <w:snapToGrid w:val="0"/>
              <w:jc w:val="center"/>
              <w:rPr>
                <w:b/>
                <w:bCs/>
              </w:rPr>
            </w:pPr>
            <w:r w:rsidRPr="002B65F7">
              <w:rPr>
                <w:b/>
                <w:bCs/>
              </w:rPr>
              <w:t>Dose (mg)</w:t>
            </w:r>
          </w:p>
        </w:tc>
        <w:tc>
          <w:tcPr>
            <w:tcW w:w="1777" w:type="pct"/>
            <w:vAlign w:val="center"/>
          </w:tcPr>
          <w:p w14:paraId="0E02B3BD" w14:textId="77777777" w:rsidR="00FA3B0B" w:rsidRPr="002B65F7" w:rsidRDefault="00FA3B0B" w:rsidP="008509A1">
            <w:pPr>
              <w:keepNext/>
              <w:widowControl/>
              <w:adjustRightInd w:val="0"/>
              <w:snapToGrid w:val="0"/>
              <w:jc w:val="center"/>
              <w:rPr>
                <w:b/>
                <w:bCs/>
              </w:rPr>
            </w:pPr>
            <w:r w:rsidRPr="002B65F7">
              <w:rPr>
                <w:b/>
                <w:bCs/>
              </w:rPr>
              <w:t>Volume d’injection (mL)</w:t>
            </w:r>
          </w:p>
        </w:tc>
      </w:tr>
      <w:tr w:rsidR="00FA3B0B" w:rsidRPr="002B65F7" w14:paraId="5A89CC81" w14:textId="77777777" w:rsidTr="002A1095">
        <w:trPr>
          <w:cantSplit/>
          <w:trHeight w:val="252"/>
        </w:trPr>
        <w:tc>
          <w:tcPr>
            <w:tcW w:w="1781" w:type="pct"/>
          </w:tcPr>
          <w:p w14:paraId="1C92B8D6" w14:textId="77777777" w:rsidR="00FA3B0B" w:rsidRPr="002B65F7" w:rsidRDefault="00FA3B0B" w:rsidP="008509A1">
            <w:pPr>
              <w:keepNext/>
              <w:widowControl/>
              <w:adjustRightInd w:val="0"/>
              <w:snapToGrid w:val="0"/>
              <w:jc w:val="center"/>
            </w:pPr>
            <w:r w:rsidRPr="002B65F7">
              <w:t>15</w:t>
            </w:r>
          </w:p>
        </w:tc>
        <w:tc>
          <w:tcPr>
            <w:tcW w:w="1442" w:type="pct"/>
          </w:tcPr>
          <w:p w14:paraId="43C9A65C" w14:textId="77777777" w:rsidR="00FA3B0B" w:rsidRPr="002B65F7" w:rsidRDefault="00FA3B0B" w:rsidP="008509A1">
            <w:pPr>
              <w:keepNext/>
              <w:widowControl/>
              <w:adjustRightInd w:val="0"/>
              <w:snapToGrid w:val="0"/>
              <w:jc w:val="center"/>
            </w:pPr>
            <w:r w:rsidRPr="002B65F7">
              <w:t>11,3</w:t>
            </w:r>
          </w:p>
        </w:tc>
        <w:tc>
          <w:tcPr>
            <w:tcW w:w="1777" w:type="pct"/>
          </w:tcPr>
          <w:p w14:paraId="29FFEF3D" w14:textId="77777777" w:rsidR="00FA3B0B" w:rsidRPr="002B65F7" w:rsidRDefault="00FA3B0B" w:rsidP="008509A1">
            <w:pPr>
              <w:keepNext/>
              <w:widowControl/>
              <w:adjustRightInd w:val="0"/>
              <w:snapToGrid w:val="0"/>
              <w:jc w:val="center"/>
            </w:pPr>
            <w:r w:rsidRPr="002B65F7">
              <w:t>0,12</w:t>
            </w:r>
          </w:p>
        </w:tc>
      </w:tr>
      <w:tr w:rsidR="00FA3B0B" w:rsidRPr="002B65F7" w14:paraId="103F556F" w14:textId="77777777" w:rsidTr="002A1095">
        <w:trPr>
          <w:cantSplit/>
          <w:trHeight w:val="251"/>
        </w:trPr>
        <w:tc>
          <w:tcPr>
            <w:tcW w:w="1781" w:type="pct"/>
          </w:tcPr>
          <w:p w14:paraId="7377466E" w14:textId="77777777" w:rsidR="00FA3B0B" w:rsidRPr="002B65F7" w:rsidRDefault="00FA3B0B" w:rsidP="00496255">
            <w:pPr>
              <w:widowControl/>
              <w:adjustRightInd w:val="0"/>
              <w:snapToGrid w:val="0"/>
              <w:jc w:val="center"/>
            </w:pPr>
            <w:r w:rsidRPr="002B65F7">
              <w:t>16</w:t>
            </w:r>
          </w:p>
        </w:tc>
        <w:tc>
          <w:tcPr>
            <w:tcW w:w="1442" w:type="pct"/>
          </w:tcPr>
          <w:p w14:paraId="41D5D46F" w14:textId="77777777" w:rsidR="00FA3B0B" w:rsidRPr="002B65F7" w:rsidRDefault="00FA3B0B" w:rsidP="00496255">
            <w:pPr>
              <w:widowControl/>
              <w:adjustRightInd w:val="0"/>
              <w:snapToGrid w:val="0"/>
              <w:jc w:val="center"/>
            </w:pPr>
            <w:r w:rsidRPr="002B65F7">
              <w:t>12,0</w:t>
            </w:r>
          </w:p>
        </w:tc>
        <w:tc>
          <w:tcPr>
            <w:tcW w:w="1777" w:type="pct"/>
          </w:tcPr>
          <w:p w14:paraId="43438482" w14:textId="77777777" w:rsidR="00FA3B0B" w:rsidRPr="002B65F7" w:rsidRDefault="00FA3B0B" w:rsidP="00496255">
            <w:pPr>
              <w:widowControl/>
              <w:adjustRightInd w:val="0"/>
              <w:snapToGrid w:val="0"/>
              <w:jc w:val="center"/>
            </w:pPr>
            <w:r w:rsidRPr="002B65F7">
              <w:t>0,13</w:t>
            </w:r>
          </w:p>
        </w:tc>
      </w:tr>
      <w:tr w:rsidR="00FA3B0B" w:rsidRPr="002B65F7" w14:paraId="62AF9C76" w14:textId="77777777" w:rsidTr="002A1095">
        <w:trPr>
          <w:cantSplit/>
          <w:trHeight w:val="254"/>
        </w:trPr>
        <w:tc>
          <w:tcPr>
            <w:tcW w:w="1781" w:type="pct"/>
          </w:tcPr>
          <w:p w14:paraId="68BD2D82" w14:textId="77777777" w:rsidR="00FA3B0B" w:rsidRPr="002B65F7" w:rsidRDefault="00FA3B0B" w:rsidP="00496255">
            <w:pPr>
              <w:widowControl/>
              <w:adjustRightInd w:val="0"/>
              <w:snapToGrid w:val="0"/>
              <w:jc w:val="center"/>
            </w:pPr>
            <w:r w:rsidRPr="002B65F7">
              <w:t>17</w:t>
            </w:r>
          </w:p>
        </w:tc>
        <w:tc>
          <w:tcPr>
            <w:tcW w:w="1442" w:type="pct"/>
          </w:tcPr>
          <w:p w14:paraId="3C87B82E" w14:textId="77777777" w:rsidR="00FA3B0B" w:rsidRPr="002B65F7" w:rsidRDefault="00FA3B0B" w:rsidP="00496255">
            <w:pPr>
              <w:widowControl/>
              <w:adjustRightInd w:val="0"/>
              <w:snapToGrid w:val="0"/>
              <w:jc w:val="center"/>
            </w:pPr>
            <w:r w:rsidRPr="002B65F7">
              <w:t>12,8</w:t>
            </w:r>
          </w:p>
        </w:tc>
        <w:tc>
          <w:tcPr>
            <w:tcW w:w="1777" w:type="pct"/>
          </w:tcPr>
          <w:p w14:paraId="3DB1A264" w14:textId="77777777" w:rsidR="00FA3B0B" w:rsidRPr="002B65F7" w:rsidRDefault="00FA3B0B" w:rsidP="00496255">
            <w:pPr>
              <w:widowControl/>
              <w:adjustRightInd w:val="0"/>
              <w:snapToGrid w:val="0"/>
              <w:jc w:val="center"/>
            </w:pPr>
            <w:r w:rsidRPr="002B65F7">
              <w:t>0,14</w:t>
            </w:r>
          </w:p>
        </w:tc>
      </w:tr>
      <w:tr w:rsidR="00FA3B0B" w:rsidRPr="002B65F7" w14:paraId="35472CC2" w14:textId="77777777" w:rsidTr="002A1095">
        <w:trPr>
          <w:cantSplit/>
          <w:trHeight w:val="251"/>
        </w:trPr>
        <w:tc>
          <w:tcPr>
            <w:tcW w:w="1781" w:type="pct"/>
          </w:tcPr>
          <w:p w14:paraId="0612354F" w14:textId="77777777" w:rsidR="00FA3B0B" w:rsidRPr="002B65F7" w:rsidRDefault="00FA3B0B" w:rsidP="00496255">
            <w:pPr>
              <w:widowControl/>
              <w:adjustRightInd w:val="0"/>
              <w:snapToGrid w:val="0"/>
              <w:jc w:val="center"/>
            </w:pPr>
            <w:r w:rsidRPr="002B65F7">
              <w:t>18</w:t>
            </w:r>
          </w:p>
        </w:tc>
        <w:tc>
          <w:tcPr>
            <w:tcW w:w="1442" w:type="pct"/>
          </w:tcPr>
          <w:p w14:paraId="0393D465" w14:textId="77777777" w:rsidR="00FA3B0B" w:rsidRPr="002B65F7" w:rsidRDefault="00FA3B0B" w:rsidP="00496255">
            <w:pPr>
              <w:widowControl/>
              <w:adjustRightInd w:val="0"/>
              <w:snapToGrid w:val="0"/>
              <w:jc w:val="center"/>
            </w:pPr>
            <w:r w:rsidRPr="002B65F7">
              <w:t>13,5</w:t>
            </w:r>
          </w:p>
        </w:tc>
        <w:tc>
          <w:tcPr>
            <w:tcW w:w="1777" w:type="pct"/>
          </w:tcPr>
          <w:p w14:paraId="5947DF1C" w14:textId="77777777" w:rsidR="00FA3B0B" w:rsidRPr="002B65F7" w:rsidRDefault="00FA3B0B" w:rsidP="00496255">
            <w:pPr>
              <w:widowControl/>
              <w:adjustRightInd w:val="0"/>
              <w:snapToGrid w:val="0"/>
              <w:jc w:val="center"/>
            </w:pPr>
            <w:r w:rsidRPr="002B65F7">
              <w:t>0,15</w:t>
            </w:r>
          </w:p>
        </w:tc>
      </w:tr>
      <w:tr w:rsidR="00FA3B0B" w:rsidRPr="002B65F7" w14:paraId="27AFC2A4" w14:textId="77777777" w:rsidTr="002A1095">
        <w:trPr>
          <w:cantSplit/>
          <w:trHeight w:val="253"/>
        </w:trPr>
        <w:tc>
          <w:tcPr>
            <w:tcW w:w="1781" w:type="pct"/>
          </w:tcPr>
          <w:p w14:paraId="068CE46C" w14:textId="77777777" w:rsidR="00FA3B0B" w:rsidRPr="002B65F7" w:rsidRDefault="00FA3B0B" w:rsidP="00496255">
            <w:pPr>
              <w:widowControl/>
              <w:adjustRightInd w:val="0"/>
              <w:snapToGrid w:val="0"/>
              <w:jc w:val="center"/>
            </w:pPr>
            <w:r w:rsidRPr="002B65F7">
              <w:t>19</w:t>
            </w:r>
          </w:p>
        </w:tc>
        <w:tc>
          <w:tcPr>
            <w:tcW w:w="1442" w:type="pct"/>
          </w:tcPr>
          <w:p w14:paraId="6623C3D2" w14:textId="77777777" w:rsidR="00FA3B0B" w:rsidRPr="002B65F7" w:rsidRDefault="00FA3B0B" w:rsidP="00496255">
            <w:pPr>
              <w:widowControl/>
              <w:adjustRightInd w:val="0"/>
              <w:snapToGrid w:val="0"/>
              <w:jc w:val="center"/>
            </w:pPr>
            <w:r w:rsidRPr="002B65F7">
              <w:t>14,3</w:t>
            </w:r>
          </w:p>
        </w:tc>
        <w:tc>
          <w:tcPr>
            <w:tcW w:w="1777" w:type="pct"/>
          </w:tcPr>
          <w:p w14:paraId="051C3F29" w14:textId="77777777" w:rsidR="00FA3B0B" w:rsidRPr="002B65F7" w:rsidRDefault="00FA3B0B" w:rsidP="00496255">
            <w:pPr>
              <w:widowControl/>
              <w:adjustRightInd w:val="0"/>
              <w:snapToGrid w:val="0"/>
              <w:jc w:val="center"/>
            </w:pPr>
            <w:r w:rsidRPr="002B65F7">
              <w:t>0,16</w:t>
            </w:r>
          </w:p>
        </w:tc>
      </w:tr>
      <w:tr w:rsidR="00FA3B0B" w:rsidRPr="002B65F7" w14:paraId="41811B0D" w14:textId="77777777" w:rsidTr="002A1095">
        <w:trPr>
          <w:cantSplit/>
          <w:trHeight w:val="251"/>
        </w:trPr>
        <w:tc>
          <w:tcPr>
            <w:tcW w:w="1781" w:type="pct"/>
          </w:tcPr>
          <w:p w14:paraId="1CCAD0A4" w14:textId="77777777" w:rsidR="00FA3B0B" w:rsidRPr="002B65F7" w:rsidRDefault="00FA3B0B" w:rsidP="00496255">
            <w:pPr>
              <w:widowControl/>
              <w:adjustRightInd w:val="0"/>
              <w:snapToGrid w:val="0"/>
              <w:jc w:val="center"/>
            </w:pPr>
            <w:r w:rsidRPr="002B65F7">
              <w:t>20</w:t>
            </w:r>
          </w:p>
        </w:tc>
        <w:tc>
          <w:tcPr>
            <w:tcW w:w="1442" w:type="pct"/>
          </w:tcPr>
          <w:p w14:paraId="2BB2ECDC" w14:textId="77777777" w:rsidR="00FA3B0B" w:rsidRPr="002B65F7" w:rsidRDefault="00FA3B0B" w:rsidP="00496255">
            <w:pPr>
              <w:widowControl/>
              <w:adjustRightInd w:val="0"/>
              <w:snapToGrid w:val="0"/>
              <w:jc w:val="center"/>
            </w:pPr>
            <w:r w:rsidRPr="002B65F7">
              <w:t>15,0</w:t>
            </w:r>
          </w:p>
        </w:tc>
        <w:tc>
          <w:tcPr>
            <w:tcW w:w="1777" w:type="pct"/>
          </w:tcPr>
          <w:p w14:paraId="0A358021" w14:textId="77777777" w:rsidR="00FA3B0B" w:rsidRPr="002B65F7" w:rsidRDefault="00FA3B0B" w:rsidP="00496255">
            <w:pPr>
              <w:widowControl/>
              <w:adjustRightInd w:val="0"/>
              <w:snapToGrid w:val="0"/>
              <w:jc w:val="center"/>
            </w:pPr>
            <w:r w:rsidRPr="002B65F7">
              <w:t>0,17</w:t>
            </w:r>
          </w:p>
        </w:tc>
      </w:tr>
      <w:tr w:rsidR="00FA3B0B" w:rsidRPr="002B65F7" w14:paraId="09E1D590" w14:textId="77777777" w:rsidTr="002A1095">
        <w:trPr>
          <w:cantSplit/>
          <w:trHeight w:val="253"/>
        </w:trPr>
        <w:tc>
          <w:tcPr>
            <w:tcW w:w="1781" w:type="pct"/>
          </w:tcPr>
          <w:p w14:paraId="10F789E2" w14:textId="77777777" w:rsidR="00FA3B0B" w:rsidRPr="002B65F7" w:rsidRDefault="00FA3B0B" w:rsidP="00496255">
            <w:pPr>
              <w:widowControl/>
              <w:adjustRightInd w:val="0"/>
              <w:snapToGrid w:val="0"/>
              <w:jc w:val="center"/>
            </w:pPr>
            <w:r w:rsidRPr="002B65F7">
              <w:t>21</w:t>
            </w:r>
          </w:p>
        </w:tc>
        <w:tc>
          <w:tcPr>
            <w:tcW w:w="1442" w:type="pct"/>
          </w:tcPr>
          <w:p w14:paraId="03715382" w14:textId="77777777" w:rsidR="00FA3B0B" w:rsidRPr="002B65F7" w:rsidRDefault="00FA3B0B" w:rsidP="00496255">
            <w:pPr>
              <w:widowControl/>
              <w:adjustRightInd w:val="0"/>
              <w:snapToGrid w:val="0"/>
              <w:jc w:val="center"/>
            </w:pPr>
            <w:r w:rsidRPr="002B65F7">
              <w:t>15,8</w:t>
            </w:r>
          </w:p>
        </w:tc>
        <w:tc>
          <w:tcPr>
            <w:tcW w:w="1777" w:type="pct"/>
          </w:tcPr>
          <w:p w14:paraId="2D9D62BE" w14:textId="77777777" w:rsidR="00FA3B0B" w:rsidRPr="002B65F7" w:rsidRDefault="00FA3B0B" w:rsidP="00496255">
            <w:pPr>
              <w:widowControl/>
              <w:adjustRightInd w:val="0"/>
              <w:snapToGrid w:val="0"/>
              <w:jc w:val="center"/>
            </w:pPr>
            <w:r w:rsidRPr="002B65F7">
              <w:t>0,17</w:t>
            </w:r>
          </w:p>
        </w:tc>
      </w:tr>
      <w:tr w:rsidR="00FA3B0B" w:rsidRPr="002B65F7" w14:paraId="4CCDF671" w14:textId="77777777" w:rsidTr="002A1095">
        <w:trPr>
          <w:cantSplit/>
          <w:trHeight w:val="253"/>
        </w:trPr>
        <w:tc>
          <w:tcPr>
            <w:tcW w:w="1781" w:type="pct"/>
          </w:tcPr>
          <w:p w14:paraId="37CAB42E" w14:textId="77777777" w:rsidR="00FA3B0B" w:rsidRPr="002B65F7" w:rsidRDefault="00FA3B0B" w:rsidP="00496255">
            <w:pPr>
              <w:widowControl/>
              <w:adjustRightInd w:val="0"/>
              <w:snapToGrid w:val="0"/>
              <w:jc w:val="center"/>
            </w:pPr>
            <w:r w:rsidRPr="002B65F7">
              <w:t>22</w:t>
            </w:r>
          </w:p>
        </w:tc>
        <w:tc>
          <w:tcPr>
            <w:tcW w:w="1442" w:type="pct"/>
          </w:tcPr>
          <w:p w14:paraId="766F0B65" w14:textId="77777777" w:rsidR="00FA3B0B" w:rsidRPr="002B65F7" w:rsidRDefault="00FA3B0B" w:rsidP="00496255">
            <w:pPr>
              <w:widowControl/>
              <w:adjustRightInd w:val="0"/>
              <w:snapToGrid w:val="0"/>
              <w:jc w:val="center"/>
            </w:pPr>
            <w:r w:rsidRPr="002B65F7">
              <w:t>16,5</w:t>
            </w:r>
          </w:p>
        </w:tc>
        <w:tc>
          <w:tcPr>
            <w:tcW w:w="1777" w:type="pct"/>
          </w:tcPr>
          <w:p w14:paraId="1D1514DC" w14:textId="77777777" w:rsidR="00FA3B0B" w:rsidRPr="002B65F7" w:rsidRDefault="00FA3B0B" w:rsidP="00496255">
            <w:pPr>
              <w:widowControl/>
              <w:adjustRightInd w:val="0"/>
              <w:snapToGrid w:val="0"/>
              <w:jc w:val="center"/>
            </w:pPr>
            <w:r w:rsidRPr="002B65F7">
              <w:t>0,18</w:t>
            </w:r>
          </w:p>
        </w:tc>
      </w:tr>
      <w:tr w:rsidR="00FA3B0B" w:rsidRPr="002B65F7" w14:paraId="4E95DFA8" w14:textId="77777777" w:rsidTr="002A1095">
        <w:trPr>
          <w:cantSplit/>
          <w:trHeight w:val="251"/>
        </w:trPr>
        <w:tc>
          <w:tcPr>
            <w:tcW w:w="1781" w:type="pct"/>
          </w:tcPr>
          <w:p w14:paraId="14742193" w14:textId="77777777" w:rsidR="00FA3B0B" w:rsidRPr="002B65F7" w:rsidRDefault="00FA3B0B" w:rsidP="00496255">
            <w:pPr>
              <w:widowControl/>
              <w:adjustRightInd w:val="0"/>
              <w:snapToGrid w:val="0"/>
              <w:jc w:val="center"/>
            </w:pPr>
            <w:r w:rsidRPr="002B65F7">
              <w:lastRenderedPageBreak/>
              <w:t>23</w:t>
            </w:r>
          </w:p>
        </w:tc>
        <w:tc>
          <w:tcPr>
            <w:tcW w:w="1442" w:type="pct"/>
          </w:tcPr>
          <w:p w14:paraId="4638B3AF" w14:textId="77777777" w:rsidR="00FA3B0B" w:rsidRPr="002B65F7" w:rsidRDefault="00FA3B0B" w:rsidP="00496255">
            <w:pPr>
              <w:widowControl/>
              <w:adjustRightInd w:val="0"/>
              <w:snapToGrid w:val="0"/>
              <w:jc w:val="center"/>
            </w:pPr>
            <w:r w:rsidRPr="002B65F7">
              <w:t>17,3</w:t>
            </w:r>
          </w:p>
        </w:tc>
        <w:tc>
          <w:tcPr>
            <w:tcW w:w="1777" w:type="pct"/>
          </w:tcPr>
          <w:p w14:paraId="08520BA8" w14:textId="77777777" w:rsidR="00FA3B0B" w:rsidRPr="002B65F7" w:rsidRDefault="00FA3B0B" w:rsidP="00496255">
            <w:pPr>
              <w:widowControl/>
              <w:adjustRightInd w:val="0"/>
              <w:snapToGrid w:val="0"/>
              <w:jc w:val="center"/>
            </w:pPr>
            <w:r w:rsidRPr="002B65F7">
              <w:t>0,19</w:t>
            </w:r>
          </w:p>
        </w:tc>
      </w:tr>
      <w:tr w:rsidR="00FA3B0B" w:rsidRPr="002B65F7" w14:paraId="041EC493" w14:textId="77777777" w:rsidTr="002A1095">
        <w:trPr>
          <w:cantSplit/>
          <w:trHeight w:val="253"/>
        </w:trPr>
        <w:tc>
          <w:tcPr>
            <w:tcW w:w="1781" w:type="pct"/>
          </w:tcPr>
          <w:p w14:paraId="66B20FA3" w14:textId="77777777" w:rsidR="00FA3B0B" w:rsidRPr="002B65F7" w:rsidRDefault="00FA3B0B" w:rsidP="00496255">
            <w:pPr>
              <w:widowControl/>
              <w:adjustRightInd w:val="0"/>
              <w:snapToGrid w:val="0"/>
              <w:jc w:val="center"/>
            </w:pPr>
            <w:r w:rsidRPr="002B65F7">
              <w:t>24</w:t>
            </w:r>
          </w:p>
        </w:tc>
        <w:tc>
          <w:tcPr>
            <w:tcW w:w="1442" w:type="pct"/>
          </w:tcPr>
          <w:p w14:paraId="580ED7B9" w14:textId="77777777" w:rsidR="00FA3B0B" w:rsidRPr="002B65F7" w:rsidRDefault="00FA3B0B" w:rsidP="00496255">
            <w:pPr>
              <w:widowControl/>
              <w:adjustRightInd w:val="0"/>
              <w:snapToGrid w:val="0"/>
              <w:jc w:val="center"/>
            </w:pPr>
            <w:r w:rsidRPr="002B65F7">
              <w:t>18,0</w:t>
            </w:r>
          </w:p>
        </w:tc>
        <w:tc>
          <w:tcPr>
            <w:tcW w:w="1777" w:type="pct"/>
          </w:tcPr>
          <w:p w14:paraId="4C76C98B" w14:textId="77777777" w:rsidR="00FA3B0B" w:rsidRPr="002B65F7" w:rsidRDefault="00FA3B0B" w:rsidP="00496255">
            <w:pPr>
              <w:widowControl/>
              <w:adjustRightInd w:val="0"/>
              <w:snapToGrid w:val="0"/>
              <w:jc w:val="center"/>
            </w:pPr>
            <w:r w:rsidRPr="002B65F7">
              <w:t>0,20</w:t>
            </w:r>
          </w:p>
        </w:tc>
      </w:tr>
      <w:tr w:rsidR="00FA3B0B" w:rsidRPr="002B65F7" w14:paraId="71CDD0C6" w14:textId="77777777" w:rsidTr="002A1095">
        <w:trPr>
          <w:cantSplit/>
          <w:trHeight w:val="251"/>
        </w:trPr>
        <w:tc>
          <w:tcPr>
            <w:tcW w:w="1781" w:type="pct"/>
          </w:tcPr>
          <w:p w14:paraId="2B67DE2C" w14:textId="77777777" w:rsidR="00FA3B0B" w:rsidRPr="002B65F7" w:rsidRDefault="00FA3B0B" w:rsidP="00496255">
            <w:pPr>
              <w:widowControl/>
              <w:adjustRightInd w:val="0"/>
              <w:snapToGrid w:val="0"/>
              <w:jc w:val="center"/>
            </w:pPr>
            <w:r w:rsidRPr="002B65F7">
              <w:t>25</w:t>
            </w:r>
          </w:p>
        </w:tc>
        <w:tc>
          <w:tcPr>
            <w:tcW w:w="1442" w:type="pct"/>
          </w:tcPr>
          <w:p w14:paraId="4AC2FC40" w14:textId="77777777" w:rsidR="00FA3B0B" w:rsidRPr="002B65F7" w:rsidRDefault="00FA3B0B" w:rsidP="00496255">
            <w:pPr>
              <w:widowControl/>
              <w:adjustRightInd w:val="0"/>
              <w:snapToGrid w:val="0"/>
              <w:jc w:val="center"/>
            </w:pPr>
            <w:r w:rsidRPr="002B65F7">
              <w:t>18,8</w:t>
            </w:r>
          </w:p>
        </w:tc>
        <w:tc>
          <w:tcPr>
            <w:tcW w:w="1777" w:type="pct"/>
          </w:tcPr>
          <w:p w14:paraId="3553FAEB" w14:textId="77777777" w:rsidR="00FA3B0B" w:rsidRPr="002B65F7" w:rsidRDefault="00FA3B0B" w:rsidP="00496255">
            <w:pPr>
              <w:widowControl/>
              <w:adjustRightInd w:val="0"/>
              <w:snapToGrid w:val="0"/>
              <w:jc w:val="center"/>
            </w:pPr>
            <w:r w:rsidRPr="002B65F7">
              <w:t>0,21</w:t>
            </w:r>
          </w:p>
        </w:tc>
      </w:tr>
      <w:tr w:rsidR="00FA3B0B" w:rsidRPr="002B65F7" w14:paraId="130972E2" w14:textId="77777777" w:rsidTr="002A1095">
        <w:trPr>
          <w:cantSplit/>
          <w:trHeight w:val="253"/>
        </w:trPr>
        <w:tc>
          <w:tcPr>
            <w:tcW w:w="1781" w:type="pct"/>
          </w:tcPr>
          <w:p w14:paraId="7FCF401A" w14:textId="77777777" w:rsidR="00FA3B0B" w:rsidRPr="002B65F7" w:rsidRDefault="00FA3B0B" w:rsidP="00496255">
            <w:pPr>
              <w:widowControl/>
              <w:adjustRightInd w:val="0"/>
              <w:snapToGrid w:val="0"/>
              <w:jc w:val="center"/>
            </w:pPr>
            <w:r w:rsidRPr="002B65F7">
              <w:t>26</w:t>
            </w:r>
          </w:p>
        </w:tc>
        <w:tc>
          <w:tcPr>
            <w:tcW w:w="1442" w:type="pct"/>
          </w:tcPr>
          <w:p w14:paraId="4CDB0F2B" w14:textId="77777777" w:rsidR="00FA3B0B" w:rsidRPr="002B65F7" w:rsidRDefault="00FA3B0B" w:rsidP="00496255">
            <w:pPr>
              <w:widowControl/>
              <w:adjustRightInd w:val="0"/>
              <w:snapToGrid w:val="0"/>
              <w:jc w:val="center"/>
            </w:pPr>
            <w:r w:rsidRPr="002B65F7">
              <w:t>19,5</w:t>
            </w:r>
          </w:p>
        </w:tc>
        <w:tc>
          <w:tcPr>
            <w:tcW w:w="1777" w:type="pct"/>
          </w:tcPr>
          <w:p w14:paraId="0AE1C9DA" w14:textId="77777777" w:rsidR="00FA3B0B" w:rsidRPr="002B65F7" w:rsidRDefault="00FA3B0B" w:rsidP="00496255">
            <w:pPr>
              <w:widowControl/>
              <w:adjustRightInd w:val="0"/>
              <w:snapToGrid w:val="0"/>
              <w:jc w:val="center"/>
            </w:pPr>
            <w:r w:rsidRPr="002B65F7">
              <w:t>0,22</w:t>
            </w:r>
          </w:p>
        </w:tc>
      </w:tr>
      <w:tr w:rsidR="00FA3B0B" w:rsidRPr="002B65F7" w14:paraId="1F23AA07" w14:textId="77777777" w:rsidTr="002A1095">
        <w:trPr>
          <w:cantSplit/>
          <w:trHeight w:val="251"/>
        </w:trPr>
        <w:tc>
          <w:tcPr>
            <w:tcW w:w="1781" w:type="pct"/>
          </w:tcPr>
          <w:p w14:paraId="6C8914E7" w14:textId="77777777" w:rsidR="00FA3B0B" w:rsidRPr="002B65F7" w:rsidRDefault="00FA3B0B" w:rsidP="00496255">
            <w:pPr>
              <w:widowControl/>
              <w:adjustRightInd w:val="0"/>
              <w:snapToGrid w:val="0"/>
              <w:jc w:val="center"/>
            </w:pPr>
            <w:r w:rsidRPr="002B65F7">
              <w:t>27</w:t>
            </w:r>
          </w:p>
        </w:tc>
        <w:tc>
          <w:tcPr>
            <w:tcW w:w="1442" w:type="pct"/>
          </w:tcPr>
          <w:p w14:paraId="61F3C2B9" w14:textId="77777777" w:rsidR="00FA3B0B" w:rsidRPr="002B65F7" w:rsidRDefault="00FA3B0B" w:rsidP="00496255">
            <w:pPr>
              <w:widowControl/>
              <w:adjustRightInd w:val="0"/>
              <w:snapToGrid w:val="0"/>
              <w:jc w:val="center"/>
            </w:pPr>
            <w:r w:rsidRPr="002B65F7">
              <w:t>20,3</w:t>
            </w:r>
          </w:p>
        </w:tc>
        <w:tc>
          <w:tcPr>
            <w:tcW w:w="1777" w:type="pct"/>
          </w:tcPr>
          <w:p w14:paraId="5F82271F" w14:textId="77777777" w:rsidR="00FA3B0B" w:rsidRPr="002B65F7" w:rsidRDefault="00FA3B0B" w:rsidP="00496255">
            <w:pPr>
              <w:widowControl/>
              <w:adjustRightInd w:val="0"/>
              <w:snapToGrid w:val="0"/>
              <w:jc w:val="center"/>
            </w:pPr>
            <w:r w:rsidRPr="002B65F7">
              <w:t>0,22</w:t>
            </w:r>
          </w:p>
        </w:tc>
      </w:tr>
      <w:tr w:rsidR="00FA3B0B" w:rsidRPr="002B65F7" w14:paraId="1F81CC8F" w14:textId="77777777" w:rsidTr="002A1095">
        <w:trPr>
          <w:cantSplit/>
          <w:trHeight w:val="253"/>
        </w:trPr>
        <w:tc>
          <w:tcPr>
            <w:tcW w:w="1781" w:type="pct"/>
          </w:tcPr>
          <w:p w14:paraId="363E993F" w14:textId="77777777" w:rsidR="00FA3B0B" w:rsidRPr="002B65F7" w:rsidRDefault="00FA3B0B" w:rsidP="00496255">
            <w:pPr>
              <w:widowControl/>
              <w:adjustRightInd w:val="0"/>
              <w:snapToGrid w:val="0"/>
              <w:jc w:val="center"/>
            </w:pPr>
            <w:r w:rsidRPr="002B65F7">
              <w:t>28</w:t>
            </w:r>
          </w:p>
        </w:tc>
        <w:tc>
          <w:tcPr>
            <w:tcW w:w="1442" w:type="pct"/>
          </w:tcPr>
          <w:p w14:paraId="1A89E366" w14:textId="77777777" w:rsidR="00FA3B0B" w:rsidRPr="002B65F7" w:rsidRDefault="00FA3B0B" w:rsidP="00496255">
            <w:pPr>
              <w:widowControl/>
              <w:adjustRightInd w:val="0"/>
              <w:snapToGrid w:val="0"/>
              <w:jc w:val="center"/>
            </w:pPr>
            <w:r w:rsidRPr="002B65F7">
              <w:t>21,0</w:t>
            </w:r>
          </w:p>
        </w:tc>
        <w:tc>
          <w:tcPr>
            <w:tcW w:w="1777" w:type="pct"/>
          </w:tcPr>
          <w:p w14:paraId="36E58DE8" w14:textId="77777777" w:rsidR="00FA3B0B" w:rsidRPr="002B65F7" w:rsidRDefault="00FA3B0B" w:rsidP="00496255">
            <w:pPr>
              <w:widowControl/>
              <w:adjustRightInd w:val="0"/>
              <w:snapToGrid w:val="0"/>
              <w:jc w:val="center"/>
            </w:pPr>
            <w:r w:rsidRPr="002B65F7">
              <w:t>0,23</w:t>
            </w:r>
          </w:p>
        </w:tc>
      </w:tr>
      <w:tr w:rsidR="00FA3B0B" w:rsidRPr="002B65F7" w14:paraId="4BABC8FA" w14:textId="77777777" w:rsidTr="002A1095">
        <w:trPr>
          <w:cantSplit/>
          <w:trHeight w:val="253"/>
        </w:trPr>
        <w:tc>
          <w:tcPr>
            <w:tcW w:w="1781" w:type="pct"/>
          </w:tcPr>
          <w:p w14:paraId="5191442B" w14:textId="77777777" w:rsidR="00FA3B0B" w:rsidRPr="002B65F7" w:rsidRDefault="00FA3B0B" w:rsidP="00496255">
            <w:pPr>
              <w:widowControl/>
              <w:adjustRightInd w:val="0"/>
              <w:snapToGrid w:val="0"/>
              <w:jc w:val="center"/>
            </w:pPr>
            <w:r w:rsidRPr="002B65F7">
              <w:t>29</w:t>
            </w:r>
          </w:p>
        </w:tc>
        <w:tc>
          <w:tcPr>
            <w:tcW w:w="1442" w:type="pct"/>
          </w:tcPr>
          <w:p w14:paraId="4CF104A1" w14:textId="77777777" w:rsidR="00FA3B0B" w:rsidRPr="002B65F7" w:rsidRDefault="00FA3B0B" w:rsidP="00496255">
            <w:pPr>
              <w:widowControl/>
              <w:adjustRightInd w:val="0"/>
              <w:snapToGrid w:val="0"/>
              <w:jc w:val="center"/>
            </w:pPr>
            <w:r w:rsidRPr="002B65F7">
              <w:t>21,8</w:t>
            </w:r>
          </w:p>
        </w:tc>
        <w:tc>
          <w:tcPr>
            <w:tcW w:w="1777" w:type="pct"/>
          </w:tcPr>
          <w:p w14:paraId="554B7A9D" w14:textId="77777777" w:rsidR="00FA3B0B" w:rsidRPr="002B65F7" w:rsidRDefault="00FA3B0B" w:rsidP="00496255">
            <w:pPr>
              <w:widowControl/>
              <w:adjustRightInd w:val="0"/>
              <w:snapToGrid w:val="0"/>
              <w:jc w:val="center"/>
            </w:pPr>
            <w:r w:rsidRPr="002B65F7">
              <w:t>0,24</w:t>
            </w:r>
          </w:p>
        </w:tc>
      </w:tr>
      <w:tr w:rsidR="00FA3B0B" w:rsidRPr="002B65F7" w14:paraId="6BD1A580" w14:textId="77777777" w:rsidTr="002A1095">
        <w:trPr>
          <w:cantSplit/>
          <w:trHeight w:val="251"/>
        </w:trPr>
        <w:tc>
          <w:tcPr>
            <w:tcW w:w="1781" w:type="pct"/>
          </w:tcPr>
          <w:p w14:paraId="184A06E6" w14:textId="77777777" w:rsidR="00FA3B0B" w:rsidRPr="002B65F7" w:rsidRDefault="00FA3B0B" w:rsidP="00496255">
            <w:pPr>
              <w:widowControl/>
              <w:adjustRightInd w:val="0"/>
              <w:snapToGrid w:val="0"/>
              <w:jc w:val="center"/>
            </w:pPr>
            <w:r w:rsidRPr="002B65F7">
              <w:t>30</w:t>
            </w:r>
          </w:p>
        </w:tc>
        <w:tc>
          <w:tcPr>
            <w:tcW w:w="1442" w:type="pct"/>
          </w:tcPr>
          <w:p w14:paraId="6AF7647E" w14:textId="77777777" w:rsidR="00FA3B0B" w:rsidRPr="002B65F7" w:rsidRDefault="00FA3B0B" w:rsidP="00496255">
            <w:pPr>
              <w:widowControl/>
              <w:adjustRightInd w:val="0"/>
              <w:snapToGrid w:val="0"/>
              <w:jc w:val="center"/>
            </w:pPr>
            <w:r w:rsidRPr="002B65F7">
              <w:t>22,5</w:t>
            </w:r>
          </w:p>
        </w:tc>
        <w:tc>
          <w:tcPr>
            <w:tcW w:w="1777" w:type="pct"/>
          </w:tcPr>
          <w:p w14:paraId="2FD725CB" w14:textId="77777777" w:rsidR="00FA3B0B" w:rsidRPr="002B65F7" w:rsidRDefault="00FA3B0B" w:rsidP="00496255">
            <w:pPr>
              <w:widowControl/>
              <w:adjustRightInd w:val="0"/>
              <w:snapToGrid w:val="0"/>
              <w:jc w:val="center"/>
            </w:pPr>
            <w:r w:rsidRPr="002B65F7">
              <w:t>0,25</w:t>
            </w:r>
          </w:p>
        </w:tc>
      </w:tr>
      <w:tr w:rsidR="00FA3B0B" w:rsidRPr="002B65F7" w14:paraId="2A0DBCD0" w14:textId="77777777" w:rsidTr="002A1095">
        <w:trPr>
          <w:cantSplit/>
          <w:trHeight w:val="253"/>
        </w:trPr>
        <w:tc>
          <w:tcPr>
            <w:tcW w:w="1781" w:type="pct"/>
          </w:tcPr>
          <w:p w14:paraId="64C707A6" w14:textId="77777777" w:rsidR="00FA3B0B" w:rsidRPr="002B65F7" w:rsidRDefault="00FA3B0B" w:rsidP="00496255">
            <w:pPr>
              <w:widowControl/>
              <w:adjustRightInd w:val="0"/>
              <w:snapToGrid w:val="0"/>
              <w:jc w:val="center"/>
            </w:pPr>
            <w:r w:rsidRPr="002B65F7">
              <w:t>31</w:t>
            </w:r>
          </w:p>
        </w:tc>
        <w:tc>
          <w:tcPr>
            <w:tcW w:w="1442" w:type="pct"/>
          </w:tcPr>
          <w:p w14:paraId="427D57BA" w14:textId="77777777" w:rsidR="00FA3B0B" w:rsidRPr="002B65F7" w:rsidRDefault="00FA3B0B" w:rsidP="00496255">
            <w:pPr>
              <w:widowControl/>
              <w:adjustRightInd w:val="0"/>
              <w:snapToGrid w:val="0"/>
              <w:jc w:val="center"/>
            </w:pPr>
            <w:r w:rsidRPr="002B65F7">
              <w:t>23,3</w:t>
            </w:r>
          </w:p>
        </w:tc>
        <w:tc>
          <w:tcPr>
            <w:tcW w:w="1777" w:type="pct"/>
          </w:tcPr>
          <w:p w14:paraId="5D9B4E0A" w14:textId="77777777" w:rsidR="00FA3B0B" w:rsidRPr="002B65F7" w:rsidRDefault="00FA3B0B" w:rsidP="00496255">
            <w:pPr>
              <w:widowControl/>
              <w:adjustRightInd w:val="0"/>
              <w:snapToGrid w:val="0"/>
              <w:jc w:val="center"/>
            </w:pPr>
            <w:r w:rsidRPr="002B65F7">
              <w:t>0,26</w:t>
            </w:r>
          </w:p>
        </w:tc>
      </w:tr>
      <w:tr w:rsidR="00FA3B0B" w:rsidRPr="002B65F7" w14:paraId="1692DF0A" w14:textId="77777777" w:rsidTr="002A1095">
        <w:trPr>
          <w:cantSplit/>
          <w:trHeight w:val="251"/>
        </w:trPr>
        <w:tc>
          <w:tcPr>
            <w:tcW w:w="1781" w:type="pct"/>
          </w:tcPr>
          <w:p w14:paraId="6C112F9B" w14:textId="77777777" w:rsidR="00FA3B0B" w:rsidRPr="002B65F7" w:rsidRDefault="00FA3B0B" w:rsidP="00496255">
            <w:pPr>
              <w:widowControl/>
              <w:adjustRightInd w:val="0"/>
              <w:snapToGrid w:val="0"/>
              <w:jc w:val="center"/>
            </w:pPr>
            <w:r w:rsidRPr="002B65F7">
              <w:t>32</w:t>
            </w:r>
          </w:p>
        </w:tc>
        <w:tc>
          <w:tcPr>
            <w:tcW w:w="1442" w:type="pct"/>
          </w:tcPr>
          <w:p w14:paraId="6A5C486A" w14:textId="77777777" w:rsidR="00FA3B0B" w:rsidRPr="002B65F7" w:rsidRDefault="00FA3B0B" w:rsidP="00496255">
            <w:pPr>
              <w:widowControl/>
              <w:adjustRightInd w:val="0"/>
              <w:snapToGrid w:val="0"/>
              <w:jc w:val="center"/>
            </w:pPr>
            <w:r w:rsidRPr="002B65F7">
              <w:t>24,0</w:t>
            </w:r>
          </w:p>
        </w:tc>
        <w:tc>
          <w:tcPr>
            <w:tcW w:w="1777" w:type="pct"/>
          </w:tcPr>
          <w:p w14:paraId="7152F521" w14:textId="77777777" w:rsidR="00FA3B0B" w:rsidRPr="002B65F7" w:rsidRDefault="00FA3B0B" w:rsidP="00496255">
            <w:pPr>
              <w:widowControl/>
              <w:adjustRightInd w:val="0"/>
              <w:snapToGrid w:val="0"/>
              <w:jc w:val="center"/>
            </w:pPr>
            <w:r w:rsidRPr="002B65F7">
              <w:t>0,27</w:t>
            </w:r>
          </w:p>
        </w:tc>
      </w:tr>
      <w:tr w:rsidR="00FA3B0B" w:rsidRPr="002B65F7" w14:paraId="545BE2D9" w14:textId="77777777" w:rsidTr="002A1095">
        <w:trPr>
          <w:cantSplit/>
          <w:trHeight w:val="253"/>
        </w:trPr>
        <w:tc>
          <w:tcPr>
            <w:tcW w:w="1781" w:type="pct"/>
          </w:tcPr>
          <w:p w14:paraId="1B83336A" w14:textId="77777777" w:rsidR="00FA3B0B" w:rsidRPr="002B65F7" w:rsidRDefault="00FA3B0B" w:rsidP="00496255">
            <w:pPr>
              <w:widowControl/>
              <w:adjustRightInd w:val="0"/>
              <w:snapToGrid w:val="0"/>
              <w:jc w:val="center"/>
            </w:pPr>
            <w:r w:rsidRPr="002B65F7">
              <w:t>33</w:t>
            </w:r>
          </w:p>
        </w:tc>
        <w:tc>
          <w:tcPr>
            <w:tcW w:w="1442" w:type="pct"/>
          </w:tcPr>
          <w:p w14:paraId="13582681" w14:textId="77777777" w:rsidR="00FA3B0B" w:rsidRPr="002B65F7" w:rsidRDefault="00FA3B0B" w:rsidP="00496255">
            <w:pPr>
              <w:widowControl/>
              <w:adjustRightInd w:val="0"/>
              <w:snapToGrid w:val="0"/>
              <w:jc w:val="center"/>
            </w:pPr>
            <w:r w:rsidRPr="002B65F7">
              <w:t>24,8</w:t>
            </w:r>
          </w:p>
        </w:tc>
        <w:tc>
          <w:tcPr>
            <w:tcW w:w="1777" w:type="pct"/>
          </w:tcPr>
          <w:p w14:paraId="37C9D0CC" w14:textId="77777777" w:rsidR="00FA3B0B" w:rsidRPr="002B65F7" w:rsidRDefault="00FA3B0B" w:rsidP="00496255">
            <w:pPr>
              <w:widowControl/>
              <w:adjustRightInd w:val="0"/>
              <w:snapToGrid w:val="0"/>
              <w:jc w:val="center"/>
            </w:pPr>
            <w:r w:rsidRPr="002B65F7">
              <w:t>0,27</w:t>
            </w:r>
          </w:p>
        </w:tc>
      </w:tr>
      <w:tr w:rsidR="00FA3B0B" w:rsidRPr="002B65F7" w14:paraId="1531F079" w14:textId="77777777" w:rsidTr="002A1095">
        <w:trPr>
          <w:cantSplit/>
          <w:trHeight w:val="253"/>
        </w:trPr>
        <w:tc>
          <w:tcPr>
            <w:tcW w:w="1781" w:type="pct"/>
          </w:tcPr>
          <w:p w14:paraId="641A7645" w14:textId="77777777" w:rsidR="00FA3B0B" w:rsidRPr="002B65F7" w:rsidRDefault="00FA3B0B" w:rsidP="00496255">
            <w:pPr>
              <w:widowControl/>
              <w:adjustRightInd w:val="0"/>
              <w:snapToGrid w:val="0"/>
              <w:jc w:val="center"/>
            </w:pPr>
            <w:r w:rsidRPr="002B65F7">
              <w:t>34</w:t>
            </w:r>
          </w:p>
        </w:tc>
        <w:tc>
          <w:tcPr>
            <w:tcW w:w="1442" w:type="pct"/>
          </w:tcPr>
          <w:p w14:paraId="6638344B" w14:textId="77777777" w:rsidR="00FA3B0B" w:rsidRPr="002B65F7" w:rsidRDefault="00FA3B0B" w:rsidP="00496255">
            <w:pPr>
              <w:widowControl/>
              <w:adjustRightInd w:val="0"/>
              <w:snapToGrid w:val="0"/>
              <w:jc w:val="center"/>
            </w:pPr>
            <w:r w:rsidRPr="002B65F7">
              <w:t>25,5</w:t>
            </w:r>
          </w:p>
        </w:tc>
        <w:tc>
          <w:tcPr>
            <w:tcW w:w="1777" w:type="pct"/>
          </w:tcPr>
          <w:p w14:paraId="153B0B6C" w14:textId="77777777" w:rsidR="00FA3B0B" w:rsidRPr="002B65F7" w:rsidRDefault="00FA3B0B" w:rsidP="00496255">
            <w:pPr>
              <w:widowControl/>
              <w:adjustRightInd w:val="0"/>
              <w:snapToGrid w:val="0"/>
              <w:jc w:val="center"/>
            </w:pPr>
            <w:r w:rsidRPr="002B65F7">
              <w:t>0,28</w:t>
            </w:r>
          </w:p>
        </w:tc>
      </w:tr>
      <w:tr w:rsidR="00FA3B0B" w:rsidRPr="002B65F7" w14:paraId="3B6389FA" w14:textId="77777777" w:rsidTr="002A1095">
        <w:trPr>
          <w:cantSplit/>
          <w:trHeight w:val="251"/>
        </w:trPr>
        <w:tc>
          <w:tcPr>
            <w:tcW w:w="1781" w:type="pct"/>
          </w:tcPr>
          <w:p w14:paraId="37E31B50" w14:textId="77777777" w:rsidR="00FA3B0B" w:rsidRPr="002B65F7" w:rsidRDefault="00FA3B0B" w:rsidP="00496255">
            <w:pPr>
              <w:widowControl/>
              <w:adjustRightInd w:val="0"/>
              <w:snapToGrid w:val="0"/>
              <w:jc w:val="center"/>
            </w:pPr>
            <w:r w:rsidRPr="002B65F7">
              <w:t>35</w:t>
            </w:r>
          </w:p>
        </w:tc>
        <w:tc>
          <w:tcPr>
            <w:tcW w:w="1442" w:type="pct"/>
          </w:tcPr>
          <w:p w14:paraId="1E9B9F3C" w14:textId="77777777" w:rsidR="00FA3B0B" w:rsidRPr="002B65F7" w:rsidRDefault="00FA3B0B" w:rsidP="00496255">
            <w:pPr>
              <w:widowControl/>
              <w:adjustRightInd w:val="0"/>
              <w:snapToGrid w:val="0"/>
              <w:jc w:val="center"/>
            </w:pPr>
            <w:r w:rsidRPr="002B65F7">
              <w:t>26,3</w:t>
            </w:r>
          </w:p>
        </w:tc>
        <w:tc>
          <w:tcPr>
            <w:tcW w:w="1777" w:type="pct"/>
          </w:tcPr>
          <w:p w14:paraId="53388C19" w14:textId="77777777" w:rsidR="00FA3B0B" w:rsidRPr="002B65F7" w:rsidRDefault="00FA3B0B" w:rsidP="00496255">
            <w:pPr>
              <w:widowControl/>
              <w:adjustRightInd w:val="0"/>
              <w:snapToGrid w:val="0"/>
              <w:jc w:val="center"/>
            </w:pPr>
            <w:r w:rsidRPr="002B65F7">
              <w:t>0,29</w:t>
            </w:r>
          </w:p>
        </w:tc>
      </w:tr>
      <w:tr w:rsidR="00FA3B0B" w:rsidRPr="002B65F7" w14:paraId="1AA3DDCD" w14:textId="77777777" w:rsidTr="002A1095">
        <w:trPr>
          <w:cantSplit/>
          <w:trHeight w:val="254"/>
        </w:trPr>
        <w:tc>
          <w:tcPr>
            <w:tcW w:w="1781" w:type="pct"/>
          </w:tcPr>
          <w:p w14:paraId="74B10F10" w14:textId="77777777" w:rsidR="00FA3B0B" w:rsidRPr="002B65F7" w:rsidRDefault="00FA3B0B" w:rsidP="00496255">
            <w:pPr>
              <w:widowControl/>
              <w:adjustRightInd w:val="0"/>
              <w:snapToGrid w:val="0"/>
              <w:jc w:val="center"/>
            </w:pPr>
            <w:r w:rsidRPr="002B65F7">
              <w:t>36</w:t>
            </w:r>
          </w:p>
        </w:tc>
        <w:tc>
          <w:tcPr>
            <w:tcW w:w="1442" w:type="pct"/>
          </w:tcPr>
          <w:p w14:paraId="479BD172" w14:textId="77777777" w:rsidR="00FA3B0B" w:rsidRPr="002B65F7" w:rsidRDefault="00FA3B0B" w:rsidP="00496255">
            <w:pPr>
              <w:widowControl/>
              <w:adjustRightInd w:val="0"/>
              <w:snapToGrid w:val="0"/>
              <w:jc w:val="center"/>
            </w:pPr>
            <w:r w:rsidRPr="002B65F7">
              <w:t>27,0</w:t>
            </w:r>
          </w:p>
        </w:tc>
        <w:tc>
          <w:tcPr>
            <w:tcW w:w="1777" w:type="pct"/>
          </w:tcPr>
          <w:p w14:paraId="3FBEED56" w14:textId="77777777" w:rsidR="00FA3B0B" w:rsidRPr="002B65F7" w:rsidRDefault="00FA3B0B" w:rsidP="00496255">
            <w:pPr>
              <w:widowControl/>
              <w:adjustRightInd w:val="0"/>
              <w:snapToGrid w:val="0"/>
              <w:jc w:val="center"/>
            </w:pPr>
            <w:r w:rsidRPr="002B65F7">
              <w:t>0,30</w:t>
            </w:r>
          </w:p>
        </w:tc>
      </w:tr>
      <w:tr w:rsidR="00FA3B0B" w:rsidRPr="002B65F7" w14:paraId="3B0F2FD9" w14:textId="77777777" w:rsidTr="002A1095">
        <w:trPr>
          <w:cantSplit/>
          <w:trHeight w:val="251"/>
        </w:trPr>
        <w:tc>
          <w:tcPr>
            <w:tcW w:w="1781" w:type="pct"/>
          </w:tcPr>
          <w:p w14:paraId="1B80C7FC" w14:textId="77777777" w:rsidR="00FA3B0B" w:rsidRPr="002B65F7" w:rsidRDefault="00FA3B0B" w:rsidP="00496255">
            <w:pPr>
              <w:widowControl/>
              <w:adjustRightInd w:val="0"/>
              <w:snapToGrid w:val="0"/>
              <w:jc w:val="center"/>
            </w:pPr>
            <w:r w:rsidRPr="002B65F7">
              <w:t>37</w:t>
            </w:r>
          </w:p>
        </w:tc>
        <w:tc>
          <w:tcPr>
            <w:tcW w:w="1442" w:type="pct"/>
          </w:tcPr>
          <w:p w14:paraId="3684BF1A" w14:textId="77777777" w:rsidR="00FA3B0B" w:rsidRPr="002B65F7" w:rsidRDefault="00FA3B0B" w:rsidP="00496255">
            <w:pPr>
              <w:widowControl/>
              <w:adjustRightInd w:val="0"/>
              <w:snapToGrid w:val="0"/>
              <w:jc w:val="center"/>
            </w:pPr>
            <w:r w:rsidRPr="002B65F7">
              <w:t>27,8</w:t>
            </w:r>
          </w:p>
        </w:tc>
        <w:tc>
          <w:tcPr>
            <w:tcW w:w="1777" w:type="pct"/>
          </w:tcPr>
          <w:p w14:paraId="1DA416E6" w14:textId="77777777" w:rsidR="00FA3B0B" w:rsidRPr="002B65F7" w:rsidRDefault="00FA3B0B" w:rsidP="00496255">
            <w:pPr>
              <w:widowControl/>
              <w:adjustRightInd w:val="0"/>
              <w:snapToGrid w:val="0"/>
              <w:jc w:val="center"/>
            </w:pPr>
            <w:r w:rsidRPr="002B65F7">
              <w:t>0,31</w:t>
            </w:r>
          </w:p>
        </w:tc>
      </w:tr>
      <w:tr w:rsidR="00FA3B0B" w:rsidRPr="002B65F7" w14:paraId="316394CF" w14:textId="77777777" w:rsidTr="002A1095">
        <w:trPr>
          <w:cantSplit/>
          <w:trHeight w:val="253"/>
        </w:trPr>
        <w:tc>
          <w:tcPr>
            <w:tcW w:w="1781" w:type="pct"/>
          </w:tcPr>
          <w:p w14:paraId="50AB7DCF" w14:textId="77777777" w:rsidR="00FA3B0B" w:rsidRPr="002B65F7" w:rsidRDefault="00FA3B0B" w:rsidP="00496255">
            <w:pPr>
              <w:widowControl/>
              <w:adjustRightInd w:val="0"/>
              <w:snapToGrid w:val="0"/>
              <w:jc w:val="center"/>
            </w:pPr>
            <w:r w:rsidRPr="002B65F7">
              <w:t>38</w:t>
            </w:r>
          </w:p>
        </w:tc>
        <w:tc>
          <w:tcPr>
            <w:tcW w:w="1442" w:type="pct"/>
          </w:tcPr>
          <w:p w14:paraId="5E065034" w14:textId="77777777" w:rsidR="00FA3B0B" w:rsidRPr="002B65F7" w:rsidRDefault="00FA3B0B" w:rsidP="00496255">
            <w:pPr>
              <w:widowControl/>
              <w:adjustRightInd w:val="0"/>
              <w:snapToGrid w:val="0"/>
              <w:jc w:val="center"/>
            </w:pPr>
            <w:r w:rsidRPr="002B65F7">
              <w:t>28,5</w:t>
            </w:r>
          </w:p>
        </w:tc>
        <w:tc>
          <w:tcPr>
            <w:tcW w:w="1777" w:type="pct"/>
          </w:tcPr>
          <w:p w14:paraId="333FCB36" w14:textId="77777777" w:rsidR="00FA3B0B" w:rsidRPr="002B65F7" w:rsidRDefault="00FA3B0B" w:rsidP="00496255">
            <w:pPr>
              <w:widowControl/>
              <w:adjustRightInd w:val="0"/>
              <w:snapToGrid w:val="0"/>
              <w:jc w:val="center"/>
            </w:pPr>
            <w:r w:rsidRPr="002B65F7">
              <w:t>0,32</w:t>
            </w:r>
          </w:p>
        </w:tc>
      </w:tr>
      <w:tr w:rsidR="00FA3B0B" w:rsidRPr="002B65F7" w14:paraId="4200020F" w14:textId="77777777" w:rsidTr="002A1095">
        <w:trPr>
          <w:cantSplit/>
          <w:trHeight w:val="251"/>
        </w:trPr>
        <w:tc>
          <w:tcPr>
            <w:tcW w:w="1781" w:type="pct"/>
          </w:tcPr>
          <w:p w14:paraId="545099E5" w14:textId="77777777" w:rsidR="00FA3B0B" w:rsidRPr="002B65F7" w:rsidRDefault="00FA3B0B" w:rsidP="00496255">
            <w:pPr>
              <w:widowControl/>
              <w:adjustRightInd w:val="0"/>
              <w:snapToGrid w:val="0"/>
              <w:jc w:val="center"/>
            </w:pPr>
            <w:r w:rsidRPr="002B65F7">
              <w:t>39</w:t>
            </w:r>
          </w:p>
        </w:tc>
        <w:tc>
          <w:tcPr>
            <w:tcW w:w="1442" w:type="pct"/>
          </w:tcPr>
          <w:p w14:paraId="332CD815" w14:textId="77777777" w:rsidR="00FA3B0B" w:rsidRPr="002B65F7" w:rsidRDefault="00FA3B0B" w:rsidP="00496255">
            <w:pPr>
              <w:widowControl/>
              <w:adjustRightInd w:val="0"/>
              <w:snapToGrid w:val="0"/>
              <w:jc w:val="center"/>
            </w:pPr>
            <w:r w:rsidRPr="002B65F7">
              <w:t>29,3</w:t>
            </w:r>
          </w:p>
        </w:tc>
        <w:tc>
          <w:tcPr>
            <w:tcW w:w="1777" w:type="pct"/>
          </w:tcPr>
          <w:p w14:paraId="5A6A7B10" w14:textId="77777777" w:rsidR="00FA3B0B" w:rsidRPr="002B65F7" w:rsidRDefault="00FA3B0B" w:rsidP="00496255">
            <w:pPr>
              <w:widowControl/>
              <w:adjustRightInd w:val="0"/>
              <w:snapToGrid w:val="0"/>
              <w:jc w:val="center"/>
            </w:pPr>
            <w:r w:rsidRPr="002B65F7">
              <w:t>0,32</w:t>
            </w:r>
          </w:p>
        </w:tc>
      </w:tr>
      <w:tr w:rsidR="00FA3B0B" w:rsidRPr="002B65F7" w14:paraId="00653AB0" w14:textId="77777777" w:rsidTr="002A1095">
        <w:trPr>
          <w:cantSplit/>
          <w:trHeight w:val="253"/>
        </w:trPr>
        <w:tc>
          <w:tcPr>
            <w:tcW w:w="1781" w:type="pct"/>
          </w:tcPr>
          <w:p w14:paraId="155BCCD9" w14:textId="77777777" w:rsidR="00FA3B0B" w:rsidRPr="002B65F7" w:rsidRDefault="00FA3B0B" w:rsidP="00496255">
            <w:pPr>
              <w:widowControl/>
              <w:adjustRightInd w:val="0"/>
              <w:snapToGrid w:val="0"/>
              <w:jc w:val="center"/>
            </w:pPr>
            <w:r w:rsidRPr="002B65F7">
              <w:t>40</w:t>
            </w:r>
          </w:p>
        </w:tc>
        <w:tc>
          <w:tcPr>
            <w:tcW w:w="1442" w:type="pct"/>
          </w:tcPr>
          <w:p w14:paraId="7DCE5AAC" w14:textId="77777777" w:rsidR="00FA3B0B" w:rsidRPr="002B65F7" w:rsidRDefault="00FA3B0B" w:rsidP="00496255">
            <w:pPr>
              <w:widowControl/>
              <w:adjustRightInd w:val="0"/>
              <w:snapToGrid w:val="0"/>
              <w:jc w:val="center"/>
            </w:pPr>
            <w:r w:rsidRPr="002B65F7">
              <w:t>30,0</w:t>
            </w:r>
          </w:p>
        </w:tc>
        <w:tc>
          <w:tcPr>
            <w:tcW w:w="1777" w:type="pct"/>
          </w:tcPr>
          <w:p w14:paraId="70798160" w14:textId="77777777" w:rsidR="00FA3B0B" w:rsidRPr="002B65F7" w:rsidRDefault="00FA3B0B" w:rsidP="00496255">
            <w:pPr>
              <w:widowControl/>
              <w:adjustRightInd w:val="0"/>
              <w:snapToGrid w:val="0"/>
              <w:jc w:val="center"/>
            </w:pPr>
            <w:r w:rsidRPr="002B65F7">
              <w:t>0,33</w:t>
            </w:r>
          </w:p>
        </w:tc>
      </w:tr>
      <w:tr w:rsidR="00FA3B0B" w:rsidRPr="002B65F7" w14:paraId="447D4FD5" w14:textId="77777777" w:rsidTr="002A1095">
        <w:trPr>
          <w:cantSplit/>
          <w:trHeight w:val="254"/>
        </w:trPr>
        <w:tc>
          <w:tcPr>
            <w:tcW w:w="1781" w:type="pct"/>
          </w:tcPr>
          <w:p w14:paraId="46891A53" w14:textId="77777777" w:rsidR="00FA3B0B" w:rsidRPr="002B65F7" w:rsidRDefault="00FA3B0B" w:rsidP="00496255">
            <w:pPr>
              <w:widowControl/>
              <w:adjustRightInd w:val="0"/>
              <w:snapToGrid w:val="0"/>
              <w:jc w:val="center"/>
            </w:pPr>
            <w:r w:rsidRPr="002B65F7">
              <w:t>41</w:t>
            </w:r>
          </w:p>
        </w:tc>
        <w:tc>
          <w:tcPr>
            <w:tcW w:w="1442" w:type="pct"/>
          </w:tcPr>
          <w:p w14:paraId="14C3B853" w14:textId="77777777" w:rsidR="00FA3B0B" w:rsidRPr="002B65F7" w:rsidRDefault="00FA3B0B" w:rsidP="00496255">
            <w:pPr>
              <w:widowControl/>
              <w:adjustRightInd w:val="0"/>
              <w:snapToGrid w:val="0"/>
              <w:jc w:val="center"/>
            </w:pPr>
            <w:r w:rsidRPr="002B65F7">
              <w:t>30,8</w:t>
            </w:r>
          </w:p>
        </w:tc>
        <w:tc>
          <w:tcPr>
            <w:tcW w:w="1777" w:type="pct"/>
          </w:tcPr>
          <w:p w14:paraId="338305AB" w14:textId="77777777" w:rsidR="00FA3B0B" w:rsidRPr="002B65F7" w:rsidRDefault="00FA3B0B" w:rsidP="00496255">
            <w:pPr>
              <w:widowControl/>
              <w:adjustRightInd w:val="0"/>
              <w:snapToGrid w:val="0"/>
              <w:jc w:val="center"/>
            </w:pPr>
            <w:r w:rsidRPr="002B65F7">
              <w:t>0,34</w:t>
            </w:r>
          </w:p>
        </w:tc>
      </w:tr>
      <w:tr w:rsidR="00FA3B0B" w:rsidRPr="002B65F7" w14:paraId="0C5E2A86" w14:textId="77777777" w:rsidTr="002A1095">
        <w:trPr>
          <w:cantSplit/>
          <w:trHeight w:val="251"/>
        </w:trPr>
        <w:tc>
          <w:tcPr>
            <w:tcW w:w="1781" w:type="pct"/>
          </w:tcPr>
          <w:p w14:paraId="166C68A3" w14:textId="77777777" w:rsidR="00FA3B0B" w:rsidRPr="002B65F7" w:rsidRDefault="00FA3B0B" w:rsidP="00496255">
            <w:pPr>
              <w:widowControl/>
              <w:adjustRightInd w:val="0"/>
              <w:snapToGrid w:val="0"/>
              <w:jc w:val="center"/>
            </w:pPr>
            <w:r w:rsidRPr="002B65F7">
              <w:t>42</w:t>
            </w:r>
          </w:p>
        </w:tc>
        <w:tc>
          <w:tcPr>
            <w:tcW w:w="1442" w:type="pct"/>
          </w:tcPr>
          <w:p w14:paraId="57F6E8EA" w14:textId="77777777" w:rsidR="00FA3B0B" w:rsidRPr="002B65F7" w:rsidRDefault="00FA3B0B" w:rsidP="00496255">
            <w:pPr>
              <w:widowControl/>
              <w:adjustRightInd w:val="0"/>
              <w:snapToGrid w:val="0"/>
              <w:jc w:val="center"/>
            </w:pPr>
            <w:r w:rsidRPr="002B65F7">
              <w:t>31,5</w:t>
            </w:r>
          </w:p>
        </w:tc>
        <w:tc>
          <w:tcPr>
            <w:tcW w:w="1777" w:type="pct"/>
          </w:tcPr>
          <w:p w14:paraId="36523F96" w14:textId="77777777" w:rsidR="00FA3B0B" w:rsidRPr="002B65F7" w:rsidRDefault="00FA3B0B" w:rsidP="00496255">
            <w:pPr>
              <w:widowControl/>
              <w:adjustRightInd w:val="0"/>
              <w:snapToGrid w:val="0"/>
              <w:jc w:val="center"/>
            </w:pPr>
            <w:r w:rsidRPr="002B65F7">
              <w:t>0,35</w:t>
            </w:r>
          </w:p>
        </w:tc>
      </w:tr>
      <w:tr w:rsidR="00FA3B0B" w:rsidRPr="002B65F7" w14:paraId="4132D1FF" w14:textId="77777777" w:rsidTr="002A1095">
        <w:trPr>
          <w:cantSplit/>
          <w:trHeight w:val="253"/>
        </w:trPr>
        <w:tc>
          <w:tcPr>
            <w:tcW w:w="1781" w:type="pct"/>
          </w:tcPr>
          <w:p w14:paraId="1391FFAB" w14:textId="77777777" w:rsidR="00FA3B0B" w:rsidRPr="002B65F7" w:rsidRDefault="00FA3B0B" w:rsidP="00496255">
            <w:pPr>
              <w:widowControl/>
              <w:adjustRightInd w:val="0"/>
              <w:snapToGrid w:val="0"/>
              <w:jc w:val="center"/>
            </w:pPr>
            <w:r w:rsidRPr="002B65F7">
              <w:t>43</w:t>
            </w:r>
          </w:p>
        </w:tc>
        <w:tc>
          <w:tcPr>
            <w:tcW w:w="1442" w:type="pct"/>
          </w:tcPr>
          <w:p w14:paraId="630A044F" w14:textId="77777777" w:rsidR="00FA3B0B" w:rsidRPr="002B65F7" w:rsidRDefault="00FA3B0B" w:rsidP="00496255">
            <w:pPr>
              <w:widowControl/>
              <w:adjustRightInd w:val="0"/>
              <w:snapToGrid w:val="0"/>
              <w:jc w:val="center"/>
            </w:pPr>
            <w:r w:rsidRPr="002B65F7">
              <w:t>32,3</w:t>
            </w:r>
          </w:p>
        </w:tc>
        <w:tc>
          <w:tcPr>
            <w:tcW w:w="1777" w:type="pct"/>
          </w:tcPr>
          <w:p w14:paraId="12542597" w14:textId="77777777" w:rsidR="00FA3B0B" w:rsidRPr="002B65F7" w:rsidRDefault="00FA3B0B" w:rsidP="00496255">
            <w:pPr>
              <w:widowControl/>
              <w:adjustRightInd w:val="0"/>
              <w:snapToGrid w:val="0"/>
              <w:jc w:val="center"/>
            </w:pPr>
            <w:r w:rsidRPr="002B65F7">
              <w:t>0,36</w:t>
            </w:r>
          </w:p>
        </w:tc>
      </w:tr>
      <w:tr w:rsidR="00FA3B0B" w:rsidRPr="002B65F7" w14:paraId="757AC973" w14:textId="77777777" w:rsidTr="002A1095">
        <w:trPr>
          <w:cantSplit/>
          <w:trHeight w:val="251"/>
        </w:trPr>
        <w:tc>
          <w:tcPr>
            <w:tcW w:w="1781" w:type="pct"/>
          </w:tcPr>
          <w:p w14:paraId="55AEE9B2" w14:textId="77777777" w:rsidR="00FA3B0B" w:rsidRPr="002B65F7" w:rsidRDefault="00FA3B0B" w:rsidP="00496255">
            <w:pPr>
              <w:widowControl/>
              <w:adjustRightInd w:val="0"/>
              <w:snapToGrid w:val="0"/>
              <w:jc w:val="center"/>
            </w:pPr>
            <w:r w:rsidRPr="002B65F7">
              <w:t>44</w:t>
            </w:r>
          </w:p>
        </w:tc>
        <w:tc>
          <w:tcPr>
            <w:tcW w:w="1442" w:type="pct"/>
          </w:tcPr>
          <w:p w14:paraId="32482523" w14:textId="77777777" w:rsidR="00FA3B0B" w:rsidRPr="002B65F7" w:rsidRDefault="00FA3B0B" w:rsidP="00496255">
            <w:pPr>
              <w:widowControl/>
              <w:adjustRightInd w:val="0"/>
              <w:snapToGrid w:val="0"/>
              <w:jc w:val="center"/>
            </w:pPr>
            <w:r w:rsidRPr="002B65F7">
              <w:t>33,0</w:t>
            </w:r>
          </w:p>
        </w:tc>
        <w:tc>
          <w:tcPr>
            <w:tcW w:w="1777" w:type="pct"/>
          </w:tcPr>
          <w:p w14:paraId="14C57088" w14:textId="77777777" w:rsidR="00FA3B0B" w:rsidRPr="002B65F7" w:rsidRDefault="00FA3B0B" w:rsidP="00496255">
            <w:pPr>
              <w:widowControl/>
              <w:adjustRightInd w:val="0"/>
              <w:snapToGrid w:val="0"/>
              <w:jc w:val="center"/>
            </w:pPr>
            <w:r w:rsidRPr="002B65F7">
              <w:t>0,37</w:t>
            </w:r>
          </w:p>
        </w:tc>
      </w:tr>
      <w:tr w:rsidR="00FA3B0B" w:rsidRPr="002B65F7" w14:paraId="2E9FCB9C" w14:textId="77777777" w:rsidTr="002A1095">
        <w:trPr>
          <w:cantSplit/>
          <w:trHeight w:val="253"/>
        </w:trPr>
        <w:tc>
          <w:tcPr>
            <w:tcW w:w="1781" w:type="pct"/>
          </w:tcPr>
          <w:p w14:paraId="028F3BE3" w14:textId="77777777" w:rsidR="00FA3B0B" w:rsidRPr="002B65F7" w:rsidRDefault="00FA3B0B" w:rsidP="00496255">
            <w:pPr>
              <w:widowControl/>
              <w:adjustRightInd w:val="0"/>
              <w:snapToGrid w:val="0"/>
              <w:jc w:val="center"/>
            </w:pPr>
            <w:r w:rsidRPr="002B65F7">
              <w:t>45</w:t>
            </w:r>
          </w:p>
        </w:tc>
        <w:tc>
          <w:tcPr>
            <w:tcW w:w="1442" w:type="pct"/>
          </w:tcPr>
          <w:p w14:paraId="4BF937B9" w14:textId="77777777" w:rsidR="00FA3B0B" w:rsidRPr="002B65F7" w:rsidRDefault="00FA3B0B" w:rsidP="00496255">
            <w:pPr>
              <w:widowControl/>
              <w:adjustRightInd w:val="0"/>
              <w:snapToGrid w:val="0"/>
              <w:jc w:val="center"/>
            </w:pPr>
            <w:r w:rsidRPr="002B65F7">
              <w:t>33,8</w:t>
            </w:r>
          </w:p>
        </w:tc>
        <w:tc>
          <w:tcPr>
            <w:tcW w:w="1777" w:type="pct"/>
          </w:tcPr>
          <w:p w14:paraId="32DBA042" w14:textId="77777777" w:rsidR="00FA3B0B" w:rsidRPr="002B65F7" w:rsidRDefault="00FA3B0B" w:rsidP="00496255">
            <w:pPr>
              <w:widowControl/>
              <w:adjustRightInd w:val="0"/>
              <w:snapToGrid w:val="0"/>
              <w:jc w:val="center"/>
            </w:pPr>
            <w:r w:rsidRPr="002B65F7">
              <w:t>0,37</w:t>
            </w:r>
          </w:p>
        </w:tc>
      </w:tr>
      <w:tr w:rsidR="00FA3B0B" w:rsidRPr="002B65F7" w14:paraId="730B0EA8" w14:textId="77777777" w:rsidTr="002A1095">
        <w:trPr>
          <w:cantSplit/>
          <w:trHeight w:val="251"/>
        </w:trPr>
        <w:tc>
          <w:tcPr>
            <w:tcW w:w="1781" w:type="pct"/>
          </w:tcPr>
          <w:p w14:paraId="4352EC06" w14:textId="77777777" w:rsidR="00FA3B0B" w:rsidRPr="002B65F7" w:rsidRDefault="00FA3B0B" w:rsidP="00496255">
            <w:pPr>
              <w:widowControl/>
              <w:adjustRightInd w:val="0"/>
              <w:snapToGrid w:val="0"/>
              <w:jc w:val="center"/>
            </w:pPr>
            <w:r w:rsidRPr="002B65F7">
              <w:t>46</w:t>
            </w:r>
          </w:p>
        </w:tc>
        <w:tc>
          <w:tcPr>
            <w:tcW w:w="1442" w:type="pct"/>
          </w:tcPr>
          <w:p w14:paraId="5F357F8A" w14:textId="77777777" w:rsidR="00FA3B0B" w:rsidRPr="002B65F7" w:rsidRDefault="00FA3B0B" w:rsidP="00496255">
            <w:pPr>
              <w:widowControl/>
              <w:adjustRightInd w:val="0"/>
              <w:snapToGrid w:val="0"/>
              <w:jc w:val="center"/>
            </w:pPr>
            <w:r w:rsidRPr="002B65F7">
              <w:t>34,5</w:t>
            </w:r>
          </w:p>
        </w:tc>
        <w:tc>
          <w:tcPr>
            <w:tcW w:w="1777" w:type="pct"/>
          </w:tcPr>
          <w:p w14:paraId="226AB769" w14:textId="77777777" w:rsidR="00FA3B0B" w:rsidRPr="002B65F7" w:rsidRDefault="00FA3B0B" w:rsidP="00496255">
            <w:pPr>
              <w:widowControl/>
              <w:adjustRightInd w:val="0"/>
              <w:snapToGrid w:val="0"/>
              <w:jc w:val="center"/>
            </w:pPr>
            <w:r w:rsidRPr="002B65F7">
              <w:t>0,38</w:t>
            </w:r>
          </w:p>
        </w:tc>
      </w:tr>
      <w:tr w:rsidR="00FA3B0B" w:rsidRPr="002B65F7" w14:paraId="5E7EE5E2" w14:textId="77777777" w:rsidTr="002A1095">
        <w:trPr>
          <w:cantSplit/>
          <w:trHeight w:val="253"/>
        </w:trPr>
        <w:tc>
          <w:tcPr>
            <w:tcW w:w="1781" w:type="pct"/>
          </w:tcPr>
          <w:p w14:paraId="0A3E493B" w14:textId="77777777" w:rsidR="00FA3B0B" w:rsidRPr="002B65F7" w:rsidRDefault="00FA3B0B" w:rsidP="00496255">
            <w:pPr>
              <w:widowControl/>
              <w:adjustRightInd w:val="0"/>
              <w:snapToGrid w:val="0"/>
              <w:jc w:val="center"/>
            </w:pPr>
            <w:r w:rsidRPr="002B65F7">
              <w:t>47</w:t>
            </w:r>
          </w:p>
        </w:tc>
        <w:tc>
          <w:tcPr>
            <w:tcW w:w="1442" w:type="pct"/>
          </w:tcPr>
          <w:p w14:paraId="128C1C33" w14:textId="77777777" w:rsidR="00FA3B0B" w:rsidRPr="002B65F7" w:rsidRDefault="00FA3B0B" w:rsidP="00496255">
            <w:pPr>
              <w:widowControl/>
              <w:adjustRightInd w:val="0"/>
              <w:snapToGrid w:val="0"/>
              <w:jc w:val="center"/>
            </w:pPr>
            <w:r w:rsidRPr="002B65F7">
              <w:t>35,3</w:t>
            </w:r>
          </w:p>
        </w:tc>
        <w:tc>
          <w:tcPr>
            <w:tcW w:w="1777" w:type="pct"/>
          </w:tcPr>
          <w:p w14:paraId="24229A1C" w14:textId="77777777" w:rsidR="00FA3B0B" w:rsidRPr="002B65F7" w:rsidRDefault="00FA3B0B" w:rsidP="00496255">
            <w:pPr>
              <w:widowControl/>
              <w:adjustRightInd w:val="0"/>
              <w:snapToGrid w:val="0"/>
              <w:jc w:val="center"/>
            </w:pPr>
            <w:r w:rsidRPr="002B65F7">
              <w:t>0,39</w:t>
            </w:r>
          </w:p>
        </w:tc>
      </w:tr>
      <w:tr w:rsidR="00FA3B0B" w:rsidRPr="002B65F7" w14:paraId="11C5FF55" w14:textId="77777777" w:rsidTr="002A1095">
        <w:trPr>
          <w:cantSplit/>
          <w:trHeight w:val="253"/>
        </w:trPr>
        <w:tc>
          <w:tcPr>
            <w:tcW w:w="1781" w:type="pct"/>
          </w:tcPr>
          <w:p w14:paraId="4545F468" w14:textId="77777777" w:rsidR="00FA3B0B" w:rsidRPr="002B65F7" w:rsidRDefault="00FA3B0B" w:rsidP="00496255">
            <w:pPr>
              <w:widowControl/>
              <w:adjustRightInd w:val="0"/>
              <w:snapToGrid w:val="0"/>
              <w:jc w:val="center"/>
            </w:pPr>
            <w:r w:rsidRPr="002B65F7">
              <w:t>48</w:t>
            </w:r>
          </w:p>
        </w:tc>
        <w:tc>
          <w:tcPr>
            <w:tcW w:w="1442" w:type="pct"/>
          </w:tcPr>
          <w:p w14:paraId="27BE0370" w14:textId="77777777" w:rsidR="00FA3B0B" w:rsidRPr="002B65F7" w:rsidRDefault="00FA3B0B" w:rsidP="00496255">
            <w:pPr>
              <w:widowControl/>
              <w:adjustRightInd w:val="0"/>
              <w:snapToGrid w:val="0"/>
              <w:jc w:val="center"/>
            </w:pPr>
            <w:r w:rsidRPr="002B65F7">
              <w:t>36,0</w:t>
            </w:r>
          </w:p>
        </w:tc>
        <w:tc>
          <w:tcPr>
            <w:tcW w:w="1777" w:type="pct"/>
          </w:tcPr>
          <w:p w14:paraId="3F96A85E" w14:textId="77777777" w:rsidR="00FA3B0B" w:rsidRPr="002B65F7" w:rsidRDefault="00FA3B0B" w:rsidP="00496255">
            <w:pPr>
              <w:widowControl/>
              <w:adjustRightInd w:val="0"/>
              <w:snapToGrid w:val="0"/>
              <w:jc w:val="center"/>
            </w:pPr>
            <w:r w:rsidRPr="002B65F7">
              <w:t>0,40</w:t>
            </w:r>
          </w:p>
        </w:tc>
      </w:tr>
      <w:tr w:rsidR="00FA3B0B" w:rsidRPr="002B65F7" w14:paraId="096FE149" w14:textId="77777777" w:rsidTr="002A1095">
        <w:trPr>
          <w:cantSplit/>
          <w:trHeight w:val="251"/>
        </w:trPr>
        <w:tc>
          <w:tcPr>
            <w:tcW w:w="1781" w:type="pct"/>
          </w:tcPr>
          <w:p w14:paraId="73E129E8" w14:textId="77777777" w:rsidR="00FA3B0B" w:rsidRPr="002B65F7" w:rsidRDefault="00FA3B0B" w:rsidP="00496255">
            <w:pPr>
              <w:widowControl/>
              <w:adjustRightInd w:val="0"/>
              <w:snapToGrid w:val="0"/>
              <w:jc w:val="center"/>
            </w:pPr>
            <w:r w:rsidRPr="002B65F7">
              <w:t>49</w:t>
            </w:r>
          </w:p>
        </w:tc>
        <w:tc>
          <w:tcPr>
            <w:tcW w:w="1442" w:type="pct"/>
          </w:tcPr>
          <w:p w14:paraId="201194CE" w14:textId="77777777" w:rsidR="00FA3B0B" w:rsidRPr="002B65F7" w:rsidRDefault="00FA3B0B" w:rsidP="00496255">
            <w:pPr>
              <w:widowControl/>
              <w:adjustRightInd w:val="0"/>
              <w:snapToGrid w:val="0"/>
              <w:jc w:val="center"/>
            </w:pPr>
            <w:r w:rsidRPr="002B65F7">
              <w:t>36,8</w:t>
            </w:r>
          </w:p>
        </w:tc>
        <w:tc>
          <w:tcPr>
            <w:tcW w:w="1777" w:type="pct"/>
          </w:tcPr>
          <w:p w14:paraId="5D866F7C" w14:textId="77777777" w:rsidR="00FA3B0B" w:rsidRPr="002B65F7" w:rsidRDefault="00FA3B0B" w:rsidP="00496255">
            <w:pPr>
              <w:widowControl/>
              <w:adjustRightInd w:val="0"/>
              <w:snapToGrid w:val="0"/>
              <w:jc w:val="center"/>
            </w:pPr>
            <w:r w:rsidRPr="002B65F7">
              <w:t>0,41</w:t>
            </w:r>
          </w:p>
        </w:tc>
      </w:tr>
      <w:tr w:rsidR="00FA3B0B" w:rsidRPr="002B65F7" w14:paraId="1AB46DA2" w14:textId="77777777" w:rsidTr="002A1095">
        <w:trPr>
          <w:cantSplit/>
          <w:trHeight w:val="254"/>
        </w:trPr>
        <w:tc>
          <w:tcPr>
            <w:tcW w:w="1781" w:type="pct"/>
          </w:tcPr>
          <w:p w14:paraId="24225CF3" w14:textId="77777777" w:rsidR="00FA3B0B" w:rsidRPr="002B65F7" w:rsidRDefault="00FA3B0B" w:rsidP="00496255">
            <w:pPr>
              <w:widowControl/>
              <w:adjustRightInd w:val="0"/>
              <w:snapToGrid w:val="0"/>
              <w:jc w:val="center"/>
            </w:pPr>
            <w:r w:rsidRPr="002B65F7">
              <w:t>50</w:t>
            </w:r>
          </w:p>
        </w:tc>
        <w:tc>
          <w:tcPr>
            <w:tcW w:w="1442" w:type="pct"/>
          </w:tcPr>
          <w:p w14:paraId="5554AF4B" w14:textId="77777777" w:rsidR="00FA3B0B" w:rsidRPr="002B65F7" w:rsidRDefault="00FA3B0B" w:rsidP="00496255">
            <w:pPr>
              <w:widowControl/>
              <w:adjustRightInd w:val="0"/>
              <w:snapToGrid w:val="0"/>
              <w:jc w:val="center"/>
            </w:pPr>
            <w:r w:rsidRPr="002B65F7">
              <w:t>37,5</w:t>
            </w:r>
          </w:p>
        </w:tc>
        <w:tc>
          <w:tcPr>
            <w:tcW w:w="1777" w:type="pct"/>
          </w:tcPr>
          <w:p w14:paraId="2CD5A1FF" w14:textId="77777777" w:rsidR="00FA3B0B" w:rsidRPr="002B65F7" w:rsidRDefault="00FA3B0B" w:rsidP="00496255">
            <w:pPr>
              <w:widowControl/>
              <w:adjustRightInd w:val="0"/>
              <w:snapToGrid w:val="0"/>
              <w:jc w:val="center"/>
            </w:pPr>
            <w:r w:rsidRPr="002B65F7">
              <w:t>0,42</w:t>
            </w:r>
          </w:p>
        </w:tc>
      </w:tr>
      <w:tr w:rsidR="00FA3B0B" w:rsidRPr="002B65F7" w14:paraId="6DE2598C" w14:textId="77777777" w:rsidTr="002A1095">
        <w:trPr>
          <w:cantSplit/>
          <w:trHeight w:val="251"/>
        </w:trPr>
        <w:tc>
          <w:tcPr>
            <w:tcW w:w="1781" w:type="pct"/>
          </w:tcPr>
          <w:p w14:paraId="16DEA9F5" w14:textId="77777777" w:rsidR="00FA3B0B" w:rsidRPr="002B65F7" w:rsidRDefault="00FA3B0B" w:rsidP="00496255">
            <w:pPr>
              <w:widowControl/>
              <w:adjustRightInd w:val="0"/>
              <w:snapToGrid w:val="0"/>
              <w:jc w:val="center"/>
            </w:pPr>
            <w:r w:rsidRPr="002B65F7">
              <w:t>51</w:t>
            </w:r>
          </w:p>
        </w:tc>
        <w:tc>
          <w:tcPr>
            <w:tcW w:w="1442" w:type="pct"/>
          </w:tcPr>
          <w:p w14:paraId="772AE821" w14:textId="77777777" w:rsidR="00FA3B0B" w:rsidRPr="002B65F7" w:rsidRDefault="00FA3B0B" w:rsidP="00496255">
            <w:pPr>
              <w:widowControl/>
              <w:adjustRightInd w:val="0"/>
              <w:snapToGrid w:val="0"/>
              <w:jc w:val="center"/>
            </w:pPr>
            <w:r w:rsidRPr="002B65F7">
              <w:t>38,3</w:t>
            </w:r>
          </w:p>
        </w:tc>
        <w:tc>
          <w:tcPr>
            <w:tcW w:w="1777" w:type="pct"/>
          </w:tcPr>
          <w:p w14:paraId="441828CF" w14:textId="77777777" w:rsidR="00FA3B0B" w:rsidRPr="002B65F7" w:rsidRDefault="00FA3B0B" w:rsidP="00496255">
            <w:pPr>
              <w:widowControl/>
              <w:adjustRightInd w:val="0"/>
              <w:snapToGrid w:val="0"/>
              <w:jc w:val="center"/>
            </w:pPr>
            <w:r w:rsidRPr="002B65F7">
              <w:t>0,42</w:t>
            </w:r>
          </w:p>
        </w:tc>
      </w:tr>
      <w:tr w:rsidR="00FA3B0B" w:rsidRPr="002B65F7" w14:paraId="7754D939" w14:textId="77777777" w:rsidTr="002A1095">
        <w:trPr>
          <w:cantSplit/>
          <w:trHeight w:val="253"/>
        </w:trPr>
        <w:tc>
          <w:tcPr>
            <w:tcW w:w="1781" w:type="pct"/>
          </w:tcPr>
          <w:p w14:paraId="1F925396" w14:textId="77777777" w:rsidR="00FA3B0B" w:rsidRPr="002B65F7" w:rsidRDefault="00FA3B0B" w:rsidP="00496255">
            <w:pPr>
              <w:widowControl/>
              <w:adjustRightInd w:val="0"/>
              <w:snapToGrid w:val="0"/>
              <w:jc w:val="center"/>
            </w:pPr>
            <w:r w:rsidRPr="002B65F7">
              <w:t>52</w:t>
            </w:r>
          </w:p>
        </w:tc>
        <w:tc>
          <w:tcPr>
            <w:tcW w:w="1442" w:type="pct"/>
          </w:tcPr>
          <w:p w14:paraId="4B9D618E" w14:textId="77777777" w:rsidR="00FA3B0B" w:rsidRPr="002B65F7" w:rsidRDefault="00FA3B0B" w:rsidP="00496255">
            <w:pPr>
              <w:widowControl/>
              <w:adjustRightInd w:val="0"/>
              <w:snapToGrid w:val="0"/>
              <w:jc w:val="center"/>
            </w:pPr>
            <w:r w:rsidRPr="002B65F7">
              <w:t>39,0</w:t>
            </w:r>
          </w:p>
        </w:tc>
        <w:tc>
          <w:tcPr>
            <w:tcW w:w="1777" w:type="pct"/>
          </w:tcPr>
          <w:p w14:paraId="6FB46A09" w14:textId="77777777" w:rsidR="00FA3B0B" w:rsidRPr="002B65F7" w:rsidRDefault="00FA3B0B" w:rsidP="00496255">
            <w:pPr>
              <w:widowControl/>
              <w:adjustRightInd w:val="0"/>
              <w:snapToGrid w:val="0"/>
              <w:jc w:val="center"/>
            </w:pPr>
            <w:r w:rsidRPr="002B65F7">
              <w:t>0,43</w:t>
            </w:r>
          </w:p>
        </w:tc>
      </w:tr>
      <w:tr w:rsidR="00FA3B0B" w:rsidRPr="002B65F7" w14:paraId="5F42A881" w14:textId="77777777" w:rsidTr="002A1095">
        <w:trPr>
          <w:cantSplit/>
          <w:trHeight w:val="254"/>
        </w:trPr>
        <w:tc>
          <w:tcPr>
            <w:tcW w:w="1781" w:type="pct"/>
          </w:tcPr>
          <w:p w14:paraId="0D1E4696" w14:textId="77777777" w:rsidR="00FA3B0B" w:rsidRPr="002B65F7" w:rsidRDefault="00FA3B0B" w:rsidP="00496255">
            <w:pPr>
              <w:widowControl/>
              <w:adjustRightInd w:val="0"/>
              <w:snapToGrid w:val="0"/>
              <w:jc w:val="center"/>
            </w:pPr>
            <w:r w:rsidRPr="002B65F7">
              <w:t>53</w:t>
            </w:r>
          </w:p>
        </w:tc>
        <w:tc>
          <w:tcPr>
            <w:tcW w:w="1442" w:type="pct"/>
          </w:tcPr>
          <w:p w14:paraId="5D86AB1A" w14:textId="77777777" w:rsidR="00FA3B0B" w:rsidRPr="002B65F7" w:rsidRDefault="00FA3B0B" w:rsidP="00496255">
            <w:pPr>
              <w:widowControl/>
              <w:adjustRightInd w:val="0"/>
              <w:snapToGrid w:val="0"/>
              <w:jc w:val="center"/>
            </w:pPr>
            <w:r w:rsidRPr="002B65F7">
              <w:t>39,8</w:t>
            </w:r>
          </w:p>
        </w:tc>
        <w:tc>
          <w:tcPr>
            <w:tcW w:w="1777" w:type="pct"/>
          </w:tcPr>
          <w:p w14:paraId="125EF0A5" w14:textId="77777777" w:rsidR="00FA3B0B" w:rsidRPr="002B65F7" w:rsidRDefault="00FA3B0B" w:rsidP="00496255">
            <w:pPr>
              <w:widowControl/>
              <w:adjustRightInd w:val="0"/>
              <w:snapToGrid w:val="0"/>
              <w:jc w:val="center"/>
            </w:pPr>
            <w:r w:rsidRPr="002B65F7">
              <w:t>0,44</w:t>
            </w:r>
          </w:p>
        </w:tc>
      </w:tr>
      <w:tr w:rsidR="00FA3B0B" w:rsidRPr="002B65F7" w14:paraId="72E962A9" w14:textId="77777777" w:rsidTr="002A1095">
        <w:trPr>
          <w:cantSplit/>
          <w:trHeight w:val="254"/>
        </w:trPr>
        <w:tc>
          <w:tcPr>
            <w:tcW w:w="1781" w:type="pct"/>
          </w:tcPr>
          <w:p w14:paraId="1B475068" w14:textId="77777777" w:rsidR="00FA3B0B" w:rsidRPr="002B65F7" w:rsidRDefault="00FA3B0B" w:rsidP="00496255">
            <w:pPr>
              <w:widowControl/>
              <w:adjustRightInd w:val="0"/>
              <w:snapToGrid w:val="0"/>
              <w:jc w:val="center"/>
            </w:pPr>
            <w:r w:rsidRPr="002B65F7">
              <w:t>54</w:t>
            </w:r>
          </w:p>
        </w:tc>
        <w:tc>
          <w:tcPr>
            <w:tcW w:w="1442" w:type="pct"/>
          </w:tcPr>
          <w:p w14:paraId="19E45CB5" w14:textId="77777777" w:rsidR="00FA3B0B" w:rsidRPr="002B65F7" w:rsidRDefault="00FA3B0B" w:rsidP="00496255">
            <w:pPr>
              <w:widowControl/>
              <w:adjustRightInd w:val="0"/>
              <w:snapToGrid w:val="0"/>
              <w:jc w:val="center"/>
            </w:pPr>
            <w:r w:rsidRPr="002B65F7">
              <w:t>40,5</w:t>
            </w:r>
          </w:p>
        </w:tc>
        <w:tc>
          <w:tcPr>
            <w:tcW w:w="1777" w:type="pct"/>
          </w:tcPr>
          <w:p w14:paraId="68C544B2" w14:textId="77777777" w:rsidR="00FA3B0B" w:rsidRPr="002B65F7" w:rsidRDefault="00FA3B0B" w:rsidP="00496255">
            <w:pPr>
              <w:widowControl/>
              <w:adjustRightInd w:val="0"/>
              <w:snapToGrid w:val="0"/>
              <w:jc w:val="center"/>
            </w:pPr>
            <w:r w:rsidRPr="002B65F7">
              <w:t>0,45</w:t>
            </w:r>
          </w:p>
        </w:tc>
      </w:tr>
      <w:tr w:rsidR="00FA3B0B" w:rsidRPr="002B65F7" w14:paraId="2D399A73" w14:textId="77777777" w:rsidTr="002A1095">
        <w:trPr>
          <w:cantSplit/>
          <w:trHeight w:val="254"/>
        </w:trPr>
        <w:tc>
          <w:tcPr>
            <w:tcW w:w="1781" w:type="pct"/>
          </w:tcPr>
          <w:p w14:paraId="7E7AF337" w14:textId="77777777" w:rsidR="00FA3B0B" w:rsidRPr="002B65F7" w:rsidRDefault="00FA3B0B" w:rsidP="00496255">
            <w:pPr>
              <w:widowControl/>
              <w:adjustRightInd w:val="0"/>
              <w:snapToGrid w:val="0"/>
              <w:jc w:val="center"/>
            </w:pPr>
            <w:r w:rsidRPr="002B65F7">
              <w:t>55</w:t>
            </w:r>
          </w:p>
        </w:tc>
        <w:tc>
          <w:tcPr>
            <w:tcW w:w="1442" w:type="pct"/>
          </w:tcPr>
          <w:p w14:paraId="4DD16EB4" w14:textId="77777777" w:rsidR="00FA3B0B" w:rsidRPr="002B65F7" w:rsidRDefault="00FA3B0B" w:rsidP="00496255">
            <w:pPr>
              <w:widowControl/>
              <w:adjustRightInd w:val="0"/>
              <w:snapToGrid w:val="0"/>
              <w:jc w:val="center"/>
            </w:pPr>
            <w:r w:rsidRPr="002B65F7">
              <w:t>41,3</w:t>
            </w:r>
          </w:p>
        </w:tc>
        <w:tc>
          <w:tcPr>
            <w:tcW w:w="1777" w:type="pct"/>
          </w:tcPr>
          <w:p w14:paraId="7690D49E" w14:textId="77777777" w:rsidR="00FA3B0B" w:rsidRPr="002B65F7" w:rsidRDefault="00FA3B0B" w:rsidP="00496255">
            <w:pPr>
              <w:widowControl/>
              <w:adjustRightInd w:val="0"/>
              <w:snapToGrid w:val="0"/>
              <w:jc w:val="center"/>
            </w:pPr>
            <w:r w:rsidRPr="002B65F7">
              <w:t>0,46</w:t>
            </w:r>
          </w:p>
        </w:tc>
      </w:tr>
      <w:tr w:rsidR="00FA3B0B" w:rsidRPr="002B65F7" w14:paraId="3997EED0" w14:textId="77777777" w:rsidTr="002A1095">
        <w:trPr>
          <w:cantSplit/>
          <w:trHeight w:val="254"/>
        </w:trPr>
        <w:tc>
          <w:tcPr>
            <w:tcW w:w="1781" w:type="pct"/>
          </w:tcPr>
          <w:p w14:paraId="15E6FABB" w14:textId="77777777" w:rsidR="00FA3B0B" w:rsidRPr="002B65F7" w:rsidRDefault="00FA3B0B" w:rsidP="00496255">
            <w:pPr>
              <w:widowControl/>
              <w:adjustRightInd w:val="0"/>
              <w:snapToGrid w:val="0"/>
              <w:jc w:val="center"/>
            </w:pPr>
            <w:r w:rsidRPr="002B65F7">
              <w:t>56</w:t>
            </w:r>
          </w:p>
        </w:tc>
        <w:tc>
          <w:tcPr>
            <w:tcW w:w="1442" w:type="pct"/>
          </w:tcPr>
          <w:p w14:paraId="592DA050" w14:textId="77777777" w:rsidR="00FA3B0B" w:rsidRPr="002B65F7" w:rsidRDefault="00FA3B0B" w:rsidP="00496255">
            <w:pPr>
              <w:widowControl/>
              <w:adjustRightInd w:val="0"/>
              <w:snapToGrid w:val="0"/>
              <w:jc w:val="center"/>
            </w:pPr>
            <w:r w:rsidRPr="002B65F7">
              <w:t>42,0</w:t>
            </w:r>
          </w:p>
        </w:tc>
        <w:tc>
          <w:tcPr>
            <w:tcW w:w="1777" w:type="pct"/>
          </w:tcPr>
          <w:p w14:paraId="466C08BC" w14:textId="77777777" w:rsidR="00FA3B0B" w:rsidRPr="002B65F7" w:rsidRDefault="00FA3B0B" w:rsidP="00496255">
            <w:pPr>
              <w:widowControl/>
              <w:adjustRightInd w:val="0"/>
              <w:snapToGrid w:val="0"/>
              <w:jc w:val="center"/>
            </w:pPr>
            <w:r w:rsidRPr="002B65F7">
              <w:t>0,46</w:t>
            </w:r>
          </w:p>
        </w:tc>
      </w:tr>
      <w:tr w:rsidR="00FA3B0B" w:rsidRPr="002B65F7" w14:paraId="1FB560AC" w14:textId="77777777" w:rsidTr="002A1095">
        <w:trPr>
          <w:cantSplit/>
          <w:trHeight w:val="254"/>
        </w:trPr>
        <w:tc>
          <w:tcPr>
            <w:tcW w:w="1781" w:type="pct"/>
          </w:tcPr>
          <w:p w14:paraId="14B1653A" w14:textId="77777777" w:rsidR="00FA3B0B" w:rsidRPr="002B65F7" w:rsidRDefault="00FA3B0B" w:rsidP="00496255">
            <w:pPr>
              <w:widowControl/>
              <w:adjustRightInd w:val="0"/>
              <w:snapToGrid w:val="0"/>
              <w:jc w:val="center"/>
            </w:pPr>
            <w:r w:rsidRPr="002B65F7">
              <w:t>57</w:t>
            </w:r>
          </w:p>
        </w:tc>
        <w:tc>
          <w:tcPr>
            <w:tcW w:w="1442" w:type="pct"/>
          </w:tcPr>
          <w:p w14:paraId="7485165E" w14:textId="77777777" w:rsidR="00FA3B0B" w:rsidRPr="002B65F7" w:rsidRDefault="00FA3B0B" w:rsidP="00496255">
            <w:pPr>
              <w:widowControl/>
              <w:adjustRightInd w:val="0"/>
              <w:snapToGrid w:val="0"/>
              <w:jc w:val="center"/>
            </w:pPr>
            <w:r w:rsidRPr="002B65F7">
              <w:t>42,8</w:t>
            </w:r>
          </w:p>
        </w:tc>
        <w:tc>
          <w:tcPr>
            <w:tcW w:w="1777" w:type="pct"/>
          </w:tcPr>
          <w:p w14:paraId="30B80C1C" w14:textId="77777777" w:rsidR="00FA3B0B" w:rsidRPr="002B65F7" w:rsidRDefault="00FA3B0B" w:rsidP="00496255">
            <w:pPr>
              <w:widowControl/>
              <w:adjustRightInd w:val="0"/>
              <w:snapToGrid w:val="0"/>
              <w:jc w:val="center"/>
            </w:pPr>
            <w:r w:rsidRPr="002B65F7">
              <w:t>0,47</w:t>
            </w:r>
          </w:p>
        </w:tc>
      </w:tr>
      <w:tr w:rsidR="00FA3B0B" w:rsidRPr="002B65F7" w14:paraId="4094FBFC" w14:textId="77777777" w:rsidTr="002A1095">
        <w:trPr>
          <w:cantSplit/>
          <w:trHeight w:val="254"/>
        </w:trPr>
        <w:tc>
          <w:tcPr>
            <w:tcW w:w="1781" w:type="pct"/>
          </w:tcPr>
          <w:p w14:paraId="0C4A5970" w14:textId="77777777" w:rsidR="00FA3B0B" w:rsidRPr="002B65F7" w:rsidRDefault="00FA3B0B" w:rsidP="00496255">
            <w:pPr>
              <w:widowControl/>
              <w:adjustRightInd w:val="0"/>
              <w:snapToGrid w:val="0"/>
              <w:jc w:val="center"/>
            </w:pPr>
            <w:r w:rsidRPr="002B65F7">
              <w:t>58</w:t>
            </w:r>
          </w:p>
        </w:tc>
        <w:tc>
          <w:tcPr>
            <w:tcW w:w="1442" w:type="pct"/>
          </w:tcPr>
          <w:p w14:paraId="1B55E4F2" w14:textId="77777777" w:rsidR="00FA3B0B" w:rsidRPr="002B65F7" w:rsidRDefault="00FA3B0B" w:rsidP="00496255">
            <w:pPr>
              <w:widowControl/>
              <w:adjustRightInd w:val="0"/>
              <w:snapToGrid w:val="0"/>
              <w:jc w:val="center"/>
            </w:pPr>
            <w:r w:rsidRPr="002B65F7">
              <w:t>43,5</w:t>
            </w:r>
          </w:p>
        </w:tc>
        <w:tc>
          <w:tcPr>
            <w:tcW w:w="1777" w:type="pct"/>
          </w:tcPr>
          <w:p w14:paraId="493CE7CA" w14:textId="77777777" w:rsidR="00FA3B0B" w:rsidRPr="002B65F7" w:rsidRDefault="00FA3B0B" w:rsidP="00496255">
            <w:pPr>
              <w:widowControl/>
              <w:adjustRightInd w:val="0"/>
              <w:snapToGrid w:val="0"/>
              <w:jc w:val="center"/>
            </w:pPr>
            <w:r w:rsidRPr="002B65F7">
              <w:t>0,48</w:t>
            </w:r>
          </w:p>
        </w:tc>
      </w:tr>
      <w:tr w:rsidR="00FA3B0B" w:rsidRPr="002B65F7" w14:paraId="215EBE47" w14:textId="77777777" w:rsidTr="002A1095">
        <w:trPr>
          <w:cantSplit/>
          <w:trHeight w:val="254"/>
        </w:trPr>
        <w:tc>
          <w:tcPr>
            <w:tcW w:w="1781" w:type="pct"/>
          </w:tcPr>
          <w:p w14:paraId="2E93D6F4" w14:textId="77777777" w:rsidR="00FA3B0B" w:rsidRPr="002B65F7" w:rsidRDefault="00FA3B0B" w:rsidP="00496255">
            <w:pPr>
              <w:widowControl/>
              <w:adjustRightInd w:val="0"/>
              <w:snapToGrid w:val="0"/>
              <w:jc w:val="center"/>
            </w:pPr>
            <w:r w:rsidRPr="002B65F7">
              <w:t>59</w:t>
            </w:r>
          </w:p>
        </w:tc>
        <w:tc>
          <w:tcPr>
            <w:tcW w:w="1442" w:type="pct"/>
          </w:tcPr>
          <w:p w14:paraId="78AA1166" w14:textId="77777777" w:rsidR="00FA3B0B" w:rsidRPr="002B65F7" w:rsidRDefault="00FA3B0B" w:rsidP="00496255">
            <w:pPr>
              <w:widowControl/>
              <w:adjustRightInd w:val="0"/>
              <w:snapToGrid w:val="0"/>
              <w:jc w:val="center"/>
            </w:pPr>
            <w:r w:rsidRPr="002B65F7">
              <w:t>44,3</w:t>
            </w:r>
          </w:p>
        </w:tc>
        <w:tc>
          <w:tcPr>
            <w:tcW w:w="1777" w:type="pct"/>
          </w:tcPr>
          <w:p w14:paraId="2F6A7030" w14:textId="77777777" w:rsidR="00FA3B0B" w:rsidRPr="002B65F7" w:rsidRDefault="00FA3B0B" w:rsidP="00496255">
            <w:pPr>
              <w:widowControl/>
              <w:adjustRightInd w:val="0"/>
              <w:snapToGrid w:val="0"/>
              <w:jc w:val="center"/>
            </w:pPr>
            <w:r w:rsidRPr="002B65F7">
              <w:t>0,49</w:t>
            </w:r>
          </w:p>
        </w:tc>
      </w:tr>
    </w:tbl>
    <w:p w14:paraId="5C461278" w14:textId="77777777" w:rsidR="00092F83" w:rsidRPr="002B65F7" w:rsidRDefault="00092F83" w:rsidP="006C17DD">
      <w:pPr>
        <w:widowControl/>
      </w:pPr>
    </w:p>
    <w:p w14:paraId="03B5805C" w14:textId="0C706A9F" w:rsidR="00092F83" w:rsidRPr="002B65F7" w:rsidRDefault="00C31740" w:rsidP="00496255">
      <w:pPr>
        <w:widowControl/>
      </w:pPr>
      <w:r w:rsidRPr="002B65F7">
        <w:t>L’arrêt du traitement doit être envisagé chez les patients ne présentant pas de réponse après 28</w:t>
      </w:r>
      <w:r w:rsidR="00D12C3C" w:rsidRPr="002B65F7">
        <w:t> </w:t>
      </w:r>
      <w:r w:rsidRPr="002B65F7">
        <w:t>semaines de traitement.</w:t>
      </w:r>
    </w:p>
    <w:p w14:paraId="7C56CA59" w14:textId="77777777" w:rsidR="006A0DC1" w:rsidRDefault="006A0DC1" w:rsidP="006A0DC1">
      <w:pPr>
        <w:keepNext/>
        <w:rPr>
          <w:noProof/>
          <w:u w:val="single"/>
          <w:lang w:eastAsia="nl-BE"/>
        </w:rPr>
      </w:pPr>
    </w:p>
    <w:p w14:paraId="7E452024" w14:textId="034EAD30" w:rsidR="006A0DC1" w:rsidRDefault="006A0DC1" w:rsidP="006A0DC1">
      <w:pPr>
        <w:keepNext/>
        <w:rPr>
          <w:noProof/>
          <w:u w:val="single"/>
          <w:lang w:val="fr-BE" w:eastAsia="nl-BE"/>
        </w:rPr>
      </w:pPr>
      <w:r>
        <w:rPr>
          <w:noProof/>
          <w:u w:val="single"/>
          <w:lang w:eastAsia="nl-BE"/>
        </w:rPr>
        <w:t>Adultes</w:t>
      </w:r>
    </w:p>
    <w:p w14:paraId="03B5805D" w14:textId="77777777" w:rsidR="00092F83" w:rsidRPr="002B65F7" w:rsidRDefault="00092F83" w:rsidP="00496255">
      <w:pPr>
        <w:widowControl/>
      </w:pPr>
    </w:p>
    <w:p w14:paraId="03B5805E" w14:textId="50545812" w:rsidR="00092F83" w:rsidRPr="002B65F7" w:rsidRDefault="00C31740" w:rsidP="00496255">
      <w:pPr>
        <w:keepNext/>
        <w:widowControl/>
        <w:rPr>
          <w:i/>
          <w:iCs/>
        </w:rPr>
      </w:pPr>
      <w:r w:rsidRPr="002B65F7">
        <w:rPr>
          <w:i/>
          <w:iCs/>
        </w:rPr>
        <w:t>Maladie de Crohn</w:t>
      </w:r>
    </w:p>
    <w:p w14:paraId="1ED34942" w14:textId="77777777" w:rsidR="001E244B" w:rsidRPr="002B65F7" w:rsidRDefault="001E244B" w:rsidP="00496255">
      <w:pPr>
        <w:keepNext/>
        <w:widowControl/>
        <w:rPr>
          <w:u w:val="single"/>
        </w:rPr>
      </w:pPr>
    </w:p>
    <w:p w14:paraId="03B5805F" w14:textId="51E24029" w:rsidR="00092F83" w:rsidRPr="002B65F7" w:rsidRDefault="00C31740" w:rsidP="00496255">
      <w:pPr>
        <w:widowControl/>
      </w:pPr>
      <w:r w:rsidRPr="002B65F7">
        <w:t xml:space="preserve">Selon le schéma thérapeutique, la première dose de </w:t>
      </w:r>
      <w:r w:rsidR="00694420" w:rsidRPr="002B65F7">
        <w:t>WEZENLA</w:t>
      </w:r>
      <w:r w:rsidRPr="002B65F7">
        <w:t xml:space="preserve"> est administrée par voie intraveineuse. Pour la posologie du traitement par voie intraveineuse, voir la rubrique</w:t>
      </w:r>
      <w:r w:rsidR="009857ED" w:rsidRPr="002B65F7">
        <w:t> </w:t>
      </w:r>
      <w:r w:rsidRPr="002B65F7">
        <w:t xml:space="preserve">4.2 du RCP de </w:t>
      </w:r>
      <w:r w:rsidR="00694420" w:rsidRPr="002B65F7">
        <w:t>WEZENLA</w:t>
      </w:r>
      <w:r w:rsidRPr="002B65F7">
        <w:t xml:space="preserve"> 130</w:t>
      </w:r>
      <w:r w:rsidR="00594ACA" w:rsidRPr="002B65F7">
        <w:t> </w:t>
      </w:r>
      <w:r w:rsidRPr="002B65F7">
        <w:t xml:space="preserve">mg </w:t>
      </w:r>
      <w:r w:rsidR="00D42A62" w:rsidRPr="002B65F7">
        <w:t>s</w:t>
      </w:r>
      <w:r w:rsidRPr="002B65F7">
        <w:t>olution à diluer pour perfusion.</w:t>
      </w:r>
    </w:p>
    <w:p w14:paraId="03B58060" w14:textId="77777777" w:rsidR="00092F83" w:rsidRPr="002B65F7" w:rsidRDefault="00092F83" w:rsidP="00496255">
      <w:pPr>
        <w:widowControl/>
      </w:pPr>
    </w:p>
    <w:p w14:paraId="03B58061" w14:textId="5867EFCB" w:rsidR="00092F83" w:rsidRPr="002B65F7" w:rsidRDefault="00C31740" w:rsidP="00496255">
      <w:pPr>
        <w:widowControl/>
      </w:pPr>
      <w:r w:rsidRPr="002B65F7">
        <w:t xml:space="preserve">La première administration par voie sous-cutanée de </w:t>
      </w:r>
      <w:r w:rsidR="00694420" w:rsidRPr="002B65F7">
        <w:t>WEZENLA</w:t>
      </w:r>
      <w:r w:rsidRPr="002B65F7">
        <w:t xml:space="preserve"> 90</w:t>
      </w:r>
      <w:r w:rsidR="00594ACA" w:rsidRPr="002B65F7">
        <w:t> </w:t>
      </w:r>
      <w:r w:rsidRPr="002B65F7">
        <w:t>mg doit être réalisée à la semaine</w:t>
      </w:r>
      <w:r w:rsidR="00D12C3C" w:rsidRPr="002B65F7">
        <w:t> </w:t>
      </w:r>
      <w:r w:rsidRPr="002B65F7">
        <w:t>8 après la dose par voie intraveineuse. Après cela, une administration toutes les 12</w:t>
      </w:r>
      <w:r w:rsidR="00594ACA" w:rsidRPr="002B65F7">
        <w:t> </w:t>
      </w:r>
      <w:r w:rsidRPr="002B65F7">
        <w:t>semaines est recommandée.</w:t>
      </w:r>
    </w:p>
    <w:p w14:paraId="4728BA49" w14:textId="77777777" w:rsidR="00594ACA" w:rsidRPr="002B65F7" w:rsidRDefault="00594ACA" w:rsidP="00496255">
      <w:pPr>
        <w:widowControl/>
      </w:pPr>
    </w:p>
    <w:p w14:paraId="03B58062" w14:textId="56776D9E" w:rsidR="00092F83" w:rsidRPr="002B65F7" w:rsidRDefault="00C31740" w:rsidP="00496255">
      <w:pPr>
        <w:widowControl/>
      </w:pPr>
      <w:r w:rsidRPr="002B65F7">
        <w:lastRenderedPageBreak/>
        <w:t>A la semaine</w:t>
      </w:r>
      <w:r w:rsidR="00594ACA" w:rsidRPr="002B65F7">
        <w:t> </w:t>
      </w:r>
      <w:r w:rsidRPr="002B65F7">
        <w:t>8 après la première administration par voie sous-cutanée, les patients qui présentent une réponse insuffisante peuvent recevoir une seconde administration par voie sous-cutanée (voir rubrique</w:t>
      </w:r>
      <w:r w:rsidR="00594ACA" w:rsidRPr="002B65F7">
        <w:t> </w:t>
      </w:r>
      <w:r w:rsidRPr="002B65F7">
        <w:t>5.1).</w:t>
      </w:r>
    </w:p>
    <w:p w14:paraId="03B58063" w14:textId="77777777" w:rsidR="00092F83" w:rsidRPr="002B65F7" w:rsidRDefault="00092F83" w:rsidP="00E82841">
      <w:pPr>
        <w:keepNext/>
        <w:widowControl/>
      </w:pPr>
    </w:p>
    <w:p w14:paraId="03B58064" w14:textId="5D7FF4A5" w:rsidR="00092F83" w:rsidRPr="002B65F7" w:rsidRDefault="00C31740" w:rsidP="00496255">
      <w:pPr>
        <w:widowControl/>
      </w:pPr>
      <w:r w:rsidRPr="002B65F7">
        <w:t>Les patients recevant une administration toutes les 12</w:t>
      </w:r>
      <w:r w:rsidR="009857ED" w:rsidRPr="002B65F7">
        <w:t> </w:t>
      </w:r>
      <w:r w:rsidRPr="002B65F7">
        <w:t>semaines et qui présentent un échappement après une réponse initiale peuvent bénéficier d’une augmentation de la fréquence d’administration à toutes les 8</w:t>
      </w:r>
      <w:r w:rsidR="009F6118" w:rsidRPr="002B65F7">
        <w:t> </w:t>
      </w:r>
      <w:r w:rsidRPr="002B65F7">
        <w:t>semaines (voir rubrique</w:t>
      </w:r>
      <w:r w:rsidR="00694420" w:rsidRPr="002B65F7">
        <w:t>s</w:t>
      </w:r>
      <w:r w:rsidR="009857ED" w:rsidRPr="002B65F7">
        <w:t> </w:t>
      </w:r>
      <w:r w:rsidRPr="002B65F7">
        <w:t>5.1 et 5.2).</w:t>
      </w:r>
    </w:p>
    <w:p w14:paraId="03B58065" w14:textId="77777777" w:rsidR="00092F83" w:rsidRPr="002B65F7" w:rsidRDefault="00092F83" w:rsidP="00496255">
      <w:pPr>
        <w:widowControl/>
      </w:pPr>
    </w:p>
    <w:p w14:paraId="03B58066" w14:textId="6A96B6F3" w:rsidR="00092F83" w:rsidRPr="002B65F7" w:rsidRDefault="00C31740" w:rsidP="00496255">
      <w:pPr>
        <w:widowControl/>
      </w:pPr>
      <w:r w:rsidRPr="002B65F7">
        <w:t>Les patients peuvent ensuite avoir une administration toutes les 8</w:t>
      </w:r>
      <w:r w:rsidR="00D12C3C" w:rsidRPr="002B65F7">
        <w:t> </w:t>
      </w:r>
      <w:r w:rsidRPr="002B65F7">
        <w:t>semaines ou toutes les 12</w:t>
      </w:r>
      <w:r w:rsidR="00D12C3C" w:rsidRPr="002B65F7">
        <w:t> </w:t>
      </w:r>
      <w:r w:rsidRPr="002B65F7">
        <w:t>semaines selon le jugement clinique (voir rubrique</w:t>
      </w:r>
      <w:r w:rsidR="009F6118" w:rsidRPr="002B65F7">
        <w:t> </w:t>
      </w:r>
      <w:r w:rsidRPr="002B65F7">
        <w:t>5.1).</w:t>
      </w:r>
    </w:p>
    <w:p w14:paraId="03B58067" w14:textId="77777777" w:rsidR="00092F83" w:rsidRPr="002B65F7" w:rsidRDefault="00092F83" w:rsidP="00496255">
      <w:pPr>
        <w:widowControl/>
      </w:pPr>
    </w:p>
    <w:p w14:paraId="03B58068" w14:textId="2870EB03" w:rsidR="00092F83" w:rsidRPr="002B65F7" w:rsidRDefault="00C31740" w:rsidP="00496255">
      <w:pPr>
        <w:widowControl/>
      </w:pPr>
      <w:r w:rsidRPr="002B65F7">
        <w:t>Il y a lieu d’envisager l’arrêt du traitement chez les patients ne montrant aucun signe de bénéfice thérapeutique 16</w:t>
      </w:r>
      <w:r w:rsidR="009F6118" w:rsidRPr="002B65F7">
        <w:t> </w:t>
      </w:r>
      <w:r w:rsidRPr="002B65F7">
        <w:t>semaines après la dose d’induction IV ou 16</w:t>
      </w:r>
      <w:r w:rsidR="009F6118" w:rsidRPr="002B65F7">
        <w:t> </w:t>
      </w:r>
      <w:r w:rsidRPr="002B65F7">
        <w:t>semaines après passage à l’administration d’une dose d’entretien toutes les 8</w:t>
      </w:r>
      <w:r w:rsidR="009F6118" w:rsidRPr="002B65F7">
        <w:t> </w:t>
      </w:r>
      <w:r w:rsidRPr="002B65F7">
        <w:t>semaines.</w:t>
      </w:r>
    </w:p>
    <w:p w14:paraId="03B58069" w14:textId="77777777" w:rsidR="00092F83" w:rsidRPr="002B65F7" w:rsidRDefault="00092F83" w:rsidP="00496255">
      <w:pPr>
        <w:widowControl/>
      </w:pPr>
    </w:p>
    <w:p w14:paraId="03B5806A" w14:textId="0252C240" w:rsidR="00092F83" w:rsidRPr="002B65F7" w:rsidRDefault="00C31740" w:rsidP="00496255">
      <w:pPr>
        <w:widowControl/>
      </w:pPr>
      <w:r w:rsidRPr="002B65F7">
        <w:t xml:space="preserve">Des immunomodulateurs et/ou des corticoïdes peuvent être poursuivis pendant le traitement par </w:t>
      </w:r>
      <w:r w:rsidR="0071390F" w:rsidRPr="002B65F7">
        <w:rPr>
          <w:spacing w:val="-1"/>
        </w:rPr>
        <w:t>ustekinumab</w:t>
      </w:r>
      <w:r w:rsidRPr="002B65F7">
        <w:t xml:space="preserve">. Chez les patients qui ont répondu au traitement par </w:t>
      </w:r>
      <w:r w:rsidR="0071390F" w:rsidRPr="002B65F7">
        <w:rPr>
          <w:spacing w:val="-1"/>
        </w:rPr>
        <w:t>ustekinumab</w:t>
      </w:r>
      <w:r w:rsidRPr="002B65F7">
        <w:t>, les corticoïdes peuvent être diminués ou arrêtés conformément aux pratiques cliniques.</w:t>
      </w:r>
    </w:p>
    <w:p w14:paraId="03B5806B" w14:textId="2F894160" w:rsidR="00092F83" w:rsidRPr="002B65F7" w:rsidRDefault="00C31740" w:rsidP="00496255">
      <w:pPr>
        <w:widowControl/>
      </w:pPr>
      <w:r w:rsidRPr="002B65F7">
        <w:t>Dans la maladie de Crohn, si le traitement est interrompu, la reprise du traitement par administration par voie sous-cutanée toutes les 8</w:t>
      </w:r>
      <w:r w:rsidR="00D12C3C" w:rsidRPr="002B65F7">
        <w:t> </w:t>
      </w:r>
      <w:r w:rsidRPr="002B65F7">
        <w:t>semaines est sûre et efficace.</w:t>
      </w:r>
    </w:p>
    <w:p w14:paraId="03B5806C" w14:textId="77777777" w:rsidR="00092F83" w:rsidRPr="002B65F7" w:rsidRDefault="00092F83" w:rsidP="00496255">
      <w:pPr>
        <w:widowControl/>
      </w:pPr>
    </w:p>
    <w:p w14:paraId="03B5806D" w14:textId="77A00C30" w:rsidR="00092F83" w:rsidRPr="002B65F7" w:rsidRDefault="00C31740" w:rsidP="00496255">
      <w:pPr>
        <w:keepNext/>
        <w:widowControl/>
        <w:rPr>
          <w:i/>
          <w:iCs/>
        </w:rPr>
      </w:pPr>
      <w:r w:rsidRPr="002B65F7">
        <w:rPr>
          <w:i/>
          <w:iCs/>
        </w:rPr>
        <w:t>Sujets âgés (≥</w:t>
      </w:r>
      <w:r w:rsidR="00BE2C93" w:rsidRPr="002B65F7">
        <w:rPr>
          <w:i/>
          <w:iCs/>
        </w:rPr>
        <w:t> </w:t>
      </w:r>
      <w:r w:rsidRPr="002B65F7">
        <w:rPr>
          <w:i/>
          <w:iCs/>
        </w:rPr>
        <w:t>65</w:t>
      </w:r>
      <w:r w:rsidR="00BE2C93" w:rsidRPr="002B65F7">
        <w:rPr>
          <w:i/>
          <w:iCs/>
        </w:rPr>
        <w:t> </w:t>
      </w:r>
      <w:r w:rsidRPr="002B65F7">
        <w:rPr>
          <w:i/>
          <w:iCs/>
        </w:rPr>
        <w:t>ans)</w:t>
      </w:r>
    </w:p>
    <w:p w14:paraId="79102C4A" w14:textId="77777777" w:rsidR="00BE2C93" w:rsidRPr="002B65F7" w:rsidRDefault="00BE2C93" w:rsidP="00496255">
      <w:pPr>
        <w:keepNext/>
        <w:widowControl/>
        <w:rPr>
          <w:i/>
          <w:iCs/>
        </w:rPr>
      </w:pPr>
    </w:p>
    <w:p w14:paraId="03B5806E" w14:textId="214D6F87" w:rsidR="00092F83" w:rsidRPr="002B65F7" w:rsidRDefault="00C31740" w:rsidP="00496255">
      <w:pPr>
        <w:widowControl/>
      </w:pPr>
      <w:r w:rsidRPr="002B65F7">
        <w:t>Aucun ajustement posologique n’est nécessaire chez le sujet âgé (voir rubrique</w:t>
      </w:r>
      <w:r w:rsidR="00BE2C93" w:rsidRPr="002B65F7">
        <w:t> </w:t>
      </w:r>
      <w:r w:rsidRPr="002B65F7">
        <w:t>4.4).</w:t>
      </w:r>
    </w:p>
    <w:p w14:paraId="03B5806F" w14:textId="77777777" w:rsidR="00092F83" w:rsidRPr="002B65F7" w:rsidRDefault="00092F83" w:rsidP="00496255">
      <w:pPr>
        <w:widowControl/>
      </w:pPr>
    </w:p>
    <w:p w14:paraId="03B58070" w14:textId="77777777" w:rsidR="00092F83" w:rsidRPr="002B65F7" w:rsidRDefault="00C31740" w:rsidP="00496255">
      <w:pPr>
        <w:keepNext/>
        <w:widowControl/>
        <w:rPr>
          <w:i/>
          <w:iCs/>
        </w:rPr>
      </w:pPr>
      <w:r w:rsidRPr="002B65F7">
        <w:rPr>
          <w:i/>
          <w:iCs/>
        </w:rPr>
        <w:t>Insuffisance rénale et hépatique</w:t>
      </w:r>
    </w:p>
    <w:p w14:paraId="49C7E218" w14:textId="77777777" w:rsidR="00DD2833" w:rsidRPr="002B65F7" w:rsidRDefault="00DD2833" w:rsidP="00496255">
      <w:pPr>
        <w:keepNext/>
        <w:widowControl/>
        <w:rPr>
          <w:i/>
          <w:iCs/>
        </w:rPr>
      </w:pPr>
    </w:p>
    <w:p w14:paraId="03B58071" w14:textId="73A51691" w:rsidR="00092F83" w:rsidRPr="002B65F7" w:rsidRDefault="00694420" w:rsidP="00496255">
      <w:pPr>
        <w:widowControl/>
      </w:pPr>
      <w:r w:rsidRPr="002B65F7">
        <w:t>L’</w:t>
      </w:r>
      <w:r w:rsidR="0071390F" w:rsidRPr="002B65F7">
        <w:rPr>
          <w:spacing w:val="-1"/>
        </w:rPr>
        <w:t>ustekinumab</w:t>
      </w:r>
      <w:r w:rsidR="00C31740" w:rsidRPr="002B65F7">
        <w:t xml:space="preserve"> n’a pas été étudié dans ces populations de patients. Aucune recommandation de dose ne peut être émise.</w:t>
      </w:r>
    </w:p>
    <w:p w14:paraId="3DAE4029" w14:textId="77777777" w:rsidR="00DD2833" w:rsidRPr="002B65F7" w:rsidRDefault="00DD2833" w:rsidP="00496255">
      <w:pPr>
        <w:widowControl/>
      </w:pPr>
    </w:p>
    <w:p w14:paraId="03B58072" w14:textId="7DDDB679" w:rsidR="00092F83" w:rsidRPr="002B65F7" w:rsidRDefault="00C31740" w:rsidP="00496255">
      <w:pPr>
        <w:keepNext/>
        <w:widowControl/>
        <w:rPr>
          <w:i/>
          <w:iCs/>
        </w:rPr>
      </w:pPr>
      <w:r w:rsidRPr="002B65F7">
        <w:rPr>
          <w:i/>
          <w:iCs/>
        </w:rPr>
        <w:t>Population pédiatrique</w:t>
      </w:r>
    </w:p>
    <w:p w14:paraId="4C7FB742" w14:textId="77777777" w:rsidR="009C2DF2" w:rsidRDefault="009C2DF2" w:rsidP="00B8264A">
      <w:pPr>
        <w:keepNext/>
        <w:rPr>
          <w:noProof/>
          <w:u w:val="single"/>
          <w:lang w:eastAsia="nl-BE"/>
        </w:rPr>
      </w:pPr>
    </w:p>
    <w:p w14:paraId="4A100B72" w14:textId="0E14BC12" w:rsidR="00B8264A" w:rsidRDefault="00B8264A" w:rsidP="00B8264A">
      <w:pPr>
        <w:keepNext/>
        <w:rPr>
          <w:noProof/>
          <w:u w:val="single"/>
          <w:lang w:eastAsia="nl-BE"/>
        </w:rPr>
      </w:pPr>
      <w:r>
        <w:rPr>
          <w:noProof/>
          <w:u w:val="single"/>
          <w:lang w:eastAsia="nl-BE"/>
        </w:rPr>
        <w:t>Maladie de Crohn chez l’enfant (patients pesant au moins 40 kg)</w:t>
      </w:r>
    </w:p>
    <w:p w14:paraId="15061E5A" w14:textId="77777777" w:rsidR="009C2DF2" w:rsidRDefault="009C2DF2" w:rsidP="00B8264A">
      <w:pPr>
        <w:rPr>
          <w:noProof/>
          <w:lang w:eastAsia="nl-BE"/>
        </w:rPr>
      </w:pPr>
    </w:p>
    <w:p w14:paraId="6493F837" w14:textId="398BF928" w:rsidR="00B8264A" w:rsidRDefault="00B8264A" w:rsidP="00B8264A">
      <w:pPr>
        <w:rPr>
          <w:noProof/>
          <w:lang w:eastAsia="nl-BE"/>
        </w:rPr>
      </w:pPr>
      <w:r>
        <w:rPr>
          <w:noProof/>
          <w:lang w:eastAsia="nl-BE"/>
        </w:rPr>
        <w:t xml:space="preserve">Selon le schéma thérapeutique, la première dose de </w:t>
      </w:r>
      <w:r w:rsidR="009C2DF2">
        <w:rPr>
          <w:noProof/>
          <w:lang w:eastAsia="nl-BE"/>
        </w:rPr>
        <w:t>WEZENLA</w:t>
      </w:r>
      <w:r>
        <w:rPr>
          <w:noProof/>
          <w:lang w:eastAsia="nl-BE"/>
        </w:rPr>
        <w:t xml:space="preserve"> est administrée par voie intraveineuse. Pour la posologie du traitement par voie intraveineuse, voir la rubrique 4.2 du RCP de </w:t>
      </w:r>
      <w:r w:rsidR="009C2DF2">
        <w:rPr>
          <w:noProof/>
          <w:lang w:eastAsia="nl-BE"/>
        </w:rPr>
        <w:t>WEZENLA</w:t>
      </w:r>
      <w:r>
        <w:rPr>
          <w:noProof/>
          <w:lang w:eastAsia="nl-BE"/>
        </w:rPr>
        <w:t xml:space="preserve"> 130 mg </w:t>
      </w:r>
      <w:r w:rsidR="005D1CBB">
        <w:rPr>
          <w:noProof/>
          <w:lang w:eastAsia="nl-BE"/>
        </w:rPr>
        <w:t>s</w:t>
      </w:r>
      <w:r>
        <w:rPr>
          <w:noProof/>
          <w:lang w:eastAsia="nl-BE"/>
        </w:rPr>
        <w:t>olution à diluer pour perfusion.</w:t>
      </w:r>
    </w:p>
    <w:p w14:paraId="1BA65416" w14:textId="77777777" w:rsidR="00B8264A" w:rsidRDefault="00B8264A" w:rsidP="00B8264A">
      <w:pPr>
        <w:rPr>
          <w:noProof/>
          <w:lang w:eastAsia="nl-BE"/>
        </w:rPr>
      </w:pPr>
    </w:p>
    <w:p w14:paraId="56F49E5E" w14:textId="0B5FD46F" w:rsidR="00B8264A" w:rsidRDefault="00B8264A" w:rsidP="00B8264A">
      <w:pPr>
        <w:rPr>
          <w:noProof/>
          <w:lang w:eastAsia="nl-BE"/>
        </w:rPr>
      </w:pPr>
      <w:r>
        <w:rPr>
          <w:noProof/>
          <w:lang w:eastAsia="nl-BE"/>
        </w:rPr>
        <w:t xml:space="preserve">La première administration par voie sous-cutanée de </w:t>
      </w:r>
      <w:r w:rsidR="009C2DF2">
        <w:rPr>
          <w:noProof/>
          <w:lang w:eastAsia="nl-BE"/>
        </w:rPr>
        <w:t>WEZENLA</w:t>
      </w:r>
      <w:r>
        <w:rPr>
          <w:noProof/>
          <w:lang w:eastAsia="nl-BE"/>
        </w:rPr>
        <w:t xml:space="preserve"> 90 mg doit être réalisée à la semaine 8 après la dose par voie intraveineuse. Après cela, une administration toutes les 12 semaines est recommandée.</w:t>
      </w:r>
    </w:p>
    <w:p w14:paraId="016C55D7" w14:textId="7665699B" w:rsidR="00B8264A" w:rsidRDefault="00B8264A" w:rsidP="00B8264A">
      <w:pPr>
        <w:rPr>
          <w:noProof/>
          <w:lang w:eastAsia="nl-BE"/>
        </w:rPr>
      </w:pPr>
    </w:p>
    <w:p w14:paraId="3425DCD7" w14:textId="2B9163DC" w:rsidR="00B8264A" w:rsidRDefault="00B8264A" w:rsidP="00B8264A">
      <w:pPr>
        <w:rPr>
          <w:noProof/>
          <w:lang w:eastAsia="nl-BE"/>
        </w:rPr>
      </w:pPr>
      <w:r>
        <w:rPr>
          <w:noProof/>
          <w:lang w:eastAsia="nl-BE"/>
        </w:rPr>
        <w:t>Les patients recevant une administration toutes les 12 semaines et qui présentent un échappement après une réponse initiale peuvent bénéficier d’une augmentation de la fréquence d’administration à toutes les 8 semaines (voir rubrique 5.1 et rubrique 5.2).</w:t>
      </w:r>
    </w:p>
    <w:p w14:paraId="2B9605BD" w14:textId="77777777" w:rsidR="00B8264A" w:rsidRDefault="00B8264A" w:rsidP="00B8264A">
      <w:pPr>
        <w:rPr>
          <w:noProof/>
          <w:lang w:eastAsia="nl-BE"/>
        </w:rPr>
      </w:pPr>
    </w:p>
    <w:p w14:paraId="3566FCA3" w14:textId="03B0AED7" w:rsidR="00B8264A" w:rsidRDefault="00B8264A" w:rsidP="00B8264A">
      <w:pPr>
        <w:rPr>
          <w:noProof/>
          <w:lang w:eastAsia="nl-BE"/>
        </w:rPr>
      </w:pPr>
      <w:r>
        <w:rPr>
          <w:noProof/>
          <w:lang w:eastAsia="nl-BE"/>
        </w:rPr>
        <w:t>Les patients peuvent ensuite avoir une administration toutes les 8 semaines ou toutes les 12 semaines selon le jugement clinique (voir rubrique 5.1).</w:t>
      </w:r>
    </w:p>
    <w:p w14:paraId="4AF6DAA9" w14:textId="2C301F43" w:rsidR="00B8264A" w:rsidRDefault="00B8264A" w:rsidP="00B8264A">
      <w:pPr>
        <w:rPr>
          <w:noProof/>
          <w:lang w:eastAsia="nl-BE"/>
        </w:rPr>
      </w:pPr>
    </w:p>
    <w:p w14:paraId="7B2F54AA" w14:textId="77777777" w:rsidR="00B8264A" w:rsidRDefault="00B8264A" w:rsidP="00B8264A">
      <w:r>
        <w:rPr>
          <w:noProof/>
          <w:lang w:eastAsia="nl-BE"/>
        </w:rPr>
        <w:t>Il y a lieu d’envisager l’arrêt du traitement chez les patients ne montrant aucun signe de bénéfice thérapeutique 16 semaines après la dose d’induction IV ou 16 semaines après l’ajustement posologique.</w:t>
      </w:r>
    </w:p>
    <w:p w14:paraId="61D004B4" w14:textId="77777777" w:rsidR="00B8264A" w:rsidRDefault="00B8264A" w:rsidP="00B8264A">
      <w:pPr>
        <w:rPr>
          <w:noProof/>
          <w:lang w:eastAsia="nl-BE"/>
        </w:rPr>
      </w:pPr>
    </w:p>
    <w:p w14:paraId="04514C7B" w14:textId="2D0E1941" w:rsidR="00B8264A" w:rsidRDefault="00B8264A" w:rsidP="00B8264A">
      <w:pPr>
        <w:rPr>
          <w:noProof/>
          <w:lang w:eastAsia="nl-BE"/>
        </w:rPr>
      </w:pPr>
      <w:r>
        <w:rPr>
          <w:noProof/>
          <w:lang w:eastAsia="nl-BE"/>
        </w:rPr>
        <w:t xml:space="preserve">Des immunomodulateurs, des </w:t>
      </w:r>
      <w:r w:rsidRPr="00F12D80">
        <w:rPr>
          <w:noProof/>
          <w:lang w:eastAsia="nl-BE"/>
        </w:rPr>
        <w:t>amino-5 salicylés</w:t>
      </w:r>
      <w:r>
        <w:rPr>
          <w:noProof/>
          <w:lang w:eastAsia="nl-BE"/>
        </w:rPr>
        <w:t xml:space="preserve"> (5-ASA), des antibiotiques et/ou des corticoïdes peuvent être poursuivis pendant le traitement par </w:t>
      </w:r>
      <w:r w:rsidR="009C2DF2">
        <w:rPr>
          <w:noProof/>
          <w:lang w:eastAsia="nl-BE"/>
        </w:rPr>
        <w:t>WEZENLA</w:t>
      </w:r>
      <w:r>
        <w:rPr>
          <w:noProof/>
          <w:lang w:eastAsia="nl-BE"/>
        </w:rPr>
        <w:t xml:space="preserve">. Chez les patients qui ont répondu au traitement par </w:t>
      </w:r>
      <w:r w:rsidR="009C2DF2">
        <w:rPr>
          <w:noProof/>
          <w:lang w:eastAsia="nl-BE"/>
        </w:rPr>
        <w:t>WEZENLA</w:t>
      </w:r>
      <w:r>
        <w:rPr>
          <w:noProof/>
          <w:lang w:eastAsia="nl-BE"/>
        </w:rPr>
        <w:t>, ces médicaments peuvent être diminués ou arrêtés conformément aux pratiques cliniques.</w:t>
      </w:r>
    </w:p>
    <w:p w14:paraId="149D11F0" w14:textId="77777777" w:rsidR="00DD2833" w:rsidRPr="002B65F7" w:rsidRDefault="00DD2833" w:rsidP="00496255">
      <w:pPr>
        <w:keepNext/>
        <w:widowControl/>
      </w:pPr>
    </w:p>
    <w:p w14:paraId="03B58073" w14:textId="5EB51B02" w:rsidR="00092F83" w:rsidRPr="002B65F7" w:rsidRDefault="00C31740" w:rsidP="00496255">
      <w:pPr>
        <w:widowControl/>
      </w:pPr>
      <w:r w:rsidRPr="002B65F7">
        <w:t xml:space="preserve">La sécurité et l’efficacité de </w:t>
      </w:r>
      <w:r w:rsidR="00694420" w:rsidRPr="002B65F7">
        <w:t>l’</w:t>
      </w:r>
      <w:r w:rsidR="0071390F" w:rsidRPr="002B65F7">
        <w:rPr>
          <w:spacing w:val="-1"/>
        </w:rPr>
        <w:t>ustekinumab</w:t>
      </w:r>
      <w:r w:rsidRPr="002B65F7">
        <w:t xml:space="preserve"> dans </w:t>
      </w:r>
      <w:r w:rsidR="005440CB">
        <w:rPr>
          <w:bCs/>
          <w:noProof/>
          <w:lang w:val="fr-BE" w:eastAsia="nl-BE"/>
        </w:rPr>
        <w:t xml:space="preserve">le traitement </w:t>
      </w:r>
      <w:r w:rsidRPr="002B65F7">
        <w:t xml:space="preserve">la maladie de Crohn </w:t>
      </w:r>
      <w:r w:rsidR="00125204">
        <w:rPr>
          <w:noProof/>
          <w:lang w:eastAsia="nl-BE"/>
        </w:rPr>
        <w:t>chez les patients pédiatriques pesant moins de 40 kg</w:t>
      </w:r>
      <w:r w:rsidR="00125204" w:rsidRPr="002B65F7">
        <w:t xml:space="preserve"> </w:t>
      </w:r>
      <w:r w:rsidRPr="002B65F7">
        <w:t>n’ont pas encore été établies. Aucune donnée n’est disponible.</w:t>
      </w:r>
    </w:p>
    <w:p w14:paraId="530A3C3E" w14:textId="77777777" w:rsidR="00DD2833" w:rsidRPr="002B65F7" w:rsidRDefault="00DD2833" w:rsidP="00496255">
      <w:pPr>
        <w:widowControl/>
      </w:pPr>
    </w:p>
    <w:p w14:paraId="03B58074" w14:textId="3D49CB54" w:rsidR="00092F83" w:rsidRPr="002B65F7" w:rsidRDefault="00C31740" w:rsidP="00496255">
      <w:pPr>
        <w:keepNext/>
        <w:widowControl/>
        <w:rPr>
          <w:u w:val="single"/>
        </w:rPr>
      </w:pPr>
      <w:r w:rsidRPr="002B65F7">
        <w:rPr>
          <w:u w:val="single"/>
        </w:rPr>
        <w:t>Mode d’administration</w:t>
      </w:r>
    </w:p>
    <w:p w14:paraId="40FE0F84" w14:textId="77777777" w:rsidR="00DD2833" w:rsidRPr="002B65F7" w:rsidRDefault="00DD2833" w:rsidP="00496255">
      <w:pPr>
        <w:keepNext/>
        <w:widowControl/>
      </w:pPr>
    </w:p>
    <w:p w14:paraId="03B58075" w14:textId="7A4FEF94" w:rsidR="00092F83" w:rsidRPr="002B65F7" w:rsidRDefault="00694420" w:rsidP="00496255">
      <w:pPr>
        <w:widowControl/>
      </w:pPr>
      <w:r w:rsidRPr="002B65F7">
        <w:t>WEZENLA</w:t>
      </w:r>
      <w:r w:rsidR="00C31740" w:rsidRPr="002B65F7">
        <w:t xml:space="preserve"> 45</w:t>
      </w:r>
      <w:r w:rsidR="00DD2833" w:rsidRPr="002B65F7">
        <w:t> </w:t>
      </w:r>
      <w:r w:rsidR="00C31740" w:rsidRPr="002B65F7">
        <w:t>mg flacons ou 45</w:t>
      </w:r>
      <w:r w:rsidR="00DD2833" w:rsidRPr="002B65F7">
        <w:t> </w:t>
      </w:r>
      <w:r w:rsidR="00C31740" w:rsidRPr="002B65F7">
        <w:t>mg et 90</w:t>
      </w:r>
      <w:r w:rsidR="00DD2833" w:rsidRPr="002B65F7">
        <w:t> </w:t>
      </w:r>
      <w:r w:rsidR="00C31740" w:rsidRPr="002B65F7">
        <w:t>mg seringues préremplies sont exclusivement destinés à l’injection par voie sous-cutanée. Lorsque cela est possible, les sites où la peau présente du psoriasis ne doivent pas être utilisés comme sites d’injection.</w:t>
      </w:r>
    </w:p>
    <w:p w14:paraId="437E2C4A" w14:textId="77777777" w:rsidR="00DD2833" w:rsidRPr="002B65F7" w:rsidRDefault="00DD2833" w:rsidP="00496255">
      <w:pPr>
        <w:widowControl/>
      </w:pPr>
    </w:p>
    <w:p w14:paraId="03B58077" w14:textId="6A5E598A" w:rsidR="00092F83" w:rsidRPr="002B65F7" w:rsidRDefault="00C31740" w:rsidP="00496255">
      <w:pPr>
        <w:widowControl/>
      </w:pPr>
      <w:r w:rsidRPr="002B65F7">
        <w:t xml:space="preserve">Après une formation appropriée à la technique d’injection sous-cutanée, les patients ou leurs soignants peuvent s’injecter </w:t>
      </w:r>
      <w:r w:rsidR="00694420" w:rsidRPr="002B65F7">
        <w:t>WEZENLA</w:t>
      </w:r>
      <w:r w:rsidRPr="002B65F7">
        <w:t xml:space="preserve"> si leur médecin l’estime approprié. Cependant, le médecin doit assurer un suivi approprié des patients. Les patients ou leurs soignants doivent être informés de la nécessité d’injecter la quantité prescrite de </w:t>
      </w:r>
      <w:r w:rsidR="00694420" w:rsidRPr="002B65F7">
        <w:t>WEZENLA</w:t>
      </w:r>
      <w:r w:rsidRPr="002B65F7">
        <w:t xml:space="preserve"> selon les instructions mentionnées dans la notice. Des instructions détaillées pour l’</w:t>
      </w:r>
      <w:r w:rsidR="002C762B" w:rsidRPr="002B65F7">
        <w:t>utilisation</w:t>
      </w:r>
      <w:r w:rsidRPr="002B65F7">
        <w:t xml:space="preserve"> sont mentionnées dans la notice.</w:t>
      </w:r>
    </w:p>
    <w:p w14:paraId="03B58078" w14:textId="77777777" w:rsidR="00092F83" w:rsidRPr="002B65F7" w:rsidRDefault="00092F83" w:rsidP="00496255">
      <w:pPr>
        <w:widowControl/>
      </w:pPr>
    </w:p>
    <w:p w14:paraId="03B58079" w14:textId="4EC5919D" w:rsidR="00092F83" w:rsidRPr="002B65F7" w:rsidRDefault="00C31740" w:rsidP="00496255">
      <w:pPr>
        <w:widowControl/>
      </w:pPr>
      <w:r w:rsidRPr="002B65F7">
        <w:t>Pour d’autres instructions sur la préparation et les précautions particulières de manipulation, voir rubrique</w:t>
      </w:r>
      <w:r w:rsidR="00DD2833" w:rsidRPr="002B65F7">
        <w:t> </w:t>
      </w:r>
      <w:r w:rsidRPr="002B65F7">
        <w:t>6.6.</w:t>
      </w:r>
    </w:p>
    <w:p w14:paraId="03B5807A" w14:textId="77777777" w:rsidR="00092F83" w:rsidRPr="002B65F7" w:rsidRDefault="00092F83" w:rsidP="00496255">
      <w:pPr>
        <w:widowControl/>
      </w:pPr>
    </w:p>
    <w:p w14:paraId="03B5807B" w14:textId="39895AF3" w:rsidR="00092F83" w:rsidRPr="002B65F7" w:rsidRDefault="00DD2833" w:rsidP="002A1095">
      <w:pPr>
        <w:keepNext/>
        <w:widowControl/>
        <w:ind w:left="567" w:hanging="567"/>
        <w:rPr>
          <w:b/>
          <w:bCs/>
        </w:rPr>
      </w:pPr>
      <w:r w:rsidRPr="002B65F7">
        <w:rPr>
          <w:b/>
          <w:bCs/>
        </w:rPr>
        <w:t>4.3</w:t>
      </w:r>
      <w:r w:rsidRPr="002B65F7">
        <w:rPr>
          <w:b/>
          <w:bCs/>
        </w:rPr>
        <w:tab/>
      </w:r>
      <w:r w:rsidR="00C31740" w:rsidRPr="002B65F7">
        <w:rPr>
          <w:b/>
          <w:bCs/>
        </w:rPr>
        <w:t>Contre-indications</w:t>
      </w:r>
    </w:p>
    <w:p w14:paraId="03B5807C" w14:textId="77777777" w:rsidR="00092F83" w:rsidRPr="002B65F7" w:rsidRDefault="00092F83" w:rsidP="00496255">
      <w:pPr>
        <w:keepNext/>
        <w:widowControl/>
      </w:pPr>
    </w:p>
    <w:p w14:paraId="762DF46D" w14:textId="77777777" w:rsidR="00B41E23" w:rsidRPr="002B65F7" w:rsidRDefault="00C31740" w:rsidP="00496255">
      <w:pPr>
        <w:widowControl/>
      </w:pPr>
      <w:r w:rsidRPr="002B65F7">
        <w:t>Hypersensibilité à la substance active ou à l’un des excipients mentionnés à la rubrique</w:t>
      </w:r>
      <w:r w:rsidR="002949E6" w:rsidRPr="002B65F7">
        <w:t> </w:t>
      </w:r>
      <w:r w:rsidRPr="002B65F7">
        <w:t>6.1.</w:t>
      </w:r>
    </w:p>
    <w:p w14:paraId="1CEC009E" w14:textId="77777777" w:rsidR="00B41E23" w:rsidRPr="002B65F7" w:rsidRDefault="00B41E23" w:rsidP="00496255">
      <w:pPr>
        <w:widowControl/>
      </w:pPr>
    </w:p>
    <w:p w14:paraId="03B5807D" w14:textId="63167927" w:rsidR="00092F83" w:rsidRPr="002B65F7" w:rsidRDefault="00C31740" w:rsidP="00496255">
      <w:pPr>
        <w:widowControl/>
      </w:pPr>
      <w:r w:rsidRPr="002B65F7">
        <w:t>Infection active et cliniquement importante (par exemple une tuberculose active ; voir rubrique</w:t>
      </w:r>
      <w:r w:rsidR="007C0E11" w:rsidRPr="002B65F7">
        <w:t> </w:t>
      </w:r>
      <w:r w:rsidRPr="002B65F7">
        <w:t>4.4).</w:t>
      </w:r>
    </w:p>
    <w:p w14:paraId="759DCD29" w14:textId="77777777" w:rsidR="008A3CAF" w:rsidRPr="002B65F7" w:rsidRDefault="008A3CAF" w:rsidP="00496255">
      <w:pPr>
        <w:widowControl/>
      </w:pPr>
    </w:p>
    <w:p w14:paraId="03B5807E" w14:textId="75B819CD" w:rsidR="00092F83" w:rsidRPr="002B65F7" w:rsidRDefault="008A3CAF" w:rsidP="002A1095">
      <w:pPr>
        <w:keepNext/>
        <w:widowControl/>
        <w:ind w:left="567" w:hanging="567"/>
        <w:rPr>
          <w:b/>
          <w:bCs/>
        </w:rPr>
      </w:pPr>
      <w:r w:rsidRPr="002B65F7">
        <w:rPr>
          <w:b/>
          <w:bCs/>
        </w:rPr>
        <w:t>4.4</w:t>
      </w:r>
      <w:r w:rsidRPr="002B65F7">
        <w:rPr>
          <w:b/>
          <w:bCs/>
        </w:rPr>
        <w:tab/>
      </w:r>
      <w:r w:rsidR="00C31740" w:rsidRPr="002B65F7">
        <w:rPr>
          <w:b/>
          <w:bCs/>
        </w:rPr>
        <w:t>Mises en garde spéciales et précautions d’emploi</w:t>
      </w:r>
    </w:p>
    <w:p w14:paraId="74D528FA" w14:textId="77777777" w:rsidR="008A3CAF" w:rsidRPr="002B65F7" w:rsidRDefault="008A3CAF" w:rsidP="00496255">
      <w:pPr>
        <w:keepNext/>
        <w:widowControl/>
      </w:pPr>
    </w:p>
    <w:p w14:paraId="03B5807F" w14:textId="32C2C390" w:rsidR="00092F83" w:rsidRPr="002B65F7" w:rsidRDefault="00C31740" w:rsidP="00496255">
      <w:pPr>
        <w:keepNext/>
        <w:widowControl/>
        <w:rPr>
          <w:u w:val="single"/>
        </w:rPr>
      </w:pPr>
      <w:r w:rsidRPr="002B65F7">
        <w:rPr>
          <w:u w:val="single"/>
        </w:rPr>
        <w:t>Traçabilité</w:t>
      </w:r>
    </w:p>
    <w:p w14:paraId="69031CC1" w14:textId="77777777" w:rsidR="008A3CAF" w:rsidRPr="002B65F7" w:rsidRDefault="008A3CAF" w:rsidP="00496255">
      <w:pPr>
        <w:keepNext/>
        <w:widowControl/>
      </w:pPr>
    </w:p>
    <w:p w14:paraId="03B58080" w14:textId="3091EB78" w:rsidR="00092F83" w:rsidRPr="002B65F7" w:rsidRDefault="00C31740" w:rsidP="00496255">
      <w:pPr>
        <w:widowControl/>
      </w:pPr>
      <w:r w:rsidRPr="002B65F7">
        <w:t>Afin d’améliorer la traçabilité des médicaments biologiques, le nom de marque et le numéro de lot du produit administré doivent être clairement enregistrés.</w:t>
      </w:r>
    </w:p>
    <w:p w14:paraId="79292963" w14:textId="77777777" w:rsidR="008A3CAF" w:rsidRPr="002B65F7" w:rsidRDefault="008A3CAF" w:rsidP="00496255">
      <w:pPr>
        <w:widowControl/>
      </w:pPr>
    </w:p>
    <w:p w14:paraId="03B58081" w14:textId="2F2D552B" w:rsidR="00092F83" w:rsidRPr="002B65F7" w:rsidRDefault="00C31740" w:rsidP="00496255">
      <w:pPr>
        <w:keepNext/>
        <w:widowControl/>
        <w:rPr>
          <w:u w:val="single"/>
        </w:rPr>
      </w:pPr>
      <w:r w:rsidRPr="002B65F7">
        <w:rPr>
          <w:u w:val="single"/>
        </w:rPr>
        <w:t>Infections</w:t>
      </w:r>
    </w:p>
    <w:p w14:paraId="62ECCE25" w14:textId="77777777" w:rsidR="008A3CAF" w:rsidRPr="002B65F7" w:rsidRDefault="008A3CAF" w:rsidP="00496255">
      <w:pPr>
        <w:keepNext/>
        <w:widowControl/>
      </w:pPr>
    </w:p>
    <w:p w14:paraId="03B58082" w14:textId="1FA5AEAC" w:rsidR="00092F83" w:rsidRPr="002B65F7" w:rsidRDefault="00C31740" w:rsidP="00496255">
      <w:pPr>
        <w:widowControl/>
      </w:pPr>
      <w:r w:rsidRPr="002B65F7">
        <w:t>L’</w:t>
      </w:r>
      <w:r w:rsidR="0071390F" w:rsidRPr="002B65F7">
        <w:t>ustekinumab</w:t>
      </w:r>
      <w:r w:rsidRPr="002B65F7">
        <w:t xml:space="preserve"> peut potentiellement augmenter le risque d’infections et réactiver des infections latentes. Lors des études cliniques et dans une étude observationnelle après mise sur le marché chez des patients atteints de psoriasis, de graves infections bactériennes, fongiques et virales ont été observées chez des patients recevant </w:t>
      </w:r>
      <w:r w:rsidR="00694420" w:rsidRPr="002B65F7">
        <w:t>de l’</w:t>
      </w:r>
      <w:r w:rsidR="0071390F" w:rsidRPr="002B65F7">
        <w:rPr>
          <w:spacing w:val="-1"/>
        </w:rPr>
        <w:t>ustekinumab</w:t>
      </w:r>
      <w:r w:rsidRPr="002B65F7">
        <w:t xml:space="preserve"> (voir rubrique</w:t>
      </w:r>
      <w:r w:rsidR="008A3CAF" w:rsidRPr="002B65F7">
        <w:t> </w:t>
      </w:r>
      <w:r w:rsidRPr="002B65F7">
        <w:t>4.8).</w:t>
      </w:r>
    </w:p>
    <w:p w14:paraId="03B58083" w14:textId="77777777" w:rsidR="00092F83" w:rsidRPr="002B65F7" w:rsidRDefault="00092F83" w:rsidP="00496255">
      <w:pPr>
        <w:widowControl/>
      </w:pPr>
    </w:p>
    <w:p w14:paraId="03B58084" w14:textId="5EF77D03" w:rsidR="00092F83" w:rsidRPr="002B65F7" w:rsidRDefault="00C31740" w:rsidP="00496255">
      <w:pPr>
        <w:widowControl/>
      </w:pPr>
      <w:r w:rsidRPr="002B65F7">
        <w:t xml:space="preserve">Des infections opportunistes, notamment une réactivation de la tuberculose, d’autres infections bactériennes opportunistes (dont infection </w:t>
      </w:r>
      <w:r w:rsidR="00F00F7E" w:rsidRPr="002B65F7">
        <w:t xml:space="preserve">à mycobactérie </w:t>
      </w:r>
      <w:r w:rsidRPr="002B65F7">
        <w:t>atypique, méningite à listeria, pneumonie à legionella, et nocardiose), des infections fongiques opportunistes, des infections virales opportunistes (dont encéphalite causée par Herp</w:t>
      </w:r>
      <w:r w:rsidR="007246B2" w:rsidRPr="002B65F7">
        <w:t>e</w:t>
      </w:r>
      <w:r w:rsidRPr="002B65F7">
        <w:t>s simplex</w:t>
      </w:r>
      <w:r w:rsidR="008A3CAF" w:rsidRPr="002B65F7">
        <w:t> </w:t>
      </w:r>
      <w:r w:rsidRPr="002B65F7">
        <w:t xml:space="preserve">2), et des infections parasitaires (dont toxoplasmose oculaire) ont été rapportées chez les patients traités par </w:t>
      </w:r>
      <w:r w:rsidR="0071390F" w:rsidRPr="002B65F7">
        <w:t>ustekinumab</w:t>
      </w:r>
      <w:r w:rsidRPr="002B65F7">
        <w:t>.</w:t>
      </w:r>
    </w:p>
    <w:p w14:paraId="12CE5BB9" w14:textId="77777777" w:rsidR="008A3CAF" w:rsidRPr="002B65F7" w:rsidRDefault="008A3CAF" w:rsidP="00496255">
      <w:pPr>
        <w:widowControl/>
      </w:pPr>
    </w:p>
    <w:p w14:paraId="03B58086" w14:textId="1881A196" w:rsidR="00092F83" w:rsidRPr="002B65F7" w:rsidRDefault="00C31740" w:rsidP="00496255">
      <w:pPr>
        <w:widowControl/>
      </w:pPr>
      <w:r w:rsidRPr="002B65F7">
        <w:t xml:space="preserve">Des précautions doivent être prises lorsque l’utilisation de </w:t>
      </w:r>
      <w:r w:rsidR="00694420" w:rsidRPr="002B65F7">
        <w:t>WEZENLA</w:t>
      </w:r>
      <w:r w:rsidRPr="002B65F7">
        <w:t xml:space="preserve"> est envisagée chez les patients présentant une infection chronique ou ayant des antécédents d’infections récurrentes (voir</w:t>
      </w:r>
      <w:r w:rsidR="008A3CAF" w:rsidRPr="002B65F7">
        <w:t xml:space="preserve"> </w:t>
      </w:r>
      <w:r w:rsidRPr="002B65F7">
        <w:t>rubrique</w:t>
      </w:r>
      <w:r w:rsidR="008A3CAF" w:rsidRPr="002B65F7">
        <w:t> </w:t>
      </w:r>
      <w:r w:rsidRPr="002B65F7">
        <w:t>4.3).</w:t>
      </w:r>
    </w:p>
    <w:p w14:paraId="03B58087" w14:textId="77777777" w:rsidR="00092F83" w:rsidRPr="002B65F7" w:rsidRDefault="00092F83" w:rsidP="00496255">
      <w:pPr>
        <w:widowControl/>
      </w:pPr>
    </w:p>
    <w:p w14:paraId="03B58088" w14:textId="5218DC3F" w:rsidR="00092F83" w:rsidRPr="002B65F7" w:rsidRDefault="00C31740" w:rsidP="00496255">
      <w:pPr>
        <w:widowControl/>
      </w:pPr>
      <w:r w:rsidRPr="002B65F7">
        <w:t xml:space="preserve">Avant d’initier le traitement par </w:t>
      </w:r>
      <w:r w:rsidR="00694420" w:rsidRPr="002B65F7">
        <w:t>WEZENLA</w:t>
      </w:r>
      <w:r w:rsidRPr="002B65F7">
        <w:t xml:space="preserve">, les patients doivent être examinés pour dépister une infection tuberculeuse. </w:t>
      </w:r>
      <w:r w:rsidR="00694420" w:rsidRPr="002B65F7">
        <w:t>WEZENLA</w:t>
      </w:r>
      <w:r w:rsidRPr="002B65F7">
        <w:t xml:space="preserve"> ne doit pas être administré à des patients présentant une tuberculose active (voir rubrique</w:t>
      </w:r>
      <w:r w:rsidR="008A3CAF" w:rsidRPr="002B65F7">
        <w:t> </w:t>
      </w:r>
      <w:r w:rsidRPr="002B65F7">
        <w:t xml:space="preserve">4.3). Le traitement d’une tuberculose latente doit être initié avant l’administration de </w:t>
      </w:r>
      <w:r w:rsidR="00694420" w:rsidRPr="002B65F7">
        <w:t>WEZENLA</w:t>
      </w:r>
      <w:r w:rsidRPr="002B65F7">
        <w:t xml:space="preserve">. Un traitement anti-tuberculeux doit également être envisagé avant l’initiation de </w:t>
      </w:r>
      <w:r w:rsidR="00694420" w:rsidRPr="002B65F7">
        <w:t>WEZENLA</w:t>
      </w:r>
      <w:r w:rsidRPr="002B65F7">
        <w:t xml:space="preserve"> chez les patients ayant des antécédents de tuberculose latente ou active pour lesquels le suivi d’un traitement adapté ne peut être confirmé. Les patients recevant </w:t>
      </w:r>
      <w:r w:rsidR="00694420" w:rsidRPr="002B65F7">
        <w:t>WEZENLA</w:t>
      </w:r>
      <w:r w:rsidRPr="002B65F7">
        <w:t xml:space="preserve"> doivent être étroitement surveillés pour dépister les signes et symptômes de tuberculose active pendant et après le traitement.</w:t>
      </w:r>
    </w:p>
    <w:p w14:paraId="075DFD8D" w14:textId="77777777" w:rsidR="008A3CAF" w:rsidRPr="002B65F7" w:rsidRDefault="008A3CAF" w:rsidP="00496255">
      <w:pPr>
        <w:widowControl/>
      </w:pPr>
    </w:p>
    <w:p w14:paraId="03B58089" w14:textId="33820283" w:rsidR="00092F83" w:rsidRPr="002B65F7" w:rsidRDefault="00C31740" w:rsidP="00496255">
      <w:pPr>
        <w:widowControl/>
      </w:pPr>
      <w:r w:rsidRPr="002B65F7">
        <w:t xml:space="preserve">Les patients doivent être informés de la nécessité de consulter un médecin en cas de survenue de signes ou symptômes évocateurs d’une infection. Si un patient développe une infection grave, le patient devra être étroitement surveillé et </w:t>
      </w:r>
      <w:r w:rsidR="00694420" w:rsidRPr="002B65F7">
        <w:t>WEZENLA</w:t>
      </w:r>
      <w:r w:rsidRPr="002B65F7">
        <w:t xml:space="preserve"> ne devra pas être administré avant la guérison de l’infection.</w:t>
      </w:r>
    </w:p>
    <w:p w14:paraId="03B5808A" w14:textId="77777777" w:rsidR="00092F83" w:rsidRPr="002B65F7" w:rsidRDefault="00092F83" w:rsidP="00496255">
      <w:pPr>
        <w:widowControl/>
      </w:pPr>
    </w:p>
    <w:p w14:paraId="03B5808B" w14:textId="77777777" w:rsidR="00092F83" w:rsidRPr="002B65F7" w:rsidRDefault="00C31740" w:rsidP="00496255">
      <w:pPr>
        <w:keepNext/>
        <w:widowControl/>
        <w:rPr>
          <w:u w:val="single"/>
        </w:rPr>
      </w:pPr>
      <w:r w:rsidRPr="002B65F7">
        <w:rPr>
          <w:u w:val="single"/>
        </w:rPr>
        <w:t>Tumeurs malignes</w:t>
      </w:r>
    </w:p>
    <w:p w14:paraId="69CF2119" w14:textId="77777777" w:rsidR="008A3CAF" w:rsidRPr="002B65F7" w:rsidRDefault="008A3CAF" w:rsidP="00496255">
      <w:pPr>
        <w:keepNext/>
        <w:widowControl/>
      </w:pPr>
    </w:p>
    <w:p w14:paraId="03B5808E" w14:textId="4792AF59" w:rsidR="00092F83" w:rsidRPr="002B65F7" w:rsidRDefault="00C31740" w:rsidP="00496255">
      <w:pPr>
        <w:widowControl/>
      </w:pPr>
      <w:r w:rsidRPr="002B65F7">
        <w:t>Les immunosuppresseurs comme l’</w:t>
      </w:r>
      <w:r w:rsidR="0071390F" w:rsidRPr="002B65F7">
        <w:t>ustekinumab</w:t>
      </w:r>
      <w:r w:rsidRPr="002B65F7">
        <w:t xml:space="preserve"> sont susceptibles d’augmenter le risque de tumeur maligne. Certains patients ayant reçu </w:t>
      </w:r>
      <w:r w:rsidR="00694420" w:rsidRPr="002B65F7">
        <w:t>de l’</w:t>
      </w:r>
      <w:r w:rsidR="0071390F" w:rsidRPr="002B65F7">
        <w:t>ustekinumab</w:t>
      </w:r>
      <w:r w:rsidRPr="002B65F7">
        <w:t xml:space="preserve"> au cours d’études cliniques et des patients atteints de psoriasis dans une étude observationnelle après mise sur le marché ont développé des tumeurs malignes cutanées et non-cutanées (voir rubrique</w:t>
      </w:r>
      <w:r w:rsidR="008A3CAF" w:rsidRPr="002B65F7">
        <w:t> </w:t>
      </w:r>
      <w:r w:rsidRPr="002B65F7">
        <w:t>4.8). Le risque de tumeur maligne peut être supérieur</w:t>
      </w:r>
      <w:r w:rsidR="008A3CAF" w:rsidRPr="002B65F7">
        <w:t xml:space="preserve"> </w:t>
      </w:r>
      <w:r w:rsidRPr="002B65F7">
        <w:t>chez les patients atteints de psoriasis qui ont été traités avec d’autres médicaments biologiques au cours de leur maladie.</w:t>
      </w:r>
    </w:p>
    <w:p w14:paraId="03B5808F" w14:textId="77777777" w:rsidR="00092F83" w:rsidRPr="002B65F7" w:rsidRDefault="00092F83" w:rsidP="00496255">
      <w:pPr>
        <w:widowControl/>
      </w:pPr>
    </w:p>
    <w:p w14:paraId="03B58090" w14:textId="3152B838" w:rsidR="00092F83" w:rsidRPr="002B65F7" w:rsidRDefault="00C31740" w:rsidP="00496255">
      <w:pPr>
        <w:widowControl/>
      </w:pPr>
      <w:r w:rsidRPr="002B65F7">
        <w:t xml:space="preserve">Aucune étude n’a été conduite chez des patients avec antécédents de tumeurs malignes ou chez des patients ayant continué leur traitement alors qu’ils avaient développé une tumeur maligne sous </w:t>
      </w:r>
      <w:r w:rsidR="0071390F" w:rsidRPr="002B65F7">
        <w:t>ustekinumab</w:t>
      </w:r>
      <w:r w:rsidRPr="002B65F7">
        <w:t xml:space="preserve">. En conséquence, des précautions doivent être prises lorsqu’un traitement par </w:t>
      </w:r>
      <w:r w:rsidR="0071390F" w:rsidRPr="002B65F7">
        <w:t>ustekinumab</w:t>
      </w:r>
      <w:r w:rsidRPr="002B65F7">
        <w:t xml:space="preserve"> chez ces patients est envisagé.</w:t>
      </w:r>
    </w:p>
    <w:p w14:paraId="03B58091" w14:textId="77777777" w:rsidR="00092F83" w:rsidRPr="002B65F7" w:rsidRDefault="00092F83" w:rsidP="00496255">
      <w:pPr>
        <w:widowControl/>
      </w:pPr>
    </w:p>
    <w:p w14:paraId="03B58092" w14:textId="0253B8FD" w:rsidR="00092F83" w:rsidRPr="002B65F7" w:rsidRDefault="00C31740" w:rsidP="00496255">
      <w:pPr>
        <w:widowControl/>
      </w:pPr>
      <w:r w:rsidRPr="002B65F7">
        <w:t>Tous les patients doivent être surveillés pour éviter l’apparition d’un cancer de la peau, en particulier ceux âgés de plus de 60</w:t>
      </w:r>
      <w:r w:rsidR="008A3CAF" w:rsidRPr="002B65F7">
        <w:t> </w:t>
      </w:r>
      <w:r w:rsidRPr="002B65F7">
        <w:t>ans, ceux avec des antécédents médicaux de traitements prolongés par immunosuppresseurs ou ceux ayant des antécédents de traitement par puvathérapie (voir rubrique</w:t>
      </w:r>
      <w:r w:rsidR="008A3CAF" w:rsidRPr="002B65F7">
        <w:t> </w:t>
      </w:r>
      <w:r w:rsidRPr="002B65F7">
        <w:t>4.8).</w:t>
      </w:r>
    </w:p>
    <w:p w14:paraId="03B58093" w14:textId="77777777" w:rsidR="00092F83" w:rsidRPr="002B65F7" w:rsidRDefault="00092F83" w:rsidP="00496255">
      <w:pPr>
        <w:widowControl/>
      </w:pPr>
    </w:p>
    <w:p w14:paraId="03B58094" w14:textId="54B5CEA8" w:rsidR="00092F83" w:rsidRPr="002B65F7" w:rsidRDefault="00C31740" w:rsidP="00496255">
      <w:pPr>
        <w:keepNext/>
        <w:widowControl/>
        <w:rPr>
          <w:u w:val="single"/>
        </w:rPr>
      </w:pPr>
      <w:r w:rsidRPr="002B65F7">
        <w:rPr>
          <w:u w:val="single"/>
        </w:rPr>
        <w:t>Réactions d’hypersensibilité systémique et re</w:t>
      </w:r>
      <w:r w:rsidR="00984ACA" w:rsidRPr="002B65F7">
        <w:rPr>
          <w:u w:val="single"/>
        </w:rPr>
        <w:t>s</w:t>
      </w:r>
      <w:r w:rsidRPr="002B65F7">
        <w:rPr>
          <w:u w:val="single"/>
        </w:rPr>
        <w:t>piratoire</w:t>
      </w:r>
    </w:p>
    <w:p w14:paraId="5F353879" w14:textId="77777777" w:rsidR="008A3CAF" w:rsidRPr="002B65F7" w:rsidRDefault="008A3CAF" w:rsidP="00496255">
      <w:pPr>
        <w:keepNext/>
        <w:widowControl/>
        <w:rPr>
          <w:u w:val="single"/>
        </w:rPr>
      </w:pPr>
    </w:p>
    <w:p w14:paraId="03B58095" w14:textId="77777777" w:rsidR="00092F83" w:rsidRPr="002B65F7" w:rsidRDefault="00C31740" w:rsidP="00496255">
      <w:pPr>
        <w:keepNext/>
        <w:widowControl/>
        <w:rPr>
          <w:i/>
          <w:iCs/>
        </w:rPr>
      </w:pPr>
      <w:r w:rsidRPr="002B65F7">
        <w:rPr>
          <w:i/>
          <w:iCs/>
        </w:rPr>
        <w:t>Systémique</w:t>
      </w:r>
    </w:p>
    <w:p w14:paraId="65FCDAAC" w14:textId="77777777" w:rsidR="008A3CAF" w:rsidRPr="002B65F7" w:rsidRDefault="008A3CAF" w:rsidP="00496255">
      <w:pPr>
        <w:keepNext/>
        <w:widowControl/>
        <w:rPr>
          <w:i/>
          <w:iCs/>
        </w:rPr>
      </w:pPr>
    </w:p>
    <w:p w14:paraId="03B58096" w14:textId="6495CE41" w:rsidR="00092F83" w:rsidRPr="002B65F7" w:rsidRDefault="00C31740" w:rsidP="00496255">
      <w:pPr>
        <w:widowControl/>
      </w:pPr>
      <w:r w:rsidRPr="002B65F7">
        <w:t xml:space="preserve">Des réactions d’hypersensibilité graves ont été rapportées depuis la mise sur le marché du produit, dans certains cas plusieurs jours après le traitement. Des anaphylaxies et </w:t>
      </w:r>
      <w:r w:rsidR="007246B2" w:rsidRPr="002B65F7">
        <w:t>angioœdèmes</w:t>
      </w:r>
      <w:r w:rsidRPr="002B65F7">
        <w:t xml:space="preserve"> sont survenus. En cas de survenue d’une réaction anaphylactique ou d’une autre réaction d’hypersensibilité grave, un traitement approprié doit être instauré et l’administration de </w:t>
      </w:r>
      <w:r w:rsidR="00694420" w:rsidRPr="002B65F7">
        <w:t>WEZENLA</w:t>
      </w:r>
      <w:r w:rsidRPr="002B65F7">
        <w:t xml:space="preserve"> doit être interrompue (voir rubrique</w:t>
      </w:r>
      <w:r w:rsidR="00832081" w:rsidRPr="002B65F7">
        <w:t> </w:t>
      </w:r>
      <w:r w:rsidRPr="002B65F7">
        <w:t>4.8).</w:t>
      </w:r>
    </w:p>
    <w:p w14:paraId="6EFFC494" w14:textId="77777777" w:rsidR="008A3CAF" w:rsidRPr="002B65F7" w:rsidRDefault="008A3CAF" w:rsidP="00496255">
      <w:pPr>
        <w:widowControl/>
        <w:rPr>
          <w:i/>
          <w:iCs/>
        </w:rPr>
      </w:pPr>
    </w:p>
    <w:p w14:paraId="03B58097" w14:textId="5F703721" w:rsidR="00092F83" w:rsidRPr="002B65F7" w:rsidRDefault="00C31740" w:rsidP="00496255">
      <w:pPr>
        <w:keepNext/>
        <w:widowControl/>
        <w:rPr>
          <w:i/>
          <w:iCs/>
        </w:rPr>
      </w:pPr>
      <w:r w:rsidRPr="002B65F7">
        <w:rPr>
          <w:i/>
          <w:iCs/>
        </w:rPr>
        <w:t>Respiratoire</w:t>
      </w:r>
    </w:p>
    <w:p w14:paraId="625DC49B" w14:textId="77777777" w:rsidR="008A3CAF" w:rsidRPr="002B65F7" w:rsidRDefault="008A3CAF" w:rsidP="00496255">
      <w:pPr>
        <w:keepNext/>
        <w:widowControl/>
      </w:pPr>
    </w:p>
    <w:p w14:paraId="03B58098" w14:textId="5DFC6BF3" w:rsidR="00092F83" w:rsidRPr="002B65F7" w:rsidRDefault="00C31740" w:rsidP="00496255">
      <w:pPr>
        <w:widowControl/>
      </w:pPr>
      <w:r w:rsidRPr="002B65F7">
        <w:t>Des cas d’alvéolite allergique, de pneumopathie à éosinophiles et de pneumopathie organisée non infectieuse ont été rapportés depuis la mise sur le marché d’</w:t>
      </w:r>
      <w:r w:rsidR="0071390F" w:rsidRPr="002B65F7">
        <w:t>ustekinumab</w:t>
      </w:r>
      <w:r w:rsidRPr="002B65F7">
        <w:t>. Les symptômes cliniques comprenaient toux, dyspnée, infiltrats interstitiels après une à trois administrations. Les complications graves incluaient insuffisance respiratoire et prolongation d’hospitalisation. Une amélioration a été rapportée après arrêt de l’</w:t>
      </w:r>
      <w:r w:rsidR="0071390F" w:rsidRPr="002B65F7">
        <w:t>ustekinumab</w:t>
      </w:r>
      <w:r w:rsidRPr="002B65F7">
        <w:t xml:space="preserve"> et aussi dans certains cas après administration de corticoïdes. Si l’infection a été exclue et le diagnostic confirmé, l’administration de l’</w:t>
      </w:r>
      <w:r w:rsidR="0071390F" w:rsidRPr="002B65F7">
        <w:t>ustekinumab</w:t>
      </w:r>
      <w:r w:rsidRPr="002B65F7">
        <w:t xml:space="preserve"> doit être interrompue et un traitement approprié doit être instauré (voir rubrique</w:t>
      </w:r>
      <w:r w:rsidR="008A3CAF" w:rsidRPr="002B65F7">
        <w:t> </w:t>
      </w:r>
      <w:r w:rsidRPr="002B65F7">
        <w:t>4.8).</w:t>
      </w:r>
    </w:p>
    <w:p w14:paraId="03B58099" w14:textId="77777777" w:rsidR="00092F83" w:rsidRPr="002B65F7" w:rsidRDefault="00092F83" w:rsidP="00496255">
      <w:pPr>
        <w:widowControl/>
      </w:pPr>
    </w:p>
    <w:p w14:paraId="03B5809A" w14:textId="77777777" w:rsidR="00092F83" w:rsidRPr="002B65F7" w:rsidRDefault="00C31740" w:rsidP="00496255">
      <w:pPr>
        <w:keepNext/>
        <w:widowControl/>
        <w:rPr>
          <w:u w:val="single"/>
        </w:rPr>
      </w:pPr>
      <w:r w:rsidRPr="002B65F7">
        <w:rPr>
          <w:u w:val="single"/>
        </w:rPr>
        <w:t>Événements cardiovasculaires</w:t>
      </w:r>
    </w:p>
    <w:p w14:paraId="35B80E58" w14:textId="77777777" w:rsidR="008A3CAF" w:rsidRPr="002B65F7" w:rsidRDefault="008A3CAF" w:rsidP="00496255">
      <w:pPr>
        <w:keepNext/>
        <w:widowControl/>
        <w:rPr>
          <w:u w:val="single"/>
        </w:rPr>
      </w:pPr>
    </w:p>
    <w:p w14:paraId="03B5809B" w14:textId="068CA55F" w:rsidR="00092F83" w:rsidRPr="002B65F7" w:rsidRDefault="00C31740" w:rsidP="00496255">
      <w:pPr>
        <w:widowControl/>
      </w:pPr>
      <w:r w:rsidRPr="002B65F7">
        <w:t xml:space="preserve">Des événements cardiovasculaires dont infarctus du myocarde et accident vasculaire cérébral ont été observés chez des patients atteints de psoriasis exposés à </w:t>
      </w:r>
      <w:r w:rsidR="00694420" w:rsidRPr="002B65F7">
        <w:t>l’</w:t>
      </w:r>
      <w:r w:rsidR="0071390F" w:rsidRPr="002B65F7">
        <w:t>ustekinumab</w:t>
      </w:r>
      <w:r w:rsidRPr="002B65F7">
        <w:t xml:space="preserve"> dans une étude observationnelle après mise sur le marché. Les facteurs de risque de maladie cardiovasculaire doivent être régulièrement évalués au cours du traitement par </w:t>
      </w:r>
      <w:r w:rsidR="00694420" w:rsidRPr="002B65F7">
        <w:t>WEZENLA</w:t>
      </w:r>
      <w:r w:rsidRPr="002B65F7">
        <w:t>.</w:t>
      </w:r>
    </w:p>
    <w:p w14:paraId="56245ABB" w14:textId="77777777" w:rsidR="008A3CAF" w:rsidRPr="002B65F7" w:rsidRDefault="008A3CAF" w:rsidP="00496255">
      <w:pPr>
        <w:widowControl/>
      </w:pPr>
    </w:p>
    <w:p w14:paraId="03B5809F" w14:textId="42EE9704" w:rsidR="00092F83" w:rsidRPr="002B65F7" w:rsidRDefault="00C31740" w:rsidP="00496255">
      <w:pPr>
        <w:keepNext/>
        <w:widowControl/>
        <w:rPr>
          <w:u w:val="single"/>
        </w:rPr>
      </w:pPr>
      <w:r w:rsidRPr="002B65F7">
        <w:rPr>
          <w:u w:val="single"/>
        </w:rPr>
        <w:t>Vaccinations</w:t>
      </w:r>
    </w:p>
    <w:p w14:paraId="28C10E9D" w14:textId="77777777" w:rsidR="008A3CAF" w:rsidRPr="002B65F7" w:rsidRDefault="008A3CAF" w:rsidP="00496255">
      <w:pPr>
        <w:keepNext/>
        <w:widowControl/>
        <w:rPr>
          <w:u w:val="single"/>
        </w:rPr>
      </w:pPr>
    </w:p>
    <w:p w14:paraId="03B580A0" w14:textId="14D42584" w:rsidR="00092F83" w:rsidRPr="002B65F7" w:rsidRDefault="00C31740" w:rsidP="00496255">
      <w:pPr>
        <w:widowControl/>
      </w:pPr>
      <w:r w:rsidRPr="002B65F7">
        <w:t xml:space="preserve">Il est recommandé que les vaccins vivants viraux ou bactériens (tel que Bacille de Calmette-Guérin (BCG)) ne soient pas administrés de manière concomitante à </w:t>
      </w:r>
      <w:r w:rsidR="00694420" w:rsidRPr="002B65F7">
        <w:t>WEZENLA</w:t>
      </w:r>
      <w:r w:rsidRPr="002B65F7">
        <w:t xml:space="preserve">. Aucune étude spécifique n’a été conduite chez des patients qui ont reçu récemment un traitement par un vaccin vivant viral ou bactérien. Aucune donnée n’est disponible sur la transmission secondaire d’infection par vaccins </w:t>
      </w:r>
      <w:r w:rsidRPr="002B65F7">
        <w:lastRenderedPageBreak/>
        <w:t xml:space="preserve">vivants chez les patients recevant </w:t>
      </w:r>
      <w:r w:rsidR="00694420" w:rsidRPr="002B65F7">
        <w:t>de l’</w:t>
      </w:r>
      <w:r w:rsidR="0071390F" w:rsidRPr="002B65F7">
        <w:t>ustekinumab</w:t>
      </w:r>
      <w:r w:rsidRPr="002B65F7">
        <w:t xml:space="preserve">. Avant toute vaccination par un </w:t>
      </w:r>
      <w:r w:rsidR="00F00F7E" w:rsidRPr="002B65F7">
        <w:t xml:space="preserve">vaccin </w:t>
      </w:r>
      <w:r w:rsidRPr="002B65F7">
        <w:t xml:space="preserve">vivant viral ou bactérien, le traitement par </w:t>
      </w:r>
      <w:r w:rsidR="00694420" w:rsidRPr="002B65F7">
        <w:t>WEZENLA</w:t>
      </w:r>
      <w:r w:rsidRPr="002B65F7">
        <w:t xml:space="preserve"> doit être arrêté au moins 15</w:t>
      </w:r>
      <w:r w:rsidR="00D8192E" w:rsidRPr="002B65F7">
        <w:t> </w:t>
      </w:r>
      <w:r w:rsidRPr="002B65F7">
        <w:t>semaines avant et peut être repris au moins 2</w:t>
      </w:r>
      <w:r w:rsidR="00D8192E" w:rsidRPr="002B65F7">
        <w:t> </w:t>
      </w:r>
      <w:r w:rsidRPr="002B65F7">
        <w:t>semaines après la vaccination. Les prescripteurs doivent consulter le Résumé des Caractéristiques du Produit des vaccins spécifiques pour toute information supplémentaire ou recommandations sur l’utilisation concomitante d’agents immunosuppresseurs après vaccination.</w:t>
      </w:r>
    </w:p>
    <w:p w14:paraId="03B580A1" w14:textId="77777777" w:rsidR="00092F83" w:rsidRPr="002B65F7" w:rsidRDefault="00092F83" w:rsidP="00496255">
      <w:pPr>
        <w:widowControl/>
      </w:pPr>
    </w:p>
    <w:p w14:paraId="03B580A2" w14:textId="7F69A85C" w:rsidR="00092F83" w:rsidRPr="002B65F7" w:rsidRDefault="00C31740" w:rsidP="00496255">
      <w:pPr>
        <w:widowControl/>
      </w:pPr>
      <w:r w:rsidRPr="002B65F7">
        <w:t>L’administration de vaccins vivants (tel que le vaccin BCG) aux nourrissons exposés à l’</w:t>
      </w:r>
      <w:r w:rsidR="0071390F" w:rsidRPr="002B65F7">
        <w:t>ustekinumab</w:t>
      </w:r>
      <w:r w:rsidRPr="002B65F7">
        <w:t xml:space="preserve"> </w:t>
      </w:r>
      <w:r w:rsidRPr="002B65F7">
        <w:rPr>
          <w:i/>
          <w:iCs/>
        </w:rPr>
        <w:t>in utero</w:t>
      </w:r>
      <w:r w:rsidRPr="002B65F7">
        <w:t xml:space="preserve"> n’est pas recommandée au cours </w:t>
      </w:r>
      <w:r w:rsidR="00B91FEC" w:rsidRPr="00DD2833">
        <w:t xml:space="preserve">des </w:t>
      </w:r>
      <w:r w:rsidR="00B91FEC">
        <w:t>douze</w:t>
      </w:r>
      <w:r w:rsidR="00B91FEC" w:rsidRPr="00DD2833">
        <w:t xml:space="preserve"> </w:t>
      </w:r>
      <w:r w:rsidRPr="002B65F7">
        <w:t>mois suivant la naissance ou jusqu’à ce que les taux sériques d’</w:t>
      </w:r>
      <w:r w:rsidR="0071390F" w:rsidRPr="002B65F7">
        <w:t>ustekinumab</w:t>
      </w:r>
      <w:r w:rsidRPr="002B65F7">
        <w:t xml:space="preserve"> soient indétectables chez le nourrisson (voir rubriques</w:t>
      </w:r>
      <w:r w:rsidR="008A3CAF" w:rsidRPr="002B65F7">
        <w:t> </w:t>
      </w:r>
      <w:r w:rsidRPr="002B65F7">
        <w:t>4.5 et</w:t>
      </w:r>
      <w:r w:rsidR="008A3CAF" w:rsidRPr="002B65F7">
        <w:t> </w:t>
      </w:r>
      <w:r w:rsidRPr="002B65F7">
        <w:t>4.6). En cas de bénéfice clinique évident pour le nourrisson, l’administration d’un vaccin vivant peut être envisagée de manière plus précoce si les taux sériques d’</w:t>
      </w:r>
      <w:r w:rsidR="0071390F" w:rsidRPr="002B65F7">
        <w:t>ustekinumab</w:t>
      </w:r>
      <w:r w:rsidRPr="002B65F7">
        <w:t xml:space="preserve"> chez le nourrisson sont indétectables.</w:t>
      </w:r>
    </w:p>
    <w:p w14:paraId="105FD4E1" w14:textId="77777777" w:rsidR="008A3CAF" w:rsidRPr="002B65F7" w:rsidRDefault="008A3CAF" w:rsidP="00496255">
      <w:pPr>
        <w:widowControl/>
      </w:pPr>
    </w:p>
    <w:p w14:paraId="03B580A4" w14:textId="553485A2" w:rsidR="00092F83" w:rsidRPr="002B65F7" w:rsidRDefault="00C31740" w:rsidP="00496255">
      <w:pPr>
        <w:widowControl/>
      </w:pPr>
      <w:r w:rsidRPr="002B65F7">
        <w:t xml:space="preserve">Les patients recevant </w:t>
      </w:r>
      <w:r w:rsidR="00694420" w:rsidRPr="002B65F7">
        <w:t>WEZENLA</w:t>
      </w:r>
      <w:r w:rsidRPr="002B65F7">
        <w:t xml:space="preserve"> peuvent recevoir de façon concomitante des vaccins inactivés ou non vivants.</w:t>
      </w:r>
    </w:p>
    <w:p w14:paraId="7EED8BF3" w14:textId="77777777" w:rsidR="008A3CAF" w:rsidRPr="002B65F7" w:rsidRDefault="008A3CAF" w:rsidP="00496255">
      <w:pPr>
        <w:widowControl/>
      </w:pPr>
    </w:p>
    <w:p w14:paraId="03B580A5" w14:textId="62D9D913" w:rsidR="00092F83" w:rsidRPr="002B65F7" w:rsidRDefault="00C31740" w:rsidP="00496255">
      <w:pPr>
        <w:widowControl/>
      </w:pPr>
      <w:r w:rsidRPr="002B65F7">
        <w:t xml:space="preserve">Le traitement au long cours par </w:t>
      </w:r>
      <w:r w:rsidR="00694420" w:rsidRPr="002B65F7">
        <w:t>WEZENLA</w:t>
      </w:r>
      <w:r w:rsidRPr="002B65F7">
        <w:t xml:space="preserve"> ne réprime pas la réponse immunitaire humorale aux vaccins pneumococcique</w:t>
      </w:r>
      <w:r w:rsidR="00984ACA" w:rsidRPr="002B65F7">
        <w:t>s</w:t>
      </w:r>
      <w:r w:rsidRPr="002B65F7">
        <w:t xml:space="preserve"> polysaccharidique</w:t>
      </w:r>
      <w:r w:rsidR="00984ACA" w:rsidRPr="002B65F7">
        <w:t>s</w:t>
      </w:r>
      <w:r w:rsidRPr="002B65F7">
        <w:t xml:space="preserve"> et anti-tétanique</w:t>
      </w:r>
      <w:r w:rsidR="00FC3A36" w:rsidRPr="002B65F7">
        <w:t>s</w:t>
      </w:r>
      <w:r w:rsidRPr="002B65F7">
        <w:t xml:space="preserve"> (voir rubrique</w:t>
      </w:r>
      <w:r w:rsidR="008A3CAF" w:rsidRPr="002B65F7">
        <w:t> </w:t>
      </w:r>
      <w:r w:rsidRPr="002B65F7">
        <w:t>5.1).</w:t>
      </w:r>
    </w:p>
    <w:p w14:paraId="280246B8" w14:textId="77777777" w:rsidR="008A3CAF" w:rsidRPr="002B65F7" w:rsidRDefault="008A3CAF" w:rsidP="00496255">
      <w:pPr>
        <w:widowControl/>
      </w:pPr>
    </w:p>
    <w:p w14:paraId="03B580A6" w14:textId="47767F66" w:rsidR="00092F83" w:rsidRPr="002B65F7" w:rsidRDefault="00C31740" w:rsidP="00496255">
      <w:pPr>
        <w:keepNext/>
        <w:widowControl/>
        <w:rPr>
          <w:u w:val="single"/>
        </w:rPr>
      </w:pPr>
      <w:r w:rsidRPr="002B65F7">
        <w:rPr>
          <w:u w:val="single"/>
        </w:rPr>
        <w:t>Traitement immunosuppresseur concomitant</w:t>
      </w:r>
    </w:p>
    <w:p w14:paraId="49190B79" w14:textId="77777777" w:rsidR="008A3CAF" w:rsidRPr="002B65F7" w:rsidRDefault="008A3CAF" w:rsidP="00496255">
      <w:pPr>
        <w:keepNext/>
        <w:widowControl/>
      </w:pPr>
    </w:p>
    <w:p w14:paraId="03B580A7" w14:textId="1738DF6C" w:rsidR="00092F83" w:rsidRPr="002B65F7" w:rsidRDefault="00C31740" w:rsidP="00496255">
      <w:pPr>
        <w:widowControl/>
      </w:pPr>
      <w:r w:rsidRPr="002B65F7">
        <w:t xml:space="preserve">Dans les études sur le psoriasis, la sécurité et l’efficacité de </w:t>
      </w:r>
      <w:r w:rsidR="00694420" w:rsidRPr="002B65F7">
        <w:t>l’</w:t>
      </w:r>
      <w:r w:rsidR="0071390F" w:rsidRPr="002B65F7">
        <w:t>ustekinumab</w:t>
      </w:r>
      <w:r w:rsidRPr="002B65F7">
        <w:t xml:space="preserve"> en association avec des immunosuppresseurs, y compris des traitements biologiques, ou de la photothérapie n’ont pas été évaluées. Dans les études sur le rhumatisme psoriasique, il n’est pas apparu que l’utilisation concomitante de MTX influence la sécurité ou l’efficacité de </w:t>
      </w:r>
      <w:r w:rsidR="00694420" w:rsidRPr="002B65F7">
        <w:t>l’</w:t>
      </w:r>
      <w:r w:rsidR="0071390F" w:rsidRPr="002B65F7">
        <w:t>ustekinumab</w:t>
      </w:r>
      <w:r w:rsidRPr="002B65F7">
        <w:t xml:space="preserve">. Dans les études sur la maladie de Crohn et la rectocolite hémorragique, l’utilisation concomitante d’agents immunosuppresseurs ou de corticoïdes n’a pas semblé influencer la sécurité ou l’efficacité de </w:t>
      </w:r>
      <w:r w:rsidR="00694420" w:rsidRPr="002B65F7">
        <w:t>l’</w:t>
      </w:r>
      <w:r w:rsidR="0071390F" w:rsidRPr="002B65F7">
        <w:t>ustekinumab</w:t>
      </w:r>
      <w:r w:rsidRPr="002B65F7">
        <w:t xml:space="preserve">. Des précautions doivent être prises avant l’utilisation concomitante d’autres immunosuppresseurs avec </w:t>
      </w:r>
      <w:r w:rsidR="00694420" w:rsidRPr="002B65F7">
        <w:t>WEZENLA</w:t>
      </w:r>
      <w:r w:rsidRPr="002B65F7">
        <w:t xml:space="preserve"> ou lors du relais après d’autres immunosuppresseurs biologiques (voir rubrique</w:t>
      </w:r>
      <w:r w:rsidR="008A3CAF" w:rsidRPr="002B65F7">
        <w:t> </w:t>
      </w:r>
      <w:r w:rsidRPr="002B65F7">
        <w:t>4.5).</w:t>
      </w:r>
    </w:p>
    <w:p w14:paraId="57E16100" w14:textId="77777777" w:rsidR="008A3CAF" w:rsidRPr="002B65F7" w:rsidRDefault="008A3CAF" w:rsidP="00496255">
      <w:pPr>
        <w:widowControl/>
      </w:pPr>
    </w:p>
    <w:p w14:paraId="03B580A8" w14:textId="785E61F8" w:rsidR="00092F83" w:rsidRPr="002B65F7" w:rsidRDefault="00C31740" w:rsidP="00496255">
      <w:pPr>
        <w:keepNext/>
        <w:widowControl/>
        <w:rPr>
          <w:u w:val="single"/>
        </w:rPr>
      </w:pPr>
      <w:r w:rsidRPr="002B65F7">
        <w:rPr>
          <w:u w:val="single"/>
        </w:rPr>
        <w:t>Immunothérapie</w:t>
      </w:r>
    </w:p>
    <w:p w14:paraId="1DADE49A" w14:textId="77777777" w:rsidR="008A3CAF" w:rsidRPr="002B65F7" w:rsidRDefault="008A3CAF" w:rsidP="00496255">
      <w:pPr>
        <w:keepNext/>
        <w:widowControl/>
      </w:pPr>
    </w:p>
    <w:p w14:paraId="03B580A9" w14:textId="3B86BC0B" w:rsidR="00092F83" w:rsidRPr="002B65F7" w:rsidRDefault="00694420" w:rsidP="00496255">
      <w:pPr>
        <w:widowControl/>
      </w:pPr>
      <w:r w:rsidRPr="002B65F7">
        <w:t>L’</w:t>
      </w:r>
      <w:r w:rsidR="0071390F" w:rsidRPr="002B65F7">
        <w:t>ustekinumab</w:t>
      </w:r>
      <w:r w:rsidR="00C31740" w:rsidRPr="002B65F7">
        <w:t xml:space="preserve"> n’a pas été évalué chez des patients qui ont bénéficié d’une immunothérapie allergénique. On ne sait pas si </w:t>
      </w:r>
      <w:r w:rsidRPr="002B65F7">
        <w:t>WEZENLA</w:t>
      </w:r>
      <w:r w:rsidR="00C31740" w:rsidRPr="002B65F7">
        <w:t xml:space="preserve"> peut interférer avec une immunothérapie allergénique.</w:t>
      </w:r>
    </w:p>
    <w:p w14:paraId="3DC7415F" w14:textId="77777777" w:rsidR="008A3CAF" w:rsidRPr="002B65F7" w:rsidRDefault="008A3CAF" w:rsidP="00496255">
      <w:pPr>
        <w:widowControl/>
      </w:pPr>
    </w:p>
    <w:p w14:paraId="03B580AA" w14:textId="1ADD7B13" w:rsidR="00092F83" w:rsidRPr="002B65F7" w:rsidRDefault="00C31740" w:rsidP="00496255">
      <w:pPr>
        <w:keepNext/>
        <w:widowControl/>
        <w:rPr>
          <w:u w:val="single"/>
        </w:rPr>
      </w:pPr>
      <w:r w:rsidRPr="002B65F7">
        <w:rPr>
          <w:u w:val="single"/>
        </w:rPr>
        <w:t>Affections graves de la peau</w:t>
      </w:r>
    </w:p>
    <w:p w14:paraId="1678E04A" w14:textId="77777777" w:rsidR="008A3CAF" w:rsidRPr="002B65F7" w:rsidRDefault="008A3CAF" w:rsidP="00496255">
      <w:pPr>
        <w:keepNext/>
        <w:widowControl/>
      </w:pPr>
    </w:p>
    <w:p w14:paraId="03B580AB" w14:textId="3BEA3F08" w:rsidR="00092F83" w:rsidRPr="002B65F7" w:rsidRDefault="00C31740" w:rsidP="00496255">
      <w:pPr>
        <w:widowControl/>
      </w:pPr>
      <w:r w:rsidRPr="002B65F7">
        <w:t xml:space="preserve">Chez les patients atteints de psoriasis, une érythrodermie a été rapportée à la suite d’un traitement par </w:t>
      </w:r>
      <w:r w:rsidR="0071390F" w:rsidRPr="002B65F7">
        <w:t>ustekinumab</w:t>
      </w:r>
      <w:r w:rsidRPr="002B65F7">
        <w:t xml:space="preserve"> (voir rubrique</w:t>
      </w:r>
      <w:r w:rsidR="008A3CAF" w:rsidRPr="002B65F7">
        <w:t> </w:t>
      </w:r>
      <w:r w:rsidRPr="002B65F7">
        <w:t xml:space="preserve">4.8). Dans le cadre de l’évolution naturelle de leur maladie, les patients atteints de psoriasis en plaques peuvent développer un psoriasis érythrodermique avec des symptômes pouvant être cliniquement indifférenciables d’une érythrodermie. Dans le cadre du suivi des patients atteints de psoriasis, les médecins doivent être vigilants en cas de symptômes de psoriasis érythrodermique ou d’érythrodermie. Si ces symptômes apparaissent, un traitement approprié doit être instauré. </w:t>
      </w:r>
      <w:r w:rsidR="00694420" w:rsidRPr="002B65F7">
        <w:t>WEZENLA</w:t>
      </w:r>
      <w:r w:rsidRPr="002B65F7">
        <w:t xml:space="preserve"> doit être arrêté en cas de suspicion de réaction médicamenteuse.</w:t>
      </w:r>
    </w:p>
    <w:p w14:paraId="42EDFACA" w14:textId="77777777" w:rsidR="008A3CAF" w:rsidRPr="002B65F7" w:rsidRDefault="008A3CAF" w:rsidP="00496255">
      <w:pPr>
        <w:widowControl/>
      </w:pPr>
    </w:p>
    <w:p w14:paraId="03B580AC" w14:textId="05B9C602" w:rsidR="00092F83" w:rsidRPr="002B65F7" w:rsidRDefault="00C31740" w:rsidP="00496255">
      <w:pPr>
        <w:keepNext/>
        <w:widowControl/>
        <w:rPr>
          <w:u w:val="single"/>
        </w:rPr>
      </w:pPr>
      <w:r w:rsidRPr="002B65F7">
        <w:rPr>
          <w:u w:val="single"/>
        </w:rPr>
        <w:t>Affections liées au lupus</w:t>
      </w:r>
    </w:p>
    <w:p w14:paraId="19780925" w14:textId="77777777" w:rsidR="008A3CAF" w:rsidRPr="002B65F7" w:rsidRDefault="008A3CAF" w:rsidP="00496255">
      <w:pPr>
        <w:keepNext/>
        <w:widowControl/>
        <w:rPr>
          <w:u w:val="single"/>
        </w:rPr>
      </w:pPr>
    </w:p>
    <w:p w14:paraId="03B580AD" w14:textId="0EA3B7D4" w:rsidR="00092F83" w:rsidRPr="002B65F7" w:rsidRDefault="00C31740" w:rsidP="00496255">
      <w:pPr>
        <w:widowControl/>
      </w:pPr>
      <w:r w:rsidRPr="002B65F7">
        <w:t xml:space="preserve">Des cas d’affections liées au lupus ont été rapportés chez des patients traités par </w:t>
      </w:r>
      <w:r w:rsidR="0071390F" w:rsidRPr="002B65F7">
        <w:t>ustekinumab</w:t>
      </w:r>
      <w:r w:rsidRPr="002B65F7">
        <w:t>, notamment un lupus érythémateux cutané et un syndrome de type lupus. Si des lésions apparaissent, en particulier sur des zones de peau exposées au soleil ou si elles sont accompagnées d’arthralgies, le patient doit immédiatement consulter un médecin. Si le diagnostic d’une affection liée au lupus est confirmé, l’</w:t>
      </w:r>
      <w:r w:rsidR="0071390F" w:rsidRPr="002B65F7">
        <w:t>ustekinumab</w:t>
      </w:r>
      <w:r w:rsidRPr="002B65F7">
        <w:t xml:space="preserve"> doit être arrêté et un traitement approprié initié.</w:t>
      </w:r>
    </w:p>
    <w:p w14:paraId="0998EEBF" w14:textId="77777777" w:rsidR="008A3CAF" w:rsidRPr="002B65F7" w:rsidRDefault="008A3CAF" w:rsidP="00496255">
      <w:pPr>
        <w:widowControl/>
        <w:rPr>
          <w:u w:val="single"/>
        </w:rPr>
      </w:pPr>
    </w:p>
    <w:p w14:paraId="03B580AE" w14:textId="0DAEE522" w:rsidR="00092F83" w:rsidRPr="002B65F7" w:rsidRDefault="00C31740" w:rsidP="00496255">
      <w:pPr>
        <w:keepNext/>
        <w:widowControl/>
        <w:rPr>
          <w:u w:val="single"/>
        </w:rPr>
      </w:pPr>
      <w:r w:rsidRPr="002B65F7">
        <w:rPr>
          <w:u w:val="single"/>
        </w:rPr>
        <w:lastRenderedPageBreak/>
        <w:t>Populations particulières</w:t>
      </w:r>
    </w:p>
    <w:p w14:paraId="28EC5613" w14:textId="77777777" w:rsidR="008A3CAF" w:rsidRPr="002B65F7" w:rsidRDefault="008A3CAF" w:rsidP="00496255">
      <w:pPr>
        <w:keepNext/>
        <w:widowControl/>
      </w:pPr>
    </w:p>
    <w:p w14:paraId="03B580AF" w14:textId="5019BBC8" w:rsidR="00092F83" w:rsidRPr="002B65F7" w:rsidRDefault="00C31740" w:rsidP="00496255">
      <w:pPr>
        <w:keepNext/>
        <w:widowControl/>
        <w:rPr>
          <w:i/>
          <w:iCs/>
        </w:rPr>
      </w:pPr>
      <w:r w:rsidRPr="002B65F7">
        <w:rPr>
          <w:i/>
          <w:iCs/>
        </w:rPr>
        <w:t>Sujets âgés (≥</w:t>
      </w:r>
      <w:r w:rsidR="008A3CAF" w:rsidRPr="002B65F7">
        <w:t> </w:t>
      </w:r>
      <w:r w:rsidRPr="002B65F7">
        <w:rPr>
          <w:i/>
          <w:iCs/>
        </w:rPr>
        <w:t>65</w:t>
      </w:r>
      <w:r w:rsidR="008A3CAF" w:rsidRPr="002B65F7">
        <w:rPr>
          <w:i/>
          <w:iCs/>
        </w:rPr>
        <w:t> </w:t>
      </w:r>
      <w:r w:rsidRPr="002B65F7">
        <w:rPr>
          <w:i/>
          <w:iCs/>
        </w:rPr>
        <w:t>ans)</w:t>
      </w:r>
    </w:p>
    <w:p w14:paraId="1C11CFE3" w14:textId="77777777" w:rsidR="008A3CAF" w:rsidRPr="002B65F7" w:rsidRDefault="008A3CAF" w:rsidP="00496255">
      <w:pPr>
        <w:keepNext/>
        <w:widowControl/>
      </w:pPr>
    </w:p>
    <w:p w14:paraId="03B580B0" w14:textId="245295DB" w:rsidR="00092F83" w:rsidRDefault="00C31740" w:rsidP="00496255">
      <w:pPr>
        <w:widowControl/>
      </w:pPr>
      <w:r w:rsidRPr="002B65F7">
        <w:t>Chez les sujets âgés de 65</w:t>
      </w:r>
      <w:r w:rsidR="008A3CAF" w:rsidRPr="002B65F7">
        <w:t> </w:t>
      </w:r>
      <w:r w:rsidRPr="002B65F7">
        <w:t xml:space="preserve">ans et plus ayant reçu </w:t>
      </w:r>
      <w:r w:rsidR="00694420" w:rsidRPr="002B65F7">
        <w:t>de l’</w:t>
      </w:r>
      <w:r w:rsidR="0071390F" w:rsidRPr="002B65F7">
        <w:t>ustekinumab</w:t>
      </w:r>
      <w:r w:rsidRPr="002B65F7">
        <w:t>, aucune différence globale concernant l’efficacité et la sécurité n’a été observée en comparaison avec les sujets plus jeunes dans le cadre d’études cliniques dans les indications approuvées, cependant le nombre de patients âgés de 65</w:t>
      </w:r>
      <w:r w:rsidR="008A3CAF" w:rsidRPr="002B65F7">
        <w:t> </w:t>
      </w:r>
      <w:r w:rsidRPr="002B65F7">
        <w:t>ans et plus n’est pas suffisant pour déterminer s’ils répondent différemment des patients plus jeunes. De façon générale, en raison d’une incidence plus élevée d’infections dans la population âgée, la prudence est recommandée pendant le traitement des sujets âgés.</w:t>
      </w:r>
    </w:p>
    <w:p w14:paraId="2C495F43" w14:textId="77777777" w:rsidR="007D7266" w:rsidRDefault="007D7266" w:rsidP="00496255">
      <w:pPr>
        <w:widowControl/>
      </w:pPr>
    </w:p>
    <w:p w14:paraId="127A3486" w14:textId="3D4D8C16" w:rsidR="007D7266" w:rsidRPr="009354DA" w:rsidRDefault="007D7266" w:rsidP="007D7266">
      <w:pPr>
        <w:widowControl/>
        <w:rPr>
          <w:u w:val="single"/>
        </w:rPr>
      </w:pPr>
      <w:r w:rsidRPr="009354DA">
        <w:rPr>
          <w:u w:val="single"/>
        </w:rPr>
        <w:t>Polysorbate</w:t>
      </w:r>
      <w:r w:rsidR="00097502">
        <w:rPr>
          <w:u w:val="single"/>
        </w:rPr>
        <w:t> </w:t>
      </w:r>
      <w:r w:rsidRPr="009354DA">
        <w:rPr>
          <w:u w:val="single"/>
        </w:rPr>
        <w:t>80</w:t>
      </w:r>
    </w:p>
    <w:p w14:paraId="753DB538" w14:textId="77777777" w:rsidR="007D7266" w:rsidRDefault="007D7266" w:rsidP="007D7266">
      <w:pPr>
        <w:widowControl/>
      </w:pPr>
    </w:p>
    <w:p w14:paraId="4A2A5CAB" w14:textId="6303EA14" w:rsidR="00762B37" w:rsidRPr="002B65F7" w:rsidRDefault="007D7266" w:rsidP="00496255">
      <w:pPr>
        <w:widowControl/>
      </w:pPr>
      <w:r>
        <w:t xml:space="preserve">WEZENLA </w:t>
      </w:r>
      <w:r w:rsidR="00762B37" w:rsidRPr="00762B37">
        <w:t>contient 0,02</w:t>
      </w:r>
      <w:r w:rsidR="00762B37" w:rsidRPr="002B65F7">
        <w:rPr>
          <w:i/>
          <w:iCs/>
        </w:rPr>
        <w:t> </w:t>
      </w:r>
      <w:r w:rsidR="00762B37" w:rsidRPr="00762B37">
        <w:t>mg (45</w:t>
      </w:r>
      <w:r w:rsidR="00762B37" w:rsidRPr="002B65F7">
        <w:rPr>
          <w:i/>
          <w:iCs/>
        </w:rPr>
        <w:t> </w:t>
      </w:r>
      <w:r w:rsidR="00762B37" w:rsidRPr="00762B37">
        <w:t>mg/0,5</w:t>
      </w:r>
      <w:r w:rsidR="00762B37" w:rsidRPr="002B65F7">
        <w:rPr>
          <w:i/>
          <w:iCs/>
        </w:rPr>
        <w:t> </w:t>
      </w:r>
      <w:r w:rsidR="00762B37" w:rsidRPr="00762B37">
        <w:t>mL)</w:t>
      </w:r>
      <w:r w:rsidR="00762B37">
        <w:t xml:space="preserve"> ou </w:t>
      </w:r>
      <w:r w:rsidR="00762B37" w:rsidRPr="00762B37">
        <w:t>0,04</w:t>
      </w:r>
      <w:r w:rsidR="00762B37" w:rsidRPr="002B65F7">
        <w:rPr>
          <w:i/>
          <w:iCs/>
        </w:rPr>
        <w:t> </w:t>
      </w:r>
      <w:r w:rsidR="00762B37" w:rsidRPr="00762B37">
        <w:t>mg (90</w:t>
      </w:r>
      <w:r w:rsidR="00762B37" w:rsidRPr="002B65F7">
        <w:rPr>
          <w:i/>
          <w:iCs/>
        </w:rPr>
        <w:t> </w:t>
      </w:r>
      <w:r w:rsidR="00762B37" w:rsidRPr="00762B37">
        <w:t>mg/1,0</w:t>
      </w:r>
      <w:r w:rsidR="00762B37" w:rsidRPr="002B65F7">
        <w:rPr>
          <w:i/>
          <w:iCs/>
        </w:rPr>
        <w:t> </w:t>
      </w:r>
      <w:r w:rsidR="00762B37" w:rsidRPr="00762B37">
        <w:t>mL) de polysorbate</w:t>
      </w:r>
      <w:r w:rsidR="00762B37" w:rsidRPr="002B65F7">
        <w:rPr>
          <w:i/>
          <w:iCs/>
        </w:rPr>
        <w:t> </w:t>
      </w:r>
      <w:r w:rsidR="00762B37" w:rsidRPr="00762B37">
        <w:t>80 (E</w:t>
      </w:r>
      <w:r w:rsidR="00762B37" w:rsidRPr="002B65F7">
        <w:rPr>
          <w:i/>
          <w:iCs/>
        </w:rPr>
        <w:t> </w:t>
      </w:r>
      <w:r w:rsidR="00762B37" w:rsidRPr="00762B37">
        <w:t>433) par dose équivalent à 0,04</w:t>
      </w:r>
      <w:r w:rsidR="00762B37" w:rsidRPr="002B65F7">
        <w:rPr>
          <w:i/>
          <w:iCs/>
        </w:rPr>
        <w:t> </w:t>
      </w:r>
      <w:r w:rsidR="00762B37" w:rsidRPr="00762B37">
        <w:t>mg/mL. Les polysorbates peuvent provoquer des réactions allergiques</w:t>
      </w:r>
      <w:r>
        <w:t xml:space="preserve">. </w:t>
      </w:r>
    </w:p>
    <w:p w14:paraId="03B580B1" w14:textId="77777777" w:rsidR="00092F83" w:rsidRPr="002B65F7" w:rsidRDefault="00092F83" w:rsidP="00496255">
      <w:pPr>
        <w:widowControl/>
      </w:pPr>
    </w:p>
    <w:p w14:paraId="03B580B2" w14:textId="0C5352CC" w:rsidR="00092F83" w:rsidRPr="002B65F7" w:rsidRDefault="008A3CAF" w:rsidP="002A1095">
      <w:pPr>
        <w:keepNext/>
        <w:widowControl/>
        <w:ind w:left="567" w:hanging="567"/>
        <w:rPr>
          <w:b/>
          <w:bCs/>
        </w:rPr>
      </w:pPr>
      <w:r w:rsidRPr="002B65F7">
        <w:rPr>
          <w:b/>
          <w:bCs/>
        </w:rPr>
        <w:t>4.5</w:t>
      </w:r>
      <w:r w:rsidRPr="002B65F7">
        <w:rPr>
          <w:b/>
          <w:bCs/>
        </w:rPr>
        <w:tab/>
      </w:r>
      <w:r w:rsidR="00C31740" w:rsidRPr="002B65F7">
        <w:rPr>
          <w:b/>
          <w:bCs/>
        </w:rPr>
        <w:t>Interactions avec d’autres médicaments et autres formes d’interactions</w:t>
      </w:r>
    </w:p>
    <w:p w14:paraId="4802BD27" w14:textId="77777777" w:rsidR="008A3CAF" w:rsidRPr="002B65F7" w:rsidRDefault="008A3CAF" w:rsidP="00496255">
      <w:pPr>
        <w:keepNext/>
        <w:widowControl/>
        <w:rPr>
          <w:b/>
          <w:bCs/>
        </w:rPr>
      </w:pPr>
    </w:p>
    <w:p w14:paraId="7895B37A" w14:textId="60D46D7D" w:rsidR="00B41E23" w:rsidRPr="002B65F7" w:rsidRDefault="00C31740" w:rsidP="00496255">
      <w:pPr>
        <w:widowControl/>
      </w:pPr>
      <w:r w:rsidRPr="002B65F7">
        <w:t xml:space="preserve">Les vaccins vivants ne doivent pas être donnés de manière concomitante avec </w:t>
      </w:r>
      <w:r w:rsidR="00694420" w:rsidRPr="002B65F7">
        <w:t>WEZENLA</w:t>
      </w:r>
      <w:r w:rsidRPr="002B65F7">
        <w:t>.</w:t>
      </w:r>
    </w:p>
    <w:p w14:paraId="0ADB9DA7" w14:textId="77777777" w:rsidR="00B41E23" w:rsidRPr="002B65F7" w:rsidRDefault="00B41E23" w:rsidP="00496255">
      <w:pPr>
        <w:widowControl/>
      </w:pPr>
    </w:p>
    <w:p w14:paraId="03B580B5" w14:textId="22F7D561" w:rsidR="00092F83" w:rsidRPr="002B65F7" w:rsidRDefault="00C31740" w:rsidP="00496255">
      <w:pPr>
        <w:widowControl/>
      </w:pPr>
      <w:r w:rsidRPr="002B65F7">
        <w:t>L’administration de vaccins vivants (tel que le vaccin BCG) aux nourrissons exposés à l’</w:t>
      </w:r>
      <w:r w:rsidR="0071390F" w:rsidRPr="002B65F7">
        <w:t>ustekinumab</w:t>
      </w:r>
      <w:r w:rsidR="008A3CAF" w:rsidRPr="002B65F7">
        <w:t xml:space="preserve"> </w:t>
      </w:r>
      <w:r w:rsidRPr="002B65F7">
        <w:rPr>
          <w:i/>
          <w:iCs/>
        </w:rPr>
        <w:t>in utero</w:t>
      </w:r>
      <w:r w:rsidRPr="002B65F7">
        <w:t xml:space="preserve"> n’est pas recommandée au cours </w:t>
      </w:r>
      <w:r w:rsidR="00B91FEC" w:rsidRPr="00DD2833">
        <w:t xml:space="preserve">des </w:t>
      </w:r>
      <w:r w:rsidR="00B91FEC">
        <w:t>douze</w:t>
      </w:r>
      <w:r w:rsidR="00B91FEC" w:rsidRPr="00DD2833">
        <w:t xml:space="preserve"> </w:t>
      </w:r>
      <w:r w:rsidRPr="002B65F7">
        <w:t>mois suivant la naissance ou jusqu’à ce que les taux</w:t>
      </w:r>
      <w:r w:rsidR="008142C0" w:rsidRPr="002B65F7">
        <w:t xml:space="preserve"> </w:t>
      </w:r>
      <w:r w:rsidRPr="002B65F7">
        <w:t>sériques d’</w:t>
      </w:r>
      <w:r w:rsidR="0071390F" w:rsidRPr="002B65F7">
        <w:t>ustekinumab</w:t>
      </w:r>
      <w:r w:rsidRPr="002B65F7">
        <w:t xml:space="preserve"> soient indétectables chez le nourrisson (voir rubriques</w:t>
      </w:r>
      <w:r w:rsidR="008142C0" w:rsidRPr="002B65F7">
        <w:t> </w:t>
      </w:r>
      <w:r w:rsidRPr="002B65F7">
        <w:t>4.4 et</w:t>
      </w:r>
      <w:r w:rsidR="008142C0" w:rsidRPr="002B65F7">
        <w:t> </w:t>
      </w:r>
      <w:r w:rsidRPr="002B65F7">
        <w:t>4.6). En cas de bénéfice clinique évident pour le nourrisson, l’administration d’un vaccin vivant peut être envisagée de manière plus précoce si les taux sériques d’</w:t>
      </w:r>
      <w:r w:rsidR="0071390F" w:rsidRPr="002B65F7">
        <w:t>ustekinumab</w:t>
      </w:r>
      <w:r w:rsidRPr="002B65F7">
        <w:t xml:space="preserve"> chez le nourrisson sont indétectables.</w:t>
      </w:r>
    </w:p>
    <w:p w14:paraId="6E2C1130" w14:textId="77777777" w:rsidR="008142C0" w:rsidRPr="002B65F7" w:rsidRDefault="008142C0" w:rsidP="00496255">
      <w:pPr>
        <w:widowControl/>
      </w:pPr>
    </w:p>
    <w:p w14:paraId="03B580B7" w14:textId="2837E30C" w:rsidR="00092F83" w:rsidRPr="002B65F7" w:rsidRDefault="00C31740" w:rsidP="00496255">
      <w:pPr>
        <w:widowControl/>
      </w:pPr>
      <w:r w:rsidRPr="002B65F7">
        <w:t>Dans les analyses pharmacocinétiques de population des études de phase</w:t>
      </w:r>
      <w:r w:rsidR="00EC04AD" w:rsidRPr="002B65F7">
        <w:t> </w:t>
      </w:r>
      <w:r w:rsidRPr="002B65F7">
        <w:t>3, l’effet des médicaments les plus souvent utilisés de façon concomittante chez des patients présentant un psoriasis (incluant paracétamol, ibuprofène, acide acétylsalicylique, metformine, atorvastatine, lévothyroxine) sur la pharmacocinétique de l’</w:t>
      </w:r>
      <w:r w:rsidR="0071390F" w:rsidRPr="002B65F7">
        <w:t>ustekinumab</w:t>
      </w:r>
      <w:r w:rsidRPr="002B65F7">
        <w:t xml:space="preserve"> a été exploré. Il n’y a pas eu d’élément suggérant une interaction avec ces médicaments co-administrés. Cette analyse est fondée sur l’observation d’au moins 100</w:t>
      </w:r>
      <w:r w:rsidR="008142C0" w:rsidRPr="002B65F7">
        <w:t> </w:t>
      </w:r>
      <w:r w:rsidRPr="002B65F7">
        <w:t>patients (&gt;</w:t>
      </w:r>
      <w:r w:rsidR="008142C0" w:rsidRPr="002B65F7">
        <w:t> </w:t>
      </w:r>
      <w:r w:rsidRPr="002B65F7">
        <w:t>5% de la population étudiée) traités concomitamment par ces médicaments pendant au moins 90% de la période étudiée. La pharmacocinétique de l’</w:t>
      </w:r>
      <w:r w:rsidR="0071390F" w:rsidRPr="002B65F7">
        <w:t>ustekinumab</w:t>
      </w:r>
      <w:r w:rsidRPr="002B65F7">
        <w:t xml:space="preserve"> n’a pas été modifiée par l’utilisation concomitante de MTX, d’AINS, de 6-mercaptopurine, d’azathioprine et de corticoïdes oraux chez les patients atteints de rhumatisme psoriasique, de la maladie de Crohn ou de rectocolite hémorragique, ou par une exposition préalable à des agents anti-TNFα chez les patients atteints de rhumatisme psoriasique ou de la maladie de Crohn, ou par une exposition préalable à des agents biologiques (c’est-à-dire des agents anti-TNFα et/ou le vedolizumab) chez des patients atteints de rectocolite hémorragique.</w:t>
      </w:r>
    </w:p>
    <w:p w14:paraId="03B580B8" w14:textId="77777777" w:rsidR="00092F83" w:rsidRPr="002B65F7" w:rsidRDefault="00092F83" w:rsidP="00496255">
      <w:pPr>
        <w:widowControl/>
      </w:pPr>
    </w:p>
    <w:p w14:paraId="03B580B9" w14:textId="4FBF5C7C" w:rsidR="00092F83" w:rsidRPr="002B65F7" w:rsidRDefault="00C31740" w:rsidP="00496255">
      <w:pPr>
        <w:widowControl/>
      </w:pPr>
      <w:r w:rsidRPr="002B65F7">
        <w:t>Les résultats d’une étude in vitro</w:t>
      </w:r>
      <w:r w:rsidR="0006660B">
        <w:t xml:space="preserve"> et d’une étude de phase</w:t>
      </w:r>
      <w:r w:rsidR="00B620FE" w:rsidRPr="002B65F7">
        <w:t> </w:t>
      </w:r>
      <w:r w:rsidR="0006660B">
        <w:t>1</w:t>
      </w:r>
      <w:r w:rsidR="00B620FE" w:rsidRPr="002B65F7">
        <w:t> </w:t>
      </w:r>
      <w:r w:rsidR="0006660B">
        <w:t>chez des sujets atteints de maladie de Crohn active</w:t>
      </w:r>
      <w:r w:rsidRPr="002B65F7">
        <w:t xml:space="preserve"> ne suggèrent pas qu’il soit nécessaire d’ajuster la posologie chez les patients recevant de manière concomitante des substrats du CYP450 (voir rubrique</w:t>
      </w:r>
      <w:r w:rsidR="008142C0" w:rsidRPr="002B65F7">
        <w:t> </w:t>
      </w:r>
      <w:r w:rsidRPr="002B65F7">
        <w:t>5.2).</w:t>
      </w:r>
    </w:p>
    <w:p w14:paraId="67FFBD7C" w14:textId="77777777" w:rsidR="008142C0" w:rsidRPr="002B65F7" w:rsidRDefault="008142C0" w:rsidP="00496255">
      <w:pPr>
        <w:widowControl/>
      </w:pPr>
    </w:p>
    <w:p w14:paraId="03B580BA" w14:textId="1D437F27" w:rsidR="00092F83" w:rsidRPr="002B65F7" w:rsidRDefault="00C31740" w:rsidP="00496255">
      <w:pPr>
        <w:widowControl/>
      </w:pPr>
      <w:r w:rsidRPr="002B65F7">
        <w:t xml:space="preserve">Dans les études sur le psoriasis, la sécurité et l’efficacité de </w:t>
      </w:r>
      <w:r w:rsidR="00694420" w:rsidRPr="002B65F7">
        <w:t>l’</w:t>
      </w:r>
      <w:r w:rsidR="0071390F" w:rsidRPr="002B65F7">
        <w:t>ustekinumab</w:t>
      </w:r>
      <w:r w:rsidRPr="002B65F7">
        <w:t xml:space="preserve"> en association avec des immunosuppresseurs y compris traitements biologiques, ou la photothérapie n’ont pas été évaluées. Lors des études cliniques conduites chez les patients atteints de rhumatisme psoriasique, il n’est pas apparu que l’utilisation concomitante de MTX influence la sécurité ou l’efficacité de </w:t>
      </w:r>
      <w:r w:rsidR="00694420" w:rsidRPr="002B65F7">
        <w:t>l’</w:t>
      </w:r>
      <w:r w:rsidR="0071390F" w:rsidRPr="002B65F7">
        <w:t>ustekinumab</w:t>
      </w:r>
      <w:r w:rsidRPr="002B65F7">
        <w:t xml:space="preserve">. Dans les études sur la maladie de Crohn et la rectocolite hémorragique, l’utilisation concomitante d’agents immunosuppresseurs ou de corticoïdes n’a pas semblé influencer la sécurité ou l’efficacité de </w:t>
      </w:r>
      <w:r w:rsidR="00694420" w:rsidRPr="002B65F7">
        <w:t>l’</w:t>
      </w:r>
      <w:r w:rsidR="0071390F" w:rsidRPr="002B65F7">
        <w:t>ustekinumab</w:t>
      </w:r>
      <w:r w:rsidRPr="002B65F7">
        <w:t xml:space="preserve"> (voir rubrique</w:t>
      </w:r>
      <w:r w:rsidR="008142C0" w:rsidRPr="002B65F7">
        <w:t> </w:t>
      </w:r>
      <w:r w:rsidRPr="002B65F7">
        <w:t>4.4).</w:t>
      </w:r>
    </w:p>
    <w:p w14:paraId="03B580BB" w14:textId="77777777" w:rsidR="00092F83" w:rsidRPr="002B65F7" w:rsidRDefault="00092F83" w:rsidP="00496255">
      <w:pPr>
        <w:widowControl/>
      </w:pPr>
    </w:p>
    <w:p w14:paraId="03B580BC" w14:textId="7A93DE5A" w:rsidR="00092F83" w:rsidRPr="002B65F7" w:rsidRDefault="008142C0" w:rsidP="002A1095">
      <w:pPr>
        <w:keepNext/>
        <w:widowControl/>
        <w:ind w:left="567" w:hanging="567"/>
        <w:rPr>
          <w:b/>
          <w:bCs/>
        </w:rPr>
      </w:pPr>
      <w:r w:rsidRPr="002B65F7">
        <w:rPr>
          <w:b/>
          <w:bCs/>
        </w:rPr>
        <w:lastRenderedPageBreak/>
        <w:t>4.6</w:t>
      </w:r>
      <w:r w:rsidRPr="002B65F7">
        <w:rPr>
          <w:b/>
          <w:bCs/>
        </w:rPr>
        <w:tab/>
      </w:r>
      <w:r w:rsidR="00C31740" w:rsidRPr="002B65F7">
        <w:rPr>
          <w:b/>
          <w:bCs/>
        </w:rPr>
        <w:t>Fertilité, grossesse et allaitement</w:t>
      </w:r>
    </w:p>
    <w:p w14:paraId="03B580BD" w14:textId="77777777" w:rsidR="00092F83" w:rsidRPr="002B65F7" w:rsidRDefault="00092F83" w:rsidP="00496255">
      <w:pPr>
        <w:keepNext/>
        <w:widowControl/>
      </w:pPr>
    </w:p>
    <w:p w14:paraId="03B580BE" w14:textId="77777777" w:rsidR="00092F83" w:rsidRPr="002B65F7" w:rsidRDefault="00C31740" w:rsidP="00496255">
      <w:pPr>
        <w:keepNext/>
        <w:widowControl/>
        <w:rPr>
          <w:u w:val="single"/>
        </w:rPr>
      </w:pPr>
      <w:r w:rsidRPr="002B65F7">
        <w:rPr>
          <w:u w:val="single"/>
        </w:rPr>
        <w:t>Femmes en âge de procréer</w:t>
      </w:r>
    </w:p>
    <w:p w14:paraId="696FCEC1" w14:textId="77777777" w:rsidR="008142C0" w:rsidRPr="002B65F7" w:rsidRDefault="008142C0" w:rsidP="00496255">
      <w:pPr>
        <w:keepNext/>
        <w:widowControl/>
        <w:rPr>
          <w:u w:val="single"/>
        </w:rPr>
      </w:pPr>
    </w:p>
    <w:p w14:paraId="03B580BF" w14:textId="29D24184" w:rsidR="00092F83" w:rsidRPr="002B65F7" w:rsidRDefault="00C31740" w:rsidP="00496255">
      <w:pPr>
        <w:widowControl/>
      </w:pPr>
      <w:r w:rsidRPr="002B65F7">
        <w:t>Les femmes en âge de procréer doivent utiliser une méthode contraceptive efficace pendant le traitement et au moins pendant les 15</w:t>
      </w:r>
      <w:r w:rsidR="001A19D9" w:rsidRPr="002B65F7">
        <w:t> </w:t>
      </w:r>
      <w:r w:rsidRPr="002B65F7">
        <w:t>semaines qui suivent l’arrêt du traitement.</w:t>
      </w:r>
    </w:p>
    <w:p w14:paraId="0E17AC4A" w14:textId="77777777" w:rsidR="005022F1" w:rsidRPr="002B65F7" w:rsidRDefault="005022F1" w:rsidP="00496255">
      <w:pPr>
        <w:widowControl/>
      </w:pPr>
    </w:p>
    <w:p w14:paraId="03B580C0" w14:textId="01BEC1A6" w:rsidR="00092F83" w:rsidRPr="002B65F7" w:rsidRDefault="00C31740" w:rsidP="00496255">
      <w:pPr>
        <w:keepNext/>
        <w:widowControl/>
        <w:rPr>
          <w:u w:val="single"/>
        </w:rPr>
      </w:pPr>
      <w:r w:rsidRPr="002B65F7">
        <w:rPr>
          <w:u w:val="single"/>
        </w:rPr>
        <w:t>Grossesse</w:t>
      </w:r>
    </w:p>
    <w:p w14:paraId="58A94778" w14:textId="77777777" w:rsidR="005022F1" w:rsidRPr="002B65F7" w:rsidRDefault="005022F1" w:rsidP="00496255">
      <w:pPr>
        <w:keepNext/>
        <w:widowControl/>
      </w:pPr>
    </w:p>
    <w:p w14:paraId="2BADB13C" w14:textId="77777777" w:rsidR="00B91FEC" w:rsidRDefault="00B91FEC" w:rsidP="00B91FEC">
      <w:pPr>
        <w:widowControl/>
      </w:pPr>
      <w:r>
        <w:t>Les données, recueillies de manière prospective après exposition à l’ustekinumab, issues d’un nombre modéré de grossesses avec une évolution connue, incluant plus de 450 grossesses exposées au cours du premier trimestre, n’indiquent pas de risque accru de malformations congénitales majeures chez le nouveau-né.</w:t>
      </w:r>
    </w:p>
    <w:p w14:paraId="41751E0B" w14:textId="77777777" w:rsidR="00B91FEC" w:rsidRDefault="00B91FEC" w:rsidP="00B91FEC">
      <w:pPr>
        <w:widowControl/>
      </w:pPr>
    </w:p>
    <w:p w14:paraId="450E5E44" w14:textId="77777777" w:rsidR="00B91FEC" w:rsidRDefault="00B91FEC" w:rsidP="00B91FEC">
      <w:pPr>
        <w:widowControl/>
      </w:pPr>
      <w:r w:rsidRPr="00DD2833">
        <w:t>Les études effectuées chez l’animal n’ont pas mis en évidence d’effets délétères directs ou indirects sur la gestation, le développement embryonnaire/fœtal, la parturition ou le développement post-natal (voir rubrique</w:t>
      </w:r>
      <w:r>
        <w:t> </w:t>
      </w:r>
      <w:r w:rsidRPr="00DD2833">
        <w:t xml:space="preserve">5.3). </w:t>
      </w:r>
    </w:p>
    <w:p w14:paraId="5343417A" w14:textId="77777777" w:rsidR="00B91FEC" w:rsidRDefault="00B91FEC" w:rsidP="00B91FEC">
      <w:pPr>
        <w:widowControl/>
      </w:pPr>
    </w:p>
    <w:p w14:paraId="5633B8F0" w14:textId="77777777" w:rsidR="00B91FEC" w:rsidRPr="00DD2833" w:rsidRDefault="00B91FEC" w:rsidP="00B91FEC">
      <w:pPr>
        <w:widowControl/>
      </w:pPr>
      <w:r>
        <w:t xml:space="preserve">Cependant, l’expérience clinique disponible est limitée. </w:t>
      </w:r>
      <w:r w:rsidRPr="00DD2833">
        <w:t xml:space="preserve">Par mesure de précaution, il est préférable d’éviter l’utilisation de </w:t>
      </w:r>
      <w:r w:rsidRPr="00CE643A">
        <w:t>WEZENLA</w:t>
      </w:r>
      <w:r w:rsidRPr="00DD2833">
        <w:t xml:space="preserve"> pendant la grossesse.</w:t>
      </w:r>
    </w:p>
    <w:p w14:paraId="194AC44E" w14:textId="77777777" w:rsidR="00B91FEC" w:rsidRDefault="00B91FEC" w:rsidP="00B91FEC">
      <w:pPr>
        <w:widowControl/>
      </w:pPr>
    </w:p>
    <w:p w14:paraId="03B580C3" w14:textId="64599423" w:rsidR="00092F83" w:rsidRPr="002B65F7" w:rsidRDefault="00B91FEC" w:rsidP="00B91FEC">
      <w:pPr>
        <w:widowControl/>
      </w:pPr>
      <w:r w:rsidRPr="00DD2833">
        <w:t>L’</w:t>
      </w:r>
      <w:r>
        <w:t>ustekinumab</w:t>
      </w:r>
      <w:r w:rsidRPr="00DD2833">
        <w:t xml:space="preserve"> traverse la barrière placentaire, il a été détecté dans le sérum de nourrissons nés de patientes traitées par </w:t>
      </w:r>
      <w:r>
        <w:t>ustekinumab</w:t>
      </w:r>
      <w:r w:rsidRPr="00DD2833">
        <w:t xml:space="preserve"> au cours de la grossesse. L’impact clinique en est inconnu, toutefois, le risque d’infection des nourrissons exposés à l’</w:t>
      </w:r>
      <w:r>
        <w:t>ustekinumab</w:t>
      </w:r>
      <w:r w:rsidRPr="00DD2833">
        <w:t xml:space="preserve"> </w:t>
      </w:r>
      <w:r w:rsidRPr="00C27136">
        <w:rPr>
          <w:i/>
          <w:iCs/>
        </w:rPr>
        <w:t>in utero</w:t>
      </w:r>
      <w:r w:rsidRPr="00DD2833">
        <w:t xml:space="preserve"> peut être augmenté après la naissance.</w:t>
      </w:r>
      <w:r>
        <w:t xml:space="preserve"> </w:t>
      </w:r>
      <w:r w:rsidRPr="00DD2833">
        <w:t>L’administration de vaccins vivants (tel que le vaccin BCG) aux nourrissons exposés à l’</w:t>
      </w:r>
      <w:r>
        <w:t>ustekinumab</w:t>
      </w:r>
      <w:r w:rsidRPr="00DD2833">
        <w:t xml:space="preserve"> </w:t>
      </w:r>
      <w:r w:rsidRPr="000B1C54">
        <w:rPr>
          <w:i/>
          <w:iCs/>
        </w:rPr>
        <w:t>in utero</w:t>
      </w:r>
      <w:r w:rsidRPr="00DD2833">
        <w:t xml:space="preserve"> n’est pas recommandée au cours des </w:t>
      </w:r>
      <w:r>
        <w:t>douze</w:t>
      </w:r>
      <w:r w:rsidRPr="00DD2833">
        <w:t xml:space="preserve"> mois suivant la naissance ou jusqu’à ce que les taux sériques d’</w:t>
      </w:r>
      <w:r>
        <w:t>ustekinumab</w:t>
      </w:r>
      <w:r w:rsidRPr="00DD2833">
        <w:t xml:space="preserve"> soient indétectables chez le nourrisson (voir rubriques 4.</w:t>
      </w:r>
      <w:r w:rsidRPr="000B1C54">
        <w:t>4</w:t>
      </w:r>
      <w:r>
        <w:t> </w:t>
      </w:r>
      <w:r w:rsidRPr="000B1C54">
        <w:t>et</w:t>
      </w:r>
      <w:r>
        <w:t> </w:t>
      </w:r>
      <w:r w:rsidRPr="00DD2833">
        <w:t>4.5). En cas de bénéfice clinique évident pour le nourrisson, l’administration d’un vaccin vivant peut être envisagée de manière plus précoce si les taux sériques d’</w:t>
      </w:r>
      <w:r>
        <w:t>ustekinumab</w:t>
      </w:r>
      <w:r w:rsidRPr="00DD2833">
        <w:t xml:space="preserve"> chez le nourrisson sont indétectables.</w:t>
      </w:r>
    </w:p>
    <w:p w14:paraId="1BCEB59C" w14:textId="77777777" w:rsidR="000B1C54" w:rsidRPr="002B65F7" w:rsidRDefault="000B1C54" w:rsidP="00496255">
      <w:pPr>
        <w:widowControl/>
      </w:pPr>
    </w:p>
    <w:p w14:paraId="03B580C4" w14:textId="362746AA" w:rsidR="00092F83" w:rsidRPr="002B65F7" w:rsidRDefault="00C31740" w:rsidP="00496255">
      <w:pPr>
        <w:keepNext/>
        <w:widowControl/>
        <w:rPr>
          <w:u w:val="single"/>
        </w:rPr>
      </w:pPr>
      <w:r w:rsidRPr="002B65F7">
        <w:rPr>
          <w:u w:val="single"/>
        </w:rPr>
        <w:t>Allaitement</w:t>
      </w:r>
    </w:p>
    <w:p w14:paraId="523D547F" w14:textId="77777777" w:rsidR="000B1C54" w:rsidRPr="002B65F7" w:rsidRDefault="000B1C54" w:rsidP="00496255">
      <w:pPr>
        <w:keepNext/>
        <w:widowControl/>
      </w:pPr>
    </w:p>
    <w:p w14:paraId="03B580C5" w14:textId="5ED3F622" w:rsidR="00092F83" w:rsidRPr="002B65F7" w:rsidRDefault="00C31740" w:rsidP="00496255">
      <w:pPr>
        <w:widowControl/>
      </w:pPr>
      <w:r w:rsidRPr="002B65F7">
        <w:t>Les données issues de la littérature sont limitées et suggèrent que l’</w:t>
      </w:r>
      <w:r w:rsidR="0071390F" w:rsidRPr="002B65F7">
        <w:t>ustekinumab</w:t>
      </w:r>
      <w:r w:rsidRPr="002B65F7">
        <w:t xml:space="preserve"> est excrété en très faible quantité dans le lait maternel humain. On ne sait pas si l’</w:t>
      </w:r>
      <w:r w:rsidR="0071390F" w:rsidRPr="002B65F7">
        <w:t>ustekinumab</w:t>
      </w:r>
      <w:r w:rsidRPr="002B65F7">
        <w:t xml:space="preserve"> passe dans la circulation systémique après ingestion. A cause du risque potentiel d’effets indésirables de l’</w:t>
      </w:r>
      <w:r w:rsidR="0071390F" w:rsidRPr="002B65F7">
        <w:t>ustekinumab</w:t>
      </w:r>
      <w:r w:rsidRPr="002B65F7">
        <w:t xml:space="preserve"> chez les nourrissons allaités, l’arrêt de l’allaitement pendant le traitement et pendant les 15</w:t>
      </w:r>
      <w:r w:rsidR="000B1C54" w:rsidRPr="002B65F7">
        <w:t> </w:t>
      </w:r>
      <w:r w:rsidRPr="002B65F7">
        <w:t xml:space="preserve">semaines qui suivent l’arrêt du traitement par </w:t>
      </w:r>
      <w:r w:rsidR="001C3D92" w:rsidRPr="002B65F7">
        <w:t>WEZENLA</w:t>
      </w:r>
      <w:r w:rsidRPr="002B65F7">
        <w:t xml:space="preserve"> doit être évalué, en tenant compte du bénéfice de l’allaitement pour l’enfant et de celui du traitement par </w:t>
      </w:r>
      <w:r w:rsidR="001C3D92" w:rsidRPr="002B65F7">
        <w:t>WEZENLA</w:t>
      </w:r>
      <w:r w:rsidRPr="002B65F7">
        <w:t xml:space="preserve"> pour la femme.</w:t>
      </w:r>
    </w:p>
    <w:p w14:paraId="15960FE7" w14:textId="77777777" w:rsidR="00D331A3" w:rsidRPr="002B65F7" w:rsidRDefault="00D331A3" w:rsidP="00496255">
      <w:pPr>
        <w:widowControl/>
      </w:pPr>
    </w:p>
    <w:p w14:paraId="03B580C7" w14:textId="175AE87F" w:rsidR="00092F83" w:rsidRPr="002B65F7" w:rsidRDefault="00C31740" w:rsidP="00496255">
      <w:pPr>
        <w:keepNext/>
        <w:widowControl/>
        <w:rPr>
          <w:u w:val="single"/>
        </w:rPr>
      </w:pPr>
      <w:r w:rsidRPr="002B65F7">
        <w:rPr>
          <w:u w:val="single"/>
        </w:rPr>
        <w:t>Fertilité</w:t>
      </w:r>
    </w:p>
    <w:p w14:paraId="2C3F1D1B" w14:textId="77777777" w:rsidR="002D0B8B" w:rsidRPr="002B65F7" w:rsidRDefault="002D0B8B" w:rsidP="00496255">
      <w:pPr>
        <w:keepNext/>
        <w:widowControl/>
        <w:rPr>
          <w:u w:val="single"/>
        </w:rPr>
      </w:pPr>
    </w:p>
    <w:p w14:paraId="03B580C8" w14:textId="494AA94F" w:rsidR="00092F83" w:rsidRPr="002B65F7" w:rsidRDefault="00C31740" w:rsidP="00496255">
      <w:pPr>
        <w:widowControl/>
      </w:pPr>
      <w:r w:rsidRPr="002B65F7">
        <w:t>L’effet de l’</w:t>
      </w:r>
      <w:r w:rsidR="0071390F" w:rsidRPr="002B65F7">
        <w:t>ustekinumab</w:t>
      </w:r>
      <w:r w:rsidRPr="002B65F7">
        <w:t xml:space="preserve"> sur la fertilité humaine n’a pas été évalué (voir rubrique</w:t>
      </w:r>
      <w:r w:rsidR="002D0B8B" w:rsidRPr="002B65F7">
        <w:t> </w:t>
      </w:r>
      <w:r w:rsidRPr="002B65F7">
        <w:t>5.3).</w:t>
      </w:r>
    </w:p>
    <w:p w14:paraId="03B580C9" w14:textId="77777777" w:rsidR="00092F83" w:rsidRPr="002B65F7" w:rsidRDefault="00092F83" w:rsidP="00496255">
      <w:pPr>
        <w:widowControl/>
      </w:pPr>
    </w:p>
    <w:p w14:paraId="03B580CA" w14:textId="2CD9E8C1" w:rsidR="00092F83" w:rsidRPr="002B65F7" w:rsidRDefault="002D0B8B" w:rsidP="002A1095">
      <w:pPr>
        <w:keepNext/>
        <w:widowControl/>
        <w:ind w:left="567" w:hanging="567"/>
        <w:rPr>
          <w:b/>
          <w:bCs/>
        </w:rPr>
      </w:pPr>
      <w:r w:rsidRPr="002B65F7">
        <w:rPr>
          <w:b/>
          <w:bCs/>
        </w:rPr>
        <w:t>4.7</w:t>
      </w:r>
      <w:r w:rsidRPr="002B65F7">
        <w:rPr>
          <w:b/>
          <w:bCs/>
        </w:rPr>
        <w:tab/>
      </w:r>
      <w:r w:rsidR="00C31740" w:rsidRPr="002B65F7">
        <w:rPr>
          <w:b/>
          <w:bCs/>
        </w:rPr>
        <w:t>Effets sur l’aptitude à conduire des véhicules et à utiliser des machines</w:t>
      </w:r>
    </w:p>
    <w:p w14:paraId="03B580CB" w14:textId="77777777" w:rsidR="00092F83" w:rsidRPr="002B65F7" w:rsidRDefault="00092F83" w:rsidP="00496255">
      <w:pPr>
        <w:keepNext/>
        <w:widowControl/>
      </w:pPr>
    </w:p>
    <w:p w14:paraId="03B580CC" w14:textId="6C6D57E3" w:rsidR="00092F83" w:rsidRPr="002B65F7" w:rsidRDefault="001C3D92" w:rsidP="00496255">
      <w:pPr>
        <w:widowControl/>
      </w:pPr>
      <w:r w:rsidRPr="002B65F7">
        <w:t>WEZENLA</w:t>
      </w:r>
      <w:r w:rsidR="00C31740" w:rsidRPr="002B65F7">
        <w:t xml:space="preserve"> n’a aucun effet ou qu’un effet négligeable sur l’aptitude à conduire des véhicules et à utiliser des machines.</w:t>
      </w:r>
    </w:p>
    <w:p w14:paraId="03B580CD" w14:textId="77777777" w:rsidR="00092F83" w:rsidRPr="002B65F7" w:rsidRDefault="00092F83" w:rsidP="00496255">
      <w:pPr>
        <w:widowControl/>
      </w:pPr>
    </w:p>
    <w:p w14:paraId="03B580CE" w14:textId="0F4ADC7C" w:rsidR="00092F83" w:rsidRPr="002B65F7" w:rsidRDefault="002D0B8B" w:rsidP="002A1095">
      <w:pPr>
        <w:keepNext/>
        <w:widowControl/>
        <w:ind w:left="567" w:hanging="567"/>
        <w:rPr>
          <w:b/>
          <w:bCs/>
        </w:rPr>
      </w:pPr>
      <w:r w:rsidRPr="002B65F7">
        <w:rPr>
          <w:b/>
          <w:bCs/>
        </w:rPr>
        <w:t>4.8</w:t>
      </w:r>
      <w:r w:rsidRPr="002B65F7">
        <w:rPr>
          <w:b/>
          <w:bCs/>
        </w:rPr>
        <w:tab/>
      </w:r>
      <w:r w:rsidR="00C31740" w:rsidRPr="002B65F7">
        <w:rPr>
          <w:b/>
          <w:bCs/>
        </w:rPr>
        <w:t>Effets indésirables</w:t>
      </w:r>
    </w:p>
    <w:p w14:paraId="03B580CF" w14:textId="77777777" w:rsidR="00092F83" w:rsidRPr="002B65F7" w:rsidRDefault="00092F83" w:rsidP="00496255">
      <w:pPr>
        <w:keepNext/>
        <w:widowControl/>
      </w:pPr>
    </w:p>
    <w:p w14:paraId="03B580D0" w14:textId="77777777" w:rsidR="00092F83" w:rsidRPr="002B65F7" w:rsidRDefault="00C31740" w:rsidP="00496255">
      <w:pPr>
        <w:keepNext/>
        <w:widowControl/>
        <w:rPr>
          <w:u w:val="single"/>
        </w:rPr>
      </w:pPr>
      <w:r w:rsidRPr="002B65F7">
        <w:rPr>
          <w:u w:val="single"/>
        </w:rPr>
        <w:t>Résumé du profil de sécurité</w:t>
      </w:r>
    </w:p>
    <w:p w14:paraId="04E50468" w14:textId="77777777" w:rsidR="002D0B8B" w:rsidRPr="002B65F7" w:rsidRDefault="002D0B8B" w:rsidP="00496255">
      <w:pPr>
        <w:keepNext/>
        <w:widowControl/>
        <w:rPr>
          <w:u w:val="single"/>
        </w:rPr>
      </w:pPr>
    </w:p>
    <w:p w14:paraId="03B580D1" w14:textId="63D6776C" w:rsidR="00092F83" w:rsidRPr="002B65F7" w:rsidRDefault="00C31740" w:rsidP="00496255">
      <w:pPr>
        <w:widowControl/>
      </w:pPr>
      <w:r w:rsidRPr="002B65F7">
        <w:t>Les effets indésirables les plus fréquents (&gt;</w:t>
      </w:r>
      <w:r w:rsidR="002D0B8B" w:rsidRPr="002B65F7">
        <w:t> </w:t>
      </w:r>
      <w:r w:rsidRPr="002B65F7">
        <w:t>5%) dans les phases contrôlées des études cliniques sur le psoriasis, le rhumatisme psoriasique, la maladie de Crohn et la rectocolite hémorragique chez l’adulte avec l’</w:t>
      </w:r>
      <w:r w:rsidR="0071390F" w:rsidRPr="002B65F7">
        <w:t>ustekinumab</w:t>
      </w:r>
      <w:r w:rsidRPr="002B65F7">
        <w:t xml:space="preserve"> étaient des rhinopharyngites et des céphalées. La plupart ont été considérés comme étant légers et n’ont pas nécessité d’interruption du traitement étudié. Les effets indésirables </w:t>
      </w:r>
      <w:r w:rsidRPr="002B65F7">
        <w:lastRenderedPageBreak/>
        <w:t xml:space="preserve">les plus graves rapportés avec </w:t>
      </w:r>
      <w:r w:rsidR="001C3D92" w:rsidRPr="002B65F7">
        <w:t>l’</w:t>
      </w:r>
      <w:r w:rsidR="0071390F" w:rsidRPr="002B65F7">
        <w:t>ustekinumab</w:t>
      </w:r>
      <w:r w:rsidRPr="002B65F7">
        <w:t xml:space="preserve"> sont des réactions d’hypersensibilité graves incluant l’anaphylaxie (voir rubrique</w:t>
      </w:r>
      <w:r w:rsidR="00BD4CC2" w:rsidRPr="002B65F7">
        <w:t> </w:t>
      </w:r>
      <w:r w:rsidRPr="002B65F7">
        <w:t>4.4). Le profil de sécurité global était similaire pour les patients atteints de psoriasis, de rhumatisme psoriasique, de la maladie de Crohn et de rectocolite hémorragique.</w:t>
      </w:r>
    </w:p>
    <w:p w14:paraId="202BB06A" w14:textId="77777777" w:rsidR="002D0B8B" w:rsidRPr="002B65F7" w:rsidRDefault="002D0B8B" w:rsidP="00496255">
      <w:pPr>
        <w:widowControl/>
      </w:pPr>
    </w:p>
    <w:p w14:paraId="03B580D2" w14:textId="2737BBC8" w:rsidR="00092F83" w:rsidRPr="002B65F7" w:rsidRDefault="00C31740" w:rsidP="00496255">
      <w:pPr>
        <w:keepNext/>
        <w:widowControl/>
        <w:rPr>
          <w:u w:val="single"/>
        </w:rPr>
      </w:pPr>
      <w:r w:rsidRPr="002B65F7">
        <w:rPr>
          <w:u w:val="single"/>
        </w:rPr>
        <w:t>Tableau des effets indésirables</w:t>
      </w:r>
    </w:p>
    <w:p w14:paraId="54E160D3" w14:textId="77777777" w:rsidR="00873329" w:rsidRPr="002B65F7" w:rsidRDefault="00873329" w:rsidP="00496255">
      <w:pPr>
        <w:keepNext/>
        <w:widowControl/>
        <w:rPr>
          <w:u w:val="single"/>
        </w:rPr>
      </w:pPr>
    </w:p>
    <w:p w14:paraId="03B580D3" w14:textId="6566E4DB" w:rsidR="00092F83" w:rsidRPr="002B65F7" w:rsidRDefault="00C31740" w:rsidP="00496255">
      <w:pPr>
        <w:widowControl/>
      </w:pPr>
      <w:r w:rsidRPr="002B65F7">
        <w:t>Les données de sécurité décrites ci-dessous reflètent l’exposition de sujets adultes à l’</w:t>
      </w:r>
      <w:r w:rsidR="0071390F" w:rsidRPr="002B65F7">
        <w:t>ustekinumab</w:t>
      </w:r>
      <w:r w:rsidRPr="002B65F7">
        <w:t xml:space="preserve"> dans 14</w:t>
      </w:r>
      <w:r w:rsidR="007F10EE" w:rsidRPr="002B65F7">
        <w:t> </w:t>
      </w:r>
      <w:r w:rsidRPr="002B65F7">
        <w:t>études de phase 2</w:t>
      </w:r>
      <w:r w:rsidR="007F10EE" w:rsidRPr="002B65F7">
        <w:t> </w:t>
      </w:r>
      <w:r w:rsidRPr="002B65F7">
        <w:t>et de phase</w:t>
      </w:r>
      <w:r w:rsidR="007F10EE" w:rsidRPr="002B65F7">
        <w:t> </w:t>
      </w:r>
      <w:r w:rsidRPr="002B65F7">
        <w:t>3 menées chez 6</w:t>
      </w:r>
      <w:r w:rsidR="00912BED" w:rsidRPr="002B65F7">
        <w:t> </w:t>
      </w:r>
      <w:r w:rsidRPr="002B65F7">
        <w:t>7</w:t>
      </w:r>
      <w:r w:rsidR="00146587">
        <w:t>10</w:t>
      </w:r>
      <w:r w:rsidR="001A19D9" w:rsidRPr="002B65F7">
        <w:t> </w:t>
      </w:r>
      <w:r w:rsidRPr="002B65F7">
        <w:t>patients (4</w:t>
      </w:r>
      <w:r w:rsidR="00912BED" w:rsidRPr="002B65F7">
        <w:t> </w:t>
      </w:r>
      <w:r w:rsidRPr="002B65F7">
        <w:t>135</w:t>
      </w:r>
      <w:r w:rsidR="001A19D9" w:rsidRPr="002B65F7">
        <w:t> </w:t>
      </w:r>
      <w:r w:rsidRPr="002B65F7">
        <w:t>atteints de psoriasis et/ou de rhumatisme psoriasique, 1</w:t>
      </w:r>
      <w:r w:rsidR="007F10EE" w:rsidRPr="002B65F7">
        <w:t> </w:t>
      </w:r>
      <w:r w:rsidRPr="002B65F7">
        <w:t>749</w:t>
      </w:r>
      <w:r w:rsidR="001A19D9" w:rsidRPr="002B65F7">
        <w:t> </w:t>
      </w:r>
      <w:r w:rsidRPr="002B65F7">
        <w:t>atteints de la maladie de Crohn et 82</w:t>
      </w:r>
      <w:r w:rsidR="00146587">
        <w:t>6</w:t>
      </w:r>
      <w:r w:rsidR="007F10EE" w:rsidRPr="002B65F7">
        <w:t> </w:t>
      </w:r>
      <w:r w:rsidRPr="002B65F7">
        <w:t xml:space="preserve">patients atteints de rectocolite hémorragique). Cela inclut l’exposition à </w:t>
      </w:r>
      <w:r w:rsidR="007671E8" w:rsidRPr="002B65F7">
        <w:t xml:space="preserve">l’ustekinumab </w:t>
      </w:r>
      <w:r w:rsidRPr="002B65F7">
        <w:t>dans les phases contrôlées et non contrôlées des études cliniques</w:t>
      </w:r>
      <w:r w:rsidR="00146587">
        <w:t xml:space="preserve"> chez les patients atteints de psoriasis, de rhumatisme psoriasique, de maladie de Crohn ou de rectocolite hémorragique pendant au moins 6 mois (4 577 patients) ou au moins 1 an (3</w:t>
      </w:r>
      <w:r w:rsidR="00146587" w:rsidRPr="002B65F7">
        <w:t> </w:t>
      </w:r>
      <w:r w:rsidR="00146587">
        <w:t>648 patients).</w:t>
      </w:r>
      <w:r w:rsidRPr="002B65F7">
        <w:t xml:space="preserve"> </w:t>
      </w:r>
      <w:r w:rsidR="00146587">
        <w:t>2</w:t>
      </w:r>
      <w:r w:rsidR="00146587" w:rsidRPr="002B65F7">
        <w:t> </w:t>
      </w:r>
      <w:r w:rsidR="00146587">
        <w:t>194 patients atteints de psoriasis, de maladie de Crohn ou de rectocolite hémorragique, ont été exposés pendant au moins 4</w:t>
      </w:r>
      <w:r w:rsidR="00146587" w:rsidRPr="002B65F7">
        <w:t> </w:t>
      </w:r>
      <w:r w:rsidR="00146587">
        <w:t>ans tandis que 1</w:t>
      </w:r>
      <w:r w:rsidR="00146587" w:rsidRPr="002B65F7">
        <w:t> </w:t>
      </w:r>
      <w:r w:rsidR="00146587">
        <w:t>148 patients atteints de psoriasis ou de maladie de Crohn ont été exposés pendant au moins 5</w:t>
      </w:r>
      <w:r w:rsidR="00146587" w:rsidRPr="002B65F7">
        <w:t> </w:t>
      </w:r>
      <w:r w:rsidR="00146587">
        <w:t>ans.</w:t>
      </w:r>
    </w:p>
    <w:p w14:paraId="37C9560B" w14:textId="77777777" w:rsidR="008A046E" w:rsidRPr="002B65F7" w:rsidRDefault="008A046E" w:rsidP="00496255">
      <w:pPr>
        <w:widowControl/>
      </w:pPr>
    </w:p>
    <w:p w14:paraId="03B580D5" w14:textId="555041DD" w:rsidR="00092F83" w:rsidRPr="002B65F7" w:rsidRDefault="00C31740" w:rsidP="00496255">
      <w:pPr>
        <w:keepNext/>
        <w:keepLines/>
        <w:widowControl/>
      </w:pPr>
      <w:r w:rsidRPr="002B65F7">
        <w:t xml:space="preserve">Le </w:t>
      </w:r>
      <w:r w:rsidR="00A23DF7" w:rsidRPr="002B65F7">
        <w:t>t</w:t>
      </w:r>
      <w:r w:rsidRPr="002B65F7">
        <w:t>ableau</w:t>
      </w:r>
      <w:r w:rsidR="008A046E" w:rsidRPr="002B65F7">
        <w:t> </w:t>
      </w:r>
      <w:r w:rsidRPr="002B65F7">
        <w:t xml:space="preserve">3 fournit une liste des effets indésirables observés chez des adultes dans les études cliniques sur le psoriasis, le rhumatisme psoriasique, la maladie de Crohn et la rectocolite hémorragique, ainsi que les effets indésirables déclarés depuis la mise sur le marché du produit. Les effets indésirables sont classés par </w:t>
      </w:r>
      <w:r w:rsidR="00A23DF7" w:rsidRPr="002B65F7">
        <w:t>c</w:t>
      </w:r>
      <w:r w:rsidRPr="002B65F7">
        <w:t xml:space="preserve">lasses de </w:t>
      </w:r>
      <w:r w:rsidR="00A23DF7" w:rsidRPr="002B65F7">
        <w:t>s</w:t>
      </w:r>
      <w:r w:rsidRPr="002B65F7">
        <w:t>ystèmes d’</w:t>
      </w:r>
      <w:r w:rsidR="00A23DF7" w:rsidRPr="002B65F7">
        <w:t>o</w:t>
      </w:r>
      <w:r w:rsidRPr="002B65F7">
        <w:t xml:space="preserve">rganes et par fréquence, en utilisant les catégories suivantes : </w:t>
      </w:r>
      <w:r w:rsidR="00A23DF7" w:rsidRPr="002B65F7">
        <w:t>t</w:t>
      </w:r>
      <w:r w:rsidRPr="002B65F7">
        <w:t>rès fréquent (≥</w:t>
      </w:r>
      <w:r w:rsidR="00666160" w:rsidRPr="002B65F7">
        <w:t> </w:t>
      </w:r>
      <w:r w:rsidRPr="002B65F7">
        <w:t xml:space="preserve">1/10), </w:t>
      </w:r>
      <w:r w:rsidR="00A23DF7" w:rsidRPr="002B65F7">
        <w:t>f</w:t>
      </w:r>
      <w:r w:rsidRPr="002B65F7">
        <w:t>réquent (≥</w:t>
      </w:r>
      <w:r w:rsidR="008A046E" w:rsidRPr="002B65F7">
        <w:t> </w:t>
      </w:r>
      <w:r w:rsidRPr="002B65F7">
        <w:t>1/100 à</w:t>
      </w:r>
      <w:r w:rsidR="008A046E" w:rsidRPr="002B65F7">
        <w:t> </w:t>
      </w:r>
      <w:r w:rsidRPr="002B65F7">
        <w:t>&lt;</w:t>
      </w:r>
      <w:r w:rsidR="008A046E" w:rsidRPr="002B65F7">
        <w:t> </w:t>
      </w:r>
      <w:r w:rsidRPr="002B65F7">
        <w:t xml:space="preserve">1/10), </w:t>
      </w:r>
      <w:r w:rsidR="00A23DF7" w:rsidRPr="002B65F7">
        <w:t>p</w:t>
      </w:r>
      <w:r w:rsidRPr="002B65F7">
        <w:t>eu fréquent (≥</w:t>
      </w:r>
      <w:r w:rsidR="008A046E" w:rsidRPr="002B65F7">
        <w:t> </w:t>
      </w:r>
      <w:r w:rsidRPr="002B65F7">
        <w:t>1/1</w:t>
      </w:r>
      <w:r w:rsidR="008A046E" w:rsidRPr="002B65F7">
        <w:t> </w:t>
      </w:r>
      <w:r w:rsidRPr="002B65F7">
        <w:t>000 à</w:t>
      </w:r>
      <w:r w:rsidR="008A046E" w:rsidRPr="002B65F7">
        <w:t xml:space="preserve"> </w:t>
      </w:r>
      <w:r w:rsidRPr="002B65F7">
        <w:t>&lt;</w:t>
      </w:r>
      <w:r w:rsidR="00666160" w:rsidRPr="002B65F7">
        <w:t> </w:t>
      </w:r>
      <w:r w:rsidRPr="002B65F7">
        <w:t xml:space="preserve">1/100), </w:t>
      </w:r>
      <w:r w:rsidR="00A23DF7" w:rsidRPr="002B65F7">
        <w:t>r</w:t>
      </w:r>
      <w:r w:rsidRPr="002B65F7">
        <w:t>are (≥</w:t>
      </w:r>
      <w:r w:rsidR="00666160" w:rsidRPr="002B65F7">
        <w:t> </w:t>
      </w:r>
      <w:r w:rsidRPr="002B65F7">
        <w:t>1/10</w:t>
      </w:r>
      <w:r w:rsidR="00666160" w:rsidRPr="002B65F7">
        <w:t> </w:t>
      </w:r>
      <w:r w:rsidRPr="002B65F7">
        <w:t>000 à</w:t>
      </w:r>
      <w:r w:rsidR="00666160" w:rsidRPr="002B65F7">
        <w:t> </w:t>
      </w:r>
      <w:r w:rsidRPr="002B65F7">
        <w:t>&lt;</w:t>
      </w:r>
      <w:r w:rsidR="00666160" w:rsidRPr="002B65F7">
        <w:t> </w:t>
      </w:r>
      <w:r w:rsidRPr="002B65F7">
        <w:t>1/1</w:t>
      </w:r>
      <w:r w:rsidR="00666160" w:rsidRPr="002B65F7">
        <w:t> </w:t>
      </w:r>
      <w:r w:rsidRPr="002B65F7">
        <w:t xml:space="preserve">000), </w:t>
      </w:r>
      <w:r w:rsidR="00A23DF7" w:rsidRPr="002B65F7">
        <w:t>t</w:t>
      </w:r>
      <w:r w:rsidRPr="002B65F7">
        <w:t>rès rare (&lt;</w:t>
      </w:r>
      <w:r w:rsidR="00666160" w:rsidRPr="002B65F7">
        <w:t> </w:t>
      </w:r>
      <w:r w:rsidRPr="002B65F7">
        <w:t>1/10</w:t>
      </w:r>
      <w:r w:rsidR="00666160" w:rsidRPr="002B65F7">
        <w:t> </w:t>
      </w:r>
      <w:r w:rsidRPr="002B65F7">
        <w:t xml:space="preserve">000), </w:t>
      </w:r>
      <w:r w:rsidR="00A23DF7" w:rsidRPr="002B65F7">
        <w:t>f</w:t>
      </w:r>
      <w:r w:rsidRPr="002B65F7">
        <w:t>réquence indéterminée (ne peut être estimée sur la base des données disponibles). Au sein de chaque groupe de fréquence, les effets indésirables doivent être présentés suivant un ordre décroissant de gravité.</w:t>
      </w:r>
    </w:p>
    <w:p w14:paraId="03B580D6" w14:textId="77777777" w:rsidR="00092F83" w:rsidRPr="002B65F7" w:rsidRDefault="00092F83" w:rsidP="00496255">
      <w:pPr>
        <w:widowControl/>
      </w:pPr>
    </w:p>
    <w:p w14:paraId="03B580D7" w14:textId="6A157FC4" w:rsidR="00092F83" w:rsidRPr="002B65F7" w:rsidRDefault="00C31740" w:rsidP="00B007D2">
      <w:pPr>
        <w:keepNext/>
        <w:keepLines/>
        <w:widowControl/>
        <w:rPr>
          <w:b/>
          <w:bCs/>
        </w:rPr>
      </w:pPr>
      <w:r w:rsidRPr="002B65F7">
        <w:rPr>
          <w:b/>
          <w:bCs/>
        </w:rPr>
        <w:t>Tableau</w:t>
      </w:r>
      <w:r w:rsidR="00D41714" w:rsidRPr="002B65F7">
        <w:rPr>
          <w:b/>
          <w:bCs/>
        </w:rPr>
        <w:t> </w:t>
      </w:r>
      <w:r w:rsidRPr="002B65F7">
        <w:rPr>
          <w:b/>
          <w:bCs/>
        </w:rPr>
        <w:t>3</w:t>
      </w:r>
      <w:r w:rsidR="00DB00BA" w:rsidRPr="002B65F7">
        <w:rPr>
          <w:b/>
          <w:bCs/>
        </w:rPr>
        <w:t xml:space="preserve">. </w:t>
      </w:r>
      <w:r w:rsidRPr="002B65F7">
        <w:rPr>
          <w:b/>
          <w:bCs/>
        </w:rPr>
        <w:t>Liste des effets indésirables</w:t>
      </w:r>
    </w:p>
    <w:p w14:paraId="65A8F83E" w14:textId="77777777" w:rsidR="00681BA4" w:rsidRPr="002B65F7" w:rsidRDefault="00681BA4" w:rsidP="00B007D2">
      <w:pPr>
        <w:keepNext/>
        <w:keepLines/>
        <w:widowControl/>
        <w:rPr>
          <w:b/>
          <w:bCs/>
        </w:rPr>
      </w:pPr>
    </w:p>
    <w:tbl>
      <w:tblPr>
        <w:tblW w:w="5000"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64"/>
        <w:gridCol w:w="6391"/>
      </w:tblGrid>
      <w:tr w:rsidR="00DD3AE2" w:rsidRPr="002B65F7" w14:paraId="1CA921A4" w14:textId="77777777" w:rsidTr="002A1095">
        <w:trPr>
          <w:cantSplit/>
          <w:trHeight w:val="505"/>
          <w:tblHeader/>
        </w:trPr>
        <w:tc>
          <w:tcPr>
            <w:tcW w:w="1471" w:type="pct"/>
            <w:tcBorders>
              <w:right w:val="single" w:sz="4" w:space="0" w:color="auto"/>
            </w:tcBorders>
          </w:tcPr>
          <w:p w14:paraId="3DCF41D3" w14:textId="07DFA673" w:rsidR="00DD3AE2" w:rsidRPr="002B65F7" w:rsidRDefault="00DD3AE2" w:rsidP="00B007D2">
            <w:pPr>
              <w:keepNext/>
              <w:keepLines/>
              <w:widowControl/>
              <w:rPr>
                <w:b/>
                <w:bCs/>
              </w:rPr>
            </w:pPr>
            <w:r w:rsidRPr="002B65F7">
              <w:rPr>
                <w:b/>
                <w:bCs/>
              </w:rPr>
              <w:t xml:space="preserve">Classes de </w:t>
            </w:r>
            <w:r w:rsidR="00573A45" w:rsidRPr="002B65F7">
              <w:rPr>
                <w:b/>
                <w:bCs/>
              </w:rPr>
              <w:t>s</w:t>
            </w:r>
            <w:r w:rsidRPr="002B65F7">
              <w:rPr>
                <w:b/>
                <w:bCs/>
              </w:rPr>
              <w:t>ystèmes d’</w:t>
            </w:r>
            <w:r w:rsidR="00573A45" w:rsidRPr="002B65F7">
              <w:rPr>
                <w:b/>
                <w:bCs/>
              </w:rPr>
              <w:t>o</w:t>
            </w:r>
            <w:r w:rsidRPr="002B65F7">
              <w:rPr>
                <w:b/>
                <w:bCs/>
              </w:rPr>
              <w:t>rganes</w:t>
            </w:r>
          </w:p>
        </w:tc>
        <w:tc>
          <w:tcPr>
            <w:tcW w:w="3529" w:type="pct"/>
            <w:tcBorders>
              <w:left w:val="single" w:sz="4" w:space="0" w:color="auto"/>
            </w:tcBorders>
          </w:tcPr>
          <w:p w14:paraId="531D0DD9" w14:textId="2A0133E4" w:rsidR="00DD3AE2" w:rsidRPr="002B65F7" w:rsidRDefault="00DD3AE2" w:rsidP="00B007D2">
            <w:pPr>
              <w:keepNext/>
              <w:keepLines/>
              <w:widowControl/>
              <w:rPr>
                <w:b/>
                <w:bCs/>
              </w:rPr>
            </w:pPr>
            <w:r w:rsidRPr="002B65F7">
              <w:rPr>
                <w:b/>
                <w:bCs/>
              </w:rPr>
              <w:t xml:space="preserve">Fréquence : </w:t>
            </w:r>
            <w:r w:rsidR="00573A45" w:rsidRPr="002B65F7">
              <w:rPr>
                <w:b/>
                <w:bCs/>
              </w:rPr>
              <w:t>e</w:t>
            </w:r>
            <w:r w:rsidRPr="002B65F7">
              <w:rPr>
                <w:b/>
                <w:bCs/>
              </w:rPr>
              <w:t>ffet indésirable</w:t>
            </w:r>
          </w:p>
        </w:tc>
      </w:tr>
      <w:tr w:rsidR="00DD3AE2" w:rsidRPr="002B65F7" w14:paraId="6BF6BA45" w14:textId="77777777" w:rsidTr="002A1095">
        <w:trPr>
          <w:cantSplit/>
          <w:trHeight w:val="1304"/>
        </w:trPr>
        <w:tc>
          <w:tcPr>
            <w:tcW w:w="1471" w:type="pct"/>
            <w:tcBorders>
              <w:right w:val="single" w:sz="4" w:space="0" w:color="auto"/>
            </w:tcBorders>
          </w:tcPr>
          <w:p w14:paraId="1F7C41F5" w14:textId="77777777" w:rsidR="00DD3AE2" w:rsidRPr="002B65F7" w:rsidRDefault="00DD3AE2" w:rsidP="00496255">
            <w:pPr>
              <w:widowControl/>
            </w:pPr>
            <w:r w:rsidRPr="002B65F7">
              <w:t>Infections et infestations</w:t>
            </w:r>
          </w:p>
        </w:tc>
        <w:tc>
          <w:tcPr>
            <w:tcW w:w="3529" w:type="pct"/>
            <w:tcBorders>
              <w:left w:val="single" w:sz="4" w:space="0" w:color="auto"/>
            </w:tcBorders>
          </w:tcPr>
          <w:p w14:paraId="7CFB2260" w14:textId="77777777" w:rsidR="00DD3AE2" w:rsidRPr="002B65F7" w:rsidRDefault="00DD3AE2" w:rsidP="00496255">
            <w:pPr>
              <w:widowControl/>
            </w:pPr>
            <w:r w:rsidRPr="002B65F7">
              <w:t>Fréquent : Infection des voies respiratoires supérieures, rhinopharyngite, sinusite</w:t>
            </w:r>
          </w:p>
          <w:p w14:paraId="4962BCED" w14:textId="77777777" w:rsidR="00DD3AE2" w:rsidRPr="002B65F7" w:rsidRDefault="00DD3AE2" w:rsidP="00496255">
            <w:pPr>
              <w:widowControl/>
            </w:pPr>
            <w:r w:rsidRPr="002B65F7">
              <w:t>Peu fréquent : Cellulite, infections dentaires, zona, infection des voies respiratoires inférieures, infection virale des voies respiratoires supérieures, infection mycotique vulvovaginale</w:t>
            </w:r>
          </w:p>
        </w:tc>
      </w:tr>
      <w:tr w:rsidR="00DD3AE2" w:rsidRPr="002B65F7" w14:paraId="468E5991" w14:textId="77777777" w:rsidTr="002A1095">
        <w:trPr>
          <w:cantSplit/>
          <w:trHeight w:val="680"/>
        </w:trPr>
        <w:tc>
          <w:tcPr>
            <w:tcW w:w="1471" w:type="pct"/>
            <w:tcBorders>
              <w:right w:val="single" w:sz="4" w:space="0" w:color="auto"/>
            </w:tcBorders>
          </w:tcPr>
          <w:p w14:paraId="7354D1AA" w14:textId="77777777" w:rsidR="00DD3AE2" w:rsidRPr="002B65F7" w:rsidRDefault="00DD3AE2" w:rsidP="00496255">
            <w:pPr>
              <w:widowControl/>
            </w:pPr>
            <w:r w:rsidRPr="002B65F7">
              <w:t>Affections du système immunitaire</w:t>
            </w:r>
          </w:p>
        </w:tc>
        <w:tc>
          <w:tcPr>
            <w:tcW w:w="3529" w:type="pct"/>
            <w:tcBorders>
              <w:left w:val="single" w:sz="4" w:space="0" w:color="auto"/>
            </w:tcBorders>
          </w:tcPr>
          <w:p w14:paraId="17FC567B" w14:textId="0B307F73" w:rsidR="00DD3AE2" w:rsidRPr="002B65F7" w:rsidRDefault="00DD3AE2" w:rsidP="00496255">
            <w:pPr>
              <w:widowControl/>
            </w:pPr>
            <w:r w:rsidRPr="002B65F7">
              <w:t xml:space="preserve">Peu fréquent : Réactions d’hypersensibilité (incluant rash, urticaire) Rare : Réactions d’hypersensibilité graves (incluant anaphylaxie, </w:t>
            </w:r>
            <w:r w:rsidR="007246B2" w:rsidRPr="002B65F7">
              <w:t>angioœdème</w:t>
            </w:r>
            <w:r w:rsidRPr="002B65F7">
              <w:t>)</w:t>
            </w:r>
          </w:p>
        </w:tc>
      </w:tr>
      <w:tr w:rsidR="00DD3AE2" w:rsidRPr="002B65F7" w14:paraId="7DA4928E" w14:textId="77777777" w:rsidTr="002A1095">
        <w:trPr>
          <w:cantSplit/>
          <w:trHeight w:val="340"/>
        </w:trPr>
        <w:tc>
          <w:tcPr>
            <w:tcW w:w="1471" w:type="pct"/>
            <w:tcBorders>
              <w:right w:val="single" w:sz="4" w:space="0" w:color="auto"/>
            </w:tcBorders>
          </w:tcPr>
          <w:p w14:paraId="5E0EE1F2" w14:textId="77777777" w:rsidR="00DD3AE2" w:rsidRPr="002F4E9E" w:rsidRDefault="00DD3AE2" w:rsidP="00496255">
            <w:pPr>
              <w:widowControl/>
            </w:pPr>
            <w:r w:rsidRPr="002F4E9E">
              <w:t>Affections psychiatriques</w:t>
            </w:r>
          </w:p>
        </w:tc>
        <w:tc>
          <w:tcPr>
            <w:tcW w:w="3529" w:type="pct"/>
            <w:tcBorders>
              <w:left w:val="single" w:sz="4" w:space="0" w:color="auto"/>
            </w:tcBorders>
          </w:tcPr>
          <w:p w14:paraId="7BFEEBAF" w14:textId="77777777" w:rsidR="00DD3AE2" w:rsidRPr="002B65F7" w:rsidRDefault="00DD3AE2" w:rsidP="00496255">
            <w:pPr>
              <w:widowControl/>
            </w:pPr>
            <w:r w:rsidRPr="002B65F7">
              <w:t>Peu fréquent : Dépression</w:t>
            </w:r>
          </w:p>
        </w:tc>
      </w:tr>
      <w:tr w:rsidR="00DD3AE2" w:rsidRPr="002B65F7" w14:paraId="10098E88" w14:textId="77777777" w:rsidTr="002A1095">
        <w:trPr>
          <w:cantSplit/>
          <w:trHeight w:val="567"/>
        </w:trPr>
        <w:tc>
          <w:tcPr>
            <w:tcW w:w="1471" w:type="pct"/>
            <w:tcBorders>
              <w:right w:val="single" w:sz="4" w:space="0" w:color="auto"/>
            </w:tcBorders>
          </w:tcPr>
          <w:p w14:paraId="2D9746B3" w14:textId="77777777" w:rsidR="00DD3AE2" w:rsidRPr="002B65F7" w:rsidRDefault="00DD3AE2" w:rsidP="00496255">
            <w:pPr>
              <w:widowControl/>
            </w:pPr>
            <w:r w:rsidRPr="002B65F7">
              <w:t>Affections du système nerveux</w:t>
            </w:r>
          </w:p>
        </w:tc>
        <w:tc>
          <w:tcPr>
            <w:tcW w:w="3529" w:type="pct"/>
            <w:tcBorders>
              <w:left w:val="single" w:sz="4" w:space="0" w:color="auto"/>
            </w:tcBorders>
          </w:tcPr>
          <w:p w14:paraId="2915247B" w14:textId="77777777" w:rsidR="002E7794" w:rsidRPr="002B65F7" w:rsidRDefault="00DD3AE2" w:rsidP="00496255">
            <w:pPr>
              <w:widowControl/>
            </w:pPr>
            <w:r w:rsidRPr="002B65F7">
              <w:t xml:space="preserve">Fréquent : Vertiges, céphalée </w:t>
            </w:r>
          </w:p>
          <w:p w14:paraId="1F801746" w14:textId="16467C24" w:rsidR="00DD3AE2" w:rsidRPr="002B65F7" w:rsidRDefault="00DD3AE2" w:rsidP="00496255">
            <w:pPr>
              <w:widowControl/>
            </w:pPr>
            <w:r w:rsidRPr="002B65F7">
              <w:t>Peu fréquent : Paralysie faciale</w:t>
            </w:r>
          </w:p>
        </w:tc>
      </w:tr>
      <w:tr w:rsidR="00DD3AE2" w:rsidRPr="002B65F7" w14:paraId="28675118" w14:textId="77777777" w:rsidTr="002A1095">
        <w:trPr>
          <w:cantSplit/>
          <w:trHeight w:val="757"/>
        </w:trPr>
        <w:tc>
          <w:tcPr>
            <w:tcW w:w="1471" w:type="pct"/>
            <w:tcBorders>
              <w:right w:val="single" w:sz="4" w:space="0" w:color="auto"/>
            </w:tcBorders>
          </w:tcPr>
          <w:p w14:paraId="59ADB06D" w14:textId="77777777" w:rsidR="00DD3AE2" w:rsidRPr="002B65F7" w:rsidRDefault="00DD3AE2" w:rsidP="00496255">
            <w:pPr>
              <w:widowControl/>
            </w:pPr>
            <w:r w:rsidRPr="002B65F7">
              <w:t>Affections respiratoires, thoraciques et médiastinales</w:t>
            </w:r>
          </w:p>
        </w:tc>
        <w:tc>
          <w:tcPr>
            <w:tcW w:w="3529" w:type="pct"/>
            <w:tcBorders>
              <w:left w:val="single" w:sz="4" w:space="0" w:color="auto"/>
            </w:tcBorders>
          </w:tcPr>
          <w:p w14:paraId="77562833" w14:textId="77777777" w:rsidR="00DD3AE2" w:rsidRPr="002B65F7" w:rsidRDefault="00DD3AE2" w:rsidP="00496255">
            <w:pPr>
              <w:widowControl/>
            </w:pPr>
            <w:r w:rsidRPr="002B65F7">
              <w:t>Fréquent : Douleur oropharyngée Peu fréquent : Congestion nasale</w:t>
            </w:r>
          </w:p>
          <w:p w14:paraId="1B344043" w14:textId="77777777" w:rsidR="002E7794" w:rsidRPr="002B65F7" w:rsidRDefault="00DD3AE2" w:rsidP="00496255">
            <w:pPr>
              <w:widowControl/>
            </w:pPr>
            <w:r w:rsidRPr="002B65F7">
              <w:t xml:space="preserve">Rare : Alvéolite allergique, pneumopathie à éosinophiles </w:t>
            </w:r>
          </w:p>
          <w:p w14:paraId="3F512E3B" w14:textId="64AB504B" w:rsidR="00DD3AE2" w:rsidRPr="002B65F7" w:rsidRDefault="00DD3AE2" w:rsidP="00496255">
            <w:pPr>
              <w:widowControl/>
            </w:pPr>
            <w:r w:rsidRPr="002B65F7">
              <w:t>Très rare : Pneumopathie organisée*</w:t>
            </w:r>
          </w:p>
        </w:tc>
      </w:tr>
      <w:tr w:rsidR="00DD3AE2" w:rsidRPr="002B65F7" w14:paraId="7F5633F2" w14:textId="77777777" w:rsidTr="002A1095">
        <w:trPr>
          <w:cantSplit/>
          <w:trHeight w:val="510"/>
        </w:trPr>
        <w:tc>
          <w:tcPr>
            <w:tcW w:w="1471" w:type="pct"/>
            <w:tcBorders>
              <w:right w:val="single" w:sz="4" w:space="0" w:color="auto"/>
            </w:tcBorders>
          </w:tcPr>
          <w:p w14:paraId="1E9EE062" w14:textId="77777777" w:rsidR="00DD3AE2" w:rsidRPr="002B65F7" w:rsidRDefault="00DD3AE2" w:rsidP="00496255">
            <w:pPr>
              <w:widowControl/>
            </w:pPr>
            <w:r w:rsidRPr="002B65F7">
              <w:t>Affections gastro-intestinales</w:t>
            </w:r>
          </w:p>
        </w:tc>
        <w:tc>
          <w:tcPr>
            <w:tcW w:w="3529" w:type="pct"/>
            <w:tcBorders>
              <w:left w:val="single" w:sz="4" w:space="0" w:color="auto"/>
            </w:tcBorders>
          </w:tcPr>
          <w:p w14:paraId="5012E133" w14:textId="77777777" w:rsidR="00DD3AE2" w:rsidRPr="002B65F7" w:rsidRDefault="00DD3AE2" w:rsidP="00496255">
            <w:pPr>
              <w:widowControl/>
            </w:pPr>
            <w:r w:rsidRPr="002B65F7">
              <w:t>Fréquent : Diarrhée, nausée, vomissements</w:t>
            </w:r>
          </w:p>
        </w:tc>
      </w:tr>
      <w:tr w:rsidR="00DD3AE2" w:rsidRPr="002B65F7" w14:paraId="4F74233C" w14:textId="77777777" w:rsidTr="002A1095">
        <w:trPr>
          <w:cantSplit/>
          <w:trHeight w:val="757"/>
        </w:trPr>
        <w:tc>
          <w:tcPr>
            <w:tcW w:w="1471" w:type="pct"/>
            <w:tcBorders>
              <w:right w:val="single" w:sz="4" w:space="0" w:color="auto"/>
            </w:tcBorders>
          </w:tcPr>
          <w:p w14:paraId="2913C3A0" w14:textId="77777777" w:rsidR="00DD3AE2" w:rsidRPr="002B65F7" w:rsidRDefault="00DD3AE2" w:rsidP="00496255">
            <w:pPr>
              <w:widowControl/>
            </w:pPr>
            <w:r w:rsidRPr="002B65F7">
              <w:t>Affections de la peau et du tissu sous-cutané</w:t>
            </w:r>
          </w:p>
        </w:tc>
        <w:tc>
          <w:tcPr>
            <w:tcW w:w="3529" w:type="pct"/>
            <w:tcBorders>
              <w:left w:val="single" w:sz="4" w:space="0" w:color="auto"/>
            </w:tcBorders>
          </w:tcPr>
          <w:p w14:paraId="76449C93" w14:textId="77777777" w:rsidR="00DD3AE2" w:rsidRPr="002B65F7" w:rsidRDefault="00DD3AE2" w:rsidP="00496255">
            <w:pPr>
              <w:widowControl/>
            </w:pPr>
            <w:r w:rsidRPr="002B65F7">
              <w:t>Fréquent : Prurit</w:t>
            </w:r>
          </w:p>
          <w:p w14:paraId="2A0D845A" w14:textId="77777777" w:rsidR="002E7794" w:rsidRPr="002B65F7" w:rsidRDefault="00DD3AE2" w:rsidP="00496255">
            <w:pPr>
              <w:widowControl/>
            </w:pPr>
            <w:r w:rsidRPr="002B65F7">
              <w:t xml:space="preserve">Peu fréquent : Psoriasis pustuleux, desquamation cutanée, acné </w:t>
            </w:r>
          </w:p>
          <w:p w14:paraId="4137B03C" w14:textId="6DD546E4" w:rsidR="00DD3AE2" w:rsidRPr="002B65F7" w:rsidRDefault="00DD3AE2" w:rsidP="00496255">
            <w:pPr>
              <w:widowControl/>
            </w:pPr>
            <w:r w:rsidRPr="002B65F7">
              <w:t>Rare : Erythrodermie, vascularite d’hypersensibilité</w:t>
            </w:r>
          </w:p>
          <w:p w14:paraId="1070B8F4" w14:textId="77777777" w:rsidR="00DD3AE2" w:rsidRPr="002B65F7" w:rsidRDefault="00DD3AE2" w:rsidP="00496255">
            <w:pPr>
              <w:widowControl/>
            </w:pPr>
            <w:r w:rsidRPr="002B65F7">
              <w:t>Très rare : Pemphigoïde bulleuse, lupus érythémateux cutané</w:t>
            </w:r>
          </w:p>
        </w:tc>
      </w:tr>
      <w:tr w:rsidR="00DD3AE2" w:rsidRPr="002B65F7" w14:paraId="6774FB72" w14:textId="77777777" w:rsidTr="002A1095">
        <w:trPr>
          <w:cantSplit/>
          <w:trHeight w:val="510"/>
        </w:trPr>
        <w:tc>
          <w:tcPr>
            <w:tcW w:w="1471" w:type="pct"/>
            <w:tcBorders>
              <w:right w:val="single" w:sz="4" w:space="0" w:color="auto"/>
            </w:tcBorders>
          </w:tcPr>
          <w:p w14:paraId="35789049" w14:textId="77777777" w:rsidR="00DD3AE2" w:rsidRPr="002B65F7" w:rsidRDefault="00DD3AE2" w:rsidP="00496255">
            <w:pPr>
              <w:widowControl/>
            </w:pPr>
            <w:r w:rsidRPr="002B65F7">
              <w:t>Affections musculo- squelettiques et systémiques</w:t>
            </w:r>
          </w:p>
        </w:tc>
        <w:tc>
          <w:tcPr>
            <w:tcW w:w="3529" w:type="pct"/>
            <w:tcBorders>
              <w:left w:val="single" w:sz="4" w:space="0" w:color="auto"/>
            </w:tcBorders>
          </w:tcPr>
          <w:p w14:paraId="66091851" w14:textId="77777777" w:rsidR="002E7794" w:rsidRPr="002B65F7" w:rsidRDefault="00DD3AE2" w:rsidP="00496255">
            <w:pPr>
              <w:widowControl/>
            </w:pPr>
            <w:r w:rsidRPr="002B65F7">
              <w:t xml:space="preserve">Fréquent : Dorsalgie, myalgie, arthralgie </w:t>
            </w:r>
          </w:p>
          <w:p w14:paraId="6D44120A" w14:textId="508A55C4" w:rsidR="00DD3AE2" w:rsidRPr="002B65F7" w:rsidRDefault="00DD3AE2" w:rsidP="00496255">
            <w:pPr>
              <w:widowControl/>
            </w:pPr>
            <w:r w:rsidRPr="002B65F7">
              <w:t>Très rare : Syndrome de type lupus</w:t>
            </w:r>
          </w:p>
        </w:tc>
      </w:tr>
      <w:tr w:rsidR="00DD3AE2" w:rsidRPr="002B65F7" w14:paraId="5751E174" w14:textId="77777777" w:rsidTr="002A1095">
        <w:trPr>
          <w:cantSplit/>
          <w:trHeight w:val="757"/>
        </w:trPr>
        <w:tc>
          <w:tcPr>
            <w:tcW w:w="1471" w:type="pct"/>
            <w:tcBorders>
              <w:right w:val="single" w:sz="4" w:space="0" w:color="auto"/>
            </w:tcBorders>
          </w:tcPr>
          <w:p w14:paraId="0DDF4153" w14:textId="77777777" w:rsidR="00DD3AE2" w:rsidRPr="002B65F7" w:rsidRDefault="00DD3AE2" w:rsidP="00496255">
            <w:pPr>
              <w:widowControl/>
            </w:pPr>
            <w:r w:rsidRPr="002B65F7">
              <w:t xml:space="preserve">Troubles généraux et </w:t>
            </w:r>
            <w:r w:rsidRPr="002B65F7">
              <w:rPr>
                <w:rFonts w:eastAsia="TimesNewRoman"/>
              </w:rPr>
              <w:t>anomalies au site d’administration</w:t>
            </w:r>
          </w:p>
        </w:tc>
        <w:tc>
          <w:tcPr>
            <w:tcW w:w="3529" w:type="pct"/>
            <w:tcBorders>
              <w:left w:val="single" w:sz="4" w:space="0" w:color="auto"/>
            </w:tcBorders>
          </w:tcPr>
          <w:p w14:paraId="48D9B8C3" w14:textId="77777777" w:rsidR="00DD3AE2" w:rsidRPr="002B65F7" w:rsidRDefault="00DD3AE2" w:rsidP="00496255">
            <w:pPr>
              <w:widowControl/>
              <w:rPr>
                <w:rFonts w:eastAsia="TimesNewRoman"/>
              </w:rPr>
            </w:pPr>
            <w:r w:rsidRPr="002B65F7">
              <w:t xml:space="preserve">Fréquent : Fatigue, érythème au site d’injection, douleur au site </w:t>
            </w:r>
            <w:r w:rsidRPr="002B65F7">
              <w:rPr>
                <w:rFonts w:eastAsia="TimesNewRoman"/>
              </w:rPr>
              <w:t>d’injection</w:t>
            </w:r>
          </w:p>
          <w:p w14:paraId="6391DFBD" w14:textId="77777777" w:rsidR="00DD3AE2" w:rsidRPr="002B65F7" w:rsidRDefault="00DD3AE2" w:rsidP="00496255">
            <w:pPr>
              <w:widowControl/>
              <w:rPr>
                <w:rFonts w:eastAsia="TimesNewRoman"/>
              </w:rPr>
            </w:pPr>
            <w:r w:rsidRPr="002B65F7">
              <w:rPr>
                <w:rFonts w:eastAsia="TimesNewRoman"/>
              </w:rPr>
              <w:t>Peu fréquent : Réactions au site d’injection (incluant hémorragie,</w:t>
            </w:r>
          </w:p>
          <w:p w14:paraId="6E4139C3" w14:textId="77777777" w:rsidR="00DD3AE2" w:rsidRPr="002B65F7" w:rsidRDefault="00DD3AE2" w:rsidP="00496255">
            <w:pPr>
              <w:widowControl/>
            </w:pPr>
            <w:r w:rsidRPr="002B65F7">
              <w:rPr>
                <w:rFonts w:eastAsia="TimesNewRoman"/>
              </w:rPr>
              <w:t>hématome, induration, gonflement et prurit), asthénie</w:t>
            </w:r>
          </w:p>
        </w:tc>
      </w:tr>
    </w:tbl>
    <w:p w14:paraId="03B58104" w14:textId="6714B1A8" w:rsidR="00092F83" w:rsidRPr="002B65F7" w:rsidRDefault="00C31740" w:rsidP="00496255">
      <w:pPr>
        <w:widowControl/>
        <w:rPr>
          <w:sz w:val="20"/>
          <w:szCs w:val="20"/>
        </w:rPr>
      </w:pPr>
      <w:r w:rsidRPr="002B65F7">
        <w:rPr>
          <w:sz w:val="20"/>
          <w:szCs w:val="20"/>
        </w:rPr>
        <w:lastRenderedPageBreak/>
        <w:t>* Voir rubrique</w:t>
      </w:r>
      <w:r w:rsidR="007C0E11" w:rsidRPr="002B65F7">
        <w:rPr>
          <w:sz w:val="20"/>
          <w:szCs w:val="20"/>
        </w:rPr>
        <w:t> </w:t>
      </w:r>
      <w:r w:rsidRPr="002B65F7">
        <w:rPr>
          <w:sz w:val="20"/>
          <w:szCs w:val="20"/>
        </w:rPr>
        <w:t>4.4, Réactions d’hypersensibilité systémique et respiratoire.</w:t>
      </w:r>
    </w:p>
    <w:p w14:paraId="14093782" w14:textId="77777777" w:rsidR="00082CE1" w:rsidRPr="002B65F7" w:rsidRDefault="00082CE1" w:rsidP="00496255">
      <w:pPr>
        <w:widowControl/>
      </w:pPr>
    </w:p>
    <w:p w14:paraId="03B58105" w14:textId="27842842" w:rsidR="00092F83" w:rsidRPr="002B65F7" w:rsidRDefault="00C31740" w:rsidP="00496255">
      <w:pPr>
        <w:keepNext/>
        <w:widowControl/>
        <w:rPr>
          <w:u w:val="single"/>
        </w:rPr>
      </w:pPr>
      <w:r w:rsidRPr="002B65F7">
        <w:rPr>
          <w:u w:val="single"/>
        </w:rPr>
        <w:t>Description de certains effets indésirables</w:t>
      </w:r>
    </w:p>
    <w:p w14:paraId="03B58106" w14:textId="77777777" w:rsidR="00092F83" w:rsidRPr="002B65F7" w:rsidRDefault="00092F83" w:rsidP="00496255">
      <w:pPr>
        <w:keepNext/>
        <w:widowControl/>
      </w:pPr>
    </w:p>
    <w:p w14:paraId="03B58107" w14:textId="77777777" w:rsidR="00092F83" w:rsidRPr="002B65F7" w:rsidRDefault="00C31740" w:rsidP="00496255">
      <w:pPr>
        <w:keepNext/>
        <w:widowControl/>
        <w:rPr>
          <w:i/>
          <w:iCs/>
        </w:rPr>
      </w:pPr>
      <w:r w:rsidRPr="002B65F7">
        <w:rPr>
          <w:i/>
          <w:iCs/>
        </w:rPr>
        <w:t>Infections</w:t>
      </w:r>
    </w:p>
    <w:p w14:paraId="2A4E8923" w14:textId="77777777" w:rsidR="00854763" w:rsidRPr="002B65F7" w:rsidRDefault="00854763" w:rsidP="00496255">
      <w:pPr>
        <w:keepNext/>
        <w:widowControl/>
        <w:rPr>
          <w:u w:val="single"/>
        </w:rPr>
      </w:pPr>
    </w:p>
    <w:p w14:paraId="03B58109" w14:textId="3766908F" w:rsidR="00092F83" w:rsidRPr="002B65F7" w:rsidRDefault="00C31740" w:rsidP="00496255">
      <w:pPr>
        <w:widowControl/>
      </w:pPr>
      <w:r w:rsidRPr="002B65F7">
        <w:t xml:space="preserve">Dans les études contrôlées </w:t>
      </w:r>
      <w:r w:rsidRPr="002B65F7">
        <w:rPr>
          <w:i/>
          <w:iCs/>
        </w:rPr>
        <w:t>versus</w:t>
      </w:r>
      <w:r w:rsidRPr="002B65F7">
        <w:t xml:space="preserve"> placebo chez des patients atteints de psoriasis, de rhumatisme psoriasique, de la maladie de Crohn et de </w:t>
      </w:r>
      <w:r w:rsidR="00762B37">
        <w:t xml:space="preserve">la </w:t>
      </w:r>
      <w:r w:rsidRPr="002B65F7">
        <w:t>rectocolite hémorragique, le taux d’infections ou infections graves, a été similaire entre le groupe de patients traités par l’</w:t>
      </w:r>
      <w:r w:rsidR="0071390F" w:rsidRPr="002B65F7">
        <w:t>ustekinumab</w:t>
      </w:r>
      <w:r w:rsidRPr="002B65F7">
        <w:t xml:space="preserve"> et celui recevant le placebo. Dans les phases contrôlées </w:t>
      </w:r>
      <w:r w:rsidRPr="002B65F7">
        <w:rPr>
          <w:i/>
          <w:iCs/>
        </w:rPr>
        <w:t>versus</w:t>
      </w:r>
      <w:r w:rsidRPr="002B65F7">
        <w:t xml:space="preserve"> placebo de ces études cliniques, le taux d’infections a été de</w:t>
      </w:r>
      <w:r w:rsidR="00854763" w:rsidRPr="002B65F7">
        <w:t xml:space="preserve"> </w:t>
      </w:r>
      <w:r w:rsidRPr="002B65F7">
        <w:t>1,36</w:t>
      </w:r>
      <w:r w:rsidR="004D0CFB" w:rsidRPr="002B65F7">
        <w:t> </w:t>
      </w:r>
      <w:r w:rsidRPr="002B65F7">
        <w:t xml:space="preserve">par patient-année dans le groupe de patients traités par </w:t>
      </w:r>
      <w:r w:rsidR="0071390F" w:rsidRPr="002B65F7">
        <w:t>ustekinumab</w:t>
      </w:r>
      <w:r w:rsidRPr="002B65F7">
        <w:t xml:space="preserve"> et de 1,34</w:t>
      </w:r>
      <w:r w:rsidR="00FF2A50" w:rsidRPr="002B65F7">
        <w:t> </w:t>
      </w:r>
      <w:r w:rsidRPr="002B65F7">
        <w:t xml:space="preserve">dans le groupe de patients traités par placebo. </w:t>
      </w:r>
      <w:r w:rsidR="00762B37">
        <w:t>La fréquence des infections graves a été</w:t>
      </w:r>
      <w:r w:rsidRPr="002B65F7">
        <w:t xml:space="preserve"> de 0,03</w:t>
      </w:r>
      <w:r w:rsidR="004D0CFB" w:rsidRPr="002B65F7">
        <w:t> </w:t>
      </w:r>
      <w:r w:rsidRPr="002B65F7">
        <w:t xml:space="preserve">par patient-année de suivi chez les patients traités par </w:t>
      </w:r>
      <w:r w:rsidR="0071390F" w:rsidRPr="002B65F7">
        <w:t>ustekinumab</w:t>
      </w:r>
      <w:r w:rsidRPr="002B65F7">
        <w:t xml:space="preserve"> (30</w:t>
      </w:r>
      <w:r w:rsidR="00FF2A50" w:rsidRPr="002B65F7">
        <w:t> </w:t>
      </w:r>
      <w:r w:rsidRPr="002B65F7">
        <w:t>infections graves pour 930</w:t>
      </w:r>
      <w:r w:rsidR="00FF2A50" w:rsidRPr="002B65F7">
        <w:t> </w:t>
      </w:r>
      <w:r w:rsidRPr="002B65F7">
        <w:t>patient-années de suivi) et de 0,03</w:t>
      </w:r>
      <w:r w:rsidR="00FF2A50" w:rsidRPr="002B65F7">
        <w:t> </w:t>
      </w:r>
      <w:r w:rsidRPr="002B65F7">
        <w:t>chez les patients traités par placebo (15</w:t>
      </w:r>
      <w:r w:rsidR="00DD3AE2" w:rsidRPr="002B65F7">
        <w:t> </w:t>
      </w:r>
      <w:r w:rsidRPr="002B65F7">
        <w:t>infections graves pour 434</w:t>
      </w:r>
      <w:r w:rsidR="004D0CFB" w:rsidRPr="002B65F7">
        <w:t> </w:t>
      </w:r>
      <w:r w:rsidRPr="002B65F7">
        <w:t>patient-années de suivi) (voir rubrique</w:t>
      </w:r>
      <w:r w:rsidR="00854763" w:rsidRPr="002B65F7">
        <w:t> </w:t>
      </w:r>
      <w:r w:rsidRPr="002B65F7">
        <w:t>4.4).</w:t>
      </w:r>
    </w:p>
    <w:p w14:paraId="66208060" w14:textId="77777777" w:rsidR="00FF2A50" w:rsidRPr="002B65F7" w:rsidRDefault="00FF2A50" w:rsidP="00496255">
      <w:pPr>
        <w:widowControl/>
      </w:pPr>
    </w:p>
    <w:p w14:paraId="03B5810A" w14:textId="761E5F39" w:rsidR="00092F83" w:rsidRPr="002B65F7" w:rsidRDefault="00C31740" w:rsidP="00496255">
      <w:pPr>
        <w:widowControl/>
      </w:pPr>
      <w:r w:rsidRPr="002B65F7">
        <w:t xml:space="preserve">Dans les phases contrôlées et non-contrôlées des études cliniques sur le psoriasis, le rhumatisme psoriasique, la maladie de Crohn et la rectocolite hémorragique, représentant </w:t>
      </w:r>
      <w:r w:rsidR="0006660B" w:rsidRPr="002B65F7">
        <w:t>1</w:t>
      </w:r>
      <w:r w:rsidR="0006660B">
        <w:t>5 227</w:t>
      </w:r>
      <w:r w:rsidR="0006660B" w:rsidRPr="002B65F7">
        <w:t> </w:t>
      </w:r>
      <w:r w:rsidRPr="002B65F7">
        <w:t>patient-années d’exposition</w:t>
      </w:r>
      <w:r w:rsidR="0006660B">
        <w:t xml:space="preserve"> à l’ustekinumab</w:t>
      </w:r>
      <w:r w:rsidRPr="002B65F7">
        <w:t xml:space="preserve"> chez 6</w:t>
      </w:r>
      <w:r w:rsidR="00912BED" w:rsidRPr="002B65F7">
        <w:t> </w:t>
      </w:r>
      <w:r w:rsidRPr="002B65F7">
        <w:t>7</w:t>
      </w:r>
      <w:r w:rsidR="0006660B">
        <w:t>10</w:t>
      </w:r>
      <w:r w:rsidR="004D0CFB" w:rsidRPr="002B65F7">
        <w:t> </w:t>
      </w:r>
      <w:r w:rsidRPr="002B65F7">
        <w:t>patients, le suivi médian était de 1,</w:t>
      </w:r>
      <w:r w:rsidR="0006660B">
        <w:t>2</w:t>
      </w:r>
      <w:r w:rsidR="00FF2A50" w:rsidRPr="002B65F7">
        <w:t> </w:t>
      </w:r>
      <w:r w:rsidRPr="002B65F7">
        <w:t>année ; 1,</w:t>
      </w:r>
      <w:r w:rsidR="0006660B">
        <w:t>7</w:t>
      </w:r>
      <w:r w:rsidR="00DD3AE2" w:rsidRPr="002B65F7">
        <w:t> </w:t>
      </w:r>
      <w:r w:rsidRPr="002B65F7">
        <w:t xml:space="preserve">année pour les études </w:t>
      </w:r>
      <w:r w:rsidR="0006660B">
        <w:t>dans</w:t>
      </w:r>
      <w:r w:rsidR="0006660B" w:rsidRPr="002B65F7">
        <w:t xml:space="preserve"> </w:t>
      </w:r>
      <w:r w:rsidRPr="002B65F7">
        <w:t>les maladies psoriasiques, 0,6</w:t>
      </w:r>
      <w:r w:rsidR="004D0CFB" w:rsidRPr="002B65F7">
        <w:t> </w:t>
      </w:r>
      <w:r w:rsidRPr="002B65F7">
        <w:t xml:space="preserve">année pour les études sur la maladie de Crohn et </w:t>
      </w:r>
      <w:r w:rsidR="0006660B">
        <w:t>2</w:t>
      </w:r>
      <w:r w:rsidRPr="002B65F7">
        <w:t>,</w:t>
      </w:r>
      <w:r w:rsidR="0006660B">
        <w:t>3</w:t>
      </w:r>
      <w:r w:rsidR="004D0CFB" w:rsidRPr="002B65F7">
        <w:t> </w:t>
      </w:r>
      <w:r w:rsidRPr="002B65F7">
        <w:t>année</w:t>
      </w:r>
      <w:r w:rsidR="0006660B">
        <w:t>s</w:t>
      </w:r>
      <w:r w:rsidRPr="002B65F7">
        <w:t xml:space="preserve"> pour les études sur la rectocolite hémorragique. Concernant les patients traités par l’</w:t>
      </w:r>
      <w:r w:rsidR="0071390F" w:rsidRPr="002B65F7">
        <w:t>ustekinumab</w:t>
      </w:r>
      <w:r w:rsidRPr="002B65F7">
        <w:t>, le taux des infections a été de 0,</w:t>
      </w:r>
      <w:r w:rsidR="0006660B">
        <w:t>85</w:t>
      </w:r>
      <w:r w:rsidR="004D0CFB" w:rsidRPr="002B65F7">
        <w:t> </w:t>
      </w:r>
      <w:r w:rsidRPr="002B65F7">
        <w:t>par patient-année de suivi et le taux des infections graves de 0,02</w:t>
      </w:r>
      <w:r w:rsidR="004D0CFB" w:rsidRPr="002B65F7">
        <w:t> </w:t>
      </w:r>
      <w:r w:rsidRPr="002B65F7">
        <w:t>par patient</w:t>
      </w:r>
      <w:r w:rsidR="006022D3" w:rsidRPr="002B65F7">
        <w:t>-</w:t>
      </w:r>
      <w:r w:rsidRPr="002B65F7">
        <w:t>année (</w:t>
      </w:r>
      <w:r w:rsidR="0006660B">
        <w:t>28</w:t>
      </w:r>
      <w:r w:rsidRPr="002B65F7">
        <w:t>9</w:t>
      </w:r>
      <w:r w:rsidR="00DD3AE2" w:rsidRPr="002B65F7">
        <w:t> </w:t>
      </w:r>
      <w:r w:rsidRPr="002B65F7">
        <w:t xml:space="preserve">infections graves pour </w:t>
      </w:r>
      <w:r w:rsidR="0006660B">
        <w:t>15 227 </w:t>
      </w:r>
      <w:r w:rsidRPr="002B65F7">
        <w:t>patient-années de suivi), les infections graves rapportées incluaient pneumonie, abcès anal, cellulite, diverticulite, gastro-entérite et infections virales.</w:t>
      </w:r>
    </w:p>
    <w:p w14:paraId="03B5810B" w14:textId="77777777" w:rsidR="00092F83" w:rsidRPr="002B65F7" w:rsidRDefault="00092F83" w:rsidP="00496255">
      <w:pPr>
        <w:widowControl/>
      </w:pPr>
    </w:p>
    <w:p w14:paraId="03B5810C" w14:textId="77777777" w:rsidR="00092F83" w:rsidRPr="002B65F7" w:rsidRDefault="00C31740" w:rsidP="00496255">
      <w:pPr>
        <w:widowControl/>
      </w:pPr>
      <w:r w:rsidRPr="002B65F7">
        <w:t>Dans les études cliniques, les patients atteints d’une tuberculose latente traités simultanément avec de l’isoniazide n’ont pas développé de tuberculose.</w:t>
      </w:r>
    </w:p>
    <w:p w14:paraId="24931377" w14:textId="77777777" w:rsidR="00DD3AE2" w:rsidRPr="002B65F7" w:rsidRDefault="00DD3AE2" w:rsidP="00496255">
      <w:pPr>
        <w:widowControl/>
      </w:pPr>
    </w:p>
    <w:p w14:paraId="03B5810D" w14:textId="41062A57" w:rsidR="00092F83" w:rsidRPr="002B65F7" w:rsidRDefault="00C31740" w:rsidP="00496255">
      <w:pPr>
        <w:keepNext/>
        <w:widowControl/>
        <w:rPr>
          <w:i/>
          <w:iCs/>
        </w:rPr>
      </w:pPr>
      <w:r w:rsidRPr="002B65F7">
        <w:rPr>
          <w:i/>
          <w:iCs/>
        </w:rPr>
        <w:t>Tumeurs malignes</w:t>
      </w:r>
    </w:p>
    <w:p w14:paraId="780CD79F" w14:textId="77777777" w:rsidR="00DD3AE2" w:rsidRPr="002B65F7" w:rsidRDefault="00DD3AE2" w:rsidP="00496255">
      <w:pPr>
        <w:keepNext/>
        <w:widowControl/>
      </w:pPr>
    </w:p>
    <w:p w14:paraId="03B5810E" w14:textId="2DEDC73D" w:rsidR="00092F83" w:rsidRPr="002B65F7" w:rsidRDefault="00C31740" w:rsidP="00496255">
      <w:pPr>
        <w:widowControl/>
      </w:pPr>
      <w:r w:rsidRPr="002B65F7">
        <w:t xml:space="preserve">Dans les phases contrôlées </w:t>
      </w:r>
      <w:r w:rsidRPr="002B65F7">
        <w:rPr>
          <w:i/>
          <w:iCs/>
        </w:rPr>
        <w:t>versus</w:t>
      </w:r>
      <w:r w:rsidRPr="002B65F7">
        <w:t xml:space="preserve"> placebo des études cliniques dans le psoriasis, le rhumatisme psoriasique, la maladie de Crohn et la rectocolite hémorragique, l’incidence des tumeurs malignes à l’exception des cancers de la peau non-mélanome a été de 0,11</w:t>
      </w:r>
      <w:r w:rsidR="006022D3" w:rsidRPr="002B65F7">
        <w:t> </w:t>
      </w:r>
      <w:r w:rsidRPr="002B65F7">
        <w:t>pour 100</w:t>
      </w:r>
      <w:r w:rsidR="00DD3AE2" w:rsidRPr="002B65F7">
        <w:t> </w:t>
      </w:r>
      <w:r w:rsidRPr="002B65F7">
        <w:t xml:space="preserve">patient-années chez les patients traités par </w:t>
      </w:r>
      <w:r w:rsidR="0071390F" w:rsidRPr="002B65F7">
        <w:t>ustekinumab</w:t>
      </w:r>
      <w:r w:rsidRPr="002B65F7">
        <w:t xml:space="preserve"> (1</w:t>
      </w:r>
      <w:r w:rsidR="006022D3" w:rsidRPr="002B65F7">
        <w:t> </w:t>
      </w:r>
      <w:r w:rsidRPr="002B65F7">
        <w:t>patient pour 929</w:t>
      </w:r>
      <w:r w:rsidR="00DD3AE2" w:rsidRPr="002B65F7">
        <w:t> </w:t>
      </w:r>
      <w:r w:rsidRPr="002B65F7">
        <w:t>patient-années de suivi) comparé à 0,23 chez les patients traités par placebo (1</w:t>
      </w:r>
      <w:r w:rsidR="00DD3AE2" w:rsidRPr="002B65F7">
        <w:t> </w:t>
      </w:r>
      <w:r w:rsidRPr="002B65F7">
        <w:t>patient pour 434 patient-années de suivi). L’incidence des cancers de la peau non-mélanome a été de 0,43 p</w:t>
      </w:r>
      <w:r w:rsidR="002B2B4F">
        <w:t>our</w:t>
      </w:r>
      <w:r w:rsidRPr="002B65F7">
        <w:t xml:space="preserve"> 100</w:t>
      </w:r>
      <w:r w:rsidR="00DD3AE2" w:rsidRPr="002B65F7">
        <w:t> </w:t>
      </w:r>
      <w:r w:rsidRPr="002B65F7">
        <w:t xml:space="preserve">patient-années de suivi chez les patients traités par </w:t>
      </w:r>
      <w:r w:rsidR="0071390F" w:rsidRPr="002B65F7">
        <w:t>ustekinumab</w:t>
      </w:r>
      <w:r w:rsidRPr="002B65F7">
        <w:t xml:space="preserve"> (4</w:t>
      </w:r>
      <w:r w:rsidR="00DD3AE2" w:rsidRPr="002B65F7">
        <w:t> </w:t>
      </w:r>
      <w:r w:rsidRPr="002B65F7">
        <w:t>patients pour 929</w:t>
      </w:r>
      <w:r w:rsidR="00DD3AE2" w:rsidRPr="002B65F7">
        <w:t> </w:t>
      </w:r>
      <w:r w:rsidRPr="002B65F7">
        <w:t>patient-années de suivi) comparé à 0,46</w:t>
      </w:r>
      <w:r w:rsidR="006022D3" w:rsidRPr="002B65F7">
        <w:t> </w:t>
      </w:r>
      <w:r w:rsidRPr="002B65F7">
        <w:t>chez les patients traités par placebo (2</w:t>
      </w:r>
      <w:r w:rsidR="00DD3AE2" w:rsidRPr="002B65F7">
        <w:t> </w:t>
      </w:r>
      <w:r w:rsidRPr="002B65F7">
        <w:t>patients pour 433</w:t>
      </w:r>
      <w:r w:rsidR="006022D3" w:rsidRPr="002B65F7">
        <w:t> </w:t>
      </w:r>
      <w:r w:rsidRPr="002B65F7">
        <w:t>patient-années de suivi).</w:t>
      </w:r>
    </w:p>
    <w:p w14:paraId="54E8F4C0" w14:textId="77777777" w:rsidR="00DD3AE2" w:rsidRPr="002B65F7" w:rsidRDefault="00DD3AE2" w:rsidP="00496255">
      <w:pPr>
        <w:widowControl/>
      </w:pPr>
    </w:p>
    <w:p w14:paraId="03B58112" w14:textId="7AC165F4" w:rsidR="00092F83" w:rsidRPr="002B65F7" w:rsidRDefault="00C31740" w:rsidP="00496255">
      <w:pPr>
        <w:widowControl/>
      </w:pPr>
      <w:r w:rsidRPr="002B65F7">
        <w:t>Dans les phases contrôlées et non-contrôlées des études cliniques dans le psoriasis, le rhumatisme psoriasique, la maladie de Crohn et la rectocolite hémorragique, représentant 1</w:t>
      </w:r>
      <w:r w:rsidR="00B620FE">
        <w:t>5</w:t>
      </w:r>
      <w:r w:rsidR="00DD3AE2" w:rsidRPr="002B65F7">
        <w:t> </w:t>
      </w:r>
      <w:r w:rsidR="00B620FE">
        <w:t>205</w:t>
      </w:r>
      <w:r w:rsidR="006A3C6F" w:rsidRPr="002B65F7">
        <w:t> </w:t>
      </w:r>
      <w:r w:rsidRPr="002B65F7">
        <w:t xml:space="preserve">patient-années d’exposition </w:t>
      </w:r>
      <w:r w:rsidR="00B620FE">
        <w:t xml:space="preserve">à l’ustekinumab </w:t>
      </w:r>
      <w:r w:rsidRPr="002B65F7">
        <w:t>chez 6</w:t>
      </w:r>
      <w:r w:rsidR="00912BED" w:rsidRPr="002B65F7">
        <w:t> </w:t>
      </w:r>
      <w:r w:rsidRPr="002B65F7">
        <w:t>7</w:t>
      </w:r>
      <w:r w:rsidR="00B620FE">
        <w:t>10</w:t>
      </w:r>
      <w:r w:rsidR="006A3C6F" w:rsidRPr="002B65F7">
        <w:t> </w:t>
      </w:r>
      <w:r w:rsidRPr="002B65F7">
        <w:t>patients, le suivi médian était de 1,</w:t>
      </w:r>
      <w:r w:rsidR="00B620FE">
        <w:t>2</w:t>
      </w:r>
      <w:r w:rsidR="00A0448E" w:rsidRPr="002B65F7">
        <w:t> </w:t>
      </w:r>
      <w:r w:rsidRPr="002B65F7">
        <w:t>année ; 1,</w:t>
      </w:r>
      <w:r w:rsidR="00B620FE">
        <w:t>7</w:t>
      </w:r>
      <w:r w:rsidR="006A3C6F" w:rsidRPr="002B65F7">
        <w:t> </w:t>
      </w:r>
      <w:r w:rsidRPr="002B65F7">
        <w:t>année pour les études dans les maladies psoriasiques, 0,6</w:t>
      </w:r>
      <w:r w:rsidR="006A3C6F" w:rsidRPr="002B65F7">
        <w:t> </w:t>
      </w:r>
      <w:r w:rsidRPr="002B65F7">
        <w:t xml:space="preserve">année pour les études dans la maladie de Crohn et </w:t>
      </w:r>
      <w:r w:rsidR="00B620FE">
        <w:t>2</w:t>
      </w:r>
      <w:r w:rsidRPr="002B65F7">
        <w:t>,</w:t>
      </w:r>
      <w:r w:rsidR="00B620FE">
        <w:t>3</w:t>
      </w:r>
      <w:r w:rsidR="006A3C6F" w:rsidRPr="002B65F7">
        <w:t> </w:t>
      </w:r>
      <w:r w:rsidRPr="002B65F7">
        <w:t>année</w:t>
      </w:r>
      <w:r w:rsidR="00AC0A5B">
        <w:t>s</w:t>
      </w:r>
      <w:r w:rsidRPr="002B65F7">
        <w:t xml:space="preserve"> pour les études dans la rectocolite hémorragique. Des tumeurs malignes, excluant les cancers de la peau non-mélanome ont été rapportées chez </w:t>
      </w:r>
      <w:r w:rsidR="00B620FE">
        <w:t>76</w:t>
      </w:r>
      <w:r w:rsidR="007A6A36" w:rsidRPr="002B65F7">
        <w:t> </w:t>
      </w:r>
      <w:r w:rsidRPr="002B65F7">
        <w:t>patients sur 1</w:t>
      </w:r>
      <w:r w:rsidR="00B620FE">
        <w:t>5</w:t>
      </w:r>
      <w:r w:rsidR="007A6A36" w:rsidRPr="002B65F7">
        <w:t> </w:t>
      </w:r>
      <w:r w:rsidR="00B620FE">
        <w:t>205</w:t>
      </w:r>
      <w:r w:rsidRPr="002B65F7">
        <w:t xml:space="preserve"> patient-années de suivi (incidence de</w:t>
      </w:r>
      <w:r w:rsidR="00DD3AE2" w:rsidRPr="002B65F7">
        <w:t xml:space="preserve"> </w:t>
      </w:r>
      <w:r w:rsidRPr="002B65F7">
        <w:t>0,5</w:t>
      </w:r>
      <w:r w:rsidR="00B620FE">
        <w:t>0</w:t>
      </w:r>
      <w:r w:rsidR="005D696C" w:rsidRPr="002B65F7">
        <w:t> </w:t>
      </w:r>
      <w:r w:rsidRPr="002B65F7">
        <w:t>pour 100</w:t>
      </w:r>
      <w:r w:rsidR="007A6A36" w:rsidRPr="002B65F7">
        <w:t> </w:t>
      </w:r>
      <w:r w:rsidRPr="002B65F7">
        <w:t xml:space="preserve">patients-année de suivi pour les patients traités par </w:t>
      </w:r>
      <w:r w:rsidR="0071390F" w:rsidRPr="002B65F7">
        <w:t>ustekinumab</w:t>
      </w:r>
      <w:r w:rsidRPr="002B65F7">
        <w:t xml:space="preserve">). L’incidence des tumeurs malignes rapportées chez les patients traités par </w:t>
      </w:r>
      <w:r w:rsidR="0071390F" w:rsidRPr="002B65F7">
        <w:t>ustekinumab</w:t>
      </w:r>
      <w:r w:rsidRPr="002B65F7">
        <w:t xml:space="preserve"> était comparable à l’incidence attendue dans la population générale (ratio standardisé d’incidence</w:t>
      </w:r>
      <w:r w:rsidR="007A6A36" w:rsidRPr="002B65F7">
        <w:t> </w:t>
      </w:r>
      <w:r w:rsidRPr="002B65F7">
        <w:t>=</w:t>
      </w:r>
      <w:r w:rsidR="007A6A36" w:rsidRPr="002B65F7">
        <w:t> </w:t>
      </w:r>
      <w:r w:rsidRPr="002B65F7">
        <w:t>0,9</w:t>
      </w:r>
      <w:r w:rsidR="00B620FE">
        <w:t>4</w:t>
      </w:r>
      <w:r w:rsidRPr="002B65F7">
        <w:t xml:space="preserve"> [intervalle de confiance à 95% : 0,7</w:t>
      </w:r>
      <w:r w:rsidR="00B620FE">
        <w:t>3</w:t>
      </w:r>
      <w:r w:rsidRPr="002B65F7">
        <w:t>, 1,</w:t>
      </w:r>
      <w:r w:rsidR="00B620FE">
        <w:t>18</w:t>
      </w:r>
      <w:r w:rsidRPr="002B65F7">
        <w:t xml:space="preserve">], ajusté à l’âge, au sexe et à l’ethnie). Les tumeurs malignes les plus fréquemment rapportées, autre que le cancer de la peau non-mélanome, étaient le cancer de la prostate, </w:t>
      </w:r>
      <w:r w:rsidR="00B620FE" w:rsidRPr="002B65F7">
        <w:t>le mélanome</w:t>
      </w:r>
      <w:r w:rsidR="00B620FE">
        <w:t xml:space="preserve">, </w:t>
      </w:r>
      <w:r w:rsidRPr="002B65F7">
        <w:t>le cancer colorectal et le cancer du sein. L’incidence des cancers de la peau non-mélanome était de 0,4</w:t>
      </w:r>
      <w:r w:rsidR="00B620FE">
        <w:t>6</w:t>
      </w:r>
      <w:r w:rsidR="007A6A36" w:rsidRPr="002B65F7">
        <w:t> </w:t>
      </w:r>
      <w:r w:rsidRPr="002B65F7">
        <w:t>pour 100</w:t>
      </w:r>
      <w:r w:rsidR="007A6A36" w:rsidRPr="002B65F7">
        <w:t> </w:t>
      </w:r>
      <w:r w:rsidRPr="002B65F7">
        <w:t xml:space="preserve">patient-années de suivi chez les patients traités par </w:t>
      </w:r>
      <w:r w:rsidR="0071390F" w:rsidRPr="002B65F7">
        <w:t>ustekinumab</w:t>
      </w:r>
      <w:r w:rsidRPr="002B65F7">
        <w:t xml:space="preserve"> (6</w:t>
      </w:r>
      <w:r w:rsidR="00B620FE">
        <w:t>9</w:t>
      </w:r>
      <w:r w:rsidR="007A6A36" w:rsidRPr="002B65F7">
        <w:t> </w:t>
      </w:r>
      <w:r w:rsidRPr="002B65F7">
        <w:t>patients sur</w:t>
      </w:r>
      <w:r w:rsidR="007A6A36" w:rsidRPr="002B65F7">
        <w:t xml:space="preserve"> </w:t>
      </w:r>
      <w:r w:rsidRPr="002B65F7">
        <w:t>1</w:t>
      </w:r>
      <w:r w:rsidR="00B620FE">
        <w:t>5</w:t>
      </w:r>
      <w:r w:rsidR="007A6A36" w:rsidRPr="002B65F7">
        <w:t> </w:t>
      </w:r>
      <w:r w:rsidR="00B620FE">
        <w:t>16</w:t>
      </w:r>
      <w:r w:rsidRPr="002B65F7">
        <w:t>5</w:t>
      </w:r>
      <w:r w:rsidR="005D696C" w:rsidRPr="002B65F7">
        <w:t> </w:t>
      </w:r>
      <w:r w:rsidRPr="002B65F7">
        <w:t xml:space="preserve">patient-années de suivi). Le ratio de patients atteints de cancer de la peau basocellulaire </w:t>
      </w:r>
      <w:r w:rsidRPr="002B65F7">
        <w:rPr>
          <w:i/>
          <w:iCs/>
        </w:rPr>
        <w:t>versus</w:t>
      </w:r>
      <w:r w:rsidRPr="002B65F7">
        <w:t xml:space="preserve"> spinocellulaire (3:1) est comparable au ratio attendu dans la population générale (voir rubrique</w:t>
      </w:r>
      <w:r w:rsidR="007A6A36" w:rsidRPr="002B65F7">
        <w:t> </w:t>
      </w:r>
      <w:r w:rsidRPr="002B65F7">
        <w:t>4.4).</w:t>
      </w:r>
    </w:p>
    <w:p w14:paraId="5E6C5CF2" w14:textId="77777777" w:rsidR="007A6A36" w:rsidRPr="002B65F7" w:rsidRDefault="007A6A36" w:rsidP="00496255">
      <w:pPr>
        <w:widowControl/>
      </w:pPr>
    </w:p>
    <w:p w14:paraId="03B58113" w14:textId="2EED3DE6" w:rsidR="00092F83" w:rsidRPr="002B65F7" w:rsidRDefault="00C31740" w:rsidP="00496255">
      <w:pPr>
        <w:keepNext/>
        <w:widowControl/>
        <w:rPr>
          <w:i/>
          <w:iCs/>
        </w:rPr>
      </w:pPr>
      <w:r w:rsidRPr="002B65F7">
        <w:rPr>
          <w:i/>
          <w:iCs/>
        </w:rPr>
        <w:lastRenderedPageBreak/>
        <w:t>Réactions d’hypersensibilité</w:t>
      </w:r>
    </w:p>
    <w:p w14:paraId="0F9FA826" w14:textId="77777777" w:rsidR="007A6A36" w:rsidRPr="002B65F7" w:rsidRDefault="007A6A36" w:rsidP="00496255">
      <w:pPr>
        <w:keepNext/>
        <w:widowControl/>
        <w:rPr>
          <w:u w:val="single"/>
        </w:rPr>
      </w:pPr>
    </w:p>
    <w:p w14:paraId="03B58115" w14:textId="205ED397" w:rsidR="00092F83" w:rsidRPr="002B65F7" w:rsidRDefault="00C31740" w:rsidP="00496255">
      <w:pPr>
        <w:widowControl/>
      </w:pPr>
      <w:r w:rsidRPr="002B65F7">
        <w:t>Au cours des phases contrôlées des études cliniques de l’</w:t>
      </w:r>
      <w:r w:rsidR="0071390F" w:rsidRPr="002B65F7">
        <w:t>ustekinumab</w:t>
      </w:r>
      <w:r w:rsidRPr="002B65F7">
        <w:t xml:space="preserve"> sur le psoriasis et le rhumatisme psoriasique, des rashs et des urticaires ont chacun été observés chez</w:t>
      </w:r>
      <w:r w:rsidR="007A6A36" w:rsidRPr="002B65F7">
        <w:t> </w:t>
      </w:r>
      <w:r w:rsidRPr="002B65F7">
        <w:t>&lt;</w:t>
      </w:r>
      <w:r w:rsidR="007A6A36" w:rsidRPr="002B65F7">
        <w:t> </w:t>
      </w:r>
      <w:r w:rsidRPr="002B65F7">
        <w:t>1% des patients (voir</w:t>
      </w:r>
      <w:r w:rsidR="007A6A36" w:rsidRPr="002B65F7">
        <w:t xml:space="preserve"> </w:t>
      </w:r>
      <w:r w:rsidRPr="002B65F7">
        <w:t>rubrique</w:t>
      </w:r>
      <w:r w:rsidR="007A6A36" w:rsidRPr="002B65F7">
        <w:t> </w:t>
      </w:r>
      <w:r w:rsidRPr="002B65F7">
        <w:t>4.4).</w:t>
      </w:r>
    </w:p>
    <w:p w14:paraId="03B58116" w14:textId="77777777" w:rsidR="00092F83" w:rsidRPr="002B65F7" w:rsidRDefault="00092F83" w:rsidP="00496255">
      <w:pPr>
        <w:widowControl/>
      </w:pPr>
    </w:p>
    <w:p w14:paraId="03B58117" w14:textId="77777777" w:rsidR="00092F83" w:rsidRPr="002B65F7" w:rsidRDefault="00C31740" w:rsidP="00496255">
      <w:pPr>
        <w:keepNext/>
        <w:widowControl/>
        <w:rPr>
          <w:u w:val="single"/>
        </w:rPr>
      </w:pPr>
      <w:r w:rsidRPr="002B65F7">
        <w:rPr>
          <w:u w:val="single"/>
        </w:rPr>
        <w:t>Population pédiatrique</w:t>
      </w:r>
    </w:p>
    <w:p w14:paraId="3856C895" w14:textId="77777777" w:rsidR="007A6A36" w:rsidRPr="002B65F7" w:rsidRDefault="007A6A36" w:rsidP="00496255">
      <w:pPr>
        <w:keepNext/>
        <w:widowControl/>
      </w:pPr>
    </w:p>
    <w:p w14:paraId="03B58118" w14:textId="52BC52B7" w:rsidR="00092F83" w:rsidRPr="002B65F7" w:rsidRDefault="00C31740" w:rsidP="00496255">
      <w:pPr>
        <w:keepNext/>
        <w:widowControl/>
        <w:rPr>
          <w:i/>
          <w:iCs/>
        </w:rPr>
      </w:pPr>
      <w:r w:rsidRPr="002B65F7">
        <w:rPr>
          <w:i/>
          <w:iCs/>
        </w:rPr>
        <w:t>Patients pédiatriques de 6</w:t>
      </w:r>
      <w:r w:rsidR="00417098" w:rsidRPr="002B65F7">
        <w:rPr>
          <w:i/>
          <w:iCs/>
        </w:rPr>
        <w:t> </w:t>
      </w:r>
      <w:r w:rsidRPr="002B65F7">
        <w:rPr>
          <w:i/>
          <w:iCs/>
        </w:rPr>
        <w:t>ans et plus atteints de psoriasis en plaques</w:t>
      </w:r>
    </w:p>
    <w:p w14:paraId="32F1599B" w14:textId="77777777" w:rsidR="007A6A36" w:rsidRPr="002B65F7" w:rsidRDefault="007A6A36" w:rsidP="00496255">
      <w:pPr>
        <w:keepNext/>
        <w:widowControl/>
        <w:rPr>
          <w:i/>
          <w:iCs/>
        </w:rPr>
      </w:pPr>
    </w:p>
    <w:p w14:paraId="03B5811A" w14:textId="78A19C52" w:rsidR="00092F83" w:rsidRPr="002B65F7" w:rsidRDefault="00C31740" w:rsidP="00496255">
      <w:pPr>
        <w:widowControl/>
      </w:pPr>
      <w:r w:rsidRPr="002B65F7">
        <w:t>La sécurité de l’</w:t>
      </w:r>
      <w:r w:rsidR="0071390F" w:rsidRPr="002B65F7">
        <w:t>ustekinumab</w:t>
      </w:r>
      <w:r w:rsidRPr="002B65F7">
        <w:t xml:space="preserve"> a été étudiée dans deux études de phase</w:t>
      </w:r>
      <w:r w:rsidR="005D696C" w:rsidRPr="002B65F7">
        <w:t> </w:t>
      </w:r>
      <w:r w:rsidRPr="002B65F7">
        <w:t>3 portant sur des patients pédiatriques atteints de psoriasis en plaques modéré à sévère. La première étude portait sur</w:t>
      </w:r>
      <w:r w:rsidR="005D696C" w:rsidRPr="002B65F7">
        <w:t xml:space="preserve"> </w:t>
      </w:r>
      <w:r w:rsidRPr="002B65F7">
        <w:t>110</w:t>
      </w:r>
      <w:r w:rsidR="005D696C" w:rsidRPr="002B65F7">
        <w:t> </w:t>
      </w:r>
      <w:r w:rsidRPr="002B65F7">
        <w:t>patients âgés de 12</w:t>
      </w:r>
      <w:r w:rsidR="00417098" w:rsidRPr="002B65F7">
        <w:t> </w:t>
      </w:r>
      <w:r w:rsidRPr="002B65F7">
        <w:t>à 17</w:t>
      </w:r>
      <w:r w:rsidR="00417098" w:rsidRPr="002B65F7">
        <w:t> </w:t>
      </w:r>
      <w:r w:rsidRPr="002B65F7">
        <w:t>ans traités sur une durée allant jusqu’à 60</w:t>
      </w:r>
      <w:r w:rsidR="00417098" w:rsidRPr="002B65F7">
        <w:t> </w:t>
      </w:r>
      <w:r w:rsidRPr="002B65F7">
        <w:t>semaines et la seconde étude portait sur 44</w:t>
      </w:r>
      <w:r w:rsidR="005D696C" w:rsidRPr="002B65F7">
        <w:t> </w:t>
      </w:r>
      <w:r w:rsidRPr="002B65F7">
        <w:t>patients âgés de 6</w:t>
      </w:r>
      <w:r w:rsidR="005D696C" w:rsidRPr="002B65F7">
        <w:t> </w:t>
      </w:r>
      <w:r w:rsidRPr="002B65F7">
        <w:t>à 11</w:t>
      </w:r>
      <w:r w:rsidR="005D696C" w:rsidRPr="002B65F7">
        <w:t> </w:t>
      </w:r>
      <w:r w:rsidRPr="002B65F7">
        <w:t>ans traités sur une durée allant jusqu’à 56</w:t>
      </w:r>
      <w:r w:rsidR="00417098" w:rsidRPr="002B65F7">
        <w:t> </w:t>
      </w:r>
      <w:r w:rsidRPr="002B65F7">
        <w:t>semaines. En général, les évènements indésirables rapportés dans ces deux études avec des données de sécurité allant jusqu’à 1 an étaient similaires à ceux observés dans les précédentes études menées chez des patients adultes atteints de psoriasis en plaques.</w:t>
      </w:r>
    </w:p>
    <w:p w14:paraId="489358D5" w14:textId="77777777" w:rsidR="00F81A89" w:rsidRDefault="00F81A89" w:rsidP="00F81A89">
      <w:pPr>
        <w:rPr>
          <w:noProof/>
          <w:lang w:eastAsia="nl-BE"/>
        </w:rPr>
      </w:pPr>
    </w:p>
    <w:p w14:paraId="57C3BDBE" w14:textId="64D9F903" w:rsidR="00F81A89" w:rsidRDefault="00F81A89" w:rsidP="00F81A89">
      <w:pPr>
        <w:keepNext/>
        <w:rPr>
          <w:i/>
          <w:iCs/>
          <w:noProof/>
          <w:lang w:eastAsia="nl-BE"/>
        </w:rPr>
      </w:pPr>
      <w:r>
        <w:rPr>
          <w:i/>
          <w:iCs/>
          <w:noProof/>
          <w:lang w:eastAsia="nl-BE"/>
        </w:rPr>
        <w:t>Patients pédiatriques pesant au moins 40 kg atteints de la maladie de Crohn</w:t>
      </w:r>
    </w:p>
    <w:p w14:paraId="11982C65" w14:textId="77777777" w:rsidR="00537749" w:rsidRDefault="00537749" w:rsidP="003743BD">
      <w:pPr>
        <w:keepNext/>
        <w:rPr>
          <w:i/>
          <w:iCs/>
          <w:noProof/>
          <w:lang w:eastAsia="nl-BE"/>
        </w:rPr>
      </w:pPr>
    </w:p>
    <w:p w14:paraId="0B52FE1D" w14:textId="77777777" w:rsidR="00F81A89" w:rsidRDefault="00F81A89" w:rsidP="00F81A89">
      <w:pPr>
        <w:rPr>
          <w:noProof/>
          <w:lang w:eastAsia="nl-BE"/>
        </w:rPr>
      </w:pPr>
      <w:r>
        <w:rPr>
          <w:noProof/>
          <w:lang w:eastAsia="nl-BE"/>
        </w:rPr>
        <w:t>La sécurité de l’ustekinumab a été étudiée dans une étude de phase 1 et une étude de phase 3 chez des patients pédiatriques atteints de la maladie de Crohn active modérée à sévère jusqu’à la semaine 240 et la semaine 52, respectivement. En général, le profil de sécurité dans cette cohorte (n = 71) était similaire à celui observé dans les études précédentes menées chez les adultes atteints de la maladie de Crohn.</w:t>
      </w:r>
    </w:p>
    <w:p w14:paraId="589A847B" w14:textId="77777777" w:rsidR="00417098" w:rsidRPr="002B65F7" w:rsidRDefault="00417098" w:rsidP="00496255">
      <w:pPr>
        <w:widowControl/>
        <w:rPr>
          <w:u w:val="single"/>
        </w:rPr>
      </w:pPr>
    </w:p>
    <w:p w14:paraId="03B5811B" w14:textId="5555D35D" w:rsidR="00092F83" w:rsidRPr="002B65F7" w:rsidRDefault="00C31740" w:rsidP="00496255">
      <w:pPr>
        <w:keepNext/>
        <w:widowControl/>
        <w:rPr>
          <w:u w:val="single"/>
        </w:rPr>
      </w:pPr>
      <w:r w:rsidRPr="002B65F7">
        <w:rPr>
          <w:u w:val="single"/>
        </w:rPr>
        <w:t>Déclaration des effets indésirables suspectés</w:t>
      </w:r>
    </w:p>
    <w:p w14:paraId="674B785F" w14:textId="77777777" w:rsidR="00417098" w:rsidRPr="002B65F7" w:rsidRDefault="00417098" w:rsidP="00496255">
      <w:pPr>
        <w:keepNext/>
        <w:widowControl/>
      </w:pPr>
    </w:p>
    <w:p w14:paraId="03B5811C" w14:textId="5E1B4CFF" w:rsidR="00092F83" w:rsidRPr="002B65F7" w:rsidRDefault="00C31740" w:rsidP="00496255">
      <w:pPr>
        <w:widowControl/>
      </w:pPr>
      <w:r w:rsidRPr="002B65F7">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 voir </w:t>
      </w:r>
      <w:hyperlink r:id="rId13" w:history="1">
        <w:r>
          <w:rPr>
            <w:rStyle w:val="Hyperlink"/>
            <w:highlight w:val="lightGray"/>
          </w:rPr>
          <w:t>Annexe V</w:t>
        </w:r>
      </w:hyperlink>
      <w:r w:rsidRPr="002B65F7">
        <w:t>.</w:t>
      </w:r>
    </w:p>
    <w:p w14:paraId="3E98911D" w14:textId="77777777" w:rsidR="00492032" w:rsidRPr="002B65F7" w:rsidRDefault="00492032" w:rsidP="00496255">
      <w:pPr>
        <w:widowControl/>
        <w:rPr>
          <w:b/>
          <w:bCs/>
        </w:rPr>
      </w:pPr>
    </w:p>
    <w:p w14:paraId="03B5811D" w14:textId="3CE1D441" w:rsidR="00092F83" w:rsidRPr="002B65F7" w:rsidRDefault="00492032" w:rsidP="00D57C49">
      <w:pPr>
        <w:keepNext/>
        <w:widowControl/>
        <w:ind w:left="567" w:hanging="567"/>
        <w:rPr>
          <w:b/>
          <w:bCs/>
        </w:rPr>
      </w:pPr>
      <w:r w:rsidRPr="002B65F7">
        <w:rPr>
          <w:b/>
          <w:bCs/>
        </w:rPr>
        <w:t>4.9</w:t>
      </w:r>
      <w:r w:rsidRPr="002B65F7">
        <w:rPr>
          <w:b/>
          <w:bCs/>
        </w:rPr>
        <w:tab/>
      </w:r>
      <w:r w:rsidR="00C31740" w:rsidRPr="002B65F7">
        <w:rPr>
          <w:b/>
          <w:bCs/>
        </w:rPr>
        <w:t>Surdosage</w:t>
      </w:r>
    </w:p>
    <w:p w14:paraId="03B5811E" w14:textId="77777777" w:rsidR="00092F83" w:rsidRPr="002B65F7" w:rsidRDefault="00092F83" w:rsidP="00496255">
      <w:pPr>
        <w:keepNext/>
        <w:widowControl/>
      </w:pPr>
    </w:p>
    <w:p w14:paraId="03B5811F" w14:textId="74022A0A" w:rsidR="00092F83" w:rsidRPr="002B65F7" w:rsidRDefault="00C31740" w:rsidP="00496255">
      <w:pPr>
        <w:widowControl/>
      </w:pPr>
      <w:r w:rsidRPr="002B65F7">
        <w:t>Des doses uniques allant jusqu’à 6</w:t>
      </w:r>
      <w:r w:rsidR="00492032" w:rsidRPr="002B65F7">
        <w:t> </w:t>
      </w:r>
      <w:r w:rsidRPr="002B65F7">
        <w:t>mg/kg ont été administrées par voie intraveineuse au cours des études cliniques sans toxicité dose-limitante. En cas de surdosage, il est recommandé que le patient soit surveillé afin de détecter tout signe ou symptôme évoquant des effets indésirables et qu’un traitement symptomatique approprié soit immédiatement instauré.</w:t>
      </w:r>
    </w:p>
    <w:p w14:paraId="03B58120" w14:textId="77777777" w:rsidR="00092F83" w:rsidRPr="002B65F7" w:rsidRDefault="00092F83" w:rsidP="00496255">
      <w:pPr>
        <w:widowControl/>
      </w:pPr>
    </w:p>
    <w:p w14:paraId="1745AB6E" w14:textId="77777777" w:rsidR="00492032" w:rsidRPr="002B65F7" w:rsidRDefault="00492032" w:rsidP="00496255">
      <w:pPr>
        <w:widowControl/>
        <w:rPr>
          <w:b/>
          <w:bCs/>
        </w:rPr>
      </w:pPr>
    </w:p>
    <w:p w14:paraId="03B58121" w14:textId="7A80CE88" w:rsidR="00092F83" w:rsidRPr="002B65F7" w:rsidRDefault="00492032" w:rsidP="00D57C49">
      <w:pPr>
        <w:keepNext/>
        <w:widowControl/>
        <w:ind w:left="567" w:hanging="567"/>
        <w:rPr>
          <w:b/>
          <w:bCs/>
        </w:rPr>
      </w:pPr>
      <w:r w:rsidRPr="002B65F7">
        <w:rPr>
          <w:b/>
          <w:bCs/>
        </w:rPr>
        <w:t>5</w:t>
      </w:r>
      <w:r w:rsidR="00361CF4" w:rsidRPr="002B65F7">
        <w:rPr>
          <w:b/>
          <w:bCs/>
        </w:rPr>
        <w:t>.</w:t>
      </w:r>
      <w:r w:rsidRPr="002B65F7">
        <w:rPr>
          <w:b/>
          <w:bCs/>
        </w:rPr>
        <w:tab/>
      </w:r>
      <w:r w:rsidR="00C31740" w:rsidRPr="002B65F7">
        <w:rPr>
          <w:b/>
          <w:bCs/>
        </w:rPr>
        <w:t>PROPRIETÉS PHARMACOLOGIQUES</w:t>
      </w:r>
    </w:p>
    <w:p w14:paraId="03B58122" w14:textId="77777777" w:rsidR="00092F83" w:rsidRPr="002B65F7" w:rsidRDefault="00092F83" w:rsidP="00496255">
      <w:pPr>
        <w:keepNext/>
        <w:widowControl/>
      </w:pPr>
    </w:p>
    <w:p w14:paraId="03B58123" w14:textId="32291255" w:rsidR="00092F83" w:rsidRPr="002B65F7" w:rsidRDefault="00492032" w:rsidP="00D57C49">
      <w:pPr>
        <w:keepNext/>
        <w:widowControl/>
        <w:ind w:left="567" w:hanging="567"/>
        <w:rPr>
          <w:b/>
          <w:bCs/>
        </w:rPr>
      </w:pPr>
      <w:r w:rsidRPr="002B65F7">
        <w:rPr>
          <w:b/>
          <w:bCs/>
        </w:rPr>
        <w:t>5.1</w:t>
      </w:r>
      <w:r w:rsidRPr="002B65F7">
        <w:rPr>
          <w:b/>
          <w:bCs/>
        </w:rPr>
        <w:tab/>
      </w:r>
      <w:r w:rsidR="00C31740" w:rsidRPr="002B65F7">
        <w:rPr>
          <w:b/>
          <w:bCs/>
        </w:rPr>
        <w:t>Propriétés pharmacodynamiques</w:t>
      </w:r>
    </w:p>
    <w:p w14:paraId="03B58124" w14:textId="77777777" w:rsidR="00092F83" w:rsidRPr="002B65F7" w:rsidRDefault="00092F83" w:rsidP="00496255">
      <w:pPr>
        <w:keepNext/>
        <w:widowControl/>
      </w:pPr>
    </w:p>
    <w:p w14:paraId="03B58125" w14:textId="77777777" w:rsidR="00092F83" w:rsidRPr="002B65F7" w:rsidRDefault="00C31740" w:rsidP="00496255">
      <w:pPr>
        <w:widowControl/>
      </w:pPr>
      <w:r w:rsidRPr="002B65F7">
        <w:t>Classe pharmacothérapeutique : Immunosuppresseurs, inhibiteurs d’interleukine, Code ATC : L04AC05.</w:t>
      </w:r>
    </w:p>
    <w:p w14:paraId="305C1950" w14:textId="77777777" w:rsidR="001C3D92" w:rsidRPr="002B65F7" w:rsidRDefault="001C3D92" w:rsidP="00496255">
      <w:pPr>
        <w:widowControl/>
      </w:pPr>
    </w:p>
    <w:p w14:paraId="39FBDB84" w14:textId="78190B40" w:rsidR="001C3D92" w:rsidRPr="002B65F7" w:rsidRDefault="001C3D92" w:rsidP="005E2B70">
      <w:pPr>
        <w:widowControl/>
      </w:pPr>
      <w:r w:rsidRPr="002B65F7">
        <w:t>WEZENLA est un médicament biosimilaire. Des informations détaillées sont disponibles sur le site</w:t>
      </w:r>
      <w:r w:rsidR="00A23DF7" w:rsidRPr="002B65F7">
        <w:t xml:space="preserve"> internet</w:t>
      </w:r>
      <w:r w:rsidRPr="002B65F7">
        <w:t xml:space="preserve"> de l’Agence européenne des médicaments </w:t>
      </w:r>
      <w:hyperlink r:id="rId14" w:history="1">
        <w:r w:rsidR="00D06682">
          <w:rPr>
            <w:rStyle w:val="Hyperlink"/>
          </w:rPr>
          <w:t>https://www.ema.europa.eu</w:t>
        </w:r>
      </w:hyperlink>
      <w:r w:rsidRPr="002B65F7">
        <w:t>.</w:t>
      </w:r>
    </w:p>
    <w:p w14:paraId="62A87FDC" w14:textId="77777777" w:rsidR="00492032" w:rsidRPr="002B65F7" w:rsidRDefault="00492032" w:rsidP="00496255">
      <w:pPr>
        <w:widowControl/>
      </w:pPr>
    </w:p>
    <w:p w14:paraId="03B58126" w14:textId="6CB1236A" w:rsidR="00092F83" w:rsidRPr="002B65F7" w:rsidRDefault="00C31740" w:rsidP="00496255">
      <w:pPr>
        <w:keepNext/>
        <w:widowControl/>
        <w:rPr>
          <w:u w:val="single"/>
        </w:rPr>
      </w:pPr>
      <w:r w:rsidRPr="002B65F7">
        <w:rPr>
          <w:u w:val="single"/>
        </w:rPr>
        <w:t>Mécanisme d’action</w:t>
      </w:r>
    </w:p>
    <w:p w14:paraId="659BA63C" w14:textId="77777777" w:rsidR="00492032" w:rsidRPr="002B65F7" w:rsidRDefault="00492032" w:rsidP="00496255">
      <w:pPr>
        <w:keepNext/>
        <w:widowControl/>
        <w:rPr>
          <w:u w:val="single"/>
        </w:rPr>
      </w:pPr>
    </w:p>
    <w:p w14:paraId="03B5812A" w14:textId="657B0FFE" w:rsidR="00092F83" w:rsidRPr="002B65F7" w:rsidRDefault="00C31740" w:rsidP="00496255">
      <w:pPr>
        <w:widowControl/>
      </w:pPr>
      <w:r w:rsidRPr="002B65F7">
        <w:t>L’</w:t>
      </w:r>
      <w:r w:rsidR="0071390F" w:rsidRPr="002B65F7">
        <w:t>ustekinumab</w:t>
      </w:r>
      <w:r w:rsidRPr="002B65F7">
        <w:t xml:space="preserve"> est un anticorps monoclonal IgG1κ entièrement humain qui se lie spécifiquement à la sous-unité protéique p40 commune aux cytokines humaines interleukine</w:t>
      </w:r>
      <w:r w:rsidR="003F37B6">
        <w:t>s</w:t>
      </w:r>
      <w:r w:rsidRPr="002B65F7">
        <w:t xml:space="preserve"> IL-12 et IL-23.</w:t>
      </w:r>
      <w:r w:rsidR="00AD05B8">
        <w:t xml:space="preserve"> </w:t>
      </w:r>
      <w:r w:rsidRPr="002B65F7">
        <w:t>L’</w:t>
      </w:r>
      <w:r w:rsidR="0071390F" w:rsidRPr="002B65F7">
        <w:t>ustekinumab</w:t>
      </w:r>
      <w:r w:rsidRPr="002B65F7">
        <w:t xml:space="preserve"> inhibe la bioactivité de l’IL-12 et de l’IL-23 humaines en empêchant la p40 de se lier au récepteur protéique IL-12Rβ1 exprimé à la surface de cellules immunitaires. L’</w:t>
      </w:r>
      <w:r w:rsidR="0071390F" w:rsidRPr="002B65F7">
        <w:t>ustekinumab</w:t>
      </w:r>
      <w:r w:rsidRPr="002B65F7">
        <w:t xml:space="preserve"> ne peut pas se lier à l’IL-12 ou à l’IL-23 si elles sont préalablement fixées à leurs récepteurs cellulaires de</w:t>
      </w:r>
      <w:r w:rsidR="008E0B6A" w:rsidRPr="002B65F7">
        <w:t xml:space="preserve"> </w:t>
      </w:r>
      <w:r w:rsidRPr="002B65F7">
        <w:lastRenderedPageBreak/>
        <w:t>surface</w:t>
      </w:r>
      <w:r w:rsidRPr="002B65F7">
        <w:rPr>
          <w:spacing w:val="-2"/>
        </w:rPr>
        <w:t xml:space="preserve"> </w:t>
      </w:r>
      <w:r w:rsidRPr="002B65F7">
        <w:t>IL-12Rβ1.</w:t>
      </w:r>
      <w:r w:rsidRPr="002B65F7">
        <w:rPr>
          <w:spacing w:val="-2"/>
        </w:rPr>
        <w:t xml:space="preserve"> </w:t>
      </w:r>
      <w:r w:rsidRPr="002B65F7">
        <w:t>Il</w:t>
      </w:r>
      <w:r w:rsidRPr="002B65F7">
        <w:rPr>
          <w:spacing w:val="-2"/>
        </w:rPr>
        <w:t xml:space="preserve"> </w:t>
      </w:r>
      <w:r w:rsidRPr="002B65F7">
        <w:t>est</w:t>
      </w:r>
      <w:r w:rsidRPr="002B65F7">
        <w:rPr>
          <w:spacing w:val="-2"/>
        </w:rPr>
        <w:t xml:space="preserve"> </w:t>
      </w:r>
      <w:r w:rsidRPr="002B65F7">
        <w:t>donc</w:t>
      </w:r>
      <w:r w:rsidRPr="002B65F7">
        <w:rPr>
          <w:spacing w:val="-2"/>
        </w:rPr>
        <w:t xml:space="preserve"> </w:t>
      </w:r>
      <w:r w:rsidRPr="002B65F7">
        <w:t>peu</w:t>
      </w:r>
      <w:r w:rsidRPr="002B65F7">
        <w:rPr>
          <w:spacing w:val="-2"/>
        </w:rPr>
        <w:t xml:space="preserve"> </w:t>
      </w:r>
      <w:r w:rsidRPr="002B65F7">
        <w:t>probable</w:t>
      </w:r>
      <w:r w:rsidRPr="002B65F7">
        <w:rPr>
          <w:spacing w:val="-2"/>
        </w:rPr>
        <w:t xml:space="preserve"> </w:t>
      </w:r>
      <w:r w:rsidRPr="002B65F7">
        <w:t>que</w:t>
      </w:r>
      <w:r w:rsidRPr="002B65F7">
        <w:rPr>
          <w:spacing w:val="-2"/>
        </w:rPr>
        <w:t xml:space="preserve"> </w:t>
      </w:r>
      <w:r w:rsidRPr="002B65F7">
        <w:t>l’</w:t>
      </w:r>
      <w:r w:rsidR="0071390F" w:rsidRPr="002B65F7">
        <w:t>ustekinumab</w:t>
      </w:r>
      <w:r w:rsidRPr="002B65F7">
        <w:rPr>
          <w:spacing w:val="-2"/>
        </w:rPr>
        <w:t xml:space="preserve"> </w:t>
      </w:r>
      <w:r w:rsidRPr="002B65F7">
        <w:t>contribue</w:t>
      </w:r>
      <w:r w:rsidRPr="002B65F7">
        <w:rPr>
          <w:spacing w:val="-2"/>
        </w:rPr>
        <w:t xml:space="preserve"> </w:t>
      </w:r>
      <w:r w:rsidRPr="002B65F7">
        <w:t>à</w:t>
      </w:r>
      <w:r w:rsidRPr="002B65F7">
        <w:rPr>
          <w:spacing w:val="-2"/>
        </w:rPr>
        <w:t xml:space="preserve"> </w:t>
      </w:r>
      <w:r w:rsidRPr="002B65F7">
        <w:t>la</w:t>
      </w:r>
      <w:r w:rsidRPr="002B65F7">
        <w:rPr>
          <w:spacing w:val="-2"/>
        </w:rPr>
        <w:t xml:space="preserve"> </w:t>
      </w:r>
      <w:r w:rsidRPr="002B65F7">
        <w:t>cytotoxicité</w:t>
      </w:r>
      <w:r w:rsidRPr="002B65F7">
        <w:rPr>
          <w:spacing w:val="-2"/>
        </w:rPr>
        <w:t xml:space="preserve"> </w:t>
      </w:r>
      <w:r w:rsidRPr="002B65F7">
        <w:t>médiée</w:t>
      </w:r>
      <w:r w:rsidRPr="002B65F7">
        <w:rPr>
          <w:spacing w:val="-2"/>
        </w:rPr>
        <w:t xml:space="preserve"> </w:t>
      </w:r>
      <w:r w:rsidRPr="002B65F7">
        <w:t>par</w:t>
      </w:r>
      <w:r w:rsidRPr="002B65F7">
        <w:rPr>
          <w:spacing w:val="-2"/>
        </w:rPr>
        <w:t xml:space="preserve"> </w:t>
      </w:r>
      <w:r w:rsidRPr="002B65F7">
        <w:t>le complément ou par les anticorps des cellules comportant des récepteurs à l’IL-12 et/ou IL-23. IL-12 et IL-23 sont des cytokines hétérodimériques sécrétées par des cellules présentatrices d’antigènes</w:t>
      </w:r>
      <w:r w:rsidRPr="002B65F7">
        <w:rPr>
          <w:spacing w:val="40"/>
        </w:rPr>
        <w:t xml:space="preserve"> </w:t>
      </w:r>
      <w:r w:rsidRPr="002B65F7">
        <w:t>activées telles que les macrophages et les cellules dendritiques. Chacune des cytokines participent aux fonctions immunitaires ; l’IL-12 stimule les cellules natural killer (NK) et conduit à la différenciation des lymphocytes T CD4+ vers le phénotype T helper 1 (Th1), l’IL-23 induit la différenciation en lymphocyte T helper</w:t>
      </w:r>
      <w:r w:rsidR="00006524" w:rsidRPr="002B65F7">
        <w:t> </w:t>
      </w:r>
      <w:r w:rsidRPr="002B65F7">
        <w:t>17 (Th17). Cependant, une anomalie de la régulation des IL-12 et IL-23 a été associée à des maladies à médiation immunitaire, telles que le psoriasis, le rhumatisme psoriasique</w:t>
      </w:r>
      <w:r w:rsidR="001C3D92" w:rsidRPr="002B65F7">
        <w:t xml:space="preserve"> et</w:t>
      </w:r>
      <w:r w:rsidRPr="002B65F7">
        <w:t xml:space="preserve"> la maladie de Crohn.</w:t>
      </w:r>
    </w:p>
    <w:p w14:paraId="03B5812B" w14:textId="77777777" w:rsidR="00092F83" w:rsidRPr="002B65F7" w:rsidRDefault="00092F83" w:rsidP="00496255">
      <w:pPr>
        <w:widowControl/>
      </w:pPr>
    </w:p>
    <w:p w14:paraId="03B5812C" w14:textId="42344DEC" w:rsidR="00092F83" w:rsidRPr="002B65F7" w:rsidRDefault="00C31740" w:rsidP="00496255">
      <w:pPr>
        <w:widowControl/>
      </w:pPr>
      <w:r w:rsidRPr="002B65F7">
        <w:t>En se fixant à la sous-unité p40 commune aux IL-12 et IL-23, l’</w:t>
      </w:r>
      <w:r w:rsidR="0071390F" w:rsidRPr="002B65F7">
        <w:t>ustekinumab</w:t>
      </w:r>
      <w:r w:rsidRPr="002B65F7">
        <w:t xml:space="preserve"> peut exercer ses effets cliniques à la fois sur le psoriasis, sur le rhumatisme psoriasique</w:t>
      </w:r>
      <w:r w:rsidR="001C3D92" w:rsidRPr="002B65F7">
        <w:t xml:space="preserve"> et</w:t>
      </w:r>
      <w:r w:rsidRPr="002B65F7">
        <w:t xml:space="preserve"> sur la maladie de Crohn par inhibition des voies cytokiniques Th1 et Th17, qui occupent une place centrale dans la physiopathologie de ces maladies.</w:t>
      </w:r>
    </w:p>
    <w:p w14:paraId="03B5812D" w14:textId="77777777" w:rsidR="00092F83" w:rsidRPr="002B65F7" w:rsidRDefault="00092F83" w:rsidP="00496255">
      <w:pPr>
        <w:widowControl/>
      </w:pPr>
    </w:p>
    <w:p w14:paraId="03B5812E" w14:textId="66FE124C" w:rsidR="00092F83" w:rsidRPr="002B65F7" w:rsidRDefault="00C31740" w:rsidP="00496255">
      <w:pPr>
        <w:widowControl/>
      </w:pPr>
      <w:r w:rsidRPr="002B65F7">
        <w:t xml:space="preserve">Chez les patients atteints de la maladie de Crohn, le traitement par </w:t>
      </w:r>
      <w:r w:rsidR="0071390F" w:rsidRPr="002B65F7">
        <w:t>ustekinumab</w:t>
      </w:r>
      <w:r w:rsidRPr="002B65F7">
        <w:t xml:space="preserve"> a conduit durant la phase d’induction à une diminution des marqueurs inflammatoires, incluant la protéine C-réactive (CRP) et la calprotectine fécale, qui s’est maintenue tout au long de la phase d’entretien. La CRP a été mesurée pendant l’étude d’extension et les diminutions observées pendant l’entretien ont été généralement maintenues jusqu’à la semaine</w:t>
      </w:r>
      <w:r w:rsidR="00006524" w:rsidRPr="002B65F7">
        <w:t> </w:t>
      </w:r>
      <w:r w:rsidRPr="002B65F7">
        <w:t>252.</w:t>
      </w:r>
    </w:p>
    <w:p w14:paraId="03B58130" w14:textId="77777777" w:rsidR="00092F83" w:rsidRPr="002B65F7" w:rsidRDefault="00092F83" w:rsidP="00496255">
      <w:pPr>
        <w:widowControl/>
      </w:pPr>
    </w:p>
    <w:p w14:paraId="03B58131" w14:textId="77777777" w:rsidR="00092F83" w:rsidRPr="002B65F7" w:rsidRDefault="00C31740" w:rsidP="00496255">
      <w:pPr>
        <w:keepNext/>
        <w:widowControl/>
        <w:rPr>
          <w:u w:val="single"/>
        </w:rPr>
      </w:pPr>
      <w:r w:rsidRPr="002B65F7">
        <w:rPr>
          <w:u w:val="single"/>
        </w:rPr>
        <w:t>Immunisation</w:t>
      </w:r>
    </w:p>
    <w:p w14:paraId="4A514888" w14:textId="77777777" w:rsidR="00006524" w:rsidRPr="002B65F7" w:rsidRDefault="00006524" w:rsidP="00496255">
      <w:pPr>
        <w:keepNext/>
        <w:widowControl/>
        <w:rPr>
          <w:u w:val="single"/>
        </w:rPr>
      </w:pPr>
    </w:p>
    <w:p w14:paraId="03B58132" w14:textId="115693E7" w:rsidR="00092F83" w:rsidRPr="002B65F7" w:rsidRDefault="00C31740" w:rsidP="00496255">
      <w:pPr>
        <w:widowControl/>
      </w:pPr>
      <w:r w:rsidRPr="002B65F7">
        <w:t xml:space="preserve">Pendant le suivi à long terme de l’étude Psoriasis 2 (PHOENIX 2), les patients adultes traités par </w:t>
      </w:r>
      <w:r w:rsidR="0071390F" w:rsidRPr="002B65F7">
        <w:t>ustekinumab</w:t>
      </w:r>
      <w:r w:rsidRPr="002B65F7">
        <w:t xml:space="preserve"> pendant au moins 3,5 ans ont vu leurs réponses en anticorps vis-à-vis des vaccins pneumococcique</w:t>
      </w:r>
      <w:r w:rsidR="00FC3A36" w:rsidRPr="002B65F7">
        <w:t>s</w:t>
      </w:r>
      <w:r w:rsidRPr="002B65F7">
        <w:t xml:space="preserve"> polysacc</w:t>
      </w:r>
      <w:r w:rsidR="003F37B6">
        <w:t>h</w:t>
      </w:r>
      <w:r w:rsidRPr="002B65F7">
        <w:t>aridique</w:t>
      </w:r>
      <w:r w:rsidR="00FC3A36" w:rsidRPr="002B65F7">
        <w:t>s</w:t>
      </w:r>
      <w:r w:rsidRPr="002B65F7">
        <w:t xml:space="preserve"> et anti-tétanique</w:t>
      </w:r>
      <w:r w:rsidR="00FC3A36" w:rsidRPr="002B65F7">
        <w:t>s</w:t>
      </w:r>
      <w:r w:rsidRPr="002B65F7">
        <w:t xml:space="preserve"> augmenter de façon similaire au groupe contrôle psoriasis non traité par voie systémique. Une proportion similaire de patients adultes a développé des taux protecteurs d’anticorps anti-pneumococciques et anti-tétaniques et les titres d’anticorps étaient similaires chez les patients traités par </w:t>
      </w:r>
      <w:r w:rsidR="0071390F" w:rsidRPr="002B65F7">
        <w:t>ustekinumab</w:t>
      </w:r>
      <w:r w:rsidRPr="002B65F7">
        <w:t xml:space="preserve"> et dans le groupe contrôle.</w:t>
      </w:r>
    </w:p>
    <w:p w14:paraId="05DBCEB9" w14:textId="77777777" w:rsidR="00A63F02" w:rsidRPr="002B65F7" w:rsidRDefault="00A63F02" w:rsidP="00496255">
      <w:pPr>
        <w:widowControl/>
      </w:pPr>
    </w:p>
    <w:p w14:paraId="03B58133" w14:textId="24CA4EA9" w:rsidR="00092F83" w:rsidRPr="002B65F7" w:rsidRDefault="00C31740" w:rsidP="00496255">
      <w:pPr>
        <w:keepNext/>
        <w:widowControl/>
        <w:rPr>
          <w:u w:val="single"/>
        </w:rPr>
      </w:pPr>
      <w:r w:rsidRPr="002B65F7">
        <w:rPr>
          <w:u w:val="single"/>
        </w:rPr>
        <w:t xml:space="preserve">Efficacité </w:t>
      </w:r>
      <w:r w:rsidR="00A23DF7" w:rsidRPr="002B65F7">
        <w:rPr>
          <w:u w:val="single"/>
        </w:rPr>
        <w:t xml:space="preserve">et sécurité </w:t>
      </w:r>
      <w:r w:rsidRPr="002B65F7">
        <w:rPr>
          <w:u w:val="single"/>
        </w:rPr>
        <w:t>clinique</w:t>
      </w:r>
      <w:r w:rsidR="00A23DF7" w:rsidRPr="002B65F7">
        <w:rPr>
          <w:u w:val="single"/>
        </w:rPr>
        <w:t>s</w:t>
      </w:r>
    </w:p>
    <w:p w14:paraId="03B58134" w14:textId="77777777" w:rsidR="00092F83" w:rsidRPr="002B65F7" w:rsidRDefault="00092F83" w:rsidP="00496255">
      <w:pPr>
        <w:keepNext/>
        <w:widowControl/>
        <w:rPr>
          <w:u w:val="single"/>
        </w:rPr>
      </w:pPr>
    </w:p>
    <w:p w14:paraId="03B58135" w14:textId="49E78A5E" w:rsidR="00092F83" w:rsidRPr="002B65F7" w:rsidRDefault="00C31740" w:rsidP="00496255">
      <w:pPr>
        <w:keepNext/>
        <w:widowControl/>
        <w:rPr>
          <w:i/>
          <w:iCs/>
        </w:rPr>
      </w:pPr>
      <w:r w:rsidRPr="002B65F7">
        <w:rPr>
          <w:i/>
          <w:iCs/>
        </w:rPr>
        <w:t>Psoriasis en plaques (</w:t>
      </w:r>
      <w:r w:rsidR="001C3D92" w:rsidRPr="002B65F7">
        <w:rPr>
          <w:i/>
          <w:iCs/>
        </w:rPr>
        <w:t>a</w:t>
      </w:r>
      <w:r w:rsidRPr="002B65F7">
        <w:rPr>
          <w:i/>
          <w:iCs/>
        </w:rPr>
        <w:t>dultes)</w:t>
      </w:r>
    </w:p>
    <w:p w14:paraId="2FE84CC0" w14:textId="77777777" w:rsidR="00935A34" w:rsidRPr="002B65F7" w:rsidRDefault="00935A34" w:rsidP="00496255">
      <w:pPr>
        <w:keepNext/>
        <w:widowControl/>
      </w:pPr>
    </w:p>
    <w:p w14:paraId="03B58136" w14:textId="66AA3CB7" w:rsidR="00092F83" w:rsidRPr="002B65F7" w:rsidRDefault="00C31740" w:rsidP="00496255">
      <w:pPr>
        <w:widowControl/>
      </w:pPr>
      <w:r w:rsidRPr="002B65F7">
        <w:t>La sécurité et l’efficacité de l’</w:t>
      </w:r>
      <w:r w:rsidR="0071390F" w:rsidRPr="002B65F7">
        <w:t>ustekinumab</w:t>
      </w:r>
      <w:r w:rsidRPr="002B65F7">
        <w:t xml:space="preserve"> ont été évaluées dans deux études randomisées, en double aveugle </w:t>
      </w:r>
      <w:r w:rsidRPr="002B65F7">
        <w:rPr>
          <w:i/>
          <w:iCs/>
        </w:rPr>
        <w:t>versus</w:t>
      </w:r>
      <w:r w:rsidRPr="002B65F7">
        <w:t xml:space="preserve"> placebo chez 1</w:t>
      </w:r>
      <w:r w:rsidR="00772E6A" w:rsidRPr="002B65F7">
        <w:t> </w:t>
      </w:r>
      <w:r w:rsidRPr="002B65F7">
        <w:t>996</w:t>
      </w:r>
      <w:r w:rsidR="005D696C" w:rsidRPr="002B65F7">
        <w:t> </w:t>
      </w:r>
      <w:r w:rsidRPr="002B65F7">
        <w:t xml:space="preserve">patients présentant un psoriasis en plaques modéré à sévère et qui étaient candidats à la photothérapie ou à un autre traitement systémique. De plus, une étude randomisée, simple aveugle investigateur, </w:t>
      </w:r>
      <w:r w:rsidRPr="002B65F7">
        <w:rPr>
          <w:i/>
          <w:iCs/>
        </w:rPr>
        <w:t>versus</w:t>
      </w:r>
      <w:r w:rsidRPr="002B65F7">
        <w:t xml:space="preserve"> traitement actif a comparé l’</w:t>
      </w:r>
      <w:r w:rsidR="0071390F" w:rsidRPr="002B65F7">
        <w:t>ustekinumab</w:t>
      </w:r>
      <w:r w:rsidRPr="002B65F7">
        <w:t xml:space="preserve"> et l’étanercept chez des patients présentant un psoriasis en plaques modéré à sévère, qui n’avaient pas répondu, ou qui présentaient une contre-indication, ou qui étaient intolérants à la ciclosporine, au MTX ou à la puvathérapie.</w:t>
      </w:r>
    </w:p>
    <w:p w14:paraId="0DF29249" w14:textId="77777777" w:rsidR="00772E6A" w:rsidRPr="002B65F7" w:rsidRDefault="00772E6A" w:rsidP="00496255">
      <w:pPr>
        <w:widowControl/>
      </w:pPr>
    </w:p>
    <w:p w14:paraId="03B58137" w14:textId="7CCB3023" w:rsidR="00092F83" w:rsidRPr="002B65F7" w:rsidRDefault="00C31740" w:rsidP="00496255">
      <w:pPr>
        <w:widowControl/>
      </w:pPr>
      <w:r w:rsidRPr="002B65F7">
        <w:t>L’étude Psoriasis</w:t>
      </w:r>
      <w:r w:rsidR="00772E6A" w:rsidRPr="002B65F7">
        <w:t> </w:t>
      </w:r>
      <w:r w:rsidRPr="002B65F7">
        <w:t>1 (PHOENIX</w:t>
      </w:r>
      <w:r w:rsidR="00772E6A" w:rsidRPr="002B65F7">
        <w:t> </w:t>
      </w:r>
      <w:r w:rsidRPr="002B65F7">
        <w:t>1) a porté sur 766</w:t>
      </w:r>
      <w:r w:rsidR="00772E6A" w:rsidRPr="002B65F7">
        <w:t> </w:t>
      </w:r>
      <w:r w:rsidRPr="002B65F7">
        <w:t xml:space="preserve">patients. 53% de ces patients n’ont pas répondu, étaient intolérants, ou avaient une contre-indication à un autre traitement systémique. Les patients randomisés dans le groupe </w:t>
      </w:r>
      <w:r w:rsidR="0071390F" w:rsidRPr="002B65F7">
        <w:t>ustekinumab</w:t>
      </w:r>
      <w:r w:rsidRPr="002B65F7">
        <w:t xml:space="preserve"> ont reçu une dose de 45</w:t>
      </w:r>
      <w:r w:rsidR="004065BE" w:rsidRPr="002B65F7">
        <w:t> </w:t>
      </w:r>
      <w:r w:rsidRPr="002B65F7">
        <w:t>mg ou de 90</w:t>
      </w:r>
      <w:r w:rsidR="004065BE" w:rsidRPr="002B65F7">
        <w:t> </w:t>
      </w:r>
      <w:r w:rsidRPr="002B65F7">
        <w:t>mg aux semaines</w:t>
      </w:r>
      <w:r w:rsidR="004065BE" w:rsidRPr="002B65F7">
        <w:t> </w:t>
      </w:r>
      <w:r w:rsidRPr="002B65F7">
        <w:t>0 et</w:t>
      </w:r>
      <w:r w:rsidR="004065BE" w:rsidRPr="002B65F7">
        <w:t> </w:t>
      </w:r>
      <w:r w:rsidRPr="002B65F7">
        <w:t>4 puis la même dose toutes les 12</w:t>
      </w:r>
      <w:r w:rsidR="005D696C" w:rsidRPr="002B65F7">
        <w:t> </w:t>
      </w:r>
      <w:r w:rsidRPr="002B65F7">
        <w:t>semaines. Les patients randomisés pour recevoir un placebo aux semaines</w:t>
      </w:r>
      <w:r w:rsidR="005D696C" w:rsidRPr="002B65F7">
        <w:t> </w:t>
      </w:r>
      <w:r w:rsidRPr="002B65F7">
        <w:t>0 et 4</w:t>
      </w:r>
      <w:r w:rsidR="005D696C" w:rsidRPr="002B65F7">
        <w:t> </w:t>
      </w:r>
      <w:r w:rsidRPr="002B65F7">
        <w:t>ont ensuite effectué un cross-over et ont reçu l’</w:t>
      </w:r>
      <w:r w:rsidR="0071390F" w:rsidRPr="002B65F7">
        <w:t>ustekinumab</w:t>
      </w:r>
      <w:r w:rsidRPr="002B65F7">
        <w:t xml:space="preserve"> (45</w:t>
      </w:r>
      <w:r w:rsidR="00794AD5" w:rsidRPr="002B65F7">
        <w:t> </w:t>
      </w:r>
      <w:r w:rsidRPr="002B65F7">
        <w:t>mg ou 90</w:t>
      </w:r>
      <w:r w:rsidR="00794AD5" w:rsidRPr="002B65F7">
        <w:t> </w:t>
      </w:r>
      <w:r w:rsidRPr="002B65F7">
        <w:t>mg) aux semaines 12</w:t>
      </w:r>
      <w:r w:rsidR="00DE28CC" w:rsidRPr="002B65F7">
        <w:t> </w:t>
      </w:r>
      <w:r w:rsidRPr="002B65F7">
        <w:t>et 16</w:t>
      </w:r>
      <w:r w:rsidR="00794AD5" w:rsidRPr="002B65F7">
        <w:t> </w:t>
      </w:r>
      <w:r w:rsidRPr="002B65F7">
        <w:t>puis toutes les 12</w:t>
      </w:r>
      <w:r w:rsidR="008B2D61" w:rsidRPr="002B65F7">
        <w:t> </w:t>
      </w:r>
      <w:r w:rsidRPr="002B65F7">
        <w:t xml:space="preserve">semaines. Les patients randomisés initialement dans le groupe </w:t>
      </w:r>
      <w:r w:rsidR="0071390F" w:rsidRPr="002B65F7">
        <w:t>ustekinumab</w:t>
      </w:r>
      <w:r w:rsidRPr="002B65F7">
        <w:t xml:space="preserve"> qui ont présenté une réponse PASI</w:t>
      </w:r>
      <w:r w:rsidR="00794AD5" w:rsidRPr="002B65F7">
        <w:t> </w:t>
      </w:r>
      <w:r w:rsidRPr="002B65F7">
        <w:t>75 (c’est-à-dire une amélioration par rapport à l’inclusion d’au moins</w:t>
      </w:r>
      <w:r w:rsidR="00794AD5" w:rsidRPr="002B65F7">
        <w:t> </w:t>
      </w:r>
      <w:r w:rsidRPr="002B65F7">
        <w:t>75% du score PASI : Psoriasis Area and Severity Index) aux semaines</w:t>
      </w:r>
      <w:r w:rsidR="00794AD5" w:rsidRPr="002B65F7">
        <w:t> </w:t>
      </w:r>
      <w:r w:rsidRPr="002B65F7">
        <w:t>28</w:t>
      </w:r>
      <w:r w:rsidR="00794AD5" w:rsidRPr="002B65F7">
        <w:t> </w:t>
      </w:r>
      <w:r w:rsidRPr="002B65F7">
        <w:t>et</w:t>
      </w:r>
      <w:r w:rsidR="00794AD5" w:rsidRPr="002B65F7">
        <w:t> </w:t>
      </w:r>
      <w:r w:rsidRPr="002B65F7">
        <w:t>40 ont été à nouveau randomisés pour recevoir l’</w:t>
      </w:r>
      <w:r w:rsidR="0071390F" w:rsidRPr="002B65F7">
        <w:t>ustekinumab</w:t>
      </w:r>
      <w:r w:rsidRPr="002B65F7">
        <w:t xml:space="preserve"> toutes les 12</w:t>
      </w:r>
      <w:r w:rsidR="00794AD5" w:rsidRPr="002B65F7">
        <w:t> </w:t>
      </w:r>
      <w:r w:rsidRPr="002B65F7">
        <w:t>semaines ou un placebo (c.-à- d., arrêt du traitement actif). Les patients qui ont été re-randomisés pour recevoir un placebo à la semaine</w:t>
      </w:r>
      <w:r w:rsidR="00794AD5" w:rsidRPr="002B65F7">
        <w:t> </w:t>
      </w:r>
      <w:r w:rsidRPr="002B65F7">
        <w:t>40 ont reçu à nouveau le traitement par l’</w:t>
      </w:r>
      <w:r w:rsidR="0071390F" w:rsidRPr="002B65F7">
        <w:t>ustekinumab</w:t>
      </w:r>
      <w:r w:rsidRPr="002B65F7">
        <w:t xml:space="preserve"> à la posologie d’origine lorsqu’ils atteignaient une baisse d’au moins</w:t>
      </w:r>
      <w:r w:rsidR="00794AD5" w:rsidRPr="002B65F7">
        <w:t> </w:t>
      </w:r>
      <w:r w:rsidRPr="002B65F7">
        <w:t>50% de l’amélioration de leur score PASI obtenue à la semaine</w:t>
      </w:r>
      <w:r w:rsidR="00794AD5" w:rsidRPr="002B65F7">
        <w:t> </w:t>
      </w:r>
      <w:r w:rsidRPr="002B65F7">
        <w:t>40.</w:t>
      </w:r>
    </w:p>
    <w:p w14:paraId="2796568F" w14:textId="77777777" w:rsidR="00092F83" w:rsidRPr="002B65F7" w:rsidRDefault="00092F83" w:rsidP="00496255">
      <w:pPr>
        <w:widowControl/>
      </w:pPr>
    </w:p>
    <w:p w14:paraId="03B58139" w14:textId="444A4447" w:rsidR="00092F83" w:rsidRPr="002B65F7" w:rsidRDefault="00C31740" w:rsidP="00496255">
      <w:pPr>
        <w:widowControl/>
      </w:pPr>
      <w:r w:rsidRPr="002B65F7">
        <w:t>Tous les patients ont été suivis jusqu’à plus de 76</w:t>
      </w:r>
      <w:r w:rsidR="000C795A" w:rsidRPr="002B65F7">
        <w:t> </w:t>
      </w:r>
      <w:r w:rsidRPr="002B65F7">
        <w:t>semaines après la première administration du traitement à l’étude.</w:t>
      </w:r>
    </w:p>
    <w:p w14:paraId="03B5813A" w14:textId="77777777" w:rsidR="00092F83" w:rsidRPr="002B65F7" w:rsidRDefault="00092F83" w:rsidP="00496255">
      <w:pPr>
        <w:widowControl/>
      </w:pPr>
    </w:p>
    <w:p w14:paraId="03B5813B" w14:textId="0D109CC7" w:rsidR="00092F83" w:rsidRPr="002B65F7" w:rsidRDefault="00C31740" w:rsidP="00496255">
      <w:pPr>
        <w:widowControl/>
      </w:pPr>
      <w:r w:rsidRPr="002B65F7">
        <w:t>L’étude Psoriasis</w:t>
      </w:r>
      <w:r w:rsidR="000C795A" w:rsidRPr="002B65F7">
        <w:t> </w:t>
      </w:r>
      <w:r w:rsidRPr="002B65F7">
        <w:t>2 (PHOENIX</w:t>
      </w:r>
      <w:r w:rsidR="000C795A" w:rsidRPr="002B65F7">
        <w:t> </w:t>
      </w:r>
      <w:r w:rsidRPr="002B65F7">
        <w:t>2) a porté sur 1</w:t>
      </w:r>
      <w:r w:rsidR="000C795A" w:rsidRPr="002B65F7">
        <w:t> </w:t>
      </w:r>
      <w:r w:rsidRPr="002B65F7">
        <w:t>230</w:t>
      </w:r>
      <w:r w:rsidR="005D696C" w:rsidRPr="002B65F7">
        <w:t> </w:t>
      </w:r>
      <w:r w:rsidRPr="002B65F7">
        <w:t xml:space="preserve">patients. 61% de ces patients ne répondaient pas, étaient intolérants, ou avaient une contre-indication à un autre traitement systémique. Les patients randomisés dans le groupe </w:t>
      </w:r>
      <w:r w:rsidR="0071390F" w:rsidRPr="002B65F7">
        <w:t>ustekinumab</w:t>
      </w:r>
      <w:r w:rsidRPr="002B65F7">
        <w:t xml:space="preserve"> ont reçu des doses de 45</w:t>
      </w:r>
      <w:r w:rsidR="000C795A" w:rsidRPr="002B65F7">
        <w:t> </w:t>
      </w:r>
      <w:r w:rsidRPr="002B65F7">
        <w:t>mg ou 90</w:t>
      </w:r>
      <w:r w:rsidR="000C795A" w:rsidRPr="002B65F7">
        <w:t> </w:t>
      </w:r>
      <w:r w:rsidRPr="002B65F7">
        <w:t>mg aux semaines</w:t>
      </w:r>
      <w:r w:rsidR="000C795A" w:rsidRPr="002B65F7">
        <w:t> </w:t>
      </w:r>
      <w:r w:rsidRPr="002B65F7">
        <w:t>0 et</w:t>
      </w:r>
      <w:r w:rsidR="005D696C" w:rsidRPr="002B65F7">
        <w:t xml:space="preserve"> </w:t>
      </w:r>
      <w:r w:rsidRPr="002B65F7">
        <w:t>4</w:t>
      </w:r>
      <w:r w:rsidR="005D696C" w:rsidRPr="002B65F7">
        <w:t> </w:t>
      </w:r>
      <w:r w:rsidRPr="002B65F7">
        <w:t>suivies par une dose supplémentaire à la semaine</w:t>
      </w:r>
      <w:r w:rsidR="000C795A" w:rsidRPr="002B65F7">
        <w:t> </w:t>
      </w:r>
      <w:r w:rsidRPr="002B65F7">
        <w:t>16. Les patients randomisés pour recevoir un placebo aux semaines 0</w:t>
      </w:r>
      <w:r w:rsidR="000C795A" w:rsidRPr="002B65F7">
        <w:t> </w:t>
      </w:r>
      <w:r w:rsidRPr="002B65F7">
        <w:t>et</w:t>
      </w:r>
      <w:r w:rsidR="000C795A" w:rsidRPr="002B65F7">
        <w:t> </w:t>
      </w:r>
      <w:r w:rsidRPr="002B65F7">
        <w:t>4 ont effectué un cross-over pour recevoir l’</w:t>
      </w:r>
      <w:r w:rsidR="0071390F" w:rsidRPr="002B65F7">
        <w:t>ustekinumab</w:t>
      </w:r>
      <w:r w:rsidRPr="002B65F7">
        <w:t xml:space="preserve"> (45</w:t>
      </w:r>
      <w:r w:rsidR="000C795A" w:rsidRPr="002B65F7">
        <w:t> </w:t>
      </w:r>
      <w:r w:rsidRPr="002B65F7">
        <w:t>mg ou 90</w:t>
      </w:r>
      <w:r w:rsidR="000C795A" w:rsidRPr="002B65F7">
        <w:t> </w:t>
      </w:r>
      <w:r w:rsidRPr="002B65F7">
        <w:t>mg) aux semaines</w:t>
      </w:r>
      <w:r w:rsidR="000C795A" w:rsidRPr="002B65F7">
        <w:t> </w:t>
      </w:r>
      <w:r w:rsidRPr="002B65F7">
        <w:t>12 et</w:t>
      </w:r>
      <w:r w:rsidR="000C795A" w:rsidRPr="002B65F7">
        <w:t> </w:t>
      </w:r>
      <w:r w:rsidRPr="002B65F7">
        <w:t>16. Tous les patients ont été suivis jusqu’à plus de 52</w:t>
      </w:r>
      <w:r w:rsidR="000C795A" w:rsidRPr="002B65F7">
        <w:t> </w:t>
      </w:r>
      <w:r w:rsidRPr="002B65F7">
        <w:t>semaines après la première administration du traitement à l’étude.</w:t>
      </w:r>
    </w:p>
    <w:p w14:paraId="520ABD9C" w14:textId="77777777" w:rsidR="005D696C" w:rsidRPr="002B65F7" w:rsidRDefault="005D696C" w:rsidP="00496255">
      <w:pPr>
        <w:widowControl/>
      </w:pPr>
    </w:p>
    <w:p w14:paraId="03B5813C" w14:textId="6D4E19C8" w:rsidR="00092F83" w:rsidRPr="002B65F7" w:rsidRDefault="00C31740" w:rsidP="00496255">
      <w:pPr>
        <w:widowControl/>
      </w:pPr>
      <w:r w:rsidRPr="002B65F7">
        <w:t>L’étude Psoriasis</w:t>
      </w:r>
      <w:r w:rsidR="000C795A" w:rsidRPr="002B65F7">
        <w:t> </w:t>
      </w:r>
      <w:r w:rsidRPr="002B65F7">
        <w:t>3 (ACCEPT) a porté sur 903</w:t>
      </w:r>
      <w:r w:rsidR="000C795A" w:rsidRPr="002B65F7">
        <w:t> </w:t>
      </w:r>
      <w:r w:rsidRPr="002B65F7">
        <w:t>patients présentant un psoriasis modéré à sévère, qui n’avaient pas répondu, ou qui présentaient une contre-indication, ou qui étaient intolérants à un autre traitement systémique, et a comparé l’efficacité de l’</w:t>
      </w:r>
      <w:r w:rsidR="0071390F" w:rsidRPr="002B65F7">
        <w:t>ustekinumab</w:t>
      </w:r>
      <w:r w:rsidRPr="002B65F7">
        <w:t xml:space="preserve"> à celle de l’étanercept et a évalué la sécurité de l’</w:t>
      </w:r>
      <w:r w:rsidR="0071390F" w:rsidRPr="002B65F7">
        <w:t>ustekinumab</w:t>
      </w:r>
      <w:r w:rsidRPr="002B65F7">
        <w:t xml:space="preserve"> et celle de l’étanercept. Pendant les 12</w:t>
      </w:r>
      <w:r w:rsidR="005D696C" w:rsidRPr="002B65F7">
        <w:t> </w:t>
      </w:r>
      <w:r w:rsidRPr="002B65F7">
        <w:t xml:space="preserve">semaines </w:t>
      </w:r>
      <w:r w:rsidRPr="002B65F7">
        <w:rPr>
          <w:i/>
          <w:iCs/>
        </w:rPr>
        <w:t>versus</w:t>
      </w:r>
      <w:r w:rsidRPr="002B65F7">
        <w:t xml:space="preserve"> traitement actif, les patients étaient randomisés pour recevoir l’étanercept (50</w:t>
      </w:r>
      <w:r w:rsidR="000C795A" w:rsidRPr="002B65F7">
        <w:t> </w:t>
      </w:r>
      <w:r w:rsidRPr="002B65F7">
        <w:t>mg deux fois par semaine), l’</w:t>
      </w:r>
      <w:r w:rsidR="0071390F" w:rsidRPr="002B65F7">
        <w:t>ustekinumab</w:t>
      </w:r>
      <w:r w:rsidRPr="002B65F7">
        <w:t xml:space="preserve"> 45</w:t>
      </w:r>
      <w:r w:rsidR="000C795A" w:rsidRPr="002B65F7">
        <w:t> </w:t>
      </w:r>
      <w:r w:rsidRPr="002B65F7">
        <w:t>mg aux semaines</w:t>
      </w:r>
      <w:r w:rsidR="000C795A" w:rsidRPr="002B65F7">
        <w:t> </w:t>
      </w:r>
      <w:r w:rsidRPr="002B65F7">
        <w:t>0 et</w:t>
      </w:r>
      <w:r w:rsidR="000C795A" w:rsidRPr="002B65F7">
        <w:t> </w:t>
      </w:r>
      <w:r w:rsidRPr="002B65F7">
        <w:t>4, ou l’</w:t>
      </w:r>
      <w:r w:rsidR="0071390F" w:rsidRPr="002B65F7">
        <w:t>ustekinumab</w:t>
      </w:r>
      <w:r w:rsidRPr="002B65F7">
        <w:t xml:space="preserve"> 90</w:t>
      </w:r>
      <w:r w:rsidR="000C795A" w:rsidRPr="002B65F7">
        <w:t> </w:t>
      </w:r>
      <w:r w:rsidRPr="002B65F7">
        <w:t>mg aux semaines</w:t>
      </w:r>
      <w:r w:rsidR="000C795A" w:rsidRPr="002B65F7">
        <w:t> </w:t>
      </w:r>
      <w:r w:rsidRPr="002B65F7">
        <w:t>0 et</w:t>
      </w:r>
      <w:r w:rsidR="000C795A" w:rsidRPr="002B65F7">
        <w:t> </w:t>
      </w:r>
      <w:r w:rsidRPr="002B65F7">
        <w:t>4.</w:t>
      </w:r>
    </w:p>
    <w:p w14:paraId="03B5813D" w14:textId="77777777" w:rsidR="00092F83" w:rsidRPr="002B65F7" w:rsidRDefault="00092F83" w:rsidP="00496255">
      <w:pPr>
        <w:widowControl/>
      </w:pPr>
    </w:p>
    <w:p w14:paraId="03B5813E" w14:textId="6FB23927" w:rsidR="00092F83" w:rsidRPr="002B65F7" w:rsidRDefault="00C31740" w:rsidP="00496255">
      <w:pPr>
        <w:widowControl/>
      </w:pPr>
      <w:r w:rsidRPr="002B65F7">
        <w:t>Les caractéristiques de la maladie à l’inclusion étaient en général similaires pour tous les groupes traités dans les études Psoriasis</w:t>
      </w:r>
      <w:r w:rsidR="00D61B1C" w:rsidRPr="002B65F7">
        <w:t> </w:t>
      </w:r>
      <w:r w:rsidRPr="002B65F7">
        <w:t>1 et</w:t>
      </w:r>
      <w:r w:rsidR="00D61B1C" w:rsidRPr="002B65F7">
        <w:t> </w:t>
      </w:r>
      <w:r w:rsidRPr="002B65F7">
        <w:t>2, avec un score PASI médian de 17</w:t>
      </w:r>
      <w:r w:rsidR="00D61B1C" w:rsidRPr="002B65F7">
        <w:t> </w:t>
      </w:r>
      <w:r w:rsidRPr="002B65F7">
        <w:t>à 18</w:t>
      </w:r>
      <w:r w:rsidR="005D696C" w:rsidRPr="002B65F7">
        <w:t> </w:t>
      </w:r>
      <w:r w:rsidRPr="002B65F7">
        <w:t>à l’inclusion, une surface corporelle atteinte (SCA) médiane à l’inclusion</w:t>
      </w:r>
      <w:r w:rsidR="00D61B1C" w:rsidRPr="002B65F7">
        <w:t> </w:t>
      </w:r>
      <w:r w:rsidRPr="002B65F7">
        <w:t>≥</w:t>
      </w:r>
      <w:r w:rsidR="00D61B1C" w:rsidRPr="002B65F7">
        <w:t> </w:t>
      </w:r>
      <w:r w:rsidRPr="002B65F7">
        <w:t>20 et un score DLQI (Dermatology Life Quality Index ou indice dermatologique de qualité de vie) médian compris entre 10</w:t>
      </w:r>
      <w:r w:rsidR="00D61B1C" w:rsidRPr="002B65F7">
        <w:t> </w:t>
      </w:r>
      <w:r w:rsidRPr="002B65F7">
        <w:t>et</w:t>
      </w:r>
      <w:r w:rsidR="00D61B1C" w:rsidRPr="002B65F7">
        <w:t> </w:t>
      </w:r>
      <w:r w:rsidRPr="002B65F7">
        <w:t>12. Environ un tiers (Etude Psoriasis</w:t>
      </w:r>
      <w:r w:rsidR="005D696C" w:rsidRPr="002B65F7">
        <w:t> </w:t>
      </w:r>
      <w:r w:rsidRPr="002B65F7">
        <w:t>1) et un quart (Etude Psoriasis</w:t>
      </w:r>
      <w:r w:rsidR="00D61B1C" w:rsidRPr="002B65F7">
        <w:t> </w:t>
      </w:r>
      <w:r w:rsidRPr="002B65F7">
        <w:t>2) des sujets présentaient un rhumatisme psoriasique (Rhum Pso). Un degré similaire de sévérité de la maladie a également été observé dans l’étude Psoriasis</w:t>
      </w:r>
      <w:r w:rsidR="005D696C" w:rsidRPr="002B65F7">
        <w:t> </w:t>
      </w:r>
      <w:r w:rsidRPr="002B65F7">
        <w:t>3.</w:t>
      </w:r>
    </w:p>
    <w:p w14:paraId="48A0CE2A" w14:textId="77777777" w:rsidR="001D0E84" w:rsidRPr="002B65F7" w:rsidRDefault="001D0E84" w:rsidP="00496255">
      <w:pPr>
        <w:widowControl/>
      </w:pPr>
    </w:p>
    <w:p w14:paraId="03B5813F" w14:textId="3AE50916" w:rsidR="00092F83" w:rsidRPr="002B65F7" w:rsidRDefault="00C31740" w:rsidP="00496255">
      <w:pPr>
        <w:widowControl/>
      </w:pPr>
      <w:r w:rsidRPr="002B65F7">
        <w:t>Le critère principal de ces études était la proportion de patients qui atteignait une réponse PASI</w:t>
      </w:r>
      <w:r w:rsidR="005D696C" w:rsidRPr="002B65F7">
        <w:t> </w:t>
      </w:r>
      <w:r w:rsidRPr="002B65F7">
        <w:t>75 à la semaine</w:t>
      </w:r>
      <w:r w:rsidR="005D696C" w:rsidRPr="002B65F7">
        <w:t> </w:t>
      </w:r>
      <w:r w:rsidRPr="002B65F7">
        <w:t xml:space="preserve">12 par rapport à l’inclusion (voir </w:t>
      </w:r>
      <w:r w:rsidR="001C3D92" w:rsidRPr="002B65F7">
        <w:t>t</w:t>
      </w:r>
      <w:r w:rsidRPr="002B65F7">
        <w:t>ableaux</w:t>
      </w:r>
      <w:r w:rsidR="005D696C" w:rsidRPr="002B65F7">
        <w:t> </w:t>
      </w:r>
      <w:r w:rsidRPr="002B65F7">
        <w:t>4 et</w:t>
      </w:r>
      <w:r w:rsidR="005D696C" w:rsidRPr="002B65F7">
        <w:t> </w:t>
      </w:r>
      <w:r w:rsidRPr="002B65F7">
        <w:t>5).</w:t>
      </w:r>
    </w:p>
    <w:p w14:paraId="3B47A3D2" w14:textId="77777777" w:rsidR="001D0E84" w:rsidRPr="002B65F7" w:rsidRDefault="001D0E84" w:rsidP="00496255">
      <w:pPr>
        <w:widowControl/>
      </w:pPr>
    </w:p>
    <w:p w14:paraId="03B58140" w14:textId="5B2FD53A" w:rsidR="00092F83" w:rsidRPr="002B65F7" w:rsidRDefault="00C31740" w:rsidP="00496255">
      <w:pPr>
        <w:keepNext/>
        <w:widowControl/>
        <w:rPr>
          <w:b/>
          <w:bCs/>
        </w:rPr>
      </w:pPr>
      <w:r w:rsidRPr="002B65F7">
        <w:rPr>
          <w:b/>
          <w:bCs/>
        </w:rPr>
        <w:t>Tableau</w:t>
      </w:r>
      <w:r w:rsidR="002C4AC6" w:rsidRPr="002B65F7">
        <w:rPr>
          <w:b/>
          <w:bCs/>
        </w:rPr>
        <w:t> </w:t>
      </w:r>
      <w:r w:rsidRPr="002B65F7">
        <w:rPr>
          <w:b/>
          <w:bCs/>
        </w:rPr>
        <w:t>4</w:t>
      </w:r>
      <w:r w:rsidR="001D0E84" w:rsidRPr="002B65F7">
        <w:rPr>
          <w:b/>
          <w:bCs/>
        </w:rPr>
        <w:t xml:space="preserve">. </w:t>
      </w:r>
      <w:r w:rsidRPr="002B65F7">
        <w:rPr>
          <w:b/>
          <w:bCs/>
        </w:rPr>
        <w:t>Résumé des réponses cliniques dans l’étude Psoriasis</w:t>
      </w:r>
      <w:r w:rsidR="005D696C" w:rsidRPr="002B65F7">
        <w:rPr>
          <w:b/>
          <w:bCs/>
        </w:rPr>
        <w:t> </w:t>
      </w:r>
      <w:r w:rsidRPr="002B65F7">
        <w:rPr>
          <w:b/>
          <w:bCs/>
        </w:rPr>
        <w:t>1 (PHOENIX</w:t>
      </w:r>
      <w:r w:rsidR="005D696C" w:rsidRPr="002B65F7">
        <w:rPr>
          <w:b/>
          <w:bCs/>
        </w:rPr>
        <w:t> </w:t>
      </w:r>
      <w:r w:rsidRPr="002B65F7">
        <w:rPr>
          <w:b/>
          <w:bCs/>
        </w:rPr>
        <w:t>1) et l’étude Psoriasis</w:t>
      </w:r>
      <w:r w:rsidR="005D696C" w:rsidRPr="002B65F7">
        <w:rPr>
          <w:b/>
          <w:bCs/>
        </w:rPr>
        <w:t> </w:t>
      </w:r>
      <w:r w:rsidRPr="002B65F7">
        <w:rPr>
          <w:b/>
          <w:bCs/>
        </w:rPr>
        <w:t>2 (PHOENIX</w:t>
      </w:r>
      <w:r w:rsidR="005D696C" w:rsidRPr="002B65F7">
        <w:rPr>
          <w:b/>
          <w:bCs/>
        </w:rPr>
        <w:t> </w:t>
      </w:r>
      <w:r w:rsidRPr="002B65F7">
        <w:rPr>
          <w:b/>
          <w:bCs/>
        </w:rPr>
        <w:t>2)</w:t>
      </w:r>
    </w:p>
    <w:p w14:paraId="1EC97833" w14:textId="77777777" w:rsidR="001D0E84" w:rsidRPr="002B65F7" w:rsidRDefault="001D0E84" w:rsidP="00496255">
      <w:pPr>
        <w:keepNext/>
        <w:widowControl/>
        <w:rPr>
          <w:b/>
          <w:bCs/>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55"/>
        <w:gridCol w:w="1243"/>
        <w:gridCol w:w="1383"/>
        <w:gridCol w:w="1245"/>
        <w:gridCol w:w="1401"/>
        <w:gridCol w:w="1334"/>
      </w:tblGrid>
      <w:tr w:rsidR="00AA2ACB" w:rsidRPr="002B65F7" w14:paraId="4A6951AC" w14:textId="77777777" w:rsidTr="00D57C49">
        <w:trPr>
          <w:cantSplit/>
          <w:trHeight w:val="760"/>
          <w:tblHeader/>
        </w:trPr>
        <w:tc>
          <w:tcPr>
            <w:tcW w:w="1355" w:type="pct"/>
          </w:tcPr>
          <w:p w14:paraId="348B16A5" w14:textId="77777777" w:rsidR="00AA2ACB" w:rsidRPr="002B65F7" w:rsidRDefault="00AA2ACB" w:rsidP="00496255">
            <w:pPr>
              <w:pStyle w:val="TableParagraph"/>
              <w:widowControl/>
              <w:suppressAutoHyphens/>
              <w:adjustRightInd w:val="0"/>
              <w:snapToGrid w:val="0"/>
              <w:ind w:left="0"/>
              <w:jc w:val="left"/>
            </w:pPr>
          </w:p>
        </w:tc>
        <w:tc>
          <w:tcPr>
            <w:tcW w:w="2136" w:type="pct"/>
            <w:gridSpan w:val="3"/>
          </w:tcPr>
          <w:p w14:paraId="56F07E26" w14:textId="77777777" w:rsidR="00AA2ACB" w:rsidRPr="002B65F7" w:rsidRDefault="00AA2ACB" w:rsidP="00496255">
            <w:pPr>
              <w:pStyle w:val="TableParagraph"/>
              <w:widowControl/>
              <w:suppressAutoHyphens/>
              <w:adjustRightInd w:val="0"/>
              <w:snapToGrid w:val="0"/>
              <w:ind w:left="0"/>
              <w:rPr>
                <w:b/>
                <w:bCs/>
              </w:rPr>
            </w:pPr>
            <w:r w:rsidRPr="002B65F7">
              <w:rPr>
                <w:b/>
                <w:bCs/>
              </w:rPr>
              <w:t>Semaine</w:t>
            </w:r>
            <w:r w:rsidRPr="002B65F7">
              <w:rPr>
                <w:b/>
                <w:bCs/>
                <w:spacing w:val="-6"/>
              </w:rPr>
              <w:t> </w:t>
            </w:r>
            <w:r w:rsidRPr="002B65F7">
              <w:rPr>
                <w:b/>
                <w:bCs/>
                <w:spacing w:val="-5"/>
              </w:rPr>
              <w:t>12</w:t>
            </w:r>
          </w:p>
          <w:p w14:paraId="63245936" w14:textId="77777777" w:rsidR="00AA2ACB" w:rsidRPr="002B65F7" w:rsidRDefault="00AA2ACB" w:rsidP="00496255">
            <w:pPr>
              <w:pStyle w:val="TableParagraph"/>
              <w:widowControl/>
              <w:suppressAutoHyphens/>
              <w:adjustRightInd w:val="0"/>
              <w:snapToGrid w:val="0"/>
              <w:ind w:left="0"/>
              <w:rPr>
                <w:b/>
                <w:bCs/>
              </w:rPr>
            </w:pPr>
            <w:r w:rsidRPr="002B65F7">
              <w:rPr>
                <w:b/>
                <w:bCs/>
              </w:rPr>
              <w:t>2</w:t>
            </w:r>
            <w:r w:rsidRPr="002B65F7">
              <w:rPr>
                <w:b/>
                <w:bCs/>
                <w:spacing w:val="-4"/>
              </w:rPr>
              <w:t> </w:t>
            </w:r>
            <w:r w:rsidRPr="002B65F7">
              <w:rPr>
                <w:b/>
                <w:bCs/>
              </w:rPr>
              <w:t>doses</w:t>
            </w:r>
            <w:r w:rsidRPr="002B65F7">
              <w:rPr>
                <w:b/>
                <w:bCs/>
                <w:spacing w:val="-3"/>
              </w:rPr>
              <w:t xml:space="preserve"> </w:t>
            </w:r>
            <w:r w:rsidRPr="002B65F7">
              <w:rPr>
                <w:b/>
                <w:bCs/>
              </w:rPr>
              <w:t>(semaine</w:t>
            </w:r>
            <w:r w:rsidRPr="002B65F7">
              <w:rPr>
                <w:b/>
                <w:bCs/>
                <w:spacing w:val="-4"/>
              </w:rPr>
              <w:t> </w:t>
            </w:r>
            <w:r w:rsidRPr="002B65F7">
              <w:rPr>
                <w:b/>
                <w:bCs/>
              </w:rPr>
              <w:t>0</w:t>
            </w:r>
            <w:r w:rsidRPr="002B65F7">
              <w:rPr>
                <w:b/>
                <w:bCs/>
                <w:spacing w:val="-3"/>
              </w:rPr>
              <w:t xml:space="preserve"> </w:t>
            </w:r>
            <w:r w:rsidRPr="002B65F7">
              <w:rPr>
                <w:b/>
                <w:bCs/>
              </w:rPr>
              <w:t>et</w:t>
            </w:r>
            <w:r w:rsidRPr="002B65F7">
              <w:rPr>
                <w:b/>
                <w:bCs/>
                <w:spacing w:val="-4"/>
              </w:rPr>
              <w:t xml:space="preserve"> </w:t>
            </w:r>
            <w:r w:rsidRPr="002B65F7">
              <w:rPr>
                <w:b/>
                <w:bCs/>
              </w:rPr>
              <w:t>semaine</w:t>
            </w:r>
            <w:r w:rsidRPr="002B65F7">
              <w:rPr>
                <w:b/>
                <w:bCs/>
                <w:spacing w:val="-3"/>
              </w:rPr>
              <w:t> </w:t>
            </w:r>
            <w:r w:rsidRPr="002B65F7">
              <w:rPr>
                <w:b/>
                <w:bCs/>
                <w:spacing w:val="-5"/>
              </w:rPr>
              <w:t>4)</w:t>
            </w:r>
          </w:p>
        </w:tc>
        <w:tc>
          <w:tcPr>
            <w:tcW w:w="1509" w:type="pct"/>
            <w:gridSpan w:val="2"/>
          </w:tcPr>
          <w:p w14:paraId="047F4B8E" w14:textId="77777777" w:rsidR="00AA2ACB" w:rsidRPr="002B65F7" w:rsidRDefault="00AA2ACB" w:rsidP="00496255">
            <w:pPr>
              <w:pStyle w:val="TableParagraph"/>
              <w:widowControl/>
              <w:suppressAutoHyphens/>
              <w:adjustRightInd w:val="0"/>
              <w:snapToGrid w:val="0"/>
              <w:ind w:left="0"/>
              <w:rPr>
                <w:b/>
                <w:bCs/>
              </w:rPr>
            </w:pPr>
            <w:r w:rsidRPr="002B65F7">
              <w:rPr>
                <w:b/>
                <w:bCs/>
              </w:rPr>
              <w:t>Semaine</w:t>
            </w:r>
            <w:r w:rsidRPr="002B65F7">
              <w:rPr>
                <w:b/>
                <w:bCs/>
                <w:spacing w:val="-6"/>
              </w:rPr>
              <w:t> </w:t>
            </w:r>
            <w:r w:rsidRPr="002B65F7">
              <w:rPr>
                <w:b/>
                <w:bCs/>
                <w:spacing w:val="-5"/>
              </w:rPr>
              <w:t>28</w:t>
            </w:r>
          </w:p>
          <w:p w14:paraId="79C6604D" w14:textId="7FE81E7C" w:rsidR="00AA2ACB" w:rsidRPr="002B65F7" w:rsidRDefault="00AA2ACB" w:rsidP="008509A1">
            <w:pPr>
              <w:pStyle w:val="TableParagraph"/>
              <w:widowControl/>
              <w:suppressAutoHyphens/>
              <w:adjustRightInd w:val="0"/>
              <w:snapToGrid w:val="0"/>
              <w:ind w:left="0"/>
              <w:rPr>
                <w:b/>
                <w:bCs/>
              </w:rPr>
            </w:pPr>
            <w:r w:rsidRPr="002B65F7">
              <w:rPr>
                <w:b/>
                <w:bCs/>
              </w:rPr>
              <w:t>3</w:t>
            </w:r>
            <w:r w:rsidRPr="002B65F7">
              <w:rPr>
                <w:b/>
                <w:bCs/>
                <w:spacing w:val="-4"/>
              </w:rPr>
              <w:t> </w:t>
            </w:r>
            <w:r w:rsidRPr="002B65F7">
              <w:rPr>
                <w:b/>
                <w:bCs/>
              </w:rPr>
              <w:t>doses</w:t>
            </w:r>
            <w:r w:rsidRPr="002B65F7">
              <w:rPr>
                <w:b/>
                <w:bCs/>
                <w:spacing w:val="-5"/>
              </w:rPr>
              <w:t xml:space="preserve"> </w:t>
            </w:r>
            <w:r w:rsidRPr="002B65F7">
              <w:rPr>
                <w:b/>
                <w:bCs/>
              </w:rPr>
              <w:t>(semaine</w:t>
            </w:r>
            <w:r w:rsidRPr="002B65F7">
              <w:rPr>
                <w:b/>
                <w:bCs/>
                <w:spacing w:val="-3"/>
              </w:rPr>
              <w:t> </w:t>
            </w:r>
            <w:r w:rsidRPr="002B65F7">
              <w:rPr>
                <w:b/>
                <w:bCs/>
                <w:spacing w:val="-5"/>
              </w:rPr>
              <w:t>0,</w:t>
            </w:r>
            <w:r w:rsidR="008509A1" w:rsidRPr="002B65F7">
              <w:rPr>
                <w:b/>
                <w:bCs/>
                <w:spacing w:val="-5"/>
              </w:rPr>
              <w:t xml:space="preserve"> </w:t>
            </w:r>
            <w:r w:rsidR="007859FC" w:rsidRPr="002B65F7">
              <w:rPr>
                <w:b/>
                <w:bCs/>
              </w:rPr>
              <w:t>s</w:t>
            </w:r>
            <w:r w:rsidRPr="002B65F7">
              <w:rPr>
                <w:b/>
                <w:bCs/>
              </w:rPr>
              <w:t>emaine</w:t>
            </w:r>
            <w:r w:rsidRPr="002B65F7">
              <w:rPr>
                <w:b/>
                <w:bCs/>
                <w:spacing w:val="-4"/>
              </w:rPr>
              <w:t> </w:t>
            </w:r>
            <w:r w:rsidRPr="002B65F7">
              <w:rPr>
                <w:b/>
                <w:bCs/>
              </w:rPr>
              <w:t>4</w:t>
            </w:r>
            <w:r w:rsidRPr="002B65F7">
              <w:rPr>
                <w:b/>
                <w:bCs/>
                <w:spacing w:val="-4"/>
              </w:rPr>
              <w:t xml:space="preserve"> </w:t>
            </w:r>
            <w:r w:rsidRPr="002B65F7">
              <w:rPr>
                <w:b/>
                <w:bCs/>
              </w:rPr>
              <w:t>et</w:t>
            </w:r>
            <w:r w:rsidRPr="002B65F7">
              <w:rPr>
                <w:b/>
                <w:bCs/>
                <w:spacing w:val="-4"/>
              </w:rPr>
              <w:t xml:space="preserve"> </w:t>
            </w:r>
            <w:r w:rsidRPr="002B65F7">
              <w:rPr>
                <w:b/>
                <w:bCs/>
              </w:rPr>
              <w:t>semaine</w:t>
            </w:r>
            <w:r w:rsidRPr="002B65F7">
              <w:rPr>
                <w:b/>
                <w:bCs/>
                <w:spacing w:val="-3"/>
              </w:rPr>
              <w:t> </w:t>
            </w:r>
            <w:r w:rsidRPr="002B65F7">
              <w:rPr>
                <w:b/>
                <w:bCs/>
                <w:spacing w:val="-5"/>
              </w:rPr>
              <w:t>16)</w:t>
            </w:r>
          </w:p>
        </w:tc>
      </w:tr>
      <w:tr w:rsidR="005D696C" w:rsidRPr="002B65F7" w14:paraId="66D3E43E" w14:textId="77777777" w:rsidTr="00D57C49">
        <w:trPr>
          <w:cantSplit/>
          <w:trHeight w:val="251"/>
          <w:tblHeader/>
        </w:trPr>
        <w:tc>
          <w:tcPr>
            <w:tcW w:w="1355" w:type="pct"/>
          </w:tcPr>
          <w:p w14:paraId="456F1C4F" w14:textId="77777777" w:rsidR="00AA2ACB" w:rsidRPr="002B65F7" w:rsidRDefault="00AA2ACB" w:rsidP="00496255">
            <w:pPr>
              <w:pStyle w:val="TableParagraph"/>
              <w:widowControl/>
              <w:suppressAutoHyphens/>
              <w:adjustRightInd w:val="0"/>
              <w:snapToGrid w:val="0"/>
              <w:ind w:left="0"/>
              <w:jc w:val="left"/>
              <w:rPr>
                <w:sz w:val="18"/>
              </w:rPr>
            </w:pPr>
          </w:p>
        </w:tc>
        <w:tc>
          <w:tcPr>
            <w:tcW w:w="686" w:type="pct"/>
          </w:tcPr>
          <w:p w14:paraId="529DE0F5" w14:textId="77777777" w:rsidR="00AA2ACB" w:rsidRPr="002B65F7" w:rsidRDefault="00AA2ACB" w:rsidP="00496255">
            <w:pPr>
              <w:pStyle w:val="TableParagraph"/>
              <w:widowControl/>
              <w:suppressAutoHyphens/>
              <w:adjustRightInd w:val="0"/>
              <w:snapToGrid w:val="0"/>
              <w:ind w:left="0"/>
            </w:pPr>
            <w:r w:rsidRPr="002B65F7">
              <w:rPr>
                <w:spacing w:val="-5"/>
              </w:rPr>
              <w:t>PBO</w:t>
            </w:r>
          </w:p>
        </w:tc>
        <w:tc>
          <w:tcPr>
            <w:tcW w:w="763" w:type="pct"/>
          </w:tcPr>
          <w:p w14:paraId="0DCC042E" w14:textId="77777777" w:rsidR="00AA2ACB" w:rsidRPr="002B65F7" w:rsidRDefault="00AA2ACB" w:rsidP="00496255">
            <w:pPr>
              <w:pStyle w:val="TableParagraph"/>
              <w:widowControl/>
              <w:suppressAutoHyphens/>
              <w:adjustRightInd w:val="0"/>
              <w:snapToGrid w:val="0"/>
              <w:ind w:left="0"/>
            </w:pPr>
            <w:r w:rsidRPr="002B65F7">
              <w:t>45 </w:t>
            </w:r>
            <w:r w:rsidRPr="002B65F7">
              <w:rPr>
                <w:spacing w:val="-5"/>
              </w:rPr>
              <w:t>mg</w:t>
            </w:r>
          </w:p>
        </w:tc>
        <w:tc>
          <w:tcPr>
            <w:tcW w:w="687" w:type="pct"/>
          </w:tcPr>
          <w:p w14:paraId="66C8FEC6" w14:textId="77777777" w:rsidR="00AA2ACB" w:rsidRPr="002B65F7" w:rsidRDefault="00AA2ACB" w:rsidP="00496255">
            <w:pPr>
              <w:pStyle w:val="TableParagraph"/>
              <w:widowControl/>
              <w:suppressAutoHyphens/>
              <w:adjustRightInd w:val="0"/>
              <w:snapToGrid w:val="0"/>
              <w:ind w:left="0"/>
            </w:pPr>
            <w:r w:rsidRPr="002B65F7">
              <w:t>90 </w:t>
            </w:r>
            <w:r w:rsidRPr="002B65F7">
              <w:rPr>
                <w:spacing w:val="-5"/>
              </w:rPr>
              <w:t>mg</w:t>
            </w:r>
          </w:p>
        </w:tc>
        <w:tc>
          <w:tcPr>
            <w:tcW w:w="773" w:type="pct"/>
          </w:tcPr>
          <w:p w14:paraId="47E2D642" w14:textId="77777777" w:rsidR="00AA2ACB" w:rsidRPr="002B65F7" w:rsidRDefault="00AA2ACB" w:rsidP="00496255">
            <w:pPr>
              <w:pStyle w:val="TableParagraph"/>
              <w:widowControl/>
              <w:suppressAutoHyphens/>
              <w:adjustRightInd w:val="0"/>
              <w:snapToGrid w:val="0"/>
              <w:ind w:left="0"/>
            </w:pPr>
            <w:r w:rsidRPr="002B65F7">
              <w:t>45 </w:t>
            </w:r>
            <w:r w:rsidRPr="002B65F7">
              <w:rPr>
                <w:spacing w:val="-5"/>
              </w:rPr>
              <w:t>mg</w:t>
            </w:r>
          </w:p>
        </w:tc>
        <w:tc>
          <w:tcPr>
            <w:tcW w:w="735" w:type="pct"/>
          </w:tcPr>
          <w:p w14:paraId="64428421" w14:textId="77777777" w:rsidR="00AA2ACB" w:rsidRPr="002B65F7" w:rsidRDefault="00AA2ACB" w:rsidP="00496255">
            <w:pPr>
              <w:pStyle w:val="TableParagraph"/>
              <w:widowControl/>
              <w:suppressAutoHyphens/>
              <w:adjustRightInd w:val="0"/>
              <w:snapToGrid w:val="0"/>
              <w:ind w:left="0"/>
            </w:pPr>
            <w:r w:rsidRPr="002B65F7">
              <w:t>90 </w:t>
            </w:r>
            <w:r w:rsidRPr="002B65F7">
              <w:rPr>
                <w:spacing w:val="-5"/>
              </w:rPr>
              <w:t>mg</w:t>
            </w:r>
          </w:p>
        </w:tc>
      </w:tr>
      <w:tr w:rsidR="005D696C" w:rsidRPr="002B65F7" w14:paraId="7F439E6C" w14:textId="77777777" w:rsidTr="00D57C49">
        <w:trPr>
          <w:cantSplit/>
          <w:trHeight w:val="253"/>
        </w:trPr>
        <w:tc>
          <w:tcPr>
            <w:tcW w:w="1355" w:type="pct"/>
          </w:tcPr>
          <w:p w14:paraId="69E7FAD5" w14:textId="77777777" w:rsidR="00AA2ACB" w:rsidRPr="002B65F7" w:rsidRDefault="00AA2ACB" w:rsidP="00496255">
            <w:pPr>
              <w:pStyle w:val="TableParagraph"/>
              <w:widowControl/>
              <w:suppressAutoHyphens/>
              <w:adjustRightInd w:val="0"/>
              <w:snapToGrid w:val="0"/>
              <w:ind w:left="0"/>
              <w:jc w:val="left"/>
              <w:rPr>
                <w:b/>
              </w:rPr>
            </w:pPr>
            <w:r w:rsidRPr="002B65F7">
              <w:rPr>
                <w:b/>
              </w:rPr>
              <w:t>Etude</w:t>
            </w:r>
            <w:r w:rsidRPr="002B65F7">
              <w:rPr>
                <w:b/>
                <w:spacing w:val="-9"/>
              </w:rPr>
              <w:t xml:space="preserve"> </w:t>
            </w:r>
            <w:r w:rsidRPr="002B65F7">
              <w:rPr>
                <w:b/>
              </w:rPr>
              <w:t>Psoriasis</w:t>
            </w:r>
            <w:r w:rsidRPr="002B65F7">
              <w:rPr>
                <w:b/>
                <w:spacing w:val="-7"/>
              </w:rPr>
              <w:t> </w:t>
            </w:r>
            <w:r w:rsidRPr="002B65F7">
              <w:rPr>
                <w:b/>
                <w:spacing w:val="-10"/>
              </w:rPr>
              <w:t>1</w:t>
            </w:r>
          </w:p>
        </w:tc>
        <w:tc>
          <w:tcPr>
            <w:tcW w:w="686" w:type="pct"/>
          </w:tcPr>
          <w:p w14:paraId="038EB531" w14:textId="77777777" w:rsidR="00AA2ACB" w:rsidRPr="002B65F7" w:rsidRDefault="00AA2ACB" w:rsidP="00496255">
            <w:pPr>
              <w:pStyle w:val="TableParagraph"/>
              <w:widowControl/>
              <w:suppressAutoHyphens/>
              <w:adjustRightInd w:val="0"/>
              <w:snapToGrid w:val="0"/>
              <w:ind w:left="0"/>
              <w:jc w:val="left"/>
              <w:rPr>
                <w:sz w:val="18"/>
              </w:rPr>
            </w:pPr>
          </w:p>
        </w:tc>
        <w:tc>
          <w:tcPr>
            <w:tcW w:w="763" w:type="pct"/>
          </w:tcPr>
          <w:p w14:paraId="14C9DD4A" w14:textId="77777777" w:rsidR="00AA2ACB" w:rsidRPr="002B65F7" w:rsidRDefault="00AA2ACB" w:rsidP="00496255">
            <w:pPr>
              <w:pStyle w:val="TableParagraph"/>
              <w:widowControl/>
              <w:suppressAutoHyphens/>
              <w:adjustRightInd w:val="0"/>
              <w:snapToGrid w:val="0"/>
              <w:ind w:left="0"/>
              <w:jc w:val="left"/>
              <w:rPr>
                <w:sz w:val="18"/>
              </w:rPr>
            </w:pPr>
          </w:p>
        </w:tc>
        <w:tc>
          <w:tcPr>
            <w:tcW w:w="687" w:type="pct"/>
          </w:tcPr>
          <w:p w14:paraId="1F3B141C" w14:textId="77777777" w:rsidR="00AA2ACB" w:rsidRPr="002B65F7" w:rsidRDefault="00AA2ACB" w:rsidP="00496255">
            <w:pPr>
              <w:pStyle w:val="TableParagraph"/>
              <w:widowControl/>
              <w:suppressAutoHyphens/>
              <w:adjustRightInd w:val="0"/>
              <w:snapToGrid w:val="0"/>
              <w:ind w:left="0"/>
              <w:jc w:val="left"/>
              <w:rPr>
                <w:sz w:val="18"/>
              </w:rPr>
            </w:pPr>
          </w:p>
        </w:tc>
        <w:tc>
          <w:tcPr>
            <w:tcW w:w="773" w:type="pct"/>
          </w:tcPr>
          <w:p w14:paraId="387F40CD" w14:textId="77777777" w:rsidR="00AA2ACB" w:rsidRPr="002B65F7" w:rsidRDefault="00AA2ACB" w:rsidP="00496255">
            <w:pPr>
              <w:pStyle w:val="TableParagraph"/>
              <w:widowControl/>
              <w:suppressAutoHyphens/>
              <w:adjustRightInd w:val="0"/>
              <w:snapToGrid w:val="0"/>
              <w:ind w:left="0"/>
              <w:jc w:val="left"/>
              <w:rPr>
                <w:sz w:val="18"/>
              </w:rPr>
            </w:pPr>
          </w:p>
        </w:tc>
        <w:tc>
          <w:tcPr>
            <w:tcW w:w="735" w:type="pct"/>
          </w:tcPr>
          <w:p w14:paraId="04E5CF05" w14:textId="77777777" w:rsidR="00AA2ACB" w:rsidRPr="002B65F7" w:rsidRDefault="00AA2ACB" w:rsidP="00496255">
            <w:pPr>
              <w:pStyle w:val="TableParagraph"/>
              <w:widowControl/>
              <w:suppressAutoHyphens/>
              <w:adjustRightInd w:val="0"/>
              <w:snapToGrid w:val="0"/>
              <w:ind w:left="0"/>
              <w:jc w:val="left"/>
              <w:rPr>
                <w:sz w:val="18"/>
              </w:rPr>
            </w:pPr>
          </w:p>
        </w:tc>
      </w:tr>
      <w:tr w:rsidR="005D696C" w:rsidRPr="002B65F7" w14:paraId="10BA28D9" w14:textId="77777777" w:rsidTr="00D57C49">
        <w:trPr>
          <w:cantSplit/>
          <w:trHeight w:val="340"/>
        </w:trPr>
        <w:tc>
          <w:tcPr>
            <w:tcW w:w="1355" w:type="pct"/>
          </w:tcPr>
          <w:p w14:paraId="60218A7F" w14:textId="77777777" w:rsidR="00AA2ACB" w:rsidRPr="002B65F7" w:rsidRDefault="00AA2ACB" w:rsidP="00496255">
            <w:pPr>
              <w:pStyle w:val="TableParagraph"/>
              <w:widowControl/>
              <w:suppressAutoHyphens/>
              <w:adjustRightInd w:val="0"/>
              <w:snapToGrid w:val="0"/>
              <w:ind w:left="0"/>
              <w:jc w:val="left"/>
            </w:pPr>
            <w:r w:rsidRPr="002B65F7">
              <w:t>Nombre</w:t>
            </w:r>
            <w:r w:rsidRPr="002B65F7">
              <w:rPr>
                <w:spacing w:val="-14"/>
              </w:rPr>
              <w:t xml:space="preserve"> </w:t>
            </w:r>
            <w:r w:rsidRPr="002B65F7">
              <w:t>de</w:t>
            </w:r>
            <w:r w:rsidRPr="002B65F7">
              <w:rPr>
                <w:spacing w:val="-14"/>
              </w:rPr>
              <w:t xml:space="preserve"> </w:t>
            </w:r>
            <w:r w:rsidRPr="002B65F7">
              <w:t xml:space="preserve">patients </w:t>
            </w:r>
            <w:r w:rsidRPr="002B65F7">
              <w:rPr>
                <w:spacing w:val="-2"/>
              </w:rPr>
              <w:t>randomisés</w:t>
            </w:r>
          </w:p>
        </w:tc>
        <w:tc>
          <w:tcPr>
            <w:tcW w:w="686" w:type="pct"/>
          </w:tcPr>
          <w:p w14:paraId="01CB0E52" w14:textId="77777777" w:rsidR="00AA2ACB" w:rsidRPr="002B65F7" w:rsidRDefault="00AA2ACB" w:rsidP="00496255">
            <w:pPr>
              <w:pStyle w:val="TableParagraph"/>
              <w:widowControl/>
              <w:suppressAutoHyphens/>
              <w:adjustRightInd w:val="0"/>
              <w:snapToGrid w:val="0"/>
              <w:ind w:left="0"/>
            </w:pPr>
            <w:r w:rsidRPr="002B65F7">
              <w:rPr>
                <w:spacing w:val="-5"/>
              </w:rPr>
              <w:t>255</w:t>
            </w:r>
          </w:p>
        </w:tc>
        <w:tc>
          <w:tcPr>
            <w:tcW w:w="763" w:type="pct"/>
          </w:tcPr>
          <w:p w14:paraId="65F10DA5" w14:textId="77777777" w:rsidR="00AA2ACB" w:rsidRPr="002B65F7" w:rsidRDefault="00AA2ACB" w:rsidP="00496255">
            <w:pPr>
              <w:pStyle w:val="TableParagraph"/>
              <w:widowControl/>
              <w:suppressAutoHyphens/>
              <w:adjustRightInd w:val="0"/>
              <w:snapToGrid w:val="0"/>
              <w:ind w:left="0"/>
            </w:pPr>
            <w:r w:rsidRPr="002B65F7">
              <w:rPr>
                <w:spacing w:val="-5"/>
              </w:rPr>
              <w:t>255</w:t>
            </w:r>
          </w:p>
        </w:tc>
        <w:tc>
          <w:tcPr>
            <w:tcW w:w="687" w:type="pct"/>
          </w:tcPr>
          <w:p w14:paraId="6BA55313" w14:textId="77777777" w:rsidR="00AA2ACB" w:rsidRPr="002B65F7" w:rsidRDefault="00AA2ACB" w:rsidP="00496255">
            <w:pPr>
              <w:pStyle w:val="TableParagraph"/>
              <w:widowControl/>
              <w:suppressAutoHyphens/>
              <w:adjustRightInd w:val="0"/>
              <w:snapToGrid w:val="0"/>
              <w:ind w:left="0"/>
            </w:pPr>
            <w:r w:rsidRPr="002B65F7">
              <w:rPr>
                <w:spacing w:val="-5"/>
              </w:rPr>
              <w:t>256</w:t>
            </w:r>
          </w:p>
        </w:tc>
        <w:tc>
          <w:tcPr>
            <w:tcW w:w="773" w:type="pct"/>
          </w:tcPr>
          <w:p w14:paraId="4070F278" w14:textId="77777777" w:rsidR="00AA2ACB" w:rsidRPr="002B65F7" w:rsidRDefault="00AA2ACB" w:rsidP="00496255">
            <w:pPr>
              <w:pStyle w:val="TableParagraph"/>
              <w:widowControl/>
              <w:suppressAutoHyphens/>
              <w:adjustRightInd w:val="0"/>
              <w:snapToGrid w:val="0"/>
              <w:ind w:left="0"/>
            </w:pPr>
            <w:r w:rsidRPr="002B65F7">
              <w:rPr>
                <w:spacing w:val="-5"/>
              </w:rPr>
              <w:t>250</w:t>
            </w:r>
          </w:p>
        </w:tc>
        <w:tc>
          <w:tcPr>
            <w:tcW w:w="735" w:type="pct"/>
          </w:tcPr>
          <w:p w14:paraId="4812B518" w14:textId="77777777" w:rsidR="00AA2ACB" w:rsidRPr="002B65F7" w:rsidRDefault="00AA2ACB" w:rsidP="00496255">
            <w:pPr>
              <w:pStyle w:val="TableParagraph"/>
              <w:widowControl/>
              <w:suppressAutoHyphens/>
              <w:adjustRightInd w:val="0"/>
              <w:snapToGrid w:val="0"/>
              <w:ind w:left="0"/>
            </w:pPr>
            <w:r w:rsidRPr="002B65F7">
              <w:rPr>
                <w:spacing w:val="-5"/>
              </w:rPr>
              <w:t>243</w:t>
            </w:r>
          </w:p>
        </w:tc>
      </w:tr>
      <w:tr w:rsidR="005D696C" w:rsidRPr="002B65F7" w14:paraId="6FDDF122" w14:textId="77777777" w:rsidTr="00D57C49">
        <w:trPr>
          <w:cantSplit/>
          <w:trHeight w:val="204"/>
        </w:trPr>
        <w:tc>
          <w:tcPr>
            <w:tcW w:w="1355" w:type="pct"/>
          </w:tcPr>
          <w:p w14:paraId="50BDB91D" w14:textId="5BB52CB5" w:rsidR="00AA2ACB" w:rsidRPr="002B65F7" w:rsidRDefault="00AA2ACB" w:rsidP="00496255">
            <w:pPr>
              <w:pStyle w:val="TableParagraph"/>
              <w:widowControl/>
              <w:suppressAutoHyphens/>
              <w:adjustRightInd w:val="0"/>
              <w:snapToGrid w:val="0"/>
              <w:ind w:left="0"/>
              <w:jc w:val="left"/>
            </w:pPr>
            <w:r w:rsidRPr="002B65F7">
              <w:t>Réponse</w:t>
            </w:r>
            <w:r w:rsidRPr="002B65F7">
              <w:rPr>
                <w:spacing w:val="-3"/>
              </w:rPr>
              <w:t xml:space="preserve"> </w:t>
            </w:r>
            <w:r w:rsidRPr="002B65F7">
              <w:t>PASI</w:t>
            </w:r>
            <w:r w:rsidR="002A49FA" w:rsidRPr="002B65F7">
              <w:t> </w:t>
            </w:r>
            <w:r w:rsidRPr="002B65F7">
              <w:t>50</w:t>
            </w:r>
            <w:r w:rsidRPr="002B65F7">
              <w:rPr>
                <w:spacing w:val="-3"/>
              </w:rPr>
              <w:t xml:space="preserve"> </w:t>
            </w:r>
            <w:r w:rsidRPr="002B65F7">
              <w:t>N</w:t>
            </w:r>
            <w:r w:rsidRPr="002B65F7">
              <w:rPr>
                <w:spacing w:val="-3"/>
              </w:rPr>
              <w:t xml:space="preserve"> </w:t>
            </w:r>
            <w:r w:rsidRPr="002B65F7">
              <w:rPr>
                <w:spacing w:val="-5"/>
              </w:rPr>
              <w:t>(%)</w:t>
            </w:r>
          </w:p>
        </w:tc>
        <w:tc>
          <w:tcPr>
            <w:tcW w:w="686" w:type="pct"/>
          </w:tcPr>
          <w:p w14:paraId="197374CA" w14:textId="77777777" w:rsidR="00AA2ACB" w:rsidRPr="002B65F7" w:rsidRDefault="00AA2ACB" w:rsidP="00496255">
            <w:pPr>
              <w:pStyle w:val="TableParagraph"/>
              <w:widowControl/>
              <w:suppressAutoHyphens/>
              <w:adjustRightInd w:val="0"/>
              <w:snapToGrid w:val="0"/>
              <w:ind w:left="0"/>
            </w:pPr>
            <w:r w:rsidRPr="002B65F7">
              <w:rPr>
                <w:spacing w:val="-5"/>
              </w:rPr>
              <w:t xml:space="preserve">26 </w:t>
            </w:r>
            <w:r w:rsidRPr="002B65F7">
              <w:rPr>
                <w:spacing w:val="-2"/>
              </w:rPr>
              <w:t>(10%)</w:t>
            </w:r>
          </w:p>
        </w:tc>
        <w:tc>
          <w:tcPr>
            <w:tcW w:w="763" w:type="pct"/>
          </w:tcPr>
          <w:p w14:paraId="7D542865" w14:textId="77777777" w:rsidR="00AA2ACB" w:rsidRPr="002B65F7" w:rsidRDefault="00AA2ACB" w:rsidP="00496255">
            <w:pPr>
              <w:pStyle w:val="TableParagraph"/>
              <w:widowControl/>
              <w:suppressAutoHyphens/>
              <w:adjustRightInd w:val="0"/>
              <w:snapToGrid w:val="0"/>
              <w:ind w:left="0"/>
            </w:pPr>
            <w:r w:rsidRPr="002B65F7">
              <w:t>213</w:t>
            </w:r>
            <w:r w:rsidRPr="002B65F7">
              <w:rPr>
                <w:spacing w:val="-6"/>
              </w:rPr>
              <w:t xml:space="preserve"> </w:t>
            </w:r>
            <w:r w:rsidRPr="002B65F7">
              <w:t>(84%)</w:t>
            </w:r>
            <w:r w:rsidRPr="002B65F7">
              <w:rPr>
                <w:spacing w:val="-10"/>
                <w:vertAlign w:val="superscript"/>
              </w:rPr>
              <w:t>a</w:t>
            </w:r>
          </w:p>
        </w:tc>
        <w:tc>
          <w:tcPr>
            <w:tcW w:w="687" w:type="pct"/>
          </w:tcPr>
          <w:p w14:paraId="209EA1AE" w14:textId="77777777" w:rsidR="00AA2ACB" w:rsidRPr="002B65F7" w:rsidRDefault="00AA2ACB" w:rsidP="00496255">
            <w:pPr>
              <w:pStyle w:val="TableParagraph"/>
              <w:widowControl/>
              <w:suppressAutoHyphens/>
              <w:adjustRightInd w:val="0"/>
              <w:snapToGrid w:val="0"/>
              <w:ind w:left="0"/>
            </w:pPr>
            <w:r w:rsidRPr="002B65F7">
              <w:t>220</w:t>
            </w:r>
            <w:r w:rsidRPr="002B65F7">
              <w:rPr>
                <w:spacing w:val="-6"/>
              </w:rPr>
              <w:t xml:space="preserve"> </w:t>
            </w:r>
            <w:r w:rsidRPr="002B65F7">
              <w:t>(86%)</w:t>
            </w:r>
            <w:r w:rsidRPr="002B65F7">
              <w:rPr>
                <w:spacing w:val="-10"/>
                <w:vertAlign w:val="superscript"/>
              </w:rPr>
              <w:t>a</w:t>
            </w:r>
          </w:p>
        </w:tc>
        <w:tc>
          <w:tcPr>
            <w:tcW w:w="773" w:type="pct"/>
          </w:tcPr>
          <w:p w14:paraId="00AD54C6" w14:textId="77777777" w:rsidR="00AA2ACB" w:rsidRPr="002B65F7" w:rsidRDefault="00AA2ACB" w:rsidP="00496255">
            <w:pPr>
              <w:pStyle w:val="TableParagraph"/>
              <w:widowControl/>
              <w:suppressAutoHyphens/>
              <w:adjustRightInd w:val="0"/>
              <w:snapToGrid w:val="0"/>
              <w:ind w:left="0"/>
            </w:pPr>
            <w:r w:rsidRPr="002B65F7">
              <w:t>228</w:t>
            </w:r>
            <w:r w:rsidRPr="002B65F7">
              <w:rPr>
                <w:spacing w:val="-2"/>
              </w:rPr>
              <w:t xml:space="preserve"> (91%)</w:t>
            </w:r>
          </w:p>
        </w:tc>
        <w:tc>
          <w:tcPr>
            <w:tcW w:w="735" w:type="pct"/>
          </w:tcPr>
          <w:p w14:paraId="1499EB20" w14:textId="77777777" w:rsidR="00AA2ACB" w:rsidRPr="002B65F7" w:rsidRDefault="00AA2ACB" w:rsidP="00496255">
            <w:pPr>
              <w:pStyle w:val="TableParagraph"/>
              <w:widowControl/>
              <w:suppressAutoHyphens/>
              <w:adjustRightInd w:val="0"/>
              <w:snapToGrid w:val="0"/>
              <w:ind w:left="0"/>
            </w:pPr>
            <w:r w:rsidRPr="002B65F7">
              <w:t>234</w:t>
            </w:r>
            <w:r w:rsidRPr="002B65F7">
              <w:rPr>
                <w:spacing w:val="-2"/>
              </w:rPr>
              <w:t xml:space="preserve"> (96%)</w:t>
            </w:r>
          </w:p>
        </w:tc>
      </w:tr>
      <w:tr w:rsidR="005D696C" w:rsidRPr="002B65F7" w14:paraId="205F573F" w14:textId="77777777" w:rsidTr="00D57C49">
        <w:trPr>
          <w:cantSplit/>
          <w:trHeight w:val="251"/>
        </w:trPr>
        <w:tc>
          <w:tcPr>
            <w:tcW w:w="1355" w:type="pct"/>
          </w:tcPr>
          <w:p w14:paraId="307887C5" w14:textId="00DE7CED" w:rsidR="00AA2ACB" w:rsidRPr="002B65F7" w:rsidRDefault="00AA2ACB" w:rsidP="00496255">
            <w:pPr>
              <w:pStyle w:val="TableParagraph"/>
              <w:widowControl/>
              <w:suppressAutoHyphens/>
              <w:adjustRightInd w:val="0"/>
              <w:snapToGrid w:val="0"/>
              <w:ind w:left="0"/>
              <w:jc w:val="left"/>
            </w:pPr>
            <w:r w:rsidRPr="002B65F7">
              <w:t>Réponse</w:t>
            </w:r>
            <w:r w:rsidRPr="002B65F7">
              <w:rPr>
                <w:spacing w:val="-3"/>
              </w:rPr>
              <w:t xml:space="preserve"> </w:t>
            </w:r>
            <w:r w:rsidRPr="002B65F7">
              <w:t>PASI</w:t>
            </w:r>
            <w:r w:rsidR="002A49FA" w:rsidRPr="002B65F7">
              <w:t> </w:t>
            </w:r>
            <w:r w:rsidRPr="002B65F7">
              <w:t>75</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1AFD6DB4" w14:textId="77777777" w:rsidR="00AA2ACB" w:rsidRPr="002B65F7" w:rsidRDefault="00AA2ACB" w:rsidP="00496255">
            <w:pPr>
              <w:pStyle w:val="TableParagraph"/>
              <w:widowControl/>
              <w:suppressAutoHyphens/>
              <w:adjustRightInd w:val="0"/>
              <w:snapToGrid w:val="0"/>
              <w:ind w:left="0"/>
            </w:pPr>
            <w:r w:rsidRPr="002B65F7">
              <w:t>8</w:t>
            </w:r>
            <w:r w:rsidRPr="002B65F7">
              <w:rPr>
                <w:spacing w:val="-1"/>
              </w:rPr>
              <w:t xml:space="preserve"> </w:t>
            </w:r>
            <w:r w:rsidRPr="002B65F7">
              <w:rPr>
                <w:spacing w:val="-4"/>
              </w:rPr>
              <w:t>(3%)</w:t>
            </w:r>
          </w:p>
        </w:tc>
        <w:tc>
          <w:tcPr>
            <w:tcW w:w="763" w:type="pct"/>
          </w:tcPr>
          <w:p w14:paraId="076663C4" w14:textId="77777777" w:rsidR="00AA2ACB" w:rsidRPr="002B65F7" w:rsidRDefault="00AA2ACB" w:rsidP="00496255">
            <w:pPr>
              <w:pStyle w:val="TableParagraph"/>
              <w:widowControl/>
              <w:suppressAutoHyphens/>
              <w:adjustRightInd w:val="0"/>
              <w:snapToGrid w:val="0"/>
              <w:ind w:left="0"/>
            </w:pPr>
            <w:r w:rsidRPr="002B65F7">
              <w:t>171</w:t>
            </w:r>
            <w:r w:rsidRPr="002B65F7">
              <w:rPr>
                <w:spacing w:val="-6"/>
              </w:rPr>
              <w:t xml:space="preserve"> </w:t>
            </w:r>
            <w:r w:rsidRPr="002B65F7">
              <w:t>(67%)</w:t>
            </w:r>
            <w:r w:rsidRPr="002B65F7">
              <w:rPr>
                <w:spacing w:val="-10"/>
                <w:vertAlign w:val="superscript"/>
              </w:rPr>
              <w:t>a</w:t>
            </w:r>
          </w:p>
        </w:tc>
        <w:tc>
          <w:tcPr>
            <w:tcW w:w="687" w:type="pct"/>
          </w:tcPr>
          <w:p w14:paraId="7E0E13B7" w14:textId="77777777" w:rsidR="00AA2ACB" w:rsidRPr="002B65F7" w:rsidRDefault="00AA2ACB" w:rsidP="00496255">
            <w:pPr>
              <w:pStyle w:val="TableParagraph"/>
              <w:widowControl/>
              <w:suppressAutoHyphens/>
              <w:adjustRightInd w:val="0"/>
              <w:snapToGrid w:val="0"/>
              <w:ind w:left="0"/>
            </w:pPr>
            <w:r w:rsidRPr="002B65F7">
              <w:t>170</w:t>
            </w:r>
            <w:r w:rsidRPr="002B65F7">
              <w:rPr>
                <w:spacing w:val="-6"/>
              </w:rPr>
              <w:t xml:space="preserve"> </w:t>
            </w:r>
            <w:r w:rsidRPr="002B65F7">
              <w:t>(66%)</w:t>
            </w:r>
            <w:r w:rsidRPr="002B65F7">
              <w:rPr>
                <w:spacing w:val="-10"/>
                <w:vertAlign w:val="superscript"/>
              </w:rPr>
              <w:t>a</w:t>
            </w:r>
          </w:p>
        </w:tc>
        <w:tc>
          <w:tcPr>
            <w:tcW w:w="773" w:type="pct"/>
          </w:tcPr>
          <w:p w14:paraId="7D17588D" w14:textId="77777777" w:rsidR="00AA2ACB" w:rsidRPr="002B65F7" w:rsidRDefault="00AA2ACB" w:rsidP="00496255">
            <w:pPr>
              <w:pStyle w:val="TableParagraph"/>
              <w:widowControl/>
              <w:suppressAutoHyphens/>
              <w:adjustRightInd w:val="0"/>
              <w:snapToGrid w:val="0"/>
              <w:ind w:left="0"/>
            </w:pPr>
            <w:r w:rsidRPr="002B65F7">
              <w:t>178</w:t>
            </w:r>
            <w:r w:rsidRPr="002B65F7">
              <w:rPr>
                <w:spacing w:val="-2"/>
              </w:rPr>
              <w:t xml:space="preserve"> (71%)</w:t>
            </w:r>
          </w:p>
        </w:tc>
        <w:tc>
          <w:tcPr>
            <w:tcW w:w="735" w:type="pct"/>
          </w:tcPr>
          <w:p w14:paraId="03AD09D8" w14:textId="77777777" w:rsidR="00AA2ACB" w:rsidRPr="002B65F7" w:rsidRDefault="00AA2ACB" w:rsidP="00496255">
            <w:pPr>
              <w:pStyle w:val="TableParagraph"/>
              <w:widowControl/>
              <w:suppressAutoHyphens/>
              <w:adjustRightInd w:val="0"/>
              <w:snapToGrid w:val="0"/>
              <w:ind w:left="0"/>
            </w:pPr>
            <w:r w:rsidRPr="002B65F7">
              <w:t>191</w:t>
            </w:r>
            <w:r w:rsidRPr="002B65F7">
              <w:rPr>
                <w:spacing w:val="-2"/>
              </w:rPr>
              <w:t xml:space="preserve"> (79%)</w:t>
            </w:r>
          </w:p>
        </w:tc>
      </w:tr>
      <w:tr w:rsidR="005D696C" w:rsidRPr="002B65F7" w14:paraId="5847CD43" w14:textId="77777777" w:rsidTr="00D57C49">
        <w:trPr>
          <w:cantSplit/>
          <w:trHeight w:val="253"/>
        </w:trPr>
        <w:tc>
          <w:tcPr>
            <w:tcW w:w="1355" w:type="pct"/>
          </w:tcPr>
          <w:p w14:paraId="04A2D313" w14:textId="179EF4FE" w:rsidR="00AA2ACB" w:rsidRPr="002B65F7" w:rsidRDefault="00AA2ACB" w:rsidP="00496255">
            <w:pPr>
              <w:pStyle w:val="TableParagraph"/>
              <w:widowControl/>
              <w:suppressAutoHyphens/>
              <w:adjustRightInd w:val="0"/>
              <w:snapToGrid w:val="0"/>
              <w:ind w:left="0"/>
              <w:jc w:val="left"/>
            </w:pPr>
            <w:r w:rsidRPr="002B65F7">
              <w:t>Réponse</w:t>
            </w:r>
            <w:r w:rsidRPr="002B65F7">
              <w:rPr>
                <w:spacing w:val="-3"/>
              </w:rPr>
              <w:t xml:space="preserve"> </w:t>
            </w:r>
            <w:r w:rsidRPr="002B65F7">
              <w:t>PASI</w:t>
            </w:r>
            <w:r w:rsidR="002A49FA" w:rsidRPr="002B65F7">
              <w:t> </w:t>
            </w:r>
            <w:r w:rsidRPr="002B65F7">
              <w:t>90</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75882271" w14:textId="77777777" w:rsidR="00AA2ACB" w:rsidRPr="002B65F7" w:rsidRDefault="00AA2ACB" w:rsidP="00496255">
            <w:pPr>
              <w:pStyle w:val="TableParagraph"/>
              <w:widowControl/>
              <w:suppressAutoHyphens/>
              <w:adjustRightInd w:val="0"/>
              <w:snapToGrid w:val="0"/>
              <w:ind w:left="0"/>
            </w:pPr>
            <w:r w:rsidRPr="002B65F7">
              <w:t>5</w:t>
            </w:r>
            <w:r w:rsidRPr="002B65F7">
              <w:rPr>
                <w:spacing w:val="-1"/>
              </w:rPr>
              <w:t xml:space="preserve"> </w:t>
            </w:r>
            <w:r w:rsidRPr="002B65F7">
              <w:rPr>
                <w:spacing w:val="-4"/>
              </w:rPr>
              <w:t>(2%)</w:t>
            </w:r>
          </w:p>
        </w:tc>
        <w:tc>
          <w:tcPr>
            <w:tcW w:w="763" w:type="pct"/>
          </w:tcPr>
          <w:p w14:paraId="029E3F24" w14:textId="77777777" w:rsidR="00AA2ACB" w:rsidRPr="002B65F7" w:rsidRDefault="00AA2ACB" w:rsidP="00496255">
            <w:pPr>
              <w:pStyle w:val="TableParagraph"/>
              <w:widowControl/>
              <w:suppressAutoHyphens/>
              <w:adjustRightInd w:val="0"/>
              <w:snapToGrid w:val="0"/>
              <w:ind w:left="0"/>
            </w:pPr>
            <w:r w:rsidRPr="002B65F7">
              <w:t>106</w:t>
            </w:r>
            <w:r w:rsidRPr="002B65F7">
              <w:rPr>
                <w:spacing w:val="-6"/>
              </w:rPr>
              <w:t xml:space="preserve"> </w:t>
            </w:r>
            <w:r w:rsidRPr="002B65F7">
              <w:t>(42%)</w:t>
            </w:r>
            <w:r w:rsidRPr="002B65F7">
              <w:rPr>
                <w:spacing w:val="-10"/>
                <w:vertAlign w:val="superscript"/>
              </w:rPr>
              <w:t>a</w:t>
            </w:r>
          </w:p>
        </w:tc>
        <w:tc>
          <w:tcPr>
            <w:tcW w:w="687" w:type="pct"/>
          </w:tcPr>
          <w:p w14:paraId="0BE905BF" w14:textId="77777777" w:rsidR="00AA2ACB" w:rsidRPr="002B65F7" w:rsidRDefault="00AA2ACB" w:rsidP="00496255">
            <w:pPr>
              <w:pStyle w:val="TableParagraph"/>
              <w:widowControl/>
              <w:suppressAutoHyphens/>
              <w:adjustRightInd w:val="0"/>
              <w:snapToGrid w:val="0"/>
              <w:ind w:left="0"/>
            </w:pPr>
            <w:r w:rsidRPr="002B65F7">
              <w:t>94</w:t>
            </w:r>
            <w:r w:rsidRPr="002B65F7">
              <w:rPr>
                <w:spacing w:val="-5"/>
              </w:rPr>
              <w:t xml:space="preserve"> </w:t>
            </w:r>
            <w:r w:rsidRPr="002B65F7">
              <w:t>(37%)</w:t>
            </w:r>
            <w:r w:rsidRPr="002B65F7">
              <w:rPr>
                <w:spacing w:val="-10"/>
                <w:vertAlign w:val="superscript"/>
              </w:rPr>
              <w:t>a</w:t>
            </w:r>
          </w:p>
        </w:tc>
        <w:tc>
          <w:tcPr>
            <w:tcW w:w="773" w:type="pct"/>
          </w:tcPr>
          <w:p w14:paraId="058E36AD" w14:textId="77777777" w:rsidR="00AA2ACB" w:rsidRPr="002B65F7" w:rsidRDefault="00AA2ACB" w:rsidP="00496255">
            <w:pPr>
              <w:pStyle w:val="TableParagraph"/>
              <w:widowControl/>
              <w:suppressAutoHyphens/>
              <w:adjustRightInd w:val="0"/>
              <w:snapToGrid w:val="0"/>
              <w:ind w:left="0"/>
            </w:pPr>
            <w:r w:rsidRPr="002B65F7">
              <w:t>123</w:t>
            </w:r>
            <w:r w:rsidRPr="002B65F7">
              <w:rPr>
                <w:spacing w:val="-2"/>
              </w:rPr>
              <w:t xml:space="preserve"> (49%)</w:t>
            </w:r>
          </w:p>
        </w:tc>
        <w:tc>
          <w:tcPr>
            <w:tcW w:w="735" w:type="pct"/>
          </w:tcPr>
          <w:p w14:paraId="3BD43D7E" w14:textId="77777777" w:rsidR="00AA2ACB" w:rsidRPr="002B65F7" w:rsidRDefault="00AA2ACB" w:rsidP="00496255">
            <w:pPr>
              <w:pStyle w:val="TableParagraph"/>
              <w:widowControl/>
              <w:suppressAutoHyphens/>
              <w:adjustRightInd w:val="0"/>
              <w:snapToGrid w:val="0"/>
              <w:ind w:left="0"/>
            </w:pPr>
            <w:r w:rsidRPr="002B65F7">
              <w:t>135</w:t>
            </w:r>
            <w:r w:rsidRPr="002B65F7">
              <w:rPr>
                <w:spacing w:val="-2"/>
              </w:rPr>
              <w:t xml:space="preserve"> (56%)</w:t>
            </w:r>
          </w:p>
        </w:tc>
      </w:tr>
      <w:tr w:rsidR="005D696C" w:rsidRPr="002B65F7" w14:paraId="57DCEDEC" w14:textId="77777777" w:rsidTr="00D57C49">
        <w:trPr>
          <w:cantSplit/>
          <w:trHeight w:val="505"/>
        </w:trPr>
        <w:tc>
          <w:tcPr>
            <w:tcW w:w="1355" w:type="pct"/>
          </w:tcPr>
          <w:p w14:paraId="559A6904" w14:textId="77777777" w:rsidR="00AA2ACB" w:rsidRPr="002B65F7" w:rsidRDefault="00AA2ACB" w:rsidP="00496255">
            <w:pPr>
              <w:pStyle w:val="TableParagraph"/>
              <w:widowControl/>
              <w:suppressAutoHyphens/>
              <w:adjustRightInd w:val="0"/>
              <w:snapToGrid w:val="0"/>
              <w:ind w:left="0"/>
              <w:jc w:val="left"/>
              <w:rPr>
                <w:lang w:val="pt-PT"/>
              </w:rPr>
            </w:pPr>
            <w:r w:rsidRPr="002B65F7">
              <w:rPr>
                <w:lang w:val="pt-PT"/>
              </w:rPr>
              <w:t>PGA</w:t>
            </w:r>
            <w:r w:rsidRPr="002B65F7">
              <w:rPr>
                <w:vertAlign w:val="superscript"/>
                <w:lang w:val="pt-PT"/>
              </w:rPr>
              <w:t>b</w:t>
            </w:r>
            <w:r w:rsidRPr="002B65F7">
              <w:rPr>
                <w:spacing w:val="-11"/>
                <w:lang w:val="pt-PT"/>
              </w:rPr>
              <w:t xml:space="preserve"> </w:t>
            </w:r>
            <w:r w:rsidRPr="002B65F7">
              <w:rPr>
                <w:lang w:val="pt-PT"/>
              </w:rPr>
              <w:t>blanchi</w:t>
            </w:r>
            <w:r w:rsidRPr="002B65F7">
              <w:rPr>
                <w:spacing w:val="-12"/>
                <w:lang w:val="pt-PT"/>
              </w:rPr>
              <w:t xml:space="preserve"> </w:t>
            </w:r>
            <w:r w:rsidRPr="002B65F7">
              <w:rPr>
                <w:lang w:val="pt-PT"/>
              </w:rPr>
              <w:t>ou</w:t>
            </w:r>
            <w:r w:rsidRPr="002B65F7">
              <w:rPr>
                <w:spacing w:val="-12"/>
                <w:lang w:val="pt-PT"/>
              </w:rPr>
              <w:t xml:space="preserve"> </w:t>
            </w:r>
            <w:r w:rsidRPr="002B65F7">
              <w:rPr>
                <w:lang w:val="pt-PT"/>
              </w:rPr>
              <w:t>minimal N (%)</w:t>
            </w:r>
          </w:p>
        </w:tc>
        <w:tc>
          <w:tcPr>
            <w:tcW w:w="686" w:type="pct"/>
          </w:tcPr>
          <w:p w14:paraId="1FBBAAF4" w14:textId="77777777" w:rsidR="00AA2ACB" w:rsidRPr="002B65F7" w:rsidRDefault="00AA2ACB" w:rsidP="00496255">
            <w:pPr>
              <w:pStyle w:val="TableParagraph"/>
              <w:widowControl/>
              <w:suppressAutoHyphens/>
              <w:adjustRightInd w:val="0"/>
              <w:snapToGrid w:val="0"/>
              <w:ind w:left="0"/>
            </w:pPr>
            <w:r w:rsidRPr="002B65F7">
              <w:t>10</w:t>
            </w:r>
            <w:r w:rsidRPr="002B65F7">
              <w:rPr>
                <w:spacing w:val="-1"/>
              </w:rPr>
              <w:t xml:space="preserve"> </w:t>
            </w:r>
            <w:r w:rsidRPr="002B65F7">
              <w:rPr>
                <w:spacing w:val="-4"/>
              </w:rPr>
              <w:t>(4%)</w:t>
            </w:r>
          </w:p>
        </w:tc>
        <w:tc>
          <w:tcPr>
            <w:tcW w:w="763" w:type="pct"/>
          </w:tcPr>
          <w:p w14:paraId="7D9A06B6" w14:textId="77777777" w:rsidR="00AA2ACB" w:rsidRPr="002B65F7" w:rsidRDefault="00AA2ACB" w:rsidP="00496255">
            <w:pPr>
              <w:pStyle w:val="TableParagraph"/>
              <w:widowControl/>
              <w:suppressAutoHyphens/>
              <w:adjustRightInd w:val="0"/>
              <w:snapToGrid w:val="0"/>
              <w:ind w:left="0"/>
            </w:pPr>
            <w:r w:rsidRPr="002B65F7">
              <w:t>151</w:t>
            </w:r>
            <w:r w:rsidRPr="002B65F7">
              <w:rPr>
                <w:spacing w:val="-6"/>
              </w:rPr>
              <w:t xml:space="preserve"> </w:t>
            </w:r>
            <w:r w:rsidRPr="002B65F7">
              <w:t>(59%)</w:t>
            </w:r>
            <w:r w:rsidRPr="002B65F7">
              <w:rPr>
                <w:spacing w:val="-10"/>
                <w:vertAlign w:val="superscript"/>
              </w:rPr>
              <w:t>a</w:t>
            </w:r>
          </w:p>
        </w:tc>
        <w:tc>
          <w:tcPr>
            <w:tcW w:w="687" w:type="pct"/>
          </w:tcPr>
          <w:p w14:paraId="19007D8A" w14:textId="77777777" w:rsidR="00AA2ACB" w:rsidRPr="002B65F7" w:rsidRDefault="00AA2ACB" w:rsidP="00496255">
            <w:pPr>
              <w:pStyle w:val="TableParagraph"/>
              <w:widowControl/>
              <w:suppressAutoHyphens/>
              <w:adjustRightInd w:val="0"/>
              <w:snapToGrid w:val="0"/>
              <w:ind w:left="0"/>
            </w:pPr>
            <w:r w:rsidRPr="002B65F7">
              <w:t>156</w:t>
            </w:r>
            <w:r w:rsidRPr="002B65F7">
              <w:rPr>
                <w:spacing w:val="-6"/>
              </w:rPr>
              <w:t xml:space="preserve"> </w:t>
            </w:r>
            <w:r w:rsidRPr="002B65F7">
              <w:t>(61%)</w:t>
            </w:r>
            <w:r w:rsidRPr="002B65F7">
              <w:rPr>
                <w:spacing w:val="-10"/>
                <w:vertAlign w:val="superscript"/>
              </w:rPr>
              <w:t>a</w:t>
            </w:r>
          </w:p>
        </w:tc>
        <w:tc>
          <w:tcPr>
            <w:tcW w:w="773" w:type="pct"/>
          </w:tcPr>
          <w:p w14:paraId="42DCCFB4" w14:textId="77777777" w:rsidR="00AA2ACB" w:rsidRPr="002B65F7" w:rsidRDefault="00AA2ACB" w:rsidP="00496255">
            <w:pPr>
              <w:pStyle w:val="TableParagraph"/>
              <w:widowControl/>
              <w:suppressAutoHyphens/>
              <w:adjustRightInd w:val="0"/>
              <w:snapToGrid w:val="0"/>
              <w:ind w:left="0"/>
            </w:pPr>
            <w:r w:rsidRPr="002B65F7">
              <w:t>146</w:t>
            </w:r>
            <w:r w:rsidRPr="002B65F7">
              <w:rPr>
                <w:spacing w:val="-2"/>
              </w:rPr>
              <w:t xml:space="preserve"> (58%)</w:t>
            </w:r>
          </w:p>
        </w:tc>
        <w:tc>
          <w:tcPr>
            <w:tcW w:w="735" w:type="pct"/>
          </w:tcPr>
          <w:p w14:paraId="2C190B8D" w14:textId="77777777" w:rsidR="00AA2ACB" w:rsidRPr="002B65F7" w:rsidRDefault="00AA2ACB" w:rsidP="00496255">
            <w:pPr>
              <w:pStyle w:val="TableParagraph"/>
              <w:widowControl/>
              <w:suppressAutoHyphens/>
              <w:adjustRightInd w:val="0"/>
              <w:snapToGrid w:val="0"/>
              <w:ind w:left="0"/>
            </w:pPr>
            <w:r w:rsidRPr="002B65F7">
              <w:t>160</w:t>
            </w:r>
            <w:r w:rsidRPr="002B65F7">
              <w:rPr>
                <w:spacing w:val="-2"/>
              </w:rPr>
              <w:t xml:space="preserve"> (66%)</w:t>
            </w:r>
          </w:p>
        </w:tc>
      </w:tr>
      <w:tr w:rsidR="005D696C" w:rsidRPr="002B65F7" w14:paraId="46969D11" w14:textId="77777777" w:rsidTr="00D57C49">
        <w:trPr>
          <w:cantSplit/>
          <w:trHeight w:val="251"/>
        </w:trPr>
        <w:tc>
          <w:tcPr>
            <w:tcW w:w="1355" w:type="pct"/>
          </w:tcPr>
          <w:p w14:paraId="51A05E6F" w14:textId="11C215FF" w:rsidR="00AA2ACB" w:rsidRPr="002B65F7" w:rsidRDefault="00AA2ACB" w:rsidP="00496255">
            <w:pPr>
              <w:pStyle w:val="TableParagraph"/>
              <w:widowControl/>
              <w:suppressAutoHyphens/>
              <w:adjustRightInd w:val="0"/>
              <w:snapToGrid w:val="0"/>
              <w:ind w:left="0"/>
              <w:jc w:val="left"/>
            </w:pPr>
            <w:r w:rsidRPr="002B65F7">
              <w:t>Nombre</w:t>
            </w:r>
            <w:r w:rsidRPr="002B65F7">
              <w:rPr>
                <w:spacing w:val="-3"/>
              </w:rPr>
              <w:t xml:space="preserve"> </w:t>
            </w:r>
            <w:r w:rsidRPr="002B65F7">
              <w:t>de</w:t>
            </w:r>
            <w:r w:rsidRPr="002B65F7">
              <w:rPr>
                <w:spacing w:val="-2"/>
              </w:rPr>
              <w:t xml:space="preserve"> </w:t>
            </w:r>
            <w:r w:rsidRPr="002B65F7">
              <w:t>patients</w:t>
            </w:r>
            <w:r w:rsidRPr="002B65F7">
              <w:rPr>
                <w:spacing w:val="-5"/>
              </w:rPr>
              <w:t> </w:t>
            </w:r>
            <w:r w:rsidRPr="002B65F7">
              <w:t>≤</w:t>
            </w:r>
            <w:r w:rsidRPr="002B65F7">
              <w:rPr>
                <w:spacing w:val="-1"/>
              </w:rPr>
              <w:t> </w:t>
            </w:r>
            <w:r w:rsidRPr="002B65F7">
              <w:t>100</w:t>
            </w:r>
            <w:r w:rsidR="0083540C" w:rsidRPr="002B65F7">
              <w:t> </w:t>
            </w:r>
            <w:r w:rsidRPr="002B65F7">
              <w:rPr>
                <w:spacing w:val="-5"/>
              </w:rPr>
              <w:t>kg</w:t>
            </w:r>
          </w:p>
        </w:tc>
        <w:tc>
          <w:tcPr>
            <w:tcW w:w="686" w:type="pct"/>
          </w:tcPr>
          <w:p w14:paraId="1053B127" w14:textId="77777777" w:rsidR="00AA2ACB" w:rsidRPr="002B65F7" w:rsidRDefault="00AA2ACB" w:rsidP="00496255">
            <w:pPr>
              <w:pStyle w:val="TableParagraph"/>
              <w:widowControl/>
              <w:suppressAutoHyphens/>
              <w:adjustRightInd w:val="0"/>
              <w:snapToGrid w:val="0"/>
              <w:ind w:left="0"/>
            </w:pPr>
            <w:r w:rsidRPr="002B65F7">
              <w:rPr>
                <w:spacing w:val="-5"/>
              </w:rPr>
              <w:t>166</w:t>
            </w:r>
          </w:p>
        </w:tc>
        <w:tc>
          <w:tcPr>
            <w:tcW w:w="763" w:type="pct"/>
          </w:tcPr>
          <w:p w14:paraId="75BFDD10" w14:textId="77777777" w:rsidR="00AA2ACB" w:rsidRPr="002B65F7" w:rsidRDefault="00AA2ACB" w:rsidP="00496255">
            <w:pPr>
              <w:pStyle w:val="TableParagraph"/>
              <w:widowControl/>
              <w:suppressAutoHyphens/>
              <w:adjustRightInd w:val="0"/>
              <w:snapToGrid w:val="0"/>
              <w:ind w:left="0"/>
            </w:pPr>
            <w:r w:rsidRPr="002B65F7">
              <w:rPr>
                <w:spacing w:val="-5"/>
              </w:rPr>
              <w:t>168</w:t>
            </w:r>
          </w:p>
        </w:tc>
        <w:tc>
          <w:tcPr>
            <w:tcW w:w="687" w:type="pct"/>
          </w:tcPr>
          <w:p w14:paraId="5C909BFB" w14:textId="77777777" w:rsidR="00AA2ACB" w:rsidRPr="002B65F7" w:rsidRDefault="00AA2ACB" w:rsidP="00496255">
            <w:pPr>
              <w:pStyle w:val="TableParagraph"/>
              <w:widowControl/>
              <w:suppressAutoHyphens/>
              <w:adjustRightInd w:val="0"/>
              <w:snapToGrid w:val="0"/>
              <w:ind w:left="0"/>
            </w:pPr>
            <w:r w:rsidRPr="002B65F7">
              <w:rPr>
                <w:spacing w:val="-5"/>
              </w:rPr>
              <w:t>164</w:t>
            </w:r>
          </w:p>
        </w:tc>
        <w:tc>
          <w:tcPr>
            <w:tcW w:w="773" w:type="pct"/>
          </w:tcPr>
          <w:p w14:paraId="32BCDF0D" w14:textId="77777777" w:rsidR="00AA2ACB" w:rsidRPr="002B65F7" w:rsidRDefault="00AA2ACB" w:rsidP="00496255">
            <w:pPr>
              <w:pStyle w:val="TableParagraph"/>
              <w:widowControl/>
              <w:suppressAutoHyphens/>
              <w:adjustRightInd w:val="0"/>
              <w:snapToGrid w:val="0"/>
              <w:ind w:left="0"/>
            </w:pPr>
            <w:r w:rsidRPr="002B65F7">
              <w:rPr>
                <w:spacing w:val="-5"/>
              </w:rPr>
              <w:t>164</w:t>
            </w:r>
          </w:p>
        </w:tc>
        <w:tc>
          <w:tcPr>
            <w:tcW w:w="735" w:type="pct"/>
          </w:tcPr>
          <w:p w14:paraId="12C5BAA9" w14:textId="77777777" w:rsidR="00AA2ACB" w:rsidRPr="002B65F7" w:rsidRDefault="00AA2ACB" w:rsidP="00496255">
            <w:pPr>
              <w:pStyle w:val="TableParagraph"/>
              <w:widowControl/>
              <w:suppressAutoHyphens/>
              <w:adjustRightInd w:val="0"/>
              <w:snapToGrid w:val="0"/>
              <w:ind w:left="0"/>
            </w:pPr>
            <w:r w:rsidRPr="002B65F7">
              <w:rPr>
                <w:spacing w:val="-5"/>
              </w:rPr>
              <w:t>153</w:t>
            </w:r>
          </w:p>
        </w:tc>
      </w:tr>
      <w:tr w:rsidR="005D696C" w:rsidRPr="002B65F7" w14:paraId="2F655C65" w14:textId="77777777" w:rsidTr="00D57C49">
        <w:trPr>
          <w:cantSplit/>
          <w:trHeight w:val="253"/>
        </w:trPr>
        <w:tc>
          <w:tcPr>
            <w:tcW w:w="1355" w:type="pct"/>
          </w:tcPr>
          <w:p w14:paraId="1B146D72" w14:textId="79A029D9" w:rsidR="00AA2ACB" w:rsidRPr="002B65F7" w:rsidRDefault="00AA2ACB" w:rsidP="00496255">
            <w:pPr>
              <w:pStyle w:val="TableParagraph"/>
              <w:widowControl/>
              <w:suppressAutoHyphens/>
              <w:adjustRightInd w:val="0"/>
              <w:snapToGrid w:val="0"/>
              <w:ind w:left="0"/>
              <w:jc w:val="left"/>
            </w:pPr>
            <w:r w:rsidRPr="002B65F7">
              <w:t>Réponse</w:t>
            </w:r>
            <w:r w:rsidRPr="002B65F7">
              <w:rPr>
                <w:spacing w:val="-4"/>
              </w:rPr>
              <w:t xml:space="preserve"> </w:t>
            </w:r>
            <w:r w:rsidRPr="002B65F7">
              <w:t>PASI</w:t>
            </w:r>
            <w:r w:rsidR="002A49FA" w:rsidRPr="002B65F7">
              <w:t> </w:t>
            </w:r>
            <w:r w:rsidRPr="002B65F7">
              <w:t>75</w:t>
            </w:r>
            <w:r w:rsidRPr="002B65F7">
              <w:rPr>
                <w:spacing w:val="-2"/>
              </w:rPr>
              <w:t xml:space="preserve"> </w:t>
            </w:r>
            <w:r w:rsidRPr="002B65F7">
              <w:t>N</w:t>
            </w:r>
            <w:r w:rsidRPr="002B65F7">
              <w:rPr>
                <w:spacing w:val="-2"/>
              </w:rPr>
              <w:t xml:space="preserve"> </w:t>
            </w:r>
            <w:r w:rsidRPr="002B65F7">
              <w:rPr>
                <w:spacing w:val="-5"/>
              </w:rPr>
              <w:t>(%)</w:t>
            </w:r>
          </w:p>
        </w:tc>
        <w:tc>
          <w:tcPr>
            <w:tcW w:w="686" w:type="pct"/>
          </w:tcPr>
          <w:p w14:paraId="79B760D6" w14:textId="77777777" w:rsidR="00AA2ACB" w:rsidRPr="002B65F7" w:rsidRDefault="00AA2ACB" w:rsidP="00496255">
            <w:pPr>
              <w:pStyle w:val="TableParagraph"/>
              <w:widowControl/>
              <w:suppressAutoHyphens/>
              <w:adjustRightInd w:val="0"/>
              <w:snapToGrid w:val="0"/>
              <w:ind w:left="0"/>
            </w:pPr>
            <w:r w:rsidRPr="002B65F7">
              <w:t>6</w:t>
            </w:r>
            <w:r w:rsidRPr="002B65F7">
              <w:rPr>
                <w:spacing w:val="-1"/>
              </w:rPr>
              <w:t xml:space="preserve"> </w:t>
            </w:r>
            <w:r w:rsidRPr="002B65F7">
              <w:rPr>
                <w:spacing w:val="-4"/>
              </w:rPr>
              <w:t>(4%)</w:t>
            </w:r>
          </w:p>
        </w:tc>
        <w:tc>
          <w:tcPr>
            <w:tcW w:w="763" w:type="pct"/>
          </w:tcPr>
          <w:p w14:paraId="0B0AFB50" w14:textId="77777777" w:rsidR="00AA2ACB" w:rsidRPr="002B65F7" w:rsidRDefault="00AA2ACB" w:rsidP="00496255">
            <w:pPr>
              <w:pStyle w:val="TableParagraph"/>
              <w:widowControl/>
              <w:suppressAutoHyphens/>
              <w:adjustRightInd w:val="0"/>
              <w:snapToGrid w:val="0"/>
              <w:ind w:left="0"/>
            </w:pPr>
            <w:r w:rsidRPr="002B65F7">
              <w:t>124</w:t>
            </w:r>
            <w:r w:rsidRPr="002B65F7">
              <w:rPr>
                <w:spacing w:val="-2"/>
              </w:rPr>
              <w:t xml:space="preserve"> (74%)</w:t>
            </w:r>
          </w:p>
        </w:tc>
        <w:tc>
          <w:tcPr>
            <w:tcW w:w="687" w:type="pct"/>
          </w:tcPr>
          <w:p w14:paraId="3F57F26C" w14:textId="77777777" w:rsidR="00AA2ACB" w:rsidRPr="002B65F7" w:rsidRDefault="00AA2ACB" w:rsidP="00496255">
            <w:pPr>
              <w:pStyle w:val="TableParagraph"/>
              <w:widowControl/>
              <w:suppressAutoHyphens/>
              <w:adjustRightInd w:val="0"/>
              <w:snapToGrid w:val="0"/>
              <w:ind w:left="0"/>
            </w:pPr>
            <w:r w:rsidRPr="002B65F7">
              <w:t>107</w:t>
            </w:r>
            <w:r w:rsidRPr="002B65F7">
              <w:rPr>
                <w:spacing w:val="-2"/>
              </w:rPr>
              <w:t xml:space="preserve"> (65%)</w:t>
            </w:r>
          </w:p>
        </w:tc>
        <w:tc>
          <w:tcPr>
            <w:tcW w:w="773" w:type="pct"/>
          </w:tcPr>
          <w:p w14:paraId="2BFBE237" w14:textId="77777777" w:rsidR="00AA2ACB" w:rsidRPr="002B65F7" w:rsidRDefault="00AA2ACB" w:rsidP="00496255">
            <w:pPr>
              <w:pStyle w:val="TableParagraph"/>
              <w:widowControl/>
              <w:suppressAutoHyphens/>
              <w:adjustRightInd w:val="0"/>
              <w:snapToGrid w:val="0"/>
              <w:ind w:left="0"/>
            </w:pPr>
            <w:r w:rsidRPr="002B65F7">
              <w:t>130</w:t>
            </w:r>
            <w:r w:rsidRPr="002B65F7">
              <w:rPr>
                <w:spacing w:val="-2"/>
              </w:rPr>
              <w:t xml:space="preserve"> (79%)</w:t>
            </w:r>
          </w:p>
        </w:tc>
        <w:tc>
          <w:tcPr>
            <w:tcW w:w="735" w:type="pct"/>
          </w:tcPr>
          <w:p w14:paraId="79222EAB" w14:textId="77777777" w:rsidR="00AA2ACB" w:rsidRPr="002B65F7" w:rsidRDefault="00AA2ACB" w:rsidP="00496255">
            <w:pPr>
              <w:pStyle w:val="TableParagraph"/>
              <w:widowControl/>
              <w:suppressAutoHyphens/>
              <w:adjustRightInd w:val="0"/>
              <w:snapToGrid w:val="0"/>
              <w:ind w:left="0"/>
            </w:pPr>
            <w:r w:rsidRPr="002B65F7">
              <w:t>124</w:t>
            </w:r>
            <w:r w:rsidRPr="002B65F7">
              <w:rPr>
                <w:spacing w:val="-2"/>
              </w:rPr>
              <w:t xml:space="preserve"> (81%)</w:t>
            </w:r>
          </w:p>
        </w:tc>
      </w:tr>
      <w:tr w:rsidR="005D696C" w:rsidRPr="002B65F7" w14:paraId="375C75DB" w14:textId="77777777" w:rsidTr="00D57C49">
        <w:trPr>
          <w:cantSplit/>
          <w:trHeight w:val="251"/>
        </w:trPr>
        <w:tc>
          <w:tcPr>
            <w:tcW w:w="1355" w:type="pct"/>
          </w:tcPr>
          <w:p w14:paraId="5E965559" w14:textId="733511ED" w:rsidR="00AA2ACB" w:rsidRPr="002B65F7" w:rsidRDefault="00AA2ACB" w:rsidP="00496255">
            <w:pPr>
              <w:pStyle w:val="TableParagraph"/>
              <w:widowControl/>
              <w:suppressAutoHyphens/>
              <w:adjustRightInd w:val="0"/>
              <w:snapToGrid w:val="0"/>
              <w:ind w:left="0"/>
              <w:jc w:val="left"/>
            </w:pPr>
            <w:r w:rsidRPr="002B65F7">
              <w:t>Nombre</w:t>
            </w:r>
            <w:r w:rsidRPr="002B65F7">
              <w:rPr>
                <w:spacing w:val="-3"/>
              </w:rPr>
              <w:t xml:space="preserve"> </w:t>
            </w:r>
            <w:r w:rsidRPr="002B65F7">
              <w:t>de</w:t>
            </w:r>
            <w:r w:rsidRPr="002B65F7">
              <w:rPr>
                <w:spacing w:val="-2"/>
              </w:rPr>
              <w:t xml:space="preserve"> </w:t>
            </w:r>
            <w:r w:rsidRPr="002B65F7">
              <w:t>patients</w:t>
            </w:r>
            <w:r w:rsidRPr="002B65F7">
              <w:rPr>
                <w:spacing w:val="-3"/>
              </w:rPr>
              <w:t> </w:t>
            </w:r>
            <w:r w:rsidRPr="002B65F7">
              <w:t>&gt;</w:t>
            </w:r>
            <w:r w:rsidRPr="002B65F7">
              <w:rPr>
                <w:spacing w:val="-4"/>
              </w:rPr>
              <w:t> </w:t>
            </w:r>
            <w:r w:rsidRPr="002B65F7">
              <w:t>100</w:t>
            </w:r>
            <w:r w:rsidR="0083540C" w:rsidRPr="002B65F7">
              <w:t> </w:t>
            </w:r>
            <w:r w:rsidRPr="002B65F7">
              <w:rPr>
                <w:spacing w:val="-5"/>
              </w:rPr>
              <w:t>kg</w:t>
            </w:r>
          </w:p>
        </w:tc>
        <w:tc>
          <w:tcPr>
            <w:tcW w:w="686" w:type="pct"/>
          </w:tcPr>
          <w:p w14:paraId="48551C2F" w14:textId="77777777" w:rsidR="00AA2ACB" w:rsidRPr="002B65F7" w:rsidRDefault="00AA2ACB" w:rsidP="00496255">
            <w:pPr>
              <w:pStyle w:val="TableParagraph"/>
              <w:widowControl/>
              <w:suppressAutoHyphens/>
              <w:adjustRightInd w:val="0"/>
              <w:snapToGrid w:val="0"/>
              <w:ind w:left="0"/>
            </w:pPr>
            <w:r w:rsidRPr="002B65F7">
              <w:rPr>
                <w:spacing w:val="-5"/>
              </w:rPr>
              <w:t>89</w:t>
            </w:r>
          </w:p>
        </w:tc>
        <w:tc>
          <w:tcPr>
            <w:tcW w:w="763" w:type="pct"/>
          </w:tcPr>
          <w:p w14:paraId="042723A6" w14:textId="77777777" w:rsidR="00AA2ACB" w:rsidRPr="002B65F7" w:rsidRDefault="00AA2ACB" w:rsidP="00496255">
            <w:pPr>
              <w:pStyle w:val="TableParagraph"/>
              <w:widowControl/>
              <w:suppressAutoHyphens/>
              <w:adjustRightInd w:val="0"/>
              <w:snapToGrid w:val="0"/>
              <w:ind w:left="0"/>
            </w:pPr>
            <w:r w:rsidRPr="002B65F7">
              <w:rPr>
                <w:spacing w:val="-5"/>
              </w:rPr>
              <w:t>87</w:t>
            </w:r>
          </w:p>
        </w:tc>
        <w:tc>
          <w:tcPr>
            <w:tcW w:w="687" w:type="pct"/>
          </w:tcPr>
          <w:p w14:paraId="6C8F5259" w14:textId="77777777" w:rsidR="00AA2ACB" w:rsidRPr="002B65F7" w:rsidRDefault="00AA2ACB" w:rsidP="00496255">
            <w:pPr>
              <w:pStyle w:val="TableParagraph"/>
              <w:widowControl/>
              <w:suppressAutoHyphens/>
              <w:adjustRightInd w:val="0"/>
              <w:snapToGrid w:val="0"/>
              <w:ind w:left="0"/>
            </w:pPr>
            <w:r w:rsidRPr="002B65F7">
              <w:rPr>
                <w:spacing w:val="-5"/>
              </w:rPr>
              <w:t>92</w:t>
            </w:r>
          </w:p>
        </w:tc>
        <w:tc>
          <w:tcPr>
            <w:tcW w:w="773" w:type="pct"/>
          </w:tcPr>
          <w:p w14:paraId="5156FF44" w14:textId="77777777" w:rsidR="00AA2ACB" w:rsidRPr="002B65F7" w:rsidRDefault="00AA2ACB" w:rsidP="00496255">
            <w:pPr>
              <w:pStyle w:val="TableParagraph"/>
              <w:widowControl/>
              <w:suppressAutoHyphens/>
              <w:adjustRightInd w:val="0"/>
              <w:snapToGrid w:val="0"/>
              <w:ind w:left="0"/>
            </w:pPr>
            <w:r w:rsidRPr="002B65F7">
              <w:rPr>
                <w:spacing w:val="-5"/>
              </w:rPr>
              <w:t>86</w:t>
            </w:r>
          </w:p>
        </w:tc>
        <w:tc>
          <w:tcPr>
            <w:tcW w:w="735" w:type="pct"/>
          </w:tcPr>
          <w:p w14:paraId="118BB2F1" w14:textId="77777777" w:rsidR="00AA2ACB" w:rsidRPr="002B65F7" w:rsidRDefault="00AA2ACB" w:rsidP="00496255">
            <w:pPr>
              <w:pStyle w:val="TableParagraph"/>
              <w:widowControl/>
              <w:suppressAutoHyphens/>
              <w:adjustRightInd w:val="0"/>
              <w:snapToGrid w:val="0"/>
              <w:ind w:left="0"/>
            </w:pPr>
            <w:r w:rsidRPr="002B65F7">
              <w:rPr>
                <w:spacing w:val="-5"/>
              </w:rPr>
              <w:t>90</w:t>
            </w:r>
          </w:p>
        </w:tc>
      </w:tr>
      <w:tr w:rsidR="005D696C" w:rsidRPr="002B65F7" w14:paraId="59364A95" w14:textId="77777777" w:rsidTr="00D57C49">
        <w:trPr>
          <w:cantSplit/>
          <w:trHeight w:val="253"/>
        </w:trPr>
        <w:tc>
          <w:tcPr>
            <w:tcW w:w="1355" w:type="pct"/>
          </w:tcPr>
          <w:p w14:paraId="71223623" w14:textId="0DEDC8F4" w:rsidR="00AA2ACB" w:rsidRPr="002B65F7" w:rsidRDefault="00AA2ACB" w:rsidP="00496255">
            <w:pPr>
              <w:pStyle w:val="TableParagraph"/>
              <w:widowControl/>
              <w:suppressAutoHyphens/>
              <w:adjustRightInd w:val="0"/>
              <w:snapToGrid w:val="0"/>
              <w:ind w:left="0"/>
              <w:jc w:val="left"/>
            </w:pPr>
            <w:r w:rsidRPr="002B65F7">
              <w:t>Réponse</w:t>
            </w:r>
            <w:r w:rsidRPr="002B65F7">
              <w:rPr>
                <w:spacing w:val="-4"/>
              </w:rPr>
              <w:t xml:space="preserve"> </w:t>
            </w:r>
            <w:r w:rsidRPr="002B65F7">
              <w:t>PASI</w:t>
            </w:r>
            <w:r w:rsidR="002A49FA" w:rsidRPr="002B65F7">
              <w:t> </w:t>
            </w:r>
            <w:r w:rsidRPr="002B65F7">
              <w:t>75</w:t>
            </w:r>
            <w:r w:rsidRPr="002B65F7">
              <w:rPr>
                <w:spacing w:val="-2"/>
              </w:rPr>
              <w:t xml:space="preserve"> </w:t>
            </w:r>
            <w:r w:rsidRPr="002B65F7">
              <w:t>N</w:t>
            </w:r>
            <w:r w:rsidRPr="002B65F7">
              <w:rPr>
                <w:spacing w:val="-2"/>
              </w:rPr>
              <w:t xml:space="preserve"> </w:t>
            </w:r>
            <w:r w:rsidRPr="002B65F7">
              <w:rPr>
                <w:spacing w:val="-5"/>
              </w:rPr>
              <w:t>(%)</w:t>
            </w:r>
          </w:p>
        </w:tc>
        <w:tc>
          <w:tcPr>
            <w:tcW w:w="686" w:type="pct"/>
          </w:tcPr>
          <w:p w14:paraId="4883C5EA" w14:textId="77777777" w:rsidR="00AA2ACB" w:rsidRPr="002B65F7" w:rsidRDefault="00AA2ACB" w:rsidP="00496255">
            <w:pPr>
              <w:pStyle w:val="TableParagraph"/>
              <w:widowControl/>
              <w:suppressAutoHyphens/>
              <w:adjustRightInd w:val="0"/>
              <w:snapToGrid w:val="0"/>
              <w:ind w:left="0"/>
            </w:pPr>
            <w:r w:rsidRPr="002B65F7">
              <w:t>2</w:t>
            </w:r>
            <w:r w:rsidRPr="002B65F7">
              <w:rPr>
                <w:spacing w:val="-1"/>
              </w:rPr>
              <w:t xml:space="preserve"> </w:t>
            </w:r>
            <w:r w:rsidRPr="002B65F7">
              <w:rPr>
                <w:spacing w:val="-4"/>
              </w:rPr>
              <w:t>(2%)</w:t>
            </w:r>
          </w:p>
        </w:tc>
        <w:tc>
          <w:tcPr>
            <w:tcW w:w="763" w:type="pct"/>
          </w:tcPr>
          <w:p w14:paraId="024C7CC0" w14:textId="77777777" w:rsidR="00AA2ACB" w:rsidRPr="002B65F7" w:rsidRDefault="00AA2ACB" w:rsidP="00496255">
            <w:pPr>
              <w:pStyle w:val="TableParagraph"/>
              <w:widowControl/>
              <w:suppressAutoHyphens/>
              <w:adjustRightInd w:val="0"/>
              <w:snapToGrid w:val="0"/>
              <w:ind w:left="0"/>
            </w:pPr>
            <w:r w:rsidRPr="002B65F7">
              <w:t>47</w:t>
            </w:r>
            <w:r w:rsidRPr="002B65F7">
              <w:rPr>
                <w:spacing w:val="-1"/>
              </w:rPr>
              <w:t xml:space="preserve"> </w:t>
            </w:r>
            <w:r w:rsidRPr="002B65F7">
              <w:rPr>
                <w:spacing w:val="-2"/>
              </w:rPr>
              <w:t>(54%)</w:t>
            </w:r>
          </w:p>
        </w:tc>
        <w:tc>
          <w:tcPr>
            <w:tcW w:w="687" w:type="pct"/>
          </w:tcPr>
          <w:p w14:paraId="4B5A83F4" w14:textId="77777777" w:rsidR="00AA2ACB" w:rsidRPr="002B65F7" w:rsidRDefault="00AA2ACB" w:rsidP="00496255">
            <w:pPr>
              <w:pStyle w:val="TableParagraph"/>
              <w:widowControl/>
              <w:suppressAutoHyphens/>
              <w:adjustRightInd w:val="0"/>
              <w:snapToGrid w:val="0"/>
              <w:ind w:left="0"/>
            </w:pPr>
            <w:r w:rsidRPr="002B65F7">
              <w:t>63</w:t>
            </w:r>
            <w:r w:rsidRPr="002B65F7">
              <w:rPr>
                <w:spacing w:val="-1"/>
              </w:rPr>
              <w:t xml:space="preserve"> </w:t>
            </w:r>
            <w:r w:rsidRPr="002B65F7">
              <w:rPr>
                <w:spacing w:val="-2"/>
              </w:rPr>
              <w:t>(68%)</w:t>
            </w:r>
          </w:p>
        </w:tc>
        <w:tc>
          <w:tcPr>
            <w:tcW w:w="773" w:type="pct"/>
          </w:tcPr>
          <w:p w14:paraId="6A84F5F1" w14:textId="77777777" w:rsidR="00AA2ACB" w:rsidRPr="002B65F7" w:rsidRDefault="00AA2ACB" w:rsidP="00496255">
            <w:pPr>
              <w:pStyle w:val="TableParagraph"/>
              <w:widowControl/>
              <w:suppressAutoHyphens/>
              <w:adjustRightInd w:val="0"/>
              <w:snapToGrid w:val="0"/>
              <w:ind w:left="0"/>
            </w:pPr>
            <w:r w:rsidRPr="002B65F7">
              <w:t>48</w:t>
            </w:r>
            <w:r w:rsidRPr="002B65F7">
              <w:rPr>
                <w:spacing w:val="-1"/>
              </w:rPr>
              <w:t xml:space="preserve"> </w:t>
            </w:r>
            <w:r w:rsidRPr="002B65F7">
              <w:rPr>
                <w:spacing w:val="-2"/>
              </w:rPr>
              <w:t>(56%)</w:t>
            </w:r>
          </w:p>
        </w:tc>
        <w:tc>
          <w:tcPr>
            <w:tcW w:w="735" w:type="pct"/>
          </w:tcPr>
          <w:p w14:paraId="09DC0847" w14:textId="77777777" w:rsidR="00AA2ACB" w:rsidRPr="002B65F7" w:rsidRDefault="00AA2ACB" w:rsidP="00496255">
            <w:pPr>
              <w:pStyle w:val="TableParagraph"/>
              <w:widowControl/>
              <w:suppressAutoHyphens/>
              <w:adjustRightInd w:val="0"/>
              <w:snapToGrid w:val="0"/>
              <w:ind w:left="0"/>
            </w:pPr>
            <w:r w:rsidRPr="002B65F7">
              <w:t>67</w:t>
            </w:r>
            <w:r w:rsidRPr="002B65F7">
              <w:rPr>
                <w:spacing w:val="-1"/>
              </w:rPr>
              <w:t xml:space="preserve"> </w:t>
            </w:r>
            <w:r w:rsidRPr="002B65F7">
              <w:rPr>
                <w:spacing w:val="-2"/>
              </w:rPr>
              <w:t>(74%)</w:t>
            </w:r>
          </w:p>
        </w:tc>
      </w:tr>
      <w:tr w:rsidR="005D696C" w:rsidRPr="002B65F7" w14:paraId="5EA8A874" w14:textId="77777777" w:rsidTr="00D57C49">
        <w:trPr>
          <w:cantSplit/>
          <w:trHeight w:val="254"/>
        </w:trPr>
        <w:tc>
          <w:tcPr>
            <w:tcW w:w="1355" w:type="pct"/>
          </w:tcPr>
          <w:p w14:paraId="12D81837" w14:textId="77777777" w:rsidR="00AA2ACB" w:rsidRPr="002B65F7" w:rsidRDefault="00AA2ACB" w:rsidP="00496255">
            <w:pPr>
              <w:pStyle w:val="TableParagraph"/>
              <w:widowControl/>
              <w:suppressAutoHyphens/>
              <w:adjustRightInd w:val="0"/>
              <w:snapToGrid w:val="0"/>
              <w:ind w:left="0"/>
              <w:jc w:val="left"/>
              <w:rPr>
                <w:sz w:val="18"/>
              </w:rPr>
            </w:pPr>
          </w:p>
        </w:tc>
        <w:tc>
          <w:tcPr>
            <w:tcW w:w="686" w:type="pct"/>
          </w:tcPr>
          <w:p w14:paraId="0725A08B" w14:textId="77777777" w:rsidR="00AA2ACB" w:rsidRPr="002B65F7" w:rsidRDefault="00AA2ACB" w:rsidP="00496255">
            <w:pPr>
              <w:pStyle w:val="TableParagraph"/>
              <w:widowControl/>
              <w:suppressAutoHyphens/>
              <w:adjustRightInd w:val="0"/>
              <w:snapToGrid w:val="0"/>
              <w:ind w:left="0"/>
              <w:jc w:val="left"/>
              <w:rPr>
                <w:sz w:val="18"/>
              </w:rPr>
            </w:pPr>
          </w:p>
        </w:tc>
        <w:tc>
          <w:tcPr>
            <w:tcW w:w="763" w:type="pct"/>
          </w:tcPr>
          <w:p w14:paraId="498CAE91" w14:textId="77777777" w:rsidR="00AA2ACB" w:rsidRPr="002B65F7" w:rsidRDefault="00AA2ACB" w:rsidP="00496255">
            <w:pPr>
              <w:pStyle w:val="TableParagraph"/>
              <w:widowControl/>
              <w:suppressAutoHyphens/>
              <w:adjustRightInd w:val="0"/>
              <w:snapToGrid w:val="0"/>
              <w:ind w:left="0"/>
              <w:jc w:val="left"/>
              <w:rPr>
                <w:sz w:val="18"/>
              </w:rPr>
            </w:pPr>
          </w:p>
        </w:tc>
        <w:tc>
          <w:tcPr>
            <w:tcW w:w="687" w:type="pct"/>
          </w:tcPr>
          <w:p w14:paraId="3511C1C0" w14:textId="77777777" w:rsidR="00AA2ACB" w:rsidRPr="002B65F7" w:rsidRDefault="00AA2ACB" w:rsidP="00496255">
            <w:pPr>
              <w:pStyle w:val="TableParagraph"/>
              <w:widowControl/>
              <w:suppressAutoHyphens/>
              <w:adjustRightInd w:val="0"/>
              <w:snapToGrid w:val="0"/>
              <w:ind w:left="0"/>
              <w:jc w:val="left"/>
              <w:rPr>
                <w:sz w:val="18"/>
              </w:rPr>
            </w:pPr>
          </w:p>
        </w:tc>
        <w:tc>
          <w:tcPr>
            <w:tcW w:w="773" w:type="pct"/>
          </w:tcPr>
          <w:p w14:paraId="0542AAC3" w14:textId="77777777" w:rsidR="00AA2ACB" w:rsidRPr="002B65F7" w:rsidRDefault="00AA2ACB" w:rsidP="00496255">
            <w:pPr>
              <w:pStyle w:val="TableParagraph"/>
              <w:widowControl/>
              <w:suppressAutoHyphens/>
              <w:adjustRightInd w:val="0"/>
              <w:snapToGrid w:val="0"/>
              <w:ind w:left="0"/>
              <w:jc w:val="left"/>
              <w:rPr>
                <w:sz w:val="18"/>
              </w:rPr>
            </w:pPr>
          </w:p>
        </w:tc>
        <w:tc>
          <w:tcPr>
            <w:tcW w:w="735" w:type="pct"/>
          </w:tcPr>
          <w:p w14:paraId="699D9D4E" w14:textId="77777777" w:rsidR="00AA2ACB" w:rsidRPr="002B65F7" w:rsidRDefault="00AA2ACB" w:rsidP="00496255">
            <w:pPr>
              <w:pStyle w:val="TableParagraph"/>
              <w:widowControl/>
              <w:suppressAutoHyphens/>
              <w:adjustRightInd w:val="0"/>
              <w:snapToGrid w:val="0"/>
              <w:ind w:left="0"/>
              <w:jc w:val="left"/>
              <w:rPr>
                <w:sz w:val="18"/>
              </w:rPr>
            </w:pPr>
          </w:p>
        </w:tc>
      </w:tr>
      <w:tr w:rsidR="005D696C" w:rsidRPr="002B65F7" w14:paraId="22596327" w14:textId="77777777" w:rsidTr="00D57C49">
        <w:trPr>
          <w:cantSplit/>
          <w:trHeight w:val="251"/>
        </w:trPr>
        <w:tc>
          <w:tcPr>
            <w:tcW w:w="1355" w:type="pct"/>
          </w:tcPr>
          <w:p w14:paraId="0753524B" w14:textId="77777777" w:rsidR="00AA2ACB" w:rsidRPr="002B65F7" w:rsidRDefault="00AA2ACB" w:rsidP="00614401">
            <w:pPr>
              <w:pStyle w:val="TableParagraph"/>
              <w:keepNext/>
              <w:keepLines/>
              <w:widowControl/>
              <w:suppressAutoHyphens/>
              <w:adjustRightInd w:val="0"/>
              <w:snapToGrid w:val="0"/>
              <w:ind w:left="0"/>
              <w:jc w:val="left"/>
              <w:rPr>
                <w:b/>
              </w:rPr>
            </w:pPr>
            <w:r w:rsidRPr="002B65F7">
              <w:rPr>
                <w:b/>
              </w:rPr>
              <w:t>Etude</w:t>
            </w:r>
            <w:r w:rsidRPr="002B65F7">
              <w:rPr>
                <w:b/>
                <w:spacing w:val="-9"/>
              </w:rPr>
              <w:t xml:space="preserve"> </w:t>
            </w:r>
            <w:r w:rsidRPr="002B65F7">
              <w:rPr>
                <w:b/>
              </w:rPr>
              <w:t>Psoriasis </w:t>
            </w:r>
            <w:r w:rsidRPr="002B65F7">
              <w:rPr>
                <w:b/>
                <w:spacing w:val="-10"/>
              </w:rPr>
              <w:t>2</w:t>
            </w:r>
          </w:p>
        </w:tc>
        <w:tc>
          <w:tcPr>
            <w:tcW w:w="686" w:type="pct"/>
          </w:tcPr>
          <w:p w14:paraId="2288CD28" w14:textId="77777777" w:rsidR="00AA2ACB" w:rsidRPr="002B65F7" w:rsidRDefault="00AA2ACB" w:rsidP="00614401">
            <w:pPr>
              <w:pStyle w:val="TableParagraph"/>
              <w:keepNext/>
              <w:keepLines/>
              <w:widowControl/>
              <w:suppressAutoHyphens/>
              <w:adjustRightInd w:val="0"/>
              <w:snapToGrid w:val="0"/>
              <w:ind w:left="0"/>
              <w:jc w:val="left"/>
              <w:rPr>
                <w:sz w:val="18"/>
              </w:rPr>
            </w:pPr>
          </w:p>
        </w:tc>
        <w:tc>
          <w:tcPr>
            <w:tcW w:w="763" w:type="pct"/>
          </w:tcPr>
          <w:p w14:paraId="75333D10" w14:textId="77777777" w:rsidR="00AA2ACB" w:rsidRPr="002B65F7" w:rsidRDefault="00AA2ACB" w:rsidP="00A70B45">
            <w:pPr>
              <w:pStyle w:val="TableParagraph"/>
              <w:keepNext/>
              <w:widowControl/>
              <w:suppressAutoHyphens/>
              <w:adjustRightInd w:val="0"/>
              <w:snapToGrid w:val="0"/>
              <w:ind w:left="0"/>
              <w:jc w:val="left"/>
              <w:rPr>
                <w:sz w:val="18"/>
              </w:rPr>
            </w:pPr>
          </w:p>
        </w:tc>
        <w:tc>
          <w:tcPr>
            <w:tcW w:w="687" w:type="pct"/>
          </w:tcPr>
          <w:p w14:paraId="49BA7E3B" w14:textId="77777777" w:rsidR="00AA2ACB" w:rsidRPr="002B65F7" w:rsidRDefault="00AA2ACB" w:rsidP="00A70B45">
            <w:pPr>
              <w:pStyle w:val="TableParagraph"/>
              <w:keepNext/>
              <w:widowControl/>
              <w:suppressAutoHyphens/>
              <w:adjustRightInd w:val="0"/>
              <w:snapToGrid w:val="0"/>
              <w:ind w:left="0"/>
              <w:jc w:val="left"/>
              <w:rPr>
                <w:sz w:val="18"/>
              </w:rPr>
            </w:pPr>
          </w:p>
        </w:tc>
        <w:tc>
          <w:tcPr>
            <w:tcW w:w="773" w:type="pct"/>
          </w:tcPr>
          <w:p w14:paraId="12897B2C" w14:textId="77777777" w:rsidR="00AA2ACB" w:rsidRPr="002B65F7" w:rsidRDefault="00AA2ACB" w:rsidP="00A70B45">
            <w:pPr>
              <w:pStyle w:val="TableParagraph"/>
              <w:keepNext/>
              <w:widowControl/>
              <w:suppressAutoHyphens/>
              <w:adjustRightInd w:val="0"/>
              <w:snapToGrid w:val="0"/>
              <w:ind w:left="0"/>
              <w:jc w:val="left"/>
              <w:rPr>
                <w:sz w:val="18"/>
              </w:rPr>
            </w:pPr>
          </w:p>
        </w:tc>
        <w:tc>
          <w:tcPr>
            <w:tcW w:w="735" w:type="pct"/>
          </w:tcPr>
          <w:p w14:paraId="3F470360" w14:textId="77777777" w:rsidR="00AA2ACB" w:rsidRPr="002B65F7" w:rsidRDefault="00AA2ACB" w:rsidP="00A70B45">
            <w:pPr>
              <w:pStyle w:val="TableParagraph"/>
              <w:keepNext/>
              <w:widowControl/>
              <w:suppressAutoHyphens/>
              <w:adjustRightInd w:val="0"/>
              <w:snapToGrid w:val="0"/>
              <w:ind w:left="0"/>
              <w:jc w:val="left"/>
              <w:rPr>
                <w:sz w:val="18"/>
              </w:rPr>
            </w:pPr>
          </w:p>
        </w:tc>
      </w:tr>
      <w:tr w:rsidR="005D696C" w:rsidRPr="002B65F7" w14:paraId="4D36AA94" w14:textId="77777777" w:rsidTr="00D57C49">
        <w:trPr>
          <w:cantSplit/>
          <w:trHeight w:val="20"/>
        </w:trPr>
        <w:tc>
          <w:tcPr>
            <w:tcW w:w="1355" w:type="pct"/>
          </w:tcPr>
          <w:p w14:paraId="5A3D8A83" w14:textId="77777777" w:rsidR="00AA2ACB" w:rsidRPr="002B65F7" w:rsidRDefault="00AA2ACB" w:rsidP="00614401">
            <w:pPr>
              <w:pStyle w:val="TableParagraph"/>
              <w:keepNext/>
              <w:keepLines/>
              <w:widowControl/>
              <w:suppressAutoHyphens/>
              <w:adjustRightInd w:val="0"/>
              <w:snapToGrid w:val="0"/>
              <w:ind w:left="0"/>
              <w:jc w:val="left"/>
            </w:pPr>
            <w:r w:rsidRPr="002B65F7">
              <w:t>Nombre</w:t>
            </w:r>
            <w:r w:rsidRPr="002B65F7">
              <w:rPr>
                <w:spacing w:val="-14"/>
              </w:rPr>
              <w:t xml:space="preserve"> </w:t>
            </w:r>
            <w:r w:rsidRPr="002B65F7">
              <w:t>de</w:t>
            </w:r>
            <w:r w:rsidRPr="002B65F7">
              <w:rPr>
                <w:spacing w:val="-14"/>
              </w:rPr>
              <w:t xml:space="preserve"> </w:t>
            </w:r>
            <w:r w:rsidRPr="002B65F7">
              <w:t xml:space="preserve">patients </w:t>
            </w:r>
            <w:r w:rsidRPr="002B65F7">
              <w:rPr>
                <w:spacing w:val="-2"/>
              </w:rPr>
              <w:t>randomisés</w:t>
            </w:r>
          </w:p>
        </w:tc>
        <w:tc>
          <w:tcPr>
            <w:tcW w:w="686" w:type="pct"/>
          </w:tcPr>
          <w:p w14:paraId="05F7980A" w14:textId="77777777" w:rsidR="00AA2ACB" w:rsidRPr="002B65F7" w:rsidRDefault="00AA2ACB" w:rsidP="00614401">
            <w:pPr>
              <w:pStyle w:val="TableParagraph"/>
              <w:keepNext/>
              <w:keepLines/>
              <w:widowControl/>
              <w:suppressAutoHyphens/>
              <w:adjustRightInd w:val="0"/>
              <w:snapToGrid w:val="0"/>
              <w:ind w:left="0"/>
            </w:pPr>
            <w:r w:rsidRPr="002B65F7">
              <w:rPr>
                <w:spacing w:val="-5"/>
              </w:rPr>
              <w:t>410</w:t>
            </w:r>
          </w:p>
        </w:tc>
        <w:tc>
          <w:tcPr>
            <w:tcW w:w="763" w:type="pct"/>
          </w:tcPr>
          <w:p w14:paraId="06905FF3" w14:textId="77777777" w:rsidR="00AA2ACB" w:rsidRPr="002B65F7" w:rsidRDefault="00AA2ACB" w:rsidP="00496255">
            <w:pPr>
              <w:pStyle w:val="TableParagraph"/>
              <w:widowControl/>
              <w:suppressAutoHyphens/>
              <w:adjustRightInd w:val="0"/>
              <w:snapToGrid w:val="0"/>
              <w:ind w:left="0"/>
            </w:pPr>
            <w:r w:rsidRPr="002B65F7">
              <w:rPr>
                <w:spacing w:val="-5"/>
              </w:rPr>
              <w:t>409</w:t>
            </w:r>
          </w:p>
        </w:tc>
        <w:tc>
          <w:tcPr>
            <w:tcW w:w="687" w:type="pct"/>
          </w:tcPr>
          <w:p w14:paraId="6BBD961C" w14:textId="77777777" w:rsidR="00AA2ACB" w:rsidRPr="002B65F7" w:rsidRDefault="00AA2ACB" w:rsidP="00496255">
            <w:pPr>
              <w:pStyle w:val="TableParagraph"/>
              <w:widowControl/>
              <w:suppressAutoHyphens/>
              <w:adjustRightInd w:val="0"/>
              <w:snapToGrid w:val="0"/>
              <w:ind w:left="0"/>
            </w:pPr>
            <w:r w:rsidRPr="002B65F7">
              <w:rPr>
                <w:spacing w:val="-5"/>
              </w:rPr>
              <w:t>411</w:t>
            </w:r>
          </w:p>
        </w:tc>
        <w:tc>
          <w:tcPr>
            <w:tcW w:w="773" w:type="pct"/>
          </w:tcPr>
          <w:p w14:paraId="6334B026" w14:textId="77777777" w:rsidR="00AA2ACB" w:rsidRPr="002B65F7" w:rsidRDefault="00AA2ACB" w:rsidP="00496255">
            <w:pPr>
              <w:pStyle w:val="TableParagraph"/>
              <w:widowControl/>
              <w:suppressAutoHyphens/>
              <w:adjustRightInd w:val="0"/>
              <w:snapToGrid w:val="0"/>
              <w:ind w:left="0"/>
            </w:pPr>
            <w:r w:rsidRPr="002B65F7">
              <w:rPr>
                <w:spacing w:val="-5"/>
              </w:rPr>
              <w:t>397</w:t>
            </w:r>
          </w:p>
        </w:tc>
        <w:tc>
          <w:tcPr>
            <w:tcW w:w="735" w:type="pct"/>
          </w:tcPr>
          <w:p w14:paraId="775684EF" w14:textId="77777777" w:rsidR="00AA2ACB" w:rsidRPr="002B65F7" w:rsidRDefault="00AA2ACB" w:rsidP="00496255">
            <w:pPr>
              <w:pStyle w:val="TableParagraph"/>
              <w:widowControl/>
              <w:suppressAutoHyphens/>
              <w:adjustRightInd w:val="0"/>
              <w:snapToGrid w:val="0"/>
              <w:ind w:left="0"/>
            </w:pPr>
            <w:r w:rsidRPr="002B65F7">
              <w:rPr>
                <w:spacing w:val="-5"/>
              </w:rPr>
              <w:t>400</w:t>
            </w:r>
          </w:p>
        </w:tc>
      </w:tr>
      <w:tr w:rsidR="005D696C" w:rsidRPr="002B65F7" w14:paraId="3193DEB6" w14:textId="77777777" w:rsidTr="00D57C49">
        <w:trPr>
          <w:cantSplit/>
          <w:trHeight w:val="227"/>
        </w:trPr>
        <w:tc>
          <w:tcPr>
            <w:tcW w:w="1355" w:type="pct"/>
          </w:tcPr>
          <w:p w14:paraId="453ABD04" w14:textId="77777777" w:rsidR="00AA2ACB" w:rsidRPr="002B65F7" w:rsidRDefault="00AA2ACB" w:rsidP="00614401">
            <w:pPr>
              <w:pStyle w:val="TableParagraph"/>
              <w:keepNext/>
              <w:keepLines/>
              <w:widowControl/>
              <w:suppressAutoHyphens/>
              <w:adjustRightInd w:val="0"/>
              <w:snapToGrid w:val="0"/>
              <w:ind w:left="0"/>
              <w:jc w:val="left"/>
            </w:pPr>
            <w:r w:rsidRPr="002B65F7">
              <w:t>Réponse</w:t>
            </w:r>
            <w:r w:rsidRPr="002B65F7">
              <w:rPr>
                <w:spacing w:val="-3"/>
              </w:rPr>
              <w:t xml:space="preserve"> </w:t>
            </w:r>
            <w:r w:rsidRPr="002B65F7">
              <w:t>PASI</w:t>
            </w:r>
            <w:r w:rsidRPr="002B65F7">
              <w:rPr>
                <w:spacing w:val="-7"/>
              </w:rPr>
              <w:t xml:space="preserve"> </w:t>
            </w:r>
            <w:r w:rsidRPr="002B65F7">
              <w:t>50</w:t>
            </w:r>
            <w:r w:rsidRPr="002B65F7">
              <w:rPr>
                <w:spacing w:val="-3"/>
              </w:rPr>
              <w:t xml:space="preserve"> </w:t>
            </w:r>
            <w:r w:rsidRPr="002B65F7">
              <w:t>N</w:t>
            </w:r>
            <w:r w:rsidRPr="002B65F7">
              <w:rPr>
                <w:spacing w:val="-3"/>
              </w:rPr>
              <w:t xml:space="preserve"> </w:t>
            </w:r>
            <w:r w:rsidRPr="002B65F7">
              <w:rPr>
                <w:spacing w:val="-5"/>
              </w:rPr>
              <w:t>(%)</w:t>
            </w:r>
          </w:p>
        </w:tc>
        <w:tc>
          <w:tcPr>
            <w:tcW w:w="686" w:type="pct"/>
          </w:tcPr>
          <w:p w14:paraId="797226B4" w14:textId="77777777" w:rsidR="00AA2ACB" w:rsidRPr="002B65F7" w:rsidRDefault="00AA2ACB" w:rsidP="00614401">
            <w:pPr>
              <w:pStyle w:val="TableParagraph"/>
              <w:keepNext/>
              <w:keepLines/>
              <w:widowControl/>
              <w:suppressAutoHyphens/>
              <w:adjustRightInd w:val="0"/>
              <w:snapToGrid w:val="0"/>
              <w:ind w:left="0"/>
            </w:pPr>
            <w:r w:rsidRPr="002B65F7">
              <w:rPr>
                <w:spacing w:val="-5"/>
              </w:rPr>
              <w:t xml:space="preserve">41 </w:t>
            </w:r>
            <w:r w:rsidRPr="002B65F7">
              <w:rPr>
                <w:spacing w:val="-2"/>
              </w:rPr>
              <w:t>(10%)</w:t>
            </w:r>
          </w:p>
        </w:tc>
        <w:tc>
          <w:tcPr>
            <w:tcW w:w="763" w:type="pct"/>
          </w:tcPr>
          <w:p w14:paraId="2B43C8F1" w14:textId="77777777" w:rsidR="00AA2ACB" w:rsidRPr="002B65F7" w:rsidRDefault="00AA2ACB" w:rsidP="00496255">
            <w:pPr>
              <w:pStyle w:val="TableParagraph"/>
              <w:widowControl/>
              <w:suppressAutoHyphens/>
              <w:adjustRightInd w:val="0"/>
              <w:snapToGrid w:val="0"/>
              <w:ind w:left="0"/>
            </w:pPr>
            <w:r w:rsidRPr="002B65F7">
              <w:t>342</w:t>
            </w:r>
            <w:r w:rsidRPr="002B65F7">
              <w:rPr>
                <w:spacing w:val="-4"/>
              </w:rPr>
              <w:t xml:space="preserve"> </w:t>
            </w:r>
            <w:r w:rsidRPr="002B65F7">
              <w:t>(84%)</w:t>
            </w:r>
            <w:r w:rsidRPr="002B65F7">
              <w:rPr>
                <w:spacing w:val="-10"/>
                <w:vertAlign w:val="superscript"/>
              </w:rPr>
              <w:t>a</w:t>
            </w:r>
          </w:p>
        </w:tc>
        <w:tc>
          <w:tcPr>
            <w:tcW w:w="687" w:type="pct"/>
          </w:tcPr>
          <w:p w14:paraId="6280A1A3" w14:textId="77777777" w:rsidR="00AA2ACB" w:rsidRPr="002B65F7" w:rsidRDefault="00AA2ACB" w:rsidP="00496255">
            <w:pPr>
              <w:pStyle w:val="TableParagraph"/>
              <w:widowControl/>
              <w:suppressAutoHyphens/>
              <w:adjustRightInd w:val="0"/>
              <w:snapToGrid w:val="0"/>
              <w:ind w:left="0"/>
            </w:pPr>
            <w:r w:rsidRPr="002B65F7">
              <w:t>367</w:t>
            </w:r>
            <w:r w:rsidRPr="002B65F7">
              <w:rPr>
                <w:spacing w:val="-4"/>
              </w:rPr>
              <w:t xml:space="preserve"> </w:t>
            </w:r>
            <w:r w:rsidRPr="002B65F7">
              <w:t>(89%)</w:t>
            </w:r>
            <w:r w:rsidRPr="002B65F7">
              <w:rPr>
                <w:spacing w:val="-10"/>
                <w:vertAlign w:val="superscript"/>
              </w:rPr>
              <w:t>a</w:t>
            </w:r>
          </w:p>
        </w:tc>
        <w:tc>
          <w:tcPr>
            <w:tcW w:w="773" w:type="pct"/>
          </w:tcPr>
          <w:p w14:paraId="7BC5CD1E" w14:textId="77777777" w:rsidR="00AA2ACB" w:rsidRPr="002B65F7" w:rsidRDefault="00AA2ACB" w:rsidP="00496255">
            <w:pPr>
              <w:pStyle w:val="TableParagraph"/>
              <w:widowControl/>
              <w:suppressAutoHyphens/>
              <w:adjustRightInd w:val="0"/>
              <w:snapToGrid w:val="0"/>
              <w:ind w:left="0"/>
            </w:pPr>
            <w:r w:rsidRPr="002B65F7">
              <w:t>369</w:t>
            </w:r>
            <w:r w:rsidRPr="002B65F7">
              <w:rPr>
                <w:spacing w:val="-2"/>
              </w:rPr>
              <w:t xml:space="preserve"> (93%)</w:t>
            </w:r>
          </w:p>
        </w:tc>
        <w:tc>
          <w:tcPr>
            <w:tcW w:w="735" w:type="pct"/>
          </w:tcPr>
          <w:p w14:paraId="6E5AEF1B" w14:textId="77777777" w:rsidR="00AA2ACB" w:rsidRPr="002B65F7" w:rsidRDefault="00AA2ACB" w:rsidP="00496255">
            <w:pPr>
              <w:pStyle w:val="TableParagraph"/>
              <w:widowControl/>
              <w:suppressAutoHyphens/>
              <w:adjustRightInd w:val="0"/>
              <w:snapToGrid w:val="0"/>
              <w:ind w:left="0"/>
            </w:pPr>
            <w:r w:rsidRPr="002B65F7">
              <w:t>380</w:t>
            </w:r>
            <w:r w:rsidRPr="002B65F7">
              <w:rPr>
                <w:spacing w:val="-2"/>
              </w:rPr>
              <w:t xml:space="preserve"> (95%)</w:t>
            </w:r>
          </w:p>
        </w:tc>
      </w:tr>
      <w:tr w:rsidR="005D696C" w:rsidRPr="002B65F7" w14:paraId="5839721D" w14:textId="77777777" w:rsidTr="00D57C49">
        <w:trPr>
          <w:cantSplit/>
          <w:trHeight w:val="254"/>
        </w:trPr>
        <w:tc>
          <w:tcPr>
            <w:tcW w:w="1355" w:type="pct"/>
          </w:tcPr>
          <w:p w14:paraId="10D3C85B" w14:textId="77777777" w:rsidR="00AA2ACB" w:rsidRPr="002B65F7" w:rsidRDefault="00AA2ACB" w:rsidP="00614401">
            <w:pPr>
              <w:pStyle w:val="TableParagraph"/>
              <w:keepNext/>
              <w:keepLines/>
              <w:widowControl/>
              <w:suppressAutoHyphens/>
              <w:adjustRightInd w:val="0"/>
              <w:snapToGrid w:val="0"/>
              <w:ind w:left="0"/>
              <w:jc w:val="left"/>
            </w:pPr>
            <w:r w:rsidRPr="002B65F7">
              <w:t>Réponse</w:t>
            </w:r>
            <w:r w:rsidRPr="002B65F7">
              <w:rPr>
                <w:spacing w:val="-3"/>
              </w:rPr>
              <w:t xml:space="preserve"> </w:t>
            </w:r>
            <w:r w:rsidRPr="002B65F7">
              <w:t>PASI</w:t>
            </w:r>
            <w:r w:rsidRPr="002B65F7">
              <w:rPr>
                <w:spacing w:val="-7"/>
              </w:rPr>
              <w:t xml:space="preserve"> </w:t>
            </w:r>
            <w:r w:rsidRPr="002B65F7">
              <w:t>75</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27BA158A" w14:textId="77777777" w:rsidR="00AA2ACB" w:rsidRPr="002B65F7" w:rsidRDefault="00AA2ACB" w:rsidP="00614401">
            <w:pPr>
              <w:pStyle w:val="TableParagraph"/>
              <w:keepNext/>
              <w:keepLines/>
              <w:widowControl/>
              <w:suppressAutoHyphens/>
              <w:adjustRightInd w:val="0"/>
              <w:snapToGrid w:val="0"/>
              <w:ind w:left="0"/>
            </w:pPr>
            <w:r w:rsidRPr="002B65F7">
              <w:t>15</w:t>
            </w:r>
            <w:r w:rsidRPr="002B65F7">
              <w:rPr>
                <w:spacing w:val="-1"/>
              </w:rPr>
              <w:t xml:space="preserve"> </w:t>
            </w:r>
            <w:r w:rsidRPr="002B65F7">
              <w:rPr>
                <w:spacing w:val="-4"/>
              </w:rPr>
              <w:t>(4%)</w:t>
            </w:r>
          </w:p>
        </w:tc>
        <w:tc>
          <w:tcPr>
            <w:tcW w:w="763" w:type="pct"/>
          </w:tcPr>
          <w:p w14:paraId="28D917BD" w14:textId="77777777" w:rsidR="00AA2ACB" w:rsidRPr="002B65F7" w:rsidRDefault="00AA2ACB" w:rsidP="00496255">
            <w:pPr>
              <w:pStyle w:val="TableParagraph"/>
              <w:widowControl/>
              <w:suppressAutoHyphens/>
              <w:adjustRightInd w:val="0"/>
              <w:snapToGrid w:val="0"/>
              <w:ind w:left="0"/>
            </w:pPr>
            <w:r w:rsidRPr="002B65F7">
              <w:t>273</w:t>
            </w:r>
            <w:r w:rsidRPr="002B65F7">
              <w:rPr>
                <w:spacing w:val="-4"/>
              </w:rPr>
              <w:t xml:space="preserve"> </w:t>
            </w:r>
            <w:r w:rsidRPr="002B65F7">
              <w:t>(67%)</w:t>
            </w:r>
            <w:r w:rsidRPr="002B65F7">
              <w:rPr>
                <w:spacing w:val="-10"/>
                <w:vertAlign w:val="superscript"/>
              </w:rPr>
              <w:t>a</w:t>
            </w:r>
          </w:p>
        </w:tc>
        <w:tc>
          <w:tcPr>
            <w:tcW w:w="687" w:type="pct"/>
          </w:tcPr>
          <w:p w14:paraId="2B7087E0" w14:textId="77777777" w:rsidR="00AA2ACB" w:rsidRPr="002B65F7" w:rsidRDefault="00AA2ACB" w:rsidP="00496255">
            <w:pPr>
              <w:pStyle w:val="TableParagraph"/>
              <w:widowControl/>
              <w:suppressAutoHyphens/>
              <w:adjustRightInd w:val="0"/>
              <w:snapToGrid w:val="0"/>
              <w:ind w:left="0"/>
            </w:pPr>
            <w:r w:rsidRPr="002B65F7">
              <w:t>311</w:t>
            </w:r>
            <w:r w:rsidRPr="002B65F7">
              <w:rPr>
                <w:spacing w:val="-4"/>
              </w:rPr>
              <w:t xml:space="preserve"> </w:t>
            </w:r>
            <w:r w:rsidRPr="002B65F7">
              <w:t>(76%)</w:t>
            </w:r>
            <w:r w:rsidRPr="002B65F7">
              <w:rPr>
                <w:spacing w:val="-10"/>
                <w:vertAlign w:val="superscript"/>
              </w:rPr>
              <w:t>a</w:t>
            </w:r>
          </w:p>
        </w:tc>
        <w:tc>
          <w:tcPr>
            <w:tcW w:w="773" w:type="pct"/>
          </w:tcPr>
          <w:p w14:paraId="17196A87" w14:textId="77777777" w:rsidR="00AA2ACB" w:rsidRPr="002B65F7" w:rsidRDefault="00AA2ACB" w:rsidP="00496255">
            <w:pPr>
              <w:pStyle w:val="TableParagraph"/>
              <w:widowControl/>
              <w:suppressAutoHyphens/>
              <w:adjustRightInd w:val="0"/>
              <w:snapToGrid w:val="0"/>
              <w:ind w:left="0"/>
            </w:pPr>
            <w:r w:rsidRPr="002B65F7">
              <w:t>276</w:t>
            </w:r>
            <w:r w:rsidRPr="002B65F7">
              <w:rPr>
                <w:spacing w:val="-2"/>
              </w:rPr>
              <w:t xml:space="preserve"> (70%)</w:t>
            </w:r>
          </w:p>
        </w:tc>
        <w:tc>
          <w:tcPr>
            <w:tcW w:w="735" w:type="pct"/>
          </w:tcPr>
          <w:p w14:paraId="451881D4" w14:textId="77777777" w:rsidR="00AA2ACB" w:rsidRPr="002B65F7" w:rsidRDefault="00AA2ACB" w:rsidP="00496255">
            <w:pPr>
              <w:pStyle w:val="TableParagraph"/>
              <w:widowControl/>
              <w:suppressAutoHyphens/>
              <w:adjustRightInd w:val="0"/>
              <w:snapToGrid w:val="0"/>
              <w:ind w:left="0"/>
            </w:pPr>
            <w:r w:rsidRPr="002B65F7">
              <w:t>314</w:t>
            </w:r>
            <w:r w:rsidRPr="002B65F7">
              <w:rPr>
                <w:spacing w:val="-2"/>
              </w:rPr>
              <w:t xml:space="preserve"> (79%)</w:t>
            </w:r>
          </w:p>
        </w:tc>
      </w:tr>
      <w:tr w:rsidR="005D696C" w:rsidRPr="002B65F7" w14:paraId="366A1B5E" w14:textId="77777777" w:rsidTr="00D57C49">
        <w:trPr>
          <w:cantSplit/>
          <w:trHeight w:val="251"/>
        </w:trPr>
        <w:tc>
          <w:tcPr>
            <w:tcW w:w="1355" w:type="pct"/>
          </w:tcPr>
          <w:p w14:paraId="2EDBA30B" w14:textId="77777777" w:rsidR="00AA2ACB" w:rsidRPr="002B65F7" w:rsidRDefault="00AA2ACB" w:rsidP="00496255">
            <w:pPr>
              <w:pStyle w:val="TableParagraph"/>
              <w:widowControl/>
              <w:suppressAutoHyphens/>
              <w:adjustRightInd w:val="0"/>
              <w:snapToGrid w:val="0"/>
              <w:ind w:left="0"/>
              <w:jc w:val="left"/>
            </w:pPr>
            <w:r w:rsidRPr="002B65F7">
              <w:t>Réponse</w:t>
            </w:r>
            <w:r w:rsidRPr="002B65F7">
              <w:rPr>
                <w:spacing w:val="-3"/>
              </w:rPr>
              <w:t xml:space="preserve"> </w:t>
            </w:r>
            <w:r w:rsidRPr="002B65F7">
              <w:t>PASI</w:t>
            </w:r>
            <w:r w:rsidRPr="002B65F7">
              <w:rPr>
                <w:spacing w:val="-7"/>
              </w:rPr>
              <w:t xml:space="preserve"> </w:t>
            </w:r>
            <w:r w:rsidRPr="002B65F7">
              <w:t>90</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3B0AB50A" w14:textId="77777777" w:rsidR="00AA2ACB" w:rsidRPr="002B65F7" w:rsidRDefault="00AA2ACB" w:rsidP="00496255">
            <w:pPr>
              <w:pStyle w:val="TableParagraph"/>
              <w:widowControl/>
              <w:suppressAutoHyphens/>
              <w:adjustRightInd w:val="0"/>
              <w:snapToGrid w:val="0"/>
              <w:ind w:left="0"/>
            </w:pPr>
            <w:r w:rsidRPr="002B65F7">
              <w:t>3</w:t>
            </w:r>
            <w:r w:rsidRPr="002B65F7">
              <w:rPr>
                <w:spacing w:val="-1"/>
              </w:rPr>
              <w:t xml:space="preserve"> </w:t>
            </w:r>
            <w:r w:rsidRPr="002B65F7">
              <w:rPr>
                <w:spacing w:val="-4"/>
              </w:rPr>
              <w:t>(1%)</w:t>
            </w:r>
          </w:p>
        </w:tc>
        <w:tc>
          <w:tcPr>
            <w:tcW w:w="763" w:type="pct"/>
          </w:tcPr>
          <w:p w14:paraId="24D00485" w14:textId="77777777" w:rsidR="00AA2ACB" w:rsidRPr="002B65F7" w:rsidRDefault="00AA2ACB" w:rsidP="00496255">
            <w:pPr>
              <w:pStyle w:val="TableParagraph"/>
              <w:widowControl/>
              <w:suppressAutoHyphens/>
              <w:adjustRightInd w:val="0"/>
              <w:snapToGrid w:val="0"/>
              <w:ind w:left="0"/>
            </w:pPr>
            <w:r w:rsidRPr="002B65F7">
              <w:t>173</w:t>
            </w:r>
            <w:r w:rsidRPr="002B65F7">
              <w:rPr>
                <w:spacing w:val="-4"/>
              </w:rPr>
              <w:t xml:space="preserve"> </w:t>
            </w:r>
            <w:r w:rsidRPr="002B65F7">
              <w:t>(42%)</w:t>
            </w:r>
            <w:r w:rsidRPr="002B65F7">
              <w:rPr>
                <w:spacing w:val="-10"/>
                <w:vertAlign w:val="superscript"/>
              </w:rPr>
              <w:t>a</w:t>
            </w:r>
          </w:p>
        </w:tc>
        <w:tc>
          <w:tcPr>
            <w:tcW w:w="687" w:type="pct"/>
          </w:tcPr>
          <w:p w14:paraId="5B4A2B85" w14:textId="77777777" w:rsidR="00AA2ACB" w:rsidRPr="002B65F7" w:rsidRDefault="00AA2ACB" w:rsidP="00496255">
            <w:pPr>
              <w:pStyle w:val="TableParagraph"/>
              <w:widowControl/>
              <w:suppressAutoHyphens/>
              <w:adjustRightInd w:val="0"/>
              <w:snapToGrid w:val="0"/>
              <w:ind w:left="0"/>
            </w:pPr>
            <w:r w:rsidRPr="002B65F7">
              <w:t>209</w:t>
            </w:r>
            <w:r w:rsidRPr="002B65F7">
              <w:rPr>
                <w:spacing w:val="-4"/>
              </w:rPr>
              <w:t xml:space="preserve"> </w:t>
            </w:r>
            <w:r w:rsidRPr="002B65F7">
              <w:t>(51%)</w:t>
            </w:r>
            <w:r w:rsidRPr="002B65F7">
              <w:rPr>
                <w:spacing w:val="-10"/>
                <w:vertAlign w:val="superscript"/>
              </w:rPr>
              <w:t>a</w:t>
            </w:r>
          </w:p>
        </w:tc>
        <w:tc>
          <w:tcPr>
            <w:tcW w:w="773" w:type="pct"/>
          </w:tcPr>
          <w:p w14:paraId="477478EA" w14:textId="77777777" w:rsidR="00AA2ACB" w:rsidRPr="002B65F7" w:rsidRDefault="00AA2ACB" w:rsidP="00496255">
            <w:pPr>
              <w:pStyle w:val="TableParagraph"/>
              <w:widowControl/>
              <w:suppressAutoHyphens/>
              <w:adjustRightInd w:val="0"/>
              <w:snapToGrid w:val="0"/>
              <w:ind w:left="0"/>
            </w:pPr>
            <w:r w:rsidRPr="002B65F7">
              <w:t>178</w:t>
            </w:r>
            <w:r w:rsidRPr="002B65F7">
              <w:rPr>
                <w:spacing w:val="-2"/>
              </w:rPr>
              <w:t xml:space="preserve"> (45%)</w:t>
            </w:r>
          </w:p>
        </w:tc>
        <w:tc>
          <w:tcPr>
            <w:tcW w:w="735" w:type="pct"/>
          </w:tcPr>
          <w:p w14:paraId="5A4F7C8D" w14:textId="77777777" w:rsidR="00AA2ACB" w:rsidRPr="002B65F7" w:rsidRDefault="00AA2ACB" w:rsidP="00496255">
            <w:pPr>
              <w:pStyle w:val="TableParagraph"/>
              <w:widowControl/>
              <w:suppressAutoHyphens/>
              <w:adjustRightInd w:val="0"/>
              <w:snapToGrid w:val="0"/>
              <w:ind w:left="0"/>
            </w:pPr>
            <w:r w:rsidRPr="002B65F7">
              <w:t>217</w:t>
            </w:r>
            <w:r w:rsidRPr="002B65F7">
              <w:rPr>
                <w:spacing w:val="-2"/>
              </w:rPr>
              <w:t xml:space="preserve"> (54%)</w:t>
            </w:r>
          </w:p>
        </w:tc>
      </w:tr>
      <w:tr w:rsidR="005D696C" w:rsidRPr="002B65F7" w14:paraId="1668BFE2" w14:textId="77777777" w:rsidTr="00D57C49">
        <w:trPr>
          <w:cantSplit/>
          <w:trHeight w:val="251"/>
        </w:trPr>
        <w:tc>
          <w:tcPr>
            <w:tcW w:w="1355" w:type="pct"/>
          </w:tcPr>
          <w:p w14:paraId="1FA8BF70" w14:textId="77777777" w:rsidR="00AA2ACB" w:rsidRPr="002B65F7" w:rsidRDefault="00AA2ACB" w:rsidP="00496255">
            <w:pPr>
              <w:pStyle w:val="TableParagraph"/>
              <w:widowControl/>
              <w:suppressAutoHyphens/>
              <w:adjustRightInd w:val="0"/>
              <w:snapToGrid w:val="0"/>
              <w:ind w:left="0"/>
              <w:jc w:val="left"/>
              <w:rPr>
                <w:lang w:val="pt-PT"/>
              </w:rPr>
            </w:pPr>
            <w:r w:rsidRPr="002B65F7">
              <w:rPr>
                <w:lang w:val="pt-PT"/>
              </w:rPr>
              <w:lastRenderedPageBreak/>
              <w:t>PGA</w:t>
            </w:r>
            <w:r w:rsidRPr="002B65F7">
              <w:rPr>
                <w:vertAlign w:val="superscript"/>
                <w:lang w:val="pt-PT"/>
              </w:rPr>
              <w:t>b</w:t>
            </w:r>
            <w:r w:rsidRPr="002B65F7">
              <w:rPr>
                <w:spacing w:val="-11"/>
                <w:lang w:val="pt-PT"/>
              </w:rPr>
              <w:t xml:space="preserve"> </w:t>
            </w:r>
            <w:r w:rsidRPr="002B65F7">
              <w:rPr>
                <w:lang w:val="pt-PT"/>
              </w:rPr>
              <w:t>blanchi</w:t>
            </w:r>
            <w:r w:rsidRPr="002B65F7">
              <w:rPr>
                <w:spacing w:val="-12"/>
                <w:lang w:val="pt-PT"/>
              </w:rPr>
              <w:t xml:space="preserve"> </w:t>
            </w:r>
            <w:r w:rsidRPr="002B65F7">
              <w:rPr>
                <w:lang w:val="pt-PT"/>
              </w:rPr>
              <w:t>ou</w:t>
            </w:r>
            <w:r w:rsidRPr="002B65F7">
              <w:rPr>
                <w:spacing w:val="-12"/>
                <w:lang w:val="pt-PT"/>
              </w:rPr>
              <w:t xml:space="preserve"> </w:t>
            </w:r>
            <w:r w:rsidRPr="002B65F7">
              <w:rPr>
                <w:lang w:val="pt-PT"/>
              </w:rPr>
              <w:t>minimal N (%)</w:t>
            </w:r>
          </w:p>
        </w:tc>
        <w:tc>
          <w:tcPr>
            <w:tcW w:w="686" w:type="pct"/>
          </w:tcPr>
          <w:p w14:paraId="27C500CF" w14:textId="77777777" w:rsidR="00AA2ACB" w:rsidRPr="002B65F7" w:rsidRDefault="00AA2ACB" w:rsidP="00496255">
            <w:pPr>
              <w:pStyle w:val="TableParagraph"/>
              <w:widowControl/>
              <w:suppressAutoHyphens/>
              <w:adjustRightInd w:val="0"/>
              <w:snapToGrid w:val="0"/>
              <w:ind w:left="0"/>
            </w:pPr>
            <w:r w:rsidRPr="002B65F7">
              <w:t>18</w:t>
            </w:r>
            <w:r w:rsidRPr="002B65F7">
              <w:rPr>
                <w:spacing w:val="-1"/>
              </w:rPr>
              <w:t xml:space="preserve"> </w:t>
            </w:r>
            <w:r w:rsidRPr="002B65F7">
              <w:rPr>
                <w:spacing w:val="-4"/>
              </w:rPr>
              <w:t>(4%)</w:t>
            </w:r>
          </w:p>
        </w:tc>
        <w:tc>
          <w:tcPr>
            <w:tcW w:w="763" w:type="pct"/>
          </w:tcPr>
          <w:p w14:paraId="4BBCC5DD" w14:textId="77777777" w:rsidR="00AA2ACB" w:rsidRPr="002B65F7" w:rsidRDefault="00AA2ACB" w:rsidP="00496255">
            <w:pPr>
              <w:pStyle w:val="TableParagraph"/>
              <w:widowControl/>
              <w:suppressAutoHyphens/>
              <w:adjustRightInd w:val="0"/>
              <w:snapToGrid w:val="0"/>
              <w:ind w:left="0"/>
            </w:pPr>
            <w:r w:rsidRPr="002B65F7">
              <w:t>277</w:t>
            </w:r>
            <w:r w:rsidRPr="002B65F7">
              <w:rPr>
                <w:spacing w:val="-4"/>
              </w:rPr>
              <w:t xml:space="preserve"> </w:t>
            </w:r>
            <w:r w:rsidRPr="002B65F7">
              <w:t>(68%)</w:t>
            </w:r>
            <w:r w:rsidRPr="002B65F7">
              <w:rPr>
                <w:spacing w:val="-10"/>
                <w:vertAlign w:val="superscript"/>
              </w:rPr>
              <w:t>a</w:t>
            </w:r>
          </w:p>
        </w:tc>
        <w:tc>
          <w:tcPr>
            <w:tcW w:w="687" w:type="pct"/>
          </w:tcPr>
          <w:p w14:paraId="23FF7FC3" w14:textId="77777777" w:rsidR="00AA2ACB" w:rsidRPr="002B65F7" w:rsidRDefault="00AA2ACB" w:rsidP="00496255">
            <w:pPr>
              <w:pStyle w:val="TableParagraph"/>
              <w:widowControl/>
              <w:suppressAutoHyphens/>
              <w:adjustRightInd w:val="0"/>
              <w:snapToGrid w:val="0"/>
              <w:ind w:left="0"/>
            </w:pPr>
            <w:r w:rsidRPr="002B65F7">
              <w:t>300</w:t>
            </w:r>
            <w:r w:rsidRPr="002B65F7">
              <w:rPr>
                <w:spacing w:val="-4"/>
              </w:rPr>
              <w:t xml:space="preserve"> </w:t>
            </w:r>
            <w:r w:rsidRPr="002B65F7">
              <w:t>(73%)</w:t>
            </w:r>
            <w:r w:rsidRPr="002B65F7">
              <w:rPr>
                <w:spacing w:val="-10"/>
                <w:vertAlign w:val="superscript"/>
              </w:rPr>
              <w:t>a</w:t>
            </w:r>
          </w:p>
        </w:tc>
        <w:tc>
          <w:tcPr>
            <w:tcW w:w="773" w:type="pct"/>
          </w:tcPr>
          <w:p w14:paraId="1BD51277" w14:textId="77777777" w:rsidR="00AA2ACB" w:rsidRPr="002B65F7" w:rsidRDefault="00AA2ACB" w:rsidP="00496255">
            <w:pPr>
              <w:pStyle w:val="TableParagraph"/>
              <w:widowControl/>
              <w:suppressAutoHyphens/>
              <w:adjustRightInd w:val="0"/>
              <w:snapToGrid w:val="0"/>
              <w:ind w:left="0"/>
            </w:pPr>
            <w:r w:rsidRPr="002B65F7">
              <w:t>241</w:t>
            </w:r>
            <w:r w:rsidRPr="002B65F7">
              <w:rPr>
                <w:spacing w:val="-2"/>
              </w:rPr>
              <w:t xml:space="preserve"> (61%)</w:t>
            </w:r>
          </w:p>
        </w:tc>
        <w:tc>
          <w:tcPr>
            <w:tcW w:w="735" w:type="pct"/>
          </w:tcPr>
          <w:p w14:paraId="583222AA" w14:textId="77777777" w:rsidR="00AA2ACB" w:rsidRPr="002B65F7" w:rsidRDefault="00AA2ACB" w:rsidP="00496255">
            <w:pPr>
              <w:pStyle w:val="TableParagraph"/>
              <w:widowControl/>
              <w:suppressAutoHyphens/>
              <w:adjustRightInd w:val="0"/>
              <w:snapToGrid w:val="0"/>
              <w:ind w:left="0"/>
            </w:pPr>
            <w:r w:rsidRPr="002B65F7">
              <w:t>279</w:t>
            </w:r>
            <w:r w:rsidRPr="002B65F7">
              <w:rPr>
                <w:spacing w:val="-2"/>
              </w:rPr>
              <w:t xml:space="preserve"> (70%)</w:t>
            </w:r>
          </w:p>
        </w:tc>
      </w:tr>
      <w:tr w:rsidR="005D696C" w:rsidRPr="002B65F7" w14:paraId="44CFDD16" w14:textId="77777777" w:rsidTr="00D57C49">
        <w:trPr>
          <w:cantSplit/>
          <w:trHeight w:val="251"/>
        </w:trPr>
        <w:tc>
          <w:tcPr>
            <w:tcW w:w="1355" w:type="pct"/>
          </w:tcPr>
          <w:p w14:paraId="4B95F8B3" w14:textId="77777777" w:rsidR="00AA2ACB" w:rsidRPr="002B65F7" w:rsidRDefault="00AA2ACB" w:rsidP="00496255">
            <w:pPr>
              <w:pStyle w:val="TableParagraph"/>
              <w:widowControl/>
              <w:suppressAutoHyphens/>
              <w:adjustRightInd w:val="0"/>
              <w:snapToGrid w:val="0"/>
              <w:ind w:left="0"/>
              <w:jc w:val="left"/>
            </w:pPr>
            <w:r w:rsidRPr="002B65F7">
              <w:t>Nombre</w:t>
            </w:r>
            <w:r w:rsidRPr="002B65F7">
              <w:rPr>
                <w:spacing w:val="-6"/>
              </w:rPr>
              <w:t xml:space="preserve"> </w:t>
            </w:r>
            <w:r w:rsidRPr="002B65F7">
              <w:t>de</w:t>
            </w:r>
            <w:r w:rsidRPr="002B65F7">
              <w:rPr>
                <w:spacing w:val="-4"/>
              </w:rPr>
              <w:t xml:space="preserve"> </w:t>
            </w:r>
            <w:r w:rsidRPr="002B65F7">
              <w:t>patients</w:t>
            </w:r>
            <w:r w:rsidRPr="002B65F7">
              <w:rPr>
                <w:spacing w:val="-5"/>
              </w:rPr>
              <w:t> </w:t>
            </w:r>
            <w:r w:rsidRPr="002B65F7">
              <w:t>≤</w:t>
            </w:r>
            <w:r w:rsidRPr="002B65F7">
              <w:rPr>
                <w:spacing w:val="-2"/>
              </w:rPr>
              <w:t> </w:t>
            </w:r>
            <w:r w:rsidRPr="002B65F7">
              <w:t>100</w:t>
            </w:r>
            <w:r w:rsidRPr="002B65F7">
              <w:rPr>
                <w:spacing w:val="-5"/>
              </w:rPr>
              <w:t> kg</w:t>
            </w:r>
          </w:p>
        </w:tc>
        <w:tc>
          <w:tcPr>
            <w:tcW w:w="686" w:type="pct"/>
          </w:tcPr>
          <w:p w14:paraId="5372BC53" w14:textId="77777777" w:rsidR="00AA2ACB" w:rsidRPr="002B65F7" w:rsidRDefault="00AA2ACB" w:rsidP="00496255">
            <w:pPr>
              <w:pStyle w:val="TableParagraph"/>
              <w:widowControl/>
              <w:suppressAutoHyphens/>
              <w:adjustRightInd w:val="0"/>
              <w:snapToGrid w:val="0"/>
              <w:ind w:left="0"/>
            </w:pPr>
            <w:r w:rsidRPr="002B65F7">
              <w:rPr>
                <w:spacing w:val="-5"/>
              </w:rPr>
              <w:t>290</w:t>
            </w:r>
          </w:p>
        </w:tc>
        <w:tc>
          <w:tcPr>
            <w:tcW w:w="763" w:type="pct"/>
          </w:tcPr>
          <w:p w14:paraId="73AF9910" w14:textId="77777777" w:rsidR="00AA2ACB" w:rsidRPr="002B65F7" w:rsidRDefault="00AA2ACB" w:rsidP="00496255">
            <w:pPr>
              <w:pStyle w:val="TableParagraph"/>
              <w:widowControl/>
              <w:suppressAutoHyphens/>
              <w:adjustRightInd w:val="0"/>
              <w:snapToGrid w:val="0"/>
              <w:ind w:left="0"/>
            </w:pPr>
            <w:r w:rsidRPr="002B65F7">
              <w:rPr>
                <w:spacing w:val="-5"/>
              </w:rPr>
              <w:t>297</w:t>
            </w:r>
          </w:p>
        </w:tc>
        <w:tc>
          <w:tcPr>
            <w:tcW w:w="687" w:type="pct"/>
          </w:tcPr>
          <w:p w14:paraId="328FDDA5" w14:textId="77777777" w:rsidR="00AA2ACB" w:rsidRPr="002B65F7" w:rsidRDefault="00AA2ACB" w:rsidP="00496255">
            <w:pPr>
              <w:pStyle w:val="TableParagraph"/>
              <w:widowControl/>
              <w:suppressAutoHyphens/>
              <w:adjustRightInd w:val="0"/>
              <w:snapToGrid w:val="0"/>
              <w:ind w:left="0"/>
            </w:pPr>
            <w:r w:rsidRPr="002B65F7">
              <w:rPr>
                <w:spacing w:val="-5"/>
              </w:rPr>
              <w:t>289</w:t>
            </w:r>
          </w:p>
        </w:tc>
        <w:tc>
          <w:tcPr>
            <w:tcW w:w="773" w:type="pct"/>
          </w:tcPr>
          <w:p w14:paraId="5436CCE5" w14:textId="77777777" w:rsidR="00AA2ACB" w:rsidRPr="002B65F7" w:rsidRDefault="00AA2ACB" w:rsidP="00496255">
            <w:pPr>
              <w:pStyle w:val="TableParagraph"/>
              <w:widowControl/>
              <w:suppressAutoHyphens/>
              <w:adjustRightInd w:val="0"/>
              <w:snapToGrid w:val="0"/>
              <w:ind w:left="0"/>
            </w:pPr>
            <w:r w:rsidRPr="002B65F7">
              <w:rPr>
                <w:spacing w:val="-5"/>
              </w:rPr>
              <w:t>287</w:t>
            </w:r>
          </w:p>
        </w:tc>
        <w:tc>
          <w:tcPr>
            <w:tcW w:w="735" w:type="pct"/>
          </w:tcPr>
          <w:p w14:paraId="555F51BF" w14:textId="77777777" w:rsidR="00AA2ACB" w:rsidRPr="002B65F7" w:rsidRDefault="00AA2ACB" w:rsidP="00496255">
            <w:pPr>
              <w:pStyle w:val="TableParagraph"/>
              <w:widowControl/>
              <w:suppressAutoHyphens/>
              <w:adjustRightInd w:val="0"/>
              <w:snapToGrid w:val="0"/>
              <w:ind w:left="0"/>
            </w:pPr>
            <w:r w:rsidRPr="002B65F7">
              <w:rPr>
                <w:spacing w:val="-5"/>
              </w:rPr>
              <w:t>280</w:t>
            </w:r>
          </w:p>
        </w:tc>
      </w:tr>
      <w:tr w:rsidR="005D696C" w:rsidRPr="002B65F7" w14:paraId="50EBA106" w14:textId="77777777" w:rsidTr="00D57C49">
        <w:trPr>
          <w:cantSplit/>
          <w:trHeight w:val="251"/>
        </w:trPr>
        <w:tc>
          <w:tcPr>
            <w:tcW w:w="1355" w:type="pct"/>
          </w:tcPr>
          <w:p w14:paraId="75616084" w14:textId="028E13E0" w:rsidR="00AA2ACB" w:rsidRPr="002B65F7" w:rsidRDefault="00AA2ACB" w:rsidP="00496255">
            <w:pPr>
              <w:pStyle w:val="TableParagraph"/>
              <w:widowControl/>
              <w:suppressAutoHyphens/>
              <w:adjustRightInd w:val="0"/>
              <w:snapToGrid w:val="0"/>
              <w:ind w:left="0"/>
              <w:jc w:val="left"/>
            </w:pPr>
            <w:r w:rsidRPr="002B65F7">
              <w:t>Réponse</w:t>
            </w:r>
            <w:r w:rsidRPr="002B65F7">
              <w:rPr>
                <w:spacing w:val="-3"/>
              </w:rPr>
              <w:t xml:space="preserve"> </w:t>
            </w:r>
            <w:r w:rsidRPr="002B65F7">
              <w:t>PASI</w:t>
            </w:r>
            <w:r w:rsidR="002A49FA" w:rsidRPr="002B65F7">
              <w:t> </w:t>
            </w:r>
            <w:r w:rsidRPr="002B65F7">
              <w:t>75</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33C0ABC1" w14:textId="77777777" w:rsidR="00AA2ACB" w:rsidRPr="002B65F7" w:rsidRDefault="00AA2ACB" w:rsidP="00496255">
            <w:pPr>
              <w:pStyle w:val="TableParagraph"/>
              <w:widowControl/>
              <w:suppressAutoHyphens/>
              <w:adjustRightInd w:val="0"/>
              <w:snapToGrid w:val="0"/>
              <w:ind w:left="0"/>
            </w:pPr>
            <w:r w:rsidRPr="002B65F7">
              <w:t>12</w:t>
            </w:r>
            <w:r w:rsidRPr="002B65F7">
              <w:rPr>
                <w:spacing w:val="-1"/>
              </w:rPr>
              <w:t xml:space="preserve"> </w:t>
            </w:r>
            <w:r w:rsidRPr="002B65F7">
              <w:rPr>
                <w:spacing w:val="-4"/>
              </w:rPr>
              <w:t>(4%)</w:t>
            </w:r>
          </w:p>
        </w:tc>
        <w:tc>
          <w:tcPr>
            <w:tcW w:w="763" w:type="pct"/>
          </w:tcPr>
          <w:p w14:paraId="0189D213" w14:textId="77777777" w:rsidR="00AA2ACB" w:rsidRPr="002B65F7" w:rsidRDefault="00AA2ACB" w:rsidP="00496255">
            <w:pPr>
              <w:pStyle w:val="TableParagraph"/>
              <w:widowControl/>
              <w:suppressAutoHyphens/>
              <w:adjustRightInd w:val="0"/>
              <w:snapToGrid w:val="0"/>
              <w:ind w:left="0"/>
            </w:pPr>
            <w:r w:rsidRPr="002B65F7">
              <w:t>218</w:t>
            </w:r>
            <w:r w:rsidRPr="002B65F7">
              <w:rPr>
                <w:spacing w:val="-2"/>
              </w:rPr>
              <w:t xml:space="preserve"> (73%)</w:t>
            </w:r>
          </w:p>
        </w:tc>
        <w:tc>
          <w:tcPr>
            <w:tcW w:w="687" w:type="pct"/>
          </w:tcPr>
          <w:p w14:paraId="1F4CD6E8" w14:textId="77777777" w:rsidR="00AA2ACB" w:rsidRPr="002B65F7" w:rsidRDefault="00AA2ACB" w:rsidP="00496255">
            <w:pPr>
              <w:pStyle w:val="TableParagraph"/>
              <w:widowControl/>
              <w:suppressAutoHyphens/>
              <w:adjustRightInd w:val="0"/>
              <w:snapToGrid w:val="0"/>
              <w:ind w:left="0"/>
            </w:pPr>
            <w:r w:rsidRPr="002B65F7">
              <w:t>225</w:t>
            </w:r>
            <w:r w:rsidRPr="002B65F7">
              <w:rPr>
                <w:spacing w:val="-2"/>
              </w:rPr>
              <w:t xml:space="preserve"> (78%)</w:t>
            </w:r>
          </w:p>
        </w:tc>
        <w:tc>
          <w:tcPr>
            <w:tcW w:w="773" w:type="pct"/>
          </w:tcPr>
          <w:p w14:paraId="61DD3801" w14:textId="77777777" w:rsidR="00AA2ACB" w:rsidRPr="002B65F7" w:rsidRDefault="00AA2ACB" w:rsidP="00496255">
            <w:pPr>
              <w:pStyle w:val="TableParagraph"/>
              <w:widowControl/>
              <w:suppressAutoHyphens/>
              <w:adjustRightInd w:val="0"/>
              <w:snapToGrid w:val="0"/>
              <w:ind w:left="0"/>
            </w:pPr>
            <w:r w:rsidRPr="002B65F7">
              <w:t>217</w:t>
            </w:r>
            <w:r w:rsidRPr="002B65F7">
              <w:rPr>
                <w:spacing w:val="-2"/>
              </w:rPr>
              <w:t xml:space="preserve"> (76%)</w:t>
            </w:r>
          </w:p>
        </w:tc>
        <w:tc>
          <w:tcPr>
            <w:tcW w:w="735" w:type="pct"/>
          </w:tcPr>
          <w:p w14:paraId="7EBA6CC4" w14:textId="77777777" w:rsidR="00AA2ACB" w:rsidRPr="002B65F7" w:rsidRDefault="00AA2ACB" w:rsidP="00496255">
            <w:pPr>
              <w:pStyle w:val="TableParagraph"/>
              <w:widowControl/>
              <w:suppressAutoHyphens/>
              <w:adjustRightInd w:val="0"/>
              <w:snapToGrid w:val="0"/>
              <w:ind w:left="0"/>
            </w:pPr>
            <w:r w:rsidRPr="002B65F7">
              <w:t>226</w:t>
            </w:r>
            <w:r w:rsidRPr="002B65F7">
              <w:rPr>
                <w:spacing w:val="-2"/>
              </w:rPr>
              <w:t xml:space="preserve"> (81%)</w:t>
            </w:r>
          </w:p>
        </w:tc>
      </w:tr>
      <w:tr w:rsidR="005D696C" w:rsidRPr="002B65F7" w14:paraId="0F3BDD38" w14:textId="77777777" w:rsidTr="00D57C49">
        <w:trPr>
          <w:cantSplit/>
          <w:trHeight w:val="251"/>
        </w:trPr>
        <w:tc>
          <w:tcPr>
            <w:tcW w:w="1355" w:type="pct"/>
          </w:tcPr>
          <w:p w14:paraId="7A8D4CE6" w14:textId="77777777" w:rsidR="00AA2ACB" w:rsidRPr="002B65F7" w:rsidRDefault="00AA2ACB" w:rsidP="00496255">
            <w:pPr>
              <w:pStyle w:val="TableParagraph"/>
              <w:widowControl/>
              <w:suppressAutoHyphens/>
              <w:adjustRightInd w:val="0"/>
              <w:snapToGrid w:val="0"/>
              <w:ind w:left="0"/>
              <w:jc w:val="left"/>
            </w:pPr>
            <w:r w:rsidRPr="002B65F7">
              <w:t>Nombre</w:t>
            </w:r>
            <w:r w:rsidRPr="002B65F7">
              <w:rPr>
                <w:spacing w:val="-4"/>
              </w:rPr>
              <w:t xml:space="preserve"> </w:t>
            </w:r>
            <w:r w:rsidRPr="002B65F7">
              <w:t>de</w:t>
            </w:r>
            <w:r w:rsidRPr="002B65F7">
              <w:rPr>
                <w:spacing w:val="-4"/>
              </w:rPr>
              <w:t xml:space="preserve"> </w:t>
            </w:r>
            <w:r w:rsidRPr="002B65F7">
              <w:t>patients</w:t>
            </w:r>
            <w:r w:rsidRPr="002B65F7">
              <w:rPr>
                <w:spacing w:val="-3"/>
              </w:rPr>
              <w:t> </w:t>
            </w:r>
            <w:r w:rsidRPr="002B65F7">
              <w:t>&gt; 100</w:t>
            </w:r>
            <w:r w:rsidRPr="002B65F7">
              <w:rPr>
                <w:spacing w:val="-2"/>
              </w:rPr>
              <w:t> </w:t>
            </w:r>
            <w:r w:rsidRPr="002B65F7">
              <w:rPr>
                <w:spacing w:val="-5"/>
              </w:rPr>
              <w:t>kg</w:t>
            </w:r>
          </w:p>
        </w:tc>
        <w:tc>
          <w:tcPr>
            <w:tcW w:w="686" w:type="pct"/>
          </w:tcPr>
          <w:p w14:paraId="19CC1F13" w14:textId="77777777" w:rsidR="00AA2ACB" w:rsidRPr="002B65F7" w:rsidRDefault="00AA2ACB" w:rsidP="00496255">
            <w:pPr>
              <w:pStyle w:val="TableParagraph"/>
              <w:widowControl/>
              <w:suppressAutoHyphens/>
              <w:adjustRightInd w:val="0"/>
              <w:snapToGrid w:val="0"/>
              <w:ind w:left="0"/>
            </w:pPr>
            <w:r w:rsidRPr="002B65F7">
              <w:rPr>
                <w:spacing w:val="-5"/>
              </w:rPr>
              <w:t>120</w:t>
            </w:r>
          </w:p>
        </w:tc>
        <w:tc>
          <w:tcPr>
            <w:tcW w:w="763" w:type="pct"/>
          </w:tcPr>
          <w:p w14:paraId="46D0D7C5" w14:textId="77777777" w:rsidR="00AA2ACB" w:rsidRPr="002B65F7" w:rsidRDefault="00AA2ACB" w:rsidP="00496255">
            <w:pPr>
              <w:pStyle w:val="TableParagraph"/>
              <w:widowControl/>
              <w:suppressAutoHyphens/>
              <w:adjustRightInd w:val="0"/>
              <w:snapToGrid w:val="0"/>
              <w:ind w:left="0"/>
            </w:pPr>
            <w:r w:rsidRPr="002B65F7">
              <w:rPr>
                <w:spacing w:val="-5"/>
              </w:rPr>
              <w:t>112</w:t>
            </w:r>
          </w:p>
        </w:tc>
        <w:tc>
          <w:tcPr>
            <w:tcW w:w="687" w:type="pct"/>
          </w:tcPr>
          <w:p w14:paraId="54F27F6D" w14:textId="77777777" w:rsidR="00AA2ACB" w:rsidRPr="002B65F7" w:rsidRDefault="00AA2ACB" w:rsidP="00496255">
            <w:pPr>
              <w:pStyle w:val="TableParagraph"/>
              <w:widowControl/>
              <w:suppressAutoHyphens/>
              <w:adjustRightInd w:val="0"/>
              <w:snapToGrid w:val="0"/>
              <w:ind w:left="0"/>
            </w:pPr>
            <w:r w:rsidRPr="002B65F7">
              <w:rPr>
                <w:spacing w:val="-5"/>
              </w:rPr>
              <w:t>121</w:t>
            </w:r>
          </w:p>
        </w:tc>
        <w:tc>
          <w:tcPr>
            <w:tcW w:w="773" w:type="pct"/>
          </w:tcPr>
          <w:p w14:paraId="760F50C9" w14:textId="77777777" w:rsidR="00AA2ACB" w:rsidRPr="002B65F7" w:rsidRDefault="00AA2ACB" w:rsidP="00496255">
            <w:pPr>
              <w:pStyle w:val="TableParagraph"/>
              <w:widowControl/>
              <w:suppressAutoHyphens/>
              <w:adjustRightInd w:val="0"/>
              <w:snapToGrid w:val="0"/>
              <w:ind w:left="0"/>
            </w:pPr>
            <w:r w:rsidRPr="002B65F7">
              <w:rPr>
                <w:spacing w:val="-5"/>
              </w:rPr>
              <w:t>110</w:t>
            </w:r>
          </w:p>
        </w:tc>
        <w:tc>
          <w:tcPr>
            <w:tcW w:w="735" w:type="pct"/>
          </w:tcPr>
          <w:p w14:paraId="449B2734" w14:textId="77777777" w:rsidR="00AA2ACB" w:rsidRPr="002B65F7" w:rsidRDefault="00AA2ACB" w:rsidP="00496255">
            <w:pPr>
              <w:pStyle w:val="TableParagraph"/>
              <w:widowControl/>
              <w:suppressAutoHyphens/>
              <w:adjustRightInd w:val="0"/>
              <w:snapToGrid w:val="0"/>
              <w:ind w:left="0"/>
            </w:pPr>
            <w:r w:rsidRPr="002B65F7">
              <w:rPr>
                <w:spacing w:val="-5"/>
              </w:rPr>
              <w:t>119</w:t>
            </w:r>
          </w:p>
        </w:tc>
      </w:tr>
      <w:tr w:rsidR="005D696C" w:rsidRPr="002B65F7" w14:paraId="267882FB" w14:textId="77777777" w:rsidTr="00D57C49">
        <w:trPr>
          <w:cantSplit/>
          <w:trHeight w:val="251"/>
        </w:trPr>
        <w:tc>
          <w:tcPr>
            <w:tcW w:w="1355" w:type="pct"/>
          </w:tcPr>
          <w:p w14:paraId="06A27355" w14:textId="689FFEC9" w:rsidR="00AA2ACB" w:rsidRPr="002B65F7" w:rsidRDefault="00AA2ACB" w:rsidP="00496255">
            <w:pPr>
              <w:pStyle w:val="TableParagraph"/>
              <w:widowControl/>
              <w:suppressAutoHyphens/>
              <w:adjustRightInd w:val="0"/>
              <w:snapToGrid w:val="0"/>
              <w:ind w:left="0"/>
              <w:jc w:val="left"/>
            </w:pPr>
            <w:r w:rsidRPr="002B65F7">
              <w:t>Réponse</w:t>
            </w:r>
            <w:r w:rsidRPr="002B65F7">
              <w:rPr>
                <w:spacing w:val="-3"/>
              </w:rPr>
              <w:t xml:space="preserve"> </w:t>
            </w:r>
            <w:r w:rsidRPr="002B65F7">
              <w:t>PASI</w:t>
            </w:r>
            <w:r w:rsidR="002A49FA" w:rsidRPr="002B65F7">
              <w:t> </w:t>
            </w:r>
            <w:r w:rsidRPr="002B65F7">
              <w:t>75</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212F2A05" w14:textId="77777777" w:rsidR="00AA2ACB" w:rsidRPr="002B65F7" w:rsidRDefault="00AA2ACB" w:rsidP="00496255">
            <w:pPr>
              <w:pStyle w:val="TableParagraph"/>
              <w:widowControl/>
              <w:suppressAutoHyphens/>
              <w:adjustRightInd w:val="0"/>
              <w:snapToGrid w:val="0"/>
              <w:ind w:left="0"/>
            </w:pPr>
            <w:r w:rsidRPr="002B65F7">
              <w:t>3</w:t>
            </w:r>
            <w:r w:rsidRPr="002B65F7">
              <w:rPr>
                <w:spacing w:val="-1"/>
              </w:rPr>
              <w:t xml:space="preserve"> </w:t>
            </w:r>
            <w:r w:rsidRPr="002B65F7">
              <w:rPr>
                <w:spacing w:val="-4"/>
              </w:rPr>
              <w:t>(3%)</w:t>
            </w:r>
          </w:p>
        </w:tc>
        <w:tc>
          <w:tcPr>
            <w:tcW w:w="763" w:type="pct"/>
          </w:tcPr>
          <w:p w14:paraId="296BC6C1" w14:textId="77777777" w:rsidR="00AA2ACB" w:rsidRPr="002B65F7" w:rsidRDefault="00AA2ACB" w:rsidP="00496255">
            <w:pPr>
              <w:pStyle w:val="TableParagraph"/>
              <w:widowControl/>
              <w:suppressAutoHyphens/>
              <w:adjustRightInd w:val="0"/>
              <w:snapToGrid w:val="0"/>
              <w:ind w:left="0"/>
            </w:pPr>
            <w:r w:rsidRPr="002B65F7">
              <w:t>55</w:t>
            </w:r>
            <w:r w:rsidRPr="002B65F7">
              <w:rPr>
                <w:spacing w:val="-1"/>
              </w:rPr>
              <w:t xml:space="preserve"> </w:t>
            </w:r>
            <w:r w:rsidRPr="002B65F7">
              <w:rPr>
                <w:spacing w:val="-2"/>
              </w:rPr>
              <w:t>(49%)</w:t>
            </w:r>
          </w:p>
        </w:tc>
        <w:tc>
          <w:tcPr>
            <w:tcW w:w="687" w:type="pct"/>
          </w:tcPr>
          <w:p w14:paraId="26B491C9" w14:textId="77777777" w:rsidR="00AA2ACB" w:rsidRPr="002B65F7" w:rsidRDefault="00AA2ACB" w:rsidP="00496255">
            <w:pPr>
              <w:pStyle w:val="TableParagraph"/>
              <w:widowControl/>
              <w:suppressAutoHyphens/>
              <w:adjustRightInd w:val="0"/>
              <w:snapToGrid w:val="0"/>
              <w:ind w:left="0"/>
            </w:pPr>
            <w:r w:rsidRPr="002B65F7">
              <w:t>86</w:t>
            </w:r>
            <w:r w:rsidRPr="002B65F7">
              <w:rPr>
                <w:spacing w:val="-1"/>
              </w:rPr>
              <w:t xml:space="preserve"> </w:t>
            </w:r>
            <w:r w:rsidRPr="002B65F7">
              <w:rPr>
                <w:spacing w:val="-2"/>
              </w:rPr>
              <w:t>(71%)</w:t>
            </w:r>
          </w:p>
        </w:tc>
        <w:tc>
          <w:tcPr>
            <w:tcW w:w="773" w:type="pct"/>
          </w:tcPr>
          <w:p w14:paraId="7849A448" w14:textId="77777777" w:rsidR="00AA2ACB" w:rsidRPr="002B65F7" w:rsidRDefault="00AA2ACB" w:rsidP="00496255">
            <w:pPr>
              <w:pStyle w:val="TableParagraph"/>
              <w:widowControl/>
              <w:suppressAutoHyphens/>
              <w:adjustRightInd w:val="0"/>
              <w:snapToGrid w:val="0"/>
              <w:ind w:left="0"/>
            </w:pPr>
            <w:r w:rsidRPr="002B65F7">
              <w:t>59</w:t>
            </w:r>
            <w:r w:rsidRPr="002B65F7">
              <w:rPr>
                <w:spacing w:val="-1"/>
              </w:rPr>
              <w:t xml:space="preserve"> </w:t>
            </w:r>
            <w:r w:rsidRPr="002B65F7">
              <w:rPr>
                <w:spacing w:val="-2"/>
              </w:rPr>
              <w:t>(54%)</w:t>
            </w:r>
          </w:p>
        </w:tc>
        <w:tc>
          <w:tcPr>
            <w:tcW w:w="735" w:type="pct"/>
          </w:tcPr>
          <w:p w14:paraId="3C305D4F" w14:textId="77777777" w:rsidR="00AA2ACB" w:rsidRPr="002B65F7" w:rsidRDefault="00AA2ACB" w:rsidP="00496255">
            <w:pPr>
              <w:pStyle w:val="TableParagraph"/>
              <w:widowControl/>
              <w:suppressAutoHyphens/>
              <w:adjustRightInd w:val="0"/>
              <w:snapToGrid w:val="0"/>
              <w:ind w:left="0"/>
            </w:pPr>
            <w:r w:rsidRPr="002B65F7">
              <w:t>88</w:t>
            </w:r>
            <w:r w:rsidRPr="002B65F7">
              <w:rPr>
                <w:spacing w:val="-1"/>
              </w:rPr>
              <w:t xml:space="preserve"> </w:t>
            </w:r>
            <w:r w:rsidRPr="002B65F7">
              <w:rPr>
                <w:spacing w:val="-2"/>
              </w:rPr>
              <w:t>(74%)</w:t>
            </w:r>
          </w:p>
        </w:tc>
      </w:tr>
    </w:tbl>
    <w:p w14:paraId="03B581E5" w14:textId="3BCEF69C" w:rsidR="00092F83" w:rsidRPr="002B65F7" w:rsidRDefault="003770CF" w:rsidP="00496255">
      <w:pPr>
        <w:widowControl/>
        <w:rPr>
          <w:sz w:val="20"/>
          <w:szCs w:val="20"/>
        </w:rPr>
      </w:pPr>
      <w:r w:rsidRPr="002B65F7">
        <w:rPr>
          <w:sz w:val="20"/>
          <w:szCs w:val="20"/>
          <w:vertAlign w:val="superscript"/>
        </w:rPr>
        <w:t>a</w:t>
      </w:r>
      <w:r w:rsidRPr="002B65F7">
        <w:rPr>
          <w:sz w:val="20"/>
          <w:szCs w:val="20"/>
        </w:rPr>
        <w:t xml:space="preserve"> </w:t>
      </w:r>
      <w:r w:rsidR="00C31740" w:rsidRPr="002B65F7">
        <w:rPr>
          <w:sz w:val="20"/>
          <w:szCs w:val="20"/>
        </w:rPr>
        <w:t>p</w:t>
      </w:r>
      <w:r w:rsidRPr="002B65F7">
        <w:rPr>
          <w:sz w:val="20"/>
          <w:szCs w:val="20"/>
        </w:rPr>
        <w:t> </w:t>
      </w:r>
      <w:r w:rsidR="00C31740" w:rsidRPr="002B65F7">
        <w:rPr>
          <w:sz w:val="20"/>
          <w:szCs w:val="20"/>
        </w:rPr>
        <w:t>&lt;</w:t>
      </w:r>
      <w:r w:rsidRPr="002B65F7">
        <w:rPr>
          <w:sz w:val="20"/>
          <w:szCs w:val="20"/>
        </w:rPr>
        <w:t> </w:t>
      </w:r>
      <w:r w:rsidR="00C31740" w:rsidRPr="002B65F7">
        <w:rPr>
          <w:sz w:val="20"/>
          <w:szCs w:val="20"/>
        </w:rPr>
        <w:t xml:space="preserve">0,001 pour </w:t>
      </w:r>
      <w:r w:rsidR="0071390F" w:rsidRPr="002B65F7">
        <w:rPr>
          <w:sz w:val="20"/>
          <w:szCs w:val="20"/>
        </w:rPr>
        <w:t>ustekinumab</w:t>
      </w:r>
      <w:r w:rsidR="00C31740" w:rsidRPr="002B65F7">
        <w:rPr>
          <w:sz w:val="20"/>
          <w:szCs w:val="20"/>
        </w:rPr>
        <w:t xml:space="preserve"> 45</w:t>
      </w:r>
      <w:r w:rsidRPr="002B65F7">
        <w:rPr>
          <w:sz w:val="20"/>
          <w:szCs w:val="20"/>
        </w:rPr>
        <w:t> </w:t>
      </w:r>
      <w:r w:rsidR="00C31740" w:rsidRPr="002B65F7">
        <w:rPr>
          <w:sz w:val="20"/>
          <w:szCs w:val="20"/>
        </w:rPr>
        <w:t>mg ou 90</w:t>
      </w:r>
      <w:r w:rsidRPr="002B65F7">
        <w:rPr>
          <w:sz w:val="20"/>
          <w:szCs w:val="20"/>
        </w:rPr>
        <w:t> </w:t>
      </w:r>
      <w:r w:rsidR="00C31740" w:rsidRPr="002B65F7">
        <w:rPr>
          <w:sz w:val="20"/>
          <w:szCs w:val="20"/>
        </w:rPr>
        <w:t xml:space="preserve">mg </w:t>
      </w:r>
      <w:r w:rsidR="00C31740" w:rsidRPr="002B65F7">
        <w:rPr>
          <w:i/>
          <w:iCs/>
          <w:sz w:val="20"/>
          <w:szCs w:val="20"/>
        </w:rPr>
        <w:t>versus</w:t>
      </w:r>
      <w:r w:rsidR="00C31740" w:rsidRPr="002B65F7">
        <w:rPr>
          <w:sz w:val="20"/>
          <w:szCs w:val="20"/>
        </w:rPr>
        <w:t xml:space="preserve"> placebo (PBO).</w:t>
      </w:r>
    </w:p>
    <w:p w14:paraId="03B581E6" w14:textId="79E4530A" w:rsidR="00092F83" w:rsidRPr="002B65F7" w:rsidRDefault="003770CF" w:rsidP="00496255">
      <w:pPr>
        <w:widowControl/>
        <w:rPr>
          <w:sz w:val="20"/>
          <w:szCs w:val="20"/>
          <w:lang w:val="en-IN"/>
        </w:rPr>
      </w:pPr>
      <w:r w:rsidRPr="002B65F7">
        <w:rPr>
          <w:sz w:val="20"/>
          <w:szCs w:val="20"/>
          <w:vertAlign w:val="superscript"/>
          <w:lang w:val="en-IN"/>
        </w:rPr>
        <w:t>b</w:t>
      </w:r>
      <w:r w:rsidRPr="002B65F7">
        <w:rPr>
          <w:sz w:val="20"/>
          <w:szCs w:val="20"/>
          <w:lang w:val="en-IN"/>
        </w:rPr>
        <w:t xml:space="preserve"> </w:t>
      </w:r>
      <w:r w:rsidR="00C31740" w:rsidRPr="002B65F7">
        <w:rPr>
          <w:sz w:val="20"/>
          <w:szCs w:val="20"/>
          <w:lang w:val="en-IN"/>
        </w:rPr>
        <w:t>PGA</w:t>
      </w:r>
      <w:r w:rsidRPr="002B65F7">
        <w:rPr>
          <w:sz w:val="20"/>
          <w:szCs w:val="20"/>
          <w:lang w:val="en-IN"/>
        </w:rPr>
        <w:t> </w:t>
      </w:r>
      <w:r w:rsidR="00C31740" w:rsidRPr="002B65F7">
        <w:rPr>
          <w:sz w:val="20"/>
          <w:szCs w:val="20"/>
          <w:lang w:val="en-IN"/>
        </w:rPr>
        <w:t>=</w:t>
      </w:r>
      <w:r w:rsidRPr="002B65F7">
        <w:rPr>
          <w:sz w:val="20"/>
          <w:szCs w:val="20"/>
          <w:lang w:val="en-IN"/>
        </w:rPr>
        <w:t> </w:t>
      </w:r>
      <w:r w:rsidR="00C31740" w:rsidRPr="002B65F7">
        <w:rPr>
          <w:sz w:val="20"/>
          <w:szCs w:val="20"/>
          <w:lang w:val="en-IN"/>
        </w:rPr>
        <w:t>Physician Global Assessment</w:t>
      </w:r>
      <w:r w:rsidR="00612790">
        <w:rPr>
          <w:sz w:val="20"/>
          <w:szCs w:val="20"/>
          <w:lang w:val="en-IN"/>
        </w:rPr>
        <w:t>.</w:t>
      </w:r>
    </w:p>
    <w:p w14:paraId="03B581E7" w14:textId="77777777" w:rsidR="00092F83" w:rsidRPr="002B65F7" w:rsidRDefault="00092F83" w:rsidP="00496255">
      <w:pPr>
        <w:widowControl/>
        <w:rPr>
          <w:lang w:val="en-IN"/>
        </w:rPr>
      </w:pPr>
    </w:p>
    <w:p w14:paraId="03B581E8" w14:textId="37B92BE7" w:rsidR="00092F83" w:rsidRPr="002B65F7" w:rsidRDefault="00C31740" w:rsidP="008509A1">
      <w:pPr>
        <w:keepNext/>
        <w:widowControl/>
        <w:rPr>
          <w:b/>
          <w:bCs/>
        </w:rPr>
      </w:pPr>
      <w:r w:rsidRPr="00B007D2">
        <w:rPr>
          <w:b/>
          <w:bCs/>
        </w:rPr>
        <w:t>Tableau</w:t>
      </w:r>
      <w:r w:rsidR="002C4AC6" w:rsidRPr="00B007D2">
        <w:rPr>
          <w:b/>
          <w:bCs/>
        </w:rPr>
        <w:t> </w:t>
      </w:r>
      <w:r w:rsidRPr="00B007D2">
        <w:rPr>
          <w:b/>
          <w:bCs/>
        </w:rPr>
        <w:t>5</w:t>
      </w:r>
      <w:r w:rsidR="00AA2ACB" w:rsidRPr="00B007D2">
        <w:rPr>
          <w:b/>
          <w:bCs/>
        </w:rPr>
        <w:t xml:space="preserve">. </w:t>
      </w:r>
      <w:r w:rsidRPr="002B65F7">
        <w:rPr>
          <w:b/>
          <w:bCs/>
        </w:rPr>
        <w:t>Résumé des réponses cliniques dans l’étude Psoriasis</w:t>
      </w:r>
      <w:r w:rsidR="00455390" w:rsidRPr="002B65F7">
        <w:rPr>
          <w:b/>
          <w:bCs/>
        </w:rPr>
        <w:t> </w:t>
      </w:r>
      <w:r w:rsidRPr="002B65F7">
        <w:rPr>
          <w:b/>
          <w:bCs/>
        </w:rPr>
        <w:t>3 (ACCEPT) à la semaine</w:t>
      </w:r>
      <w:r w:rsidR="00455390" w:rsidRPr="002B65F7">
        <w:rPr>
          <w:b/>
          <w:bCs/>
        </w:rPr>
        <w:t> </w:t>
      </w:r>
      <w:r w:rsidRPr="002B65F7">
        <w:rPr>
          <w:b/>
          <w:bCs/>
        </w:rPr>
        <w:t>12</w:t>
      </w:r>
    </w:p>
    <w:p w14:paraId="7EE0A2B0" w14:textId="77777777" w:rsidR="00455390" w:rsidRPr="002B65F7" w:rsidRDefault="00455390" w:rsidP="008509A1">
      <w:pPr>
        <w:keepNext/>
        <w:widowControl/>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47"/>
        <w:gridCol w:w="1912"/>
        <w:gridCol w:w="1981"/>
        <w:gridCol w:w="2021"/>
      </w:tblGrid>
      <w:tr w:rsidR="00092F83" w:rsidRPr="002B65F7" w14:paraId="03B581EB" w14:textId="77777777" w:rsidTr="000238BD">
        <w:trPr>
          <w:cantSplit/>
          <w:trHeight w:val="251"/>
          <w:tblHeader/>
        </w:trPr>
        <w:tc>
          <w:tcPr>
            <w:tcW w:w="1737" w:type="pct"/>
            <w:vMerge w:val="restart"/>
          </w:tcPr>
          <w:p w14:paraId="03B581E9" w14:textId="77777777" w:rsidR="00092F83" w:rsidRPr="002B65F7" w:rsidRDefault="00092F83" w:rsidP="008509A1">
            <w:pPr>
              <w:pStyle w:val="TableParagraph"/>
              <w:keepNext/>
              <w:widowControl/>
              <w:adjustRightInd w:val="0"/>
              <w:snapToGrid w:val="0"/>
              <w:ind w:left="0"/>
              <w:jc w:val="left"/>
              <w:rPr>
                <w:sz w:val="20"/>
              </w:rPr>
            </w:pPr>
          </w:p>
        </w:tc>
        <w:tc>
          <w:tcPr>
            <w:tcW w:w="3263" w:type="pct"/>
            <w:gridSpan w:val="3"/>
          </w:tcPr>
          <w:p w14:paraId="03B581EA" w14:textId="7E83E6D2" w:rsidR="00092F83" w:rsidRPr="002B65F7" w:rsidRDefault="00C31740" w:rsidP="008509A1">
            <w:pPr>
              <w:pStyle w:val="TableParagraph"/>
              <w:keepNext/>
              <w:widowControl/>
              <w:adjustRightInd w:val="0"/>
              <w:snapToGrid w:val="0"/>
              <w:ind w:left="0"/>
              <w:rPr>
                <w:b/>
              </w:rPr>
            </w:pPr>
            <w:r w:rsidRPr="002B65F7">
              <w:rPr>
                <w:b/>
              </w:rPr>
              <w:t>Etude</w:t>
            </w:r>
            <w:r w:rsidRPr="002B65F7">
              <w:rPr>
                <w:b/>
                <w:spacing w:val="-9"/>
              </w:rPr>
              <w:t xml:space="preserve"> </w:t>
            </w:r>
            <w:r w:rsidRPr="002B65F7">
              <w:rPr>
                <w:b/>
              </w:rPr>
              <w:t>Psoriasis</w:t>
            </w:r>
            <w:r w:rsidR="00D226DE" w:rsidRPr="002B65F7">
              <w:rPr>
                <w:b/>
                <w:spacing w:val="-7"/>
              </w:rPr>
              <w:t> </w:t>
            </w:r>
            <w:r w:rsidRPr="002B65F7">
              <w:rPr>
                <w:b/>
                <w:spacing w:val="-10"/>
              </w:rPr>
              <w:t>3</w:t>
            </w:r>
          </w:p>
        </w:tc>
      </w:tr>
      <w:tr w:rsidR="00092F83" w:rsidRPr="002B65F7" w14:paraId="03B581F1" w14:textId="77777777" w:rsidTr="000238BD">
        <w:trPr>
          <w:cantSplit/>
          <w:trHeight w:val="506"/>
          <w:tblHeader/>
        </w:trPr>
        <w:tc>
          <w:tcPr>
            <w:tcW w:w="1737" w:type="pct"/>
            <w:vMerge/>
            <w:tcBorders>
              <w:top w:val="nil"/>
            </w:tcBorders>
          </w:tcPr>
          <w:p w14:paraId="03B581EC" w14:textId="77777777" w:rsidR="00092F83" w:rsidRPr="002B65F7" w:rsidRDefault="00092F83" w:rsidP="008509A1">
            <w:pPr>
              <w:keepNext/>
              <w:widowControl/>
              <w:adjustRightInd w:val="0"/>
              <w:snapToGrid w:val="0"/>
              <w:rPr>
                <w:sz w:val="2"/>
                <w:szCs w:val="2"/>
              </w:rPr>
            </w:pPr>
          </w:p>
        </w:tc>
        <w:tc>
          <w:tcPr>
            <w:tcW w:w="1055" w:type="pct"/>
            <w:vMerge w:val="restart"/>
          </w:tcPr>
          <w:p w14:paraId="40F68ACB" w14:textId="77777777" w:rsidR="008509A1" w:rsidRPr="002B65F7" w:rsidRDefault="00C31740" w:rsidP="008509A1">
            <w:pPr>
              <w:pStyle w:val="TableParagraph"/>
              <w:keepNext/>
              <w:widowControl/>
              <w:adjustRightInd w:val="0"/>
              <w:snapToGrid w:val="0"/>
              <w:ind w:left="0"/>
              <w:rPr>
                <w:b/>
                <w:bCs/>
                <w:spacing w:val="-2"/>
              </w:rPr>
            </w:pPr>
            <w:r w:rsidRPr="002B65F7">
              <w:rPr>
                <w:b/>
                <w:bCs/>
                <w:spacing w:val="-2"/>
              </w:rPr>
              <w:t>Etanercept</w:t>
            </w:r>
          </w:p>
          <w:p w14:paraId="03B581ED" w14:textId="138719D4" w:rsidR="00092F83" w:rsidRPr="002B65F7" w:rsidRDefault="00C31740" w:rsidP="008509A1">
            <w:pPr>
              <w:pStyle w:val="TableParagraph"/>
              <w:keepNext/>
              <w:widowControl/>
              <w:adjustRightInd w:val="0"/>
              <w:snapToGrid w:val="0"/>
              <w:ind w:left="0"/>
              <w:rPr>
                <w:b/>
                <w:bCs/>
              </w:rPr>
            </w:pPr>
            <w:r w:rsidRPr="002B65F7">
              <w:rPr>
                <w:b/>
                <w:bCs/>
              </w:rPr>
              <w:t>24</w:t>
            </w:r>
            <w:r w:rsidR="00D226DE" w:rsidRPr="002B65F7">
              <w:rPr>
                <w:b/>
                <w:bCs/>
              </w:rPr>
              <w:t> </w:t>
            </w:r>
            <w:r w:rsidRPr="002B65F7">
              <w:rPr>
                <w:b/>
                <w:bCs/>
              </w:rPr>
              <w:t>doses</w:t>
            </w:r>
          </w:p>
          <w:p w14:paraId="03B581EE" w14:textId="2445ECA7" w:rsidR="00092F83" w:rsidRPr="002B65F7" w:rsidRDefault="00C31740" w:rsidP="008509A1">
            <w:pPr>
              <w:pStyle w:val="TableParagraph"/>
              <w:keepNext/>
              <w:widowControl/>
              <w:adjustRightInd w:val="0"/>
              <w:snapToGrid w:val="0"/>
              <w:ind w:left="0"/>
              <w:rPr>
                <w:b/>
                <w:bCs/>
              </w:rPr>
            </w:pPr>
            <w:r w:rsidRPr="002B65F7">
              <w:rPr>
                <w:b/>
                <w:bCs/>
              </w:rPr>
              <w:t>(50</w:t>
            </w:r>
            <w:r w:rsidR="00455390" w:rsidRPr="002B65F7">
              <w:rPr>
                <w:b/>
                <w:bCs/>
                <w:spacing w:val="-11"/>
              </w:rPr>
              <w:t> </w:t>
            </w:r>
            <w:r w:rsidRPr="002B65F7">
              <w:rPr>
                <w:b/>
                <w:bCs/>
              </w:rPr>
              <w:t>mg</w:t>
            </w:r>
            <w:r w:rsidRPr="002B65F7">
              <w:rPr>
                <w:b/>
                <w:bCs/>
                <w:spacing w:val="-12"/>
              </w:rPr>
              <w:t xml:space="preserve"> </w:t>
            </w:r>
            <w:r w:rsidRPr="002B65F7">
              <w:rPr>
                <w:b/>
                <w:bCs/>
              </w:rPr>
              <w:t>deux</w:t>
            </w:r>
            <w:r w:rsidRPr="002B65F7">
              <w:rPr>
                <w:b/>
                <w:bCs/>
                <w:spacing w:val="-12"/>
              </w:rPr>
              <w:t xml:space="preserve"> </w:t>
            </w:r>
            <w:r w:rsidRPr="002B65F7">
              <w:rPr>
                <w:b/>
                <w:bCs/>
              </w:rPr>
              <w:t>fois par semaine)</w:t>
            </w:r>
          </w:p>
        </w:tc>
        <w:tc>
          <w:tcPr>
            <w:tcW w:w="2208" w:type="pct"/>
            <w:gridSpan w:val="2"/>
          </w:tcPr>
          <w:p w14:paraId="03B581EF" w14:textId="674A18CC" w:rsidR="00092F83" w:rsidRPr="002B65F7" w:rsidRDefault="0071390F" w:rsidP="008509A1">
            <w:pPr>
              <w:pStyle w:val="TableParagraph"/>
              <w:keepNext/>
              <w:widowControl/>
              <w:adjustRightInd w:val="0"/>
              <w:snapToGrid w:val="0"/>
              <w:ind w:left="0"/>
              <w:rPr>
                <w:b/>
                <w:bCs/>
              </w:rPr>
            </w:pPr>
            <w:r w:rsidRPr="002B65F7">
              <w:rPr>
                <w:b/>
                <w:bCs/>
                <w:spacing w:val="-2"/>
              </w:rPr>
              <w:t>Ustekinumab</w:t>
            </w:r>
          </w:p>
          <w:p w14:paraId="03B581F0" w14:textId="13B7E1AE" w:rsidR="00092F83" w:rsidRPr="002B65F7" w:rsidRDefault="00C31740" w:rsidP="008509A1">
            <w:pPr>
              <w:pStyle w:val="TableParagraph"/>
              <w:keepNext/>
              <w:widowControl/>
              <w:adjustRightInd w:val="0"/>
              <w:snapToGrid w:val="0"/>
              <w:ind w:left="0"/>
              <w:rPr>
                <w:b/>
                <w:bCs/>
              </w:rPr>
            </w:pPr>
            <w:r w:rsidRPr="002B65F7">
              <w:rPr>
                <w:b/>
                <w:bCs/>
              </w:rPr>
              <w:t>2</w:t>
            </w:r>
            <w:r w:rsidR="00D226DE" w:rsidRPr="002B65F7">
              <w:rPr>
                <w:b/>
                <w:bCs/>
                <w:spacing w:val="-4"/>
              </w:rPr>
              <w:t> </w:t>
            </w:r>
            <w:r w:rsidRPr="002B65F7">
              <w:rPr>
                <w:b/>
                <w:bCs/>
              </w:rPr>
              <w:t>doses</w:t>
            </w:r>
            <w:r w:rsidRPr="002B65F7">
              <w:rPr>
                <w:b/>
                <w:bCs/>
                <w:spacing w:val="-3"/>
              </w:rPr>
              <w:t xml:space="preserve"> </w:t>
            </w:r>
            <w:r w:rsidRPr="002B65F7">
              <w:rPr>
                <w:b/>
                <w:bCs/>
              </w:rPr>
              <w:t>(semaine</w:t>
            </w:r>
            <w:r w:rsidRPr="002B65F7">
              <w:rPr>
                <w:b/>
                <w:bCs/>
                <w:spacing w:val="-4"/>
              </w:rPr>
              <w:t xml:space="preserve"> </w:t>
            </w:r>
            <w:r w:rsidRPr="002B65F7">
              <w:rPr>
                <w:b/>
                <w:bCs/>
              </w:rPr>
              <w:t>0</w:t>
            </w:r>
            <w:r w:rsidRPr="002B65F7">
              <w:rPr>
                <w:b/>
                <w:bCs/>
                <w:spacing w:val="-3"/>
              </w:rPr>
              <w:t xml:space="preserve"> </w:t>
            </w:r>
            <w:r w:rsidRPr="002B65F7">
              <w:rPr>
                <w:b/>
                <w:bCs/>
              </w:rPr>
              <w:t>et</w:t>
            </w:r>
            <w:r w:rsidRPr="002B65F7">
              <w:rPr>
                <w:b/>
                <w:bCs/>
                <w:spacing w:val="-4"/>
              </w:rPr>
              <w:t xml:space="preserve"> </w:t>
            </w:r>
            <w:r w:rsidRPr="002B65F7">
              <w:rPr>
                <w:b/>
                <w:bCs/>
              </w:rPr>
              <w:t>semaine</w:t>
            </w:r>
            <w:r w:rsidRPr="002B65F7">
              <w:rPr>
                <w:b/>
                <w:bCs/>
                <w:spacing w:val="-3"/>
              </w:rPr>
              <w:t xml:space="preserve"> </w:t>
            </w:r>
            <w:r w:rsidRPr="002B65F7">
              <w:rPr>
                <w:b/>
                <w:bCs/>
                <w:spacing w:val="-5"/>
              </w:rPr>
              <w:t>4)</w:t>
            </w:r>
          </w:p>
        </w:tc>
      </w:tr>
      <w:tr w:rsidR="00092F83" w:rsidRPr="002B65F7" w14:paraId="03B581F6" w14:textId="77777777" w:rsidTr="000238BD">
        <w:trPr>
          <w:cantSplit/>
          <w:trHeight w:val="496"/>
          <w:tblHeader/>
        </w:trPr>
        <w:tc>
          <w:tcPr>
            <w:tcW w:w="1737" w:type="pct"/>
            <w:vMerge/>
            <w:tcBorders>
              <w:top w:val="nil"/>
            </w:tcBorders>
          </w:tcPr>
          <w:p w14:paraId="03B581F2" w14:textId="77777777" w:rsidR="00092F83" w:rsidRPr="002B65F7" w:rsidRDefault="00092F83" w:rsidP="008509A1">
            <w:pPr>
              <w:keepNext/>
              <w:widowControl/>
              <w:adjustRightInd w:val="0"/>
              <w:snapToGrid w:val="0"/>
              <w:rPr>
                <w:sz w:val="2"/>
                <w:szCs w:val="2"/>
              </w:rPr>
            </w:pPr>
          </w:p>
        </w:tc>
        <w:tc>
          <w:tcPr>
            <w:tcW w:w="1055" w:type="pct"/>
            <w:vMerge/>
            <w:tcBorders>
              <w:top w:val="nil"/>
            </w:tcBorders>
          </w:tcPr>
          <w:p w14:paraId="03B581F3" w14:textId="77777777" w:rsidR="00092F83" w:rsidRPr="002B65F7" w:rsidRDefault="00092F83" w:rsidP="008509A1">
            <w:pPr>
              <w:keepNext/>
              <w:widowControl/>
              <w:adjustRightInd w:val="0"/>
              <w:snapToGrid w:val="0"/>
              <w:rPr>
                <w:b/>
                <w:bCs/>
                <w:sz w:val="2"/>
                <w:szCs w:val="2"/>
              </w:rPr>
            </w:pPr>
          </w:p>
        </w:tc>
        <w:tc>
          <w:tcPr>
            <w:tcW w:w="1093" w:type="pct"/>
            <w:vAlign w:val="center"/>
          </w:tcPr>
          <w:p w14:paraId="03B581F4" w14:textId="42343C34" w:rsidR="00092F83" w:rsidRPr="002B65F7" w:rsidRDefault="00C31740" w:rsidP="008509A1">
            <w:pPr>
              <w:pStyle w:val="TableParagraph"/>
              <w:keepNext/>
              <w:widowControl/>
              <w:adjustRightInd w:val="0"/>
              <w:snapToGrid w:val="0"/>
              <w:ind w:left="0"/>
              <w:rPr>
                <w:b/>
                <w:bCs/>
              </w:rPr>
            </w:pPr>
            <w:r w:rsidRPr="002B65F7">
              <w:rPr>
                <w:b/>
                <w:bCs/>
              </w:rPr>
              <w:t>45</w:t>
            </w:r>
            <w:r w:rsidR="00455390" w:rsidRPr="002B65F7">
              <w:rPr>
                <w:b/>
                <w:bCs/>
              </w:rPr>
              <w:t> </w:t>
            </w:r>
            <w:r w:rsidRPr="002B65F7">
              <w:rPr>
                <w:b/>
                <w:bCs/>
                <w:spacing w:val="-5"/>
              </w:rPr>
              <w:t>mg</w:t>
            </w:r>
          </w:p>
        </w:tc>
        <w:tc>
          <w:tcPr>
            <w:tcW w:w="1115" w:type="pct"/>
            <w:vAlign w:val="center"/>
          </w:tcPr>
          <w:p w14:paraId="03B581F5" w14:textId="531E52C8" w:rsidR="00092F83" w:rsidRPr="002B65F7" w:rsidRDefault="00C31740" w:rsidP="008509A1">
            <w:pPr>
              <w:pStyle w:val="TableParagraph"/>
              <w:keepNext/>
              <w:widowControl/>
              <w:adjustRightInd w:val="0"/>
              <w:snapToGrid w:val="0"/>
              <w:ind w:left="0"/>
              <w:rPr>
                <w:b/>
                <w:bCs/>
              </w:rPr>
            </w:pPr>
            <w:r w:rsidRPr="002B65F7">
              <w:rPr>
                <w:b/>
                <w:bCs/>
              </w:rPr>
              <w:t>90</w:t>
            </w:r>
            <w:r w:rsidR="00455390" w:rsidRPr="002B65F7">
              <w:rPr>
                <w:b/>
                <w:bCs/>
              </w:rPr>
              <w:t> </w:t>
            </w:r>
            <w:r w:rsidRPr="002B65F7">
              <w:rPr>
                <w:b/>
                <w:bCs/>
                <w:spacing w:val="-5"/>
              </w:rPr>
              <w:t>mg</w:t>
            </w:r>
          </w:p>
        </w:tc>
      </w:tr>
      <w:tr w:rsidR="00092F83" w:rsidRPr="002B65F7" w14:paraId="03B581FB" w14:textId="77777777" w:rsidTr="00D57C49">
        <w:trPr>
          <w:cantSplit/>
          <w:trHeight w:val="227"/>
        </w:trPr>
        <w:tc>
          <w:tcPr>
            <w:tcW w:w="1737" w:type="pct"/>
          </w:tcPr>
          <w:p w14:paraId="03B581F7" w14:textId="77777777" w:rsidR="00092F83" w:rsidRPr="002B65F7" w:rsidRDefault="00C31740" w:rsidP="00793B5A">
            <w:pPr>
              <w:pStyle w:val="TableParagraph"/>
              <w:widowControl/>
              <w:adjustRightInd w:val="0"/>
              <w:snapToGrid w:val="0"/>
              <w:ind w:left="0"/>
              <w:jc w:val="left"/>
            </w:pPr>
            <w:r w:rsidRPr="002B65F7">
              <w:t>Nombre</w:t>
            </w:r>
            <w:r w:rsidRPr="002B65F7">
              <w:rPr>
                <w:spacing w:val="-6"/>
              </w:rPr>
              <w:t xml:space="preserve"> </w:t>
            </w:r>
            <w:r w:rsidRPr="002B65F7">
              <w:t>de</w:t>
            </w:r>
            <w:r w:rsidRPr="002B65F7">
              <w:rPr>
                <w:spacing w:val="-5"/>
              </w:rPr>
              <w:t xml:space="preserve"> </w:t>
            </w:r>
            <w:r w:rsidRPr="002B65F7">
              <w:t>patients</w:t>
            </w:r>
            <w:r w:rsidRPr="002B65F7">
              <w:rPr>
                <w:spacing w:val="-5"/>
              </w:rPr>
              <w:t xml:space="preserve"> </w:t>
            </w:r>
            <w:r w:rsidRPr="002B65F7">
              <w:rPr>
                <w:spacing w:val="-2"/>
              </w:rPr>
              <w:t>randomisés</w:t>
            </w:r>
          </w:p>
        </w:tc>
        <w:tc>
          <w:tcPr>
            <w:tcW w:w="1055" w:type="pct"/>
          </w:tcPr>
          <w:p w14:paraId="03B581F8" w14:textId="77777777" w:rsidR="00092F83" w:rsidRPr="002B65F7" w:rsidRDefault="00C31740" w:rsidP="00496255">
            <w:pPr>
              <w:pStyle w:val="TableParagraph"/>
              <w:widowControl/>
              <w:adjustRightInd w:val="0"/>
              <w:snapToGrid w:val="0"/>
              <w:ind w:left="0"/>
            </w:pPr>
            <w:r w:rsidRPr="002B65F7">
              <w:rPr>
                <w:spacing w:val="-5"/>
              </w:rPr>
              <w:t>347</w:t>
            </w:r>
          </w:p>
        </w:tc>
        <w:tc>
          <w:tcPr>
            <w:tcW w:w="1093" w:type="pct"/>
          </w:tcPr>
          <w:p w14:paraId="03B581F9" w14:textId="77777777" w:rsidR="00092F83" w:rsidRPr="002B65F7" w:rsidRDefault="00C31740" w:rsidP="00496255">
            <w:pPr>
              <w:pStyle w:val="TableParagraph"/>
              <w:widowControl/>
              <w:adjustRightInd w:val="0"/>
              <w:snapToGrid w:val="0"/>
              <w:ind w:left="0"/>
            </w:pPr>
            <w:r w:rsidRPr="002B65F7">
              <w:rPr>
                <w:spacing w:val="-5"/>
              </w:rPr>
              <w:t>209</w:t>
            </w:r>
          </w:p>
        </w:tc>
        <w:tc>
          <w:tcPr>
            <w:tcW w:w="1115" w:type="pct"/>
          </w:tcPr>
          <w:p w14:paraId="03B581FA" w14:textId="77777777" w:rsidR="00092F83" w:rsidRPr="002B65F7" w:rsidRDefault="00C31740" w:rsidP="00496255">
            <w:pPr>
              <w:pStyle w:val="TableParagraph"/>
              <w:widowControl/>
              <w:adjustRightInd w:val="0"/>
              <w:snapToGrid w:val="0"/>
              <w:ind w:left="0"/>
            </w:pPr>
            <w:r w:rsidRPr="002B65F7">
              <w:rPr>
                <w:spacing w:val="-5"/>
              </w:rPr>
              <w:t>347</w:t>
            </w:r>
          </w:p>
        </w:tc>
      </w:tr>
      <w:tr w:rsidR="00092F83" w:rsidRPr="002B65F7" w14:paraId="03B58200" w14:textId="77777777" w:rsidTr="00D57C49">
        <w:trPr>
          <w:cantSplit/>
          <w:trHeight w:val="227"/>
        </w:trPr>
        <w:tc>
          <w:tcPr>
            <w:tcW w:w="1737" w:type="pct"/>
          </w:tcPr>
          <w:p w14:paraId="03B581FC" w14:textId="0E897D0B" w:rsidR="00092F83" w:rsidRPr="002B65F7" w:rsidRDefault="00C31740" w:rsidP="00793B5A">
            <w:pPr>
              <w:pStyle w:val="TableParagraph"/>
              <w:widowControl/>
              <w:adjustRightInd w:val="0"/>
              <w:snapToGrid w:val="0"/>
              <w:ind w:left="0"/>
              <w:jc w:val="left"/>
            </w:pPr>
            <w:r w:rsidRPr="002B65F7">
              <w:t>Réponse</w:t>
            </w:r>
            <w:r w:rsidRPr="002B65F7">
              <w:rPr>
                <w:spacing w:val="-3"/>
              </w:rPr>
              <w:t xml:space="preserve"> </w:t>
            </w:r>
            <w:r w:rsidRPr="002B65F7">
              <w:t>PASI</w:t>
            </w:r>
            <w:r w:rsidR="002A49FA" w:rsidRPr="002B65F7">
              <w:rPr>
                <w:spacing w:val="-7"/>
              </w:rPr>
              <w:t> </w:t>
            </w:r>
            <w:r w:rsidRPr="002B65F7">
              <w:t>50</w:t>
            </w:r>
            <w:r w:rsidRPr="002B65F7">
              <w:rPr>
                <w:spacing w:val="-3"/>
              </w:rPr>
              <w:t xml:space="preserve"> </w:t>
            </w:r>
            <w:r w:rsidRPr="002B65F7">
              <w:t>N</w:t>
            </w:r>
            <w:r w:rsidRPr="002B65F7">
              <w:rPr>
                <w:spacing w:val="-3"/>
              </w:rPr>
              <w:t xml:space="preserve"> </w:t>
            </w:r>
            <w:r w:rsidRPr="002B65F7">
              <w:rPr>
                <w:spacing w:val="-5"/>
              </w:rPr>
              <w:t>(%)</w:t>
            </w:r>
          </w:p>
        </w:tc>
        <w:tc>
          <w:tcPr>
            <w:tcW w:w="1055" w:type="pct"/>
          </w:tcPr>
          <w:p w14:paraId="03B581FD" w14:textId="77777777" w:rsidR="00092F83" w:rsidRPr="002B65F7" w:rsidRDefault="00C31740" w:rsidP="00496255">
            <w:pPr>
              <w:pStyle w:val="TableParagraph"/>
              <w:widowControl/>
              <w:adjustRightInd w:val="0"/>
              <w:snapToGrid w:val="0"/>
              <w:ind w:left="0"/>
            </w:pPr>
            <w:r w:rsidRPr="002B65F7">
              <w:t>286</w:t>
            </w:r>
            <w:r w:rsidRPr="002B65F7">
              <w:rPr>
                <w:spacing w:val="-2"/>
              </w:rPr>
              <w:t xml:space="preserve"> (82%)</w:t>
            </w:r>
          </w:p>
        </w:tc>
        <w:tc>
          <w:tcPr>
            <w:tcW w:w="1093" w:type="pct"/>
          </w:tcPr>
          <w:p w14:paraId="03B581FE" w14:textId="77777777" w:rsidR="00092F83" w:rsidRPr="002B65F7" w:rsidRDefault="00C31740" w:rsidP="00496255">
            <w:pPr>
              <w:pStyle w:val="TableParagraph"/>
              <w:widowControl/>
              <w:adjustRightInd w:val="0"/>
              <w:snapToGrid w:val="0"/>
              <w:ind w:left="0"/>
            </w:pPr>
            <w:r w:rsidRPr="002B65F7">
              <w:t>181</w:t>
            </w:r>
            <w:r w:rsidRPr="002B65F7">
              <w:rPr>
                <w:spacing w:val="-2"/>
              </w:rPr>
              <w:t xml:space="preserve"> (87%)</w:t>
            </w:r>
          </w:p>
        </w:tc>
        <w:tc>
          <w:tcPr>
            <w:tcW w:w="1115" w:type="pct"/>
          </w:tcPr>
          <w:p w14:paraId="03B581FF" w14:textId="4C7F4B5E" w:rsidR="00092F83" w:rsidRPr="002B65F7" w:rsidRDefault="00C31740" w:rsidP="00496255">
            <w:pPr>
              <w:pStyle w:val="TableParagraph"/>
              <w:widowControl/>
              <w:adjustRightInd w:val="0"/>
              <w:snapToGrid w:val="0"/>
              <w:ind w:left="0"/>
            </w:pPr>
            <w:r w:rsidRPr="002B65F7">
              <w:t>320</w:t>
            </w:r>
            <w:r w:rsidRPr="002B65F7">
              <w:rPr>
                <w:spacing w:val="-4"/>
              </w:rPr>
              <w:t xml:space="preserve"> </w:t>
            </w:r>
            <w:r w:rsidRPr="002B65F7">
              <w:t>(92%)</w:t>
            </w:r>
            <w:r w:rsidRPr="002B65F7">
              <w:rPr>
                <w:spacing w:val="-10"/>
                <w:vertAlign w:val="superscript"/>
              </w:rPr>
              <w:t>a</w:t>
            </w:r>
          </w:p>
        </w:tc>
      </w:tr>
      <w:tr w:rsidR="00092F83" w:rsidRPr="002B65F7" w14:paraId="03B58205" w14:textId="77777777" w:rsidTr="00D57C49">
        <w:trPr>
          <w:cantSplit/>
          <w:trHeight w:val="254"/>
        </w:trPr>
        <w:tc>
          <w:tcPr>
            <w:tcW w:w="1737" w:type="pct"/>
          </w:tcPr>
          <w:p w14:paraId="03B58201" w14:textId="402BDD98" w:rsidR="00092F83" w:rsidRPr="002B65F7" w:rsidRDefault="00C31740" w:rsidP="00793B5A">
            <w:pPr>
              <w:pStyle w:val="TableParagraph"/>
              <w:widowControl/>
              <w:adjustRightInd w:val="0"/>
              <w:snapToGrid w:val="0"/>
              <w:ind w:left="0"/>
              <w:jc w:val="left"/>
            </w:pPr>
            <w:r w:rsidRPr="002B65F7">
              <w:t>Réponse</w:t>
            </w:r>
            <w:r w:rsidRPr="002B65F7">
              <w:rPr>
                <w:spacing w:val="-3"/>
              </w:rPr>
              <w:t xml:space="preserve"> </w:t>
            </w:r>
            <w:r w:rsidRPr="002B65F7">
              <w:t>PASI</w:t>
            </w:r>
            <w:r w:rsidR="002A49FA" w:rsidRPr="002B65F7">
              <w:rPr>
                <w:spacing w:val="-7"/>
              </w:rPr>
              <w:t> </w:t>
            </w:r>
            <w:r w:rsidRPr="002B65F7">
              <w:t>75</w:t>
            </w:r>
            <w:r w:rsidRPr="002B65F7">
              <w:rPr>
                <w:spacing w:val="-4"/>
              </w:rPr>
              <w:t xml:space="preserve"> </w:t>
            </w:r>
            <w:r w:rsidRPr="002B65F7">
              <w:t>N</w:t>
            </w:r>
            <w:r w:rsidRPr="002B65F7">
              <w:rPr>
                <w:spacing w:val="-3"/>
              </w:rPr>
              <w:t xml:space="preserve"> </w:t>
            </w:r>
            <w:r w:rsidRPr="002B65F7">
              <w:rPr>
                <w:spacing w:val="-5"/>
              </w:rPr>
              <w:t>(%)</w:t>
            </w:r>
          </w:p>
        </w:tc>
        <w:tc>
          <w:tcPr>
            <w:tcW w:w="1055" w:type="pct"/>
          </w:tcPr>
          <w:p w14:paraId="03B58202" w14:textId="77777777" w:rsidR="00092F83" w:rsidRPr="002B65F7" w:rsidRDefault="00C31740" w:rsidP="00496255">
            <w:pPr>
              <w:pStyle w:val="TableParagraph"/>
              <w:widowControl/>
              <w:adjustRightInd w:val="0"/>
              <w:snapToGrid w:val="0"/>
              <w:ind w:left="0"/>
            </w:pPr>
            <w:r w:rsidRPr="002B65F7">
              <w:t>197</w:t>
            </w:r>
            <w:r w:rsidRPr="002B65F7">
              <w:rPr>
                <w:spacing w:val="-2"/>
              </w:rPr>
              <w:t xml:space="preserve"> (57%)</w:t>
            </w:r>
          </w:p>
        </w:tc>
        <w:tc>
          <w:tcPr>
            <w:tcW w:w="1093" w:type="pct"/>
          </w:tcPr>
          <w:p w14:paraId="03B58203" w14:textId="0291616A" w:rsidR="00092F83" w:rsidRPr="002B65F7" w:rsidRDefault="00C31740" w:rsidP="00496255">
            <w:pPr>
              <w:pStyle w:val="TableParagraph"/>
              <w:widowControl/>
              <w:adjustRightInd w:val="0"/>
              <w:snapToGrid w:val="0"/>
              <w:ind w:left="0"/>
            </w:pPr>
            <w:r w:rsidRPr="002B65F7">
              <w:t>141</w:t>
            </w:r>
            <w:r w:rsidRPr="002B65F7">
              <w:rPr>
                <w:spacing w:val="-4"/>
              </w:rPr>
              <w:t xml:space="preserve"> </w:t>
            </w:r>
            <w:r w:rsidRPr="002B65F7">
              <w:t>(67%)</w:t>
            </w:r>
            <w:r w:rsidRPr="002B65F7">
              <w:rPr>
                <w:spacing w:val="-10"/>
                <w:vertAlign w:val="superscript"/>
              </w:rPr>
              <w:t>b</w:t>
            </w:r>
          </w:p>
        </w:tc>
        <w:tc>
          <w:tcPr>
            <w:tcW w:w="1115" w:type="pct"/>
          </w:tcPr>
          <w:p w14:paraId="03B58204" w14:textId="4A7B4132" w:rsidR="00092F83" w:rsidRPr="002B65F7" w:rsidRDefault="00C31740" w:rsidP="00496255">
            <w:pPr>
              <w:pStyle w:val="TableParagraph"/>
              <w:widowControl/>
              <w:adjustRightInd w:val="0"/>
              <w:snapToGrid w:val="0"/>
              <w:ind w:left="0"/>
            </w:pPr>
            <w:r w:rsidRPr="002B65F7">
              <w:t>256</w:t>
            </w:r>
            <w:r w:rsidRPr="002B65F7">
              <w:rPr>
                <w:spacing w:val="-4"/>
              </w:rPr>
              <w:t xml:space="preserve"> </w:t>
            </w:r>
            <w:r w:rsidRPr="002B65F7">
              <w:t>(74%)</w:t>
            </w:r>
            <w:r w:rsidRPr="002B65F7">
              <w:rPr>
                <w:spacing w:val="-10"/>
                <w:vertAlign w:val="superscript"/>
              </w:rPr>
              <w:t>a</w:t>
            </w:r>
          </w:p>
        </w:tc>
      </w:tr>
      <w:tr w:rsidR="00092F83" w:rsidRPr="002B65F7" w14:paraId="03B5820A" w14:textId="77777777" w:rsidTr="00D57C49">
        <w:trPr>
          <w:cantSplit/>
          <w:trHeight w:val="251"/>
        </w:trPr>
        <w:tc>
          <w:tcPr>
            <w:tcW w:w="1737" w:type="pct"/>
          </w:tcPr>
          <w:p w14:paraId="03B58206" w14:textId="6697691B" w:rsidR="00092F83" w:rsidRPr="002B65F7" w:rsidRDefault="00C31740" w:rsidP="00793B5A">
            <w:pPr>
              <w:pStyle w:val="TableParagraph"/>
              <w:widowControl/>
              <w:adjustRightInd w:val="0"/>
              <w:snapToGrid w:val="0"/>
              <w:ind w:left="0"/>
              <w:jc w:val="left"/>
            </w:pPr>
            <w:r w:rsidRPr="002B65F7">
              <w:t>Réponse</w:t>
            </w:r>
            <w:r w:rsidRPr="002B65F7">
              <w:rPr>
                <w:spacing w:val="-3"/>
              </w:rPr>
              <w:t xml:space="preserve"> </w:t>
            </w:r>
            <w:r w:rsidRPr="002B65F7">
              <w:t>PASI</w:t>
            </w:r>
            <w:r w:rsidR="002A49FA" w:rsidRPr="002B65F7">
              <w:rPr>
                <w:spacing w:val="-7"/>
              </w:rPr>
              <w:t> </w:t>
            </w:r>
            <w:r w:rsidRPr="002B65F7">
              <w:t>90</w:t>
            </w:r>
            <w:r w:rsidRPr="002B65F7">
              <w:rPr>
                <w:spacing w:val="-4"/>
              </w:rPr>
              <w:t xml:space="preserve"> </w:t>
            </w:r>
            <w:r w:rsidRPr="002B65F7">
              <w:t>N</w:t>
            </w:r>
            <w:r w:rsidRPr="002B65F7">
              <w:rPr>
                <w:spacing w:val="-3"/>
              </w:rPr>
              <w:t xml:space="preserve"> </w:t>
            </w:r>
            <w:r w:rsidRPr="002B65F7">
              <w:rPr>
                <w:spacing w:val="-5"/>
              </w:rPr>
              <w:t>(%)</w:t>
            </w:r>
          </w:p>
        </w:tc>
        <w:tc>
          <w:tcPr>
            <w:tcW w:w="1055" w:type="pct"/>
          </w:tcPr>
          <w:p w14:paraId="03B58207" w14:textId="77777777" w:rsidR="00092F83" w:rsidRPr="002B65F7" w:rsidRDefault="00C31740" w:rsidP="00496255">
            <w:pPr>
              <w:pStyle w:val="TableParagraph"/>
              <w:widowControl/>
              <w:adjustRightInd w:val="0"/>
              <w:snapToGrid w:val="0"/>
              <w:ind w:left="0"/>
            </w:pPr>
            <w:r w:rsidRPr="002B65F7">
              <w:t>80</w:t>
            </w:r>
            <w:r w:rsidRPr="002B65F7">
              <w:rPr>
                <w:spacing w:val="-1"/>
              </w:rPr>
              <w:t xml:space="preserve"> </w:t>
            </w:r>
            <w:r w:rsidRPr="002B65F7">
              <w:rPr>
                <w:spacing w:val="-2"/>
              </w:rPr>
              <w:t>(23%)</w:t>
            </w:r>
          </w:p>
        </w:tc>
        <w:tc>
          <w:tcPr>
            <w:tcW w:w="1093" w:type="pct"/>
          </w:tcPr>
          <w:p w14:paraId="03B58208" w14:textId="1E52DE86" w:rsidR="00092F83" w:rsidRPr="002B65F7" w:rsidRDefault="00C31740" w:rsidP="00496255">
            <w:pPr>
              <w:pStyle w:val="TableParagraph"/>
              <w:widowControl/>
              <w:adjustRightInd w:val="0"/>
              <w:snapToGrid w:val="0"/>
              <w:ind w:left="0"/>
            </w:pPr>
            <w:r w:rsidRPr="002B65F7">
              <w:t>76 (36%)</w:t>
            </w:r>
            <w:r w:rsidRPr="002B65F7">
              <w:rPr>
                <w:spacing w:val="-10"/>
                <w:vertAlign w:val="superscript"/>
              </w:rPr>
              <w:t>a</w:t>
            </w:r>
          </w:p>
        </w:tc>
        <w:tc>
          <w:tcPr>
            <w:tcW w:w="1115" w:type="pct"/>
          </w:tcPr>
          <w:p w14:paraId="03B58209" w14:textId="7580F227" w:rsidR="00092F83" w:rsidRPr="002B65F7" w:rsidRDefault="00C31740" w:rsidP="00496255">
            <w:pPr>
              <w:pStyle w:val="TableParagraph"/>
              <w:widowControl/>
              <w:adjustRightInd w:val="0"/>
              <w:snapToGrid w:val="0"/>
              <w:ind w:left="0"/>
            </w:pPr>
            <w:r w:rsidRPr="002B65F7">
              <w:t>155</w:t>
            </w:r>
            <w:r w:rsidRPr="002B65F7">
              <w:rPr>
                <w:spacing w:val="-4"/>
              </w:rPr>
              <w:t xml:space="preserve"> </w:t>
            </w:r>
            <w:r w:rsidRPr="002B65F7">
              <w:t>(45%)</w:t>
            </w:r>
            <w:r w:rsidRPr="002B65F7">
              <w:rPr>
                <w:spacing w:val="-10"/>
                <w:vertAlign w:val="superscript"/>
              </w:rPr>
              <w:t>a</w:t>
            </w:r>
          </w:p>
        </w:tc>
      </w:tr>
      <w:tr w:rsidR="00092F83" w:rsidRPr="002B65F7" w14:paraId="03B5820F" w14:textId="77777777" w:rsidTr="00D57C49">
        <w:trPr>
          <w:cantSplit/>
          <w:trHeight w:val="253"/>
        </w:trPr>
        <w:tc>
          <w:tcPr>
            <w:tcW w:w="1737" w:type="pct"/>
          </w:tcPr>
          <w:p w14:paraId="03B5820B" w14:textId="77777777" w:rsidR="00092F83" w:rsidRPr="002B65F7" w:rsidRDefault="00C31740" w:rsidP="00793B5A">
            <w:pPr>
              <w:pStyle w:val="TableParagraph"/>
              <w:widowControl/>
              <w:adjustRightInd w:val="0"/>
              <w:snapToGrid w:val="0"/>
              <w:ind w:left="0"/>
              <w:jc w:val="left"/>
              <w:rPr>
                <w:lang w:val="pt-PT"/>
              </w:rPr>
            </w:pPr>
            <w:r w:rsidRPr="002B65F7">
              <w:rPr>
                <w:lang w:val="pt-PT"/>
              </w:rPr>
              <w:t>PGA</w:t>
            </w:r>
            <w:r w:rsidRPr="002B65F7">
              <w:rPr>
                <w:spacing w:val="-5"/>
                <w:lang w:val="pt-PT"/>
              </w:rPr>
              <w:t xml:space="preserve"> </w:t>
            </w:r>
            <w:r w:rsidRPr="002B65F7">
              <w:rPr>
                <w:lang w:val="pt-PT"/>
              </w:rPr>
              <w:t>blanchi</w:t>
            </w:r>
            <w:r w:rsidRPr="002B65F7">
              <w:rPr>
                <w:spacing w:val="-4"/>
                <w:lang w:val="pt-PT"/>
              </w:rPr>
              <w:t xml:space="preserve"> </w:t>
            </w:r>
            <w:r w:rsidRPr="002B65F7">
              <w:rPr>
                <w:lang w:val="pt-PT"/>
              </w:rPr>
              <w:t>ou</w:t>
            </w:r>
            <w:r w:rsidRPr="002B65F7">
              <w:rPr>
                <w:spacing w:val="-4"/>
                <w:lang w:val="pt-PT"/>
              </w:rPr>
              <w:t xml:space="preserve"> </w:t>
            </w:r>
            <w:r w:rsidRPr="002B65F7">
              <w:rPr>
                <w:lang w:val="pt-PT"/>
              </w:rPr>
              <w:t>minimal</w:t>
            </w:r>
            <w:r w:rsidRPr="002B65F7">
              <w:rPr>
                <w:spacing w:val="-4"/>
                <w:lang w:val="pt-PT"/>
              </w:rPr>
              <w:t xml:space="preserve"> </w:t>
            </w:r>
            <w:r w:rsidRPr="002B65F7">
              <w:rPr>
                <w:lang w:val="pt-PT"/>
              </w:rPr>
              <w:t>N</w:t>
            </w:r>
            <w:r w:rsidRPr="002B65F7">
              <w:rPr>
                <w:spacing w:val="-6"/>
                <w:lang w:val="pt-PT"/>
              </w:rPr>
              <w:t xml:space="preserve"> </w:t>
            </w:r>
            <w:r w:rsidRPr="002B65F7">
              <w:rPr>
                <w:spacing w:val="-5"/>
                <w:lang w:val="pt-PT"/>
              </w:rPr>
              <w:t>(%)</w:t>
            </w:r>
          </w:p>
        </w:tc>
        <w:tc>
          <w:tcPr>
            <w:tcW w:w="1055" w:type="pct"/>
          </w:tcPr>
          <w:p w14:paraId="03B5820C" w14:textId="77777777" w:rsidR="00092F83" w:rsidRPr="002B65F7" w:rsidRDefault="00C31740" w:rsidP="00496255">
            <w:pPr>
              <w:pStyle w:val="TableParagraph"/>
              <w:widowControl/>
              <w:adjustRightInd w:val="0"/>
              <w:snapToGrid w:val="0"/>
              <w:ind w:left="0"/>
            </w:pPr>
            <w:r w:rsidRPr="002B65F7">
              <w:t>170</w:t>
            </w:r>
            <w:r w:rsidRPr="002B65F7">
              <w:rPr>
                <w:spacing w:val="-2"/>
              </w:rPr>
              <w:t xml:space="preserve"> (49%)</w:t>
            </w:r>
          </w:p>
        </w:tc>
        <w:tc>
          <w:tcPr>
            <w:tcW w:w="1093" w:type="pct"/>
          </w:tcPr>
          <w:p w14:paraId="03B5820D" w14:textId="04DA79CC" w:rsidR="00092F83" w:rsidRPr="002B65F7" w:rsidRDefault="00C31740" w:rsidP="00496255">
            <w:pPr>
              <w:pStyle w:val="TableParagraph"/>
              <w:widowControl/>
              <w:adjustRightInd w:val="0"/>
              <w:snapToGrid w:val="0"/>
              <w:ind w:left="0"/>
            </w:pPr>
            <w:r w:rsidRPr="002B65F7">
              <w:t>136</w:t>
            </w:r>
            <w:r w:rsidRPr="002B65F7">
              <w:rPr>
                <w:spacing w:val="-4"/>
              </w:rPr>
              <w:t xml:space="preserve"> </w:t>
            </w:r>
            <w:r w:rsidRPr="002B65F7">
              <w:t>(65%)</w:t>
            </w:r>
            <w:r w:rsidRPr="002B65F7">
              <w:rPr>
                <w:spacing w:val="-10"/>
                <w:vertAlign w:val="superscript"/>
              </w:rPr>
              <w:t>a</w:t>
            </w:r>
          </w:p>
        </w:tc>
        <w:tc>
          <w:tcPr>
            <w:tcW w:w="1115" w:type="pct"/>
          </w:tcPr>
          <w:p w14:paraId="03B5820E" w14:textId="6ED6BDF2" w:rsidR="00092F83" w:rsidRPr="002B65F7" w:rsidRDefault="00C31740" w:rsidP="00496255">
            <w:pPr>
              <w:pStyle w:val="TableParagraph"/>
              <w:widowControl/>
              <w:adjustRightInd w:val="0"/>
              <w:snapToGrid w:val="0"/>
              <w:ind w:left="0"/>
            </w:pPr>
            <w:r w:rsidRPr="002B65F7">
              <w:t>245</w:t>
            </w:r>
            <w:r w:rsidRPr="002B65F7">
              <w:rPr>
                <w:spacing w:val="-4"/>
              </w:rPr>
              <w:t xml:space="preserve"> </w:t>
            </w:r>
            <w:r w:rsidRPr="002B65F7">
              <w:t>(71%)</w:t>
            </w:r>
            <w:r w:rsidRPr="002B65F7">
              <w:rPr>
                <w:spacing w:val="-10"/>
                <w:vertAlign w:val="superscript"/>
              </w:rPr>
              <w:t>a</w:t>
            </w:r>
          </w:p>
        </w:tc>
      </w:tr>
      <w:tr w:rsidR="00092F83" w:rsidRPr="002B65F7" w14:paraId="03B58214" w14:textId="77777777" w:rsidTr="00D57C49">
        <w:trPr>
          <w:cantSplit/>
          <w:trHeight w:val="251"/>
        </w:trPr>
        <w:tc>
          <w:tcPr>
            <w:tcW w:w="1737" w:type="pct"/>
          </w:tcPr>
          <w:p w14:paraId="03B58210" w14:textId="13C13ACD" w:rsidR="00092F83" w:rsidRPr="002B65F7" w:rsidRDefault="00C31740" w:rsidP="00793B5A">
            <w:pPr>
              <w:pStyle w:val="TableParagraph"/>
              <w:widowControl/>
              <w:adjustRightInd w:val="0"/>
              <w:snapToGrid w:val="0"/>
              <w:ind w:left="0"/>
              <w:jc w:val="left"/>
            </w:pPr>
            <w:r w:rsidRPr="002B65F7">
              <w:t>Nombre</w:t>
            </w:r>
            <w:r w:rsidRPr="002B65F7">
              <w:rPr>
                <w:spacing w:val="-6"/>
              </w:rPr>
              <w:t xml:space="preserve"> </w:t>
            </w:r>
            <w:r w:rsidRPr="002B65F7">
              <w:t>de</w:t>
            </w:r>
            <w:r w:rsidRPr="002B65F7">
              <w:rPr>
                <w:spacing w:val="-4"/>
              </w:rPr>
              <w:t xml:space="preserve"> </w:t>
            </w:r>
            <w:r w:rsidRPr="002B65F7">
              <w:t>patients</w:t>
            </w:r>
            <w:r w:rsidR="002A49FA" w:rsidRPr="002B65F7">
              <w:rPr>
                <w:spacing w:val="-5"/>
              </w:rPr>
              <w:t> </w:t>
            </w:r>
            <w:r w:rsidRPr="002B65F7">
              <w:t>≤</w:t>
            </w:r>
            <w:r w:rsidR="002A49FA" w:rsidRPr="002B65F7">
              <w:rPr>
                <w:spacing w:val="-2"/>
              </w:rPr>
              <w:t> </w:t>
            </w:r>
            <w:r w:rsidRPr="002B65F7">
              <w:t>100</w:t>
            </w:r>
            <w:r w:rsidR="002A49FA" w:rsidRPr="002B65F7">
              <w:rPr>
                <w:spacing w:val="-5"/>
              </w:rPr>
              <w:t> </w:t>
            </w:r>
            <w:r w:rsidRPr="002B65F7">
              <w:rPr>
                <w:spacing w:val="-5"/>
              </w:rPr>
              <w:t>kg</w:t>
            </w:r>
          </w:p>
        </w:tc>
        <w:tc>
          <w:tcPr>
            <w:tcW w:w="1055" w:type="pct"/>
          </w:tcPr>
          <w:p w14:paraId="03B58211" w14:textId="77777777" w:rsidR="00092F83" w:rsidRPr="002B65F7" w:rsidRDefault="00C31740" w:rsidP="00496255">
            <w:pPr>
              <w:pStyle w:val="TableParagraph"/>
              <w:widowControl/>
              <w:adjustRightInd w:val="0"/>
              <w:snapToGrid w:val="0"/>
              <w:ind w:left="0"/>
            </w:pPr>
            <w:r w:rsidRPr="002B65F7">
              <w:rPr>
                <w:spacing w:val="-5"/>
              </w:rPr>
              <w:t>251</w:t>
            </w:r>
          </w:p>
        </w:tc>
        <w:tc>
          <w:tcPr>
            <w:tcW w:w="1093" w:type="pct"/>
          </w:tcPr>
          <w:p w14:paraId="03B58212" w14:textId="77777777" w:rsidR="00092F83" w:rsidRPr="002B65F7" w:rsidRDefault="00C31740" w:rsidP="00496255">
            <w:pPr>
              <w:pStyle w:val="TableParagraph"/>
              <w:widowControl/>
              <w:adjustRightInd w:val="0"/>
              <w:snapToGrid w:val="0"/>
              <w:ind w:left="0"/>
            </w:pPr>
            <w:r w:rsidRPr="002B65F7">
              <w:rPr>
                <w:spacing w:val="-5"/>
              </w:rPr>
              <w:t>151</w:t>
            </w:r>
          </w:p>
        </w:tc>
        <w:tc>
          <w:tcPr>
            <w:tcW w:w="1115" w:type="pct"/>
          </w:tcPr>
          <w:p w14:paraId="03B58213" w14:textId="77777777" w:rsidR="00092F83" w:rsidRPr="002B65F7" w:rsidRDefault="00C31740" w:rsidP="00496255">
            <w:pPr>
              <w:pStyle w:val="TableParagraph"/>
              <w:widowControl/>
              <w:adjustRightInd w:val="0"/>
              <w:snapToGrid w:val="0"/>
              <w:ind w:left="0"/>
            </w:pPr>
            <w:r w:rsidRPr="002B65F7">
              <w:rPr>
                <w:spacing w:val="-5"/>
              </w:rPr>
              <w:t>244</w:t>
            </w:r>
          </w:p>
        </w:tc>
      </w:tr>
      <w:tr w:rsidR="00092F83" w:rsidRPr="002B65F7" w14:paraId="03B58219" w14:textId="77777777" w:rsidTr="00D57C49">
        <w:trPr>
          <w:cantSplit/>
          <w:trHeight w:val="253"/>
        </w:trPr>
        <w:tc>
          <w:tcPr>
            <w:tcW w:w="1737" w:type="pct"/>
          </w:tcPr>
          <w:p w14:paraId="03B58215" w14:textId="39AF67B6" w:rsidR="00092F83" w:rsidRPr="002B65F7" w:rsidRDefault="00C31740" w:rsidP="00793B5A">
            <w:pPr>
              <w:pStyle w:val="TableParagraph"/>
              <w:widowControl/>
              <w:adjustRightInd w:val="0"/>
              <w:snapToGrid w:val="0"/>
              <w:ind w:left="0"/>
              <w:jc w:val="left"/>
            </w:pPr>
            <w:r w:rsidRPr="002B65F7">
              <w:t>Réponse</w:t>
            </w:r>
            <w:r w:rsidRPr="002B65F7">
              <w:rPr>
                <w:spacing w:val="-3"/>
              </w:rPr>
              <w:t xml:space="preserve"> </w:t>
            </w:r>
            <w:r w:rsidRPr="002B65F7">
              <w:t>PASI</w:t>
            </w:r>
            <w:r w:rsidR="002A49FA" w:rsidRPr="002B65F7">
              <w:rPr>
                <w:spacing w:val="-7"/>
              </w:rPr>
              <w:t> </w:t>
            </w:r>
            <w:r w:rsidRPr="002B65F7">
              <w:t>75</w:t>
            </w:r>
            <w:r w:rsidRPr="002B65F7">
              <w:rPr>
                <w:spacing w:val="-4"/>
              </w:rPr>
              <w:t xml:space="preserve"> </w:t>
            </w:r>
            <w:r w:rsidRPr="002B65F7">
              <w:t>N</w:t>
            </w:r>
            <w:r w:rsidRPr="002B65F7">
              <w:rPr>
                <w:spacing w:val="-3"/>
              </w:rPr>
              <w:t xml:space="preserve"> </w:t>
            </w:r>
            <w:r w:rsidRPr="002B65F7">
              <w:rPr>
                <w:spacing w:val="-5"/>
              </w:rPr>
              <w:t>(%)</w:t>
            </w:r>
          </w:p>
        </w:tc>
        <w:tc>
          <w:tcPr>
            <w:tcW w:w="1055" w:type="pct"/>
          </w:tcPr>
          <w:p w14:paraId="03B58216" w14:textId="77777777" w:rsidR="00092F83" w:rsidRPr="002B65F7" w:rsidRDefault="00C31740" w:rsidP="00496255">
            <w:pPr>
              <w:pStyle w:val="TableParagraph"/>
              <w:widowControl/>
              <w:adjustRightInd w:val="0"/>
              <w:snapToGrid w:val="0"/>
              <w:ind w:left="0"/>
            </w:pPr>
            <w:r w:rsidRPr="002B65F7">
              <w:t>154</w:t>
            </w:r>
            <w:r w:rsidRPr="002B65F7">
              <w:rPr>
                <w:spacing w:val="-2"/>
              </w:rPr>
              <w:t xml:space="preserve"> (61%)</w:t>
            </w:r>
          </w:p>
        </w:tc>
        <w:tc>
          <w:tcPr>
            <w:tcW w:w="1093" w:type="pct"/>
          </w:tcPr>
          <w:p w14:paraId="03B58217" w14:textId="77777777" w:rsidR="00092F83" w:rsidRPr="002B65F7" w:rsidRDefault="00C31740" w:rsidP="00496255">
            <w:pPr>
              <w:pStyle w:val="TableParagraph"/>
              <w:widowControl/>
              <w:adjustRightInd w:val="0"/>
              <w:snapToGrid w:val="0"/>
              <w:ind w:left="0"/>
            </w:pPr>
            <w:r w:rsidRPr="002B65F7">
              <w:t>109</w:t>
            </w:r>
            <w:r w:rsidRPr="002B65F7">
              <w:rPr>
                <w:spacing w:val="-2"/>
              </w:rPr>
              <w:t xml:space="preserve"> (72%)</w:t>
            </w:r>
          </w:p>
        </w:tc>
        <w:tc>
          <w:tcPr>
            <w:tcW w:w="1115" w:type="pct"/>
          </w:tcPr>
          <w:p w14:paraId="03B58218" w14:textId="77777777" w:rsidR="00092F83" w:rsidRPr="002B65F7" w:rsidRDefault="00C31740" w:rsidP="00496255">
            <w:pPr>
              <w:pStyle w:val="TableParagraph"/>
              <w:widowControl/>
              <w:adjustRightInd w:val="0"/>
              <w:snapToGrid w:val="0"/>
              <w:ind w:left="0"/>
            </w:pPr>
            <w:r w:rsidRPr="002B65F7">
              <w:t>189</w:t>
            </w:r>
            <w:r w:rsidRPr="002B65F7">
              <w:rPr>
                <w:spacing w:val="-2"/>
              </w:rPr>
              <w:t xml:space="preserve"> (77%)</w:t>
            </w:r>
          </w:p>
        </w:tc>
      </w:tr>
      <w:tr w:rsidR="00092F83" w:rsidRPr="002B65F7" w14:paraId="03B5821E" w14:textId="77777777" w:rsidTr="00D57C49">
        <w:trPr>
          <w:cantSplit/>
          <w:trHeight w:val="253"/>
        </w:trPr>
        <w:tc>
          <w:tcPr>
            <w:tcW w:w="1737" w:type="pct"/>
          </w:tcPr>
          <w:p w14:paraId="03B5821A" w14:textId="44F8E627" w:rsidR="00092F83" w:rsidRPr="002B65F7" w:rsidRDefault="00C31740" w:rsidP="00793B5A">
            <w:pPr>
              <w:pStyle w:val="TableParagraph"/>
              <w:widowControl/>
              <w:adjustRightInd w:val="0"/>
              <w:snapToGrid w:val="0"/>
              <w:ind w:left="0"/>
              <w:jc w:val="left"/>
            </w:pPr>
            <w:r w:rsidRPr="002B65F7">
              <w:t>Nombre</w:t>
            </w:r>
            <w:r w:rsidRPr="002B65F7">
              <w:rPr>
                <w:spacing w:val="-4"/>
              </w:rPr>
              <w:t xml:space="preserve"> </w:t>
            </w:r>
            <w:r w:rsidRPr="002B65F7">
              <w:t>de</w:t>
            </w:r>
            <w:r w:rsidRPr="002B65F7">
              <w:rPr>
                <w:spacing w:val="-4"/>
              </w:rPr>
              <w:t xml:space="preserve"> </w:t>
            </w:r>
            <w:r w:rsidRPr="002B65F7">
              <w:t>patients</w:t>
            </w:r>
            <w:r w:rsidR="002A49FA" w:rsidRPr="002B65F7">
              <w:rPr>
                <w:spacing w:val="-3"/>
              </w:rPr>
              <w:t> </w:t>
            </w:r>
            <w:r w:rsidRPr="002B65F7">
              <w:t>&gt;</w:t>
            </w:r>
            <w:r w:rsidR="002A49FA" w:rsidRPr="002B65F7">
              <w:rPr>
                <w:spacing w:val="-5"/>
              </w:rPr>
              <w:t> </w:t>
            </w:r>
            <w:r w:rsidRPr="002B65F7">
              <w:t>100</w:t>
            </w:r>
            <w:r w:rsidR="002A49FA" w:rsidRPr="002B65F7">
              <w:rPr>
                <w:spacing w:val="-2"/>
              </w:rPr>
              <w:t> </w:t>
            </w:r>
            <w:r w:rsidRPr="002B65F7">
              <w:rPr>
                <w:spacing w:val="-5"/>
              </w:rPr>
              <w:t>kg</w:t>
            </w:r>
          </w:p>
        </w:tc>
        <w:tc>
          <w:tcPr>
            <w:tcW w:w="1055" w:type="pct"/>
          </w:tcPr>
          <w:p w14:paraId="03B5821B" w14:textId="77777777" w:rsidR="00092F83" w:rsidRPr="002B65F7" w:rsidRDefault="00C31740" w:rsidP="00496255">
            <w:pPr>
              <w:pStyle w:val="TableParagraph"/>
              <w:widowControl/>
              <w:adjustRightInd w:val="0"/>
              <w:snapToGrid w:val="0"/>
              <w:ind w:left="0"/>
            </w:pPr>
            <w:r w:rsidRPr="002B65F7">
              <w:rPr>
                <w:spacing w:val="-5"/>
              </w:rPr>
              <w:t>96</w:t>
            </w:r>
          </w:p>
        </w:tc>
        <w:tc>
          <w:tcPr>
            <w:tcW w:w="1093" w:type="pct"/>
          </w:tcPr>
          <w:p w14:paraId="03B5821C" w14:textId="77777777" w:rsidR="00092F83" w:rsidRPr="002B65F7" w:rsidRDefault="00C31740" w:rsidP="00496255">
            <w:pPr>
              <w:pStyle w:val="TableParagraph"/>
              <w:widowControl/>
              <w:adjustRightInd w:val="0"/>
              <w:snapToGrid w:val="0"/>
              <w:ind w:left="0"/>
            </w:pPr>
            <w:r w:rsidRPr="002B65F7">
              <w:rPr>
                <w:spacing w:val="-5"/>
              </w:rPr>
              <w:t>58</w:t>
            </w:r>
          </w:p>
        </w:tc>
        <w:tc>
          <w:tcPr>
            <w:tcW w:w="1115" w:type="pct"/>
          </w:tcPr>
          <w:p w14:paraId="03B5821D" w14:textId="77777777" w:rsidR="00092F83" w:rsidRPr="002B65F7" w:rsidRDefault="00C31740" w:rsidP="00496255">
            <w:pPr>
              <w:pStyle w:val="TableParagraph"/>
              <w:widowControl/>
              <w:adjustRightInd w:val="0"/>
              <w:snapToGrid w:val="0"/>
              <w:ind w:left="0"/>
            </w:pPr>
            <w:r w:rsidRPr="002B65F7">
              <w:rPr>
                <w:spacing w:val="-5"/>
              </w:rPr>
              <w:t>103</w:t>
            </w:r>
          </w:p>
        </w:tc>
      </w:tr>
      <w:tr w:rsidR="00092F83" w:rsidRPr="002B65F7" w14:paraId="03B58223" w14:textId="77777777" w:rsidTr="00D57C49">
        <w:trPr>
          <w:cantSplit/>
          <w:trHeight w:val="251"/>
        </w:trPr>
        <w:tc>
          <w:tcPr>
            <w:tcW w:w="1737" w:type="pct"/>
          </w:tcPr>
          <w:p w14:paraId="03B5821F" w14:textId="5D80E94E" w:rsidR="00092F83" w:rsidRPr="002B65F7" w:rsidRDefault="00C31740" w:rsidP="00793B5A">
            <w:pPr>
              <w:pStyle w:val="TableParagraph"/>
              <w:widowControl/>
              <w:adjustRightInd w:val="0"/>
              <w:snapToGrid w:val="0"/>
              <w:ind w:left="0"/>
              <w:jc w:val="left"/>
            </w:pPr>
            <w:r w:rsidRPr="002B65F7">
              <w:t>Réponse</w:t>
            </w:r>
            <w:r w:rsidRPr="002B65F7">
              <w:rPr>
                <w:spacing w:val="-3"/>
              </w:rPr>
              <w:t xml:space="preserve"> </w:t>
            </w:r>
            <w:r w:rsidRPr="002B65F7">
              <w:t>PASI</w:t>
            </w:r>
            <w:r w:rsidR="002A49FA" w:rsidRPr="002B65F7">
              <w:rPr>
                <w:spacing w:val="-7"/>
              </w:rPr>
              <w:t> </w:t>
            </w:r>
            <w:r w:rsidRPr="002B65F7">
              <w:t>75</w:t>
            </w:r>
            <w:r w:rsidRPr="002B65F7">
              <w:rPr>
                <w:spacing w:val="-4"/>
              </w:rPr>
              <w:t xml:space="preserve"> </w:t>
            </w:r>
            <w:r w:rsidRPr="002B65F7">
              <w:t>N</w:t>
            </w:r>
            <w:r w:rsidRPr="002B65F7">
              <w:rPr>
                <w:spacing w:val="-3"/>
              </w:rPr>
              <w:t xml:space="preserve"> </w:t>
            </w:r>
            <w:r w:rsidRPr="002B65F7">
              <w:rPr>
                <w:spacing w:val="-5"/>
              </w:rPr>
              <w:t>(%)</w:t>
            </w:r>
          </w:p>
        </w:tc>
        <w:tc>
          <w:tcPr>
            <w:tcW w:w="1055" w:type="pct"/>
          </w:tcPr>
          <w:p w14:paraId="03B58220" w14:textId="77777777" w:rsidR="00092F83" w:rsidRPr="002B65F7" w:rsidRDefault="00C31740" w:rsidP="00496255">
            <w:pPr>
              <w:pStyle w:val="TableParagraph"/>
              <w:widowControl/>
              <w:adjustRightInd w:val="0"/>
              <w:snapToGrid w:val="0"/>
              <w:ind w:left="0"/>
            </w:pPr>
            <w:r w:rsidRPr="002B65F7">
              <w:t>43</w:t>
            </w:r>
            <w:r w:rsidRPr="002B65F7">
              <w:rPr>
                <w:spacing w:val="-1"/>
              </w:rPr>
              <w:t xml:space="preserve"> </w:t>
            </w:r>
            <w:r w:rsidRPr="002B65F7">
              <w:rPr>
                <w:spacing w:val="-2"/>
              </w:rPr>
              <w:t>(45%)</w:t>
            </w:r>
          </w:p>
        </w:tc>
        <w:tc>
          <w:tcPr>
            <w:tcW w:w="1093" w:type="pct"/>
          </w:tcPr>
          <w:p w14:paraId="03B58221" w14:textId="77777777" w:rsidR="00092F83" w:rsidRPr="002B65F7" w:rsidRDefault="00C31740" w:rsidP="00496255">
            <w:pPr>
              <w:pStyle w:val="TableParagraph"/>
              <w:widowControl/>
              <w:adjustRightInd w:val="0"/>
              <w:snapToGrid w:val="0"/>
              <w:ind w:left="0"/>
            </w:pPr>
            <w:r w:rsidRPr="002B65F7">
              <w:t>32</w:t>
            </w:r>
            <w:r w:rsidRPr="002B65F7">
              <w:rPr>
                <w:spacing w:val="-1"/>
              </w:rPr>
              <w:t xml:space="preserve"> </w:t>
            </w:r>
            <w:r w:rsidRPr="002B65F7">
              <w:rPr>
                <w:spacing w:val="-2"/>
              </w:rPr>
              <w:t>(55%)</w:t>
            </w:r>
          </w:p>
        </w:tc>
        <w:tc>
          <w:tcPr>
            <w:tcW w:w="1115" w:type="pct"/>
          </w:tcPr>
          <w:p w14:paraId="03B58222" w14:textId="77777777" w:rsidR="00092F83" w:rsidRPr="002B65F7" w:rsidRDefault="00C31740" w:rsidP="00496255">
            <w:pPr>
              <w:pStyle w:val="TableParagraph"/>
              <w:widowControl/>
              <w:adjustRightInd w:val="0"/>
              <w:snapToGrid w:val="0"/>
              <w:ind w:left="0"/>
            </w:pPr>
            <w:r w:rsidRPr="002B65F7">
              <w:t>67</w:t>
            </w:r>
            <w:r w:rsidRPr="002B65F7">
              <w:rPr>
                <w:spacing w:val="-1"/>
              </w:rPr>
              <w:t xml:space="preserve"> </w:t>
            </w:r>
            <w:r w:rsidRPr="002B65F7">
              <w:rPr>
                <w:spacing w:val="-2"/>
              </w:rPr>
              <w:t>(65%)</w:t>
            </w:r>
          </w:p>
        </w:tc>
      </w:tr>
    </w:tbl>
    <w:p w14:paraId="03B58224" w14:textId="6CFFB0E8" w:rsidR="00092F83" w:rsidRPr="002B65F7" w:rsidRDefault="00967A56" w:rsidP="00496255">
      <w:pPr>
        <w:widowControl/>
        <w:rPr>
          <w:sz w:val="20"/>
          <w:szCs w:val="20"/>
        </w:rPr>
      </w:pPr>
      <w:r w:rsidRPr="002B65F7">
        <w:rPr>
          <w:sz w:val="20"/>
          <w:szCs w:val="20"/>
          <w:vertAlign w:val="superscript"/>
        </w:rPr>
        <w:t>a</w:t>
      </w:r>
      <w:r w:rsidRPr="002B65F7">
        <w:rPr>
          <w:sz w:val="20"/>
          <w:szCs w:val="20"/>
        </w:rPr>
        <w:t xml:space="preserve"> </w:t>
      </w:r>
      <w:r w:rsidR="00C31740" w:rsidRPr="002B65F7">
        <w:rPr>
          <w:sz w:val="20"/>
          <w:szCs w:val="20"/>
        </w:rPr>
        <w:t>p</w:t>
      </w:r>
      <w:r w:rsidR="00FC7617" w:rsidRPr="002B65F7">
        <w:rPr>
          <w:sz w:val="20"/>
          <w:szCs w:val="20"/>
        </w:rPr>
        <w:t> </w:t>
      </w:r>
      <w:r w:rsidR="00C31740" w:rsidRPr="002B65F7">
        <w:rPr>
          <w:sz w:val="20"/>
          <w:szCs w:val="20"/>
        </w:rPr>
        <w:t>&lt;</w:t>
      </w:r>
      <w:r w:rsidR="00FC7617" w:rsidRPr="002B65F7">
        <w:rPr>
          <w:sz w:val="20"/>
          <w:szCs w:val="20"/>
        </w:rPr>
        <w:t> </w:t>
      </w:r>
      <w:r w:rsidR="00C31740" w:rsidRPr="002B65F7">
        <w:rPr>
          <w:sz w:val="20"/>
          <w:szCs w:val="20"/>
        </w:rPr>
        <w:t xml:space="preserve">0,001 pour </w:t>
      </w:r>
      <w:r w:rsidR="0071390F" w:rsidRPr="002B65F7">
        <w:rPr>
          <w:sz w:val="20"/>
          <w:szCs w:val="20"/>
        </w:rPr>
        <w:t>ustekinumab</w:t>
      </w:r>
      <w:r w:rsidR="00C31740" w:rsidRPr="002B65F7">
        <w:rPr>
          <w:sz w:val="20"/>
          <w:szCs w:val="20"/>
        </w:rPr>
        <w:t xml:space="preserve"> 45</w:t>
      </w:r>
      <w:r w:rsidR="00FC7617" w:rsidRPr="002B65F7">
        <w:rPr>
          <w:sz w:val="20"/>
          <w:szCs w:val="20"/>
        </w:rPr>
        <w:t> </w:t>
      </w:r>
      <w:r w:rsidR="00C31740" w:rsidRPr="002B65F7">
        <w:rPr>
          <w:sz w:val="20"/>
          <w:szCs w:val="20"/>
        </w:rPr>
        <w:t>mg ou 90</w:t>
      </w:r>
      <w:r w:rsidR="00FC7617" w:rsidRPr="002B65F7">
        <w:rPr>
          <w:sz w:val="20"/>
          <w:szCs w:val="20"/>
        </w:rPr>
        <w:t> </w:t>
      </w:r>
      <w:r w:rsidR="00C31740" w:rsidRPr="002B65F7">
        <w:rPr>
          <w:sz w:val="20"/>
          <w:szCs w:val="20"/>
        </w:rPr>
        <w:t xml:space="preserve">mg </w:t>
      </w:r>
      <w:r w:rsidR="00C31740" w:rsidRPr="002B65F7">
        <w:rPr>
          <w:i/>
          <w:iCs/>
          <w:sz w:val="20"/>
          <w:szCs w:val="20"/>
        </w:rPr>
        <w:t>versus</w:t>
      </w:r>
      <w:r w:rsidR="00C31740" w:rsidRPr="002B65F7">
        <w:rPr>
          <w:sz w:val="20"/>
          <w:szCs w:val="20"/>
        </w:rPr>
        <w:t xml:space="preserve"> étanercept.</w:t>
      </w:r>
    </w:p>
    <w:p w14:paraId="03B58225" w14:textId="003D31A0" w:rsidR="00092F83" w:rsidRPr="002B65F7" w:rsidRDefault="00FC7617" w:rsidP="00496255">
      <w:pPr>
        <w:widowControl/>
        <w:rPr>
          <w:sz w:val="20"/>
          <w:szCs w:val="20"/>
        </w:rPr>
      </w:pPr>
      <w:r w:rsidRPr="002B65F7">
        <w:rPr>
          <w:sz w:val="20"/>
          <w:szCs w:val="20"/>
          <w:vertAlign w:val="superscript"/>
        </w:rPr>
        <w:t>b</w:t>
      </w:r>
      <w:r w:rsidRPr="002B65F7">
        <w:rPr>
          <w:sz w:val="20"/>
          <w:szCs w:val="20"/>
        </w:rPr>
        <w:t xml:space="preserve"> </w:t>
      </w:r>
      <w:r w:rsidR="00C31740" w:rsidRPr="002B65F7">
        <w:rPr>
          <w:sz w:val="20"/>
          <w:szCs w:val="20"/>
        </w:rPr>
        <w:t>p</w:t>
      </w:r>
      <w:r w:rsidRPr="002B65F7">
        <w:rPr>
          <w:sz w:val="20"/>
          <w:szCs w:val="20"/>
        </w:rPr>
        <w:t> </w:t>
      </w:r>
      <w:r w:rsidR="00C31740" w:rsidRPr="002B65F7">
        <w:rPr>
          <w:sz w:val="20"/>
          <w:szCs w:val="20"/>
        </w:rPr>
        <w:t>=</w:t>
      </w:r>
      <w:r w:rsidRPr="002B65F7">
        <w:rPr>
          <w:sz w:val="20"/>
          <w:szCs w:val="20"/>
        </w:rPr>
        <w:t> </w:t>
      </w:r>
      <w:r w:rsidR="00C31740" w:rsidRPr="002B65F7">
        <w:rPr>
          <w:sz w:val="20"/>
          <w:szCs w:val="20"/>
        </w:rPr>
        <w:t xml:space="preserve">0,012 pour </w:t>
      </w:r>
      <w:r w:rsidR="0071390F" w:rsidRPr="002B65F7">
        <w:rPr>
          <w:sz w:val="20"/>
          <w:szCs w:val="20"/>
        </w:rPr>
        <w:t>ustekinumab</w:t>
      </w:r>
      <w:r w:rsidR="00C31740" w:rsidRPr="002B65F7">
        <w:rPr>
          <w:sz w:val="20"/>
          <w:szCs w:val="20"/>
        </w:rPr>
        <w:t xml:space="preserve"> 45</w:t>
      </w:r>
      <w:r w:rsidRPr="002B65F7">
        <w:rPr>
          <w:sz w:val="20"/>
          <w:szCs w:val="20"/>
        </w:rPr>
        <w:t> </w:t>
      </w:r>
      <w:r w:rsidR="00C31740" w:rsidRPr="002B65F7">
        <w:rPr>
          <w:sz w:val="20"/>
          <w:szCs w:val="20"/>
        </w:rPr>
        <w:t xml:space="preserve">mg </w:t>
      </w:r>
      <w:r w:rsidR="00C31740" w:rsidRPr="002B65F7">
        <w:rPr>
          <w:i/>
          <w:iCs/>
          <w:sz w:val="20"/>
          <w:szCs w:val="20"/>
        </w:rPr>
        <w:t>versus</w:t>
      </w:r>
      <w:r w:rsidR="00C31740" w:rsidRPr="002B65F7">
        <w:rPr>
          <w:sz w:val="20"/>
          <w:szCs w:val="20"/>
        </w:rPr>
        <w:t xml:space="preserve"> étanercept</w:t>
      </w:r>
      <w:r w:rsidR="009F74E5">
        <w:rPr>
          <w:sz w:val="20"/>
          <w:szCs w:val="20"/>
        </w:rPr>
        <w:t>.</w:t>
      </w:r>
    </w:p>
    <w:p w14:paraId="03B58226" w14:textId="77777777" w:rsidR="00092F83" w:rsidRPr="002B65F7" w:rsidRDefault="00092F83" w:rsidP="00496255">
      <w:pPr>
        <w:pStyle w:val="BodyText"/>
        <w:widowControl/>
        <w:spacing w:before="9"/>
      </w:pPr>
    </w:p>
    <w:p w14:paraId="03B58227" w14:textId="1FEB869D" w:rsidR="00092F83" w:rsidRPr="002B65F7" w:rsidRDefault="00C31740" w:rsidP="00496255">
      <w:pPr>
        <w:widowControl/>
      </w:pPr>
      <w:r w:rsidRPr="002B65F7">
        <w:t>Dans l’étude Psoriasis</w:t>
      </w:r>
      <w:r w:rsidR="007B2387" w:rsidRPr="002B65F7">
        <w:t> </w:t>
      </w:r>
      <w:r w:rsidRPr="002B65F7">
        <w:t>1, le maintien du PASI</w:t>
      </w:r>
      <w:r w:rsidR="00C67F49" w:rsidRPr="002B65F7">
        <w:t> </w:t>
      </w:r>
      <w:r w:rsidRPr="002B65F7">
        <w:t>75 était significativement supérieur dans le groupe traité en continu comparé au groupe ayant arrêté le traitement actif (p</w:t>
      </w:r>
      <w:r w:rsidR="00D53FCE" w:rsidRPr="002B65F7">
        <w:t> </w:t>
      </w:r>
      <w:r w:rsidRPr="002B65F7">
        <w:t>&lt;</w:t>
      </w:r>
      <w:r w:rsidR="00D53FCE" w:rsidRPr="002B65F7">
        <w:t> </w:t>
      </w:r>
      <w:r w:rsidRPr="002B65F7">
        <w:t>0,001). Les résultats étaient similaires quelle que soit la dose d’</w:t>
      </w:r>
      <w:r w:rsidR="0071390F" w:rsidRPr="002B65F7">
        <w:t>ustekinumab</w:t>
      </w:r>
      <w:r w:rsidRPr="002B65F7">
        <w:t>. A 1 an (Semaine</w:t>
      </w:r>
      <w:r w:rsidR="00C67F49" w:rsidRPr="002B65F7">
        <w:t> </w:t>
      </w:r>
      <w:r w:rsidRPr="002B65F7">
        <w:t>52), 89% des patients re-randomisés en traitement d’entretien étaient répondeurs PASI</w:t>
      </w:r>
      <w:r w:rsidR="00D53FCE" w:rsidRPr="002B65F7">
        <w:t> </w:t>
      </w:r>
      <w:r w:rsidRPr="002B65F7">
        <w:t>75, comparé à 63% des patients du groupe re-randomisés placebo (arrêt du traitement actif) (p</w:t>
      </w:r>
      <w:r w:rsidR="00D53FCE" w:rsidRPr="002B65F7">
        <w:t> </w:t>
      </w:r>
      <w:r w:rsidRPr="002B65F7">
        <w:t>&lt;</w:t>
      </w:r>
      <w:r w:rsidR="00D53FCE" w:rsidRPr="002B65F7">
        <w:t> </w:t>
      </w:r>
      <w:r w:rsidRPr="002B65F7">
        <w:t>0,001). A 18</w:t>
      </w:r>
      <w:r w:rsidR="00D658B7" w:rsidRPr="002B65F7">
        <w:t> </w:t>
      </w:r>
      <w:r w:rsidRPr="002B65F7">
        <w:t>mois (Semaine</w:t>
      </w:r>
      <w:r w:rsidR="00D658B7" w:rsidRPr="002B65F7">
        <w:t> </w:t>
      </w:r>
      <w:r w:rsidRPr="002B65F7">
        <w:t>76), 84% des patients re-randomisés en traitement d’entretien étaient répondeurs PASI</w:t>
      </w:r>
      <w:r w:rsidR="00D658B7" w:rsidRPr="002B65F7">
        <w:t> </w:t>
      </w:r>
      <w:r w:rsidRPr="002B65F7">
        <w:t>75 comparé à 19% des patients du groupe re-randomisés placebo (arrêt du traitement actif). A 3</w:t>
      </w:r>
      <w:r w:rsidR="00C67F49" w:rsidRPr="002B65F7">
        <w:t> </w:t>
      </w:r>
      <w:r w:rsidRPr="002B65F7">
        <w:t>ans (Semaine</w:t>
      </w:r>
      <w:r w:rsidR="00D53FCE" w:rsidRPr="002B65F7">
        <w:t> </w:t>
      </w:r>
      <w:r w:rsidRPr="002B65F7">
        <w:t>148), 82% des patients re-randomisés en traitement d’entretien étaient répondeurs PASI</w:t>
      </w:r>
      <w:r w:rsidR="00D53FCE" w:rsidRPr="002B65F7">
        <w:t> </w:t>
      </w:r>
      <w:r w:rsidRPr="002B65F7">
        <w:t>75. Après 5</w:t>
      </w:r>
      <w:r w:rsidR="00C67F49" w:rsidRPr="002B65F7">
        <w:t> </w:t>
      </w:r>
      <w:r w:rsidRPr="002B65F7">
        <w:t>ans (Semaine</w:t>
      </w:r>
      <w:r w:rsidR="00D53FCE" w:rsidRPr="002B65F7">
        <w:t> </w:t>
      </w:r>
      <w:r w:rsidRPr="002B65F7">
        <w:t>244), 80% des patients re-randomisés en traitement d’entretien étaient répondeurs PASI</w:t>
      </w:r>
      <w:r w:rsidR="00C67F49" w:rsidRPr="002B65F7">
        <w:t> </w:t>
      </w:r>
      <w:r w:rsidRPr="002B65F7">
        <w:t>75.</w:t>
      </w:r>
    </w:p>
    <w:p w14:paraId="5187280E" w14:textId="77777777" w:rsidR="00D658B7" w:rsidRPr="002B65F7" w:rsidRDefault="00D658B7" w:rsidP="00496255">
      <w:pPr>
        <w:widowControl/>
      </w:pPr>
    </w:p>
    <w:p w14:paraId="03B58228" w14:textId="3F53D11B" w:rsidR="00092F83" w:rsidRPr="002B65F7" w:rsidRDefault="00C31740" w:rsidP="00496255">
      <w:pPr>
        <w:widowControl/>
      </w:pPr>
      <w:r w:rsidRPr="002B65F7">
        <w:t>Chez les patients re-randomisés placebo, et qui reprenaient leur traitement par l’</w:t>
      </w:r>
      <w:r w:rsidR="0071390F" w:rsidRPr="002B65F7">
        <w:t>ustekinumab</w:t>
      </w:r>
      <w:r w:rsidRPr="002B65F7">
        <w:t xml:space="preserve"> aux doses initialement reçues suite à une perte</w:t>
      </w:r>
      <w:r w:rsidR="00D53FCE" w:rsidRPr="002B65F7">
        <w:t> </w:t>
      </w:r>
      <w:r w:rsidRPr="002B65F7">
        <w:t>≥</w:t>
      </w:r>
      <w:r w:rsidR="00D53FCE" w:rsidRPr="002B65F7">
        <w:t> </w:t>
      </w:r>
      <w:r w:rsidRPr="002B65F7">
        <w:t>50% de l’amélioration de leur score PASI, 85% ont atteint à nouveau une réponse PASI</w:t>
      </w:r>
      <w:r w:rsidR="00D658B7" w:rsidRPr="002B65F7">
        <w:t> </w:t>
      </w:r>
      <w:r w:rsidRPr="002B65F7">
        <w:t>75 dans les 12</w:t>
      </w:r>
      <w:r w:rsidR="00D658B7" w:rsidRPr="002B65F7">
        <w:t> </w:t>
      </w:r>
      <w:r w:rsidRPr="002B65F7">
        <w:t>semaines suivant la reprise du traitement.</w:t>
      </w:r>
    </w:p>
    <w:p w14:paraId="2D6DCFB5" w14:textId="77777777" w:rsidR="00C35923" w:rsidRPr="002B65F7" w:rsidRDefault="00C35923" w:rsidP="00496255">
      <w:pPr>
        <w:widowControl/>
      </w:pPr>
    </w:p>
    <w:p w14:paraId="03B58229" w14:textId="2470D0F1" w:rsidR="00092F83" w:rsidRPr="002B65F7" w:rsidRDefault="00C31740" w:rsidP="00496255">
      <w:pPr>
        <w:widowControl/>
      </w:pPr>
      <w:r w:rsidRPr="002B65F7">
        <w:t>Dans l’étude Psoriasis</w:t>
      </w:r>
      <w:r w:rsidR="00D658B7" w:rsidRPr="002B65F7">
        <w:t> </w:t>
      </w:r>
      <w:r w:rsidRPr="002B65F7">
        <w:t>1, à la semaine</w:t>
      </w:r>
      <w:r w:rsidR="00D658B7" w:rsidRPr="002B65F7">
        <w:t> </w:t>
      </w:r>
      <w:r w:rsidRPr="002B65F7">
        <w:t>2 et à la semaine</w:t>
      </w:r>
      <w:r w:rsidR="00D658B7" w:rsidRPr="002B65F7">
        <w:t> </w:t>
      </w:r>
      <w:r w:rsidRPr="002B65F7">
        <w:t xml:space="preserve">12, l’amélioration du DLQI a été significativement supérieure par rapport à l’inclusion dans chaque groupe de traitement </w:t>
      </w:r>
      <w:r w:rsidR="0071390F" w:rsidRPr="002B65F7">
        <w:t>ustekinumab</w:t>
      </w:r>
      <w:r w:rsidRPr="002B65F7">
        <w:t xml:space="preserve"> </w:t>
      </w:r>
      <w:r w:rsidRPr="002B65F7">
        <w:rPr>
          <w:i/>
          <w:iCs/>
        </w:rPr>
        <w:t>versus</w:t>
      </w:r>
      <w:r w:rsidRPr="002B65F7">
        <w:t xml:space="preserve"> placebo. L’amélioration a été maintenue à la semaine</w:t>
      </w:r>
      <w:r w:rsidR="00D658B7" w:rsidRPr="002B65F7">
        <w:t> </w:t>
      </w:r>
      <w:r w:rsidRPr="002B65F7">
        <w:t>28. Des améliorations significatives comparables ont été observées dans l’étude Psoriasis</w:t>
      </w:r>
      <w:r w:rsidR="00D658B7" w:rsidRPr="002B65F7">
        <w:t> </w:t>
      </w:r>
      <w:r w:rsidRPr="002B65F7">
        <w:t>2 aux semaines</w:t>
      </w:r>
      <w:r w:rsidR="00D658B7" w:rsidRPr="002B65F7">
        <w:t> </w:t>
      </w:r>
      <w:r w:rsidRPr="002B65F7">
        <w:t>4 et</w:t>
      </w:r>
      <w:r w:rsidR="00D658B7" w:rsidRPr="002B65F7">
        <w:t> </w:t>
      </w:r>
      <w:r w:rsidRPr="002B65F7">
        <w:t>12, maintenues jusqu’à la semaine</w:t>
      </w:r>
      <w:r w:rsidR="00D658B7" w:rsidRPr="002B65F7">
        <w:t> </w:t>
      </w:r>
      <w:r w:rsidRPr="002B65F7">
        <w:t>24. Dans l’étude Psoriasis 1, une amélioration significative du psoriasis unguéal (selon le Nail Psoriasis Severity Index), des composantes physiques et mentales du score SF-36 et de l’Echelle Visuelle Analogique (EVA) Démangeaisons, a été observée dans chaque groupe de traitement par l’</w:t>
      </w:r>
      <w:r w:rsidR="0071390F" w:rsidRPr="002B65F7">
        <w:t>ustekinumab</w:t>
      </w:r>
      <w:r w:rsidRPr="002B65F7">
        <w:t xml:space="preserve"> comparé au placebo. Dans l’étude Psoriasis</w:t>
      </w:r>
      <w:r w:rsidR="00D658B7" w:rsidRPr="002B65F7">
        <w:t> </w:t>
      </w:r>
      <w:r w:rsidRPr="002B65F7">
        <w:t xml:space="preserve">2, le Hospital Anxiety and Depression </w:t>
      </w:r>
      <w:r w:rsidRPr="002B65F7">
        <w:lastRenderedPageBreak/>
        <w:t>Scale (HADS) et le Work Limitation Questionnaire (WLQ) étaient également significativement améliorés dans chaque groupe de traitement par l’</w:t>
      </w:r>
      <w:r w:rsidR="0071390F" w:rsidRPr="002B65F7">
        <w:t>ustekinumab</w:t>
      </w:r>
      <w:r w:rsidRPr="002B65F7">
        <w:t xml:space="preserve"> comparé au placebo.</w:t>
      </w:r>
    </w:p>
    <w:p w14:paraId="03B5822A" w14:textId="77777777" w:rsidR="00092F83" w:rsidRPr="002B65F7" w:rsidRDefault="00092F83" w:rsidP="00496255">
      <w:pPr>
        <w:widowControl/>
      </w:pPr>
    </w:p>
    <w:p w14:paraId="03B5822B" w14:textId="64FD254F" w:rsidR="00092F83" w:rsidRPr="002B65F7" w:rsidRDefault="00C31740" w:rsidP="00496255">
      <w:pPr>
        <w:keepNext/>
        <w:keepLines/>
        <w:widowControl/>
        <w:rPr>
          <w:i/>
          <w:iCs/>
        </w:rPr>
      </w:pPr>
      <w:r w:rsidRPr="002B65F7">
        <w:rPr>
          <w:i/>
          <w:iCs/>
        </w:rPr>
        <w:t>Rhumatisme psoriasique (RP) (</w:t>
      </w:r>
      <w:r w:rsidR="001C3D92" w:rsidRPr="002B65F7">
        <w:rPr>
          <w:i/>
          <w:iCs/>
        </w:rPr>
        <w:t>a</w:t>
      </w:r>
      <w:r w:rsidRPr="002B65F7">
        <w:rPr>
          <w:i/>
          <w:iCs/>
        </w:rPr>
        <w:t>dultes)</w:t>
      </w:r>
    </w:p>
    <w:p w14:paraId="24254869" w14:textId="77777777" w:rsidR="002A49FA" w:rsidRPr="002B65F7" w:rsidRDefault="002A49FA" w:rsidP="00496255">
      <w:pPr>
        <w:keepNext/>
        <w:keepLines/>
        <w:widowControl/>
      </w:pPr>
    </w:p>
    <w:p w14:paraId="03B5822C" w14:textId="7823FB80" w:rsidR="00092F83" w:rsidRPr="002B65F7" w:rsidRDefault="00C31740" w:rsidP="00496255">
      <w:pPr>
        <w:widowControl/>
      </w:pPr>
      <w:r w:rsidRPr="002B65F7">
        <w:t>Il a été montré que l’</w:t>
      </w:r>
      <w:r w:rsidR="0071390F" w:rsidRPr="002B65F7">
        <w:t>ustekinumab</w:t>
      </w:r>
      <w:r w:rsidRPr="002B65F7">
        <w:t xml:space="preserve"> améliore les signes et symptômes, la fonction physique et la qualité de vie et réduit le taux de progression des atteintes articulaires périphériques des adultes atteints de rhumatisme psoriasique actif.</w:t>
      </w:r>
    </w:p>
    <w:p w14:paraId="4BF8F11A" w14:textId="77777777" w:rsidR="00092F83" w:rsidRPr="002B65F7" w:rsidRDefault="00092F83" w:rsidP="00496255">
      <w:pPr>
        <w:widowControl/>
      </w:pPr>
    </w:p>
    <w:p w14:paraId="03B5822F" w14:textId="0FFBE134" w:rsidR="00092F83" w:rsidRPr="002B65F7" w:rsidRDefault="00C31740" w:rsidP="00496255">
      <w:pPr>
        <w:widowControl/>
      </w:pPr>
      <w:r w:rsidRPr="002B65F7">
        <w:t>La sécurité et l’efficacité de l’</w:t>
      </w:r>
      <w:r w:rsidR="0071390F" w:rsidRPr="002B65F7">
        <w:t>ustekinumab</w:t>
      </w:r>
      <w:r w:rsidRPr="002B65F7">
        <w:t xml:space="preserve"> ont été évaluées dans deux études cliniques randomisées, en double aveugle </w:t>
      </w:r>
      <w:r w:rsidRPr="002B65F7">
        <w:rPr>
          <w:i/>
          <w:iCs/>
        </w:rPr>
        <w:t>versus</w:t>
      </w:r>
      <w:r w:rsidRPr="002B65F7">
        <w:t xml:space="preserve"> placebo, chez 927</w:t>
      </w:r>
      <w:r w:rsidR="00D658B7" w:rsidRPr="002B65F7">
        <w:t> </w:t>
      </w:r>
      <w:r w:rsidRPr="002B65F7">
        <w:t>patients présentant un rhumatisme psoriasique actif</w:t>
      </w:r>
      <w:r w:rsidR="00D658B7" w:rsidRPr="002B65F7">
        <w:t xml:space="preserve"> </w:t>
      </w:r>
      <w:r w:rsidRPr="002B65F7">
        <w:t>(≥</w:t>
      </w:r>
      <w:r w:rsidR="00D658B7" w:rsidRPr="002B65F7">
        <w:t> </w:t>
      </w:r>
      <w:r w:rsidRPr="002B65F7">
        <w:t>5</w:t>
      </w:r>
      <w:r w:rsidR="00645FDF" w:rsidRPr="002B65F7">
        <w:t> </w:t>
      </w:r>
      <w:r w:rsidRPr="002B65F7">
        <w:t>articulations gonflées et ≥</w:t>
      </w:r>
      <w:r w:rsidR="00D658B7" w:rsidRPr="002B65F7">
        <w:t> </w:t>
      </w:r>
      <w:r w:rsidRPr="002B65F7">
        <w:t>5</w:t>
      </w:r>
      <w:r w:rsidR="00645FDF" w:rsidRPr="002B65F7">
        <w:t> </w:t>
      </w:r>
      <w:r w:rsidRPr="002B65F7">
        <w:t>articulations douloureuses) malgré un traitement par des anti- inflammatoires non-stéroïdiens (AINS) ou par un traitement de fond antirhumatismal (DMARD). Les patients de ces études présentaient un diagnostic de rhumatisme psoriasique depuis au moins 6</w:t>
      </w:r>
      <w:r w:rsidR="002F3780" w:rsidRPr="002B65F7">
        <w:t> </w:t>
      </w:r>
      <w:r w:rsidRPr="002B65F7">
        <w:t xml:space="preserve">mois. Des patients de chaque sous-type de rhumatisme psoriasique ont été recrutés, incluant la polyarthrite sans nodules rhumatoïdes (39%), la spondylite avec arthrite périphérique (28%), l’arthrite périphérique asymétrique (21%), atteinte des interphalangiennes distales (12%) et l’arthrite mutilante (0,5%). Dans les deux études, plus de 70% et 40% des patients présentaient respectivement une enthésite et une dactylite à l’inclusion. Les patients ont été randomisés pour recevoir un traitement par </w:t>
      </w:r>
      <w:r w:rsidR="0071390F" w:rsidRPr="002B65F7">
        <w:t>ustekinumab</w:t>
      </w:r>
      <w:r w:rsidRPr="002B65F7">
        <w:t xml:space="preserve"> 45</w:t>
      </w:r>
      <w:r w:rsidR="00D658B7" w:rsidRPr="002B65F7">
        <w:t> </w:t>
      </w:r>
      <w:r w:rsidRPr="002B65F7">
        <w:t>mg, 90</w:t>
      </w:r>
      <w:r w:rsidR="00D658B7" w:rsidRPr="002B65F7">
        <w:t> </w:t>
      </w:r>
      <w:r w:rsidRPr="002B65F7">
        <w:t>mg, ou le placebo par voie sous-cutanée aux semaines</w:t>
      </w:r>
      <w:r w:rsidR="00D658B7" w:rsidRPr="002B65F7">
        <w:t> </w:t>
      </w:r>
      <w:r w:rsidRPr="002B65F7">
        <w:t>0 et</w:t>
      </w:r>
      <w:r w:rsidR="00D658B7" w:rsidRPr="002B65F7">
        <w:t> </w:t>
      </w:r>
      <w:r w:rsidRPr="002B65F7">
        <w:t>4, suivi par une administration toutes les 12</w:t>
      </w:r>
      <w:r w:rsidR="00D658B7" w:rsidRPr="002B65F7">
        <w:t> </w:t>
      </w:r>
      <w:r w:rsidRPr="002B65F7">
        <w:t>semaines. Approximativement 50% des patients ont poursuivi le traitement par MTX à doses stables (≤</w:t>
      </w:r>
      <w:r w:rsidR="005F7D16" w:rsidRPr="002B65F7">
        <w:t> </w:t>
      </w:r>
      <w:r w:rsidRPr="002B65F7">
        <w:t>25</w:t>
      </w:r>
      <w:r w:rsidR="00D658B7" w:rsidRPr="002B65F7">
        <w:t> </w:t>
      </w:r>
      <w:r w:rsidRPr="002B65F7">
        <w:t>mg/semaine).</w:t>
      </w:r>
    </w:p>
    <w:p w14:paraId="03B58230" w14:textId="77777777" w:rsidR="00092F83" w:rsidRPr="002B65F7" w:rsidRDefault="00092F83" w:rsidP="00496255">
      <w:pPr>
        <w:widowControl/>
      </w:pPr>
    </w:p>
    <w:p w14:paraId="03B58231" w14:textId="24B6ECBB" w:rsidR="00092F83" w:rsidRPr="002B65F7" w:rsidRDefault="00C31740" w:rsidP="00496255">
      <w:pPr>
        <w:widowControl/>
      </w:pPr>
      <w:r w:rsidRPr="002B65F7">
        <w:t>Dans l’Étude Rhumatisme Psoriasique</w:t>
      </w:r>
      <w:r w:rsidR="00D658B7" w:rsidRPr="002B65F7">
        <w:t> </w:t>
      </w:r>
      <w:r w:rsidRPr="002B65F7">
        <w:t>1 (PSUMMIT I) et l’Étude Rhumatisme Psoriasique</w:t>
      </w:r>
      <w:r w:rsidR="00D658B7" w:rsidRPr="002B65F7">
        <w:t> </w:t>
      </w:r>
      <w:r w:rsidRPr="002B65F7">
        <w:t>2 (PSUMMIT II), respectivement 80% et 86% des patients ont été précédemment traités par des DMARDs. Dans l’Étude</w:t>
      </w:r>
      <w:r w:rsidR="00D658B7" w:rsidRPr="002B65F7">
        <w:t> </w:t>
      </w:r>
      <w:r w:rsidRPr="002B65F7">
        <w:t>1, un précédent traitement par des médicaments anti-TNF-α n’était pas autorisé. Dans l’Étude</w:t>
      </w:r>
      <w:r w:rsidR="00D658B7" w:rsidRPr="002B65F7">
        <w:t> </w:t>
      </w:r>
      <w:r w:rsidRPr="002B65F7">
        <w:t>2, la majorité des patients (58%, n</w:t>
      </w:r>
      <w:r w:rsidR="00D658B7" w:rsidRPr="002B65F7">
        <w:t> </w:t>
      </w:r>
      <w:r w:rsidRPr="002B65F7">
        <w:t>=</w:t>
      </w:r>
      <w:r w:rsidR="00D658B7" w:rsidRPr="002B65F7">
        <w:t> </w:t>
      </w:r>
      <w:r w:rsidRPr="002B65F7">
        <w:t>180) ont été précédemment traités par un ou plusieurs anti-TNF-α ; parmi ces patients, plus de 70% avaient arrêté leur traitement anti-TNF-α pour cause de manque d’efficacité ou d’intolérance à tout moment.</w:t>
      </w:r>
    </w:p>
    <w:p w14:paraId="6022A58C" w14:textId="77777777" w:rsidR="00D658B7" w:rsidRPr="002B65F7" w:rsidRDefault="00D658B7" w:rsidP="00496255">
      <w:pPr>
        <w:widowControl/>
      </w:pPr>
    </w:p>
    <w:p w14:paraId="03B58232" w14:textId="17E24FF8" w:rsidR="00092F83" w:rsidRPr="002B65F7" w:rsidRDefault="00C31740" w:rsidP="00496255">
      <w:pPr>
        <w:keepNext/>
        <w:widowControl/>
        <w:rPr>
          <w:i/>
          <w:iCs/>
          <w:u w:val="single"/>
        </w:rPr>
      </w:pPr>
      <w:r w:rsidRPr="002B65F7">
        <w:rPr>
          <w:i/>
          <w:iCs/>
          <w:u w:val="single"/>
        </w:rPr>
        <w:t>Signes et symptômes</w:t>
      </w:r>
    </w:p>
    <w:p w14:paraId="7DC50EED" w14:textId="77777777" w:rsidR="00D658B7" w:rsidRPr="002B65F7" w:rsidRDefault="00D658B7" w:rsidP="00496255">
      <w:pPr>
        <w:keepNext/>
        <w:widowControl/>
        <w:rPr>
          <w:i/>
          <w:iCs/>
        </w:rPr>
      </w:pPr>
    </w:p>
    <w:p w14:paraId="03B58233" w14:textId="08155157" w:rsidR="00092F83" w:rsidRPr="002B65F7" w:rsidRDefault="00C31740" w:rsidP="00496255">
      <w:pPr>
        <w:widowControl/>
      </w:pPr>
      <w:r w:rsidRPr="002B65F7">
        <w:t>Le traitement par l’</w:t>
      </w:r>
      <w:r w:rsidR="0071390F" w:rsidRPr="002B65F7">
        <w:t>ustekinumab</w:t>
      </w:r>
      <w:r w:rsidRPr="002B65F7">
        <w:t xml:space="preserve"> a entraîné des améliorations significatives des mesures de l’activité de la maladie comparé au placebo à la semaine</w:t>
      </w:r>
      <w:r w:rsidR="00D658B7" w:rsidRPr="002B65F7">
        <w:t> </w:t>
      </w:r>
      <w:r w:rsidRPr="002B65F7">
        <w:t>24. Le critère principal était le pourcentage de patients ayant obtenu une réponse ACR</w:t>
      </w:r>
      <w:r w:rsidR="00D658B7" w:rsidRPr="002B65F7">
        <w:t> </w:t>
      </w:r>
      <w:r w:rsidRPr="002B65F7">
        <w:t>20 (score American College of Rheumatology) à la semaine</w:t>
      </w:r>
      <w:r w:rsidR="00D658B7" w:rsidRPr="002B65F7">
        <w:t> </w:t>
      </w:r>
      <w:r w:rsidRPr="002B65F7">
        <w:t xml:space="preserve">24. Les résultats d’efficacité principaux sont montrés dans le </w:t>
      </w:r>
      <w:r w:rsidR="001C3D92" w:rsidRPr="002B65F7">
        <w:t>t</w:t>
      </w:r>
      <w:r w:rsidRPr="002B65F7">
        <w:t>ableau</w:t>
      </w:r>
      <w:r w:rsidR="005E7199" w:rsidRPr="002B65F7">
        <w:t> </w:t>
      </w:r>
      <w:r w:rsidRPr="002B65F7">
        <w:t>6 ci-dessous.</w:t>
      </w:r>
    </w:p>
    <w:p w14:paraId="07EAA429" w14:textId="77777777" w:rsidR="00D658B7" w:rsidRPr="002B65F7" w:rsidRDefault="00D658B7" w:rsidP="00496255">
      <w:pPr>
        <w:widowControl/>
      </w:pPr>
    </w:p>
    <w:p w14:paraId="03B58234" w14:textId="1AB5171D" w:rsidR="00092F83" w:rsidRPr="002B65F7" w:rsidRDefault="00C31740" w:rsidP="00496255">
      <w:pPr>
        <w:keepNext/>
        <w:keepLines/>
        <w:widowControl/>
        <w:rPr>
          <w:b/>
          <w:bCs/>
        </w:rPr>
      </w:pPr>
      <w:r w:rsidRPr="002B65F7">
        <w:rPr>
          <w:b/>
          <w:bCs/>
        </w:rPr>
        <w:t>Tableau</w:t>
      </w:r>
      <w:r w:rsidR="000431DE" w:rsidRPr="002B65F7">
        <w:rPr>
          <w:b/>
          <w:bCs/>
        </w:rPr>
        <w:t> </w:t>
      </w:r>
      <w:r w:rsidRPr="002B65F7">
        <w:rPr>
          <w:b/>
          <w:bCs/>
        </w:rPr>
        <w:t>6</w:t>
      </w:r>
      <w:r w:rsidR="00D658B7" w:rsidRPr="002B65F7">
        <w:rPr>
          <w:b/>
          <w:bCs/>
        </w:rPr>
        <w:t xml:space="preserve">. </w:t>
      </w:r>
      <w:r w:rsidRPr="002B65F7">
        <w:rPr>
          <w:b/>
          <w:bCs/>
        </w:rPr>
        <w:t>Nombre de patients qui ont obtenu une réponse clinique dans l’Étude Rhumatisme Psoriasique 1 (PSUMMIT</w:t>
      </w:r>
      <w:r w:rsidR="00D36E6E" w:rsidRPr="002B65F7">
        <w:rPr>
          <w:b/>
          <w:bCs/>
        </w:rPr>
        <w:t> </w:t>
      </w:r>
      <w:r w:rsidRPr="002B65F7">
        <w:rPr>
          <w:b/>
          <w:bCs/>
        </w:rPr>
        <w:t>I) et</w:t>
      </w:r>
      <w:r w:rsidR="000431DE" w:rsidRPr="002B65F7">
        <w:rPr>
          <w:b/>
          <w:bCs/>
        </w:rPr>
        <w:t> </w:t>
      </w:r>
      <w:r w:rsidRPr="002B65F7">
        <w:rPr>
          <w:b/>
          <w:bCs/>
        </w:rPr>
        <w:t>2 (PSUMMIT</w:t>
      </w:r>
      <w:r w:rsidR="000431DE" w:rsidRPr="002B65F7">
        <w:rPr>
          <w:b/>
          <w:bCs/>
        </w:rPr>
        <w:t> </w:t>
      </w:r>
      <w:r w:rsidRPr="002B65F7">
        <w:rPr>
          <w:b/>
          <w:bCs/>
        </w:rPr>
        <w:t>II) à la semaine</w:t>
      </w:r>
      <w:r w:rsidR="000431DE" w:rsidRPr="002B65F7">
        <w:rPr>
          <w:b/>
          <w:bCs/>
        </w:rPr>
        <w:t> </w:t>
      </w:r>
      <w:r w:rsidRPr="002B65F7">
        <w:rPr>
          <w:b/>
          <w:bCs/>
        </w:rPr>
        <w:t>24</w:t>
      </w:r>
    </w:p>
    <w:p w14:paraId="33C1E8E6" w14:textId="77777777" w:rsidR="00D658B7" w:rsidRPr="002B65F7" w:rsidRDefault="00D658B7" w:rsidP="00496255">
      <w:pPr>
        <w:keepNext/>
        <w:keepLines/>
        <w:widowControl/>
        <w:rPr>
          <w:b/>
          <w:bCs/>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3"/>
        <w:gridCol w:w="1323"/>
        <w:gridCol w:w="1245"/>
        <w:gridCol w:w="1245"/>
        <w:gridCol w:w="1245"/>
        <w:gridCol w:w="1122"/>
        <w:gridCol w:w="1058"/>
      </w:tblGrid>
      <w:tr w:rsidR="00A170FF" w:rsidRPr="002B65F7" w14:paraId="13B8D63B" w14:textId="77777777" w:rsidTr="00D57C49">
        <w:trPr>
          <w:cantSplit/>
          <w:trHeight w:val="230"/>
          <w:tblHeader/>
        </w:trPr>
        <w:tc>
          <w:tcPr>
            <w:tcW w:w="1006" w:type="pct"/>
            <w:vAlign w:val="center"/>
          </w:tcPr>
          <w:p w14:paraId="0D9B1F4E" w14:textId="77777777" w:rsidR="00A170FF" w:rsidRPr="002B65F7" w:rsidRDefault="00A170FF" w:rsidP="00496255">
            <w:pPr>
              <w:keepNext/>
              <w:keepLines/>
              <w:widowControl/>
              <w:adjustRightInd w:val="0"/>
              <w:snapToGrid w:val="0"/>
              <w:jc w:val="center"/>
              <w:rPr>
                <w:sz w:val="20"/>
                <w:szCs w:val="20"/>
              </w:rPr>
            </w:pPr>
          </w:p>
        </w:tc>
        <w:tc>
          <w:tcPr>
            <w:tcW w:w="2103" w:type="pct"/>
            <w:gridSpan w:val="3"/>
            <w:vAlign w:val="center"/>
          </w:tcPr>
          <w:p w14:paraId="130C9A74"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Étude Rhumatisme Psoriasique 1</w:t>
            </w:r>
          </w:p>
        </w:tc>
        <w:tc>
          <w:tcPr>
            <w:tcW w:w="1890" w:type="pct"/>
            <w:gridSpan w:val="3"/>
            <w:vAlign w:val="center"/>
          </w:tcPr>
          <w:p w14:paraId="658E0092"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Étude Rhumatisme Psoriasique 2</w:t>
            </w:r>
          </w:p>
        </w:tc>
      </w:tr>
      <w:tr w:rsidR="00A170FF" w:rsidRPr="002B65F7" w14:paraId="2692C823" w14:textId="77777777" w:rsidTr="00D57C49">
        <w:trPr>
          <w:cantSplit/>
          <w:trHeight w:val="230"/>
          <w:tblHeader/>
        </w:trPr>
        <w:tc>
          <w:tcPr>
            <w:tcW w:w="1006" w:type="pct"/>
            <w:vAlign w:val="center"/>
          </w:tcPr>
          <w:p w14:paraId="34FF4C35" w14:textId="77777777" w:rsidR="00A170FF" w:rsidRPr="002B65F7" w:rsidRDefault="00A170FF" w:rsidP="00496255">
            <w:pPr>
              <w:keepNext/>
              <w:keepLines/>
              <w:widowControl/>
              <w:adjustRightInd w:val="0"/>
              <w:snapToGrid w:val="0"/>
              <w:jc w:val="center"/>
              <w:rPr>
                <w:sz w:val="20"/>
                <w:szCs w:val="20"/>
              </w:rPr>
            </w:pPr>
          </w:p>
        </w:tc>
        <w:tc>
          <w:tcPr>
            <w:tcW w:w="730" w:type="pct"/>
            <w:vAlign w:val="center"/>
          </w:tcPr>
          <w:p w14:paraId="411B5EA0"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PBO</w:t>
            </w:r>
          </w:p>
        </w:tc>
        <w:tc>
          <w:tcPr>
            <w:tcW w:w="687" w:type="pct"/>
            <w:vAlign w:val="center"/>
          </w:tcPr>
          <w:p w14:paraId="520A0401"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45 mg</w:t>
            </w:r>
          </w:p>
        </w:tc>
        <w:tc>
          <w:tcPr>
            <w:tcW w:w="687" w:type="pct"/>
            <w:vAlign w:val="center"/>
          </w:tcPr>
          <w:p w14:paraId="65487912"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90 mg</w:t>
            </w:r>
          </w:p>
        </w:tc>
        <w:tc>
          <w:tcPr>
            <w:tcW w:w="687" w:type="pct"/>
            <w:vAlign w:val="center"/>
          </w:tcPr>
          <w:p w14:paraId="28599828"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PBO</w:t>
            </w:r>
          </w:p>
        </w:tc>
        <w:tc>
          <w:tcPr>
            <w:tcW w:w="619" w:type="pct"/>
            <w:vAlign w:val="center"/>
          </w:tcPr>
          <w:p w14:paraId="102F1099"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45 mg</w:t>
            </w:r>
          </w:p>
        </w:tc>
        <w:tc>
          <w:tcPr>
            <w:tcW w:w="584" w:type="pct"/>
            <w:vAlign w:val="center"/>
          </w:tcPr>
          <w:p w14:paraId="789C7DCB"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90 mg</w:t>
            </w:r>
          </w:p>
        </w:tc>
      </w:tr>
      <w:tr w:rsidR="00A170FF" w:rsidRPr="002B65F7" w14:paraId="5F83B598" w14:textId="77777777" w:rsidTr="000238BD">
        <w:trPr>
          <w:cantSplit/>
          <w:trHeight w:val="688"/>
        </w:trPr>
        <w:tc>
          <w:tcPr>
            <w:tcW w:w="1006" w:type="pct"/>
            <w:vAlign w:val="center"/>
          </w:tcPr>
          <w:p w14:paraId="6814B610" w14:textId="77777777" w:rsidR="00A170FF" w:rsidRPr="002B65F7" w:rsidRDefault="00A170FF" w:rsidP="00496255">
            <w:pPr>
              <w:keepNext/>
              <w:keepLines/>
              <w:widowControl/>
              <w:adjustRightInd w:val="0"/>
              <w:snapToGrid w:val="0"/>
              <w:rPr>
                <w:b/>
                <w:bCs/>
                <w:sz w:val="20"/>
                <w:szCs w:val="20"/>
              </w:rPr>
            </w:pPr>
            <w:r w:rsidRPr="002B65F7">
              <w:rPr>
                <w:b/>
                <w:bCs/>
                <w:sz w:val="20"/>
                <w:szCs w:val="20"/>
              </w:rPr>
              <w:t>Nombre de patients randomisés</w:t>
            </w:r>
          </w:p>
        </w:tc>
        <w:tc>
          <w:tcPr>
            <w:tcW w:w="730" w:type="pct"/>
            <w:vAlign w:val="center"/>
          </w:tcPr>
          <w:p w14:paraId="01B8A9AD"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206</w:t>
            </w:r>
          </w:p>
        </w:tc>
        <w:tc>
          <w:tcPr>
            <w:tcW w:w="687" w:type="pct"/>
            <w:vAlign w:val="center"/>
          </w:tcPr>
          <w:p w14:paraId="7B8BBCD6"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205</w:t>
            </w:r>
          </w:p>
        </w:tc>
        <w:tc>
          <w:tcPr>
            <w:tcW w:w="687" w:type="pct"/>
            <w:vAlign w:val="center"/>
          </w:tcPr>
          <w:p w14:paraId="1B78E924"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204</w:t>
            </w:r>
          </w:p>
        </w:tc>
        <w:tc>
          <w:tcPr>
            <w:tcW w:w="687" w:type="pct"/>
            <w:vAlign w:val="center"/>
          </w:tcPr>
          <w:p w14:paraId="4F9746F8"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104</w:t>
            </w:r>
          </w:p>
        </w:tc>
        <w:tc>
          <w:tcPr>
            <w:tcW w:w="619" w:type="pct"/>
            <w:vAlign w:val="center"/>
          </w:tcPr>
          <w:p w14:paraId="511BFA28"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103</w:t>
            </w:r>
          </w:p>
        </w:tc>
        <w:tc>
          <w:tcPr>
            <w:tcW w:w="584" w:type="pct"/>
            <w:vAlign w:val="center"/>
          </w:tcPr>
          <w:p w14:paraId="1B13BE99" w14:textId="77777777" w:rsidR="00A170FF" w:rsidRPr="002B65F7" w:rsidRDefault="00A170FF" w:rsidP="00496255">
            <w:pPr>
              <w:keepNext/>
              <w:keepLines/>
              <w:widowControl/>
              <w:adjustRightInd w:val="0"/>
              <w:snapToGrid w:val="0"/>
              <w:jc w:val="center"/>
              <w:rPr>
                <w:b/>
                <w:bCs/>
                <w:sz w:val="20"/>
                <w:szCs w:val="20"/>
              </w:rPr>
            </w:pPr>
            <w:r w:rsidRPr="002B65F7">
              <w:rPr>
                <w:b/>
                <w:bCs/>
                <w:sz w:val="20"/>
                <w:szCs w:val="20"/>
              </w:rPr>
              <w:t>105</w:t>
            </w:r>
          </w:p>
        </w:tc>
      </w:tr>
      <w:tr w:rsidR="00A170FF" w:rsidRPr="002B65F7" w14:paraId="7FB17A77" w14:textId="77777777" w:rsidTr="000238BD">
        <w:trPr>
          <w:cantSplit/>
          <w:trHeight w:val="460"/>
        </w:trPr>
        <w:tc>
          <w:tcPr>
            <w:tcW w:w="1006" w:type="pct"/>
            <w:vAlign w:val="center"/>
          </w:tcPr>
          <w:p w14:paraId="5ADA6308" w14:textId="77777777" w:rsidR="00A170FF" w:rsidRPr="002B65F7" w:rsidRDefault="00A170FF" w:rsidP="00496255">
            <w:pPr>
              <w:keepNext/>
              <w:keepLines/>
              <w:widowControl/>
              <w:adjustRightInd w:val="0"/>
              <w:snapToGrid w:val="0"/>
              <w:rPr>
                <w:sz w:val="20"/>
                <w:szCs w:val="20"/>
              </w:rPr>
            </w:pPr>
            <w:r w:rsidRPr="002B65F7">
              <w:rPr>
                <w:sz w:val="20"/>
                <w:szCs w:val="20"/>
              </w:rPr>
              <w:t>Réponse</w:t>
            </w:r>
          </w:p>
          <w:p w14:paraId="07160972" w14:textId="77777777" w:rsidR="00A170FF" w:rsidRPr="002B65F7" w:rsidRDefault="00A170FF" w:rsidP="00496255">
            <w:pPr>
              <w:keepNext/>
              <w:keepLines/>
              <w:widowControl/>
              <w:adjustRightInd w:val="0"/>
              <w:snapToGrid w:val="0"/>
              <w:rPr>
                <w:sz w:val="20"/>
                <w:szCs w:val="20"/>
              </w:rPr>
            </w:pPr>
            <w:r w:rsidRPr="002B65F7">
              <w:rPr>
                <w:sz w:val="20"/>
                <w:szCs w:val="20"/>
              </w:rPr>
              <w:t>ACR 20, N (%)</w:t>
            </w:r>
          </w:p>
        </w:tc>
        <w:tc>
          <w:tcPr>
            <w:tcW w:w="730" w:type="pct"/>
            <w:vAlign w:val="center"/>
          </w:tcPr>
          <w:p w14:paraId="7374FE3A" w14:textId="77777777" w:rsidR="00A170FF" w:rsidRPr="002B65F7" w:rsidRDefault="00A170FF" w:rsidP="00496255">
            <w:pPr>
              <w:keepNext/>
              <w:keepLines/>
              <w:widowControl/>
              <w:adjustRightInd w:val="0"/>
              <w:snapToGrid w:val="0"/>
              <w:jc w:val="center"/>
              <w:rPr>
                <w:sz w:val="20"/>
                <w:szCs w:val="20"/>
              </w:rPr>
            </w:pPr>
            <w:r w:rsidRPr="002B65F7">
              <w:rPr>
                <w:sz w:val="20"/>
                <w:szCs w:val="20"/>
              </w:rPr>
              <w:t>47 (23%)</w:t>
            </w:r>
          </w:p>
        </w:tc>
        <w:tc>
          <w:tcPr>
            <w:tcW w:w="687" w:type="pct"/>
            <w:vAlign w:val="center"/>
          </w:tcPr>
          <w:p w14:paraId="6A49F087" w14:textId="77777777" w:rsidR="00A170FF" w:rsidRPr="002B65F7" w:rsidRDefault="00A170FF" w:rsidP="00496255">
            <w:pPr>
              <w:keepNext/>
              <w:keepLines/>
              <w:widowControl/>
              <w:adjustRightInd w:val="0"/>
              <w:snapToGrid w:val="0"/>
              <w:jc w:val="center"/>
              <w:rPr>
                <w:sz w:val="20"/>
                <w:szCs w:val="20"/>
              </w:rPr>
            </w:pPr>
            <w:r w:rsidRPr="002B65F7">
              <w:rPr>
                <w:sz w:val="20"/>
                <w:szCs w:val="20"/>
              </w:rPr>
              <w:t>87 (42%)</w:t>
            </w:r>
            <w:r w:rsidRPr="002B65F7">
              <w:rPr>
                <w:sz w:val="20"/>
                <w:szCs w:val="20"/>
                <w:vertAlign w:val="superscript"/>
              </w:rPr>
              <w:t>a</w:t>
            </w:r>
          </w:p>
        </w:tc>
        <w:tc>
          <w:tcPr>
            <w:tcW w:w="687" w:type="pct"/>
            <w:vAlign w:val="center"/>
          </w:tcPr>
          <w:p w14:paraId="319D55D1" w14:textId="77777777" w:rsidR="00A170FF" w:rsidRPr="002B65F7" w:rsidRDefault="00A170FF" w:rsidP="00496255">
            <w:pPr>
              <w:keepNext/>
              <w:keepLines/>
              <w:widowControl/>
              <w:adjustRightInd w:val="0"/>
              <w:snapToGrid w:val="0"/>
              <w:jc w:val="center"/>
              <w:rPr>
                <w:sz w:val="20"/>
                <w:szCs w:val="20"/>
              </w:rPr>
            </w:pPr>
            <w:r w:rsidRPr="002B65F7">
              <w:rPr>
                <w:sz w:val="20"/>
                <w:szCs w:val="20"/>
              </w:rPr>
              <w:t>101 (50%)</w:t>
            </w:r>
            <w:r w:rsidRPr="002B65F7">
              <w:rPr>
                <w:sz w:val="20"/>
                <w:szCs w:val="20"/>
                <w:vertAlign w:val="superscript"/>
              </w:rPr>
              <w:t>a</w:t>
            </w:r>
          </w:p>
        </w:tc>
        <w:tc>
          <w:tcPr>
            <w:tcW w:w="687" w:type="pct"/>
            <w:vAlign w:val="center"/>
          </w:tcPr>
          <w:p w14:paraId="7BF2068B" w14:textId="77777777" w:rsidR="00A170FF" w:rsidRPr="002B65F7" w:rsidRDefault="00A170FF" w:rsidP="00496255">
            <w:pPr>
              <w:keepNext/>
              <w:keepLines/>
              <w:widowControl/>
              <w:adjustRightInd w:val="0"/>
              <w:snapToGrid w:val="0"/>
              <w:jc w:val="center"/>
              <w:rPr>
                <w:sz w:val="20"/>
                <w:szCs w:val="20"/>
              </w:rPr>
            </w:pPr>
            <w:r w:rsidRPr="002B65F7">
              <w:rPr>
                <w:sz w:val="20"/>
                <w:szCs w:val="20"/>
              </w:rPr>
              <w:t>21 (20%)</w:t>
            </w:r>
          </w:p>
        </w:tc>
        <w:tc>
          <w:tcPr>
            <w:tcW w:w="619" w:type="pct"/>
            <w:vAlign w:val="center"/>
          </w:tcPr>
          <w:p w14:paraId="0EF1F79D" w14:textId="77777777" w:rsidR="00A170FF" w:rsidRPr="002B65F7" w:rsidRDefault="00A170FF" w:rsidP="00496255">
            <w:pPr>
              <w:keepNext/>
              <w:keepLines/>
              <w:widowControl/>
              <w:adjustRightInd w:val="0"/>
              <w:snapToGrid w:val="0"/>
              <w:jc w:val="center"/>
              <w:rPr>
                <w:sz w:val="20"/>
                <w:szCs w:val="20"/>
              </w:rPr>
            </w:pPr>
            <w:r w:rsidRPr="002B65F7">
              <w:rPr>
                <w:sz w:val="20"/>
                <w:szCs w:val="20"/>
              </w:rPr>
              <w:t>45 (44%)</w:t>
            </w:r>
            <w:r w:rsidRPr="002B65F7">
              <w:rPr>
                <w:sz w:val="20"/>
                <w:szCs w:val="20"/>
                <w:vertAlign w:val="superscript"/>
              </w:rPr>
              <w:t>a</w:t>
            </w:r>
          </w:p>
        </w:tc>
        <w:tc>
          <w:tcPr>
            <w:tcW w:w="584" w:type="pct"/>
            <w:vAlign w:val="center"/>
          </w:tcPr>
          <w:p w14:paraId="73B4F1E9" w14:textId="77777777" w:rsidR="00A170FF" w:rsidRPr="002B65F7" w:rsidRDefault="00A170FF" w:rsidP="00496255">
            <w:pPr>
              <w:keepNext/>
              <w:keepLines/>
              <w:widowControl/>
              <w:adjustRightInd w:val="0"/>
              <w:snapToGrid w:val="0"/>
              <w:jc w:val="center"/>
              <w:rPr>
                <w:sz w:val="20"/>
                <w:szCs w:val="20"/>
              </w:rPr>
            </w:pPr>
            <w:r w:rsidRPr="002B65F7">
              <w:rPr>
                <w:sz w:val="20"/>
                <w:szCs w:val="20"/>
              </w:rPr>
              <w:t>46 (44%)</w:t>
            </w:r>
            <w:r w:rsidRPr="002B65F7">
              <w:rPr>
                <w:sz w:val="20"/>
                <w:szCs w:val="20"/>
                <w:vertAlign w:val="superscript"/>
              </w:rPr>
              <w:t>a</w:t>
            </w:r>
          </w:p>
        </w:tc>
      </w:tr>
      <w:tr w:rsidR="00A170FF" w:rsidRPr="002B65F7" w14:paraId="1221688E" w14:textId="77777777" w:rsidTr="000238BD">
        <w:trPr>
          <w:cantSplit/>
          <w:trHeight w:val="460"/>
        </w:trPr>
        <w:tc>
          <w:tcPr>
            <w:tcW w:w="1006" w:type="pct"/>
            <w:vAlign w:val="center"/>
          </w:tcPr>
          <w:p w14:paraId="56B42D20" w14:textId="77777777" w:rsidR="00A170FF" w:rsidRPr="002B65F7" w:rsidRDefault="00A170FF" w:rsidP="00496255">
            <w:pPr>
              <w:keepNext/>
              <w:keepLines/>
              <w:widowControl/>
              <w:adjustRightInd w:val="0"/>
              <w:snapToGrid w:val="0"/>
              <w:rPr>
                <w:sz w:val="20"/>
                <w:szCs w:val="20"/>
              </w:rPr>
            </w:pPr>
            <w:r w:rsidRPr="002B65F7">
              <w:rPr>
                <w:sz w:val="20"/>
                <w:szCs w:val="20"/>
              </w:rPr>
              <w:t>Réponse</w:t>
            </w:r>
          </w:p>
          <w:p w14:paraId="5934153E" w14:textId="77777777" w:rsidR="00A170FF" w:rsidRPr="002B65F7" w:rsidRDefault="00A170FF" w:rsidP="00496255">
            <w:pPr>
              <w:keepNext/>
              <w:keepLines/>
              <w:widowControl/>
              <w:adjustRightInd w:val="0"/>
              <w:snapToGrid w:val="0"/>
              <w:rPr>
                <w:sz w:val="20"/>
                <w:szCs w:val="20"/>
              </w:rPr>
            </w:pPr>
            <w:r w:rsidRPr="002B65F7">
              <w:rPr>
                <w:sz w:val="20"/>
                <w:szCs w:val="20"/>
              </w:rPr>
              <w:t>ACR 50, N (%)</w:t>
            </w:r>
          </w:p>
        </w:tc>
        <w:tc>
          <w:tcPr>
            <w:tcW w:w="730" w:type="pct"/>
            <w:vAlign w:val="center"/>
          </w:tcPr>
          <w:p w14:paraId="3E1FC596" w14:textId="77777777" w:rsidR="00A170FF" w:rsidRPr="002B65F7" w:rsidRDefault="00A170FF" w:rsidP="00496255">
            <w:pPr>
              <w:keepNext/>
              <w:keepLines/>
              <w:widowControl/>
              <w:adjustRightInd w:val="0"/>
              <w:snapToGrid w:val="0"/>
              <w:jc w:val="center"/>
              <w:rPr>
                <w:sz w:val="20"/>
                <w:szCs w:val="20"/>
              </w:rPr>
            </w:pPr>
            <w:r w:rsidRPr="002B65F7">
              <w:rPr>
                <w:sz w:val="20"/>
                <w:szCs w:val="20"/>
              </w:rPr>
              <w:t>18 (9%)</w:t>
            </w:r>
          </w:p>
        </w:tc>
        <w:tc>
          <w:tcPr>
            <w:tcW w:w="687" w:type="pct"/>
            <w:vAlign w:val="center"/>
          </w:tcPr>
          <w:p w14:paraId="63EBF211" w14:textId="77777777" w:rsidR="00A170FF" w:rsidRPr="002B65F7" w:rsidRDefault="00A170FF" w:rsidP="00496255">
            <w:pPr>
              <w:keepNext/>
              <w:keepLines/>
              <w:widowControl/>
              <w:adjustRightInd w:val="0"/>
              <w:snapToGrid w:val="0"/>
              <w:jc w:val="center"/>
              <w:rPr>
                <w:sz w:val="20"/>
                <w:szCs w:val="20"/>
              </w:rPr>
            </w:pPr>
            <w:r w:rsidRPr="002B65F7">
              <w:rPr>
                <w:sz w:val="20"/>
                <w:szCs w:val="20"/>
              </w:rPr>
              <w:t>51 (25%)</w:t>
            </w:r>
            <w:r w:rsidRPr="002B65F7">
              <w:rPr>
                <w:sz w:val="20"/>
                <w:szCs w:val="20"/>
                <w:vertAlign w:val="superscript"/>
              </w:rPr>
              <w:t>a</w:t>
            </w:r>
          </w:p>
        </w:tc>
        <w:tc>
          <w:tcPr>
            <w:tcW w:w="687" w:type="pct"/>
            <w:vAlign w:val="center"/>
          </w:tcPr>
          <w:p w14:paraId="6DB26990" w14:textId="77777777" w:rsidR="00A170FF" w:rsidRPr="002B65F7" w:rsidRDefault="00A170FF" w:rsidP="00496255">
            <w:pPr>
              <w:keepNext/>
              <w:keepLines/>
              <w:widowControl/>
              <w:adjustRightInd w:val="0"/>
              <w:snapToGrid w:val="0"/>
              <w:jc w:val="center"/>
              <w:rPr>
                <w:sz w:val="20"/>
                <w:szCs w:val="20"/>
              </w:rPr>
            </w:pPr>
            <w:r w:rsidRPr="002B65F7">
              <w:rPr>
                <w:sz w:val="20"/>
                <w:szCs w:val="20"/>
              </w:rPr>
              <w:t>57 (28%)</w:t>
            </w:r>
            <w:r w:rsidRPr="002B65F7">
              <w:rPr>
                <w:sz w:val="20"/>
                <w:szCs w:val="20"/>
                <w:vertAlign w:val="superscript"/>
              </w:rPr>
              <w:t>a</w:t>
            </w:r>
          </w:p>
        </w:tc>
        <w:tc>
          <w:tcPr>
            <w:tcW w:w="687" w:type="pct"/>
            <w:vAlign w:val="center"/>
          </w:tcPr>
          <w:p w14:paraId="7088AF06" w14:textId="77777777" w:rsidR="00A170FF" w:rsidRPr="002B65F7" w:rsidRDefault="00A170FF" w:rsidP="00496255">
            <w:pPr>
              <w:keepNext/>
              <w:keepLines/>
              <w:widowControl/>
              <w:adjustRightInd w:val="0"/>
              <w:snapToGrid w:val="0"/>
              <w:jc w:val="center"/>
              <w:rPr>
                <w:sz w:val="20"/>
                <w:szCs w:val="20"/>
              </w:rPr>
            </w:pPr>
            <w:r w:rsidRPr="002B65F7">
              <w:rPr>
                <w:sz w:val="20"/>
                <w:szCs w:val="20"/>
              </w:rPr>
              <w:t>7 (7%)</w:t>
            </w:r>
          </w:p>
        </w:tc>
        <w:tc>
          <w:tcPr>
            <w:tcW w:w="619" w:type="pct"/>
            <w:vAlign w:val="center"/>
          </w:tcPr>
          <w:p w14:paraId="46AF60CE" w14:textId="77777777" w:rsidR="00A170FF" w:rsidRPr="002B65F7" w:rsidRDefault="00A170FF" w:rsidP="00496255">
            <w:pPr>
              <w:keepNext/>
              <w:keepLines/>
              <w:widowControl/>
              <w:adjustRightInd w:val="0"/>
              <w:snapToGrid w:val="0"/>
              <w:jc w:val="center"/>
              <w:rPr>
                <w:sz w:val="20"/>
                <w:szCs w:val="20"/>
              </w:rPr>
            </w:pPr>
            <w:r w:rsidRPr="002B65F7">
              <w:rPr>
                <w:sz w:val="20"/>
                <w:szCs w:val="20"/>
              </w:rPr>
              <w:t>18 (17%)</w:t>
            </w:r>
            <w:r w:rsidRPr="002B65F7">
              <w:rPr>
                <w:sz w:val="20"/>
                <w:szCs w:val="20"/>
                <w:vertAlign w:val="superscript"/>
              </w:rPr>
              <w:t>b</w:t>
            </w:r>
          </w:p>
        </w:tc>
        <w:tc>
          <w:tcPr>
            <w:tcW w:w="584" w:type="pct"/>
            <w:vAlign w:val="center"/>
          </w:tcPr>
          <w:p w14:paraId="5121A0C4" w14:textId="77777777" w:rsidR="00A170FF" w:rsidRPr="002B65F7" w:rsidRDefault="00A170FF" w:rsidP="00496255">
            <w:pPr>
              <w:keepNext/>
              <w:keepLines/>
              <w:widowControl/>
              <w:adjustRightInd w:val="0"/>
              <w:snapToGrid w:val="0"/>
              <w:jc w:val="center"/>
              <w:rPr>
                <w:sz w:val="20"/>
                <w:szCs w:val="20"/>
              </w:rPr>
            </w:pPr>
            <w:r w:rsidRPr="002B65F7">
              <w:rPr>
                <w:sz w:val="20"/>
                <w:szCs w:val="20"/>
              </w:rPr>
              <w:t>24 (23%)</w:t>
            </w:r>
            <w:r w:rsidRPr="002B65F7">
              <w:rPr>
                <w:sz w:val="20"/>
                <w:szCs w:val="20"/>
                <w:vertAlign w:val="superscript"/>
              </w:rPr>
              <w:t>a</w:t>
            </w:r>
          </w:p>
        </w:tc>
      </w:tr>
      <w:tr w:rsidR="00A170FF" w:rsidRPr="002B65F7" w14:paraId="43E15DA1" w14:textId="77777777" w:rsidTr="000238BD">
        <w:trPr>
          <w:cantSplit/>
          <w:trHeight w:val="460"/>
        </w:trPr>
        <w:tc>
          <w:tcPr>
            <w:tcW w:w="1006" w:type="pct"/>
            <w:vAlign w:val="center"/>
          </w:tcPr>
          <w:p w14:paraId="26B4D1E6" w14:textId="77777777" w:rsidR="00A170FF" w:rsidRPr="002B65F7" w:rsidRDefault="00A170FF" w:rsidP="00496255">
            <w:pPr>
              <w:widowControl/>
              <w:adjustRightInd w:val="0"/>
              <w:snapToGrid w:val="0"/>
              <w:rPr>
                <w:sz w:val="20"/>
                <w:szCs w:val="20"/>
              </w:rPr>
            </w:pPr>
            <w:r w:rsidRPr="002B65F7">
              <w:rPr>
                <w:sz w:val="20"/>
                <w:szCs w:val="20"/>
              </w:rPr>
              <w:t>Réponse</w:t>
            </w:r>
          </w:p>
          <w:p w14:paraId="01E534E2" w14:textId="77777777" w:rsidR="00A170FF" w:rsidRPr="002B65F7" w:rsidRDefault="00A170FF" w:rsidP="00496255">
            <w:pPr>
              <w:widowControl/>
              <w:adjustRightInd w:val="0"/>
              <w:snapToGrid w:val="0"/>
              <w:rPr>
                <w:sz w:val="20"/>
                <w:szCs w:val="20"/>
              </w:rPr>
            </w:pPr>
            <w:r w:rsidRPr="002B65F7">
              <w:rPr>
                <w:sz w:val="20"/>
                <w:szCs w:val="20"/>
              </w:rPr>
              <w:t>ACR 70, N (%)</w:t>
            </w:r>
          </w:p>
        </w:tc>
        <w:tc>
          <w:tcPr>
            <w:tcW w:w="730" w:type="pct"/>
            <w:vAlign w:val="center"/>
          </w:tcPr>
          <w:p w14:paraId="512A6AC9" w14:textId="77777777" w:rsidR="00A170FF" w:rsidRPr="002B65F7" w:rsidRDefault="00A170FF" w:rsidP="00496255">
            <w:pPr>
              <w:widowControl/>
              <w:adjustRightInd w:val="0"/>
              <w:snapToGrid w:val="0"/>
              <w:jc w:val="center"/>
              <w:rPr>
                <w:sz w:val="20"/>
                <w:szCs w:val="20"/>
              </w:rPr>
            </w:pPr>
            <w:r w:rsidRPr="002B65F7">
              <w:rPr>
                <w:sz w:val="20"/>
                <w:szCs w:val="20"/>
              </w:rPr>
              <w:t>5 (2%)</w:t>
            </w:r>
          </w:p>
        </w:tc>
        <w:tc>
          <w:tcPr>
            <w:tcW w:w="687" w:type="pct"/>
            <w:vAlign w:val="center"/>
          </w:tcPr>
          <w:p w14:paraId="634F9310" w14:textId="77777777" w:rsidR="00A170FF" w:rsidRPr="002B65F7" w:rsidRDefault="00A170FF" w:rsidP="00496255">
            <w:pPr>
              <w:widowControl/>
              <w:adjustRightInd w:val="0"/>
              <w:snapToGrid w:val="0"/>
              <w:jc w:val="center"/>
              <w:rPr>
                <w:sz w:val="20"/>
                <w:szCs w:val="20"/>
              </w:rPr>
            </w:pPr>
            <w:r w:rsidRPr="002B65F7">
              <w:rPr>
                <w:sz w:val="20"/>
                <w:szCs w:val="20"/>
              </w:rPr>
              <w:t>25 (12%)</w:t>
            </w:r>
            <w:r w:rsidRPr="002B65F7">
              <w:rPr>
                <w:sz w:val="20"/>
                <w:szCs w:val="20"/>
                <w:vertAlign w:val="superscript"/>
              </w:rPr>
              <w:t>a</w:t>
            </w:r>
          </w:p>
        </w:tc>
        <w:tc>
          <w:tcPr>
            <w:tcW w:w="687" w:type="pct"/>
            <w:vAlign w:val="center"/>
          </w:tcPr>
          <w:p w14:paraId="7EC9A8D2" w14:textId="77777777" w:rsidR="00A170FF" w:rsidRPr="002B65F7" w:rsidRDefault="00A170FF" w:rsidP="00496255">
            <w:pPr>
              <w:widowControl/>
              <w:adjustRightInd w:val="0"/>
              <w:snapToGrid w:val="0"/>
              <w:jc w:val="center"/>
              <w:rPr>
                <w:sz w:val="20"/>
                <w:szCs w:val="20"/>
              </w:rPr>
            </w:pPr>
            <w:r w:rsidRPr="002B65F7">
              <w:rPr>
                <w:sz w:val="20"/>
                <w:szCs w:val="20"/>
              </w:rPr>
              <w:t>29 (14%)</w:t>
            </w:r>
            <w:r w:rsidRPr="002B65F7">
              <w:rPr>
                <w:sz w:val="20"/>
                <w:szCs w:val="20"/>
                <w:vertAlign w:val="superscript"/>
              </w:rPr>
              <w:t>a</w:t>
            </w:r>
          </w:p>
        </w:tc>
        <w:tc>
          <w:tcPr>
            <w:tcW w:w="687" w:type="pct"/>
            <w:vAlign w:val="center"/>
          </w:tcPr>
          <w:p w14:paraId="195E8298" w14:textId="77777777" w:rsidR="00A170FF" w:rsidRPr="002B65F7" w:rsidRDefault="00A170FF" w:rsidP="00496255">
            <w:pPr>
              <w:widowControl/>
              <w:adjustRightInd w:val="0"/>
              <w:snapToGrid w:val="0"/>
              <w:jc w:val="center"/>
              <w:rPr>
                <w:sz w:val="20"/>
                <w:szCs w:val="20"/>
              </w:rPr>
            </w:pPr>
            <w:r w:rsidRPr="002B65F7">
              <w:rPr>
                <w:sz w:val="20"/>
                <w:szCs w:val="20"/>
              </w:rPr>
              <w:t>3 (3%)</w:t>
            </w:r>
          </w:p>
        </w:tc>
        <w:tc>
          <w:tcPr>
            <w:tcW w:w="619" w:type="pct"/>
            <w:vAlign w:val="center"/>
          </w:tcPr>
          <w:p w14:paraId="59C4AFE6" w14:textId="77777777" w:rsidR="00A170FF" w:rsidRPr="002B65F7" w:rsidRDefault="00A170FF" w:rsidP="00496255">
            <w:pPr>
              <w:widowControl/>
              <w:adjustRightInd w:val="0"/>
              <w:snapToGrid w:val="0"/>
              <w:jc w:val="center"/>
              <w:rPr>
                <w:sz w:val="20"/>
                <w:szCs w:val="20"/>
              </w:rPr>
            </w:pPr>
            <w:r w:rsidRPr="002B65F7">
              <w:rPr>
                <w:sz w:val="20"/>
                <w:szCs w:val="20"/>
              </w:rPr>
              <w:t>7 (7%)c</w:t>
            </w:r>
          </w:p>
        </w:tc>
        <w:tc>
          <w:tcPr>
            <w:tcW w:w="584" w:type="pct"/>
            <w:vAlign w:val="center"/>
          </w:tcPr>
          <w:p w14:paraId="699CEA9C" w14:textId="77777777" w:rsidR="00A170FF" w:rsidRPr="002B65F7" w:rsidRDefault="00A170FF" w:rsidP="00496255">
            <w:pPr>
              <w:widowControl/>
              <w:adjustRightInd w:val="0"/>
              <w:snapToGrid w:val="0"/>
              <w:jc w:val="center"/>
              <w:rPr>
                <w:sz w:val="20"/>
                <w:szCs w:val="20"/>
              </w:rPr>
            </w:pPr>
            <w:r w:rsidRPr="002B65F7">
              <w:rPr>
                <w:sz w:val="20"/>
                <w:szCs w:val="20"/>
              </w:rPr>
              <w:t>9 (9%)</w:t>
            </w:r>
            <w:r w:rsidRPr="002B65F7">
              <w:rPr>
                <w:sz w:val="20"/>
                <w:szCs w:val="20"/>
                <w:vertAlign w:val="superscript"/>
              </w:rPr>
              <w:t>c</w:t>
            </w:r>
          </w:p>
        </w:tc>
      </w:tr>
      <w:tr w:rsidR="00A170FF" w:rsidRPr="002B65F7" w14:paraId="20B03475" w14:textId="77777777" w:rsidTr="000238BD">
        <w:trPr>
          <w:cantSplit/>
          <w:trHeight w:val="460"/>
        </w:trPr>
        <w:tc>
          <w:tcPr>
            <w:tcW w:w="1006" w:type="pct"/>
            <w:vAlign w:val="center"/>
          </w:tcPr>
          <w:p w14:paraId="37D1C61A" w14:textId="77777777" w:rsidR="00A170FF" w:rsidRPr="002B65F7" w:rsidRDefault="00A170FF" w:rsidP="00496255">
            <w:pPr>
              <w:widowControl/>
              <w:adjustRightInd w:val="0"/>
              <w:snapToGrid w:val="0"/>
              <w:rPr>
                <w:i/>
                <w:iCs/>
                <w:sz w:val="20"/>
                <w:szCs w:val="20"/>
              </w:rPr>
            </w:pPr>
            <w:r w:rsidRPr="002B65F7">
              <w:rPr>
                <w:i/>
                <w:iCs/>
                <w:sz w:val="20"/>
                <w:szCs w:val="20"/>
              </w:rPr>
              <w:t>Nombre de patients avec SCA ≥</w:t>
            </w:r>
            <w:r w:rsidRPr="002B65F7">
              <w:rPr>
                <w:sz w:val="20"/>
                <w:szCs w:val="20"/>
              </w:rPr>
              <w:t> </w:t>
            </w:r>
            <w:r w:rsidRPr="002B65F7">
              <w:rPr>
                <w:i/>
                <w:iCs/>
                <w:sz w:val="20"/>
                <w:szCs w:val="20"/>
              </w:rPr>
              <w:t xml:space="preserve">3% </w:t>
            </w:r>
            <w:r w:rsidRPr="002B65F7">
              <w:rPr>
                <w:i/>
                <w:iCs/>
                <w:sz w:val="20"/>
                <w:szCs w:val="20"/>
                <w:vertAlign w:val="superscript"/>
              </w:rPr>
              <w:t>d</w:t>
            </w:r>
          </w:p>
        </w:tc>
        <w:tc>
          <w:tcPr>
            <w:tcW w:w="730" w:type="pct"/>
            <w:vAlign w:val="center"/>
          </w:tcPr>
          <w:p w14:paraId="05A99A68" w14:textId="77777777" w:rsidR="00A170FF" w:rsidRPr="002B65F7" w:rsidRDefault="00A170FF" w:rsidP="00496255">
            <w:pPr>
              <w:widowControl/>
              <w:adjustRightInd w:val="0"/>
              <w:snapToGrid w:val="0"/>
              <w:jc w:val="center"/>
              <w:rPr>
                <w:sz w:val="20"/>
                <w:szCs w:val="20"/>
              </w:rPr>
            </w:pPr>
            <w:r w:rsidRPr="002B65F7">
              <w:rPr>
                <w:sz w:val="20"/>
                <w:szCs w:val="20"/>
              </w:rPr>
              <w:t>146</w:t>
            </w:r>
          </w:p>
        </w:tc>
        <w:tc>
          <w:tcPr>
            <w:tcW w:w="687" w:type="pct"/>
            <w:vAlign w:val="center"/>
          </w:tcPr>
          <w:p w14:paraId="56953BC8" w14:textId="77777777" w:rsidR="00A170FF" w:rsidRPr="002B65F7" w:rsidRDefault="00A170FF" w:rsidP="00496255">
            <w:pPr>
              <w:widowControl/>
              <w:adjustRightInd w:val="0"/>
              <w:snapToGrid w:val="0"/>
              <w:jc w:val="center"/>
              <w:rPr>
                <w:sz w:val="20"/>
                <w:szCs w:val="20"/>
              </w:rPr>
            </w:pPr>
            <w:r w:rsidRPr="002B65F7">
              <w:rPr>
                <w:sz w:val="20"/>
                <w:szCs w:val="20"/>
              </w:rPr>
              <w:t>145</w:t>
            </w:r>
          </w:p>
        </w:tc>
        <w:tc>
          <w:tcPr>
            <w:tcW w:w="687" w:type="pct"/>
            <w:vAlign w:val="center"/>
          </w:tcPr>
          <w:p w14:paraId="362343BE" w14:textId="77777777" w:rsidR="00A170FF" w:rsidRPr="002B65F7" w:rsidRDefault="00A170FF" w:rsidP="00496255">
            <w:pPr>
              <w:widowControl/>
              <w:adjustRightInd w:val="0"/>
              <w:snapToGrid w:val="0"/>
              <w:jc w:val="center"/>
              <w:rPr>
                <w:sz w:val="20"/>
                <w:szCs w:val="20"/>
              </w:rPr>
            </w:pPr>
            <w:r w:rsidRPr="002B65F7">
              <w:rPr>
                <w:sz w:val="20"/>
                <w:szCs w:val="20"/>
              </w:rPr>
              <w:t>149</w:t>
            </w:r>
          </w:p>
        </w:tc>
        <w:tc>
          <w:tcPr>
            <w:tcW w:w="687" w:type="pct"/>
            <w:vAlign w:val="center"/>
          </w:tcPr>
          <w:p w14:paraId="01EAB2EF" w14:textId="77777777" w:rsidR="00A170FF" w:rsidRPr="002B65F7" w:rsidRDefault="00A170FF" w:rsidP="00496255">
            <w:pPr>
              <w:widowControl/>
              <w:adjustRightInd w:val="0"/>
              <w:snapToGrid w:val="0"/>
              <w:jc w:val="center"/>
              <w:rPr>
                <w:sz w:val="20"/>
                <w:szCs w:val="20"/>
              </w:rPr>
            </w:pPr>
            <w:r w:rsidRPr="002B65F7">
              <w:rPr>
                <w:sz w:val="20"/>
                <w:szCs w:val="20"/>
              </w:rPr>
              <w:t>80</w:t>
            </w:r>
          </w:p>
        </w:tc>
        <w:tc>
          <w:tcPr>
            <w:tcW w:w="619" w:type="pct"/>
            <w:vAlign w:val="center"/>
          </w:tcPr>
          <w:p w14:paraId="23DF2550" w14:textId="77777777" w:rsidR="00A170FF" w:rsidRPr="002B65F7" w:rsidRDefault="00A170FF" w:rsidP="00496255">
            <w:pPr>
              <w:widowControl/>
              <w:adjustRightInd w:val="0"/>
              <w:snapToGrid w:val="0"/>
              <w:jc w:val="center"/>
              <w:rPr>
                <w:sz w:val="20"/>
                <w:szCs w:val="20"/>
              </w:rPr>
            </w:pPr>
            <w:r w:rsidRPr="002B65F7">
              <w:rPr>
                <w:sz w:val="20"/>
                <w:szCs w:val="20"/>
              </w:rPr>
              <w:t>80</w:t>
            </w:r>
          </w:p>
        </w:tc>
        <w:tc>
          <w:tcPr>
            <w:tcW w:w="584" w:type="pct"/>
            <w:vAlign w:val="center"/>
          </w:tcPr>
          <w:p w14:paraId="42A7212B" w14:textId="77777777" w:rsidR="00A170FF" w:rsidRPr="002B65F7" w:rsidRDefault="00A170FF" w:rsidP="00496255">
            <w:pPr>
              <w:widowControl/>
              <w:adjustRightInd w:val="0"/>
              <w:snapToGrid w:val="0"/>
              <w:jc w:val="center"/>
              <w:rPr>
                <w:sz w:val="20"/>
                <w:szCs w:val="20"/>
              </w:rPr>
            </w:pPr>
            <w:r w:rsidRPr="002B65F7">
              <w:rPr>
                <w:sz w:val="20"/>
                <w:szCs w:val="20"/>
              </w:rPr>
              <w:t>81</w:t>
            </w:r>
          </w:p>
        </w:tc>
      </w:tr>
      <w:tr w:rsidR="00A170FF" w:rsidRPr="002B65F7" w14:paraId="611B161D" w14:textId="77777777" w:rsidTr="000238BD">
        <w:trPr>
          <w:cantSplit/>
          <w:trHeight w:val="458"/>
        </w:trPr>
        <w:tc>
          <w:tcPr>
            <w:tcW w:w="1006" w:type="pct"/>
            <w:vAlign w:val="center"/>
          </w:tcPr>
          <w:p w14:paraId="22D92B12" w14:textId="77777777" w:rsidR="00A170FF" w:rsidRPr="002B65F7" w:rsidRDefault="00A170FF" w:rsidP="00496255">
            <w:pPr>
              <w:widowControl/>
              <w:adjustRightInd w:val="0"/>
              <w:snapToGrid w:val="0"/>
              <w:rPr>
                <w:sz w:val="20"/>
                <w:szCs w:val="20"/>
              </w:rPr>
            </w:pPr>
            <w:r w:rsidRPr="002B65F7">
              <w:rPr>
                <w:sz w:val="20"/>
                <w:szCs w:val="20"/>
              </w:rPr>
              <w:t>Réponse</w:t>
            </w:r>
          </w:p>
          <w:p w14:paraId="00561EB8" w14:textId="77777777" w:rsidR="00A170FF" w:rsidRPr="002B65F7" w:rsidRDefault="00A170FF" w:rsidP="00496255">
            <w:pPr>
              <w:widowControl/>
              <w:adjustRightInd w:val="0"/>
              <w:snapToGrid w:val="0"/>
              <w:rPr>
                <w:sz w:val="20"/>
                <w:szCs w:val="20"/>
              </w:rPr>
            </w:pPr>
            <w:r w:rsidRPr="002B65F7">
              <w:rPr>
                <w:sz w:val="20"/>
                <w:szCs w:val="20"/>
              </w:rPr>
              <w:t>PASI 75, N (%)</w:t>
            </w:r>
          </w:p>
        </w:tc>
        <w:tc>
          <w:tcPr>
            <w:tcW w:w="730" w:type="pct"/>
            <w:vAlign w:val="center"/>
          </w:tcPr>
          <w:p w14:paraId="02E52FC5" w14:textId="77777777" w:rsidR="00A170FF" w:rsidRPr="002B65F7" w:rsidRDefault="00A170FF" w:rsidP="00496255">
            <w:pPr>
              <w:widowControl/>
              <w:adjustRightInd w:val="0"/>
              <w:snapToGrid w:val="0"/>
              <w:jc w:val="center"/>
              <w:rPr>
                <w:sz w:val="20"/>
                <w:szCs w:val="20"/>
              </w:rPr>
            </w:pPr>
            <w:r w:rsidRPr="002B65F7">
              <w:rPr>
                <w:sz w:val="20"/>
                <w:szCs w:val="20"/>
              </w:rPr>
              <w:t>16 (11%)</w:t>
            </w:r>
          </w:p>
        </w:tc>
        <w:tc>
          <w:tcPr>
            <w:tcW w:w="687" w:type="pct"/>
            <w:vAlign w:val="center"/>
          </w:tcPr>
          <w:p w14:paraId="2D665184" w14:textId="77777777" w:rsidR="00A170FF" w:rsidRPr="002B65F7" w:rsidRDefault="00A170FF" w:rsidP="00496255">
            <w:pPr>
              <w:widowControl/>
              <w:adjustRightInd w:val="0"/>
              <w:snapToGrid w:val="0"/>
              <w:jc w:val="center"/>
              <w:rPr>
                <w:sz w:val="20"/>
                <w:szCs w:val="20"/>
              </w:rPr>
            </w:pPr>
            <w:r w:rsidRPr="002B65F7">
              <w:rPr>
                <w:sz w:val="20"/>
                <w:szCs w:val="20"/>
              </w:rPr>
              <w:t>83 (57%)</w:t>
            </w:r>
            <w:r w:rsidRPr="002B65F7">
              <w:rPr>
                <w:sz w:val="20"/>
                <w:szCs w:val="20"/>
                <w:vertAlign w:val="superscript"/>
              </w:rPr>
              <w:t>a</w:t>
            </w:r>
          </w:p>
        </w:tc>
        <w:tc>
          <w:tcPr>
            <w:tcW w:w="687" w:type="pct"/>
            <w:vAlign w:val="center"/>
          </w:tcPr>
          <w:p w14:paraId="4951F89A" w14:textId="77777777" w:rsidR="00A170FF" w:rsidRPr="002B65F7" w:rsidRDefault="00A170FF" w:rsidP="00496255">
            <w:pPr>
              <w:widowControl/>
              <w:adjustRightInd w:val="0"/>
              <w:snapToGrid w:val="0"/>
              <w:jc w:val="center"/>
              <w:rPr>
                <w:sz w:val="20"/>
                <w:szCs w:val="20"/>
              </w:rPr>
            </w:pPr>
            <w:r w:rsidRPr="002B65F7">
              <w:rPr>
                <w:sz w:val="20"/>
                <w:szCs w:val="20"/>
              </w:rPr>
              <w:t>93 (62%)</w:t>
            </w:r>
            <w:r w:rsidRPr="002B65F7">
              <w:rPr>
                <w:sz w:val="20"/>
                <w:szCs w:val="20"/>
                <w:vertAlign w:val="superscript"/>
              </w:rPr>
              <w:t>a</w:t>
            </w:r>
          </w:p>
        </w:tc>
        <w:tc>
          <w:tcPr>
            <w:tcW w:w="687" w:type="pct"/>
            <w:vAlign w:val="center"/>
          </w:tcPr>
          <w:p w14:paraId="68BB06B8" w14:textId="77777777" w:rsidR="00A170FF" w:rsidRPr="002B65F7" w:rsidRDefault="00A170FF" w:rsidP="00496255">
            <w:pPr>
              <w:widowControl/>
              <w:adjustRightInd w:val="0"/>
              <w:snapToGrid w:val="0"/>
              <w:jc w:val="center"/>
              <w:rPr>
                <w:sz w:val="20"/>
                <w:szCs w:val="20"/>
              </w:rPr>
            </w:pPr>
            <w:r w:rsidRPr="002B65F7">
              <w:rPr>
                <w:sz w:val="20"/>
                <w:szCs w:val="20"/>
              </w:rPr>
              <w:t>4 (5%)</w:t>
            </w:r>
          </w:p>
        </w:tc>
        <w:tc>
          <w:tcPr>
            <w:tcW w:w="619" w:type="pct"/>
            <w:vAlign w:val="center"/>
          </w:tcPr>
          <w:p w14:paraId="69FDB009" w14:textId="77777777" w:rsidR="00A170FF" w:rsidRPr="002B65F7" w:rsidRDefault="00A170FF" w:rsidP="00496255">
            <w:pPr>
              <w:widowControl/>
              <w:adjustRightInd w:val="0"/>
              <w:snapToGrid w:val="0"/>
              <w:jc w:val="center"/>
              <w:rPr>
                <w:sz w:val="20"/>
                <w:szCs w:val="20"/>
              </w:rPr>
            </w:pPr>
            <w:r w:rsidRPr="002B65F7">
              <w:rPr>
                <w:sz w:val="20"/>
                <w:szCs w:val="20"/>
              </w:rPr>
              <w:t>41 (51%)</w:t>
            </w:r>
            <w:r w:rsidRPr="002B65F7">
              <w:rPr>
                <w:sz w:val="20"/>
                <w:szCs w:val="20"/>
                <w:vertAlign w:val="superscript"/>
              </w:rPr>
              <w:t>a</w:t>
            </w:r>
          </w:p>
        </w:tc>
        <w:tc>
          <w:tcPr>
            <w:tcW w:w="584" w:type="pct"/>
            <w:vAlign w:val="center"/>
          </w:tcPr>
          <w:p w14:paraId="44573863" w14:textId="77777777" w:rsidR="00A170FF" w:rsidRPr="002B65F7" w:rsidRDefault="00A170FF" w:rsidP="00496255">
            <w:pPr>
              <w:widowControl/>
              <w:adjustRightInd w:val="0"/>
              <w:snapToGrid w:val="0"/>
              <w:jc w:val="center"/>
              <w:rPr>
                <w:sz w:val="20"/>
                <w:szCs w:val="20"/>
              </w:rPr>
            </w:pPr>
            <w:r w:rsidRPr="002B65F7">
              <w:rPr>
                <w:sz w:val="20"/>
                <w:szCs w:val="20"/>
              </w:rPr>
              <w:t>45 (56%)</w:t>
            </w:r>
            <w:r w:rsidRPr="002B65F7">
              <w:rPr>
                <w:sz w:val="20"/>
                <w:szCs w:val="20"/>
                <w:vertAlign w:val="superscript"/>
              </w:rPr>
              <w:t>a</w:t>
            </w:r>
          </w:p>
        </w:tc>
      </w:tr>
      <w:tr w:rsidR="00A170FF" w:rsidRPr="002B65F7" w14:paraId="399A4C8A" w14:textId="77777777" w:rsidTr="000238BD">
        <w:trPr>
          <w:cantSplit/>
          <w:trHeight w:val="460"/>
        </w:trPr>
        <w:tc>
          <w:tcPr>
            <w:tcW w:w="1006" w:type="pct"/>
            <w:vAlign w:val="center"/>
          </w:tcPr>
          <w:p w14:paraId="672C42CE" w14:textId="77777777" w:rsidR="00A170FF" w:rsidRPr="002B65F7" w:rsidRDefault="00A170FF" w:rsidP="00496255">
            <w:pPr>
              <w:widowControl/>
              <w:adjustRightInd w:val="0"/>
              <w:snapToGrid w:val="0"/>
              <w:rPr>
                <w:sz w:val="20"/>
                <w:szCs w:val="20"/>
              </w:rPr>
            </w:pPr>
            <w:r w:rsidRPr="002B65F7">
              <w:rPr>
                <w:sz w:val="20"/>
                <w:szCs w:val="20"/>
              </w:rPr>
              <w:t>Réponse</w:t>
            </w:r>
          </w:p>
          <w:p w14:paraId="280BC4BC" w14:textId="77777777" w:rsidR="00A170FF" w:rsidRPr="002B65F7" w:rsidRDefault="00A170FF" w:rsidP="00496255">
            <w:pPr>
              <w:widowControl/>
              <w:adjustRightInd w:val="0"/>
              <w:snapToGrid w:val="0"/>
              <w:rPr>
                <w:sz w:val="20"/>
                <w:szCs w:val="20"/>
              </w:rPr>
            </w:pPr>
            <w:r w:rsidRPr="002B65F7">
              <w:rPr>
                <w:sz w:val="20"/>
                <w:szCs w:val="20"/>
              </w:rPr>
              <w:t>PASI 90, N (%)</w:t>
            </w:r>
          </w:p>
        </w:tc>
        <w:tc>
          <w:tcPr>
            <w:tcW w:w="730" w:type="pct"/>
            <w:vAlign w:val="center"/>
          </w:tcPr>
          <w:p w14:paraId="6A4A3F5A" w14:textId="77777777" w:rsidR="00A170FF" w:rsidRPr="002B65F7" w:rsidRDefault="00A170FF" w:rsidP="00496255">
            <w:pPr>
              <w:widowControl/>
              <w:adjustRightInd w:val="0"/>
              <w:snapToGrid w:val="0"/>
              <w:jc w:val="center"/>
              <w:rPr>
                <w:sz w:val="20"/>
                <w:szCs w:val="20"/>
              </w:rPr>
            </w:pPr>
            <w:r w:rsidRPr="002B65F7">
              <w:rPr>
                <w:sz w:val="20"/>
                <w:szCs w:val="20"/>
              </w:rPr>
              <w:t>4 (3%)</w:t>
            </w:r>
          </w:p>
        </w:tc>
        <w:tc>
          <w:tcPr>
            <w:tcW w:w="687" w:type="pct"/>
            <w:vAlign w:val="center"/>
          </w:tcPr>
          <w:p w14:paraId="284F88DE" w14:textId="77777777" w:rsidR="00A170FF" w:rsidRPr="002B65F7" w:rsidRDefault="00A170FF" w:rsidP="00496255">
            <w:pPr>
              <w:widowControl/>
              <w:adjustRightInd w:val="0"/>
              <w:snapToGrid w:val="0"/>
              <w:jc w:val="center"/>
              <w:rPr>
                <w:sz w:val="20"/>
                <w:szCs w:val="20"/>
              </w:rPr>
            </w:pPr>
            <w:r w:rsidRPr="002B65F7">
              <w:rPr>
                <w:sz w:val="20"/>
                <w:szCs w:val="20"/>
              </w:rPr>
              <w:t>60 (41%)</w:t>
            </w:r>
            <w:r w:rsidRPr="002B65F7">
              <w:rPr>
                <w:sz w:val="20"/>
                <w:szCs w:val="20"/>
                <w:vertAlign w:val="superscript"/>
              </w:rPr>
              <w:t>a</w:t>
            </w:r>
          </w:p>
        </w:tc>
        <w:tc>
          <w:tcPr>
            <w:tcW w:w="687" w:type="pct"/>
            <w:vAlign w:val="center"/>
          </w:tcPr>
          <w:p w14:paraId="248DF05E" w14:textId="77777777" w:rsidR="00A170FF" w:rsidRPr="002B65F7" w:rsidRDefault="00A170FF" w:rsidP="00496255">
            <w:pPr>
              <w:widowControl/>
              <w:adjustRightInd w:val="0"/>
              <w:snapToGrid w:val="0"/>
              <w:jc w:val="center"/>
              <w:rPr>
                <w:sz w:val="20"/>
                <w:szCs w:val="20"/>
              </w:rPr>
            </w:pPr>
            <w:r w:rsidRPr="002B65F7">
              <w:rPr>
                <w:sz w:val="20"/>
                <w:szCs w:val="20"/>
              </w:rPr>
              <w:t>65 (44%)</w:t>
            </w:r>
            <w:r w:rsidRPr="002B65F7">
              <w:rPr>
                <w:sz w:val="20"/>
                <w:szCs w:val="20"/>
                <w:vertAlign w:val="superscript"/>
              </w:rPr>
              <w:t>a</w:t>
            </w:r>
          </w:p>
        </w:tc>
        <w:tc>
          <w:tcPr>
            <w:tcW w:w="687" w:type="pct"/>
            <w:vAlign w:val="center"/>
          </w:tcPr>
          <w:p w14:paraId="7CC17080" w14:textId="77777777" w:rsidR="00A170FF" w:rsidRPr="002B65F7" w:rsidRDefault="00A170FF" w:rsidP="00496255">
            <w:pPr>
              <w:widowControl/>
              <w:adjustRightInd w:val="0"/>
              <w:snapToGrid w:val="0"/>
              <w:jc w:val="center"/>
              <w:rPr>
                <w:sz w:val="20"/>
                <w:szCs w:val="20"/>
              </w:rPr>
            </w:pPr>
            <w:r w:rsidRPr="002B65F7">
              <w:rPr>
                <w:sz w:val="20"/>
                <w:szCs w:val="20"/>
              </w:rPr>
              <w:t>3 (4%)</w:t>
            </w:r>
          </w:p>
        </w:tc>
        <w:tc>
          <w:tcPr>
            <w:tcW w:w="619" w:type="pct"/>
            <w:vAlign w:val="center"/>
          </w:tcPr>
          <w:p w14:paraId="0D18955A" w14:textId="77777777" w:rsidR="00A170FF" w:rsidRPr="002B65F7" w:rsidRDefault="00A170FF" w:rsidP="00496255">
            <w:pPr>
              <w:widowControl/>
              <w:adjustRightInd w:val="0"/>
              <w:snapToGrid w:val="0"/>
              <w:jc w:val="center"/>
              <w:rPr>
                <w:sz w:val="20"/>
                <w:szCs w:val="20"/>
              </w:rPr>
            </w:pPr>
            <w:r w:rsidRPr="002B65F7">
              <w:rPr>
                <w:sz w:val="20"/>
                <w:szCs w:val="20"/>
              </w:rPr>
              <w:t>24 (30%)</w:t>
            </w:r>
            <w:r w:rsidRPr="002B65F7">
              <w:rPr>
                <w:sz w:val="20"/>
                <w:szCs w:val="20"/>
                <w:vertAlign w:val="superscript"/>
              </w:rPr>
              <w:t>a</w:t>
            </w:r>
          </w:p>
        </w:tc>
        <w:tc>
          <w:tcPr>
            <w:tcW w:w="584" w:type="pct"/>
            <w:vAlign w:val="center"/>
          </w:tcPr>
          <w:p w14:paraId="7171E63B" w14:textId="77777777" w:rsidR="00A170FF" w:rsidRPr="002B65F7" w:rsidRDefault="00A170FF" w:rsidP="00496255">
            <w:pPr>
              <w:widowControl/>
              <w:adjustRightInd w:val="0"/>
              <w:snapToGrid w:val="0"/>
              <w:jc w:val="center"/>
              <w:rPr>
                <w:sz w:val="20"/>
                <w:szCs w:val="20"/>
              </w:rPr>
            </w:pPr>
            <w:r w:rsidRPr="002B65F7">
              <w:rPr>
                <w:sz w:val="20"/>
                <w:szCs w:val="20"/>
              </w:rPr>
              <w:t>36 (44%)</w:t>
            </w:r>
            <w:r w:rsidRPr="002B65F7">
              <w:rPr>
                <w:sz w:val="20"/>
                <w:szCs w:val="20"/>
                <w:vertAlign w:val="superscript"/>
              </w:rPr>
              <w:t>a</w:t>
            </w:r>
          </w:p>
        </w:tc>
      </w:tr>
      <w:tr w:rsidR="00A170FF" w:rsidRPr="002B65F7" w14:paraId="0024F9BC" w14:textId="77777777" w:rsidTr="000238BD">
        <w:trPr>
          <w:cantSplit/>
          <w:trHeight w:val="737"/>
        </w:trPr>
        <w:tc>
          <w:tcPr>
            <w:tcW w:w="1006" w:type="pct"/>
            <w:vAlign w:val="center"/>
          </w:tcPr>
          <w:p w14:paraId="6F771249" w14:textId="77777777" w:rsidR="00A170FF" w:rsidRPr="002B65F7" w:rsidRDefault="00A170FF" w:rsidP="00496255">
            <w:pPr>
              <w:widowControl/>
              <w:adjustRightInd w:val="0"/>
              <w:snapToGrid w:val="0"/>
              <w:rPr>
                <w:sz w:val="20"/>
                <w:szCs w:val="20"/>
              </w:rPr>
            </w:pPr>
            <w:r w:rsidRPr="002B65F7">
              <w:rPr>
                <w:sz w:val="20"/>
                <w:szCs w:val="20"/>
              </w:rPr>
              <w:lastRenderedPageBreak/>
              <w:t>Réponse combinée PASI 75 et ACR 20, N (%)</w:t>
            </w:r>
          </w:p>
        </w:tc>
        <w:tc>
          <w:tcPr>
            <w:tcW w:w="730" w:type="pct"/>
            <w:vAlign w:val="center"/>
          </w:tcPr>
          <w:p w14:paraId="5ACC0254" w14:textId="77777777" w:rsidR="00A170FF" w:rsidRPr="002B65F7" w:rsidRDefault="00A170FF" w:rsidP="00496255">
            <w:pPr>
              <w:widowControl/>
              <w:adjustRightInd w:val="0"/>
              <w:snapToGrid w:val="0"/>
              <w:jc w:val="center"/>
              <w:rPr>
                <w:sz w:val="20"/>
                <w:szCs w:val="20"/>
              </w:rPr>
            </w:pPr>
            <w:r w:rsidRPr="002B65F7">
              <w:rPr>
                <w:sz w:val="20"/>
                <w:szCs w:val="20"/>
              </w:rPr>
              <w:t>8 (5%)</w:t>
            </w:r>
          </w:p>
        </w:tc>
        <w:tc>
          <w:tcPr>
            <w:tcW w:w="687" w:type="pct"/>
            <w:vAlign w:val="center"/>
          </w:tcPr>
          <w:p w14:paraId="23F824AF" w14:textId="77777777" w:rsidR="00A170FF" w:rsidRPr="002B65F7" w:rsidRDefault="00A170FF" w:rsidP="00496255">
            <w:pPr>
              <w:widowControl/>
              <w:adjustRightInd w:val="0"/>
              <w:snapToGrid w:val="0"/>
              <w:jc w:val="center"/>
              <w:rPr>
                <w:sz w:val="20"/>
                <w:szCs w:val="20"/>
              </w:rPr>
            </w:pPr>
            <w:r w:rsidRPr="002B65F7">
              <w:rPr>
                <w:sz w:val="20"/>
                <w:szCs w:val="20"/>
              </w:rPr>
              <w:t>40 (28%)</w:t>
            </w:r>
            <w:r w:rsidRPr="002B65F7">
              <w:rPr>
                <w:sz w:val="20"/>
                <w:szCs w:val="20"/>
                <w:vertAlign w:val="superscript"/>
              </w:rPr>
              <w:t>a</w:t>
            </w:r>
          </w:p>
        </w:tc>
        <w:tc>
          <w:tcPr>
            <w:tcW w:w="687" w:type="pct"/>
            <w:vAlign w:val="center"/>
          </w:tcPr>
          <w:p w14:paraId="0E2D65DA" w14:textId="77777777" w:rsidR="00A170FF" w:rsidRPr="002B65F7" w:rsidRDefault="00A170FF" w:rsidP="00496255">
            <w:pPr>
              <w:widowControl/>
              <w:adjustRightInd w:val="0"/>
              <w:snapToGrid w:val="0"/>
              <w:jc w:val="center"/>
              <w:rPr>
                <w:sz w:val="20"/>
                <w:szCs w:val="20"/>
              </w:rPr>
            </w:pPr>
            <w:r w:rsidRPr="002B65F7">
              <w:rPr>
                <w:sz w:val="20"/>
                <w:szCs w:val="20"/>
              </w:rPr>
              <w:t>62 (42%)</w:t>
            </w:r>
            <w:r w:rsidRPr="002B65F7">
              <w:rPr>
                <w:sz w:val="20"/>
                <w:szCs w:val="20"/>
                <w:vertAlign w:val="superscript"/>
              </w:rPr>
              <w:t>a</w:t>
            </w:r>
          </w:p>
        </w:tc>
        <w:tc>
          <w:tcPr>
            <w:tcW w:w="687" w:type="pct"/>
            <w:vAlign w:val="center"/>
          </w:tcPr>
          <w:p w14:paraId="37692F8C" w14:textId="77777777" w:rsidR="00A170FF" w:rsidRPr="002B65F7" w:rsidRDefault="00A170FF" w:rsidP="00496255">
            <w:pPr>
              <w:widowControl/>
              <w:adjustRightInd w:val="0"/>
              <w:snapToGrid w:val="0"/>
              <w:jc w:val="center"/>
              <w:rPr>
                <w:sz w:val="20"/>
                <w:szCs w:val="20"/>
              </w:rPr>
            </w:pPr>
            <w:r w:rsidRPr="002B65F7">
              <w:rPr>
                <w:sz w:val="20"/>
                <w:szCs w:val="20"/>
              </w:rPr>
              <w:t>2 (3%)</w:t>
            </w:r>
          </w:p>
        </w:tc>
        <w:tc>
          <w:tcPr>
            <w:tcW w:w="619" w:type="pct"/>
            <w:vAlign w:val="center"/>
          </w:tcPr>
          <w:p w14:paraId="331EF323" w14:textId="77777777" w:rsidR="00A170FF" w:rsidRPr="002B65F7" w:rsidRDefault="00A170FF" w:rsidP="00496255">
            <w:pPr>
              <w:widowControl/>
              <w:adjustRightInd w:val="0"/>
              <w:snapToGrid w:val="0"/>
              <w:jc w:val="center"/>
              <w:rPr>
                <w:sz w:val="20"/>
                <w:szCs w:val="20"/>
              </w:rPr>
            </w:pPr>
            <w:r w:rsidRPr="002B65F7">
              <w:rPr>
                <w:sz w:val="20"/>
                <w:szCs w:val="20"/>
              </w:rPr>
              <w:t>24 (30%)</w:t>
            </w:r>
            <w:r w:rsidRPr="002B65F7">
              <w:rPr>
                <w:sz w:val="20"/>
                <w:szCs w:val="20"/>
                <w:vertAlign w:val="superscript"/>
              </w:rPr>
              <w:t>a</w:t>
            </w:r>
          </w:p>
        </w:tc>
        <w:tc>
          <w:tcPr>
            <w:tcW w:w="584" w:type="pct"/>
            <w:vAlign w:val="center"/>
          </w:tcPr>
          <w:p w14:paraId="66A5C289" w14:textId="77777777" w:rsidR="00A170FF" w:rsidRPr="002B65F7" w:rsidRDefault="00A170FF" w:rsidP="00496255">
            <w:pPr>
              <w:widowControl/>
              <w:adjustRightInd w:val="0"/>
              <w:snapToGrid w:val="0"/>
              <w:jc w:val="center"/>
              <w:rPr>
                <w:sz w:val="20"/>
                <w:szCs w:val="20"/>
              </w:rPr>
            </w:pPr>
            <w:r w:rsidRPr="002B65F7">
              <w:rPr>
                <w:sz w:val="20"/>
                <w:szCs w:val="20"/>
              </w:rPr>
              <w:t>31 (38%)</w:t>
            </w:r>
            <w:r w:rsidRPr="002B65F7">
              <w:rPr>
                <w:sz w:val="20"/>
                <w:szCs w:val="20"/>
                <w:vertAlign w:val="superscript"/>
              </w:rPr>
              <w:t>a</w:t>
            </w:r>
          </w:p>
        </w:tc>
      </w:tr>
      <w:tr w:rsidR="00A170FF" w:rsidRPr="002B65F7" w14:paraId="6A538A4C" w14:textId="77777777" w:rsidTr="000238BD">
        <w:trPr>
          <w:cantSplit/>
          <w:trHeight w:val="230"/>
        </w:trPr>
        <w:tc>
          <w:tcPr>
            <w:tcW w:w="1006" w:type="pct"/>
            <w:vAlign w:val="center"/>
          </w:tcPr>
          <w:p w14:paraId="258D4D5B" w14:textId="77777777" w:rsidR="00A170FF" w:rsidRPr="002B65F7" w:rsidRDefault="00A170FF" w:rsidP="00496255">
            <w:pPr>
              <w:widowControl/>
              <w:adjustRightInd w:val="0"/>
              <w:snapToGrid w:val="0"/>
              <w:rPr>
                <w:sz w:val="20"/>
                <w:szCs w:val="20"/>
              </w:rPr>
            </w:pPr>
          </w:p>
        </w:tc>
        <w:tc>
          <w:tcPr>
            <w:tcW w:w="730" w:type="pct"/>
            <w:vAlign w:val="center"/>
          </w:tcPr>
          <w:p w14:paraId="38DD6E68" w14:textId="77777777" w:rsidR="00A170FF" w:rsidRPr="002B65F7" w:rsidRDefault="00A170FF" w:rsidP="00496255">
            <w:pPr>
              <w:widowControl/>
              <w:adjustRightInd w:val="0"/>
              <w:snapToGrid w:val="0"/>
              <w:jc w:val="center"/>
              <w:rPr>
                <w:sz w:val="20"/>
                <w:szCs w:val="20"/>
              </w:rPr>
            </w:pPr>
          </w:p>
        </w:tc>
        <w:tc>
          <w:tcPr>
            <w:tcW w:w="687" w:type="pct"/>
            <w:vAlign w:val="center"/>
          </w:tcPr>
          <w:p w14:paraId="21E1658C" w14:textId="77777777" w:rsidR="00A170FF" w:rsidRPr="002B65F7" w:rsidRDefault="00A170FF" w:rsidP="00496255">
            <w:pPr>
              <w:widowControl/>
              <w:adjustRightInd w:val="0"/>
              <w:snapToGrid w:val="0"/>
              <w:jc w:val="center"/>
              <w:rPr>
                <w:sz w:val="20"/>
                <w:szCs w:val="20"/>
              </w:rPr>
            </w:pPr>
          </w:p>
        </w:tc>
        <w:tc>
          <w:tcPr>
            <w:tcW w:w="687" w:type="pct"/>
            <w:vAlign w:val="center"/>
          </w:tcPr>
          <w:p w14:paraId="5F017690" w14:textId="77777777" w:rsidR="00A170FF" w:rsidRPr="002B65F7" w:rsidRDefault="00A170FF" w:rsidP="00496255">
            <w:pPr>
              <w:widowControl/>
              <w:adjustRightInd w:val="0"/>
              <w:snapToGrid w:val="0"/>
              <w:jc w:val="center"/>
              <w:rPr>
                <w:sz w:val="20"/>
                <w:szCs w:val="20"/>
              </w:rPr>
            </w:pPr>
          </w:p>
        </w:tc>
        <w:tc>
          <w:tcPr>
            <w:tcW w:w="687" w:type="pct"/>
            <w:vAlign w:val="center"/>
          </w:tcPr>
          <w:p w14:paraId="562E4FD2" w14:textId="77777777" w:rsidR="00A170FF" w:rsidRPr="002B65F7" w:rsidRDefault="00A170FF" w:rsidP="00496255">
            <w:pPr>
              <w:widowControl/>
              <w:adjustRightInd w:val="0"/>
              <w:snapToGrid w:val="0"/>
              <w:jc w:val="center"/>
              <w:rPr>
                <w:sz w:val="20"/>
                <w:szCs w:val="20"/>
              </w:rPr>
            </w:pPr>
          </w:p>
        </w:tc>
        <w:tc>
          <w:tcPr>
            <w:tcW w:w="619" w:type="pct"/>
            <w:vAlign w:val="center"/>
          </w:tcPr>
          <w:p w14:paraId="49B91F81" w14:textId="77777777" w:rsidR="00A170FF" w:rsidRPr="002B65F7" w:rsidRDefault="00A170FF" w:rsidP="00496255">
            <w:pPr>
              <w:widowControl/>
              <w:adjustRightInd w:val="0"/>
              <w:snapToGrid w:val="0"/>
              <w:jc w:val="center"/>
              <w:rPr>
                <w:sz w:val="20"/>
                <w:szCs w:val="20"/>
              </w:rPr>
            </w:pPr>
          </w:p>
        </w:tc>
        <w:tc>
          <w:tcPr>
            <w:tcW w:w="584" w:type="pct"/>
            <w:vAlign w:val="center"/>
          </w:tcPr>
          <w:p w14:paraId="5DFA6723" w14:textId="77777777" w:rsidR="00A170FF" w:rsidRPr="002B65F7" w:rsidRDefault="00A170FF" w:rsidP="00496255">
            <w:pPr>
              <w:widowControl/>
              <w:adjustRightInd w:val="0"/>
              <w:snapToGrid w:val="0"/>
              <w:jc w:val="center"/>
              <w:rPr>
                <w:sz w:val="20"/>
                <w:szCs w:val="20"/>
              </w:rPr>
            </w:pPr>
          </w:p>
        </w:tc>
      </w:tr>
      <w:tr w:rsidR="00A170FF" w:rsidRPr="002B65F7" w14:paraId="42971A89" w14:textId="77777777" w:rsidTr="000238BD">
        <w:trPr>
          <w:cantSplit/>
          <w:trHeight w:val="460"/>
        </w:trPr>
        <w:tc>
          <w:tcPr>
            <w:tcW w:w="1006" w:type="pct"/>
            <w:vAlign w:val="center"/>
          </w:tcPr>
          <w:p w14:paraId="21ED649F" w14:textId="7E87FFBC" w:rsidR="00A170FF" w:rsidRPr="002B65F7" w:rsidRDefault="00A170FF" w:rsidP="00496255">
            <w:pPr>
              <w:widowControl/>
              <w:adjustRightInd w:val="0"/>
              <w:snapToGrid w:val="0"/>
              <w:rPr>
                <w:b/>
                <w:bCs/>
                <w:sz w:val="20"/>
                <w:szCs w:val="20"/>
              </w:rPr>
            </w:pPr>
            <w:r w:rsidRPr="002B65F7">
              <w:rPr>
                <w:b/>
                <w:bCs/>
                <w:sz w:val="20"/>
                <w:szCs w:val="20"/>
              </w:rPr>
              <w:t>Nombre de patients ≤ 100</w:t>
            </w:r>
            <w:r w:rsidR="0083540C" w:rsidRPr="002B65F7">
              <w:rPr>
                <w:b/>
                <w:bCs/>
                <w:sz w:val="20"/>
                <w:szCs w:val="20"/>
              </w:rPr>
              <w:t> </w:t>
            </w:r>
            <w:r w:rsidRPr="002B65F7">
              <w:rPr>
                <w:b/>
                <w:bCs/>
                <w:sz w:val="20"/>
                <w:szCs w:val="20"/>
              </w:rPr>
              <w:t>kg</w:t>
            </w:r>
          </w:p>
        </w:tc>
        <w:tc>
          <w:tcPr>
            <w:tcW w:w="730" w:type="pct"/>
            <w:vAlign w:val="center"/>
          </w:tcPr>
          <w:p w14:paraId="2B39E787" w14:textId="77777777" w:rsidR="00A170FF" w:rsidRPr="002B65F7" w:rsidRDefault="00A170FF" w:rsidP="00496255">
            <w:pPr>
              <w:widowControl/>
              <w:adjustRightInd w:val="0"/>
              <w:snapToGrid w:val="0"/>
              <w:jc w:val="center"/>
              <w:rPr>
                <w:sz w:val="20"/>
                <w:szCs w:val="20"/>
              </w:rPr>
            </w:pPr>
            <w:r w:rsidRPr="002B65F7">
              <w:rPr>
                <w:sz w:val="20"/>
                <w:szCs w:val="20"/>
              </w:rPr>
              <w:t>154</w:t>
            </w:r>
          </w:p>
        </w:tc>
        <w:tc>
          <w:tcPr>
            <w:tcW w:w="687" w:type="pct"/>
            <w:vAlign w:val="center"/>
          </w:tcPr>
          <w:p w14:paraId="6773EF9F" w14:textId="77777777" w:rsidR="00A170FF" w:rsidRPr="002B65F7" w:rsidRDefault="00A170FF" w:rsidP="00496255">
            <w:pPr>
              <w:widowControl/>
              <w:adjustRightInd w:val="0"/>
              <w:snapToGrid w:val="0"/>
              <w:jc w:val="center"/>
              <w:rPr>
                <w:sz w:val="20"/>
                <w:szCs w:val="20"/>
              </w:rPr>
            </w:pPr>
            <w:r w:rsidRPr="002B65F7">
              <w:rPr>
                <w:sz w:val="20"/>
                <w:szCs w:val="20"/>
              </w:rPr>
              <w:t>153</w:t>
            </w:r>
          </w:p>
        </w:tc>
        <w:tc>
          <w:tcPr>
            <w:tcW w:w="687" w:type="pct"/>
            <w:vAlign w:val="center"/>
          </w:tcPr>
          <w:p w14:paraId="65BC8ED6" w14:textId="77777777" w:rsidR="00A170FF" w:rsidRPr="002B65F7" w:rsidRDefault="00A170FF" w:rsidP="00496255">
            <w:pPr>
              <w:widowControl/>
              <w:adjustRightInd w:val="0"/>
              <w:snapToGrid w:val="0"/>
              <w:jc w:val="center"/>
              <w:rPr>
                <w:sz w:val="20"/>
                <w:szCs w:val="20"/>
              </w:rPr>
            </w:pPr>
            <w:r w:rsidRPr="002B65F7">
              <w:rPr>
                <w:sz w:val="20"/>
                <w:szCs w:val="20"/>
              </w:rPr>
              <w:t>154</w:t>
            </w:r>
          </w:p>
        </w:tc>
        <w:tc>
          <w:tcPr>
            <w:tcW w:w="687" w:type="pct"/>
            <w:vAlign w:val="center"/>
          </w:tcPr>
          <w:p w14:paraId="0DC08D0C" w14:textId="77777777" w:rsidR="00A170FF" w:rsidRPr="002B65F7" w:rsidRDefault="00A170FF" w:rsidP="00496255">
            <w:pPr>
              <w:widowControl/>
              <w:adjustRightInd w:val="0"/>
              <w:snapToGrid w:val="0"/>
              <w:jc w:val="center"/>
              <w:rPr>
                <w:sz w:val="20"/>
                <w:szCs w:val="20"/>
              </w:rPr>
            </w:pPr>
            <w:r w:rsidRPr="002B65F7">
              <w:rPr>
                <w:sz w:val="20"/>
                <w:szCs w:val="20"/>
              </w:rPr>
              <w:t>74</w:t>
            </w:r>
          </w:p>
        </w:tc>
        <w:tc>
          <w:tcPr>
            <w:tcW w:w="619" w:type="pct"/>
            <w:vAlign w:val="center"/>
          </w:tcPr>
          <w:p w14:paraId="2EEFCF04" w14:textId="77777777" w:rsidR="00A170FF" w:rsidRPr="002B65F7" w:rsidRDefault="00A170FF" w:rsidP="00496255">
            <w:pPr>
              <w:widowControl/>
              <w:adjustRightInd w:val="0"/>
              <w:snapToGrid w:val="0"/>
              <w:jc w:val="center"/>
              <w:rPr>
                <w:sz w:val="20"/>
                <w:szCs w:val="20"/>
              </w:rPr>
            </w:pPr>
            <w:r w:rsidRPr="002B65F7">
              <w:rPr>
                <w:sz w:val="20"/>
                <w:szCs w:val="20"/>
              </w:rPr>
              <w:t>74</w:t>
            </w:r>
          </w:p>
        </w:tc>
        <w:tc>
          <w:tcPr>
            <w:tcW w:w="584" w:type="pct"/>
            <w:vAlign w:val="center"/>
          </w:tcPr>
          <w:p w14:paraId="40E59522" w14:textId="77777777" w:rsidR="00A170FF" w:rsidRPr="002B65F7" w:rsidRDefault="00A170FF" w:rsidP="00496255">
            <w:pPr>
              <w:widowControl/>
              <w:adjustRightInd w:val="0"/>
              <w:snapToGrid w:val="0"/>
              <w:jc w:val="center"/>
              <w:rPr>
                <w:sz w:val="20"/>
                <w:szCs w:val="20"/>
              </w:rPr>
            </w:pPr>
            <w:r w:rsidRPr="002B65F7">
              <w:rPr>
                <w:sz w:val="20"/>
                <w:szCs w:val="20"/>
              </w:rPr>
              <w:t>73</w:t>
            </w:r>
          </w:p>
        </w:tc>
      </w:tr>
      <w:tr w:rsidR="00A170FF" w:rsidRPr="002B65F7" w14:paraId="40471231" w14:textId="77777777" w:rsidTr="000238BD">
        <w:trPr>
          <w:cantSplit/>
          <w:trHeight w:val="457"/>
        </w:trPr>
        <w:tc>
          <w:tcPr>
            <w:tcW w:w="1006" w:type="pct"/>
            <w:vAlign w:val="center"/>
          </w:tcPr>
          <w:p w14:paraId="39E1C3CD" w14:textId="77777777" w:rsidR="00A170FF" w:rsidRPr="002B65F7" w:rsidRDefault="00A170FF" w:rsidP="00496255">
            <w:pPr>
              <w:widowControl/>
              <w:adjustRightInd w:val="0"/>
              <w:snapToGrid w:val="0"/>
              <w:rPr>
                <w:sz w:val="20"/>
                <w:szCs w:val="20"/>
              </w:rPr>
            </w:pPr>
            <w:r w:rsidRPr="002B65F7">
              <w:rPr>
                <w:sz w:val="20"/>
                <w:szCs w:val="20"/>
              </w:rPr>
              <w:t>Réponse</w:t>
            </w:r>
          </w:p>
          <w:p w14:paraId="252154A2" w14:textId="77777777" w:rsidR="00A170FF" w:rsidRPr="002B65F7" w:rsidRDefault="00A170FF" w:rsidP="00496255">
            <w:pPr>
              <w:widowControl/>
              <w:adjustRightInd w:val="0"/>
              <w:snapToGrid w:val="0"/>
              <w:rPr>
                <w:sz w:val="20"/>
                <w:szCs w:val="20"/>
              </w:rPr>
            </w:pPr>
            <w:r w:rsidRPr="002B65F7">
              <w:rPr>
                <w:sz w:val="20"/>
                <w:szCs w:val="20"/>
              </w:rPr>
              <w:t>ACR 20, N (%)</w:t>
            </w:r>
          </w:p>
        </w:tc>
        <w:tc>
          <w:tcPr>
            <w:tcW w:w="730" w:type="pct"/>
            <w:vAlign w:val="center"/>
          </w:tcPr>
          <w:p w14:paraId="0AB8976F" w14:textId="77777777" w:rsidR="00A170FF" w:rsidRPr="002B65F7" w:rsidRDefault="00A170FF" w:rsidP="00496255">
            <w:pPr>
              <w:widowControl/>
              <w:adjustRightInd w:val="0"/>
              <w:snapToGrid w:val="0"/>
              <w:jc w:val="center"/>
              <w:rPr>
                <w:sz w:val="20"/>
                <w:szCs w:val="20"/>
              </w:rPr>
            </w:pPr>
            <w:r w:rsidRPr="002B65F7">
              <w:rPr>
                <w:sz w:val="20"/>
                <w:szCs w:val="20"/>
              </w:rPr>
              <w:t>39 (25%)</w:t>
            </w:r>
          </w:p>
        </w:tc>
        <w:tc>
          <w:tcPr>
            <w:tcW w:w="687" w:type="pct"/>
            <w:vAlign w:val="center"/>
          </w:tcPr>
          <w:p w14:paraId="669622DC" w14:textId="77777777" w:rsidR="00A170FF" w:rsidRPr="002B65F7" w:rsidRDefault="00A170FF" w:rsidP="00496255">
            <w:pPr>
              <w:widowControl/>
              <w:adjustRightInd w:val="0"/>
              <w:snapToGrid w:val="0"/>
              <w:jc w:val="center"/>
              <w:rPr>
                <w:sz w:val="20"/>
                <w:szCs w:val="20"/>
              </w:rPr>
            </w:pPr>
            <w:r w:rsidRPr="002B65F7">
              <w:rPr>
                <w:sz w:val="20"/>
                <w:szCs w:val="20"/>
              </w:rPr>
              <w:t>67 (44%)</w:t>
            </w:r>
          </w:p>
        </w:tc>
        <w:tc>
          <w:tcPr>
            <w:tcW w:w="687" w:type="pct"/>
            <w:vAlign w:val="center"/>
          </w:tcPr>
          <w:p w14:paraId="28C45233" w14:textId="77777777" w:rsidR="00A170FF" w:rsidRPr="002B65F7" w:rsidRDefault="00A170FF" w:rsidP="00496255">
            <w:pPr>
              <w:widowControl/>
              <w:adjustRightInd w:val="0"/>
              <w:snapToGrid w:val="0"/>
              <w:jc w:val="center"/>
              <w:rPr>
                <w:sz w:val="20"/>
                <w:szCs w:val="20"/>
              </w:rPr>
            </w:pPr>
            <w:r w:rsidRPr="002B65F7">
              <w:rPr>
                <w:sz w:val="20"/>
                <w:szCs w:val="20"/>
              </w:rPr>
              <w:t>78 (51%)</w:t>
            </w:r>
          </w:p>
        </w:tc>
        <w:tc>
          <w:tcPr>
            <w:tcW w:w="687" w:type="pct"/>
            <w:vAlign w:val="center"/>
          </w:tcPr>
          <w:p w14:paraId="0E92472C" w14:textId="77777777" w:rsidR="00A170FF" w:rsidRPr="002B65F7" w:rsidRDefault="00A170FF" w:rsidP="00496255">
            <w:pPr>
              <w:widowControl/>
              <w:adjustRightInd w:val="0"/>
              <w:snapToGrid w:val="0"/>
              <w:jc w:val="center"/>
              <w:rPr>
                <w:sz w:val="20"/>
                <w:szCs w:val="20"/>
              </w:rPr>
            </w:pPr>
            <w:r w:rsidRPr="002B65F7">
              <w:rPr>
                <w:sz w:val="20"/>
                <w:szCs w:val="20"/>
              </w:rPr>
              <w:t>17 (23%)</w:t>
            </w:r>
          </w:p>
        </w:tc>
        <w:tc>
          <w:tcPr>
            <w:tcW w:w="619" w:type="pct"/>
            <w:vAlign w:val="center"/>
          </w:tcPr>
          <w:p w14:paraId="1CC111E4" w14:textId="77777777" w:rsidR="00A170FF" w:rsidRPr="002B65F7" w:rsidRDefault="00A170FF" w:rsidP="00496255">
            <w:pPr>
              <w:widowControl/>
              <w:adjustRightInd w:val="0"/>
              <w:snapToGrid w:val="0"/>
              <w:jc w:val="center"/>
              <w:rPr>
                <w:sz w:val="20"/>
                <w:szCs w:val="20"/>
              </w:rPr>
            </w:pPr>
            <w:r w:rsidRPr="002B65F7">
              <w:rPr>
                <w:sz w:val="20"/>
                <w:szCs w:val="20"/>
              </w:rPr>
              <w:t>32 (43%)</w:t>
            </w:r>
          </w:p>
        </w:tc>
        <w:tc>
          <w:tcPr>
            <w:tcW w:w="584" w:type="pct"/>
            <w:vAlign w:val="center"/>
          </w:tcPr>
          <w:p w14:paraId="35D8266E" w14:textId="77777777" w:rsidR="00A170FF" w:rsidRPr="002B65F7" w:rsidRDefault="00A170FF" w:rsidP="00496255">
            <w:pPr>
              <w:widowControl/>
              <w:adjustRightInd w:val="0"/>
              <w:snapToGrid w:val="0"/>
              <w:jc w:val="center"/>
              <w:rPr>
                <w:sz w:val="20"/>
                <w:szCs w:val="20"/>
              </w:rPr>
            </w:pPr>
            <w:r w:rsidRPr="002B65F7">
              <w:rPr>
                <w:sz w:val="20"/>
                <w:szCs w:val="20"/>
              </w:rPr>
              <w:t>34 (47%)</w:t>
            </w:r>
          </w:p>
        </w:tc>
      </w:tr>
      <w:tr w:rsidR="00A170FF" w:rsidRPr="002B65F7" w14:paraId="3F1C0551" w14:textId="77777777" w:rsidTr="000238BD">
        <w:trPr>
          <w:cantSplit/>
          <w:trHeight w:val="460"/>
        </w:trPr>
        <w:tc>
          <w:tcPr>
            <w:tcW w:w="1006" w:type="pct"/>
            <w:vAlign w:val="center"/>
          </w:tcPr>
          <w:p w14:paraId="0191BF8A" w14:textId="1AA668A7" w:rsidR="00A170FF" w:rsidRPr="002B65F7" w:rsidRDefault="00A170FF" w:rsidP="00496255">
            <w:pPr>
              <w:widowControl/>
              <w:adjustRightInd w:val="0"/>
              <w:snapToGrid w:val="0"/>
              <w:rPr>
                <w:sz w:val="20"/>
                <w:szCs w:val="20"/>
              </w:rPr>
            </w:pPr>
            <w:r w:rsidRPr="002B65F7">
              <w:rPr>
                <w:sz w:val="20"/>
                <w:szCs w:val="20"/>
              </w:rPr>
              <w:t>Nombre de patients avec SCA ≥ 3%</w:t>
            </w:r>
            <w:r w:rsidRPr="002B65F7">
              <w:rPr>
                <w:sz w:val="20"/>
                <w:szCs w:val="20"/>
                <w:vertAlign w:val="superscript"/>
              </w:rPr>
              <w:t>d</w:t>
            </w:r>
          </w:p>
        </w:tc>
        <w:tc>
          <w:tcPr>
            <w:tcW w:w="730" w:type="pct"/>
            <w:vAlign w:val="center"/>
          </w:tcPr>
          <w:p w14:paraId="4F6DCD86" w14:textId="77777777" w:rsidR="00A170FF" w:rsidRPr="002B65F7" w:rsidRDefault="00A170FF" w:rsidP="00496255">
            <w:pPr>
              <w:widowControl/>
              <w:adjustRightInd w:val="0"/>
              <w:snapToGrid w:val="0"/>
              <w:jc w:val="center"/>
              <w:rPr>
                <w:sz w:val="20"/>
                <w:szCs w:val="20"/>
              </w:rPr>
            </w:pPr>
            <w:r w:rsidRPr="002B65F7">
              <w:rPr>
                <w:sz w:val="20"/>
                <w:szCs w:val="20"/>
              </w:rPr>
              <w:t>105</w:t>
            </w:r>
          </w:p>
        </w:tc>
        <w:tc>
          <w:tcPr>
            <w:tcW w:w="687" w:type="pct"/>
            <w:vAlign w:val="center"/>
          </w:tcPr>
          <w:p w14:paraId="427276F5" w14:textId="77777777" w:rsidR="00A170FF" w:rsidRPr="002B65F7" w:rsidRDefault="00A170FF" w:rsidP="00496255">
            <w:pPr>
              <w:widowControl/>
              <w:adjustRightInd w:val="0"/>
              <w:snapToGrid w:val="0"/>
              <w:jc w:val="center"/>
              <w:rPr>
                <w:sz w:val="20"/>
                <w:szCs w:val="20"/>
              </w:rPr>
            </w:pPr>
            <w:r w:rsidRPr="002B65F7">
              <w:rPr>
                <w:sz w:val="20"/>
                <w:szCs w:val="20"/>
              </w:rPr>
              <w:t>105</w:t>
            </w:r>
          </w:p>
        </w:tc>
        <w:tc>
          <w:tcPr>
            <w:tcW w:w="687" w:type="pct"/>
            <w:vAlign w:val="center"/>
          </w:tcPr>
          <w:p w14:paraId="3C4A5BD0" w14:textId="77777777" w:rsidR="00A170FF" w:rsidRPr="002B65F7" w:rsidRDefault="00A170FF" w:rsidP="00496255">
            <w:pPr>
              <w:widowControl/>
              <w:adjustRightInd w:val="0"/>
              <w:snapToGrid w:val="0"/>
              <w:jc w:val="center"/>
              <w:rPr>
                <w:sz w:val="20"/>
                <w:szCs w:val="20"/>
              </w:rPr>
            </w:pPr>
            <w:r w:rsidRPr="002B65F7">
              <w:rPr>
                <w:sz w:val="20"/>
                <w:szCs w:val="20"/>
              </w:rPr>
              <w:t>111</w:t>
            </w:r>
          </w:p>
        </w:tc>
        <w:tc>
          <w:tcPr>
            <w:tcW w:w="687" w:type="pct"/>
            <w:vAlign w:val="center"/>
          </w:tcPr>
          <w:p w14:paraId="0BB106FE" w14:textId="77777777" w:rsidR="00A170FF" w:rsidRPr="002B65F7" w:rsidRDefault="00A170FF" w:rsidP="00496255">
            <w:pPr>
              <w:widowControl/>
              <w:adjustRightInd w:val="0"/>
              <w:snapToGrid w:val="0"/>
              <w:jc w:val="center"/>
              <w:rPr>
                <w:sz w:val="20"/>
                <w:szCs w:val="20"/>
              </w:rPr>
            </w:pPr>
            <w:r w:rsidRPr="002B65F7">
              <w:rPr>
                <w:sz w:val="20"/>
                <w:szCs w:val="20"/>
              </w:rPr>
              <w:t>54</w:t>
            </w:r>
          </w:p>
        </w:tc>
        <w:tc>
          <w:tcPr>
            <w:tcW w:w="619" w:type="pct"/>
            <w:vAlign w:val="center"/>
          </w:tcPr>
          <w:p w14:paraId="2165FC3E" w14:textId="77777777" w:rsidR="00A170FF" w:rsidRPr="002B65F7" w:rsidRDefault="00A170FF" w:rsidP="00496255">
            <w:pPr>
              <w:widowControl/>
              <w:adjustRightInd w:val="0"/>
              <w:snapToGrid w:val="0"/>
              <w:jc w:val="center"/>
              <w:rPr>
                <w:sz w:val="20"/>
                <w:szCs w:val="20"/>
              </w:rPr>
            </w:pPr>
            <w:r w:rsidRPr="002B65F7">
              <w:rPr>
                <w:sz w:val="20"/>
                <w:szCs w:val="20"/>
              </w:rPr>
              <w:t>58</w:t>
            </w:r>
          </w:p>
        </w:tc>
        <w:tc>
          <w:tcPr>
            <w:tcW w:w="584" w:type="pct"/>
            <w:vAlign w:val="center"/>
          </w:tcPr>
          <w:p w14:paraId="608A9251" w14:textId="77777777" w:rsidR="00A170FF" w:rsidRPr="002B65F7" w:rsidRDefault="00A170FF" w:rsidP="00496255">
            <w:pPr>
              <w:widowControl/>
              <w:adjustRightInd w:val="0"/>
              <w:snapToGrid w:val="0"/>
              <w:jc w:val="center"/>
              <w:rPr>
                <w:sz w:val="20"/>
                <w:szCs w:val="20"/>
              </w:rPr>
            </w:pPr>
            <w:r w:rsidRPr="002B65F7">
              <w:rPr>
                <w:sz w:val="20"/>
                <w:szCs w:val="20"/>
              </w:rPr>
              <w:t>57</w:t>
            </w:r>
          </w:p>
        </w:tc>
      </w:tr>
      <w:tr w:rsidR="00A170FF" w:rsidRPr="002B65F7" w14:paraId="65B77C84" w14:textId="77777777" w:rsidTr="000238BD">
        <w:trPr>
          <w:cantSplit/>
          <w:trHeight w:val="460"/>
        </w:trPr>
        <w:tc>
          <w:tcPr>
            <w:tcW w:w="1006" w:type="pct"/>
            <w:vAlign w:val="center"/>
          </w:tcPr>
          <w:p w14:paraId="3104D0BD" w14:textId="77777777" w:rsidR="00A170FF" w:rsidRPr="002B65F7" w:rsidRDefault="00A170FF" w:rsidP="00496255">
            <w:pPr>
              <w:widowControl/>
              <w:adjustRightInd w:val="0"/>
              <w:snapToGrid w:val="0"/>
              <w:rPr>
                <w:sz w:val="20"/>
                <w:szCs w:val="20"/>
              </w:rPr>
            </w:pPr>
            <w:r w:rsidRPr="002B65F7">
              <w:rPr>
                <w:sz w:val="20"/>
                <w:szCs w:val="20"/>
              </w:rPr>
              <w:t>Réponse</w:t>
            </w:r>
          </w:p>
          <w:p w14:paraId="20C8B41C" w14:textId="77777777" w:rsidR="00A170FF" w:rsidRPr="002B65F7" w:rsidRDefault="00A170FF" w:rsidP="00496255">
            <w:pPr>
              <w:widowControl/>
              <w:adjustRightInd w:val="0"/>
              <w:snapToGrid w:val="0"/>
              <w:rPr>
                <w:sz w:val="20"/>
                <w:szCs w:val="20"/>
              </w:rPr>
            </w:pPr>
            <w:r w:rsidRPr="002B65F7">
              <w:rPr>
                <w:sz w:val="20"/>
                <w:szCs w:val="20"/>
              </w:rPr>
              <w:t>PASI 75, N (%)</w:t>
            </w:r>
          </w:p>
        </w:tc>
        <w:tc>
          <w:tcPr>
            <w:tcW w:w="730" w:type="pct"/>
            <w:vAlign w:val="center"/>
          </w:tcPr>
          <w:p w14:paraId="4EB25AA8" w14:textId="77777777" w:rsidR="00A170FF" w:rsidRPr="002B65F7" w:rsidRDefault="00A170FF" w:rsidP="00496255">
            <w:pPr>
              <w:widowControl/>
              <w:adjustRightInd w:val="0"/>
              <w:snapToGrid w:val="0"/>
              <w:jc w:val="center"/>
              <w:rPr>
                <w:sz w:val="20"/>
                <w:szCs w:val="20"/>
              </w:rPr>
            </w:pPr>
            <w:r w:rsidRPr="002B65F7">
              <w:rPr>
                <w:sz w:val="20"/>
                <w:szCs w:val="20"/>
              </w:rPr>
              <w:t>14 (13%)</w:t>
            </w:r>
          </w:p>
        </w:tc>
        <w:tc>
          <w:tcPr>
            <w:tcW w:w="687" w:type="pct"/>
            <w:vAlign w:val="center"/>
          </w:tcPr>
          <w:p w14:paraId="2B4CB99F" w14:textId="77777777" w:rsidR="00A170FF" w:rsidRPr="002B65F7" w:rsidRDefault="00A170FF" w:rsidP="00496255">
            <w:pPr>
              <w:widowControl/>
              <w:adjustRightInd w:val="0"/>
              <w:snapToGrid w:val="0"/>
              <w:jc w:val="center"/>
              <w:rPr>
                <w:sz w:val="20"/>
                <w:szCs w:val="20"/>
              </w:rPr>
            </w:pPr>
            <w:r w:rsidRPr="002B65F7">
              <w:rPr>
                <w:sz w:val="20"/>
                <w:szCs w:val="20"/>
              </w:rPr>
              <w:t>64 (61%)</w:t>
            </w:r>
          </w:p>
        </w:tc>
        <w:tc>
          <w:tcPr>
            <w:tcW w:w="687" w:type="pct"/>
            <w:vAlign w:val="center"/>
          </w:tcPr>
          <w:p w14:paraId="3979D364" w14:textId="77777777" w:rsidR="00A170FF" w:rsidRPr="002B65F7" w:rsidRDefault="00A170FF" w:rsidP="00496255">
            <w:pPr>
              <w:widowControl/>
              <w:adjustRightInd w:val="0"/>
              <w:snapToGrid w:val="0"/>
              <w:jc w:val="center"/>
              <w:rPr>
                <w:sz w:val="20"/>
                <w:szCs w:val="20"/>
              </w:rPr>
            </w:pPr>
            <w:r w:rsidRPr="002B65F7">
              <w:rPr>
                <w:sz w:val="20"/>
                <w:szCs w:val="20"/>
              </w:rPr>
              <w:t>73 (66%)</w:t>
            </w:r>
          </w:p>
        </w:tc>
        <w:tc>
          <w:tcPr>
            <w:tcW w:w="687" w:type="pct"/>
            <w:vAlign w:val="center"/>
          </w:tcPr>
          <w:p w14:paraId="11AF79E0" w14:textId="77777777" w:rsidR="00A170FF" w:rsidRPr="002B65F7" w:rsidRDefault="00A170FF" w:rsidP="00496255">
            <w:pPr>
              <w:widowControl/>
              <w:adjustRightInd w:val="0"/>
              <w:snapToGrid w:val="0"/>
              <w:jc w:val="center"/>
              <w:rPr>
                <w:sz w:val="20"/>
                <w:szCs w:val="20"/>
              </w:rPr>
            </w:pPr>
            <w:r w:rsidRPr="002B65F7">
              <w:rPr>
                <w:sz w:val="20"/>
                <w:szCs w:val="20"/>
              </w:rPr>
              <w:t>4 (7%)</w:t>
            </w:r>
          </w:p>
        </w:tc>
        <w:tc>
          <w:tcPr>
            <w:tcW w:w="619" w:type="pct"/>
            <w:vAlign w:val="center"/>
          </w:tcPr>
          <w:p w14:paraId="13E331FC" w14:textId="77777777" w:rsidR="00A170FF" w:rsidRPr="002B65F7" w:rsidRDefault="00A170FF" w:rsidP="00496255">
            <w:pPr>
              <w:widowControl/>
              <w:adjustRightInd w:val="0"/>
              <w:snapToGrid w:val="0"/>
              <w:jc w:val="center"/>
              <w:rPr>
                <w:sz w:val="20"/>
                <w:szCs w:val="20"/>
              </w:rPr>
            </w:pPr>
            <w:r w:rsidRPr="002B65F7">
              <w:rPr>
                <w:sz w:val="20"/>
                <w:szCs w:val="20"/>
              </w:rPr>
              <w:t>31 (53%)</w:t>
            </w:r>
          </w:p>
        </w:tc>
        <w:tc>
          <w:tcPr>
            <w:tcW w:w="584" w:type="pct"/>
            <w:vAlign w:val="center"/>
          </w:tcPr>
          <w:p w14:paraId="0E015F73" w14:textId="77777777" w:rsidR="00A170FF" w:rsidRPr="002B65F7" w:rsidRDefault="00A170FF" w:rsidP="00496255">
            <w:pPr>
              <w:widowControl/>
              <w:adjustRightInd w:val="0"/>
              <w:snapToGrid w:val="0"/>
              <w:jc w:val="center"/>
              <w:rPr>
                <w:sz w:val="20"/>
                <w:szCs w:val="20"/>
              </w:rPr>
            </w:pPr>
            <w:r w:rsidRPr="002B65F7">
              <w:rPr>
                <w:sz w:val="20"/>
                <w:szCs w:val="20"/>
              </w:rPr>
              <w:t>32 (56%)</w:t>
            </w:r>
          </w:p>
        </w:tc>
      </w:tr>
      <w:tr w:rsidR="00A170FF" w:rsidRPr="002B65F7" w14:paraId="5020719B" w14:textId="77777777" w:rsidTr="000238BD">
        <w:trPr>
          <w:cantSplit/>
          <w:trHeight w:val="460"/>
        </w:trPr>
        <w:tc>
          <w:tcPr>
            <w:tcW w:w="1006" w:type="pct"/>
            <w:vAlign w:val="center"/>
          </w:tcPr>
          <w:p w14:paraId="4B30C791" w14:textId="77777777" w:rsidR="00A170FF" w:rsidRPr="002B65F7" w:rsidRDefault="00A170FF" w:rsidP="00496255">
            <w:pPr>
              <w:widowControl/>
              <w:adjustRightInd w:val="0"/>
              <w:snapToGrid w:val="0"/>
              <w:rPr>
                <w:sz w:val="20"/>
                <w:szCs w:val="20"/>
              </w:rPr>
            </w:pPr>
            <w:r w:rsidRPr="002B65F7">
              <w:rPr>
                <w:sz w:val="20"/>
                <w:szCs w:val="20"/>
              </w:rPr>
              <w:t>Nombre de patients &gt; 100 kg</w:t>
            </w:r>
          </w:p>
        </w:tc>
        <w:tc>
          <w:tcPr>
            <w:tcW w:w="730" w:type="pct"/>
            <w:vAlign w:val="center"/>
          </w:tcPr>
          <w:p w14:paraId="2964E9EE" w14:textId="77777777" w:rsidR="00A170FF" w:rsidRPr="002B65F7" w:rsidRDefault="00A170FF" w:rsidP="00496255">
            <w:pPr>
              <w:widowControl/>
              <w:adjustRightInd w:val="0"/>
              <w:snapToGrid w:val="0"/>
              <w:jc w:val="center"/>
              <w:rPr>
                <w:sz w:val="20"/>
                <w:szCs w:val="20"/>
              </w:rPr>
            </w:pPr>
            <w:r w:rsidRPr="002B65F7">
              <w:rPr>
                <w:sz w:val="20"/>
                <w:szCs w:val="20"/>
              </w:rPr>
              <w:t>52</w:t>
            </w:r>
          </w:p>
        </w:tc>
        <w:tc>
          <w:tcPr>
            <w:tcW w:w="687" w:type="pct"/>
            <w:vAlign w:val="center"/>
          </w:tcPr>
          <w:p w14:paraId="1F6F2AA7" w14:textId="77777777" w:rsidR="00A170FF" w:rsidRPr="002B65F7" w:rsidRDefault="00A170FF" w:rsidP="00496255">
            <w:pPr>
              <w:widowControl/>
              <w:adjustRightInd w:val="0"/>
              <w:snapToGrid w:val="0"/>
              <w:jc w:val="center"/>
              <w:rPr>
                <w:sz w:val="20"/>
                <w:szCs w:val="20"/>
              </w:rPr>
            </w:pPr>
            <w:r w:rsidRPr="002B65F7">
              <w:rPr>
                <w:sz w:val="20"/>
                <w:szCs w:val="20"/>
              </w:rPr>
              <w:t>52</w:t>
            </w:r>
          </w:p>
        </w:tc>
        <w:tc>
          <w:tcPr>
            <w:tcW w:w="687" w:type="pct"/>
            <w:vAlign w:val="center"/>
          </w:tcPr>
          <w:p w14:paraId="06C3FE52" w14:textId="77777777" w:rsidR="00A170FF" w:rsidRPr="002B65F7" w:rsidRDefault="00A170FF" w:rsidP="00496255">
            <w:pPr>
              <w:widowControl/>
              <w:adjustRightInd w:val="0"/>
              <w:snapToGrid w:val="0"/>
              <w:jc w:val="center"/>
              <w:rPr>
                <w:sz w:val="20"/>
                <w:szCs w:val="20"/>
              </w:rPr>
            </w:pPr>
            <w:r w:rsidRPr="002B65F7">
              <w:rPr>
                <w:sz w:val="20"/>
                <w:szCs w:val="20"/>
              </w:rPr>
              <w:t>50</w:t>
            </w:r>
          </w:p>
        </w:tc>
        <w:tc>
          <w:tcPr>
            <w:tcW w:w="687" w:type="pct"/>
            <w:vAlign w:val="center"/>
          </w:tcPr>
          <w:p w14:paraId="2800455D" w14:textId="77777777" w:rsidR="00A170FF" w:rsidRPr="002B65F7" w:rsidRDefault="00A170FF" w:rsidP="00496255">
            <w:pPr>
              <w:widowControl/>
              <w:adjustRightInd w:val="0"/>
              <w:snapToGrid w:val="0"/>
              <w:jc w:val="center"/>
              <w:rPr>
                <w:sz w:val="20"/>
                <w:szCs w:val="20"/>
              </w:rPr>
            </w:pPr>
            <w:r w:rsidRPr="002B65F7">
              <w:rPr>
                <w:sz w:val="20"/>
                <w:szCs w:val="20"/>
              </w:rPr>
              <w:t>30</w:t>
            </w:r>
          </w:p>
        </w:tc>
        <w:tc>
          <w:tcPr>
            <w:tcW w:w="619" w:type="pct"/>
            <w:vAlign w:val="center"/>
          </w:tcPr>
          <w:p w14:paraId="2D71D5C1" w14:textId="77777777" w:rsidR="00A170FF" w:rsidRPr="002B65F7" w:rsidRDefault="00A170FF" w:rsidP="00496255">
            <w:pPr>
              <w:widowControl/>
              <w:adjustRightInd w:val="0"/>
              <w:snapToGrid w:val="0"/>
              <w:jc w:val="center"/>
              <w:rPr>
                <w:sz w:val="20"/>
                <w:szCs w:val="20"/>
              </w:rPr>
            </w:pPr>
            <w:r w:rsidRPr="002B65F7">
              <w:rPr>
                <w:sz w:val="20"/>
                <w:szCs w:val="20"/>
              </w:rPr>
              <w:t>29</w:t>
            </w:r>
          </w:p>
        </w:tc>
        <w:tc>
          <w:tcPr>
            <w:tcW w:w="584" w:type="pct"/>
            <w:vAlign w:val="center"/>
          </w:tcPr>
          <w:p w14:paraId="03222635" w14:textId="77777777" w:rsidR="00A170FF" w:rsidRPr="002B65F7" w:rsidRDefault="00A170FF" w:rsidP="00496255">
            <w:pPr>
              <w:widowControl/>
              <w:adjustRightInd w:val="0"/>
              <w:snapToGrid w:val="0"/>
              <w:jc w:val="center"/>
              <w:rPr>
                <w:sz w:val="20"/>
                <w:szCs w:val="20"/>
              </w:rPr>
            </w:pPr>
            <w:r w:rsidRPr="002B65F7">
              <w:rPr>
                <w:sz w:val="20"/>
                <w:szCs w:val="20"/>
              </w:rPr>
              <w:t>31</w:t>
            </w:r>
          </w:p>
        </w:tc>
      </w:tr>
      <w:tr w:rsidR="00A170FF" w:rsidRPr="002B65F7" w14:paraId="1949C640" w14:textId="77777777" w:rsidTr="000238BD">
        <w:trPr>
          <w:cantSplit/>
          <w:trHeight w:val="460"/>
        </w:trPr>
        <w:tc>
          <w:tcPr>
            <w:tcW w:w="1006" w:type="pct"/>
            <w:vAlign w:val="center"/>
          </w:tcPr>
          <w:p w14:paraId="07B3238D" w14:textId="77777777" w:rsidR="00A170FF" w:rsidRPr="002B65F7" w:rsidRDefault="00A170FF" w:rsidP="00496255">
            <w:pPr>
              <w:widowControl/>
              <w:adjustRightInd w:val="0"/>
              <w:snapToGrid w:val="0"/>
              <w:rPr>
                <w:sz w:val="20"/>
                <w:szCs w:val="20"/>
              </w:rPr>
            </w:pPr>
            <w:r w:rsidRPr="002B65F7">
              <w:rPr>
                <w:sz w:val="20"/>
                <w:szCs w:val="20"/>
              </w:rPr>
              <w:t>Réponse</w:t>
            </w:r>
          </w:p>
          <w:p w14:paraId="7E679356" w14:textId="77777777" w:rsidR="00A170FF" w:rsidRPr="002B65F7" w:rsidRDefault="00A170FF" w:rsidP="00496255">
            <w:pPr>
              <w:widowControl/>
              <w:adjustRightInd w:val="0"/>
              <w:snapToGrid w:val="0"/>
              <w:rPr>
                <w:sz w:val="20"/>
                <w:szCs w:val="20"/>
              </w:rPr>
            </w:pPr>
            <w:r w:rsidRPr="002B65F7">
              <w:rPr>
                <w:sz w:val="20"/>
                <w:szCs w:val="20"/>
              </w:rPr>
              <w:t>ACR 20, N (%)</w:t>
            </w:r>
          </w:p>
        </w:tc>
        <w:tc>
          <w:tcPr>
            <w:tcW w:w="730" w:type="pct"/>
            <w:vAlign w:val="center"/>
          </w:tcPr>
          <w:p w14:paraId="668C5682" w14:textId="77777777" w:rsidR="00A170FF" w:rsidRPr="002B65F7" w:rsidRDefault="00A170FF" w:rsidP="00496255">
            <w:pPr>
              <w:widowControl/>
              <w:adjustRightInd w:val="0"/>
              <w:snapToGrid w:val="0"/>
              <w:jc w:val="center"/>
              <w:rPr>
                <w:sz w:val="20"/>
                <w:szCs w:val="20"/>
              </w:rPr>
            </w:pPr>
            <w:r w:rsidRPr="002B65F7">
              <w:rPr>
                <w:sz w:val="20"/>
                <w:szCs w:val="20"/>
              </w:rPr>
              <w:t>8 (15%)</w:t>
            </w:r>
          </w:p>
        </w:tc>
        <w:tc>
          <w:tcPr>
            <w:tcW w:w="687" w:type="pct"/>
            <w:vAlign w:val="center"/>
          </w:tcPr>
          <w:p w14:paraId="30DF9444" w14:textId="77777777" w:rsidR="00A170FF" w:rsidRPr="002B65F7" w:rsidRDefault="00A170FF" w:rsidP="00496255">
            <w:pPr>
              <w:widowControl/>
              <w:adjustRightInd w:val="0"/>
              <w:snapToGrid w:val="0"/>
              <w:jc w:val="center"/>
              <w:rPr>
                <w:sz w:val="20"/>
                <w:szCs w:val="20"/>
              </w:rPr>
            </w:pPr>
            <w:r w:rsidRPr="002B65F7">
              <w:rPr>
                <w:sz w:val="20"/>
                <w:szCs w:val="20"/>
              </w:rPr>
              <w:t>20 (38%)</w:t>
            </w:r>
          </w:p>
        </w:tc>
        <w:tc>
          <w:tcPr>
            <w:tcW w:w="687" w:type="pct"/>
            <w:vAlign w:val="center"/>
          </w:tcPr>
          <w:p w14:paraId="0C47C2C8" w14:textId="77777777" w:rsidR="00A170FF" w:rsidRPr="002B65F7" w:rsidRDefault="00A170FF" w:rsidP="00496255">
            <w:pPr>
              <w:widowControl/>
              <w:adjustRightInd w:val="0"/>
              <w:snapToGrid w:val="0"/>
              <w:jc w:val="center"/>
              <w:rPr>
                <w:sz w:val="20"/>
                <w:szCs w:val="20"/>
              </w:rPr>
            </w:pPr>
            <w:r w:rsidRPr="002B65F7">
              <w:rPr>
                <w:sz w:val="20"/>
                <w:szCs w:val="20"/>
              </w:rPr>
              <w:t>23 (46%)</w:t>
            </w:r>
          </w:p>
        </w:tc>
        <w:tc>
          <w:tcPr>
            <w:tcW w:w="687" w:type="pct"/>
            <w:vAlign w:val="center"/>
          </w:tcPr>
          <w:p w14:paraId="38083079" w14:textId="77777777" w:rsidR="00A170FF" w:rsidRPr="002B65F7" w:rsidRDefault="00A170FF" w:rsidP="00496255">
            <w:pPr>
              <w:widowControl/>
              <w:adjustRightInd w:val="0"/>
              <w:snapToGrid w:val="0"/>
              <w:jc w:val="center"/>
              <w:rPr>
                <w:sz w:val="20"/>
                <w:szCs w:val="20"/>
              </w:rPr>
            </w:pPr>
            <w:r w:rsidRPr="002B65F7">
              <w:rPr>
                <w:sz w:val="20"/>
                <w:szCs w:val="20"/>
              </w:rPr>
              <w:t>4 (13%)</w:t>
            </w:r>
          </w:p>
        </w:tc>
        <w:tc>
          <w:tcPr>
            <w:tcW w:w="619" w:type="pct"/>
            <w:vAlign w:val="center"/>
          </w:tcPr>
          <w:p w14:paraId="2D38662E" w14:textId="77777777" w:rsidR="00A170FF" w:rsidRPr="002B65F7" w:rsidRDefault="00A170FF" w:rsidP="00496255">
            <w:pPr>
              <w:widowControl/>
              <w:adjustRightInd w:val="0"/>
              <w:snapToGrid w:val="0"/>
              <w:jc w:val="center"/>
              <w:rPr>
                <w:sz w:val="20"/>
                <w:szCs w:val="20"/>
              </w:rPr>
            </w:pPr>
            <w:r w:rsidRPr="002B65F7">
              <w:rPr>
                <w:sz w:val="20"/>
                <w:szCs w:val="20"/>
              </w:rPr>
              <w:t>13 (45%)</w:t>
            </w:r>
          </w:p>
        </w:tc>
        <w:tc>
          <w:tcPr>
            <w:tcW w:w="584" w:type="pct"/>
            <w:vAlign w:val="center"/>
          </w:tcPr>
          <w:p w14:paraId="67B4AC7B" w14:textId="77777777" w:rsidR="00A170FF" w:rsidRPr="002B65F7" w:rsidRDefault="00A170FF" w:rsidP="00496255">
            <w:pPr>
              <w:widowControl/>
              <w:adjustRightInd w:val="0"/>
              <w:snapToGrid w:val="0"/>
              <w:jc w:val="center"/>
              <w:rPr>
                <w:sz w:val="20"/>
                <w:szCs w:val="20"/>
              </w:rPr>
            </w:pPr>
            <w:r w:rsidRPr="002B65F7">
              <w:rPr>
                <w:sz w:val="20"/>
                <w:szCs w:val="20"/>
              </w:rPr>
              <w:t>12 (39%)</w:t>
            </w:r>
          </w:p>
        </w:tc>
      </w:tr>
      <w:tr w:rsidR="00A170FF" w:rsidRPr="002B65F7" w14:paraId="3E757BF0" w14:textId="77777777" w:rsidTr="000238BD">
        <w:trPr>
          <w:cantSplit/>
          <w:trHeight w:val="460"/>
        </w:trPr>
        <w:tc>
          <w:tcPr>
            <w:tcW w:w="1006" w:type="pct"/>
            <w:vAlign w:val="center"/>
          </w:tcPr>
          <w:p w14:paraId="3E473761" w14:textId="7D09964C" w:rsidR="00A170FF" w:rsidRPr="002B65F7" w:rsidRDefault="00A170FF" w:rsidP="00496255">
            <w:pPr>
              <w:widowControl/>
              <w:adjustRightInd w:val="0"/>
              <w:snapToGrid w:val="0"/>
              <w:rPr>
                <w:sz w:val="20"/>
                <w:szCs w:val="20"/>
              </w:rPr>
            </w:pPr>
            <w:r w:rsidRPr="002B65F7">
              <w:rPr>
                <w:sz w:val="20"/>
                <w:szCs w:val="20"/>
              </w:rPr>
              <w:t>Nombre de patients avec SCA≥ 3%</w:t>
            </w:r>
            <w:r w:rsidRPr="002B65F7">
              <w:rPr>
                <w:sz w:val="20"/>
                <w:szCs w:val="20"/>
                <w:vertAlign w:val="superscript"/>
              </w:rPr>
              <w:t>d</w:t>
            </w:r>
          </w:p>
        </w:tc>
        <w:tc>
          <w:tcPr>
            <w:tcW w:w="730" w:type="pct"/>
            <w:vAlign w:val="center"/>
          </w:tcPr>
          <w:p w14:paraId="4D244B92" w14:textId="77777777" w:rsidR="00A170FF" w:rsidRPr="002B65F7" w:rsidRDefault="00A170FF" w:rsidP="00496255">
            <w:pPr>
              <w:widowControl/>
              <w:adjustRightInd w:val="0"/>
              <w:snapToGrid w:val="0"/>
              <w:jc w:val="center"/>
              <w:rPr>
                <w:sz w:val="20"/>
                <w:szCs w:val="20"/>
              </w:rPr>
            </w:pPr>
            <w:r w:rsidRPr="002B65F7">
              <w:rPr>
                <w:sz w:val="20"/>
                <w:szCs w:val="20"/>
              </w:rPr>
              <w:t>41</w:t>
            </w:r>
          </w:p>
        </w:tc>
        <w:tc>
          <w:tcPr>
            <w:tcW w:w="687" w:type="pct"/>
            <w:vAlign w:val="center"/>
          </w:tcPr>
          <w:p w14:paraId="0473F6E3" w14:textId="77777777" w:rsidR="00A170FF" w:rsidRPr="002B65F7" w:rsidRDefault="00A170FF" w:rsidP="00496255">
            <w:pPr>
              <w:widowControl/>
              <w:adjustRightInd w:val="0"/>
              <w:snapToGrid w:val="0"/>
              <w:jc w:val="center"/>
              <w:rPr>
                <w:sz w:val="20"/>
                <w:szCs w:val="20"/>
              </w:rPr>
            </w:pPr>
            <w:r w:rsidRPr="002B65F7">
              <w:rPr>
                <w:sz w:val="20"/>
                <w:szCs w:val="20"/>
              </w:rPr>
              <w:t>40</w:t>
            </w:r>
          </w:p>
        </w:tc>
        <w:tc>
          <w:tcPr>
            <w:tcW w:w="687" w:type="pct"/>
            <w:vAlign w:val="center"/>
          </w:tcPr>
          <w:p w14:paraId="6FD30395" w14:textId="77777777" w:rsidR="00A170FF" w:rsidRPr="002B65F7" w:rsidRDefault="00A170FF" w:rsidP="00496255">
            <w:pPr>
              <w:widowControl/>
              <w:adjustRightInd w:val="0"/>
              <w:snapToGrid w:val="0"/>
              <w:jc w:val="center"/>
              <w:rPr>
                <w:sz w:val="20"/>
                <w:szCs w:val="20"/>
              </w:rPr>
            </w:pPr>
            <w:r w:rsidRPr="002B65F7">
              <w:rPr>
                <w:sz w:val="20"/>
                <w:szCs w:val="20"/>
              </w:rPr>
              <w:t>38</w:t>
            </w:r>
          </w:p>
        </w:tc>
        <w:tc>
          <w:tcPr>
            <w:tcW w:w="687" w:type="pct"/>
            <w:vAlign w:val="center"/>
          </w:tcPr>
          <w:p w14:paraId="0D3D4FE9" w14:textId="77777777" w:rsidR="00A170FF" w:rsidRPr="002B65F7" w:rsidRDefault="00A170FF" w:rsidP="00496255">
            <w:pPr>
              <w:widowControl/>
              <w:adjustRightInd w:val="0"/>
              <w:snapToGrid w:val="0"/>
              <w:jc w:val="center"/>
              <w:rPr>
                <w:sz w:val="20"/>
                <w:szCs w:val="20"/>
              </w:rPr>
            </w:pPr>
            <w:r w:rsidRPr="002B65F7">
              <w:rPr>
                <w:sz w:val="20"/>
                <w:szCs w:val="20"/>
              </w:rPr>
              <w:t>26</w:t>
            </w:r>
          </w:p>
        </w:tc>
        <w:tc>
          <w:tcPr>
            <w:tcW w:w="619" w:type="pct"/>
            <w:vAlign w:val="center"/>
          </w:tcPr>
          <w:p w14:paraId="042F5CF7" w14:textId="77777777" w:rsidR="00A170FF" w:rsidRPr="002B65F7" w:rsidRDefault="00A170FF" w:rsidP="00496255">
            <w:pPr>
              <w:widowControl/>
              <w:adjustRightInd w:val="0"/>
              <w:snapToGrid w:val="0"/>
              <w:jc w:val="center"/>
              <w:rPr>
                <w:sz w:val="20"/>
                <w:szCs w:val="20"/>
              </w:rPr>
            </w:pPr>
            <w:r w:rsidRPr="002B65F7">
              <w:rPr>
                <w:sz w:val="20"/>
                <w:szCs w:val="20"/>
              </w:rPr>
              <w:t>22</w:t>
            </w:r>
          </w:p>
        </w:tc>
        <w:tc>
          <w:tcPr>
            <w:tcW w:w="584" w:type="pct"/>
            <w:vAlign w:val="center"/>
          </w:tcPr>
          <w:p w14:paraId="280E0F80" w14:textId="77777777" w:rsidR="00A170FF" w:rsidRPr="002B65F7" w:rsidRDefault="00A170FF" w:rsidP="00496255">
            <w:pPr>
              <w:widowControl/>
              <w:adjustRightInd w:val="0"/>
              <w:snapToGrid w:val="0"/>
              <w:jc w:val="center"/>
              <w:rPr>
                <w:sz w:val="20"/>
                <w:szCs w:val="20"/>
              </w:rPr>
            </w:pPr>
            <w:r w:rsidRPr="002B65F7">
              <w:rPr>
                <w:sz w:val="20"/>
                <w:szCs w:val="20"/>
              </w:rPr>
              <w:t>24</w:t>
            </w:r>
          </w:p>
        </w:tc>
      </w:tr>
      <w:tr w:rsidR="00A170FF" w:rsidRPr="002B65F7" w14:paraId="3A9299F6" w14:textId="77777777" w:rsidTr="000238BD">
        <w:trPr>
          <w:cantSplit/>
          <w:trHeight w:val="460"/>
        </w:trPr>
        <w:tc>
          <w:tcPr>
            <w:tcW w:w="1006" w:type="pct"/>
            <w:vAlign w:val="center"/>
          </w:tcPr>
          <w:p w14:paraId="3C20893E" w14:textId="77777777" w:rsidR="00A170FF" w:rsidRPr="002B65F7" w:rsidRDefault="00A170FF" w:rsidP="00496255">
            <w:pPr>
              <w:widowControl/>
              <w:adjustRightInd w:val="0"/>
              <w:snapToGrid w:val="0"/>
              <w:rPr>
                <w:sz w:val="20"/>
                <w:szCs w:val="20"/>
              </w:rPr>
            </w:pPr>
            <w:r w:rsidRPr="002B65F7">
              <w:rPr>
                <w:sz w:val="20"/>
                <w:szCs w:val="20"/>
              </w:rPr>
              <w:t>Réponse</w:t>
            </w:r>
          </w:p>
          <w:p w14:paraId="473DEE4F" w14:textId="77777777" w:rsidR="00A170FF" w:rsidRPr="002B65F7" w:rsidRDefault="00A170FF" w:rsidP="00496255">
            <w:pPr>
              <w:widowControl/>
              <w:adjustRightInd w:val="0"/>
              <w:snapToGrid w:val="0"/>
              <w:rPr>
                <w:sz w:val="20"/>
                <w:szCs w:val="20"/>
              </w:rPr>
            </w:pPr>
            <w:r w:rsidRPr="002B65F7">
              <w:rPr>
                <w:sz w:val="20"/>
                <w:szCs w:val="20"/>
              </w:rPr>
              <w:t>PASI 75, N (%)</w:t>
            </w:r>
          </w:p>
        </w:tc>
        <w:tc>
          <w:tcPr>
            <w:tcW w:w="730" w:type="pct"/>
            <w:vAlign w:val="center"/>
          </w:tcPr>
          <w:p w14:paraId="2DEC1DEC" w14:textId="77777777" w:rsidR="00A170FF" w:rsidRPr="002B65F7" w:rsidRDefault="00A170FF" w:rsidP="00496255">
            <w:pPr>
              <w:widowControl/>
              <w:adjustRightInd w:val="0"/>
              <w:snapToGrid w:val="0"/>
              <w:jc w:val="center"/>
              <w:rPr>
                <w:sz w:val="20"/>
                <w:szCs w:val="20"/>
              </w:rPr>
            </w:pPr>
            <w:r w:rsidRPr="002B65F7">
              <w:rPr>
                <w:sz w:val="20"/>
                <w:szCs w:val="20"/>
              </w:rPr>
              <w:t>2 (5%)</w:t>
            </w:r>
          </w:p>
        </w:tc>
        <w:tc>
          <w:tcPr>
            <w:tcW w:w="687" w:type="pct"/>
            <w:vAlign w:val="center"/>
          </w:tcPr>
          <w:p w14:paraId="5644BCAD" w14:textId="77777777" w:rsidR="00A170FF" w:rsidRPr="002B65F7" w:rsidRDefault="00A170FF" w:rsidP="00496255">
            <w:pPr>
              <w:widowControl/>
              <w:adjustRightInd w:val="0"/>
              <w:snapToGrid w:val="0"/>
              <w:jc w:val="center"/>
              <w:rPr>
                <w:sz w:val="20"/>
                <w:szCs w:val="20"/>
              </w:rPr>
            </w:pPr>
            <w:r w:rsidRPr="002B65F7">
              <w:rPr>
                <w:sz w:val="20"/>
                <w:szCs w:val="20"/>
              </w:rPr>
              <w:t>19 (48%)</w:t>
            </w:r>
          </w:p>
        </w:tc>
        <w:tc>
          <w:tcPr>
            <w:tcW w:w="687" w:type="pct"/>
            <w:vAlign w:val="center"/>
          </w:tcPr>
          <w:p w14:paraId="26071FCD" w14:textId="77777777" w:rsidR="00A170FF" w:rsidRPr="002B65F7" w:rsidRDefault="00A170FF" w:rsidP="00496255">
            <w:pPr>
              <w:widowControl/>
              <w:adjustRightInd w:val="0"/>
              <w:snapToGrid w:val="0"/>
              <w:jc w:val="center"/>
              <w:rPr>
                <w:sz w:val="20"/>
                <w:szCs w:val="20"/>
              </w:rPr>
            </w:pPr>
            <w:r w:rsidRPr="002B65F7">
              <w:rPr>
                <w:sz w:val="20"/>
                <w:szCs w:val="20"/>
              </w:rPr>
              <w:t>20 (53%)</w:t>
            </w:r>
          </w:p>
        </w:tc>
        <w:tc>
          <w:tcPr>
            <w:tcW w:w="687" w:type="pct"/>
            <w:vAlign w:val="center"/>
          </w:tcPr>
          <w:p w14:paraId="7A5BC4F9" w14:textId="77777777" w:rsidR="00A170FF" w:rsidRPr="002B65F7" w:rsidRDefault="00A170FF" w:rsidP="00496255">
            <w:pPr>
              <w:widowControl/>
              <w:adjustRightInd w:val="0"/>
              <w:snapToGrid w:val="0"/>
              <w:jc w:val="center"/>
              <w:rPr>
                <w:sz w:val="20"/>
                <w:szCs w:val="20"/>
              </w:rPr>
            </w:pPr>
            <w:r w:rsidRPr="002B65F7">
              <w:rPr>
                <w:sz w:val="20"/>
                <w:szCs w:val="20"/>
              </w:rPr>
              <w:t>0</w:t>
            </w:r>
          </w:p>
        </w:tc>
        <w:tc>
          <w:tcPr>
            <w:tcW w:w="619" w:type="pct"/>
            <w:vAlign w:val="center"/>
          </w:tcPr>
          <w:p w14:paraId="2DA08BEE" w14:textId="77777777" w:rsidR="00A170FF" w:rsidRPr="002B65F7" w:rsidRDefault="00A170FF" w:rsidP="00496255">
            <w:pPr>
              <w:widowControl/>
              <w:adjustRightInd w:val="0"/>
              <w:snapToGrid w:val="0"/>
              <w:jc w:val="center"/>
              <w:rPr>
                <w:sz w:val="20"/>
                <w:szCs w:val="20"/>
              </w:rPr>
            </w:pPr>
            <w:r w:rsidRPr="002B65F7">
              <w:rPr>
                <w:sz w:val="20"/>
                <w:szCs w:val="20"/>
              </w:rPr>
              <w:t>10 (45%)</w:t>
            </w:r>
          </w:p>
        </w:tc>
        <w:tc>
          <w:tcPr>
            <w:tcW w:w="584" w:type="pct"/>
            <w:vAlign w:val="center"/>
          </w:tcPr>
          <w:p w14:paraId="0324EC87" w14:textId="77777777" w:rsidR="00A170FF" w:rsidRPr="002B65F7" w:rsidRDefault="00A170FF" w:rsidP="00496255">
            <w:pPr>
              <w:widowControl/>
              <w:adjustRightInd w:val="0"/>
              <w:snapToGrid w:val="0"/>
              <w:jc w:val="center"/>
              <w:rPr>
                <w:sz w:val="20"/>
                <w:szCs w:val="20"/>
              </w:rPr>
            </w:pPr>
            <w:r w:rsidRPr="002B65F7">
              <w:rPr>
                <w:sz w:val="20"/>
                <w:szCs w:val="20"/>
              </w:rPr>
              <w:t>13 (54%)</w:t>
            </w:r>
          </w:p>
        </w:tc>
      </w:tr>
    </w:tbl>
    <w:p w14:paraId="03B582E6" w14:textId="1013130C" w:rsidR="00092F83" w:rsidRPr="002B65F7" w:rsidRDefault="00C31740" w:rsidP="00496255">
      <w:pPr>
        <w:widowControl/>
        <w:rPr>
          <w:sz w:val="20"/>
          <w:szCs w:val="20"/>
        </w:rPr>
      </w:pPr>
      <w:r w:rsidRPr="002B65F7">
        <w:rPr>
          <w:sz w:val="20"/>
          <w:szCs w:val="20"/>
          <w:vertAlign w:val="superscript"/>
        </w:rPr>
        <w:t>a</w:t>
      </w:r>
      <w:r w:rsidR="00B25ED9" w:rsidRPr="002B65F7">
        <w:rPr>
          <w:sz w:val="20"/>
          <w:szCs w:val="20"/>
        </w:rPr>
        <w:t xml:space="preserve"> </w:t>
      </w:r>
      <w:r w:rsidRPr="002B65F7">
        <w:rPr>
          <w:sz w:val="20"/>
          <w:szCs w:val="20"/>
        </w:rPr>
        <w:t>p</w:t>
      </w:r>
      <w:r w:rsidR="00B25ED9" w:rsidRPr="002B65F7">
        <w:rPr>
          <w:sz w:val="20"/>
          <w:szCs w:val="20"/>
        </w:rPr>
        <w:t> </w:t>
      </w:r>
      <w:r w:rsidRPr="002B65F7">
        <w:rPr>
          <w:sz w:val="20"/>
          <w:szCs w:val="20"/>
        </w:rPr>
        <w:t>&lt;</w:t>
      </w:r>
      <w:r w:rsidR="00B25ED9" w:rsidRPr="002B65F7">
        <w:rPr>
          <w:sz w:val="20"/>
          <w:szCs w:val="20"/>
        </w:rPr>
        <w:t> </w:t>
      </w:r>
      <w:r w:rsidRPr="002B65F7">
        <w:rPr>
          <w:sz w:val="20"/>
          <w:szCs w:val="20"/>
        </w:rPr>
        <w:t>0,001</w:t>
      </w:r>
    </w:p>
    <w:p w14:paraId="03B582E7" w14:textId="77269318" w:rsidR="00092F83" w:rsidRPr="002B65F7" w:rsidRDefault="00C31740" w:rsidP="00496255">
      <w:pPr>
        <w:widowControl/>
        <w:rPr>
          <w:sz w:val="20"/>
          <w:szCs w:val="20"/>
        </w:rPr>
      </w:pPr>
      <w:r w:rsidRPr="002B65F7">
        <w:rPr>
          <w:sz w:val="20"/>
          <w:szCs w:val="20"/>
          <w:vertAlign w:val="superscript"/>
        </w:rPr>
        <w:t>b</w:t>
      </w:r>
      <w:r w:rsidR="00B25ED9" w:rsidRPr="002B65F7">
        <w:rPr>
          <w:sz w:val="20"/>
          <w:szCs w:val="20"/>
        </w:rPr>
        <w:t xml:space="preserve"> </w:t>
      </w:r>
      <w:r w:rsidRPr="002B65F7">
        <w:rPr>
          <w:sz w:val="20"/>
          <w:szCs w:val="20"/>
        </w:rPr>
        <w:t>p &lt;</w:t>
      </w:r>
      <w:r w:rsidR="00B25ED9" w:rsidRPr="002B65F7">
        <w:rPr>
          <w:sz w:val="20"/>
          <w:szCs w:val="20"/>
        </w:rPr>
        <w:t> </w:t>
      </w:r>
      <w:r w:rsidRPr="002B65F7">
        <w:rPr>
          <w:sz w:val="20"/>
          <w:szCs w:val="20"/>
        </w:rPr>
        <w:t>0,05</w:t>
      </w:r>
    </w:p>
    <w:p w14:paraId="03B582E8" w14:textId="0C38EB57" w:rsidR="00092F83" w:rsidRPr="002B65F7" w:rsidRDefault="00B25ED9" w:rsidP="00496255">
      <w:pPr>
        <w:widowControl/>
        <w:rPr>
          <w:sz w:val="20"/>
          <w:szCs w:val="20"/>
        </w:rPr>
      </w:pPr>
      <w:r w:rsidRPr="002B65F7">
        <w:rPr>
          <w:sz w:val="20"/>
          <w:szCs w:val="20"/>
          <w:vertAlign w:val="superscript"/>
        </w:rPr>
        <w:t>c</w:t>
      </w:r>
      <w:r w:rsidRPr="002B65F7">
        <w:rPr>
          <w:sz w:val="20"/>
          <w:szCs w:val="20"/>
        </w:rPr>
        <w:t xml:space="preserve"> </w:t>
      </w:r>
      <w:r w:rsidR="00C31740" w:rsidRPr="002B65F7">
        <w:rPr>
          <w:sz w:val="20"/>
          <w:szCs w:val="20"/>
        </w:rPr>
        <w:t>p</w:t>
      </w:r>
      <w:r w:rsidRPr="002B65F7">
        <w:rPr>
          <w:sz w:val="20"/>
          <w:szCs w:val="20"/>
        </w:rPr>
        <w:t> </w:t>
      </w:r>
      <w:r w:rsidR="00C31740" w:rsidRPr="002B65F7">
        <w:rPr>
          <w:sz w:val="20"/>
          <w:szCs w:val="20"/>
        </w:rPr>
        <w:t>=</w:t>
      </w:r>
      <w:r w:rsidRPr="002B65F7">
        <w:rPr>
          <w:sz w:val="20"/>
          <w:szCs w:val="20"/>
        </w:rPr>
        <w:t> </w:t>
      </w:r>
      <w:r w:rsidR="00C31740" w:rsidRPr="002B65F7">
        <w:rPr>
          <w:sz w:val="20"/>
          <w:szCs w:val="20"/>
        </w:rPr>
        <w:t>NS</w:t>
      </w:r>
    </w:p>
    <w:p w14:paraId="03B582E9" w14:textId="30CA8931" w:rsidR="00092F83" w:rsidRPr="002B65F7" w:rsidRDefault="00C31740" w:rsidP="00496255">
      <w:pPr>
        <w:widowControl/>
        <w:rPr>
          <w:sz w:val="20"/>
          <w:szCs w:val="20"/>
        </w:rPr>
      </w:pPr>
      <w:r w:rsidRPr="002B65F7">
        <w:rPr>
          <w:sz w:val="20"/>
          <w:szCs w:val="20"/>
          <w:vertAlign w:val="superscript"/>
        </w:rPr>
        <w:t>d</w:t>
      </w:r>
      <w:r w:rsidR="00B25ED9" w:rsidRPr="002B65F7">
        <w:rPr>
          <w:sz w:val="20"/>
          <w:szCs w:val="20"/>
        </w:rPr>
        <w:t xml:space="preserve"> </w:t>
      </w:r>
      <w:r w:rsidRPr="002B65F7">
        <w:rPr>
          <w:sz w:val="20"/>
          <w:szCs w:val="20"/>
        </w:rPr>
        <w:t>Nombre de patients avec une surface corporelle atteinte (SCA) par le psoriasis</w:t>
      </w:r>
      <w:r w:rsidR="00B25ED9" w:rsidRPr="002B65F7">
        <w:rPr>
          <w:sz w:val="20"/>
          <w:szCs w:val="20"/>
        </w:rPr>
        <w:t> </w:t>
      </w:r>
      <w:r w:rsidRPr="002B65F7">
        <w:rPr>
          <w:sz w:val="20"/>
          <w:szCs w:val="20"/>
        </w:rPr>
        <w:t>≥</w:t>
      </w:r>
      <w:r w:rsidR="00B25ED9" w:rsidRPr="002B65F7">
        <w:rPr>
          <w:sz w:val="20"/>
          <w:szCs w:val="20"/>
        </w:rPr>
        <w:t> </w:t>
      </w:r>
      <w:r w:rsidRPr="002B65F7">
        <w:rPr>
          <w:sz w:val="20"/>
          <w:szCs w:val="20"/>
        </w:rPr>
        <w:t>3% à l’inclusion</w:t>
      </w:r>
    </w:p>
    <w:p w14:paraId="7C7BD3CD" w14:textId="77777777" w:rsidR="00B25ED9" w:rsidRPr="002B65F7" w:rsidRDefault="00B25ED9" w:rsidP="00496255">
      <w:pPr>
        <w:widowControl/>
      </w:pPr>
    </w:p>
    <w:p w14:paraId="03B582EA" w14:textId="1D7C19F0" w:rsidR="00092F83" w:rsidRPr="002B65F7" w:rsidRDefault="00C31740" w:rsidP="00496255">
      <w:pPr>
        <w:widowControl/>
      </w:pPr>
      <w:r w:rsidRPr="002B65F7">
        <w:t>Les réponses ACR</w:t>
      </w:r>
      <w:r w:rsidR="00B25ED9" w:rsidRPr="002B65F7">
        <w:t> </w:t>
      </w:r>
      <w:r w:rsidRPr="002B65F7">
        <w:t>20, 50</w:t>
      </w:r>
      <w:r w:rsidR="00B25ED9" w:rsidRPr="002B65F7">
        <w:t> </w:t>
      </w:r>
      <w:r w:rsidRPr="002B65F7">
        <w:t>et 70</w:t>
      </w:r>
      <w:r w:rsidR="00B25ED9" w:rsidRPr="002B65F7">
        <w:t> </w:t>
      </w:r>
      <w:r w:rsidRPr="002B65F7">
        <w:t>ont continué de s’améliorer ou se sont maintenues jusqu’aux semaines</w:t>
      </w:r>
      <w:r w:rsidR="00B25ED9" w:rsidRPr="002B65F7">
        <w:t> </w:t>
      </w:r>
      <w:r w:rsidRPr="002B65F7">
        <w:t>52 (Études Rhumatisme Psoriasique</w:t>
      </w:r>
      <w:r w:rsidR="00B25ED9" w:rsidRPr="002B65F7">
        <w:t> </w:t>
      </w:r>
      <w:r w:rsidRPr="002B65F7">
        <w:t>1</w:t>
      </w:r>
      <w:r w:rsidR="00B25ED9" w:rsidRPr="002B65F7">
        <w:t> </w:t>
      </w:r>
      <w:r w:rsidRPr="002B65F7">
        <w:t>et</w:t>
      </w:r>
      <w:r w:rsidR="00B25ED9" w:rsidRPr="002B65F7">
        <w:t> </w:t>
      </w:r>
      <w:r w:rsidRPr="002B65F7">
        <w:t>2) et</w:t>
      </w:r>
      <w:r w:rsidR="00B25ED9" w:rsidRPr="002B65F7">
        <w:t> </w:t>
      </w:r>
      <w:r w:rsidRPr="002B65F7">
        <w:t>100 (Étude Rhumatisme Psoriasique</w:t>
      </w:r>
      <w:r w:rsidR="00D36E6E" w:rsidRPr="002B65F7">
        <w:t> </w:t>
      </w:r>
      <w:r w:rsidRPr="002B65F7">
        <w:t>1). Dans l’Étude Rhumatisme Psoriasique</w:t>
      </w:r>
      <w:r w:rsidR="00B25ED9" w:rsidRPr="002B65F7">
        <w:t> </w:t>
      </w:r>
      <w:r w:rsidRPr="002B65F7">
        <w:t>1, les réponses ACR</w:t>
      </w:r>
      <w:r w:rsidR="00B25ED9" w:rsidRPr="002B65F7">
        <w:t> </w:t>
      </w:r>
      <w:r w:rsidRPr="002B65F7">
        <w:t>20 à la semaine</w:t>
      </w:r>
      <w:r w:rsidR="00B25ED9" w:rsidRPr="002B65F7">
        <w:t> </w:t>
      </w:r>
      <w:r w:rsidRPr="002B65F7">
        <w:t>100 ont été obtenues chez</w:t>
      </w:r>
      <w:r w:rsidR="00B25ED9" w:rsidRPr="002B65F7">
        <w:t> </w:t>
      </w:r>
      <w:r w:rsidRPr="002B65F7">
        <w:t>57% et</w:t>
      </w:r>
      <w:r w:rsidR="00B25ED9" w:rsidRPr="002B65F7">
        <w:t> </w:t>
      </w:r>
      <w:r w:rsidRPr="002B65F7">
        <w:t>64% des patients, traités respectivement par 45</w:t>
      </w:r>
      <w:r w:rsidR="00B25ED9" w:rsidRPr="002B65F7">
        <w:t> </w:t>
      </w:r>
      <w:r w:rsidRPr="002B65F7">
        <w:t>mg et 90</w:t>
      </w:r>
      <w:r w:rsidR="00B25ED9" w:rsidRPr="002B65F7">
        <w:t> </w:t>
      </w:r>
      <w:r w:rsidRPr="002B65F7">
        <w:t>mg d</w:t>
      </w:r>
      <w:r w:rsidR="001C3D92" w:rsidRPr="002B65F7">
        <w:t>’</w:t>
      </w:r>
      <w:r w:rsidR="0071390F" w:rsidRPr="002B65F7">
        <w:t>ustekinumab</w:t>
      </w:r>
      <w:r w:rsidRPr="002B65F7">
        <w:t>. Dans l’Étude Rhumatisme Psoriasique</w:t>
      </w:r>
      <w:r w:rsidR="00B25ED9" w:rsidRPr="002B65F7">
        <w:t> </w:t>
      </w:r>
      <w:r w:rsidRPr="002B65F7">
        <w:t>2, les réponses ACR</w:t>
      </w:r>
      <w:r w:rsidR="00D36E6E" w:rsidRPr="002B65F7">
        <w:t> </w:t>
      </w:r>
      <w:r w:rsidRPr="002B65F7">
        <w:t>20 à la semaine</w:t>
      </w:r>
      <w:r w:rsidR="00D36E6E" w:rsidRPr="002B65F7">
        <w:t> </w:t>
      </w:r>
      <w:r w:rsidRPr="002B65F7">
        <w:t>52 ont été obtenues chez 47% et 48% des patients traités respectivement par 45</w:t>
      </w:r>
      <w:r w:rsidR="00B25ED9" w:rsidRPr="002B65F7">
        <w:t> </w:t>
      </w:r>
      <w:r w:rsidRPr="002B65F7">
        <w:t>mg et 90</w:t>
      </w:r>
      <w:r w:rsidR="00B25ED9" w:rsidRPr="002B65F7">
        <w:t> </w:t>
      </w:r>
      <w:r w:rsidRPr="002B65F7">
        <w:t>mg d</w:t>
      </w:r>
      <w:r w:rsidR="001C3D92" w:rsidRPr="002B65F7">
        <w:t>’</w:t>
      </w:r>
      <w:r w:rsidR="0071390F" w:rsidRPr="002B65F7">
        <w:t>ustekinumab</w:t>
      </w:r>
      <w:r w:rsidRPr="002B65F7">
        <w:t>.</w:t>
      </w:r>
    </w:p>
    <w:p w14:paraId="03B582EB" w14:textId="77777777" w:rsidR="00092F83" w:rsidRPr="002B65F7" w:rsidRDefault="00092F83" w:rsidP="00496255">
      <w:pPr>
        <w:widowControl/>
      </w:pPr>
    </w:p>
    <w:p w14:paraId="03B582EF" w14:textId="0DBF339F" w:rsidR="00092F83" w:rsidRPr="002B65F7" w:rsidRDefault="00C31740" w:rsidP="00496255">
      <w:pPr>
        <w:widowControl/>
      </w:pPr>
      <w:r w:rsidRPr="002B65F7">
        <w:t>La proportion de patients obtenant une modification du critère de réponse du rhumatisme</w:t>
      </w:r>
      <w:r w:rsidR="00C85C63" w:rsidRPr="002B65F7">
        <w:t xml:space="preserve"> </w:t>
      </w:r>
      <w:r w:rsidRPr="002B65F7">
        <w:t xml:space="preserve">psoriasique (PsARC) était aussi significativement meilleure dans les groupes </w:t>
      </w:r>
      <w:r w:rsidR="0071390F" w:rsidRPr="002B65F7">
        <w:t>ustekinumab</w:t>
      </w:r>
      <w:r w:rsidRPr="002B65F7">
        <w:t xml:space="preserve"> comparé au groupe placebo à la semaine</w:t>
      </w:r>
      <w:r w:rsidR="00D36E6E" w:rsidRPr="002B65F7">
        <w:t> </w:t>
      </w:r>
      <w:r w:rsidRPr="002B65F7">
        <w:t>24. Les réponses PsARC se sont maintenues jusqu’aux semaines</w:t>
      </w:r>
      <w:r w:rsidR="00C85C63" w:rsidRPr="002B65F7">
        <w:t> </w:t>
      </w:r>
      <w:r w:rsidRPr="002B65F7">
        <w:t>52</w:t>
      </w:r>
      <w:r w:rsidR="00C85C63" w:rsidRPr="002B65F7">
        <w:t xml:space="preserve"> </w:t>
      </w:r>
      <w:r w:rsidRPr="002B65F7">
        <w:t>et</w:t>
      </w:r>
      <w:r w:rsidR="00C85C63" w:rsidRPr="002B65F7">
        <w:t> </w:t>
      </w:r>
      <w:r w:rsidRPr="002B65F7">
        <w:t>100. Une plus grande proportion de patients traités par l’</w:t>
      </w:r>
      <w:r w:rsidR="0071390F" w:rsidRPr="002B65F7">
        <w:t>ustekinumab</w:t>
      </w:r>
      <w:r w:rsidRPr="002B65F7">
        <w:t>, qui avaient une spondylite avec arthrite périphérique en tant que forme principale, ont démontré une amélioration de</w:t>
      </w:r>
      <w:r w:rsidR="00C85C63" w:rsidRPr="002B65F7">
        <w:t xml:space="preserve"> </w:t>
      </w:r>
      <w:r w:rsidRPr="002B65F7">
        <w:t>50</w:t>
      </w:r>
      <w:r w:rsidR="004824ED" w:rsidRPr="002B65F7">
        <w:t> </w:t>
      </w:r>
      <w:r w:rsidRPr="002B65F7">
        <w:t>et 70% des scores BASDAI (Bath Ankylosing Spondylitis Disease Activity Index) comparé au placebo à la semaine</w:t>
      </w:r>
      <w:r w:rsidR="00C85C63" w:rsidRPr="002B65F7">
        <w:t> </w:t>
      </w:r>
      <w:r w:rsidRPr="002B65F7">
        <w:t>24.</w:t>
      </w:r>
    </w:p>
    <w:p w14:paraId="03B582F0" w14:textId="77777777" w:rsidR="00092F83" w:rsidRPr="002B65F7" w:rsidRDefault="00092F83" w:rsidP="00E82841">
      <w:pPr>
        <w:keepNext/>
        <w:widowControl/>
      </w:pPr>
    </w:p>
    <w:p w14:paraId="03B582F2" w14:textId="2A6A9D20" w:rsidR="00092F83" w:rsidRPr="002B65F7" w:rsidRDefault="00C31740" w:rsidP="00496255">
      <w:pPr>
        <w:widowControl/>
      </w:pPr>
      <w:r w:rsidRPr="002B65F7">
        <w:t>Les réponses observées dans les groupes traités par l’</w:t>
      </w:r>
      <w:r w:rsidR="0071390F" w:rsidRPr="002B65F7">
        <w:t>ustekinumab</w:t>
      </w:r>
      <w:r w:rsidRPr="002B65F7">
        <w:t xml:space="preserve"> étaient similaires chez les patients recevant et ne recevant pas de MTX de façon concomitante et se sont maintenues jusqu’aux semaines</w:t>
      </w:r>
      <w:r w:rsidR="004824ED" w:rsidRPr="002B65F7">
        <w:t> </w:t>
      </w:r>
      <w:r w:rsidRPr="002B65F7">
        <w:t>52</w:t>
      </w:r>
      <w:r w:rsidR="004824ED" w:rsidRPr="002B65F7">
        <w:t> </w:t>
      </w:r>
      <w:r w:rsidRPr="002B65F7">
        <w:t>et</w:t>
      </w:r>
      <w:r w:rsidR="004824ED" w:rsidRPr="002B65F7">
        <w:t> </w:t>
      </w:r>
      <w:r w:rsidRPr="002B65F7">
        <w:t>100. Les patients précédemment traités par anti-TNF-α ayant reçu l’</w:t>
      </w:r>
      <w:r w:rsidR="0071390F" w:rsidRPr="002B65F7">
        <w:t>ustekinumab</w:t>
      </w:r>
      <w:r w:rsidRPr="002B65F7">
        <w:t>, ont obtenu une meilleure réponse à la semaine</w:t>
      </w:r>
      <w:r w:rsidR="007701AA" w:rsidRPr="002B65F7">
        <w:t> </w:t>
      </w:r>
      <w:r w:rsidRPr="002B65F7">
        <w:t>24 que les patients recevant le placebo (réponse ACR</w:t>
      </w:r>
      <w:r w:rsidR="004824ED" w:rsidRPr="002B65F7">
        <w:t> </w:t>
      </w:r>
      <w:r w:rsidRPr="002B65F7">
        <w:t>20 à la semaine 24</w:t>
      </w:r>
      <w:r w:rsidR="004824ED" w:rsidRPr="002B65F7">
        <w:t> </w:t>
      </w:r>
      <w:r w:rsidRPr="002B65F7">
        <w:t>pour 45</w:t>
      </w:r>
      <w:r w:rsidR="004824ED" w:rsidRPr="002B65F7">
        <w:t> </w:t>
      </w:r>
      <w:r w:rsidRPr="002B65F7">
        <w:t>mg et 90</w:t>
      </w:r>
      <w:r w:rsidR="004824ED" w:rsidRPr="002B65F7">
        <w:t> </w:t>
      </w:r>
      <w:r w:rsidRPr="002B65F7">
        <w:t>mg respectivement de 37% et 34%, comparé au placebo 15% ;</w:t>
      </w:r>
      <w:r w:rsidR="004824ED" w:rsidRPr="002B65F7">
        <w:t xml:space="preserve"> </w:t>
      </w:r>
      <w:r w:rsidRPr="002B65F7">
        <w:t>p</w:t>
      </w:r>
      <w:r w:rsidR="004824ED" w:rsidRPr="002B65F7">
        <w:t> </w:t>
      </w:r>
      <w:r w:rsidRPr="002B65F7">
        <w:t>&lt;</w:t>
      </w:r>
      <w:r w:rsidR="007701AA" w:rsidRPr="002B65F7">
        <w:t> </w:t>
      </w:r>
      <w:r w:rsidRPr="002B65F7">
        <w:t>0,05) et les réponses se sont maintenues jusqu’à la semaine</w:t>
      </w:r>
      <w:r w:rsidR="007701AA" w:rsidRPr="002B65F7">
        <w:t> </w:t>
      </w:r>
      <w:r w:rsidRPr="002B65F7">
        <w:t>52.</w:t>
      </w:r>
    </w:p>
    <w:p w14:paraId="6C943240" w14:textId="77777777" w:rsidR="007701AA" w:rsidRPr="002B65F7" w:rsidRDefault="007701AA" w:rsidP="00496255">
      <w:pPr>
        <w:widowControl/>
      </w:pPr>
    </w:p>
    <w:p w14:paraId="03B582F3" w14:textId="01F5F50B" w:rsidR="00092F83" w:rsidRPr="002B65F7" w:rsidRDefault="00C31740" w:rsidP="00496255">
      <w:pPr>
        <w:widowControl/>
      </w:pPr>
      <w:r w:rsidRPr="002B65F7">
        <w:t xml:space="preserve">Pour les patients présentant une enthésite et/ou une dactylite à l’inclusion, une amélioration significative du score d’enthésites et de dactylites a été observée dans les groupes </w:t>
      </w:r>
      <w:r w:rsidR="0071390F" w:rsidRPr="002B65F7">
        <w:t>ustekinumab</w:t>
      </w:r>
      <w:r w:rsidRPr="002B65F7">
        <w:t xml:space="preserve"> comparé au groupe placebo à la semaine</w:t>
      </w:r>
      <w:r w:rsidR="007701AA" w:rsidRPr="002B65F7">
        <w:t> </w:t>
      </w:r>
      <w:r w:rsidRPr="002B65F7">
        <w:t>24 dans l’Étude Rhumatisme Psoriasique 1. Dans l’Étude Rhumatisme Psoriasique</w:t>
      </w:r>
      <w:r w:rsidR="007701AA" w:rsidRPr="002B65F7">
        <w:t> </w:t>
      </w:r>
      <w:r w:rsidRPr="002B65F7">
        <w:t xml:space="preserve">2, une amélioration significative du score d’enthésites et une amélioration numérique (non statistiquement significative) du score de dactylites ont été observées dans le groupe de traitement par </w:t>
      </w:r>
      <w:r w:rsidR="0071390F" w:rsidRPr="002B65F7">
        <w:t>ustekinumab</w:t>
      </w:r>
      <w:r w:rsidRPr="002B65F7">
        <w:t xml:space="preserve"> 90</w:t>
      </w:r>
      <w:r w:rsidR="007701AA" w:rsidRPr="002B65F7">
        <w:t> </w:t>
      </w:r>
      <w:r w:rsidRPr="002B65F7">
        <w:t>mg comparé au groupe placebo à la semaine</w:t>
      </w:r>
      <w:r w:rsidR="007701AA" w:rsidRPr="002B65F7">
        <w:t> </w:t>
      </w:r>
      <w:r w:rsidRPr="002B65F7">
        <w:t>24. Les améliorations du score d’enthésites et du score de dactylites se sont maintenues jusqu’aux semaines 52</w:t>
      </w:r>
      <w:r w:rsidR="007701AA" w:rsidRPr="002B65F7">
        <w:t> </w:t>
      </w:r>
      <w:r w:rsidRPr="002B65F7">
        <w:t>et</w:t>
      </w:r>
      <w:r w:rsidR="007701AA" w:rsidRPr="002B65F7">
        <w:t> </w:t>
      </w:r>
      <w:r w:rsidRPr="002B65F7">
        <w:t>100.</w:t>
      </w:r>
    </w:p>
    <w:p w14:paraId="03B582F4" w14:textId="77777777" w:rsidR="00092F83" w:rsidRPr="002B65F7" w:rsidRDefault="00092F83" w:rsidP="00496255">
      <w:pPr>
        <w:widowControl/>
      </w:pPr>
    </w:p>
    <w:p w14:paraId="03B582F5" w14:textId="77777777" w:rsidR="00092F83" w:rsidRPr="002B65F7" w:rsidRDefault="00C31740" w:rsidP="00496255">
      <w:pPr>
        <w:keepNext/>
        <w:widowControl/>
        <w:rPr>
          <w:i/>
          <w:iCs/>
          <w:u w:val="single"/>
        </w:rPr>
      </w:pPr>
      <w:r w:rsidRPr="002B65F7">
        <w:rPr>
          <w:i/>
          <w:iCs/>
          <w:u w:val="single"/>
        </w:rPr>
        <w:lastRenderedPageBreak/>
        <w:t>Réponse radiographique</w:t>
      </w:r>
    </w:p>
    <w:p w14:paraId="2C9EAFBD" w14:textId="77777777" w:rsidR="007701AA" w:rsidRPr="002B65F7" w:rsidRDefault="007701AA" w:rsidP="00496255">
      <w:pPr>
        <w:keepNext/>
        <w:widowControl/>
        <w:rPr>
          <w:i/>
          <w:iCs/>
        </w:rPr>
      </w:pPr>
    </w:p>
    <w:p w14:paraId="03B582F8" w14:textId="3C46BD54" w:rsidR="00092F83" w:rsidRPr="002B65F7" w:rsidRDefault="00C31740" w:rsidP="00496255">
      <w:pPr>
        <w:widowControl/>
      </w:pPr>
      <w:r w:rsidRPr="002B65F7">
        <w:t>Les atteintes structurales au niveau des mains et des pieds étaient mesurées par la variation du score total de van der Heijde-Sharp (vdH-S score) modifié pour le rhumatisme psoriasique par l’addition des articulations interphalangiennes distales de la main, par rapport aux valeurs initiales. Une analyse intégrée pré-spécifiée combinant les données de 927</w:t>
      </w:r>
      <w:r w:rsidR="005E7199" w:rsidRPr="002B65F7">
        <w:t> </w:t>
      </w:r>
      <w:r w:rsidRPr="002B65F7">
        <w:t>patients dans les Etudes Rhumatisme</w:t>
      </w:r>
      <w:r w:rsidR="005E7199" w:rsidRPr="002B65F7">
        <w:t xml:space="preserve"> </w:t>
      </w:r>
      <w:r w:rsidRPr="002B65F7">
        <w:t>psoriasique</w:t>
      </w:r>
      <w:r w:rsidR="005E7199" w:rsidRPr="002B65F7">
        <w:t> </w:t>
      </w:r>
      <w:r w:rsidRPr="002B65F7">
        <w:t>1 et</w:t>
      </w:r>
      <w:r w:rsidR="005E7199" w:rsidRPr="002B65F7">
        <w:t> </w:t>
      </w:r>
      <w:r w:rsidRPr="002B65F7">
        <w:t>2 a été réalisée. L’</w:t>
      </w:r>
      <w:r w:rsidR="0071390F" w:rsidRPr="002B65F7">
        <w:t>ustekinumab</w:t>
      </w:r>
      <w:r w:rsidRPr="002B65F7">
        <w:t xml:space="preserve"> a démontré une diminution statistiquement significative du taux de progression des atteintes structurales comparé au placebo à la semaine</w:t>
      </w:r>
      <w:r w:rsidR="00787EEA" w:rsidRPr="002B65F7">
        <w:t> </w:t>
      </w:r>
      <w:r w:rsidRPr="002B65F7">
        <w:t>24, mesurée par la variation du score vdH-S total modifié (score moyen</w:t>
      </w:r>
      <w:r w:rsidR="005E7199" w:rsidRPr="002B65F7">
        <w:t> </w:t>
      </w:r>
      <w:r w:rsidRPr="002B65F7">
        <w:t>±</w:t>
      </w:r>
      <w:r w:rsidR="005E7199" w:rsidRPr="002B65F7">
        <w:t> </w:t>
      </w:r>
      <w:r w:rsidRPr="002B65F7">
        <w:t>ET de 0,97</w:t>
      </w:r>
      <w:r w:rsidR="005E7199" w:rsidRPr="002B65F7">
        <w:t> </w:t>
      </w:r>
      <w:r w:rsidRPr="002B65F7">
        <w:t>±</w:t>
      </w:r>
      <w:r w:rsidR="005E7199" w:rsidRPr="002B65F7">
        <w:t> </w:t>
      </w:r>
      <w:r w:rsidRPr="002B65F7">
        <w:t>3,85 dans le groupe placebo comparé à 0,40</w:t>
      </w:r>
      <w:r w:rsidR="005E7199" w:rsidRPr="002B65F7">
        <w:t> </w:t>
      </w:r>
      <w:r w:rsidRPr="002B65F7">
        <w:t>±</w:t>
      </w:r>
      <w:r w:rsidR="005E7199" w:rsidRPr="002B65F7">
        <w:t> </w:t>
      </w:r>
      <w:r w:rsidRPr="002B65F7">
        <w:t>2,11 et 0,39</w:t>
      </w:r>
      <w:r w:rsidR="005E7199" w:rsidRPr="002B65F7">
        <w:t> </w:t>
      </w:r>
      <w:r w:rsidRPr="002B65F7">
        <w:t>±</w:t>
      </w:r>
      <w:r w:rsidR="005E7199" w:rsidRPr="002B65F7">
        <w:t> </w:t>
      </w:r>
      <w:r w:rsidRPr="002B65F7">
        <w:t xml:space="preserve">2,40 dans les groupes </w:t>
      </w:r>
      <w:r w:rsidR="0071390F" w:rsidRPr="002B65F7">
        <w:t>ustekinumab</w:t>
      </w:r>
      <w:r w:rsidRPr="002B65F7">
        <w:t xml:space="preserve"> 45</w:t>
      </w:r>
      <w:r w:rsidR="005E7199" w:rsidRPr="002B65F7">
        <w:t> </w:t>
      </w:r>
      <w:r w:rsidRPr="002B65F7">
        <w:t>mg (p</w:t>
      </w:r>
      <w:r w:rsidR="005E7199" w:rsidRPr="002B65F7">
        <w:t> </w:t>
      </w:r>
      <w:r w:rsidRPr="002B65F7">
        <w:t>&lt;</w:t>
      </w:r>
      <w:r w:rsidR="005E7199" w:rsidRPr="002B65F7">
        <w:t> </w:t>
      </w:r>
      <w:r w:rsidRPr="002B65F7">
        <w:t>0,05) et</w:t>
      </w:r>
      <w:r w:rsidR="005E7199" w:rsidRPr="002B65F7">
        <w:t> </w:t>
      </w:r>
      <w:r w:rsidRPr="002B65F7">
        <w:t>90</w:t>
      </w:r>
      <w:r w:rsidR="005E7199" w:rsidRPr="002B65F7">
        <w:t> </w:t>
      </w:r>
      <w:r w:rsidRPr="002B65F7">
        <w:t>mg (p</w:t>
      </w:r>
      <w:r w:rsidR="005E7199" w:rsidRPr="002B65F7">
        <w:t> </w:t>
      </w:r>
      <w:r w:rsidRPr="002B65F7">
        <w:t>&lt;</w:t>
      </w:r>
      <w:r w:rsidR="005E7199" w:rsidRPr="002B65F7">
        <w:t> </w:t>
      </w:r>
      <w:r w:rsidRPr="002B65F7">
        <w:t>0,001) respectivement). Ce résultat repose sur l’Etude Rhumatisme Psoriasique 1.</w:t>
      </w:r>
      <w:r w:rsidR="005E7199" w:rsidRPr="002B65F7">
        <w:t xml:space="preserve"> </w:t>
      </w:r>
      <w:r w:rsidRPr="002B65F7">
        <w:t>L’effet est considéré démontré, indépendamment de l’utilisation concomitante de méthotrexate et s’est maintenu jusqu’aux semaines</w:t>
      </w:r>
      <w:r w:rsidR="005E7199" w:rsidRPr="002B65F7">
        <w:t> </w:t>
      </w:r>
      <w:r w:rsidRPr="002B65F7">
        <w:t>52 (analyse intégrée) et</w:t>
      </w:r>
      <w:r w:rsidR="005E7199" w:rsidRPr="002B65F7">
        <w:t> </w:t>
      </w:r>
      <w:r w:rsidRPr="002B65F7">
        <w:t>100 (Etude Rhumatisme Psoriasique</w:t>
      </w:r>
      <w:r w:rsidR="005E7199" w:rsidRPr="002B65F7">
        <w:t> </w:t>
      </w:r>
      <w:r w:rsidRPr="002B65F7">
        <w:t>1).</w:t>
      </w:r>
    </w:p>
    <w:p w14:paraId="62EEA4A5" w14:textId="77777777" w:rsidR="00092F83" w:rsidRPr="002B65F7" w:rsidRDefault="00092F83" w:rsidP="00496255">
      <w:pPr>
        <w:widowControl/>
      </w:pPr>
    </w:p>
    <w:p w14:paraId="03B582FA" w14:textId="77777777" w:rsidR="00092F83" w:rsidRPr="002B65F7" w:rsidRDefault="00C31740" w:rsidP="00496255">
      <w:pPr>
        <w:keepNext/>
        <w:widowControl/>
        <w:rPr>
          <w:i/>
          <w:iCs/>
          <w:u w:val="single"/>
        </w:rPr>
      </w:pPr>
      <w:r w:rsidRPr="002B65F7">
        <w:rPr>
          <w:i/>
          <w:iCs/>
          <w:u w:val="single"/>
        </w:rPr>
        <w:t>Fonction physique et qualité de vie</w:t>
      </w:r>
    </w:p>
    <w:p w14:paraId="2B19EF38" w14:textId="77777777" w:rsidR="005E7199" w:rsidRPr="002B65F7" w:rsidRDefault="005E7199" w:rsidP="00496255">
      <w:pPr>
        <w:keepNext/>
        <w:widowControl/>
        <w:rPr>
          <w:i/>
          <w:iCs/>
        </w:rPr>
      </w:pPr>
    </w:p>
    <w:p w14:paraId="03B582FB" w14:textId="07F34676" w:rsidR="00092F83" w:rsidRPr="002B65F7" w:rsidRDefault="00C31740" w:rsidP="00496255">
      <w:pPr>
        <w:widowControl/>
      </w:pPr>
      <w:r w:rsidRPr="002B65F7">
        <w:t>Les patients traités par l’</w:t>
      </w:r>
      <w:r w:rsidR="0071390F" w:rsidRPr="002B65F7">
        <w:t>ustekinumab</w:t>
      </w:r>
      <w:r w:rsidRPr="002B65F7">
        <w:t xml:space="preserve"> ont montré une amélioration significative de la fonction physique évaluée par l’indice HAQ-DI (Disability Index of the Health Assessment</w:t>
      </w:r>
      <w:r w:rsidRPr="002B65F7">
        <w:rPr>
          <w:spacing w:val="-3"/>
        </w:rPr>
        <w:t xml:space="preserve"> </w:t>
      </w:r>
      <w:r w:rsidRPr="002B65F7">
        <w:t>Questionnaire)</w:t>
      </w:r>
      <w:r w:rsidRPr="002B65F7">
        <w:rPr>
          <w:spacing w:val="-3"/>
        </w:rPr>
        <w:t xml:space="preserve"> </w:t>
      </w:r>
      <w:r w:rsidRPr="002B65F7">
        <w:t>à</w:t>
      </w:r>
      <w:r w:rsidRPr="002B65F7">
        <w:rPr>
          <w:spacing w:val="-3"/>
        </w:rPr>
        <w:t xml:space="preserve"> </w:t>
      </w:r>
      <w:r w:rsidRPr="002B65F7">
        <w:t>la semaine</w:t>
      </w:r>
      <w:r w:rsidR="0058434A" w:rsidRPr="002B65F7">
        <w:t> </w:t>
      </w:r>
      <w:r w:rsidRPr="002B65F7">
        <w:t>24. La proportion de patients obtenant une amélioration cliniquement significative</w:t>
      </w:r>
      <w:r w:rsidR="005E7199" w:rsidRPr="002B65F7">
        <w:t> </w:t>
      </w:r>
      <w:r w:rsidRPr="002B65F7">
        <w:t>≥</w:t>
      </w:r>
      <w:r w:rsidR="005E7199" w:rsidRPr="002B65F7">
        <w:t> </w:t>
      </w:r>
      <w:r w:rsidRPr="002B65F7">
        <w:t xml:space="preserve">0,3 du score HAQ-DI par rapport à l’inclusion était également significativement meilleure dans les groupes </w:t>
      </w:r>
      <w:r w:rsidR="0071390F" w:rsidRPr="002B65F7">
        <w:t>ustekinumab</w:t>
      </w:r>
      <w:r w:rsidRPr="002B65F7">
        <w:t xml:space="preserve"> en comparaison au placebo. L’amélioration du score HAQ-DI par rapport à l’inclusion s’est maintenue jusqu’aux semaines</w:t>
      </w:r>
      <w:r w:rsidR="0058434A" w:rsidRPr="002B65F7">
        <w:t> </w:t>
      </w:r>
      <w:r w:rsidRPr="002B65F7">
        <w:t>52 et</w:t>
      </w:r>
      <w:r w:rsidR="005E7199" w:rsidRPr="002B65F7">
        <w:t> </w:t>
      </w:r>
      <w:r w:rsidRPr="002B65F7">
        <w:t>100.</w:t>
      </w:r>
    </w:p>
    <w:p w14:paraId="03B582FC" w14:textId="77777777" w:rsidR="00092F83" w:rsidRPr="002B65F7" w:rsidRDefault="00092F83" w:rsidP="00496255">
      <w:pPr>
        <w:widowControl/>
      </w:pPr>
    </w:p>
    <w:p w14:paraId="03B582FD" w14:textId="5D4BA264" w:rsidR="00092F83" w:rsidRPr="002B65F7" w:rsidRDefault="00C31740" w:rsidP="00496255">
      <w:pPr>
        <w:widowControl/>
      </w:pPr>
      <w:r w:rsidRPr="002B65F7">
        <w:t xml:space="preserve">Une amélioration significative des scores DLQI a été constatée dans les groupes </w:t>
      </w:r>
      <w:r w:rsidR="0071390F" w:rsidRPr="002B65F7">
        <w:t>ustekinumab</w:t>
      </w:r>
      <w:r w:rsidRPr="002B65F7">
        <w:t xml:space="preserve"> comparé au placebo à la semaine</w:t>
      </w:r>
      <w:r w:rsidR="005E7199" w:rsidRPr="002B65F7">
        <w:t> </w:t>
      </w:r>
      <w:r w:rsidRPr="002B65F7">
        <w:t>24 et s’est maintenue jusqu’aux semaines 52</w:t>
      </w:r>
      <w:r w:rsidR="005E7199" w:rsidRPr="002B65F7">
        <w:t> </w:t>
      </w:r>
      <w:r w:rsidRPr="002B65F7">
        <w:t>et</w:t>
      </w:r>
      <w:r w:rsidR="005E7199" w:rsidRPr="002B65F7">
        <w:t> </w:t>
      </w:r>
      <w:r w:rsidRPr="002B65F7">
        <w:t>100. Dans l’Étude Rhumatisme Psoriasique</w:t>
      </w:r>
      <w:r w:rsidR="00F45F5E" w:rsidRPr="002B65F7">
        <w:t> </w:t>
      </w:r>
      <w:r w:rsidRPr="002B65F7">
        <w:t xml:space="preserve">2, une amélioration significative des scores FACIT-F (Functional Assessment of Chronic Illness Therapy - Fatigue) a été constatée dans les groupes </w:t>
      </w:r>
      <w:r w:rsidR="0071390F" w:rsidRPr="002B65F7">
        <w:t>ustekinumab</w:t>
      </w:r>
      <w:r w:rsidRPr="002B65F7">
        <w:t xml:space="preserve"> comparé au placebo à la semaine</w:t>
      </w:r>
      <w:r w:rsidR="00F45F5E" w:rsidRPr="002B65F7">
        <w:t> </w:t>
      </w:r>
      <w:r w:rsidRPr="002B65F7">
        <w:t>24. La proportion de patients obtenant une amélioration cliniquement significative de la fatigue (4</w:t>
      </w:r>
      <w:r w:rsidR="00F45F5E" w:rsidRPr="002B65F7">
        <w:t> </w:t>
      </w:r>
      <w:r w:rsidRPr="002B65F7">
        <w:t xml:space="preserve">points au score FACIT-F) était également significativement plus importante dans les groupes </w:t>
      </w:r>
      <w:r w:rsidR="0071390F" w:rsidRPr="002B65F7">
        <w:t>ustekinumab</w:t>
      </w:r>
      <w:r w:rsidRPr="002B65F7">
        <w:t xml:space="preserve"> comparé au placebo. Les améliorations des scores FACIT se sont maintenues jusqu’à la semaine</w:t>
      </w:r>
      <w:r w:rsidR="00F45F5E" w:rsidRPr="002B65F7">
        <w:t> </w:t>
      </w:r>
      <w:r w:rsidRPr="002B65F7">
        <w:t>52.</w:t>
      </w:r>
    </w:p>
    <w:p w14:paraId="75808A3D" w14:textId="77777777" w:rsidR="00F45F5E" w:rsidRPr="002B65F7" w:rsidRDefault="00F45F5E" w:rsidP="00496255">
      <w:pPr>
        <w:widowControl/>
      </w:pPr>
    </w:p>
    <w:p w14:paraId="03B582FE" w14:textId="205845F5" w:rsidR="00092F83" w:rsidRPr="002B65F7" w:rsidRDefault="00C31740" w:rsidP="00496255">
      <w:pPr>
        <w:keepNext/>
        <w:widowControl/>
        <w:rPr>
          <w:u w:val="single"/>
        </w:rPr>
      </w:pPr>
      <w:r w:rsidRPr="002B65F7">
        <w:rPr>
          <w:u w:val="single"/>
        </w:rPr>
        <w:t>Population pédiatrique</w:t>
      </w:r>
    </w:p>
    <w:p w14:paraId="56D3CBFC" w14:textId="77777777" w:rsidR="00F45F5E" w:rsidRPr="002B65F7" w:rsidRDefault="00F45F5E" w:rsidP="00496255">
      <w:pPr>
        <w:keepNext/>
        <w:widowControl/>
        <w:rPr>
          <w:u w:val="single"/>
        </w:rPr>
      </w:pPr>
    </w:p>
    <w:p w14:paraId="03B582FF" w14:textId="0E5854C8" w:rsidR="00092F83" w:rsidRPr="002B65F7" w:rsidRDefault="00C31740" w:rsidP="00496255">
      <w:pPr>
        <w:widowControl/>
      </w:pPr>
      <w:r w:rsidRPr="002B65F7">
        <w:t>L’Agence européenne des médicaments a différé l’obligation de soumettre les résultats d’études réalisées avec l’</w:t>
      </w:r>
      <w:r w:rsidR="0071390F" w:rsidRPr="002B65F7">
        <w:t>ustekinumab</w:t>
      </w:r>
      <w:r w:rsidRPr="002B65F7">
        <w:t xml:space="preserve"> dans un ou plusieurs sous-groupes de la population pédiatrique atteinte d’arthrite juvénile idiopathique (voir rubrique</w:t>
      </w:r>
      <w:r w:rsidR="00F45F5E" w:rsidRPr="002B65F7">
        <w:t> </w:t>
      </w:r>
      <w:r w:rsidRPr="002B65F7">
        <w:t>4.2 pour les informations concernant l’usage pédiatrique).</w:t>
      </w:r>
    </w:p>
    <w:p w14:paraId="7232BD0D" w14:textId="77777777" w:rsidR="00F45F5E" w:rsidRPr="002B65F7" w:rsidRDefault="00F45F5E" w:rsidP="00496255">
      <w:pPr>
        <w:widowControl/>
      </w:pPr>
    </w:p>
    <w:p w14:paraId="03B58300" w14:textId="629466A5" w:rsidR="00092F83" w:rsidRPr="002B65F7" w:rsidRDefault="00C31740" w:rsidP="00496255">
      <w:pPr>
        <w:keepNext/>
        <w:widowControl/>
        <w:rPr>
          <w:i/>
          <w:iCs/>
        </w:rPr>
      </w:pPr>
      <w:r w:rsidRPr="002B65F7">
        <w:rPr>
          <w:i/>
          <w:iCs/>
        </w:rPr>
        <w:t>Psoriasis en plaques de la population pédiatrique</w:t>
      </w:r>
    </w:p>
    <w:p w14:paraId="495CCB42" w14:textId="77777777" w:rsidR="00F45F5E" w:rsidRPr="002B65F7" w:rsidRDefault="00F45F5E" w:rsidP="00496255">
      <w:pPr>
        <w:keepNext/>
        <w:widowControl/>
        <w:rPr>
          <w:i/>
          <w:iCs/>
        </w:rPr>
      </w:pPr>
    </w:p>
    <w:p w14:paraId="03B58301" w14:textId="6C52A60B" w:rsidR="00092F83" w:rsidRPr="002B65F7" w:rsidRDefault="00C31740" w:rsidP="00496255">
      <w:pPr>
        <w:widowControl/>
      </w:pPr>
      <w:r w:rsidRPr="002B65F7">
        <w:t>Il a été montré que l’</w:t>
      </w:r>
      <w:r w:rsidR="0071390F" w:rsidRPr="002B65F7">
        <w:t>ustekinumab</w:t>
      </w:r>
      <w:r w:rsidRPr="002B65F7">
        <w:t xml:space="preserve"> améliore les signes et symptômes et la qualité de vie des adolescents âgés de 6</w:t>
      </w:r>
      <w:r w:rsidR="00E0653A" w:rsidRPr="002B65F7">
        <w:t> </w:t>
      </w:r>
      <w:r w:rsidRPr="002B65F7">
        <w:t>ans et plus atteints de psoriasis en plaques.</w:t>
      </w:r>
    </w:p>
    <w:p w14:paraId="03B58302" w14:textId="77777777" w:rsidR="00092F83" w:rsidRPr="002B65F7" w:rsidRDefault="00092F83" w:rsidP="00496255">
      <w:pPr>
        <w:widowControl/>
      </w:pPr>
    </w:p>
    <w:p w14:paraId="03B58303" w14:textId="781145C7" w:rsidR="00092F83" w:rsidRPr="002B65F7" w:rsidRDefault="00C31740" w:rsidP="00496255">
      <w:pPr>
        <w:keepNext/>
        <w:widowControl/>
        <w:rPr>
          <w:i/>
          <w:iCs/>
        </w:rPr>
      </w:pPr>
      <w:r w:rsidRPr="002B65F7">
        <w:rPr>
          <w:i/>
          <w:iCs/>
        </w:rPr>
        <w:t>Patients adolescents (12</w:t>
      </w:r>
      <w:r w:rsidR="00F45F5E" w:rsidRPr="002B65F7">
        <w:rPr>
          <w:i/>
          <w:iCs/>
        </w:rPr>
        <w:t> </w:t>
      </w:r>
      <w:r w:rsidRPr="002B65F7">
        <w:rPr>
          <w:i/>
          <w:iCs/>
        </w:rPr>
        <w:t>à</w:t>
      </w:r>
      <w:r w:rsidR="001A094E" w:rsidRPr="002B65F7">
        <w:rPr>
          <w:i/>
          <w:iCs/>
        </w:rPr>
        <w:t> </w:t>
      </w:r>
      <w:r w:rsidRPr="002B65F7">
        <w:rPr>
          <w:i/>
          <w:iCs/>
        </w:rPr>
        <w:t>17</w:t>
      </w:r>
      <w:r w:rsidR="001A094E" w:rsidRPr="002B65F7">
        <w:rPr>
          <w:i/>
          <w:iCs/>
        </w:rPr>
        <w:t> </w:t>
      </w:r>
      <w:r w:rsidRPr="002B65F7">
        <w:rPr>
          <w:i/>
          <w:iCs/>
        </w:rPr>
        <w:t>ans)</w:t>
      </w:r>
    </w:p>
    <w:p w14:paraId="1F0EE80F" w14:textId="77777777" w:rsidR="00F45F5E" w:rsidRPr="002B65F7" w:rsidRDefault="00F45F5E" w:rsidP="00496255">
      <w:pPr>
        <w:keepNext/>
        <w:widowControl/>
        <w:rPr>
          <w:i/>
          <w:iCs/>
        </w:rPr>
      </w:pPr>
    </w:p>
    <w:p w14:paraId="03B58304" w14:textId="73094647" w:rsidR="00092F83" w:rsidRPr="002B65F7" w:rsidRDefault="00C31740" w:rsidP="00496255">
      <w:pPr>
        <w:widowControl/>
      </w:pPr>
      <w:r w:rsidRPr="002B65F7">
        <w:t>L’efficacité de l’</w:t>
      </w:r>
      <w:r w:rsidR="0071390F" w:rsidRPr="002B65F7">
        <w:t>ustekinumab</w:t>
      </w:r>
      <w:r w:rsidRPr="002B65F7">
        <w:t xml:space="preserve"> a été étudiée chez 110</w:t>
      </w:r>
      <w:r w:rsidR="001A094E" w:rsidRPr="002B65F7">
        <w:t> </w:t>
      </w:r>
      <w:r w:rsidRPr="002B65F7">
        <w:t>adolescents âgés de 12</w:t>
      </w:r>
      <w:r w:rsidR="0058434A" w:rsidRPr="002B65F7">
        <w:t> </w:t>
      </w:r>
      <w:r w:rsidRPr="002B65F7">
        <w:t>à 17</w:t>
      </w:r>
      <w:r w:rsidR="0058434A" w:rsidRPr="002B65F7">
        <w:t> </w:t>
      </w:r>
      <w:r w:rsidRPr="002B65F7">
        <w:t xml:space="preserve">ans présentant un psoriasis en plaques modéré à sévère dans le cadre d’une étude multicentrique de phase 3, randomisée, en double aveugle </w:t>
      </w:r>
      <w:r w:rsidRPr="002B65F7">
        <w:rPr>
          <w:i/>
          <w:iCs/>
        </w:rPr>
        <w:t>versus</w:t>
      </w:r>
      <w:r w:rsidRPr="002B65F7">
        <w:t xml:space="preserve"> placebo (CADMUS). Les patients ont été randomisés pour recevoir un placebo (n</w:t>
      </w:r>
      <w:r w:rsidR="001A094E" w:rsidRPr="002B65F7">
        <w:t> </w:t>
      </w:r>
      <w:r w:rsidRPr="002B65F7">
        <w:t>=</w:t>
      </w:r>
      <w:r w:rsidR="001A094E" w:rsidRPr="002B65F7">
        <w:t> </w:t>
      </w:r>
      <w:r w:rsidRPr="002B65F7">
        <w:t>37) ou la dose recommandée d’</w:t>
      </w:r>
      <w:r w:rsidR="0071390F" w:rsidRPr="002B65F7">
        <w:t>ustekinumab</w:t>
      </w:r>
      <w:r w:rsidRPr="002B65F7">
        <w:t xml:space="preserve"> (voir rubrique</w:t>
      </w:r>
      <w:r w:rsidR="001A094E" w:rsidRPr="002B65F7">
        <w:t> </w:t>
      </w:r>
      <w:r w:rsidRPr="002B65F7">
        <w:t>4.2 ; n</w:t>
      </w:r>
      <w:r w:rsidR="001A094E" w:rsidRPr="002B65F7">
        <w:t> </w:t>
      </w:r>
      <w:r w:rsidRPr="002B65F7">
        <w:t>=</w:t>
      </w:r>
      <w:r w:rsidR="001A094E" w:rsidRPr="002B65F7">
        <w:t> </w:t>
      </w:r>
      <w:r w:rsidRPr="002B65F7">
        <w:t>36) ou la demi-dose recommandée d’</w:t>
      </w:r>
      <w:r w:rsidR="0071390F" w:rsidRPr="002B65F7">
        <w:t>ustekinumab</w:t>
      </w:r>
      <w:r w:rsidRPr="002B65F7">
        <w:t xml:space="preserve"> (n</w:t>
      </w:r>
      <w:r w:rsidR="001A094E" w:rsidRPr="002B65F7">
        <w:t> </w:t>
      </w:r>
      <w:r w:rsidRPr="002B65F7">
        <w:t>=</w:t>
      </w:r>
      <w:r w:rsidR="001A094E" w:rsidRPr="002B65F7">
        <w:t> </w:t>
      </w:r>
      <w:r w:rsidRPr="002B65F7">
        <w:t>37) par injection sous-cutanée aux semaines</w:t>
      </w:r>
      <w:r w:rsidR="001A094E" w:rsidRPr="002B65F7">
        <w:t> </w:t>
      </w:r>
      <w:r w:rsidRPr="002B65F7">
        <w:t>0 et 4, suivi par une injection toutes les 12</w:t>
      </w:r>
      <w:r w:rsidR="001A094E" w:rsidRPr="002B65F7">
        <w:t> </w:t>
      </w:r>
      <w:r w:rsidRPr="002B65F7">
        <w:t>semaines. À la semaine</w:t>
      </w:r>
      <w:r w:rsidR="0058434A" w:rsidRPr="002B65F7">
        <w:t> </w:t>
      </w:r>
      <w:r w:rsidRPr="002B65F7">
        <w:t>12, les patients traités par placebo ont changé de traitement pour recevoir l’</w:t>
      </w:r>
      <w:r w:rsidR="0071390F" w:rsidRPr="002B65F7">
        <w:t>ustekinumab</w:t>
      </w:r>
      <w:r w:rsidRPr="002B65F7">
        <w:t>.</w:t>
      </w:r>
    </w:p>
    <w:p w14:paraId="6687DE46" w14:textId="77777777" w:rsidR="001A094E" w:rsidRPr="002B65F7" w:rsidRDefault="001A094E" w:rsidP="00496255">
      <w:pPr>
        <w:widowControl/>
      </w:pPr>
    </w:p>
    <w:p w14:paraId="03B58305" w14:textId="424B8707" w:rsidR="00092F83" w:rsidRPr="002B65F7" w:rsidRDefault="00C31740" w:rsidP="00496255">
      <w:pPr>
        <w:widowControl/>
      </w:pPr>
      <w:r w:rsidRPr="002B65F7">
        <w:t>Les patients ayant un score PASI</w:t>
      </w:r>
      <w:r w:rsidR="001A094E" w:rsidRPr="002B65F7">
        <w:t> </w:t>
      </w:r>
      <w:r w:rsidRPr="002B65F7">
        <w:t>≥</w:t>
      </w:r>
      <w:r w:rsidR="001A094E" w:rsidRPr="002B65F7">
        <w:t> </w:t>
      </w:r>
      <w:r w:rsidRPr="002B65F7">
        <w:t>12, un score PGA</w:t>
      </w:r>
      <w:r w:rsidR="001A094E" w:rsidRPr="002B65F7">
        <w:t> </w:t>
      </w:r>
      <w:r w:rsidRPr="002B65F7">
        <w:t>≥</w:t>
      </w:r>
      <w:r w:rsidR="001A094E" w:rsidRPr="002B65F7">
        <w:t> </w:t>
      </w:r>
      <w:r w:rsidRPr="002B65F7">
        <w:t xml:space="preserve">3 et une surface corporelle atteinte (SCA) d’au moins 10%, et qui étaient candidats à la photothérapie ou à un traitement systémique, étaient éligibles pour l’étude. Environ 60% des patients avaient déjà été exposés à un traitement systémique </w:t>
      </w:r>
      <w:r w:rsidRPr="002B65F7">
        <w:lastRenderedPageBreak/>
        <w:t>conventionnel ou à la photothérapie. Environ 11% des patients avaient déjà été exposés à des agents biologiques.</w:t>
      </w:r>
    </w:p>
    <w:p w14:paraId="03B58306" w14:textId="77777777" w:rsidR="00092F83" w:rsidRPr="002B65F7" w:rsidRDefault="00092F83" w:rsidP="00496255">
      <w:pPr>
        <w:widowControl/>
      </w:pPr>
    </w:p>
    <w:p w14:paraId="03B58307" w14:textId="40E46F5B" w:rsidR="00092F83" w:rsidRPr="002B65F7" w:rsidRDefault="00C31740" w:rsidP="00496255">
      <w:pPr>
        <w:widowControl/>
      </w:pPr>
      <w:r w:rsidRPr="002B65F7">
        <w:t>Le critère principal était la proportion de patients qui atteignaient un score PGA blanchi (0) ou minimal (1) à la semaine</w:t>
      </w:r>
      <w:r w:rsidR="001A094E" w:rsidRPr="002B65F7">
        <w:t> </w:t>
      </w:r>
      <w:r w:rsidRPr="002B65F7">
        <w:t>12. Les critères secondaires incluaient les réponses PASI</w:t>
      </w:r>
      <w:r w:rsidR="001A094E" w:rsidRPr="002B65F7">
        <w:t> </w:t>
      </w:r>
      <w:r w:rsidRPr="002B65F7">
        <w:t>75 et PASI</w:t>
      </w:r>
      <w:r w:rsidR="001A094E" w:rsidRPr="002B65F7">
        <w:t> </w:t>
      </w:r>
      <w:r w:rsidRPr="002B65F7">
        <w:t>90, la variation par rapport à l’inclusion du score CDLQI (Children’s Dermatology Life Quality Index) et la variation par rapport à l’inclusion du score total PedsQL (Paediatric Quality of Life Inventory), à la semaine</w:t>
      </w:r>
      <w:r w:rsidR="001A094E" w:rsidRPr="002B65F7">
        <w:t> </w:t>
      </w:r>
      <w:r w:rsidRPr="002B65F7">
        <w:t>12. À la semaine</w:t>
      </w:r>
      <w:r w:rsidR="0058434A" w:rsidRPr="002B65F7">
        <w:t> </w:t>
      </w:r>
      <w:r w:rsidRPr="002B65F7">
        <w:t xml:space="preserve">12, les sujets traités par </w:t>
      </w:r>
      <w:r w:rsidR="0071390F" w:rsidRPr="002B65F7">
        <w:t>ustekinumab</w:t>
      </w:r>
      <w:r w:rsidRPr="002B65F7">
        <w:t xml:space="preserve"> présentaient une amélioration significativement supérieure de leur psoriasis et de leur qualité de vie comparativement aux sujets ayant reçu un placebo (</w:t>
      </w:r>
      <w:r w:rsidR="00401F09" w:rsidRPr="002B65F7">
        <w:t>voir t</w:t>
      </w:r>
      <w:r w:rsidRPr="002B65F7">
        <w:t>ableau</w:t>
      </w:r>
      <w:r w:rsidR="001A094E" w:rsidRPr="002B65F7">
        <w:t> </w:t>
      </w:r>
      <w:r w:rsidRPr="002B65F7">
        <w:t>7).</w:t>
      </w:r>
    </w:p>
    <w:p w14:paraId="67827C87" w14:textId="77777777" w:rsidR="001A094E" w:rsidRPr="002B65F7" w:rsidRDefault="001A094E" w:rsidP="00496255">
      <w:pPr>
        <w:widowControl/>
      </w:pPr>
    </w:p>
    <w:p w14:paraId="03B58309" w14:textId="4DB8BA5A" w:rsidR="00092F83" w:rsidRPr="002B65F7" w:rsidRDefault="00C31740" w:rsidP="00496255">
      <w:pPr>
        <w:widowControl/>
      </w:pPr>
      <w:r w:rsidRPr="002B65F7">
        <w:t>L’efficacité a été suivie chez tous les patients pendant 52</w:t>
      </w:r>
      <w:r w:rsidR="0058434A" w:rsidRPr="002B65F7">
        <w:t> </w:t>
      </w:r>
      <w:r w:rsidRPr="002B65F7">
        <w:t>semaines après la première administration de l’agent étudié. Considérant la proportion de patients présentant un score PGA blanchi (0) ou minimal</w:t>
      </w:r>
      <w:r w:rsidR="001A094E" w:rsidRPr="002B65F7">
        <w:t xml:space="preserve"> </w:t>
      </w:r>
      <w:r w:rsidRPr="002B65F7">
        <w:t>(1) et la proportion de répondeurs PASI</w:t>
      </w:r>
      <w:r w:rsidR="0058434A" w:rsidRPr="002B65F7">
        <w:t> </w:t>
      </w:r>
      <w:r w:rsidRPr="002B65F7">
        <w:t xml:space="preserve">75, il existe une différence entre le groupe traité par </w:t>
      </w:r>
      <w:r w:rsidR="0071390F" w:rsidRPr="002B65F7">
        <w:t>ustekinumab</w:t>
      </w:r>
      <w:r w:rsidRPr="002B65F7">
        <w:t xml:space="preserve"> et le placebo lors de la première visite post-inclusion à la semaine</w:t>
      </w:r>
      <w:r w:rsidR="0058434A" w:rsidRPr="002B65F7">
        <w:t> </w:t>
      </w:r>
      <w:r w:rsidRPr="002B65F7">
        <w:t>4, atteignant un maximum à la semaine</w:t>
      </w:r>
      <w:r w:rsidR="001A094E" w:rsidRPr="002B65F7">
        <w:t> </w:t>
      </w:r>
      <w:r w:rsidRPr="002B65F7">
        <w:t>12. Les améliorations des scores PGA, PASI, CDLQI et PedsQL se sont maintenues jusqu’à la semaine</w:t>
      </w:r>
      <w:r w:rsidR="001A094E" w:rsidRPr="002B65F7">
        <w:t> </w:t>
      </w:r>
      <w:r w:rsidRPr="002B65F7">
        <w:t>52 (</w:t>
      </w:r>
      <w:r w:rsidR="00401F09" w:rsidRPr="002B65F7">
        <w:t>voir t</w:t>
      </w:r>
      <w:r w:rsidRPr="002B65F7">
        <w:t>ableau</w:t>
      </w:r>
      <w:r w:rsidR="001A094E" w:rsidRPr="002B65F7">
        <w:t> </w:t>
      </w:r>
      <w:r w:rsidRPr="002B65F7">
        <w:t>7).</w:t>
      </w:r>
    </w:p>
    <w:p w14:paraId="1C4AAEF4" w14:textId="77777777" w:rsidR="00092F83" w:rsidRPr="002B65F7" w:rsidRDefault="00092F83" w:rsidP="00496255">
      <w:pPr>
        <w:widowControl/>
      </w:pPr>
    </w:p>
    <w:p w14:paraId="03B5830B" w14:textId="113F61A2" w:rsidR="00092F83" w:rsidRPr="002B65F7" w:rsidRDefault="00C31740" w:rsidP="00496255">
      <w:pPr>
        <w:keepNext/>
        <w:widowControl/>
        <w:rPr>
          <w:b/>
          <w:bCs/>
        </w:rPr>
      </w:pPr>
      <w:r w:rsidRPr="002B65F7">
        <w:rPr>
          <w:b/>
          <w:bCs/>
        </w:rPr>
        <w:t>Tableau</w:t>
      </w:r>
      <w:r w:rsidR="002C4AC6" w:rsidRPr="002B65F7">
        <w:rPr>
          <w:b/>
          <w:bCs/>
        </w:rPr>
        <w:t> </w:t>
      </w:r>
      <w:r w:rsidRPr="002B65F7">
        <w:rPr>
          <w:b/>
          <w:bCs/>
        </w:rPr>
        <w:t>7</w:t>
      </w:r>
      <w:r w:rsidR="00957F54" w:rsidRPr="002B65F7">
        <w:rPr>
          <w:b/>
          <w:bCs/>
        </w:rPr>
        <w:t xml:space="preserve">. </w:t>
      </w:r>
      <w:r w:rsidRPr="002B65F7">
        <w:rPr>
          <w:b/>
          <w:bCs/>
        </w:rPr>
        <w:t>Résumé des critères primaires et secondaires aux semaines</w:t>
      </w:r>
      <w:r w:rsidR="00957F54" w:rsidRPr="002B65F7">
        <w:rPr>
          <w:b/>
          <w:bCs/>
        </w:rPr>
        <w:t> </w:t>
      </w:r>
      <w:r w:rsidRPr="002B65F7">
        <w:rPr>
          <w:b/>
          <w:bCs/>
        </w:rPr>
        <w:t>12 et</w:t>
      </w:r>
      <w:r w:rsidR="00957F54" w:rsidRPr="002B65F7">
        <w:rPr>
          <w:b/>
          <w:bCs/>
        </w:rPr>
        <w:t> </w:t>
      </w:r>
      <w:r w:rsidRPr="002B65F7">
        <w:rPr>
          <w:b/>
          <w:bCs/>
        </w:rPr>
        <w:t>52</w:t>
      </w:r>
    </w:p>
    <w:p w14:paraId="70D7FC09" w14:textId="77777777" w:rsidR="00957F54" w:rsidRPr="002B65F7" w:rsidRDefault="00957F54" w:rsidP="00496255">
      <w:pPr>
        <w:keepNext/>
        <w:widowControl/>
        <w:rPr>
          <w:b/>
          <w:bCs/>
        </w:rPr>
      </w:pPr>
    </w:p>
    <w:tbl>
      <w:tblPr>
        <w:tblW w:w="486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17"/>
        <w:gridCol w:w="1522"/>
        <w:gridCol w:w="2351"/>
        <w:gridCol w:w="2628"/>
      </w:tblGrid>
      <w:tr w:rsidR="00092F83" w:rsidRPr="002B65F7" w14:paraId="03B5830D" w14:textId="77777777" w:rsidTr="00621357">
        <w:trPr>
          <w:cantSplit/>
          <w:trHeight w:val="251"/>
          <w:tblHeader/>
        </w:trPr>
        <w:tc>
          <w:tcPr>
            <w:tcW w:w="5000" w:type="pct"/>
            <w:gridSpan w:val="4"/>
          </w:tcPr>
          <w:p w14:paraId="03B5830C" w14:textId="568B1ACE" w:rsidR="00092F83" w:rsidRPr="002B65F7" w:rsidRDefault="00C31740" w:rsidP="00496255">
            <w:pPr>
              <w:widowControl/>
              <w:jc w:val="center"/>
              <w:rPr>
                <w:b/>
                <w:bCs/>
              </w:rPr>
            </w:pPr>
            <w:r w:rsidRPr="002B65F7">
              <w:rPr>
                <w:b/>
                <w:bCs/>
              </w:rPr>
              <w:t>Étude Psoriasis de l’adolescent (CADMUS) (12</w:t>
            </w:r>
            <w:r w:rsidR="00957F54" w:rsidRPr="002B65F7">
              <w:rPr>
                <w:b/>
                <w:bCs/>
              </w:rPr>
              <w:t> </w:t>
            </w:r>
            <w:r w:rsidRPr="002B65F7">
              <w:rPr>
                <w:b/>
                <w:bCs/>
              </w:rPr>
              <w:t>à</w:t>
            </w:r>
            <w:r w:rsidR="00957F54" w:rsidRPr="002B65F7">
              <w:rPr>
                <w:b/>
                <w:bCs/>
              </w:rPr>
              <w:t> </w:t>
            </w:r>
            <w:r w:rsidRPr="002B65F7">
              <w:rPr>
                <w:b/>
                <w:bCs/>
              </w:rPr>
              <w:t>17</w:t>
            </w:r>
            <w:r w:rsidR="00957F54" w:rsidRPr="002B65F7">
              <w:rPr>
                <w:b/>
                <w:bCs/>
              </w:rPr>
              <w:t> </w:t>
            </w:r>
            <w:r w:rsidRPr="002B65F7">
              <w:rPr>
                <w:b/>
                <w:bCs/>
              </w:rPr>
              <w:t>ans)</w:t>
            </w:r>
          </w:p>
        </w:tc>
      </w:tr>
      <w:tr w:rsidR="00092F83" w:rsidRPr="002B65F7" w14:paraId="03B58311" w14:textId="77777777" w:rsidTr="00621357">
        <w:trPr>
          <w:cantSplit/>
          <w:trHeight w:val="414"/>
          <w:tblHeader/>
        </w:trPr>
        <w:tc>
          <w:tcPr>
            <w:tcW w:w="1314" w:type="pct"/>
            <w:vMerge w:val="restart"/>
          </w:tcPr>
          <w:p w14:paraId="03B5830E" w14:textId="77777777" w:rsidR="00092F83" w:rsidRPr="002B65F7" w:rsidRDefault="00092F83" w:rsidP="00496255">
            <w:pPr>
              <w:widowControl/>
            </w:pPr>
          </w:p>
        </w:tc>
        <w:tc>
          <w:tcPr>
            <w:tcW w:w="2196" w:type="pct"/>
            <w:gridSpan w:val="2"/>
          </w:tcPr>
          <w:p w14:paraId="03B5830F" w14:textId="03435AB4" w:rsidR="00092F83" w:rsidRPr="002B65F7" w:rsidRDefault="00C31740" w:rsidP="00496255">
            <w:pPr>
              <w:widowControl/>
              <w:jc w:val="center"/>
              <w:rPr>
                <w:b/>
                <w:bCs/>
              </w:rPr>
            </w:pPr>
            <w:r w:rsidRPr="002B65F7">
              <w:rPr>
                <w:b/>
                <w:bCs/>
              </w:rPr>
              <w:t>Semaine</w:t>
            </w:r>
            <w:r w:rsidR="00957F54" w:rsidRPr="002B65F7">
              <w:rPr>
                <w:b/>
                <w:bCs/>
              </w:rPr>
              <w:t> </w:t>
            </w:r>
            <w:r w:rsidRPr="002B65F7">
              <w:rPr>
                <w:b/>
                <w:bCs/>
              </w:rPr>
              <w:t>12</w:t>
            </w:r>
          </w:p>
        </w:tc>
        <w:tc>
          <w:tcPr>
            <w:tcW w:w="1490" w:type="pct"/>
          </w:tcPr>
          <w:p w14:paraId="03B58310" w14:textId="4C56521B" w:rsidR="00092F83" w:rsidRPr="002B65F7" w:rsidRDefault="00C31740" w:rsidP="00496255">
            <w:pPr>
              <w:widowControl/>
              <w:jc w:val="center"/>
              <w:rPr>
                <w:b/>
                <w:bCs/>
              </w:rPr>
            </w:pPr>
            <w:r w:rsidRPr="002B65F7">
              <w:rPr>
                <w:b/>
                <w:bCs/>
              </w:rPr>
              <w:t>Semaine</w:t>
            </w:r>
            <w:r w:rsidR="00957F54" w:rsidRPr="002B65F7">
              <w:rPr>
                <w:b/>
                <w:bCs/>
              </w:rPr>
              <w:t> </w:t>
            </w:r>
            <w:r w:rsidRPr="002B65F7">
              <w:rPr>
                <w:b/>
                <w:bCs/>
              </w:rPr>
              <w:t>52</w:t>
            </w:r>
          </w:p>
        </w:tc>
      </w:tr>
      <w:tr w:rsidR="00092F83" w:rsidRPr="002B65F7" w14:paraId="03B58316" w14:textId="77777777" w:rsidTr="00621357">
        <w:trPr>
          <w:cantSplit/>
          <w:trHeight w:val="505"/>
          <w:tblHeader/>
        </w:trPr>
        <w:tc>
          <w:tcPr>
            <w:tcW w:w="1314" w:type="pct"/>
            <w:vMerge/>
            <w:tcBorders>
              <w:top w:val="nil"/>
            </w:tcBorders>
          </w:tcPr>
          <w:p w14:paraId="03B58312" w14:textId="77777777" w:rsidR="00092F83" w:rsidRPr="002B65F7" w:rsidRDefault="00092F83" w:rsidP="00496255">
            <w:pPr>
              <w:widowControl/>
            </w:pPr>
          </w:p>
        </w:tc>
        <w:tc>
          <w:tcPr>
            <w:tcW w:w="863" w:type="pct"/>
          </w:tcPr>
          <w:p w14:paraId="03B58313" w14:textId="77777777" w:rsidR="00092F83" w:rsidRPr="002B65F7" w:rsidRDefault="00C31740" w:rsidP="00496255">
            <w:pPr>
              <w:widowControl/>
              <w:jc w:val="center"/>
              <w:rPr>
                <w:b/>
                <w:bCs/>
              </w:rPr>
            </w:pPr>
            <w:r w:rsidRPr="002B65F7">
              <w:rPr>
                <w:b/>
                <w:bCs/>
              </w:rPr>
              <w:t>Placebo</w:t>
            </w:r>
          </w:p>
        </w:tc>
        <w:tc>
          <w:tcPr>
            <w:tcW w:w="1333" w:type="pct"/>
          </w:tcPr>
          <w:p w14:paraId="03B58314" w14:textId="1D3044FD" w:rsidR="00092F83" w:rsidRPr="002B65F7" w:rsidRDefault="00C31740" w:rsidP="00496255">
            <w:pPr>
              <w:widowControl/>
              <w:jc w:val="center"/>
              <w:rPr>
                <w:b/>
                <w:bCs/>
              </w:rPr>
            </w:pPr>
            <w:r w:rsidRPr="002B65F7">
              <w:rPr>
                <w:b/>
                <w:bCs/>
              </w:rPr>
              <w:t>Dose recommandée d’</w:t>
            </w:r>
            <w:r w:rsidR="0071390F" w:rsidRPr="002B65F7">
              <w:rPr>
                <w:b/>
                <w:bCs/>
              </w:rPr>
              <w:t>ustekinumab</w:t>
            </w:r>
          </w:p>
        </w:tc>
        <w:tc>
          <w:tcPr>
            <w:tcW w:w="1490" w:type="pct"/>
          </w:tcPr>
          <w:p w14:paraId="03B58315" w14:textId="5D285C98" w:rsidR="00092F83" w:rsidRPr="002B65F7" w:rsidRDefault="00C31740" w:rsidP="00496255">
            <w:pPr>
              <w:widowControl/>
              <w:jc w:val="center"/>
              <w:rPr>
                <w:b/>
                <w:bCs/>
              </w:rPr>
            </w:pPr>
            <w:r w:rsidRPr="002B65F7">
              <w:rPr>
                <w:b/>
                <w:bCs/>
              </w:rPr>
              <w:t>Dose recommandée d’</w:t>
            </w:r>
            <w:r w:rsidR="0071390F" w:rsidRPr="002B65F7">
              <w:rPr>
                <w:b/>
                <w:bCs/>
              </w:rPr>
              <w:t>ustekinumab</w:t>
            </w:r>
          </w:p>
        </w:tc>
      </w:tr>
      <w:tr w:rsidR="00092F83" w:rsidRPr="002B65F7" w14:paraId="03B5831B" w14:textId="77777777" w:rsidTr="00621357">
        <w:trPr>
          <w:cantSplit/>
          <w:trHeight w:val="251"/>
          <w:tblHeader/>
        </w:trPr>
        <w:tc>
          <w:tcPr>
            <w:tcW w:w="1314" w:type="pct"/>
            <w:vMerge/>
            <w:tcBorders>
              <w:top w:val="nil"/>
            </w:tcBorders>
          </w:tcPr>
          <w:p w14:paraId="03B58317" w14:textId="77777777" w:rsidR="00092F83" w:rsidRPr="002B65F7" w:rsidRDefault="00092F83" w:rsidP="00496255">
            <w:pPr>
              <w:widowControl/>
            </w:pPr>
          </w:p>
        </w:tc>
        <w:tc>
          <w:tcPr>
            <w:tcW w:w="863" w:type="pct"/>
          </w:tcPr>
          <w:p w14:paraId="03B58318" w14:textId="77777777" w:rsidR="00092F83" w:rsidRPr="002B65F7" w:rsidRDefault="00C31740" w:rsidP="00496255">
            <w:pPr>
              <w:widowControl/>
              <w:jc w:val="center"/>
            </w:pPr>
            <w:r w:rsidRPr="002B65F7">
              <w:t>N (%)</w:t>
            </w:r>
          </w:p>
        </w:tc>
        <w:tc>
          <w:tcPr>
            <w:tcW w:w="1333" w:type="pct"/>
          </w:tcPr>
          <w:p w14:paraId="03B58319" w14:textId="77777777" w:rsidR="00092F83" w:rsidRPr="002B65F7" w:rsidRDefault="00C31740" w:rsidP="00496255">
            <w:pPr>
              <w:widowControl/>
              <w:jc w:val="center"/>
            </w:pPr>
            <w:r w:rsidRPr="002B65F7">
              <w:t>N (%)</w:t>
            </w:r>
          </w:p>
        </w:tc>
        <w:tc>
          <w:tcPr>
            <w:tcW w:w="1490" w:type="pct"/>
          </w:tcPr>
          <w:p w14:paraId="03B5831A" w14:textId="77777777" w:rsidR="00092F83" w:rsidRPr="002B65F7" w:rsidRDefault="00C31740" w:rsidP="00496255">
            <w:pPr>
              <w:widowControl/>
              <w:jc w:val="center"/>
            </w:pPr>
            <w:r w:rsidRPr="002B65F7">
              <w:t>N (%)</w:t>
            </w:r>
          </w:p>
        </w:tc>
      </w:tr>
      <w:tr w:rsidR="00092F83" w:rsidRPr="002B65F7" w14:paraId="03B58320" w14:textId="77777777" w:rsidTr="00621357">
        <w:trPr>
          <w:cantSplit/>
          <w:trHeight w:val="254"/>
        </w:trPr>
        <w:tc>
          <w:tcPr>
            <w:tcW w:w="1314" w:type="pct"/>
          </w:tcPr>
          <w:p w14:paraId="03B5831C" w14:textId="77777777" w:rsidR="00092F83" w:rsidRPr="002B65F7" w:rsidRDefault="00C31740" w:rsidP="00496255">
            <w:pPr>
              <w:widowControl/>
            </w:pPr>
            <w:r w:rsidRPr="002B65F7">
              <w:t>Nombre de patients randomisés</w:t>
            </w:r>
          </w:p>
        </w:tc>
        <w:tc>
          <w:tcPr>
            <w:tcW w:w="863" w:type="pct"/>
          </w:tcPr>
          <w:p w14:paraId="03B5831D" w14:textId="77777777" w:rsidR="00092F83" w:rsidRPr="002B65F7" w:rsidRDefault="00C31740" w:rsidP="00496255">
            <w:pPr>
              <w:widowControl/>
              <w:jc w:val="center"/>
            </w:pPr>
            <w:r w:rsidRPr="002B65F7">
              <w:t>37</w:t>
            </w:r>
          </w:p>
        </w:tc>
        <w:tc>
          <w:tcPr>
            <w:tcW w:w="1333" w:type="pct"/>
          </w:tcPr>
          <w:p w14:paraId="03B5831E" w14:textId="77777777" w:rsidR="00092F83" w:rsidRPr="002B65F7" w:rsidRDefault="00C31740" w:rsidP="00496255">
            <w:pPr>
              <w:widowControl/>
              <w:jc w:val="center"/>
            </w:pPr>
            <w:r w:rsidRPr="002B65F7">
              <w:t>36</w:t>
            </w:r>
          </w:p>
        </w:tc>
        <w:tc>
          <w:tcPr>
            <w:tcW w:w="1490" w:type="pct"/>
          </w:tcPr>
          <w:p w14:paraId="03B5831F" w14:textId="77777777" w:rsidR="00092F83" w:rsidRPr="002B65F7" w:rsidRDefault="00C31740" w:rsidP="00496255">
            <w:pPr>
              <w:widowControl/>
              <w:jc w:val="center"/>
            </w:pPr>
            <w:r w:rsidRPr="002B65F7">
              <w:t>35</w:t>
            </w:r>
          </w:p>
        </w:tc>
      </w:tr>
      <w:tr w:rsidR="00092F83" w:rsidRPr="002B65F7" w14:paraId="03B58322" w14:textId="77777777" w:rsidTr="00621357">
        <w:trPr>
          <w:cantSplit/>
          <w:trHeight w:val="251"/>
        </w:trPr>
        <w:tc>
          <w:tcPr>
            <w:tcW w:w="5000" w:type="pct"/>
            <w:gridSpan w:val="4"/>
          </w:tcPr>
          <w:p w14:paraId="03B58321" w14:textId="77777777" w:rsidR="00092F83" w:rsidRPr="002B65F7" w:rsidRDefault="00C31740" w:rsidP="00496255">
            <w:pPr>
              <w:widowControl/>
              <w:rPr>
                <w:b/>
                <w:bCs/>
              </w:rPr>
            </w:pPr>
            <w:r w:rsidRPr="002B65F7">
              <w:rPr>
                <w:b/>
                <w:bCs/>
              </w:rPr>
              <w:t>PGA</w:t>
            </w:r>
          </w:p>
        </w:tc>
      </w:tr>
      <w:tr w:rsidR="00092F83" w:rsidRPr="002B65F7" w14:paraId="03B58327" w14:textId="77777777" w:rsidTr="00621357">
        <w:trPr>
          <w:cantSplit/>
          <w:trHeight w:val="254"/>
        </w:trPr>
        <w:tc>
          <w:tcPr>
            <w:tcW w:w="1314" w:type="pct"/>
          </w:tcPr>
          <w:p w14:paraId="03B58323" w14:textId="77777777" w:rsidR="00092F83" w:rsidRPr="002B65F7" w:rsidRDefault="00C31740" w:rsidP="00496255">
            <w:pPr>
              <w:widowControl/>
            </w:pPr>
            <w:r w:rsidRPr="002B65F7">
              <w:t>PGA blanchi (0) ou minimal (1)</w:t>
            </w:r>
          </w:p>
        </w:tc>
        <w:tc>
          <w:tcPr>
            <w:tcW w:w="863" w:type="pct"/>
          </w:tcPr>
          <w:p w14:paraId="03B58324" w14:textId="77777777" w:rsidR="00092F83" w:rsidRPr="002B65F7" w:rsidRDefault="00C31740" w:rsidP="00496255">
            <w:pPr>
              <w:widowControl/>
              <w:jc w:val="center"/>
            </w:pPr>
            <w:r w:rsidRPr="002B65F7">
              <w:t>2 (5,4%)</w:t>
            </w:r>
          </w:p>
        </w:tc>
        <w:tc>
          <w:tcPr>
            <w:tcW w:w="1333" w:type="pct"/>
          </w:tcPr>
          <w:p w14:paraId="03B58325" w14:textId="77777777" w:rsidR="00092F83" w:rsidRPr="002B65F7" w:rsidRDefault="00C31740" w:rsidP="00496255">
            <w:pPr>
              <w:widowControl/>
              <w:jc w:val="center"/>
            </w:pPr>
            <w:r w:rsidRPr="002B65F7">
              <w:t>25 (69,4%)</w:t>
            </w:r>
            <w:r w:rsidRPr="002B65F7">
              <w:rPr>
                <w:vertAlign w:val="superscript"/>
              </w:rPr>
              <w:t>a</w:t>
            </w:r>
          </w:p>
        </w:tc>
        <w:tc>
          <w:tcPr>
            <w:tcW w:w="1490" w:type="pct"/>
          </w:tcPr>
          <w:p w14:paraId="03B58326" w14:textId="77777777" w:rsidR="00092F83" w:rsidRPr="002B65F7" w:rsidRDefault="00C31740" w:rsidP="00496255">
            <w:pPr>
              <w:widowControl/>
              <w:jc w:val="center"/>
            </w:pPr>
            <w:r w:rsidRPr="002B65F7">
              <w:t>20 (57,1%)</w:t>
            </w:r>
          </w:p>
        </w:tc>
      </w:tr>
      <w:tr w:rsidR="00092F83" w:rsidRPr="002B65F7" w14:paraId="03B5832C" w14:textId="77777777" w:rsidTr="00621357">
        <w:trPr>
          <w:cantSplit/>
          <w:trHeight w:val="254"/>
        </w:trPr>
        <w:tc>
          <w:tcPr>
            <w:tcW w:w="1314" w:type="pct"/>
          </w:tcPr>
          <w:p w14:paraId="03B58328" w14:textId="77777777" w:rsidR="00092F83" w:rsidRPr="002B65F7" w:rsidRDefault="00C31740" w:rsidP="00496255">
            <w:pPr>
              <w:widowControl/>
            </w:pPr>
            <w:r w:rsidRPr="002B65F7">
              <w:t>PGA blanchi (0)</w:t>
            </w:r>
          </w:p>
        </w:tc>
        <w:tc>
          <w:tcPr>
            <w:tcW w:w="863" w:type="pct"/>
          </w:tcPr>
          <w:p w14:paraId="03B58329" w14:textId="77777777" w:rsidR="00092F83" w:rsidRPr="002B65F7" w:rsidRDefault="00C31740" w:rsidP="00496255">
            <w:pPr>
              <w:widowControl/>
              <w:jc w:val="center"/>
            </w:pPr>
            <w:r w:rsidRPr="002B65F7">
              <w:t>1 (2,7%)</w:t>
            </w:r>
          </w:p>
        </w:tc>
        <w:tc>
          <w:tcPr>
            <w:tcW w:w="1333" w:type="pct"/>
          </w:tcPr>
          <w:p w14:paraId="03B5832A" w14:textId="77777777" w:rsidR="00092F83" w:rsidRPr="002B65F7" w:rsidRDefault="00C31740" w:rsidP="00496255">
            <w:pPr>
              <w:widowControl/>
              <w:jc w:val="center"/>
            </w:pPr>
            <w:r w:rsidRPr="002B65F7">
              <w:t>17 (47,2%)</w:t>
            </w:r>
            <w:r w:rsidRPr="002B65F7">
              <w:rPr>
                <w:vertAlign w:val="superscript"/>
              </w:rPr>
              <w:t>a</w:t>
            </w:r>
          </w:p>
        </w:tc>
        <w:tc>
          <w:tcPr>
            <w:tcW w:w="1490" w:type="pct"/>
          </w:tcPr>
          <w:p w14:paraId="03B5832B" w14:textId="77777777" w:rsidR="00092F83" w:rsidRPr="002B65F7" w:rsidRDefault="00C31740" w:rsidP="00496255">
            <w:pPr>
              <w:widowControl/>
              <w:jc w:val="center"/>
            </w:pPr>
            <w:r w:rsidRPr="002B65F7">
              <w:t>13 (37,1%)</w:t>
            </w:r>
          </w:p>
        </w:tc>
      </w:tr>
      <w:tr w:rsidR="00092F83" w:rsidRPr="002B65F7" w14:paraId="03B5832E" w14:textId="77777777" w:rsidTr="00621357">
        <w:trPr>
          <w:cantSplit/>
          <w:trHeight w:val="251"/>
        </w:trPr>
        <w:tc>
          <w:tcPr>
            <w:tcW w:w="5000" w:type="pct"/>
            <w:gridSpan w:val="4"/>
          </w:tcPr>
          <w:p w14:paraId="03B5832D" w14:textId="77777777" w:rsidR="00092F83" w:rsidRPr="002B65F7" w:rsidRDefault="00C31740" w:rsidP="00496255">
            <w:pPr>
              <w:widowControl/>
              <w:rPr>
                <w:b/>
                <w:bCs/>
              </w:rPr>
            </w:pPr>
            <w:r w:rsidRPr="002B65F7">
              <w:rPr>
                <w:b/>
                <w:bCs/>
              </w:rPr>
              <w:t>PASI</w:t>
            </w:r>
          </w:p>
        </w:tc>
      </w:tr>
      <w:tr w:rsidR="00092F83" w:rsidRPr="002B65F7" w14:paraId="03B58333" w14:textId="77777777" w:rsidTr="00621357">
        <w:trPr>
          <w:cantSplit/>
          <w:trHeight w:val="254"/>
        </w:trPr>
        <w:tc>
          <w:tcPr>
            <w:tcW w:w="1314" w:type="pct"/>
          </w:tcPr>
          <w:p w14:paraId="03B5832F" w14:textId="51F57EB9" w:rsidR="00092F83" w:rsidRPr="002B65F7" w:rsidRDefault="00C31740" w:rsidP="00496255">
            <w:pPr>
              <w:widowControl/>
            </w:pPr>
            <w:r w:rsidRPr="002B65F7">
              <w:t>Répondeurs PASI</w:t>
            </w:r>
            <w:r w:rsidR="0085066F" w:rsidRPr="002B65F7">
              <w:t> </w:t>
            </w:r>
            <w:r w:rsidRPr="002B65F7">
              <w:t>75</w:t>
            </w:r>
          </w:p>
        </w:tc>
        <w:tc>
          <w:tcPr>
            <w:tcW w:w="863" w:type="pct"/>
          </w:tcPr>
          <w:p w14:paraId="03B58330" w14:textId="77777777" w:rsidR="00092F83" w:rsidRPr="002B65F7" w:rsidRDefault="00C31740" w:rsidP="00496255">
            <w:pPr>
              <w:widowControl/>
              <w:jc w:val="center"/>
            </w:pPr>
            <w:r w:rsidRPr="002B65F7">
              <w:t>4 (10,8%)</w:t>
            </w:r>
          </w:p>
        </w:tc>
        <w:tc>
          <w:tcPr>
            <w:tcW w:w="1333" w:type="pct"/>
          </w:tcPr>
          <w:p w14:paraId="03B58331" w14:textId="77777777" w:rsidR="00092F83" w:rsidRPr="002B65F7" w:rsidRDefault="00C31740" w:rsidP="00496255">
            <w:pPr>
              <w:widowControl/>
              <w:jc w:val="center"/>
            </w:pPr>
            <w:r w:rsidRPr="002B65F7">
              <w:t>29 (80,6%)</w:t>
            </w:r>
            <w:r w:rsidRPr="002B65F7">
              <w:rPr>
                <w:vertAlign w:val="superscript"/>
              </w:rPr>
              <w:t>a</w:t>
            </w:r>
          </w:p>
        </w:tc>
        <w:tc>
          <w:tcPr>
            <w:tcW w:w="1490" w:type="pct"/>
          </w:tcPr>
          <w:p w14:paraId="03B58332" w14:textId="77777777" w:rsidR="00092F83" w:rsidRPr="002B65F7" w:rsidRDefault="00C31740" w:rsidP="00496255">
            <w:pPr>
              <w:widowControl/>
              <w:jc w:val="center"/>
            </w:pPr>
            <w:r w:rsidRPr="002B65F7">
              <w:t>28 (80,0%)</w:t>
            </w:r>
          </w:p>
        </w:tc>
      </w:tr>
      <w:tr w:rsidR="00092F83" w:rsidRPr="002B65F7" w14:paraId="03B58338" w14:textId="77777777" w:rsidTr="00621357">
        <w:trPr>
          <w:cantSplit/>
          <w:trHeight w:val="251"/>
        </w:trPr>
        <w:tc>
          <w:tcPr>
            <w:tcW w:w="1314" w:type="pct"/>
          </w:tcPr>
          <w:p w14:paraId="03B58334" w14:textId="16A66714" w:rsidR="00092F83" w:rsidRPr="002B65F7" w:rsidRDefault="00C31740" w:rsidP="00496255">
            <w:pPr>
              <w:widowControl/>
            </w:pPr>
            <w:r w:rsidRPr="002B65F7">
              <w:t>Répondeurs PASI</w:t>
            </w:r>
            <w:r w:rsidR="0085066F" w:rsidRPr="002B65F7">
              <w:t> </w:t>
            </w:r>
            <w:r w:rsidRPr="002B65F7">
              <w:t>90</w:t>
            </w:r>
          </w:p>
        </w:tc>
        <w:tc>
          <w:tcPr>
            <w:tcW w:w="863" w:type="pct"/>
          </w:tcPr>
          <w:p w14:paraId="03B58335" w14:textId="77777777" w:rsidR="00092F83" w:rsidRPr="002B65F7" w:rsidRDefault="00C31740" w:rsidP="00496255">
            <w:pPr>
              <w:widowControl/>
              <w:jc w:val="center"/>
            </w:pPr>
            <w:r w:rsidRPr="002B65F7">
              <w:t>2 (5,4%)</w:t>
            </w:r>
          </w:p>
        </w:tc>
        <w:tc>
          <w:tcPr>
            <w:tcW w:w="1333" w:type="pct"/>
          </w:tcPr>
          <w:p w14:paraId="03B58336" w14:textId="77777777" w:rsidR="00092F83" w:rsidRPr="002B65F7" w:rsidRDefault="00C31740" w:rsidP="00496255">
            <w:pPr>
              <w:widowControl/>
              <w:jc w:val="center"/>
            </w:pPr>
            <w:r w:rsidRPr="002B65F7">
              <w:t>22 (61,1%)</w:t>
            </w:r>
            <w:r w:rsidRPr="002B65F7">
              <w:rPr>
                <w:vertAlign w:val="superscript"/>
              </w:rPr>
              <w:t>a</w:t>
            </w:r>
          </w:p>
        </w:tc>
        <w:tc>
          <w:tcPr>
            <w:tcW w:w="1490" w:type="pct"/>
          </w:tcPr>
          <w:p w14:paraId="03B58337" w14:textId="77777777" w:rsidR="00092F83" w:rsidRPr="002B65F7" w:rsidRDefault="00C31740" w:rsidP="00496255">
            <w:pPr>
              <w:widowControl/>
              <w:jc w:val="center"/>
            </w:pPr>
            <w:r w:rsidRPr="002B65F7">
              <w:t>23 (65,7%)</w:t>
            </w:r>
          </w:p>
        </w:tc>
      </w:tr>
      <w:tr w:rsidR="00092F83" w:rsidRPr="002B65F7" w14:paraId="03B5833D" w14:textId="77777777" w:rsidTr="00621357">
        <w:trPr>
          <w:cantSplit/>
          <w:trHeight w:val="254"/>
        </w:trPr>
        <w:tc>
          <w:tcPr>
            <w:tcW w:w="1314" w:type="pct"/>
          </w:tcPr>
          <w:p w14:paraId="03B58339" w14:textId="43A6C968" w:rsidR="00092F83" w:rsidRPr="002B65F7" w:rsidRDefault="00C31740" w:rsidP="00496255">
            <w:pPr>
              <w:widowControl/>
            </w:pPr>
            <w:r w:rsidRPr="002B65F7">
              <w:t>Répondeurs PASI</w:t>
            </w:r>
            <w:r w:rsidR="0085066F" w:rsidRPr="002B65F7">
              <w:t> </w:t>
            </w:r>
            <w:r w:rsidRPr="002B65F7">
              <w:t>100</w:t>
            </w:r>
          </w:p>
        </w:tc>
        <w:tc>
          <w:tcPr>
            <w:tcW w:w="863" w:type="pct"/>
          </w:tcPr>
          <w:p w14:paraId="03B5833A" w14:textId="77777777" w:rsidR="00092F83" w:rsidRPr="002B65F7" w:rsidRDefault="00C31740" w:rsidP="00496255">
            <w:pPr>
              <w:widowControl/>
              <w:jc w:val="center"/>
            </w:pPr>
            <w:r w:rsidRPr="002B65F7">
              <w:t>1 (2,7%)</w:t>
            </w:r>
          </w:p>
        </w:tc>
        <w:tc>
          <w:tcPr>
            <w:tcW w:w="1333" w:type="pct"/>
          </w:tcPr>
          <w:p w14:paraId="03B5833B" w14:textId="77777777" w:rsidR="00092F83" w:rsidRPr="002B65F7" w:rsidRDefault="00C31740" w:rsidP="00496255">
            <w:pPr>
              <w:widowControl/>
              <w:jc w:val="center"/>
            </w:pPr>
            <w:r w:rsidRPr="002B65F7">
              <w:t>14 (38,9%)</w:t>
            </w:r>
            <w:r w:rsidRPr="002B65F7">
              <w:rPr>
                <w:vertAlign w:val="superscript"/>
              </w:rPr>
              <w:t>a</w:t>
            </w:r>
          </w:p>
        </w:tc>
        <w:tc>
          <w:tcPr>
            <w:tcW w:w="1490" w:type="pct"/>
          </w:tcPr>
          <w:p w14:paraId="03B5833C" w14:textId="77777777" w:rsidR="00092F83" w:rsidRPr="002B65F7" w:rsidRDefault="00C31740" w:rsidP="00496255">
            <w:pPr>
              <w:widowControl/>
              <w:jc w:val="center"/>
            </w:pPr>
            <w:r w:rsidRPr="002B65F7">
              <w:t>13 (37,1%)</w:t>
            </w:r>
          </w:p>
        </w:tc>
      </w:tr>
      <w:tr w:rsidR="00092F83" w:rsidRPr="002B65F7" w14:paraId="03B5833F" w14:textId="77777777" w:rsidTr="00621357">
        <w:trPr>
          <w:cantSplit/>
          <w:trHeight w:val="251"/>
        </w:trPr>
        <w:tc>
          <w:tcPr>
            <w:tcW w:w="5000" w:type="pct"/>
            <w:gridSpan w:val="4"/>
          </w:tcPr>
          <w:p w14:paraId="03B5833E" w14:textId="77777777" w:rsidR="00092F83" w:rsidRPr="002B65F7" w:rsidRDefault="00C31740" w:rsidP="00496255">
            <w:pPr>
              <w:widowControl/>
              <w:rPr>
                <w:b/>
                <w:bCs/>
              </w:rPr>
            </w:pPr>
            <w:r w:rsidRPr="002B65F7">
              <w:rPr>
                <w:b/>
                <w:bCs/>
              </w:rPr>
              <w:t>CDLQI</w:t>
            </w:r>
          </w:p>
        </w:tc>
      </w:tr>
      <w:tr w:rsidR="00092F83" w:rsidRPr="002B65F7" w14:paraId="03B58344" w14:textId="77777777" w:rsidTr="00621357">
        <w:trPr>
          <w:cantSplit/>
          <w:trHeight w:val="253"/>
        </w:trPr>
        <w:tc>
          <w:tcPr>
            <w:tcW w:w="1314" w:type="pct"/>
          </w:tcPr>
          <w:p w14:paraId="03B58340" w14:textId="77777777" w:rsidR="00092F83" w:rsidRPr="002B65F7" w:rsidRDefault="00C31740" w:rsidP="00496255">
            <w:pPr>
              <w:widowControl/>
            </w:pPr>
            <w:r w:rsidRPr="002B65F7">
              <w:t>CDLQI de 0 ou 1</w:t>
            </w:r>
            <w:r w:rsidRPr="002B65F7">
              <w:rPr>
                <w:vertAlign w:val="superscript"/>
              </w:rPr>
              <w:t>b</w:t>
            </w:r>
          </w:p>
        </w:tc>
        <w:tc>
          <w:tcPr>
            <w:tcW w:w="863" w:type="pct"/>
          </w:tcPr>
          <w:p w14:paraId="03B58341" w14:textId="77777777" w:rsidR="00092F83" w:rsidRPr="002B65F7" w:rsidRDefault="00C31740" w:rsidP="00496255">
            <w:pPr>
              <w:widowControl/>
              <w:jc w:val="center"/>
            </w:pPr>
            <w:r w:rsidRPr="002B65F7">
              <w:t>6 (16,2%)</w:t>
            </w:r>
          </w:p>
        </w:tc>
        <w:tc>
          <w:tcPr>
            <w:tcW w:w="1333" w:type="pct"/>
          </w:tcPr>
          <w:p w14:paraId="03B58342" w14:textId="49905B91" w:rsidR="00092F83" w:rsidRPr="002B65F7" w:rsidRDefault="00C31740" w:rsidP="00496255">
            <w:pPr>
              <w:widowControl/>
              <w:jc w:val="center"/>
            </w:pPr>
            <w:r w:rsidRPr="002B65F7">
              <w:t>18 (50,0%)</w:t>
            </w:r>
            <w:r w:rsidRPr="002B65F7">
              <w:rPr>
                <w:vertAlign w:val="superscript"/>
              </w:rPr>
              <w:t>c</w:t>
            </w:r>
          </w:p>
        </w:tc>
        <w:tc>
          <w:tcPr>
            <w:tcW w:w="1490" w:type="pct"/>
          </w:tcPr>
          <w:p w14:paraId="03B58343" w14:textId="77777777" w:rsidR="00092F83" w:rsidRPr="002B65F7" w:rsidRDefault="00C31740" w:rsidP="00496255">
            <w:pPr>
              <w:widowControl/>
              <w:jc w:val="center"/>
            </w:pPr>
            <w:r w:rsidRPr="002B65F7">
              <w:t>20 (57,1%)</w:t>
            </w:r>
          </w:p>
        </w:tc>
      </w:tr>
      <w:tr w:rsidR="00092F83" w:rsidRPr="002B65F7" w14:paraId="03B58346" w14:textId="77777777" w:rsidTr="00621357">
        <w:trPr>
          <w:cantSplit/>
          <w:trHeight w:val="254"/>
        </w:trPr>
        <w:tc>
          <w:tcPr>
            <w:tcW w:w="5000" w:type="pct"/>
            <w:gridSpan w:val="4"/>
          </w:tcPr>
          <w:p w14:paraId="03B58345" w14:textId="77777777" w:rsidR="00092F83" w:rsidRPr="002B65F7" w:rsidRDefault="00C31740" w:rsidP="00E82841">
            <w:pPr>
              <w:keepNext/>
              <w:keepLines/>
              <w:widowControl/>
              <w:rPr>
                <w:b/>
                <w:bCs/>
              </w:rPr>
            </w:pPr>
            <w:r w:rsidRPr="002B65F7">
              <w:rPr>
                <w:b/>
                <w:bCs/>
              </w:rPr>
              <w:t>PedsQL</w:t>
            </w:r>
          </w:p>
        </w:tc>
      </w:tr>
      <w:tr w:rsidR="00092F83" w:rsidRPr="002B65F7" w14:paraId="03B5834C" w14:textId="77777777" w:rsidTr="00621357">
        <w:trPr>
          <w:cantSplit/>
          <w:trHeight w:val="567"/>
        </w:trPr>
        <w:tc>
          <w:tcPr>
            <w:tcW w:w="1314" w:type="pct"/>
          </w:tcPr>
          <w:p w14:paraId="03B58348" w14:textId="7B6B2EDF" w:rsidR="00092F83" w:rsidRPr="002B65F7" w:rsidRDefault="00C31740" w:rsidP="00496255">
            <w:pPr>
              <w:widowControl/>
            </w:pPr>
            <w:r w:rsidRPr="002B65F7">
              <w:t>Variation par rapport à l’inclusion</w:t>
            </w:r>
            <w:r w:rsidRPr="002B65F7">
              <w:rPr>
                <w:vertAlign w:val="superscript"/>
              </w:rPr>
              <w:t>d</w:t>
            </w:r>
            <w:r w:rsidR="0085066F" w:rsidRPr="002B65F7">
              <w:t xml:space="preserve"> </w:t>
            </w:r>
            <w:r w:rsidRPr="002B65F7">
              <w:t>Moyenne (ET)</w:t>
            </w:r>
          </w:p>
        </w:tc>
        <w:tc>
          <w:tcPr>
            <w:tcW w:w="863" w:type="pct"/>
          </w:tcPr>
          <w:p w14:paraId="03B58349" w14:textId="77777777" w:rsidR="00092F83" w:rsidRPr="002B65F7" w:rsidRDefault="00C31740" w:rsidP="00496255">
            <w:pPr>
              <w:widowControl/>
              <w:jc w:val="center"/>
            </w:pPr>
            <w:r w:rsidRPr="002B65F7">
              <w:t>3,35 (10,04)</w:t>
            </w:r>
          </w:p>
        </w:tc>
        <w:tc>
          <w:tcPr>
            <w:tcW w:w="1333" w:type="pct"/>
          </w:tcPr>
          <w:p w14:paraId="03B5834A" w14:textId="77777777" w:rsidR="00092F83" w:rsidRPr="002B65F7" w:rsidRDefault="00C31740" w:rsidP="00496255">
            <w:pPr>
              <w:widowControl/>
              <w:jc w:val="center"/>
            </w:pPr>
            <w:r w:rsidRPr="002B65F7">
              <w:t>8,03 (10,44)</w:t>
            </w:r>
            <w:r w:rsidRPr="002B65F7">
              <w:rPr>
                <w:vertAlign w:val="superscript"/>
              </w:rPr>
              <w:t>e</w:t>
            </w:r>
          </w:p>
        </w:tc>
        <w:tc>
          <w:tcPr>
            <w:tcW w:w="1490" w:type="pct"/>
          </w:tcPr>
          <w:p w14:paraId="03B5834B" w14:textId="77777777" w:rsidR="00092F83" w:rsidRPr="002B65F7" w:rsidRDefault="00C31740" w:rsidP="00496255">
            <w:pPr>
              <w:widowControl/>
              <w:jc w:val="center"/>
            </w:pPr>
            <w:r w:rsidRPr="002B65F7">
              <w:t>7,26 (10,92)</w:t>
            </w:r>
          </w:p>
        </w:tc>
      </w:tr>
    </w:tbl>
    <w:p w14:paraId="03B5834D" w14:textId="0E320FA6" w:rsidR="00092F83" w:rsidRPr="002B65F7" w:rsidRDefault="00C31740" w:rsidP="00496255">
      <w:pPr>
        <w:widowControl/>
        <w:rPr>
          <w:sz w:val="20"/>
          <w:szCs w:val="20"/>
        </w:rPr>
      </w:pPr>
      <w:r w:rsidRPr="002B65F7">
        <w:rPr>
          <w:sz w:val="20"/>
          <w:szCs w:val="20"/>
          <w:vertAlign w:val="superscript"/>
        </w:rPr>
        <w:t>a</w:t>
      </w:r>
      <w:r w:rsidR="00957F54" w:rsidRPr="002B65F7">
        <w:rPr>
          <w:sz w:val="20"/>
          <w:szCs w:val="20"/>
        </w:rPr>
        <w:t xml:space="preserve"> </w:t>
      </w:r>
      <w:r w:rsidRPr="002B65F7">
        <w:rPr>
          <w:sz w:val="20"/>
          <w:szCs w:val="20"/>
        </w:rPr>
        <w:t>p</w:t>
      </w:r>
      <w:r w:rsidR="00957F54" w:rsidRPr="002B65F7">
        <w:rPr>
          <w:sz w:val="20"/>
          <w:szCs w:val="20"/>
        </w:rPr>
        <w:t> </w:t>
      </w:r>
      <w:r w:rsidRPr="002B65F7">
        <w:rPr>
          <w:sz w:val="20"/>
          <w:szCs w:val="20"/>
        </w:rPr>
        <w:t>&lt;</w:t>
      </w:r>
      <w:r w:rsidR="00957F54" w:rsidRPr="002B65F7">
        <w:rPr>
          <w:sz w:val="20"/>
          <w:szCs w:val="20"/>
        </w:rPr>
        <w:t> </w:t>
      </w:r>
      <w:r w:rsidRPr="002B65F7">
        <w:rPr>
          <w:sz w:val="20"/>
          <w:szCs w:val="20"/>
        </w:rPr>
        <w:t>0,001</w:t>
      </w:r>
    </w:p>
    <w:p w14:paraId="03B5834E" w14:textId="6666836F" w:rsidR="00092F83" w:rsidRPr="002B65F7" w:rsidRDefault="00957F54" w:rsidP="00496255">
      <w:pPr>
        <w:widowControl/>
        <w:ind w:left="170" w:hanging="170"/>
        <w:rPr>
          <w:sz w:val="20"/>
          <w:szCs w:val="20"/>
        </w:rPr>
      </w:pPr>
      <w:r w:rsidRPr="002B65F7">
        <w:rPr>
          <w:sz w:val="20"/>
          <w:szCs w:val="20"/>
          <w:vertAlign w:val="superscript"/>
        </w:rPr>
        <w:t>b</w:t>
      </w:r>
      <w:r w:rsidRPr="002B65F7">
        <w:rPr>
          <w:sz w:val="20"/>
          <w:szCs w:val="20"/>
        </w:rPr>
        <w:t xml:space="preserve"> </w:t>
      </w:r>
      <w:r w:rsidR="00C31740" w:rsidRPr="002B65F7">
        <w:rPr>
          <w:sz w:val="20"/>
          <w:szCs w:val="20"/>
        </w:rPr>
        <w:t>CDLQI : le CDLQI est un score utilisé en dermatologie pour évaluer l’impact d’une atteinte cutanée sur la qualité de vie liée à la santé dans la population pédiatrique. Un score CDLQI de</w:t>
      </w:r>
      <w:r w:rsidR="0058434A" w:rsidRPr="002B65F7">
        <w:rPr>
          <w:sz w:val="20"/>
          <w:szCs w:val="20"/>
        </w:rPr>
        <w:t> </w:t>
      </w:r>
      <w:r w:rsidR="00C31740" w:rsidRPr="002B65F7">
        <w:rPr>
          <w:sz w:val="20"/>
          <w:szCs w:val="20"/>
        </w:rPr>
        <w:t>0 ou 1</w:t>
      </w:r>
      <w:r w:rsidR="0058434A" w:rsidRPr="002B65F7">
        <w:rPr>
          <w:sz w:val="20"/>
          <w:szCs w:val="20"/>
        </w:rPr>
        <w:t> </w:t>
      </w:r>
      <w:r w:rsidR="00C31740" w:rsidRPr="002B65F7">
        <w:rPr>
          <w:sz w:val="20"/>
          <w:szCs w:val="20"/>
        </w:rPr>
        <w:t>indique l’absence d’impact sur la qualité de vie de l’enfant.</w:t>
      </w:r>
    </w:p>
    <w:p w14:paraId="03B5834F" w14:textId="7C8D26D0" w:rsidR="00092F83" w:rsidRPr="002B65F7" w:rsidRDefault="00957F54" w:rsidP="00496255">
      <w:pPr>
        <w:widowControl/>
        <w:rPr>
          <w:sz w:val="20"/>
          <w:szCs w:val="20"/>
        </w:rPr>
      </w:pPr>
      <w:r w:rsidRPr="002B65F7">
        <w:rPr>
          <w:sz w:val="20"/>
          <w:szCs w:val="20"/>
          <w:vertAlign w:val="superscript"/>
        </w:rPr>
        <w:t>c</w:t>
      </w:r>
      <w:r w:rsidRPr="002B65F7">
        <w:rPr>
          <w:sz w:val="20"/>
          <w:szCs w:val="20"/>
        </w:rPr>
        <w:t xml:space="preserve"> </w:t>
      </w:r>
      <w:r w:rsidR="00C31740" w:rsidRPr="002B65F7">
        <w:rPr>
          <w:sz w:val="20"/>
          <w:szCs w:val="20"/>
        </w:rPr>
        <w:t>p</w:t>
      </w:r>
      <w:r w:rsidRPr="002B65F7">
        <w:rPr>
          <w:sz w:val="20"/>
          <w:szCs w:val="20"/>
        </w:rPr>
        <w:t> </w:t>
      </w:r>
      <w:r w:rsidR="00C31740" w:rsidRPr="002B65F7">
        <w:rPr>
          <w:sz w:val="20"/>
          <w:szCs w:val="20"/>
        </w:rPr>
        <w:t>=</w:t>
      </w:r>
      <w:r w:rsidRPr="002B65F7">
        <w:rPr>
          <w:sz w:val="20"/>
          <w:szCs w:val="20"/>
        </w:rPr>
        <w:t> </w:t>
      </w:r>
      <w:r w:rsidR="00C31740" w:rsidRPr="002B65F7">
        <w:rPr>
          <w:sz w:val="20"/>
          <w:szCs w:val="20"/>
        </w:rPr>
        <w:t>0,002</w:t>
      </w:r>
    </w:p>
    <w:p w14:paraId="03B58350" w14:textId="1C67437C" w:rsidR="00092F83" w:rsidRPr="002B65F7" w:rsidRDefault="00957F54" w:rsidP="00496255">
      <w:pPr>
        <w:widowControl/>
        <w:ind w:left="57" w:hanging="57"/>
        <w:rPr>
          <w:sz w:val="20"/>
          <w:szCs w:val="20"/>
        </w:rPr>
      </w:pPr>
      <w:r w:rsidRPr="002B65F7">
        <w:rPr>
          <w:sz w:val="20"/>
          <w:szCs w:val="20"/>
          <w:vertAlign w:val="superscript"/>
        </w:rPr>
        <w:t>d</w:t>
      </w:r>
      <w:r w:rsidRPr="002B65F7">
        <w:rPr>
          <w:sz w:val="20"/>
          <w:szCs w:val="20"/>
        </w:rPr>
        <w:t xml:space="preserve"> </w:t>
      </w:r>
      <w:r w:rsidR="00C31740" w:rsidRPr="002B65F7">
        <w:rPr>
          <w:sz w:val="20"/>
          <w:szCs w:val="20"/>
        </w:rPr>
        <w:t>PedsQL : le PedsQL est une mesure générale de qualité de vie liée à la santé développée pour les populations d’enfants et d’adolescents. Pour le groupe placebo à la semaine 12, N</w:t>
      </w:r>
      <w:r w:rsidRPr="002B65F7">
        <w:rPr>
          <w:sz w:val="20"/>
          <w:szCs w:val="20"/>
        </w:rPr>
        <w:t> </w:t>
      </w:r>
      <w:r w:rsidR="00C31740" w:rsidRPr="002B65F7">
        <w:rPr>
          <w:sz w:val="20"/>
          <w:szCs w:val="20"/>
        </w:rPr>
        <w:t>=</w:t>
      </w:r>
      <w:r w:rsidRPr="002B65F7">
        <w:rPr>
          <w:sz w:val="20"/>
          <w:szCs w:val="20"/>
        </w:rPr>
        <w:t> </w:t>
      </w:r>
      <w:r w:rsidR="00C31740" w:rsidRPr="002B65F7">
        <w:rPr>
          <w:sz w:val="20"/>
          <w:szCs w:val="20"/>
        </w:rPr>
        <w:t>36.</w:t>
      </w:r>
    </w:p>
    <w:p w14:paraId="03B58351" w14:textId="38A9F6DA" w:rsidR="00092F83" w:rsidRPr="002B65F7" w:rsidRDefault="00957F54" w:rsidP="00496255">
      <w:pPr>
        <w:widowControl/>
        <w:rPr>
          <w:sz w:val="20"/>
          <w:szCs w:val="20"/>
        </w:rPr>
      </w:pPr>
      <w:r w:rsidRPr="002B65F7">
        <w:rPr>
          <w:sz w:val="20"/>
          <w:szCs w:val="20"/>
          <w:vertAlign w:val="superscript"/>
        </w:rPr>
        <w:t>e</w:t>
      </w:r>
      <w:r w:rsidRPr="002B65F7">
        <w:rPr>
          <w:sz w:val="20"/>
          <w:szCs w:val="20"/>
        </w:rPr>
        <w:t xml:space="preserve"> </w:t>
      </w:r>
      <w:r w:rsidR="00C31740" w:rsidRPr="002B65F7">
        <w:rPr>
          <w:sz w:val="20"/>
          <w:szCs w:val="20"/>
        </w:rPr>
        <w:t>p</w:t>
      </w:r>
      <w:r w:rsidR="0058434A" w:rsidRPr="002B65F7">
        <w:t> </w:t>
      </w:r>
      <w:r w:rsidR="00C31740" w:rsidRPr="002B65F7">
        <w:rPr>
          <w:sz w:val="20"/>
          <w:szCs w:val="20"/>
        </w:rPr>
        <w:t>=</w:t>
      </w:r>
      <w:r w:rsidR="0058434A" w:rsidRPr="002B65F7">
        <w:rPr>
          <w:sz w:val="20"/>
          <w:szCs w:val="20"/>
        </w:rPr>
        <w:t> </w:t>
      </w:r>
      <w:r w:rsidR="00C31740" w:rsidRPr="002B65F7">
        <w:rPr>
          <w:sz w:val="20"/>
          <w:szCs w:val="20"/>
        </w:rPr>
        <w:t>0,028</w:t>
      </w:r>
    </w:p>
    <w:p w14:paraId="03B58352" w14:textId="77777777" w:rsidR="00092F83" w:rsidRPr="002B65F7" w:rsidRDefault="00092F83" w:rsidP="00496255">
      <w:pPr>
        <w:widowControl/>
      </w:pPr>
    </w:p>
    <w:p w14:paraId="03B58353" w14:textId="1A16E4AF" w:rsidR="00092F83" w:rsidRPr="002B65F7" w:rsidRDefault="00C31740" w:rsidP="00496255">
      <w:pPr>
        <w:widowControl/>
      </w:pPr>
      <w:r w:rsidRPr="002B65F7">
        <w:t xml:space="preserve">Durant la phase contrôlée </w:t>
      </w:r>
      <w:r w:rsidRPr="002B65F7">
        <w:rPr>
          <w:i/>
          <w:iCs/>
        </w:rPr>
        <w:t>versus</w:t>
      </w:r>
      <w:r w:rsidRPr="002B65F7">
        <w:t xml:space="preserve"> placebo jusqu’à la semaine</w:t>
      </w:r>
      <w:r w:rsidR="00957F54" w:rsidRPr="002B65F7">
        <w:t> </w:t>
      </w:r>
      <w:r w:rsidRPr="002B65F7">
        <w:t>12, l’efficacité dans les groupes recevant la dose recommandée et la demi-dose recommandée était généralement comparable sur le critère primaire (69,4% et 67,6%</w:t>
      </w:r>
      <w:r w:rsidR="00401F09" w:rsidRPr="002B65F7">
        <w:t>,</w:t>
      </w:r>
      <w:r w:rsidRPr="002B65F7">
        <w:t xml:space="preserve"> respectivement) bien qu’il soit mis en évidence un effet-dose pour des critères d’efficacité plus difficiles à atteindre (par exemple, PGA blanchi (score</w:t>
      </w:r>
      <w:r w:rsidR="00957F54" w:rsidRPr="002B65F7">
        <w:t> </w:t>
      </w:r>
      <w:r w:rsidRPr="002B65F7">
        <w:t>0), PASI</w:t>
      </w:r>
      <w:r w:rsidR="00957F54" w:rsidRPr="002B65F7">
        <w:t> </w:t>
      </w:r>
      <w:r w:rsidRPr="002B65F7">
        <w:t>90). Au-delà de la semaine</w:t>
      </w:r>
      <w:r w:rsidR="00957F54" w:rsidRPr="002B65F7">
        <w:t> </w:t>
      </w:r>
      <w:r w:rsidRPr="002B65F7">
        <w:t xml:space="preserve">12, l’efficacité était généralement plus élevée et plus soutenue dans le groupe recevant la dose recommandée par rapport au groupe recevant la demi- dose recommandée. Dans ce dernier, une </w:t>
      </w:r>
      <w:r w:rsidRPr="002B65F7">
        <w:lastRenderedPageBreak/>
        <w:t>perte d’efficacité modeste a été plus fréquemment observée vers la fin de chacune des périodes d’administration de 12</w:t>
      </w:r>
      <w:r w:rsidR="00957F54" w:rsidRPr="002B65F7">
        <w:t> </w:t>
      </w:r>
      <w:r w:rsidRPr="002B65F7">
        <w:t>semaines. Le profil de sécurité de la dose recommandée et celui de la demi- dose recommandée étaient comparables.</w:t>
      </w:r>
    </w:p>
    <w:p w14:paraId="03B58354" w14:textId="77777777" w:rsidR="00092F83" w:rsidRPr="002B65F7" w:rsidRDefault="00092F83" w:rsidP="00496255">
      <w:pPr>
        <w:widowControl/>
      </w:pPr>
    </w:p>
    <w:p w14:paraId="03B58355" w14:textId="596300EF" w:rsidR="00092F83" w:rsidRPr="002B65F7" w:rsidRDefault="00C31740" w:rsidP="00496255">
      <w:pPr>
        <w:keepNext/>
        <w:widowControl/>
        <w:rPr>
          <w:i/>
          <w:iCs/>
        </w:rPr>
      </w:pPr>
      <w:r w:rsidRPr="002B65F7">
        <w:rPr>
          <w:i/>
          <w:iCs/>
        </w:rPr>
        <w:t>Enfants (6</w:t>
      </w:r>
      <w:r w:rsidR="00957F54" w:rsidRPr="002B65F7">
        <w:rPr>
          <w:i/>
          <w:iCs/>
        </w:rPr>
        <w:t> </w:t>
      </w:r>
      <w:r w:rsidRPr="002B65F7">
        <w:rPr>
          <w:i/>
          <w:iCs/>
        </w:rPr>
        <w:t>à 11</w:t>
      </w:r>
      <w:r w:rsidR="00957F54" w:rsidRPr="002B65F7">
        <w:rPr>
          <w:i/>
          <w:iCs/>
        </w:rPr>
        <w:t> </w:t>
      </w:r>
      <w:r w:rsidRPr="002B65F7">
        <w:rPr>
          <w:i/>
          <w:iCs/>
        </w:rPr>
        <w:t>ans)</w:t>
      </w:r>
    </w:p>
    <w:p w14:paraId="79BCD995" w14:textId="77777777" w:rsidR="00957F54" w:rsidRPr="002B65F7" w:rsidRDefault="00957F54" w:rsidP="00496255">
      <w:pPr>
        <w:keepNext/>
        <w:widowControl/>
        <w:rPr>
          <w:i/>
          <w:iCs/>
        </w:rPr>
      </w:pPr>
    </w:p>
    <w:p w14:paraId="03B58356" w14:textId="7CED6178" w:rsidR="00092F83" w:rsidRPr="002B65F7" w:rsidRDefault="00C31740" w:rsidP="00496255">
      <w:pPr>
        <w:widowControl/>
      </w:pPr>
      <w:r w:rsidRPr="002B65F7">
        <w:t>L’efficacité de l’</w:t>
      </w:r>
      <w:r w:rsidR="0071390F" w:rsidRPr="002B65F7">
        <w:t>ustekinumab</w:t>
      </w:r>
      <w:r w:rsidRPr="002B65F7">
        <w:t xml:space="preserve"> a été étudiée chez 44</w:t>
      </w:r>
      <w:r w:rsidR="00957F54" w:rsidRPr="002B65F7">
        <w:t> </w:t>
      </w:r>
      <w:r w:rsidRPr="002B65F7">
        <w:t>patients pédiatriques âgés de 6</w:t>
      </w:r>
      <w:r w:rsidR="00674213" w:rsidRPr="002B65F7">
        <w:t> </w:t>
      </w:r>
      <w:r w:rsidRPr="002B65F7">
        <w:t>à 11</w:t>
      </w:r>
      <w:r w:rsidR="00674213" w:rsidRPr="002B65F7">
        <w:t> </w:t>
      </w:r>
      <w:r w:rsidRPr="002B65F7">
        <w:t>ans présentant un psoriasis en plaques modéré à sévère dans le cadre d’une étude multicentrique de phase</w:t>
      </w:r>
      <w:r w:rsidR="00957F54" w:rsidRPr="002B65F7">
        <w:t> </w:t>
      </w:r>
      <w:r w:rsidRPr="002B65F7">
        <w:t>3, en ouvert, à bras unique (CADMUS Jr.). Les patients ont été traités à la dose recommandée d’</w:t>
      </w:r>
      <w:r w:rsidR="0071390F" w:rsidRPr="002B65F7">
        <w:t>ustekinumab</w:t>
      </w:r>
      <w:r w:rsidRPr="002B65F7">
        <w:t xml:space="preserve"> (voir rubrique</w:t>
      </w:r>
      <w:r w:rsidR="007C0E11" w:rsidRPr="002B65F7">
        <w:t> </w:t>
      </w:r>
      <w:r w:rsidRPr="002B65F7">
        <w:t>4.2 ; n</w:t>
      </w:r>
      <w:r w:rsidR="00957F54" w:rsidRPr="002B65F7">
        <w:t> </w:t>
      </w:r>
      <w:r w:rsidRPr="002B65F7">
        <w:t>=</w:t>
      </w:r>
      <w:r w:rsidR="00957F54" w:rsidRPr="002B65F7">
        <w:t> </w:t>
      </w:r>
      <w:r w:rsidRPr="002B65F7">
        <w:t>44) par injection sous-cutanée aux semaines</w:t>
      </w:r>
      <w:r w:rsidR="00674213" w:rsidRPr="002B65F7">
        <w:t> </w:t>
      </w:r>
      <w:r w:rsidRPr="002B65F7">
        <w:t>0 et</w:t>
      </w:r>
      <w:r w:rsidR="00674213" w:rsidRPr="002B65F7">
        <w:t> </w:t>
      </w:r>
      <w:r w:rsidRPr="002B65F7">
        <w:t>4, suivi d’une injection toutes les 12</w:t>
      </w:r>
      <w:r w:rsidR="00957F54" w:rsidRPr="002B65F7">
        <w:t> </w:t>
      </w:r>
      <w:r w:rsidRPr="002B65F7">
        <w:t>semaines (Q12S).</w:t>
      </w:r>
    </w:p>
    <w:p w14:paraId="5BB8FEBC" w14:textId="77777777" w:rsidR="007C0E11" w:rsidRPr="002B65F7" w:rsidRDefault="007C0E11" w:rsidP="00496255">
      <w:pPr>
        <w:widowControl/>
      </w:pPr>
    </w:p>
    <w:p w14:paraId="03B58357" w14:textId="44534F81" w:rsidR="00092F83" w:rsidRPr="002B65F7" w:rsidRDefault="00C31740" w:rsidP="00496255">
      <w:pPr>
        <w:widowControl/>
      </w:pPr>
      <w:r w:rsidRPr="002B65F7">
        <w:t>Les patients ayant un score PASI</w:t>
      </w:r>
      <w:r w:rsidR="00957F54" w:rsidRPr="002B65F7">
        <w:t> </w:t>
      </w:r>
      <w:r w:rsidRPr="002B65F7">
        <w:t>≥</w:t>
      </w:r>
      <w:r w:rsidR="00957F54" w:rsidRPr="002B65F7">
        <w:t> </w:t>
      </w:r>
      <w:r w:rsidRPr="002B65F7">
        <w:t>12, un score PGA</w:t>
      </w:r>
      <w:r w:rsidR="00957F54" w:rsidRPr="002B65F7">
        <w:t> </w:t>
      </w:r>
      <w:r w:rsidRPr="002B65F7">
        <w:t>≥</w:t>
      </w:r>
      <w:r w:rsidR="00957F54" w:rsidRPr="002B65F7">
        <w:t> </w:t>
      </w:r>
      <w:r w:rsidRPr="002B65F7">
        <w:t>3 et une surface corporelle atteinte (SCA) d’au moins 10%, et qui étaient candidats à un traitement systémique ou à la photothérapie, étaient éligibles pour l’étude. Environ 43% des patients avaient déjà été exposés à un traitement systémique conventionnel ou à la photothérapie. Environ 5% des patients avaient déjà été exposés à des agents biologiques.</w:t>
      </w:r>
    </w:p>
    <w:p w14:paraId="03B58358" w14:textId="77777777" w:rsidR="00092F83" w:rsidRPr="002B65F7" w:rsidRDefault="00092F83" w:rsidP="00496255">
      <w:pPr>
        <w:widowControl/>
      </w:pPr>
    </w:p>
    <w:p w14:paraId="03B5835B" w14:textId="7F616351" w:rsidR="00092F83" w:rsidRPr="002B65F7" w:rsidRDefault="00C31740" w:rsidP="00496255">
      <w:pPr>
        <w:widowControl/>
      </w:pPr>
      <w:r w:rsidRPr="002B65F7">
        <w:t>Le critère principal était la proportion de patients qui atteignaient un score PGA blanchi (0) ou minimal (1) à la semaine</w:t>
      </w:r>
      <w:r w:rsidR="00674213" w:rsidRPr="002B65F7">
        <w:t> </w:t>
      </w:r>
      <w:r w:rsidRPr="002B65F7">
        <w:t>12. Les critères secondaires incluaient les réponses PASI</w:t>
      </w:r>
      <w:r w:rsidR="00957F54" w:rsidRPr="002B65F7">
        <w:t> </w:t>
      </w:r>
      <w:r w:rsidRPr="002B65F7">
        <w:t>75 et PASI</w:t>
      </w:r>
      <w:r w:rsidR="00957F54" w:rsidRPr="002B65F7">
        <w:t> </w:t>
      </w:r>
      <w:r w:rsidRPr="002B65F7">
        <w:t>90, et la variation par rapport à l’inclusion du score CDLQI (Children’s Dermatology Life Quality Index) à la</w:t>
      </w:r>
      <w:r w:rsidR="00957F54" w:rsidRPr="002B65F7">
        <w:t xml:space="preserve"> </w:t>
      </w:r>
      <w:r w:rsidRPr="002B65F7">
        <w:t>semaine</w:t>
      </w:r>
      <w:r w:rsidR="00957F54" w:rsidRPr="002B65F7">
        <w:t> </w:t>
      </w:r>
      <w:r w:rsidRPr="002B65F7">
        <w:t>12. À la semaine</w:t>
      </w:r>
      <w:r w:rsidR="00957F54" w:rsidRPr="002B65F7">
        <w:t> </w:t>
      </w:r>
      <w:r w:rsidRPr="002B65F7">
        <w:t xml:space="preserve">12, les patients traités par </w:t>
      </w:r>
      <w:r w:rsidR="0071390F" w:rsidRPr="002B65F7">
        <w:t>ustekinumab</w:t>
      </w:r>
      <w:r w:rsidRPr="002B65F7">
        <w:t xml:space="preserve"> présentaient une amélioration significativement supérieure de leur psoriasis et de leur qualité de vie liée à la santé (</w:t>
      </w:r>
      <w:r w:rsidR="00401F09" w:rsidRPr="002B65F7">
        <w:t>voir t</w:t>
      </w:r>
      <w:r w:rsidRPr="002B65F7">
        <w:t>ableau</w:t>
      </w:r>
      <w:r w:rsidR="00957F54" w:rsidRPr="002B65F7">
        <w:t> </w:t>
      </w:r>
      <w:r w:rsidRPr="002B65F7">
        <w:t>8).</w:t>
      </w:r>
    </w:p>
    <w:p w14:paraId="03B5835C" w14:textId="77777777" w:rsidR="00092F83" w:rsidRPr="002B65F7" w:rsidRDefault="00092F83" w:rsidP="00496255">
      <w:pPr>
        <w:widowControl/>
      </w:pPr>
    </w:p>
    <w:p w14:paraId="03B5835D" w14:textId="43303D53" w:rsidR="00092F83" w:rsidRPr="002B65F7" w:rsidRDefault="00C31740" w:rsidP="00496255">
      <w:pPr>
        <w:widowControl/>
      </w:pPr>
      <w:r w:rsidRPr="002B65F7">
        <w:t>L’efficacité a été suivie chez tous les patients pendant 52</w:t>
      </w:r>
      <w:r w:rsidR="00957F54" w:rsidRPr="002B65F7">
        <w:t> </w:t>
      </w:r>
      <w:r w:rsidRPr="002B65F7">
        <w:t>semaines après la première administration de l’agent étudié. La proportion de patients présentant un score PGA blanchi (0) ou minimal (1) à la semaine</w:t>
      </w:r>
      <w:r w:rsidR="00674213" w:rsidRPr="002B65F7">
        <w:t> </w:t>
      </w:r>
      <w:r w:rsidRPr="002B65F7">
        <w:t>12 était de 77,3%. L’efficacité (définie comme PGA</w:t>
      </w:r>
      <w:r w:rsidR="00674213" w:rsidRPr="002B65F7">
        <w:t> </w:t>
      </w:r>
      <w:r w:rsidRPr="002B65F7">
        <w:t>0 ou</w:t>
      </w:r>
      <w:r w:rsidR="00674213" w:rsidRPr="002B65F7">
        <w:t> </w:t>
      </w:r>
      <w:r w:rsidRPr="002B65F7">
        <w:t>1) était observée dès la première visite post-inclusion à la semaine 4 et la proportion de sujets ayant obtenu un score PGA de 0</w:t>
      </w:r>
      <w:r w:rsidR="00674213" w:rsidRPr="002B65F7">
        <w:t> </w:t>
      </w:r>
      <w:r w:rsidRPr="002B65F7">
        <w:t>ou</w:t>
      </w:r>
      <w:r w:rsidR="00674213" w:rsidRPr="002B65F7">
        <w:t> </w:t>
      </w:r>
      <w:r w:rsidRPr="002B65F7">
        <w:t>1 a augmenté jusqu’à la semaine</w:t>
      </w:r>
      <w:r w:rsidR="00674213" w:rsidRPr="002B65F7">
        <w:t> </w:t>
      </w:r>
      <w:r w:rsidRPr="002B65F7">
        <w:t>16, puis est restée relativement stable jusqu’à la semaine</w:t>
      </w:r>
      <w:r w:rsidR="00674213" w:rsidRPr="002B65F7">
        <w:t> </w:t>
      </w:r>
      <w:r w:rsidRPr="002B65F7">
        <w:t>52. Les améliorations des scores PGA, PASI et CDLQI se sont maintenues jusqu’à la semaine</w:t>
      </w:r>
      <w:r w:rsidR="00957F54" w:rsidRPr="002B65F7">
        <w:t> </w:t>
      </w:r>
      <w:r w:rsidRPr="002B65F7">
        <w:t>52 (</w:t>
      </w:r>
      <w:r w:rsidR="00401F09" w:rsidRPr="002B65F7">
        <w:t>voir t</w:t>
      </w:r>
      <w:r w:rsidRPr="002B65F7">
        <w:t>ableau</w:t>
      </w:r>
      <w:r w:rsidR="00957F54" w:rsidRPr="002B65F7">
        <w:t> </w:t>
      </w:r>
      <w:r w:rsidRPr="002B65F7">
        <w:t>8).</w:t>
      </w:r>
    </w:p>
    <w:p w14:paraId="03B5835E" w14:textId="77777777" w:rsidR="00092F83" w:rsidRPr="002B65F7" w:rsidRDefault="00092F83" w:rsidP="00496255">
      <w:pPr>
        <w:widowControl/>
      </w:pPr>
    </w:p>
    <w:p w14:paraId="03B5835F" w14:textId="2C3A7E34" w:rsidR="00092F83" w:rsidRPr="002B65F7" w:rsidRDefault="00C31740" w:rsidP="00496255">
      <w:pPr>
        <w:keepNext/>
        <w:keepLines/>
        <w:widowControl/>
        <w:rPr>
          <w:b/>
          <w:bCs/>
        </w:rPr>
      </w:pPr>
      <w:r w:rsidRPr="002B65F7">
        <w:rPr>
          <w:b/>
          <w:bCs/>
        </w:rPr>
        <w:t>Tableau</w:t>
      </w:r>
      <w:r w:rsidR="002C4AC6" w:rsidRPr="002B65F7">
        <w:rPr>
          <w:b/>
          <w:bCs/>
        </w:rPr>
        <w:t> </w:t>
      </w:r>
      <w:r w:rsidRPr="002B65F7">
        <w:rPr>
          <w:b/>
          <w:bCs/>
        </w:rPr>
        <w:t>8</w:t>
      </w:r>
      <w:r w:rsidR="00E745CE" w:rsidRPr="002B65F7">
        <w:rPr>
          <w:b/>
          <w:bCs/>
        </w:rPr>
        <w:t xml:space="preserve">. </w:t>
      </w:r>
      <w:r w:rsidRPr="002B65F7">
        <w:rPr>
          <w:b/>
          <w:bCs/>
        </w:rPr>
        <w:t>Résumé des critères primaires et secondaires aux semaines</w:t>
      </w:r>
      <w:r w:rsidR="00E745CE" w:rsidRPr="002B65F7">
        <w:rPr>
          <w:b/>
          <w:bCs/>
        </w:rPr>
        <w:t> </w:t>
      </w:r>
      <w:r w:rsidRPr="002B65F7">
        <w:rPr>
          <w:b/>
          <w:bCs/>
        </w:rPr>
        <w:t>12 et</w:t>
      </w:r>
      <w:r w:rsidR="00E745CE" w:rsidRPr="002B65F7">
        <w:rPr>
          <w:b/>
          <w:bCs/>
        </w:rPr>
        <w:t> </w:t>
      </w:r>
      <w:r w:rsidRPr="002B65F7">
        <w:rPr>
          <w:b/>
          <w:bCs/>
        </w:rPr>
        <w:t>52</w:t>
      </w:r>
    </w:p>
    <w:p w14:paraId="066D0E71" w14:textId="77777777" w:rsidR="00E745CE" w:rsidRPr="002B65F7" w:rsidRDefault="00E745CE" w:rsidP="00496255">
      <w:pPr>
        <w:keepNext/>
        <w:keepLines/>
        <w:widowControl/>
        <w:rPr>
          <w:b/>
          <w:bCs/>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1"/>
        <w:gridCol w:w="2840"/>
        <w:gridCol w:w="3110"/>
      </w:tblGrid>
      <w:tr w:rsidR="00092F83" w:rsidRPr="002B65F7" w14:paraId="03B58361" w14:textId="77777777" w:rsidTr="000238BD">
        <w:trPr>
          <w:cantSplit/>
          <w:trHeight w:val="254"/>
          <w:tblHeader/>
        </w:trPr>
        <w:tc>
          <w:tcPr>
            <w:tcW w:w="5000" w:type="pct"/>
            <w:gridSpan w:val="3"/>
          </w:tcPr>
          <w:p w14:paraId="03B58360" w14:textId="336D3D8D" w:rsidR="00092F83" w:rsidRPr="002B65F7" w:rsidRDefault="00C31740" w:rsidP="000238BD">
            <w:pPr>
              <w:widowControl/>
              <w:jc w:val="center"/>
              <w:rPr>
                <w:b/>
                <w:bCs/>
              </w:rPr>
            </w:pPr>
            <w:r w:rsidRPr="002B65F7">
              <w:rPr>
                <w:b/>
                <w:bCs/>
              </w:rPr>
              <w:t>Étude Psoriasis pédiatrique (CADMUS Jr.) (6</w:t>
            </w:r>
            <w:r w:rsidR="00E745CE" w:rsidRPr="002B65F7">
              <w:rPr>
                <w:b/>
                <w:bCs/>
              </w:rPr>
              <w:t> </w:t>
            </w:r>
            <w:r w:rsidRPr="002B65F7">
              <w:rPr>
                <w:b/>
                <w:bCs/>
              </w:rPr>
              <w:t>à 11</w:t>
            </w:r>
            <w:r w:rsidR="00E745CE" w:rsidRPr="002B65F7">
              <w:rPr>
                <w:b/>
                <w:bCs/>
              </w:rPr>
              <w:t> </w:t>
            </w:r>
            <w:r w:rsidRPr="002B65F7">
              <w:rPr>
                <w:b/>
                <w:bCs/>
              </w:rPr>
              <w:t>ans)</w:t>
            </w:r>
          </w:p>
        </w:tc>
      </w:tr>
      <w:tr w:rsidR="00092F83" w:rsidRPr="002B65F7" w14:paraId="03B58365" w14:textId="77777777" w:rsidTr="000238BD">
        <w:trPr>
          <w:cantSplit/>
          <w:trHeight w:val="412"/>
          <w:tblHeader/>
        </w:trPr>
        <w:tc>
          <w:tcPr>
            <w:tcW w:w="1717" w:type="pct"/>
            <w:vMerge w:val="restart"/>
          </w:tcPr>
          <w:p w14:paraId="03B58362" w14:textId="77777777" w:rsidR="00092F83" w:rsidRPr="002B65F7" w:rsidRDefault="00092F83" w:rsidP="000238BD">
            <w:pPr>
              <w:widowControl/>
            </w:pPr>
          </w:p>
        </w:tc>
        <w:tc>
          <w:tcPr>
            <w:tcW w:w="1567" w:type="pct"/>
            <w:vAlign w:val="center"/>
          </w:tcPr>
          <w:p w14:paraId="03B58363" w14:textId="09C53F04" w:rsidR="00092F83" w:rsidRPr="002B65F7" w:rsidRDefault="00C31740" w:rsidP="000238BD">
            <w:pPr>
              <w:widowControl/>
              <w:jc w:val="center"/>
              <w:rPr>
                <w:b/>
                <w:bCs/>
              </w:rPr>
            </w:pPr>
            <w:r w:rsidRPr="002B65F7">
              <w:rPr>
                <w:b/>
                <w:bCs/>
              </w:rPr>
              <w:t>Semaine</w:t>
            </w:r>
            <w:r w:rsidR="00E745CE" w:rsidRPr="002B65F7">
              <w:rPr>
                <w:b/>
                <w:bCs/>
              </w:rPr>
              <w:t> </w:t>
            </w:r>
            <w:r w:rsidRPr="002B65F7">
              <w:rPr>
                <w:b/>
                <w:bCs/>
              </w:rPr>
              <w:t>12</w:t>
            </w:r>
          </w:p>
        </w:tc>
        <w:tc>
          <w:tcPr>
            <w:tcW w:w="1717" w:type="pct"/>
            <w:vAlign w:val="center"/>
          </w:tcPr>
          <w:p w14:paraId="03B58364" w14:textId="35E22CCC" w:rsidR="00092F83" w:rsidRPr="002B65F7" w:rsidRDefault="00C31740" w:rsidP="000238BD">
            <w:pPr>
              <w:widowControl/>
              <w:jc w:val="center"/>
              <w:rPr>
                <w:b/>
                <w:bCs/>
              </w:rPr>
            </w:pPr>
            <w:r w:rsidRPr="002B65F7">
              <w:rPr>
                <w:b/>
                <w:bCs/>
              </w:rPr>
              <w:t>Semaine</w:t>
            </w:r>
            <w:r w:rsidR="00E745CE" w:rsidRPr="002B65F7">
              <w:rPr>
                <w:b/>
                <w:bCs/>
              </w:rPr>
              <w:t> </w:t>
            </w:r>
            <w:r w:rsidRPr="002B65F7">
              <w:rPr>
                <w:b/>
                <w:bCs/>
              </w:rPr>
              <w:t>52</w:t>
            </w:r>
          </w:p>
        </w:tc>
      </w:tr>
      <w:tr w:rsidR="00092F83" w:rsidRPr="002B65F7" w14:paraId="03B58369" w14:textId="77777777" w:rsidTr="000238BD">
        <w:trPr>
          <w:cantSplit/>
          <w:trHeight w:val="505"/>
          <w:tblHeader/>
        </w:trPr>
        <w:tc>
          <w:tcPr>
            <w:tcW w:w="1717" w:type="pct"/>
            <w:vMerge/>
            <w:tcBorders>
              <w:top w:val="nil"/>
            </w:tcBorders>
          </w:tcPr>
          <w:p w14:paraId="03B58366" w14:textId="77777777" w:rsidR="00092F83" w:rsidRPr="002B65F7" w:rsidRDefault="00092F83" w:rsidP="000238BD">
            <w:pPr>
              <w:widowControl/>
            </w:pPr>
          </w:p>
        </w:tc>
        <w:tc>
          <w:tcPr>
            <w:tcW w:w="1567" w:type="pct"/>
          </w:tcPr>
          <w:p w14:paraId="03B58367" w14:textId="745F33AD" w:rsidR="00092F83" w:rsidRPr="002B65F7" w:rsidRDefault="00C31740" w:rsidP="000238BD">
            <w:pPr>
              <w:widowControl/>
              <w:jc w:val="center"/>
              <w:rPr>
                <w:b/>
                <w:bCs/>
              </w:rPr>
            </w:pPr>
            <w:r w:rsidRPr="002B65F7">
              <w:rPr>
                <w:b/>
                <w:bCs/>
              </w:rPr>
              <w:t>Dose recommandée d’</w:t>
            </w:r>
            <w:r w:rsidR="0071390F" w:rsidRPr="002B65F7">
              <w:rPr>
                <w:b/>
                <w:bCs/>
              </w:rPr>
              <w:t>ustekinumab</w:t>
            </w:r>
          </w:p>
        </w:tc>
        <w:tc>
          <w:tcPr>
            <w:tcW w:w="1717" w:type="pct"/>
          </w:tcPr>
          <w:p w14:paraId="03B58368" w14:textId="277B62CA" w:rsidR="00092F83" w:rsidRPr="002B65F7" w:rsidRDefault="00C31740" w:rsidP="000238BD">
            <w:pPr>
              <w:widowControl/>
              <w:jc w:val="center"/>
              <w:rPr>
                <w:b/>
                <w:bCs/>
              </w:rPr>
            </w:pPr>
            <w:r w:rsidRPr="002B65F7">
              <w:rPr>
                <w:b/>
                <w:bCs/>
              </w:rPr>
              <w:t>Dose recommandée d’</w:t>
            </w:r>
            <w:r w:rsidR="0071390F" w:rsidRPr="002B65F7">
              <w:rPr>
                <w:b/>
                <w:bCs/>
              </w:rPr>
              <w:t>ustekinumab</w:t>
            </w:r>
          </w:p>
        </w:tc>
      </w:tr>
      <w:tr w:rsidR="00092F83" w:rsidRPr="002B65F7" w14:paraId="03B5836D" w14:textId="77777777" w:rsidTr="000238BD">
        <w:trPr>
          <w:cantSplit/>
          <w:trHeight w:val="251"/>
          <w:tblHeader/>
        </w:trPr>
        <w:tc>
          <w:tcPr>
            <w:tcW w:w="1717" w:type="pct"/>
            <w:vMerge/>
            <w:tcBorders>
              <w:top w:val="nil"/>
            </w:tcBorders>
          </w:tcPr>
          <w:p w14:paraId="03B5836A" w14:textId="77777777" w:rsidR="00092F83" w:rsidRPr="002B65F7" w:rsidRDefault="00092F83" w:rsidP="000238BD">
            <w:pPr>
              <w:widowControl/>
            </w:pPr>
          </w:p>
        </w:tc>
        <w:tc>
          <w:tcPr>
            <w:tcW w:w="1567" w:type="pct"/>
          </w:tcPr>
          <w:p w14:paraId="03B5836B" w14:textId="77777777" w:rsidR="00092F83" w:rsidRPr="002B65F7" w:rsidRDefault="00C31740" w:rsidP="000238BD">
            <w:pPr>
              <w:widowControl/>
              <w:jc w:val="center"/>
            </w:pPr>
            <w:r w:rsidRPr="002B65F7">
              <w:t>N (%)</w:t>
            </w:r>
          </w:p>
        </w:tc>
        <w:tc>
          <w:tcPr>
            <w:tcW w:w="1717" w:type="pct"/>
          </w:tcPr>
          <w:p w14:paraId="03B5836C" w14:textId="77777777" w:rsidR="00092F83" w:rsidRPr="002B65F7" w:rsidRDefault="00C31740" w:rsidP="000238BD">
            <w:pPr>
              <w:widowControl/>
              <w:jc w:val="center"/>
            </w:pPr>
            <w:r w:rsidRPr="002B65F7">
              <w:t>N (%)</w:t>
            </w:r>
          </w:p>
        </w:tc>
      </w:tr>
      <w:tr w:rsidR="00092F83" w:rsidRPr="002B65F7" w14:paraId="03B58371" w14:textId="77777777" w:rsidTr="00621357">
        <w:trPr>
          <w:cantSplit/>
          <w:trHeight w:val="254"/>
        </w:trPr>
        <w:tc>
          <w:tcPr>
            <w:tcW w:w="1717" w:type="pct"/>
          </w:tcPr>
          <w:p w14:paraId="03B5836E" w14:textId="77777777" w:rsidR="00092F83" w:rsidRPr="002B65F7" w:rsidRDefault="00C31740" w:rsidP="000238BD">
            <w:pPr>
              <w:widowControl/>
            </w:pPr>
            <w:r w:rsidRPr="002B65F7">
              <w:t>Patients inclus</w:t>
            </w:r>
          </w:p>
        </w:tc>
        <w:tc>
          <w:tcPr>
            <w:tcW w:w="1567" w:type="pct"/>
          </w:tcPr>
          <w:p w14:paraId="03B5836F" w14:textId="77777777" w:rsidR="00092F83" w:rsidRPr="002B65F7" w:rsidRDefault="00C31740" w:rsidP="000238BD">
            <w:pPr>
              <w:widowControl/>
              <w:jc w:val="center"/>
            </w:pPr>
            <w:r w:rsidRPr="002B65F7">
              <w:t>44</w:t>
            </w:r>
          </w:p>
        </w:tc>
        <w:tc>
          <w:tcPr>
            <w:tcW w:w="1717" w:type="pct"/>
          </w:tcPr>
          <w:p w14:paraId="03B58370" w14:textId="77777777" w:rsidR="00092F83" w:rsidRPr="002B65F7" w:rsidRDefault="00C31740" w:rsidP="000238BD">
            <w:pPr>
              <w:widowControl/>
              <w:jc w:val="center"/>
            </w:pPr>
            <w:r w:rsidRPr="002B65F7">
              <w:t>41</w:t>
            </w:r>
          </w:p>
        </w:tc>
      </w:tr>
      <w:tr w:rsidR="00092F83" w:rsidRPr="002B65F7" w14:paraId="03B58373" w14:textId="77777777" w:rsidTr="00621357">
        <w:trPr>
          <w:cantSplit/>
          <w:trHeight w:val="253"/>
        </w:trPr>
        <w:tc>
          <w:tcPr>
            <w:tcW w:w="5000" w:type="pct"/>
            <w:gridSpan w:val="3"/>
          </w:tcPr>
          <w:p w14:paraId="03B58372" w14:textId="77777777" w:rsidR="00092F83" w:rsidRPr="002B65F7" w:rsidRDefault="00C31740" w:rsidP="000238BD">
            <w:pPr>
              <w:widowControl/>
              <w:rPr>
                <w:b/>
                <w:bCs/>
              </w:rPr>
            </w:pPr>
            <w:r w:rsidRPr="002B65F7">
              <w:rPr>
                <w:b/>
                <w:bCs/>
              </w:rPr>
              <w:t>PGA</w:t>
            </w:r>
          </w:p>
        </w:tc>
      </w:tr>
      <w:tr w:rsidR="00092F83" w:rsidRPr="002B65F7" w14:paraId="03B58377" w14:textId="77777777" w:rsidTr="00621357">
        <w:trPr>
          <w:cantSplit/>
          <w:trHeight w:val="251"/>
        </w:trPr>
        <w:tc>
          <w:tcPr>
            <w:tcW w:w="1717" w:type="pct"/>
          </w:tcPr>
          <w:p w14:paraId="03B58374" w14:textId="77777777" w:rsidR="00092F83" w:rsidRPr="002B65F7" w:rsidRDefault="00C31740" w:rsidP="000238BD">
            <w:pPr>
              <w:widowControl/>
            </w:pPr>
            <w:r w:rsidRPr="002B65F7">
              <w:t>PGA blanchi (0) ou minimal (1)</w:t>
            </w:r>
          </w:p>
        </w:tc>
        <w:tc>
          <w:tcPr>
            <w:tcW w:w="1567" w:type="pct"/>
          </w:tcPr>
          <w:p w14:paraId="03B58375" w14:textId="3249B45D" w:rsidR="00092F83" w:rsidRPr="002B65F7" w:rsidRDefault="00C31740" w:rsidP="000238BD">
            <w:pPr>
              <w:widowControl/>
              <w:jc w:val="center"/>
            </w:pPr>
            <w:r w:rsidRPr="002B65F7">
              <w:t>34 (77,3%)</w:t>
            </w:r>
          </w:p>
        </w:tc>
        <w:tc>
          <w:tcPr>
            <w:tcW w:w="1717" w:type="pct"/>
          </w:tcPr>
          <w:p w14:paraId="03B58376" w14:textId="3EA30284" w:rsidR="00092F83" w:rsidRPr="002B65F7" w:rsidRDefault="00C31740" w:rsidP="000238BD">
            <w:pPr>
              <w:widowControl/>
              <w:jc w:val="center"/>
            </w:pPr>
            <w:r w:rsidRPr="002B65F7">
              <w:t>31 (75,6%)</w:t>
            </w:r>
          </w:p>
        </w:tc>
      </w:tr>
      <w:tr w:rsidR="00092F83" w:rsidRPr="002B65F7" w14:paraId="03B5837B" w14:textId="77777777" w:rsidTr="00621357">
        <w:trPr>
          <w:cantSplit/>
          <w:trHeight w:val="253"/>
        </w:trPr>
        <w:tc>
          <w:tcPr>
            <w:tcW w:w="1717" w:type="pct"/>
          </w:tcPr>
          <w:p w14:paraId="03B58378" w14:textId="77777777" w:rsidR="00092F83" w:rsidRPr="002B65F7" w:rsidRDefault="00C31740" w:rsidP="000238BD">
            <w:pPr>
              <w:widowControl/>
            </w:pPr>
            <w:r w:rsidRPr="002B65F7">
              <w:t>PGA blanchi (0)</w:t>
            </w:r>
          </w:p>
        </w:tc>
        <w:tc>
          <w:tcPr>
            <w:tcW w:w="1567" w:type="pct"/>
          </w:tcPr>
          <w:p w14:paraId="03B58379" w14:textId="50992B3A" w:rsidR="00092F83" w:rsidRPr="002B65F7" w:rsidRDefault="00C31740" w:rsidP="000238BD">
            <w:pPr>
              <w:widowControl/>
              <w:jc w:val="center"/>
            </w:pPr>
            <w:r w:rsidRPr="002B65F7">
              <w:t>17 (38,6%)</w:t>
            </w:r>
          </w:p>
        </w:tc>
        <w:tc>
          <w:tcPr>
            <w:tcW w:w="1717" w:type="pct"/>
          </w:tcPr>
          <w:p w14:paraId="03B5837A" w14:textId="0EA45520" w:rsidR="00092F83" w:rsidRPr="002B65F7" w:rsidRDefault="00C31740" w:rsidP="000238BD">
            <w:pPr>
              <w:widowControl/>
              <w:jc w:val="center"/>
            </w:pPr>
            <w:r w:rsidRPr="002B65F7">
              <w:t>23 (56,1%)</w:t>
            </w:r>
          </w:p>
        </w:tc>
      </w:tr>
      <w:tr w:rsidR="00092F83" w:rsidRPr="002B65F7" w14:paraId="03B5837D" w14:textId="77777777" w:rsidTr="00621357">
        <w:trPr>
          <w:cantSplit/>
          <w:trHeight w:val="251"/>
        </w:trPr>
        <w:tc>
          <w:tcPr>
            <w:tcW w:w="5000" w:type="pct"/>
            <w:gridSpan w:val="3"/>
          </w:tcPr>
          <w:p w14:paraId="03B5837C" w14:textId="77777777" w:rsidR="00092F83" w:rsidRPr="002B65F7" w:rsidRDefault="00C31740" w:rsidP="000238BD">
            <w:pPr>
              <w:widowControl/>
              <w:rPr>
                <w:b/>
                <w:bCs/>
              </w:rPr>
            </w:pPr>
            <w:r w:rsidRPr="002B65F7">
              <w:rPr>
                <w:b/>
                <w:bCs/>
              </w:rPr>
              <w:t>PASI</w:t>
            </w:r>
          </w:p>
        </w:tc>
      </w:tr>
      <w:tr w:rsidR="00092F83" w:rsidRPr="002B65F7" w14:paraId="03B58381" w14:textId="77777777" w:rsidTr="00621357">
        <w:trPr>
          <w:cantSplit/>
          <w:trHeight w:val="253"/>
        </w:trPr>
        <w:tc>
          <w:tcPr>
            <w:tcW w:w="1717" w:type="pct"/>
          </w:tcPr>
          <w:p w14:paraId="03B5837E" w14:textId="5A28B483" w:rsidR="00092F83" w:rsidRPr="002B65F7" w:rsidRDefault="00C31740" w:rsidP="000238BD">
            <w:pPr>
              <w:widowControl/>
            </w:pPr>
            <w:r w:rsidRPr="002B65F7">
              <w:t>Répondeurs PASI</w:t>
            </w:r>
            <w:r w:rsidR="00E745CE" w:rsidRPr="002B65F7">
              <w:t> </w:t>
            </w:r>
            <w:r w:rsidRPr="002B65F7">
              <w:t>75</w:t>
            </w:r>
          </w:p>
        </w:tc>
        <w:tc>
          <w:tcPr>
            <w:tcW w:w="1567" w:type="pct"/>
          </w:tcPr>
          <w:p w14:paraId="03B5837F" w14:textId="1F1C28F0" w:rsidR="00092F83" w:rsidRPr="002B65F7" w:rsidRDefault="00C31740" w:rsidP="000238BD">
            <w:pPr>
              <w:widowControl/>
              <w:jc w:val="center"/>
            </w:pPr>
            <w:r w:rsidRPr="002B65F7">
              <w:t>37 (84,1%)</w:t>
            </w:r>
          </w:p>
        </w:tc>
        <w:tc>
          <w:tcPr>
            <w:tcW w:w="1717" w:type="pct"/>
          </w:tcPr>
          <w:p w14:paraId="03B58380" w14:textId="516277ED" w:rsidR="00092F83" w:rsidRPr="002B65F7" w:rsidRDefault="00C31740" w:rsidP="000238BD">
            <w:pPr>
              <w:widowControl/>
              <w:jc w:val="center"/>
            </w:pPr>
            <w:r w:rsidRPr="002B65F7">
              <w:t>36 (87,8%)</w:t>
            </w:r>
          </w:p>
        </w:tc>
      </w:tr>
      <w:tr w:rsidR="00092F83" w:rsidRPr="002B65F7" w14:paraId="03B58385" w14:textId="77777777" w:rsidTr="00621357">
        <w:trPr>
          <w:cantSplit/>
          <w:trHeight w:val="251"/>
        </w:trPr>
        <w:tc>
          <w:tcPr>
            <w:tcW w:w="1717" w:type="pct"/>
          </w:tcPr>
          <w:p w14:paraId="03B58382" w14:textId="4627AA00" w:rsidR="00092F83" w:rsidRPr="002B65F7" w:rsidRDefault="00C31740" w:rsidP="000238BD">
            <w:pPr>
              <w:widowControl/>
            </w:pPr>
            <w:r w:rsidRPr="002B65F7">
              <w:t>Répondeurs PASI</w:t>
            </w:r>
            <w:r w:rsidR="00E745CE" w:rsidRPr="002B65F7">
              <w:t> </w:t>
            </w:r>
            <w:r w:rsidRPr="002B65F7">
              <w:t>90</w:t>
            </w:r>
          </w:p>
        </w:tc>
        <w:tc>
          <w:tcPr>
            <w:tcW w:w="1567" w:type="pct"/>
          </w:tcPr>
          <w:p w14:paraId="03B58383" w14:textId="165B4300" w:rsidR="00092F83" w:rsidRPr="002B65F7" w:rsidRDefault="00C31740" w:rsidP="000238BD">
            <w:pPr>
              <w:widowControl/>
              <w:jc w:val="center"/>
            </w:pPr>
            <w:r w:rsidRPr="002B65F7">
              <w:t>28 (63,6%)</w:t>
            </w:r>
          </w:p>
        </w:tc>
        <w:tc>
          <w:tcPr>
            <w:tcW w:w="1717" w:type="pct"/>
          </w:tcPr>
          <w:p w14:paraId="03B58384" w14:textId="499FADFE" w:rsidR="00092F83" w:rsidRPr="002B65F7" w:rsidRDefault="00C31740" w:rsidP="000238BD">
            <w:pPr>
              <w:widowControl/>
              <w:jc w:val="center"/>
            </w:pPr>
            <w:r w:rsidRPr="002B65F7">
              <w:t>29 (70,7%)</w:t>
            </w:r>
          </w:p>
        </w:tc>
      </w:tr>
      <w:tr w:rsidR="00092F83" w:rsidRPr="002B65F7" w14:paraId="03B58389" w14:textId="77777777" w:rsidTr="00621357">
        <w:trPr>
          <w:cantSplit/>
          <w:trHeight w:val="254"/>
        </w:trPr>
        <w:tc>
          <w:tcPr>
            <w:tcW w:w="1717" w:type="pct"/>
          </w:tcPr>
          <w:p w14:paraId="03B58386" w14:textId="09418977" w:rsidR="00092F83" w:rsidRPr="002B65F7" w:rsidRDefault="00C31740" w:rsidP="000238BD">
            <w:pPr>
              <w:widowControl/>
            </w:pPr>
            <w:r w:rsidRPr="002B65F7">
              <w:t>Répondeurs PASI</w:t>
            </w:r>
            <w:r w:rsidR="00E745CE" w:rsidRPr="002B65F7">
              <w:t> </w:t>
            </w:r>
            <w:r w:rsidRPr="002B65F7">
              <w:t>100</w:t>
            </w:r>
          </w:p>
        </w:tc>
        <w:tc>
          <w:tcPr>
            <w:tcW w:w="1567" w:type="pct"/>
          </w:tcPr>
          <w:p w14:paraId="03B58387" w14:textId="4626193D" w:rsidR="00092F83" w:rsidRPr="002B65F7" w:rsidRDefault="00C31740" w:rsidP="000238BD">
            <w:pPr>
              <w:widowControl/>
              <w:jc w:val="center"/>
            </w:pPr>
            <w:r w:rsidRPr="002B65F7">
              <w:t>15 (34,1%)</w:t>
            </w:r>
          </w:p>
        </w:tc>
        <w:tc>
          <w:tcPr>
            <w:tcW w:w="1717" w:type="pct"/>
          </w:tcPr>
          <w:p w14:paraId="03B58388" w14:textId="0DE2BC86" w:rsidR="00092F83" w:rsidRPr="002B65F7" w:rsidRDefault="00C31740" w:rsidP="000238BD">
            <w:pPr>
              <w:widowControl/>
              <w:jc w:val="center"/>
            </w:pPr>
            <w:r w:rsidRPr="002B65F7">
              <w:t>22 (53,7%)</w:t>
            </w:r>
          </w:p>
        </w:tc>
      </w:tr>
      <w:tr w:rsidR="00092F83" w:rsidRPr="002B65F7" w14:paraId="03B5838B" w14:textId="77777777" w:rsidTr="00621357">
        <w:trPr>
          <w:cantSplit/>
          <w:trHeight w:val="253"/>
        </w:trPr>
        <w:tc>
          <w:tcPr>
            <w:tcW w:w="5000" w:type="pct"/>
            <w:gridSpan w:val="3"/>
          </w:tcPr>
          <w:p w14:paraId="03B5838A" w14:textId="77777777" w:rsidR="00092F83" w:rsidRPr="002B65F7" w:rsidRDefault="00C31740" w:rsidP="000238BD">
            <w:pPr>
              <w:keepNext/>
              <w:widowControl/>
              <w:rPr>
                <w:b/>
                <w:bCs/>
              </w:rPr>
            </w:pPr>
            <w:r w:rsidRPr="002B65F7">
              <w:rPr>
                <w:b/>
                <w:bCs/>
              </w:rPr>
              <w:t>CDLQI</w:t>
            </w:r>
            <w:r w:rsidRPr="002B65F7">
              <w:rPr>
                <w:b/>
                <w:bCs/>
                <w:vertAlign w:val="superscript"/>
              </w:rPr>
              <w:t>a</w:t>
            </w:r>
          </w:p>
        </w:tc>
      </w:tr>
      <w:tr w:rsidR="00092F83" w:rsidRPr="002B65F7" w14:paraId="03B5838F" w14:textId="77777777" w:rsidTr="00621357">
        <w:trPr>
          <w:cantSplit/>
          <w:trHeight w:val="506"/>
        </w:trPr>
        <w:tc>
          <w:tcPr>
            <w:tcW w:w="1717" w:type="pct"/>
          </w:tcPr>
          <w:p w14:paraId="03B5838C" w14:textId="057EA223" w:rsidR="00092F83" w:rsidRPr="002B65F7" w:rsidRDefault="00C31740" w:rsidP="000238BD">
            <w:pPr>
              <w:keepNext/>
              <w:widowControl/>
            </w:pPr>
            <w:r w:rsidRPr="002B65F7">
              <w:t>Patients avec CDLQI</w:t>
            </w:r>
            <w:r w:rsidR="00E745CE" w:rsidRPr="002B65F7">
              <w:t> </w:t>
            </w:r>
            <w:r w:rsidRPr="002B65F7">
              <w:t>&gt;</w:t>
            </w:r>
            <w:r w:rsidR="00E745CE" w:rsidRPr="002B65F7">
              <w:t> </w:t>
            </w:r>
            <w:r w:rsidRPr="002B65F7">
              <w:t>1 à l’inclusion</w:t>
            </w:r>
          </w:p>
        </w:tc>
        <w:tc>
          <w:tcPr>
            <w:tcW w:w="1567" w:type="pct"/>
          </w:tcPr>
          <w:p w14:paraId="03B5838D" w14:textId="5B705179" w:rsidR="00092F83" w:rsidRPr="002B65F7" w:rsidRDefault="00C31740" w:rsidP="000238BD">
            <w:pPr>
              <w:keepNext/>
              <w:widowControl/>
              <w:jc w:val="center"/>
            </w:pPr>
            <w:r w:rsidRPr="002B65F7">
              <w:t>(N</w:t>
            </w:r>
            <w:r w:rsidR="00401F09" w:rsidRPr="002B65F7">
              <w:t> </w:t>
            </w:r>
            <w:r w:rsidRPr="002B65F7">
              <w:t>=</w:t>
            </w:r>
            <w:r w:rsidR="00401F09" w:rsidRPr="002B65F7">
              <w:t> </w:t>
            </w:r>
            <w:r w:rsidRPr="002B65F7">
              <w:t>39)</w:t>
            </w:r>
          </w:p>
        </w:tc>
        <w:tc>
          <w:tcPr>
            <w:tcW w:w="1717" w:type="pct"/>
          </w:tcPr>
          <w:p w14:paraId="03B5838E" w14:textId="36297A95" w:rsidR="00092F83" w:rsidRPr="002B65F7" w:rsidRDefault="00C31740" w:rsidP="000238BD">
            <w:pPr>
              <w:keepNext/>
              <w:widowControl/>
              <w:jc w:val="center"/>
            </w:pPr>
            <w:r w:rsidRPr="002B65F7">
              <w:t>(N</w:t>
            </w:r>
            <w:r w:rsidR="00401F09" w:rsidRPr="002B65F7">
              <w:t> </w:t>
            </w:r>
            <w:r w:rsidRPr="002B65F7">
              <w:t>=</w:t>
            </w:r>
            <w:r w:rsidR="00401F09" w:rsidRPr="002B65F7">
              <w:t> </w:t>
            </w:r>
            <w:r w:rsidRPr="002B65F7">
              <w:t>36)</w:t>
            </w:r>
          </w:p>
        </w:tc>
      </w:tr>
      <w:tr w:rsidR="00092F83" w:rsidRPr="002B65F7" w14:paraId="03B58393" w14:textId="77777777" w:rsidTr="00621357">
        <w:trPr>
          <w:cantSplit/>
          <w:trHeight w:val="251"/>
        </w:trPr>
        <w:tc>
          <w:tcPr>
            <w:tcW w:w="1717" w:type="pct"/>
          </w:tcPr>
          <w:p w14:paraId="03B58390" w14:textId="77777777" w:rsidR="00092F83" w:rsidRPr="002B65F7" w:rsidRDefault="00C31740" w:rsidP="000238BD">
            <w:pPr>
              <w:keepNext/>
              <w:widowControl/>
            </w:pPr>
            <w:r w:rsidRPr="002B65F7">
              <w:t>CDLQI de 0 ou 1</w:t>
            </w:r>
          </w:p>
        </w:tc>
        <w:tc>
          <w:tcPr>
            <w:tcW w:w="1567" w:type="pct"/>
          </w:tcPr>
          <w:p w14:paraId="03B58391" w14:textId="625AC143" w:rsidR="00092F83" w:rsidRPr="002B65F7" w:rsidRDefault="00C31740" w:rsidP="000238BD">
            <w:pPr>
              <w:keepNext/>
              <w:widowControl/>
              <w:jc w:val="center"/>
            </w:pPr>
            <w:r w:rsidRPr="002B65F7">
              <w:t>24 (61,5%)</w:t>
            </w:r>
          </w:p>
        </w:tc>
        <w:tc>
          <w:tcPr>
            <w:tcW w:w="1717" w:type="pct"/>
          </w:tcPr>
          <w:p w14:paraId="03B58392" w14:textId="4E670C96" w:rsidR="00092F83" w:rsidRPr="002B65F7" w:rsidRDefault="00C31740" w:rsidP="000238BD">
            <w:pPr>
              <w:keepNext/>
              <w:widowControl/>
              <w:jc w:val="center"/>
            </w:pPr>
            <w:r w:rsidRPr="002B65F7">
              <w:t>21 (58,3%)</w:t>
            </w:r>
          </w:p>
        </w:tc>
      </w:tr>
    </w:tbl>
    <w:p w14:paraId="03B58394" w14:textId="62078F33" w:rsidR="00092F83" w:rsidRPr="002B65F7" w:rsidRDefault="00E745CE" w:rsidP="00496255">
      <w:pPr>
        <w:widowControl/>
        <w:rPr>
          <w:sz w:val="20"/>
          <w:szCs w:val="20"/>
        </w:rPr>
      </w:pPr>
      <w:r w:rsidRPr="002B65F7">
        <w:rPr>
          <w:sz w:val="20"/>
          <w:szCs w:val="20"/>
          <w:vertAlign w:val="superscript"/>
        </w:rPr>
        <w:t>a</w:t>
      </w:r>
      <w:r w:rsidRPr="002B65F7">
        <w:rPr>
          <w:sz w:val="20"/>
          <w:szCs w:val="20"/>
        </w:rPr>
        <w:t xml:space="preserve"> </w:t>
      </w:r>
      <w:r w:rsidR="00C31740" w:rsidRPr="002B65F7">
        <w:rPr>
          <w:sz w:val="20"/>
          <w:szCs w:val="20"/>
        </w:rPr>
        <w:t>CDLQI : le CDLQI est un score utilisé en dermatologie pour évaluer l’impact d’une atteinte cutanée sur la qualité de vie liée à la santé dans la population pédiatrique. Un score CDLQI de 0 ou 1 indique l’absence d’impact sur la qualité de vie de l’enfant.</w:t>
      </w:r>
    </w:p>
    <w:p w14:paraId="6D21B851" w14:textId="77777777" w:rsidR="00E745CE" w:rsidRPr="002B65F7" w:rsidRDefault="00E745CE" w:rsidP="00496255">
      <w:pPr>
        <w:widowControl/>
      </w:pPr>
    </w:p>
    <w:p w14:paraId="03B58395" w14:textId="77777777" w:rsidR="00092F83" w:rsidRPr="002B65F7" w:rsidRDefault="00C31740" w:rsidP="00496255">
      <w:pPr>
        <w:keepNext/>
        <w:keepLines/>
        <w:widowControl/>
        <w:rPr>
          <w:i/>
          <w:iCs/>
        </w:rPr>
      </w:pPr>
      <w:r w:rsidRPr="002B65F7">
        <w:rPr>
          <w:i/>
          <w:iCs/>
        </w:rPr>
        <w:lastRenderedPageBreak/>
        <w:t>Maladie de Crohn</w:t>
      </w:r>
    </w:p>
    <w:p w14:paraId="0CC1E58A" w14:textId="77777777" w:rsidR="00E745CE" w:rsidRPr="002B65F7" w:rsidRDefault="00E745CE" w:rsidP="00496255">
      <w:pPr>
        <w:keepNext/>
        <w:keepLines/>
        <w:widowControl/>
        <w:rPr>
          <w:u w:val="single"/>
        </w:rPr>
      </w:pPr>
    </w:p>
    <w:p w14:paraId="03B58398" w14:textId="1E827CFD" w:rsidR="00092F83" w:rsidRPr="002B65F7" w:rsidRDefault="00C31740" w:rsidP="00496255">
      <w:pPr>
        <w:widowControl/>
      </w:pPr>
      <w:r w:rsidRPr="002B65F7">
        <w:t>La sécurité et l’efficacité de l’</w:t>
      </w:r>
      <w:r w:rsidR="0071390F" w:rsidRPr="002B65F7">
        <w:t>ustekinumab</w:t>
      </w:r>
      <w:r w:rsidRPr="002B65F7">
        <w:t xml:space="preserve"> ont été évaluées dans trois études multicentriques randomisées, en double aveugle, contrôlées </w:t>
      </w:r>
      <w:r w:rsidRPr="002B65F7">
        <w:rPr>
          <w:i/>
          <w:iCs/>
        </w:rPr>
        <w:t>versus</w:t>
      </w:r>
      <w:r w:rsidRPr="002B65F7">
        <w:t xml:space="preserve"> placebo chez des patients adultes atteints d’une maladie de Crohn active modérée à sévère (score CDAI [Crohn’s Disease Activity Index] ≥</w:t>
      </w:r>
      <w:r w:rsidR="00E745CE" w:rsidRPr="002B65F7">
        <w:t> </w:t>
      </w:r>
      <w:r w:rsidRPr="002B65F7">
        <w:t>220</w:t>
      </w:r>
      <w:r w:rsidR="00E745CE" w:rsidRPr="002B65F7">
        <w:t> </w:t>
      </w:r>
      <w:r w:rsidRPr="002B65F7">
        <w:t>et</w:t>
      </w:r>
      <w:r w:rsidR="00E745CE" w:rsidRPr="002B65F7">
        <w:t> </w:t>
      </w:r>
      <w:r w:rsidRPr="002B65F7">
        <w:t>≤</w:t>
      </w:r>
      <w:r w:rsidR="00E745CE" w:rsidRPr="002B65F7">
        <w:t> </w:t>
      </w:r>
      <w:r w:rsidRPr="002B65F7">
        <w:t>450). Le programme de développement clinique consistait en deux études d’induction intraveineuse de 8</w:t>
      </w:r>
      <w:r w:rsidR="00507650" w:rsidRPr="002B65F7">
        <w:t> </w:t>
      </w:r>
      <w:r w:rsidRPr="002B65F7">
        <w:t>semaines (UNITI-1 et UNITI-2) suivies d’une étude d’entretien randomisée, sous-cutanée de</w:t>
      </w:r>
      <w:r w:rsidR="00E745CE" w:rsidRPr="002B65F7">
        <w:t xml:space="preserve"> </w:t>
      </w:r>
      <w:r w:rsidRPr="002B65F7">
        <w:t>44</w:t>
      </w:r>
      <w:r w:rsidR="00E745CE" w:rsidRPr="002B65F7">
        <w:t> </w:t>
      </w:r>
      <w:r w:rsidRPr="002B65F7">
        <w:t>semaines (IM-UNITI), ce qui représente 52</w:t>
      </w:r>
      <w:r w:rsidR="00E745CE" w:rsidRPr="002B65F7">
        <w:t> </w:t>
      </w:r>
      <w:r w:rsidRPr="002B65F7">
        <w:t>semaines de traitement.</w:t>
      </w:r>
    </w:p>
    <w:p w14:paraId="21C16078" w14:textId="77777777" w:rsidR="00E745CE" w:rsidRPr="002B65F7" w:rsidRDefault="00E745CE" w:rsidP="00496255">
      <w:pPr>
        <w:widowControl/>
      </w:pPr>
    </w:p>
    <w:p w14:paraId="03B58399" w14:textId="713E81FE" w:rsidR="00092F83" w:rsidRPr="002B65F7" w:rsidRDefault="00C31740" w:rsidP="00496255">
      <w:pPr>
        <w:widowControl/>
      </w:pPr>
      <w:r w:rsidRPr="002B65F7">
        <w:t>Les études d’induction incluaient 1</w:t>
      </w:r>
      <w:r w:rsidR="00507650" w:rsidRPr="002B65F7">
        <w:t> </w:t>
      </w:r>
      <w:r w:rsidRPr="002B65F7">
        <w:t>409 (UNITI-1, n</w:t>
      </w:r>
      <w:r w:rsidR="00507650" w:rsidRPr="002B65F7">
        <w:t> </w:t>
      </w:r>
      <w:r w:rsidRPr="002B65F7">
        <w:t>=</w:t>
      </w:r>
      <w:r w:rsidR="00507650" w:rsidRPr="002B65F7">
        <w:t> </w:t>
      </w:r>
      <w:r w:rsidRPr="002B65F7">
        <w:t>769 ; UNITI-2, n</w:t>
      </w:r>
      <w:r w:rsidR="00507650" w:rsidRPr="002B65F7">
        <w:t> </w:t>
      </w:r>
      <w:r w:rsidRPr="002B65F7">
        <w:t>=</w:t>
      </w:r>
      <w:r w:rsidR="00507650" w:rsidRPr="002B65F7">
        <w:t> </w:t>
      </w:r>
      <w:r w:rsidRPr="002B65F7">
        <w:t>640) patients. Le critère primaire d’évaluation des deux études d’induction était la proportion de sujets présentant une réponse clinique (définie comme une réduction du score CDAI</w:t>
      </w:r>
      <w:r w:rsidR="00507650" w:rsidRPr="002B65F7">
        <w:t> </w:t>
      </w:r>
      <w:r w:rsidRPr="002B65F7">
        <w:t>≥</w:t>
      </w:r>
      <w:r w:rsidR="00507650" w:rsidRPr="002B65F7">
        <w:t> </w:t>
      </w:r>
      <w:r w:rsidRPr="002B65F7">
        <w:t>100 points) à la semaine</w:t>
      </w:r>
      <w:r w:rsidR="000E1196" w:rsidRPr="002B65F7">
        <w:t> </w:t>
      </w:r>
      <w:r w:rsidRPr="002B65F7">
        <w:t>6. Les données d’efficacité ont été recueillies et analysées jusqu’à la semaine</w:t>
      </w:r>
      <w:r w:rsidR="00507650" w:rsidRPr="002B65F7">
        <w:t> </w:t>
      </w:r>
      <w:r w:rsidRPr="002B65F7">
        <w:t>8 pour les deux études. L’administration concomitante de corticoïdes oraux, d’immunomodulateurs, d’aminosalicylates et d’antibiotiques était autorisée et 75% des patients ont continué à recevoir au moins un de ces médicaments. Dans les deux études, les patients étaient randomisés pour recevoir une administration intraveineuse unique de la dose recommandée en fonction du poids d’environ 6</w:t>
      </w:r>
      <w:r w:rsidR="00507650" w:rsidRPr="002B65F7">
        <w:t> </w:t>
      </w:r>
      <w:r w:rsidRPr="002B65F7">
        <w:t>mg/kg (voir rubrique</w:t>
      </w:r>
      <w:r w:rsidR="007C0E11" w:rsidRPr="002B65F7">
        <w:t> </w:t>
      </w:r>
      <w:r w:rsidRPr="002B65F7">
        <w:t xml:space="preserve">4.2 du RCP de </w:t>
      </w:r>
      <w:r w:rsidR="00401F09" w:rsidRPr="002B65F7">
        <w:t>WEZENLA</w:t>
      </w:r>
      <w:r w:rsidRPr="002B65F7">
        <w:t xml:space="preserve"> 130</w:t>
      </w:r>
      <w:r w:rsidR="007C0E11" w:rsidRPr="002B65F7">
        <w:t> </w:t>
      </w:r>
      <w:r w:rsidRPr="002B65F7">
        <w:t>mg solution à diluer pour perfusion), d’une dose fixe de 130</w:t>
      </w:r>
      <w:r w:rsidR="00507650" w:rsidRPr="002B65F7">
        <w:t> </w:t>
      </w:r>
      <w:r w:rsidRPr="002B65F7">
        <w:t>mg d’</w:t>
      </w:r>
      <w:r w:rsidR="0071390F" w:rsidRPr="002B65F7">
        <w:t>ustekinumab</w:t>
      </w:r>
      <w:r w:rsidRPr="002B65F7">
        <w:t xml:space="preserve"> ou d’un placebo à la semaine</w:t>
      </w:r>
      <w:r w:rsidR="00507650" w:rsidRPr="002B65F7">
        <w:t> </w:t>
      </w:r>
      <w:r w:rsidRPr="002B65F7">
        <w:t>0.</w:t>
      </w:r>
    </w:p>
    <w:p w14:paraId="6B0D06E4" w14:textId="77777777" w:rsidR="00507650" w:rsidRPr="002B65F7" w:rsidRDefault="00507650" w:rsidP="00496255">
      <w:pPr>
        <w:widowControl/>
      </w:pPr>
    </w:p>
    <w:p w14:paraId="03B5839C" w14:textId="2384B4DA" w:rsidR="00092F83" w:rsidRPr="002B65F7" w:rsidRDefault="00C31740" w:rsidP="00496255">
      <w:pPr>
        <w:widowControl/>
      </w:pPr>
      <w:r w:rsidRPr="002B65F7">
        <w:t>Les patients de l’étude UNITI-1 étaient en échec ou intolérants à un précédent traitement anti-TNFα. Environ 48% des patients avaient présenté un échec lors d’1 précédent traitement anti-TNFα et</w:t>
      </w:r>
      <w:r w:rsidR="00507650" w:rsidRPr="002B65F7">
        <w:t> </w:t>
      </w:r>
      <w:r w:rsidRPr="002B65F7">
        <w:t>52% avaient échoué à 2</w:t>
      </w:r>
      <w:r w:rsidR="000E1196" w:rsidRPr="002B65F7">
        <w:t> </w:t>
      </w:r>
      <w:r w:rsidRPr="002B65F7">
        <w:t>ou 3</w:t>
      </w:r>
      <w:r w:rsidR="000E1196" w:rsidRPr="002B65F7">
        <w:t> </w:t>
      </w:r>
      <w:r w:rsidRPr="002B65F7">
        <w:t>précédents traitements anti-TNFα. Dans cette étude, 29,1% des patients avaient présenté une réponse initiale insuffisante (non-répondeurs primaires), 69,4% avaient répondu</w:t>
      </w:r>
      <w:r w:rsidR="00507650" w:rsidRPr="002B65F7">
        <w:t xml:space="preserve"> </w:t>
      </w:r>
      <w:r w:rsidRPr="002B65F7">
        <w:t>mais</w:t>
      </w:r>
      <w:r w:rsidRPr="002B65F7">
        <w:rPr>
          <w:spacing w:val="-3"/>
        </w:rPr>
        <w:t xml:space="preserve"> </w:t>
      </w:r>
      <w:r w:rsidRPr="002B65F7">
        <w:t>étaient</w:t>
      </w:r>
      <w:r w:rsidRPr="002B65F7">
        <w:rPr>
          <w:spacing w:val="-3"/>
        </w:rPr>
        <w:t xml:space="preserve"> </w:t>
      </w:r>
      <w:r w:rsidRPr="002B65F7">
        <w:t>en</w:t>
      </w:r>
      <w:r w:rsidRPr="002B65F7">
        <w:rPr>
          <w:spacing w:val="-3"/>
        </w:rPr>
        <w:t xml:space="preserve"> </w:t>
      </w:r>
      <w:r w:rsidRPr="002B65F7">
        <w:t>échappement</w:t>
      </w:r>
      <w:r w:rsidRPr="002B65F7">
        <w:rPr>
          <w:spacing w:val="-3"/>
        </w:rPr>
        <w:t xml:space="preserve"> </w:t>
      </w:r>
      <w:r w:rsidRPr="002B65F7">
        <w:t>après</w:t>
      </w:r>
      <w:r w:rsidRPr="002B65F7">
        <w:rPr>
          <w:spacing w:val="-3"/>
        </w:rPr>
        <w:t xml:space="preserve"> </w:t>
      </w:r>
      <w:r w:rsidRPr="002B65F7">
        <w:t>une</w:t>
      </w:r>
      <w:r w:rsidRPr="002B65F7">
        <w:rPr>
          <w:spacing w:val="-3"/>
        </w:rPr>
        <w:t xml:space="preserve"> </w:t>
      </w:r>
      <w:r w:rsidRPr="002B65F7">
        <w:t>réponse</w:t>
      </w:r>
      <w:r w:rsidRPr="002B65F7">
        <w:rPr>
          <w:spacing w:val="-3"/>
        </w:rPr>
        <w:t xml:space="preserve"> </w:t>
      </w:r>
      <w:r w:rsidRPr="002B65F7">
        <w:t>initiale</w:t>
      </w:r>
      <w:r w:rsidRPr="002B65F7">
        <w:rPr>
          <w:spacing w:val="-3"/>
        </w:rPr>
        <w:t xml:space="preserve"> </w:t>
      </w:r>
      <w:r w:rsidRPr="002B65F7">
        <w:t>(non-répondeurs</w:t>
      </w:r>
      <w:r w:rsidRPr="002B65F7">
        <w:rPr>
          <w:spacing w:val="-3"/>
        </w:rPr>
        <w:t xml:space="preserve"> </w:t>
      </w:r>
      <w:r w:rsidRPr="002B65F7">
        <w:t>secondaires)</w:t>
      </w:r>
      <w:r w:rsidRPr="002B65F7">
        <w:rPr>
          <w:spacing w:val="-3"/>
        </w:rPr>
        <w:t xml:space="preserve"> </w:t>
      </w:r>
      <w:r w:rsidRPr="002B65F7">
        <w:t>et</w:t>
      </w:r>
      <w:r w:rsidRPr="002B65F7">
        <w:rPr>
          <w:spacing w:val="-3"/>
        </w:rPr>
        <w:t xml:space="preserve"> </w:t>
      </w:r>
      <w:r w:rsidRPr="002B65F7">
        <w:t>36,4%</w:t>
      </w:r>
      <w:r w:rsidRPr="002B65F7">
        <w:rPr>
          <w:spacing w:val="-3"/>
        </w:rPr>
        <w:t xml:space="preserve"> </w:t>
      </w:r>
      <w:r w:rsidRPr="002B65F7">
        <w:t>étaient intolérants aux anti-TNFα.</w:t>
      </w:r>
    </w:p>
    <w:p w14:paraId="03B5839D" w14:textId="77777777" w:rsidR="00092F83" w:rsidRPr="002B65F7" w:rsidRDefault="00092F83" w:rsidP="00496255">
      <w:pPr>
        <w:widowControl/>
      </w:pPr>
    </w:p>
    <w:p w14:paraId="03B5839E" w14:textId="77777777" w:rsidR="00092F83" w:rsidRPr="002B65F7" w:rsidRDefault="00C31740" w:rsidP="00496255">
      <w:pPr>
        <w:widowControl/>
      </w:pPr>
      <w:r w:rsidRPr="002B65F7">
        <w:t>Les patients de l’étude UNITI-2 étaient en échec à au moins un traitement conventionnel, incluant les corticoïdes ou immunomodulateurs, et étaient naïfs d’anti-TNFα (68,6%) ou avaient précédemment reçu un traitement anti-TNFα sans échec (31,4%).</w:t>
      </w:r>
    </w:p>
    <w:p w14:paraId="211B445B" w14:textId="77777777" w:rsidR="004F4502" w:rsidRPr="002B65F7" w:rsidRDefault="004F4502" w:rsidP="00E82841">
      <w:pPr>
        <w:keepNext/>
        <w:widowControl/>
      </w:pPr>
    </w:p>
    <w:p w14:paraId="03B5839F" w14:textId="4CADA102" w:rsidR="00092F83" w:rsidRPr="002B65F7" w:rsidRDefault="00C31740" w:rsidP="00E82841">
      <w:pPr>
        <w:keepNext/>
        <w:keepLines/>
        <w:widowControl/>
      </w:pPr>
      <w:r w:rsidRPr="002B65F7">
        <w:t xml:space="preserve">Dans UNITI-1 et UNITI-2, une proportion significativement supérieure de patients présentait une réponse et une rémission cliniques dans le groupe traité par </w:t>
      </w:r>
      <w:r w:rsidR="0071390F" w:rsidRPr="002B65F7">
        <w:t>ustekinumab</w:t>
      </w:r>
      <w:r w:rsidRPr="002B65F7">
        <w:t xml:space="preserve"> comparativement au placebo (</w:t>
      </w:r>
      <w:r w:rsidR="00401F09" w:rsidRPr="002B65F7">
        <w:t>voir t</w:t>
      </w:r>
      <w:r w:rsidRPr="002B65F7">
        <w:t>ableau</w:t>
      </w:r>
      <w:r w:rsidR="004F4502" w:rsidRPr="002B65F7">
        <w:t> </w:t>
      </w:r>
      <w:r w:rsidRPr="002B65F7">
        <w:t xml:space="preserve">9). Chez les patients traités par </w:t>
      </w:r>
      <w:r w:rsidR="0071390F" w:rsidRPr="002B65F7">
        <w:t>ustekinumab</w:t>
      </w:r>
      <w:r w:rsidRPr="002B65F7">
        <w:t>, la réponse et la rémission cliniques étaient significatives dès la semaine</w:t>
      </w:r>
      <w:r w:rsidR="000E1196" w:rsidRPr="002B65F7">
        <w:t> </w:t>
      </w:r>
      <w:r w:rsidRPr="002B65F7">
        <w:t>3 et ont continué à s’améliorer jusqu’à la semaine</w:t>
      </w:r>
      <w:r w:rsidR="004F4502" w:rsidRPr="002B65F7">
        <w:t> </w:t>
      </w:r>
      <w:r w:rsidRPr="002B65F7">
        <w:t>8. Dans ces études d’induction, l’efficacité était plus élevée et plus durable dans le groupe recevant une dose déterminée en fonction du poids comparativement au groupe de dose 130</w:t>
      </w:r>
      <w:r w:rsidR="00B15BC4" w:rsidRPr="002B65F7">
        <w:t> </w:t>
      </w:r>
      <w:r w:rsidRPr="002B65F7">
        <w:t>mg. Un dosage par palier est donc recommandé pour l’induction intraveineuse.</w:t>
      </w:r>
    </w:p>
    <w:p w14:paraId="03B583A0" w14:textId="77777777" w:rsidR="00092F83" w:rsidRPr="002B65F7" w:rsidRDefault="00092F83" w:rsidP="00496255">
      <w:pPr>
        <w:widowControl/>
        <w:rPr>
          <w:b/>
          <w:bCs/>
        </w:rPr>
      </w:pPr>
    </w:p>
    <w:p w14:paraId="03B583A1" w14:textId="68BA8A3B" w:rsidR="00092F83" w:rsidRPr="002B65F7" w:rsidRDefault="00C31740" w:rsidP="0052274A">
      <w:pPr>
        <w:keepNext/>
        <w:keepLines/>
        <w:widowControl/>
        <w:rPr>
          <w:b/>
          <w:bCs/>
        </w:rPr>
      </w:pPr>
      <w:r w:rsidRPr="002B65F7">
        <w:rPr>
          <w:b/>
          <w:bCs/>
        </w:rPr>
        <w:t>Tableau</w:t>
      </w:r>
      <w:r w:rsidR="002C4AC6" w:rsidRPr="002B65F7">
        <w:rPr>
          <w:b/>
          <w:bCs/>
        </w:rPr>
        <w:t> </w:t>
      </w:r>
      <w:r w:rsidRPr="002B65F7">
        <w:rPr>
          <w:b/>
          <w:bCs/>
        </w:rPr>
        <w:t>9</w:t>
      </w:r>
      <w:r w:rsidR="004F4502" w:rsidRPr="002B65F7">
        <w:rPr>
          <w:b/>
          <w:bCs/>
        </w:rPr>
        <w:t xml:space="preserve">. </w:t>
      </w:r>
      <w:r w:rsidRPr="002B65F7">
        <w:rPr>
          <w:b/>
          <w:bCs/>
        </w:rPr>
        <w:t>Induction de la réponse et de la rémission cliniques dans les études UNITI-1 et UNITI</w:t>
      </w:r>
      <w:r w:rsidR="00E13C87" w:rsidRPr="002B65F7">
        <w:rPr>
          <w:b/>
          <w:bCs/>
        </w:rPr>
        <w:t> </w:t>
      </w:r>
      <w:r w:rsidRPr="002B65F7">
        <w:rPr>
          <w:b/>
          <w:bCs/>
        </w:rPr>
        <w:t>2</w:t>
      </w:r>
    </w:p>
    <w:p w14:paraId="6B372A43" w14:textId="77777777" w:rsidR="00E13C87" w:rsidRPr="002B65F7" w:rsidRDefault="00E13C87" w:rsidP="0052274A">
      <w:pPr>
        <w:keepNext/>
        <w:keepLines/>
        <w:widowControl/>
        <w:rPr>
          <w:b/>
          <w:bCs/>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62"/>
        <w:gridCol w:w="1620"/>
        <w:gridCol w:w="1635"/>
        <w:gridCol w:w="1209"/>
        <w:gridCol w:w="1635"/>
      </w:tblGrid>
      <w:tr w:rsidR="00092F83" w:rsidRPr="002B65F7" w14:paraId="03B583A5" w14:textId="77777777" w:rsidTr="00621357">
        <w:trPr>
          <w:cantSplit/>
          <w:trHeight w:val="254"/>
          <w:tblHeader/>
        </w:trPr>
        <w:tc>
          <w:tcPr>
            <w:tcW w:w="1660" w:type="pct"/>
          </w:tcPr>
          <w:p w14:paraId="03B583A2" w14:textId="77777777" w:rsidR="00092F83" w:rsidRPr="002B65F7" w:rsidRDefault="00092F83" w:rsidP="0052274A">
            <w:pPr>
              <w:keepNext/>
              <w:keepLines/>
              <w:widowControl/>
            </w:pPr>
          </w:p>
        </w:tc>
        <w:tc>
          <w:tcPr>
            <w:tcW w:w="1755" w:type="pct"/>
            <w:gridSpan w:val="2"/>
          </w:tcPr>
          <w:p w14:paraId="03B583A3" w14:textId="77777777" w:rsidR="00092F83" w:rsidRPr="002B65F7" w:rsidRDefault="00C31740" w:rsidP="0052274A">
            <w:pPr>
              <w:keepNext/>
              <w:keepLines/>
              <w:widowControl/>
              <w:jc w:val="center"/>
              <w:rPr>
                <w:b/>
                <w:bCs/>
              </w:rPr>
            </w:pPr>
            <w:r w:rsidRPr="002B65F7">
              <w:rPr>
                <w:b/>
                <w:bCs/>
              </w:rPr>
              <w:t>UNITI-1*</w:t>
            </w:r>
          </w:p>
        </w:tc>
        <w:tc>
          <w:tcPr>
            <w:tcW w:w="1585" w:type="pct"/>
            <w:gridSpan w:val="2"/>
          </w:tcPr>
          <w:p w14:paraId="03B583A4" w14:textId="77777777" w:rsidR="00092F83" w:rsidRPr="002B65F7" w:rsidRDefault="00C31740" w:rsidP="0052274A">
            <w:pPr>
              <w:keepNext/>
              <w:keepLines/>
              <w:widowControl/>
              <w:jc w:val="center"/>
              <w:rPr>
                <w:b/>
                <w:bCs/>
              </w:rPr>
            </w:pPr>
            <w:r w:rsidRPr="002B65F7">
              <w:rPr>
                <w:b/>
                <w:bCs/>
              </w:rPr>
              <w:t>UNITI-2**</w:t>
            </w:r>
          </w:p>
        </w:tc>
      </w:tr>
      <w:tr w:rsidR="00092F83" w:rsidRPr="002B65F7" w14:paraId="03B583AD" w14:textId="77777777" w:rsidTr="00621357">
        <w:trPr>
          <w:cantSplit/>
          <w:trHeight w:val="1010"/>
          <w:tblHeader/>
        </w:trPr>
        <w:tc>
          <w:tcPr>
            <w:tcW w:w="1660" w:type="pct"/>
          </w:tcPr>
          <w:p w14:paraId="03B583A6" w14:textId="77777777" w:rsidR="00092F83" w:rsidRPr="002B65F7" w:rsidRDefault="00092F83" w:rsidP="0052274A">
            <w:pPr>
              <w:keepNext/>
              <w:keepLines/>
              <w:widowControl/>
            </w:pPr>
          </w:p>
        </w:tc>
        <w:tc>
          <w:tcPr>
            <w:tcW w:w="919" w:type="pct"/>
          </w:tcPr>
          <w:p w14:paraId="253540EA" w14:textId="07081499" w:rsidR="00E13C87" w:rsidRPr="002B65F7" w:rsidRDefault="00C31740" w:rsidP="0052274A">
            <w:pPr>
              <w:keepNext/>
              <w:keepLines/>
              <w:widowControl/>
              <w:jc w:val="center"/>
              <w:rPr>
                <w:b/>
                <w:bCs/>
              </w:rPr>
            </w:pPr>
            <w:r w:rsidRPr="002B65F7">
              <w:rPr>
                <w:b/>
                <w:bCs/>
              </w:rPr>
              <w:t>Placebo</w:t>
            </w:r>
          </w:p>
          <w:p w14:paraId="03B583A7" w14:textId="0B250A0C" w:rsidR="00092F83" w:rsidRPr="002B65F7" w:rsidRDefault="00C31740" w:rsidP="0052274A">
            <w:pPr>
              <w:keepNext/>
              <w:keepLines/>
              <w:widowControl/>
              <w:jc w:val="center"/>
              <w:rPr>
                <w:b/>
                <w:bCs/>
              </w:rPr>
            </w:pPr>
            <w:r w:rsidRPr="002B65F7">
              <w:rPr>
                <w:b/>
                <w:bCs/>
              </w:rPr>
              <w:t>N</w:t>
            </w:r>
            <w:r w:rsidR="00E13C87" w:rsidRPr="002B65F7">
              <w:rPr>
                <w:b/>
                <w:bCs/>
              </w:rPr>
              <w:t> </w:t>
            </w:r>
            <w:r w:rsidRPr="002B65F7">
              <w:rPr>
                <w:b/>
                <w:bCs/>
              </w:rPr>
              <w:t>=</w:t>
            </w:r>
            <w:r w:rsidR="00E13C87" w:rsidRPr="002B65F7">
              <w:t> </w:t>
            </w:r>
            <w:r w:rsidRPr="002B65F7">
              <w:rPr>
                <w:b/>
                <w:bCs/>
              </w:rPr>
              <w:t>247</w:t>
            </w:r>
          </w:p>
        </w:tc>
        <w:tc>
          <w:tcPr>
            <w:tcW w:w="836" w:type="pct"/>
          </w:tcPr>
          <w:p w14:paraId="03B583A8" w14:textId="2F223D27" w:rsidR="00092F83" w:rsidRPr="002B65F7" w:rsidRDefault="00C31740" w:rsidP="0052274A">
            <w:pPr>
              <w:keepNext/>
              <w:keepLines/>
              <w:widowControl/>
              <w:jc w:val="center"/>
              <w:rPr>
                <w:b/>
                <w:bCs/>
              </w:rPr>
            </w:pPr>
            <w:r w:rsidRPr="002B65F7">
              <w:rPr>
                <w:b/>
                <w:bCs/>
              </w:rPr>
              <w:t>Dose recommandée d’</w:t>
            </w:r>
            <w:r w:rsidR="0071390F" w:rsidRPr="002B65F7">
              <w:rPr>
                <w:b/>
                <w:bCs/>
              </w:rPr>
              <w:t>ustekinumab</w:t>
            </w:r>
          </w:p>
          <w:p w14:paraId="03B583A9" w14:textId="1FFDF87D" w:rsidR="00092F83" w:rsidRPr="002B65F7" w:rsidRDefault="00C31740" w:rsidP="0052274A">
            <w:pPr>
              <w:keepNext/>
              <w:keepLines/>
              <w:widowControl/>
              <w:jc w:val="center"/>
              <w:rPr>
                <w:b/>
                <w:bCs/>
              </w:rPr>
            </w:pPr>
            <w:r w:rsidRPr="002B65F7">
              <w:rPr>
                <w:b/>
                <w:bCs/>
              </w:rPr>
              <w:t>N</w:t>
            </w:r>
            <w:r w:rsidR="00E13C87" w:rsidRPr="002B65F7">
              <w:rPr>
                <w:b/>
                <w:bCs/>
              </w:rPr>
              <w:t> </w:t>
            </w:r>
            <w:r w:rsidRPr="002B65F7">
              <w:rPr>
                <w:b/>
                <w:bCs/>
              </w:rPr>
              <w:t>=</w:t>
            </w:r>
            <w:r w:rsidR="00E13C87" w:rsidRPr="002B65F7">
              <w:rPr>
                <w:b/>
                <w:bCs/>
              </w:rPr>
              <w:t> </w:t>
            </w:r>
            <w:r w:rsidRPr="002B65F7">
              <w:rPr>
                <w:b/>
                <w:bCs/>
              </w:rPr>
              <w:t>249</w:t>
            </w:r>
          </w:p>
        </w:tc>
        <w:tc>
          <w:tcPr>
            <w:tcW w:w="692" w:type="pct"/>
          </w:tcPr>
          <w:p w14:paraId="04218D9F" w14:textId="77777777" w:rsidR="00E13C87" w:rsidRPr="002B65F7" w:rsidRDefault="00C31740" w:rsidP="0052274A">
            <w:pPr>
              <w:keepNext/>
              <w:keepLines/>
              <w:widowControl/>
              <w:jc w:val="center"/>
              <w:rPr>
                <w:b/>
                <w:bCs/>
              </w:rPr>
            </w:pPr>
            <w:r w:rsidRPr="002B65F7">
              <w:rPr>
                <w:b/>
                <w:bCs/>
              </w:rPr>
              <w:t>Placebo</w:t>
            </w:r>
          </w:p>
          <w:p w14:paraId="03B583AA" w14:textId="43F47F09" w:rsidR="00092F83" w:rsidRPr="002B65F7" w:rsidRDefault="00C31740" w:rsidP="0052274A">
            <w:pPr>
              <w:keepNext/>
              <w:keepLines/>
              <w:widowControl/>
              <w:jc w:val="center"/>
              <w:rPr>
                <w:b/>
                <w:bCs/>
              </w:rPr>
            </w:pPr>
            <w:r w:rsidRPr="002B65F7">
              <w:rPr>
                <w:b/>
                <w:bCs/>
              </w:rPr>
              <w:t>N</w:t>
            </w:r>
            <w:r w:rsidR="00AC65F0" w:rsidRPr="002B65F7">
              <w:rPr>
                <w:b/>
                <w:bCs/>
              </w:rPr>
              <w:t> </w:t>
            </w:r>
            <w:r w:rsidRPr="002B65F7">
              <w:rPr>
                <w:b/>
                <w:bCs/>
              </w:rPr>
              <w:t>=</w:t>
            </w:r>
            <w:r w:rsidR="00AC65F0" w:rsidRPr="002B65F7">
              <w:t> </w:t>
            </w:r>
            <w:r w:rsidRPr="002B65F7">
              <w:rPr>
                <w:b/>
                <w:bCs/>
              </w:rPr>
              <w:t>209</w:t>
            </w:r>
          </w:p>
        </w:tc>
        <w:tc>
          <w:tcPr>
            <w:tcW w:w="893" w:type="pct"/>
          </w:tcPr>
          <w:p w14:paraId="03B583AB" w14:textId="66A3D6BD" w:rsidR="00092F83" w:rsidRPr="002B65F7" w:rsidRDefault="00C31740" w:rsidP="0052274A">
            <w:pPr>
              <w:keepNext/>
              <w:keepLines/>
              <w:widowControl/>
              <w:jc w:val="center"/>
              <w:rPr>
                <w:b/>
                <w:bCs/>
              </w:rPr>
            </w:pPr>
            <w:r w:rsidRPr="002B65F7">
              <w:rPr>
                <w:b/>
                <w:bCs/>
              </w:rPr>
              <w:t>Dose recommandée d’</w:t>
            </w:r>
            <w:r w:rsidR="0071390F" w:rsidRPr="002B65F7">
              <w:rPr>
                <w:b/>
                <w:bCs/>
              </w:rPr>
              <w:t>ustekinumab</w:t>
            </w:r>
          </w:p>
          <w:p w14:paraId="03B583AC" w14:textId="3DEF1D39" w:rsidR="00092F83" w:rsidRPr="002B65F7" w:rsidRDefault="00C31740" w:rsidP="0052274A">
            <w:pPr>
              <w:keepNext/>
              <w:keepLines/>
              <w:widowControl/>
              <w:jc w:val="center"/>
              <w:rPr>
                <w:b/>
                <w:bCs/>
              </w:rPr>
            </w:pPr>
            <w:r w:rsidRPr="002B65F7">
              <w:rPr>
                <w:b/>
                <w:bCs/>
              </w:rPr>
              <w:t>N</w:t>
            </w:r>
            <w:r w:rsidR="00E13C87" w:rsidRPr="002B65F7">
              <w:rPr>
                <w:b/>
                <w:bCs/>
              </w:rPr>
              <w:t> </w:t>
            </w:r>
            <w:r w:rsidRPr="002B65F7">
              <w:rPr>
                <w:b/>
                <w:bCs/>
              </w:rPr>
              <w:t>=</w:t>
            </w:r>
            <w:r w:rsidR="00E13C87" w:rsidRPr="002B65F7">
              <w:rPr>
                <w:b/>
                <w:bCs/>
              </w:rPr>
              <w:t> </w:t>
            </w:r>
            <w:r w:rsidRPr="002B65F7">
              <w:rPr>
                <w:b/>
                <w:bCs/>
              </w:rPr>
              <w:t>209</w:t>
            </w:r>
          </w:p>
        </w:tc>
      </w:tr>
      <w:tr w:rsidR="00092F83" w:rsidRPr="002B65F7" w14:paraId="03B583B3" w14:textId="77777777" w:rsidTr="00621357">
        <w:trPr>
          <w:cantSplit/>
          <w:trHeight w:val="253"/>
        </w:trPr>
        <w:tc>
          <w:tcPr>
            <w:tcW w:w="1660" w:type="pct"/>
          </w:tcPr>
          <w:p w14:paraId="03B583AE" w14:textId="3A94249B" w:rsidR="00092F83" w:rsidRPr="002B65F7" w:rsidRDefault="00C31740" w:rsidP="0052274A">
            <w:pPr>
              <w:keepNext/>
              <w:keepLines/>
              <w:widowControl/>
            </w:pPr>
            <w:r w:rsidRPr="002B65F7">
              <w:t>Rémission clinique, semaine</w:t>
            </w:r>
            <w:r w:rsidR="00E13C87" w:rsidRPr="002B65F7">
              <w:t> </w:t>
            </w:r>
            <w:r w:rsidRPr="002B65F7">
              <w:t>8</w:t>
            </w:r>
          </w:p>
        </w:tc>
        <w:tc>
          <w:tcPr>
            <w:tcW w:w="919" w:type="pct"/>
          </w:tcPr>
          <w:p w14:paraId="03B583AF" w14:textId="77777777" w:rsidR="00092F83" w:rsidRPr="002B65F7" w:rsidRDefault="00C31740" w:rsidP="0052274A">
            <w:pPr>
              <w:keepNext/>
              <w:keepLines/>
              <w:widowControl/>
              <w:jc w:val="center"/>
            </w:pPr>
            <w:r w:rsidRPr="002B65F7">
              <w:t>18 (7,3%)</w:t>
            </w:r>
          </w:p>
        </w:tc>
        <w:tc>
          <w:tcPr>
            <w:tcW w:w="836" w:type="pct"/>
          </w:tcPr>
          <w:p w14:paraId="03B583B0" w14:textId="77777777" w:rsidR="00092F83" w:rsidRPr="002B65F7" w:rsidRDefault="00C31740" w:rsidP="0052274A">
            <w:pPr>
              <w:keepNext/>
              <w:keepLines/>
              <w:widowControl/>
              <w:jc w:val="center"/>
            </w:pPr>
            <w:r w:rsidRPr="002B65F7">
              <w:t>52 (20,9%)</w:t>
            </w:r>
            <w:r w:rsidRPr="002B65F7">
              <w:rPr>
                <w:vertAlign w:val="superscript"/>
              </w:rPr>
              <w:t>a</w:t>
            </w:r>
          </w:p>
        </w:tc>
        <w:tc>
          <w:tcPr>
            <w:tcW w:w="692" w:type="pct"/>
          </w:tcPr>
          <w:p w14:paraId="03B583B1" w14:textId="77777777" w:rsidR="00092F83" w:rsidRPr="002B65F7" w:rsidRDefault="00C31740" w:rsidP="0052274A">
            <w:pPr>
              <w:keepNext/>
              <w:keepLines/>
              <w:widowControl/>
              <w:jc w:val="center"/>
            </w:pPr>
            <w:r w:rsidRPr="002B65F7">
              <w:t>41 (19,6%)</w:t>
            </w:r>
          </w:p>
        </w:tc>
        <w:tc>
          <w:tcPr>
            <w:tcW w:w="893" w:type="pct"/>
          </w:tcPr>
          <w:p w14:paraId="03B583B2" w14:textId="77777777" w:rsidR="00092F83" w:rsidRPr="002B65F7" w:rsidRDefault="00C31740" w:rsidP="0052274A">
            <w:pPr>
              <w:keepNext/>
              <w:keepLines/>
              <w:widowControl/>
              <w:jc w:val="center"/>
            </w:pPr>
            <w:r w:rsidRPr="002B65F7">
              <w:t>84 (40,2%)</w:t>
            </w:r>
            <w:r w:rsidRPr="002B65F7">
              <w:rPr>
                <w:vertAlign w:val="superscript"/>
              </w:rPr>
              <w:t>a</w:t>
            </w:r>
          </w:p>
        </w:tc>
      </w:tr>
      <w:tr w:rsidR="00092F83" w:rsidRPr="002B65F7" w14:paraId="03B583B9" w14:textId="77777777" w:rsidTr="00621357">
        <w:trPr>
          <w:cantSplit/>
          <w:trHeight w:val="506"/>
        </w:trPr>
        <w:tc>
          <w:tcPr>
            <w:tcW w:w="1660" w:type="pct"/>
          </w:tcPr>
          <w:p w14:paraId="03B583B4" w14:textId="530E1B41" w:rsidR="00092F83" w:rsidRPr="002B65F7" w:rsidRDefault="00C31740" w:rsidP="0052274A">
            <w:pPr>
              <w:keepNext/>
              <w:keepLines/>
              <w:widowControl/>
            </w:pPr>
            <w:r w:rsidRPr="002B65F7">
              <w:t>Réponse clinique (100</w:t>
            </w:r>
            <w:r w:rsidR="00E13C87" w:rsidRPr="002B65F7">
              <w:t> </w:t>
            </w:r>
            <w:r w:rsidRPr="002B65F7">
              <w:t>points), semaine</w:t>
            </w:r>
            <w:r w:rsidR="00E13C87" w:rsidRPr="002B65F7">
              <w:t> </w:t>
            </w:r>
            <w:r w:rsidRPr="002B65F7">
              <w:t>6</w:t>
            </w:r>
          </w:p>
        </w:tc>
        <w:tc>
          <w:tcPr>
            <w:tcW w:w="919" w:type="pct"/>
          </w:tcPr>
          <w:p w14:paraId="03B583B5" w14:textId="77777777" w:rsidR="00092F83" w:rsidRPr="002B65F7" w:rsidRDefault="00C31740" w:rsidP="0052274A">
            <w:pPr>
              <w:keepNext/>
              <w:keepLines/>
              <w:widowControl/>
              <w:jc w:val="center"/>
            </w:pPr>
            <w:r w:rsidRPr="002B65F7">
              <w:t>53 (21,5%)</w:t>
            </w:r>
          </w:p>
        </w:tc>
        <w:tc>
          <w:tcPr>
            <w:tcW w:w="836" w:type="pct"/>
          </w:tcPr>
          <w:p w14:paraId="03B583B6" w14:textId="77777777" w:rsidR="00092F83" w:rsidRPr="002B65F7" w:rsidRDefault="00C31740" w:rsidP="0052274A">
            <w:pPr>
              <w:keepNext/>
              <w:keepLines/>
              <w:widowControl/>
              <w:jc w:val="center"/>
            </w:pPr>
            <w:r w:rsidRPr="002B65F7">
              <w:t>84 (33,7%)</w:t>
            </w:r>
            <w:r w:rsidRPr="002B65F7">
              <w:rPr>
                <w:vertAlign w:val="superscript"/>
              </w:rPr>
              <w:t>b</w:t>
            </w:r>
          </w:p>
        </w:tc>
        <w:tc>
          <w:tcPr>
            <w:tcW w:w="692" w:type="pct"/>
          </w:tcPr>
          <w:p w14:paraId="03B583B7" w14:textId="77777777" w:rsidR="00092F83" w:rsidRPr="002B65F7" w:rsidRDefault="00C31740" w:rsidP="0052274A">
            <w:pPr>
              <w:keepNext/>
              <w:keepLines/>
              <w:widowControl/>
              <w:jc w:val="center"/>
            </w:pPr>
            <w:r w:rsidRPr="002B65F7">
              <w:t>60 (28,7%)</w:t>
            </w:r>
          </w:p>
        </w:tc>
        <w:tc>
          <w:tcPr>
            <w:tcW w:w="893" w:type="pct"/>
          </w:tcPr>
          <w:p w14:paraId="03B583B8" w14:textId="77777777" w:rsidR="00092F83" w:rsidRPr="002B65F7" w:rsidRDefault="00C31740" w:rsidP="0052274A">
            <w:pPr>
              <w:keepNext/>
              <w:keepLines/>
              <w:widowControl/>
              <w:jc w:val="center"/>
            </w:pPr>
            <w:r w:rsidRPr="002B65F7">
              <w:t>116 (55,5%)</w:t>
            </w:r>
            <w:r w:rsidRPr="002B65F7">
              <w:rPr>
                <w:vertAlign w:val="superscript"/>
              </w:rPr>
              <w:t>a</w:t>
            </w:r>
          </w:p>
        </w:tc>
      </w:tr>
      <w:tr w:rsidR="00092F83" w:rsidRPr="002B65F7" w14:paraId="03B583C0" w14:textId="77777777" w:rsidTr="00621357">
        <w:trPr>
          <w:cantSplit/>
          <w:trHeight w:val="503"/>
        </w:trPr>
        <w:tc>
          <w:tcPr>
            <w:tcW w:w="1660" w:type="pct"/>
          </w:tcPr>
          <w:p w14:paraId="03B583BA" w14:textId="133D909D" w:rsidR="00092F83" w:rsidRPr="002B65F7" w:rsidRDefault="00C31740" w:rsidP="00496255">
            <w:pPr>
              <w:widowControl/>
            </w:pPr>
            <w:r w:rsidRPr="002B65F7">
              <w:t>Réponse clinique (100</w:t>
            </w:r>
            <w:r w:rsidR="00E13C87" w:rsidRPr="002B65F7">
              <w:t> </w:t>
            </w:r>
            <w:r w:rsidRPr="002B65F7">
              <w:t>points),</w:t>
            </w:r>
          </w:p>
          <w:p w14:paraId="03B583BB" w14:textId="5A9386D5" w:rsidR="00092F83" w:rsidRPr="002B65F7" w:rsidRDefault="00C31740" w:rsidP="00496255">
            <w:pPr>
              <w:widowControl/>
            </w:pPr>
            <w:r w:rsidRPr="002B65F7">
              <w:t>semaine</w:t>
            </w:r>
            <w:r w:rsidR="00E13C87" w:rsidRPr="002B65F7">
              <w:t> </w:t>
            </w:r>
            <w:r w:rsidRPr="002B65F7">
              <w:t>8</w:t>
            </w:r>
          </w:p>
        </w:tc>
        <w:tc>
          <w:tcPr>
            <w:tcW w:w="919" w:type="pct"/>
          </w:tcPr>
          <w:p w14:paraId="03B583BC" w14:textId="77777777" w:rsidR="00092F83" w:rsidRPr="002B65F7" w:rsidRDefault="00C31740" w:rsidP="00496255">
            <w:pPr>
              <w:widowControl/>
              <w:jc w:val="center"/>
            </w:pPr>
            <w:r w:rsidRPr="002B65F7">
              <w:t>50 (20,2%)</w:t>
            </w:r>
          </w:p>
        </w:tc>
        <w:tc>
          <w:tcPr>
            <w:tcW w:w="836" w:type="pct"/>
          </w:tcPr>
          <w:p w14:paraId="03B583BD" w14:textId="77777777" w:rsidR="00092F83" w:rsidRPr="002B65F7" w:rsidRDefault="00C31740" w:rsidP="00496255">
            <w:pPr>
              <w:widowControl/>
              <w:jc w:val="center"/>
            </w:pPr>
            <w:r w:rsidRPr="002B65F7">
              <w:t>94 (37,8%)</w:t>
            </w:r>
            <w:r w:rsidRPr="002B65F7">
              <w:rPr>
                <w:vertAlign w:val="superscript"/>
              </w:rPr>
              <w:t>a</w:t>
            </w:r>
          </w:p>
        </w:tc>
        <w:tc>
          <w:tcPr>
            <w:tcW w:w="692" w:type="pct"/>
          </w:tcPr>
          <w:p w14:paraId="03B583BE" w14:textId="77777777" w:rsidR="00092F83" w:rsidRPr="002B65F7" w:rsidRDefault="00C31740" w:rsidP="00496255">
            <w:pPr>
              <w:widowControl/>
              <w:jc w:val="center"/>
            </w:pPr>
            <w:r w:rsidRPr="002B65F7">
              <w:t>67 (32,1%)</w:t>
            </w:r>
          </w:p>
        </w:tc>
        <w:tc>
          <w:tcPr>
            <w:tcW w:w="893" w:type="pct"/>
          </w:tcPr>
          <w:p w14:paraId="03B583BF" w14:textId="77777777" w:rsidR="00092F83" w:rsidRPr="002B65F7" w:rsidRDefault="00C31740" w:rsidP="00496255">
            <w:pPr>
              <w:widowControl/>
              <w:jc w:val="center"/>
            </w:pPr>
            <w:r w:rsidRPr="002B65F7">
              <w:t>121 (57,9%)</w:t>
            </w:r>
            <w:r w:rsidRPr="002B65F7">
              <w:rPr>
                <w:vertAlign w:val="superscript"/>
              </w:rPr>
              <w:t>a</w:t>
            </w:r>
          </w:p>
        </w:tc>
      </w:tr>
      <w:tr w:rsidR="00092F83" w:rsidRPr="002B65F7" w14:paraId="03B583C6" w14:textId="77777777" w:rsidTr="00621357">
        <w:trPr>
          <w:cantSplit/>
          <w:trHeight w:val="254"/>
        </w:trPr>
        <w:tc>
          <w:tcPr>
            <w:tcW w:w="1660" w:type="pct"/>
          </w:tcPr>
          <w:p w14:paraId="03B583C1" w14:textId="07B2BEC8" w:rsidR="00092F83" w:rsidRPr="002B65F7" w:rsidRDefault="00C31740" w:rsidP="00496255">
            <w:pPr>
              <w:widowControl/>
            </w:pPr>
            <w:r w:rsidRPr="002B65F7">
              <w:t>Réponse 70</w:t>
            </w:r>
            <w:r w:rsidR="00E13C87" w:rsidRPr="002B65F7">
              <w:t> </w:t>
            </w:r>
            <w:r w:rsidRPr="002B65F7">
              <w:t>points, semaine</w:t>
            </w:r>
            <w:r w:rsidR="00E13C87" w:rsidRPr="002B65F7">
              <w:t> </w:t>
            </w:r>
            <w:r w:rsidRPr="002B65F7">
              <w:t>3</w:t>
            </w:r>
          </w:p>
        </w:tc>
        <w:tc>
          <w:tcPr>
            <w:tcW w:w="919" w:type="pct"/>
          </w:tcPr>
          <w:p w14:paraId="03B583C2" w14:textId="77777777" w:rsidR="00092F83" w:rsidRPr="002B65F7" w:rsidRDefault="00C31740" w:rsidP="00496255">
            <w:pPr>
              <w:widowControl/>
              <w:jc w:val="center"/>
            </w:pPr>
            <w:r w:rsidRPr="002B65F7">
              <w:t>67 (27,1%)</w:t>
            </w:r>
          </w:p>
        </w:tc>
        <w:tc>
          <w:tcPr>
            <w:tcW w:w="836" w:type="pct"/>
          </w:tcPr>
          <w:p w14:paraId="03B583C3" w14:textId="77777777" w:rsidR="00092F83" w:rsidRPr="002B65F7" w:rsidRDefault="00C31740" w:rsidP="00496255">
            <w:pPr>
              <w:widowControl/>
              <w:jc w:val="center"/>
            </w:pPr>
            <w:r w:rsidRPr="002B65F7">
              <w:t>101 (40,6%)</w:t>
            </w:r>
            <w:r w:rsidRPr="002B65F7">
              <w:rPr>
                <w:vertAlign w:val="superscript"/>
              </w:rPr>
              <w:t>b</w:t>
            </w:r>
          </w:p>
        </w:tc>
        <w:tc>
          <w:tcPr>
            <w:tcW w:w="692" w:type="pct"/>
          </w:tcPr>
          <w:p w14:paraId="03B583C4" w14:textId="77777777" w:rsidR="00092F83" w:rsidRPr="002B65F7" w:rsidRDefault="00C31740" w:rsidP="00496255">
            <w:pPr>
              <w:widowControl/>
              <w:jc w:val="center"/>
            </w:pPr>
            <w:r w:rsidRPr="002B65F7">
              <w:t>66 (31,6%)</w:t>
            </w:r>
          </w:p>
        </w:tc>
        <w:tc>
          <w:tcPr>
            <w:tcW w:w="893" w:type="pct"/>
          </w:tcPr>
          <w:p w14:paraId="03B583C5" w14:textId="77777777" w:rsidR="00092F83" w:rsidRPr="002B65F7" w:rsidRDefault="00C31740" w:rsidP="00496255">
            <w:pPr>
              <w:widowControl/>
              <w:jc w:val="center"/>
            </w:pPr>
            <w:r w:rsidRPr="002B65F7">
              <w:t>106 (50,7%)</w:t>
            </w:r>
            <w:r w:rsidRPr="002B65F7">
              <w:rPr>
                <w:vertAlign w:val="superscript"/>
              </w:rPr>
              <w:t>a</w:t>
            </w:r>
          </w:p>
        </w:tc>
      </w:tr>
      <w:tr w:rsidR="00092F83" w:rsidRPr="002B65F7" w14:paraId="03B583CC" w14:textId="77777777" w:rsidTr="00621357">
        <w:trPr>
          <w:cantSplit/>
          <w:trHeight w:val="251"/>
        </w:trPr>
        <w:tc>
          <w:tcPr>
            <w:tcW w:w="1660" w:type="pct"/>
          </w:tcPr>
          <w:p w14:paraId="03B583C7" w14:textId="3DED504B" w:rsidR="00092F83" w:rsidRPr="002B65F7" w:rsidRDefault="00C31740" w:rsidP="00496255">
            <w:pPr>
              <w:widowControl/>
            </w:pPr>
            <w:r w:rsidRPr="002B65F7">
              <w:t>Réponse 70</w:t>
            </w:r>
            <w:r w:rsidR="00E13C87" w:rsidRPr="002B65F7">
              <w:t> </w:t>
            </w:r>
            <w:r w:rsidRPr="002B65F7">
              <w:t>points, semaine</w:t>
            </w:r>
            <w:r w:rsidR="00E13C87" w:rsidRPr="002B65F7">
              <w:t> </w:t>
            </w:r>
            <w:r w:rsidRPr="002B65F7">
              <w:t>6</w:t>
            </w:r>
          </w:p>
        </w:tc>
        <w:tc>
          <w:tcPr>
            <w:tcW w:w="919" w:type="pct"/>
          </w:tcPr>
          <w:p w14:paraId="03B583C8" w14:textId="77777777" w:rsidR="00092F83" w:rsidRPr="002B65F7" w:rsidRDefault="00C31740" w:rsidP="00496255">
            <w:pPr>
              <w:widowControl/>
              <w:jc w:val="center"/>
            </w:pPr>
            <w:r w:rsidRPr="002B65F7">
              <w:t>75 (30,4%)</w:t>
            </w:r>
          </w:p>
        </w:tc>
        <w:tc>
          <w:tcPr>
            <w:tcW w:w="836" w:type="pct"/>
          </w:tcPr>
          <w:p w14:paraId="03B583C9" w14:textId="77777777" w:rsidR="00092F83" w:rsidRPr="002B65F7" w:rsidRDefault="00C31740" w:rsidP="00496255">
            <w:pPr>
              <w:widowControl/>
              <w:jc w:val="center"/>
            </w:pPr>
            <w:r w:rsidRPr="002B65F7">
              <w:t>109 (43,8%)</w:t>
            </w:r>
            <w:r w:rsidRPr="002B65F7">
              <w:rPr>
                <w:vertAlign w:val="superscript"/>
              </w:rPr>
              <w:t>b</w:t>
            </w:r>
          </w:p>
        </w:tc>
        <w:tc>
          <w:tcPr>
            <w:tcW w:w="692" w:type="pct"/>
          </w:tcPr>
          <w:p w14:paraId="03B583CA" w14:textId="77777777" w:rsidR="00092F83" w:rsidRPr="002B65F7" w:rsidRDefault="00C31740" w:rsidP="00496255">
            <w:pPr>
              <w:widowControl/>
              <w:jc w:val="center"/>
            </w:pPr>
            <w:r w:rsidRPr="002B65F7">
              <w:t>81 (38,8%)</w:t>
            </w:r>
          </w:p>
        </w:tc>
        <w:tc>
          <w:tcPr>
            <w:tcW w:w="893" w:type="pct"/>
          </w:tcPr>
          <w:p w14:paraId="03B583CB" w14:textId="77777777" w:rsidR="00092F83" w:rsidRPr="002B65F7" w:rsidRDefault="00C31740" w:rsidP="00496255">
            <w:pPr>
              <w:widowControl/>
              <w:jc w:val="center"/>
            </w:pPr>
            <w:r w:rsidRPr="002B65F7">
              <w:t>135 (64,6%)</w:t>
            </w:r>
            <w:r w:rsidRPr="002B65F7">
              <w:rPr>
                <w:vertAlign w:val="superscript"/>
              </w:rPr>
              <w:t>a</w:t>
            </w:r>
          </w:p>
        </w:tc>
      </w:tr>
    </w:tbl>
    <w:p w14:paraId="03B583CD" w14:textId="4478692A" w:rsidR="00092F83" w:rsidRPr="002B65F7" w:rsidRDefault="00C31740" w:rsidP="00496255">
      <w:pPr>
        <w:widowControl/>
        <w:rPr>
          <w:sz w:val="20"/>
          <w:szCs w:val="20"/>
        </w:rPr>
      </w:pPr>
      <w:r w:rsidRPr="002B65F7">
        <w:rPr>
          <w:sz w:val="20"/>
          <w:szCs w:val="20"/>
        </w:rPr>
        <w:t>La rémission clinique est définie comme un score CDAI</w:t>
      </w:r>
      <w:r w:rsidR="00AC65F0" w:rsidRPr="002B65F7">
        <w:rPr>
          <w:sz w:val="20"/>
          <w:szCs w:val="20"/>
        </w:rPr>
        <w:t> </w:t>
      </w:r>
      <w:r w:rsidRPr="002B65F7">
        <w:rPr>
          <w:sz w:val="20"/>
          <w:szCs w:val="20"/>
        </w:rPr>
        <w:t>&lt;</w:t>
      </w:r>
      <w:r w:rsidR="00AC65F0" w:rsidRPr="002B65F7">
        <w:rPr>
          <w:sz w:val="20"/>
          <w:szCs w:val="20"/>
        </w:rPr>
        <w:t> </w:t>
      </w:r>
      <w:r w:rsidRPr="002B65F7">
        <w:rPr>
          <w:sz w:val="20"/>
          <w:szCs w:val="20"/>
        </w:rPr>
        <w:t>150 ; La réponse clinique est définie comme une réduction du score CDAI d’au moins 100</w:t>
      </w:r>
      <w:r w:rsidR="00AC65F0" w:rsidRPr="002B65F7">
        <w:rPr>
          <w:sz w:val="20"/>
          <w:szCs w:val="20"/>
        </w:rPr>
        <w:t> </w:t>
      </w:r>
      <w:r w:rsidRPr="002B65F7">
        <w:rPr>
          <w:sz w:val="20"/>
          <w:szCs w:val="20"/>
        </w:rPr>
        <w:t>points ou un état de rémission clinique</w:t>
      </w:r>
    </w:p>
    <w:p w14:paraId="03B583CE" w14:textId="56C95986" w:rsidR="00092F83" w:rsidRPr="002B65F7" w:rsidRDefault="00C31740" w:rsidP="00496255">
      <w:pPr>
        <w:widowControl/>
        <w:rPr>
          <w:sz w:val="20"/>
          <w:szCs w:val="20"/>
        </w:rPr>
      </w:pPr>
      <w:r w:rsidRPr="002B65F7">
        <w:rPr>
          <w:sz w:val="20"/>
          <w:szCs w:val="20"/>
        </w:rPr>
        <w:t>La réponse 70</w:t>
      </w:r>
      <w:r w:rsidR="00AC65F0" w:rsidRPr="002B65F7">
        <w:rPr>
          <w:sz w:val="20"/>
          <w:szCs w:val="20"/>
        </w:rPr>
        <w:t> </w:t>
      </w:r>
      <w:r w:rsidRPr="002B65F7">
        <w:rPr>
          <w:sz w:val="20"/>
          <w:szCs w:val="20"/>
        </w:rPr>
        <w:t>points est définie comme une réduction du score CDAI d’au moins 70</w:t>
      </w:r>
      <w:r w:rsidR="00AC65F0" w:rsidRPr="002B65F7">
        <w:rPr>
          <w:sz w:val="20"/>
          <w:szCs w:val="20"/>
        </w:rPr>
        <w:t> </w:t>
      </w:r>
      <w:r w:rsidRPr="002B65F7">
        <w:rPr>
          <w:sz w:val="20"/>
          <w:szCs w:val="20"/>
        </w:rPr>
        <w:t>points</w:t>
      </w:r>
    </w:p>
    <w:p w14:paraId="03B583CF" w14:textId="5B04AFEB" w:rsidR="00092F83" w:rsidRPr="002B65F7" w:rsidRDefault="00AC65F0" w:rsidP="00496255">
      <w:pPr>
        <w:widowControl/>
        <w:rPr>
          <w:sz w:val="20"/>
          <w:szCs w:val="20"/>
        </w:rPr>
      </w:pPr>
      <w:r w:rsidRPr="002B65F7">
        <w:rPr>
          <w:b/>
          <w:bCs/>
          <w:sz w:val="20"/>
          <w:szCs w:val="20"/>
        </w:rPr>
        <w:lastRenderedPageBreak/>
        <w:t>*</w:t>
      </w:r>
      <w:r w:rsidRPr="002B65F7">
        <w:rPr>
          <w:sz w:val="20"/>
          <w:szCs w:val="20"/>
        </w:rPr>
        <w:t xml:space="preserve"> </w:t>
      </w:r>
      <w:r w:rsidR="00C31740" w:rsidRPr="002B65F7">
        <w:rPr>
          <w:sz w:val="20"/>
          <w:szCs w:val="20"/>
        </w:rPr>
        <w:t>Échec des anti-TNFα</w:t>
      </w:r>
    </w:p>
    <w:p w14:paraId="03B583D0" w14:textId="77777777" w:rsidR="00092F83" w:rsidRPr="002B65F7" w:rsidRDefault="00C31740" w:rsidP="00496255">
      <w:pPr>
        <w:widowControl/>
        <w:rPr>
          <w:sz w:val="20"/>
          <w:szCs w:val="20"/>
        </w:rPr>
      </w:pPr>
      <w:r w:rsidRPr="002B65F7">
        <w:rPr>
          <w:sz w:val="20"/>
          <w:szCs w:val="20"/>
        </w:rPr>
        <w:t>** Échec des traitements conventionnels</w:t>
      </w:r>
    </w:p>
    <w:p w14:paraId="03B583D1" w14:textId="07502A3C" w:rsidR="00092F83" w:rsidRPr="002B65F7" w:rsidRDefault="00C31740" w:rsidP="00496255">
      <w:pPr>
        <w:widowControl/>
        <w:rPr>
          <w:sz w:val="20"/>
          <w:szCs w:val="20"/>
        </w:rPr>
      </w:pPr>
      <w:r w:rsidRPr="002B65F7">
        <w:rPr>
          <w:sz w:val="20"/>
          <w:szCs w:val="20"/>
          <w:vertAlign w:val="superscript"/>
        </w:rPr>
        <w:t>a</w:t>
      </w:r>
      <w:r w:rsidRPr="002B65F7">
        <w:rPr>
          <w:sz w:val="20"/>
          <w:szCs w:val="20"/>
        </w:rPr>
        <w:t xml:space="preserve"> p</w:t>
      </w:r>
      <w:r w:rsidR="00AC65F0" w:rsidRPr="002B65F7">
        <w:rPr>
          <w:sz w:val="20"/>
          <w:szCs w:val="20"/>
        </w:rPr>
        <w:t> </w:t>
      </w:r>
      <w:r w:rsidRPr="002B65F7">
        <w:rPr>
          <w:sz w:val="20"/>
          <w:szCs w:val="20"/>
        </w:rPr>
        <w:t>&lt;</w:t>
      </w:r>
      <w:r w:rsidR="00AC65F0" w:rsidRPr="002B65F7">
        <w:rPr>
          <w:sz w:val="20"/>
          <w:szCs w:val="20"/>
        </w:rPr>
        <w:t> </w:t>
      </w:r>
      <w:r w:rsidRPr="002B65F7">
        <w:rPr>
          <w:sz w:val="20"/>
          <w:szCs w:val="20"/>
        </w:rPr>
        <w:t>0,001</w:t>
      </w:r>
    </w:p>
    <w:p w14:paraId="03B583D2" w14:textId="2D827436" w:rsidR="00092F83" w:rsidRPr="002B65F7" w:rsidRDefault="00AC65F0" w:rsidP="00496255">
      <w:pPr>
        <w:widowControl/>
        <w:rPr>
          <w:sz w:val="20"/>
          <w:szCs w:val="20"/>
        </w:rPr>
      </w:pPr>
      <w:r w:rsidRPr="002B65F7">
        <w:rPr>
          <w:sz w:val="20"/>
          <w:szCs w:val="20"/>
          <w:vertAlign w:val="superscript"/>
        </w:rPr>
        <w:t>b</w:t>
      </w:r>
      <w:r w:rsidRPr="002B65F7">
        <w:rPr>
          <w:sz w:val="20"/>
          <w:szCs w:val="20"/>
        </w:rPr>
        <w:t xml:space="preserve"> </w:t>
      </w:r>
      <w:r w:rsidR="00C31740" w:rsidRPr="002B65F7">
        <w:rPr>
          <w:sz w:val="20"/>
          <w:szCs w:val="20"/>
        </w:rPr>
        <w:t>p</w:t>
      </w:r>
      <w:r w:rsidRPr="002B65F7">
        <w:rPr>
          <w:sz w:val="20"/>
          <w:szCs w:val="20"/>
        </w:rPr>
        <w:t> </w:t>
      </w:r>
      <w:r w:rsidR="00C31740" w:rsidRPr="002B65F7">
        <w:rPr>
          <w:sz w:val="20"/>
          <w:szCs w:val="20"/>
        </w:rPr>
        <w:t>&lt;</w:t>
      </w:r>
      <w:r w:rsidRPr="002B65F7">
        <w:rPr>
          <w:sz w:val="20"/>
          <w:szCs w:val="20"/>
        </w:rPr>
        <w:t> </w:t>
      </w:r>
      <w:r w:rsidR="00C31740" w:rsidRPr="002B65F7">
        <w:rPr>
          <w:sz w:val="20"/>
          <w:szCs w:val="20"/>
        </w:rPr>
        <w:t>0,01</w:t>
      </w:r>
    </w:p>
    <w:p w14:paraId="03B583D3" w14:textId="77777777" w:rsidR="00092F83" w:rsidRPr="002B65F7" w:rsidRDefault="00092F83" w:rsidP="00496255">
      <w:pPr>
        <w:widowControl/>
      </w:pPr>
    </w:p>
    <w:p w14:paraId="03B583D5" w14:textId="697F2481" w:rsidR="00092F83" w:rsidRPr="002B65F7" w:rsidRDefault="00C31740" w:rsidP="00496255">
      <w:pPr>
        <w:widowControl/>
      </w:pPr>
      <w:r w:rsidRPr="002B65F7">
        <w:t>L’étude d’entretien (IM-UNITI) a évalué 388</w:t>
      </w:r>
      <w:r w:rsidR="008C4326" w:rsidRPr="002B65F7">
        <w:t> </w:t>
      </w:r>
      <w:r w:rsidRPr="002B65F7">
        <w:t>patients ayant obtenu une réponse clinique de 100</w:t>
      </w:r>
      <w:r w:rsidR="008C4326" w:rsidRPr="002B65F7">
        <w:t> </w:t>
      </w:r>
      <w:r w:rsidRPr="002B65F7">
        <w:t>points à la semaine</w:t>
      </w:r>
      <w:r w:rsidR="0080744B" w:rsidRPr="002B65F7">
        <w:t> </w:t>
      </w:r>
      <w:r w:rsidRPr="002B65F7">
        <w:t xml:space="preserve">8 après un traitement d’induction par </w:t>
      </w:r>
      <w:r w:rsidR="0071390F" w:rsidRPr="002B65F7">
        <w:t>ustekinumab</w:t>
      </w:r>
      <w:r w:rsidRPr="002B65F7">
        <w:t xml:space="preserve"> dans les études UNITI-1 et UNITI-2. Les patients étaient randomisés pour recevoir un traitement d’entretien sous-cutané par 90</w:t>
      </w:r>
      <w:r w:rsidR="008C4326" w:rsidRPr="002B65F7">
        <w:t> </w:t>
      </w:r>
      <w:r w:rsidRPr="002B65F7">
        <w:t>mg d’</w:t>
      </w:r>
      <w:r w:rsidR="0071390F" w:rsidRPr="002B65F7">
        <w:t>ustekinumab</w:t>
      </w:r>
      <w:r w:rsidRPr="002B65F7">
        <w:t xml:space="preserve"> toutes les 8</w:t>
      </w:r>
      <w:r w:rsidR="008C4326" w:rsidRPr="002B65F7">
        <w:t> </w:t>
      </w:r>
      <w:r w:rsidRPr="002B65F7">
        <w:t>semaines, ou 90</w:t>
      </w:r>
      <w:r w:rsidR="008C4326" w:rsidRPr="002B65F7">
        <w:t> </w:t>
      </w:r>
      <w:r w:rsidRPr="002B65F7">
        <w:t>mg d’</w:t>
      </w:r>
      <w:r w:rsidR="0071390F" w:rsidRPr="002B65F7">
        <w:t>ustekinumab</w:t>
      </w:r>
      <w:r w:rsidRPr="002B65F7">
        <w:t xml:space="preserve"> toutes les 12</w:t>
      </w:r>
      <w:r w:rsidR="008C4326" w:rsidRPr="002B65F7">
        <w:t> </w:t>
      </w:r>
      <w:r w:rsidRPr="002B65F7">
        <w:t>semaines ou un placebo pendant 44</w:t>
      </w:r>
      <w:r w:rsidR="0080744B" w:rsidRPr="002B65F7">
        <w:t> </w:t>
      </w:r>
      <w:r w:rsidRPr="002B65F7">
        <w:t>semaines (pour la posologie recommandée pour le traitement d’entretien, voir</w:t>
      </w:r>
      <w:r w:rsidR="008C4326" w:rsidRPr="002B65F7">
        <w:t xml:space="preserve"> </w:t>
      </w:r>
      <w:r w:rsidRPr="002B65F7">
        <w:t>rubrique</w:t>
      </w:r>
      <w:r w:rsidR="008C4326" w:rsidRPr="002B65F7">
        <w:t> </w:t>
      </w:r>
      <w:r w:rsidRPr="002B65F7">
        <w:t>4.2).</w:t>
      </w:r>
    </w:p>
    <w:p w14:paraId="03B583D6" w14:textId="77777777" w:rsidR="00092F83" w:rsidRPr="002B65F7" w:rsidRDefault="00092F83" w:rsidP="00496255">
      <w:pPr>
        <w:widowControl/>
      </w:pPr>
    </w:p>
    <w:p w14:paraId="03B583D7" w14:textId="5989564C" w:rsidR="00092F83" w:rsidRPr="002B65F7" w:rsidRDefault="00C31740" w:rsidP="00496255">
      <w:pPr>
        <w:widowControl/>
      </w:pPr>
      <w:r w:rsidRPr="002B65F7">
        <w:t xml:space="preserve">Une proportion significativement supérieure de patients a maintenu une rémission et une réponse cliniques dans les groupes traités par </w:t>
      </w:r>
      <w:r w:rsidR="0071390F" w:rsidRPr="002B65F7">
        <w:t>ustekinumab</w:t>
      </w:r>
      <w:r w:rsidRPr="002B65F7">
        <w:t xml:space="preserve"> comparativement au groupe placebo à la semaine</w:t>
      </w:r>
      <w:r w:rsidR="008C4326" w:rsidRPr="002B65F7">
        <w:t> </w:t>
      </w:r>
      <w:r w:rsidRPr="002B65F7">
        <w:t xml:space="preserve">44 (voir </w:t>
      </w:r>
      <w:r w:rsidR="00401F09" w:rsidRPr="002B65F7">
        <w:t>t</w:t>
      </w:r>
      <w:r w:rsidRPr="002B65F7">
        <w:t>ableau</w:t>
      </w:r>
      <w:r w:rsidR="008C4326" w:rsidRPr="002B65F7">
        <w:t> </w:t>
      </w:r>
      <w:r w:rsidRPr="002B65F7">
        <w:t>10).</w:t>
      </w:r>
    </w:p>
    <w:p w14:paraId="024EB152" w14:textId="77777777" w:rsidR="00212724" w:rsidRPr="002B65F7" w:rsidRDefault="00212724" w:rsidP="00496255">
      <w:pPr>
        <w:widowControl/>
      </w:pPr>
    </w:p>
    <w:p w14:paraId="03B583D8" w14:textId="0241036A" w:rsidR="00092F83" w:rsidRPr="002B65F7" w:rsidRDefault="00C31740" w:rsidP="00496255">
      <w:pPr>
        <w:keepNext/>
        <w:widowControl/>
        <w:rPr>
          <w:b/>
          <w:bCs/>
        </w:rPr>
      </w:pPr>
      <w:r w:rsidRPr="002B65F7">
        <w:rPr>
          <w:b/>
          <w:bCs/>
        </w:rPr>
        <w:t>Tableau</w:t>
      </w:r>
      <w:r w:rsidR="00B15BC4" w:rsidRPr="002B65F7">
        <w:rPr>
          <w:b/>
          <w:bCs/>
        </w:rPr>
        <w:t> </w:t>
      </w:r>
      <w:r w:rsidRPr="002B65F7">
        <w:rPr>
          <w:b/>
          <w:bCs/>
        </w:rPr>
        <w:t>10</w:t>
      </w:r>
      <w:r w:rsidR="00212724" w:rsidRPr="002B65F7">
        <w:rPr>
          <w:b/>
          <w:bCs/>
        </w:rPr>
        <w:t>.</w:t>
      </w:r>
      <w:r w:rsidRPr="002B65F7">
        <w:rPr>
          <w:b/>
          <w:bCs/>
        </w:rPr>
        <w:t xml:space="preserve"> Maintien de la réponse et de la rémission cliniques dans l’étude IM-UNITI (semaine</w:t>
      </w:r>
      <w:r w:rsidR="00212724" w:rsidRPr="002B65F7">
        <w:rPr>
          <w:b/>
          <w:bCs/>
        </w:rPr>
        <w:t> </w:t>
      </w:r>
      <w:r w:rsidRPr="002B65F7">
        <w:rPr>
          <w:b/>
          <w:bCs/>
        </w:rPr>
        <w:t>44 ; 52</w:t>
      </w:r>
      <w:r w:rsidR="00212724" w:rsidRPr="002B65F7">
        <w:rPr>
          <w:b/>
          <w:bCs/>
        </w:rPr>
        <w:t> </w:t>
      </w:r>
      <w:r w:rsidRPr="002B65F7">
        <w:rPr>
          <w:b/>
          <w:bCs/>
        </w:rPr>
        <w:t>semaines après l’initiation avec la dose d’induction)</w:t>
      </w:r>
    </w:p>
    <w:p w14:paraId="40BD3313" w14:textId="77777777" w:rsidR="00212724" w:rsidRPr="002B65F7" w:rsidRDefault="00212724" w:rsidP="00496255">
      <w:pPr>
        <w:keepNext/>
        <w:widowControl/>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9"/>
        <w:gridCol w:w="1381"/>
        <w:gridCol w:w="1660"/>
        <w:gridCol w:w="1731"/>
      </w:tblGrid>
      <w:tr w:rsidR="004070DA" w:rsidRPr="002B65F7" w14:paraId="77120905" w14:textId="77777777" w:rsidTr="004B12BC">
        <w:trPr>
          <w:cantSplit/>
          <w:trHeight w:val="1264"/>
          <w:tblHeader/>
        </w:trPr>
        <w:tc>
          <w:tcPr>
            <w:tcW w:w="2367" w:type="pct"/>
          </w:tcPr>
          <w:p w14:paraId="14A717C8" w14:textId="77777777" w:rsidR="004070DA" w:rsidRPr="002B65F7" w:rsidRDefault="004070DA" w:rsidP="008509A1">
            <w:pPr>
              <w:keepNext/>
              <w:widowControl/>
              <w:adjustRightInd w:val="0"/>
              <w:snapToGrid w:val="0"/>
            </w:pPr>
          </w:p>
        </w:tc>
        <w:tc>
          <w:tcPr>
            <w:tcW w:w="762" w:type="pct"/>
          </w:tcPr>
          <w:p w14:paraId="69481478" w14:textId="77777777" w:rsidR="004070DA" w:rsidRPr="002B65F7" w:rsidRDefault="004070DA" w:rsidP="008509A1">
            <w:pPr>
              <w:keepNext/>
              <w:widowControl/>
              <w:adjustRightInd w:val="0"/>
              <w:snapToGrid w:val="0"/>
              <w:jc w:val="center"/>
              <w:rPr>
                <w:b/>
                <w:bCs/>
              </w:rPr>
            </w:pPr>
            <w:r w:rsidRPr="002B65F7">
              <w:rPr>
                <w:b/>
                <w:bCs/>
              </w:rPr>
              <w:t>Placebo*</w:t>
            </w:r>
          </w:p>
          <w:p w14:paraId="0D461E02" w14:textId="77777777" w:rsidR="004070DA" w:rsidRPr="002B65F7" w:rsidRDefault="004070DA" w:rsidP="008509A1">
            <w:pPr>
              <w:keepNext/>
              <w:widowControl/>
              <w:adjustRightInd w:val="0"/>
              <w:snapToGrid w:val="0"/>
              <w:jc w:val="center"/>
              <w:rPr>
                <w:b/>
                <w:bCs/>
              </w:rPr>
            </w:pPr>
          </w:p>
          <w:p w14:paraId="55F9E11B" w14:textId="77777777" w:rsidR="004070DA" w:rsidRPr="002B65F7" w:rsidRDefault="004070DA" w:rsidP="008509A1">
            <w:pPr>
              <w:keepNext/>
              <w:widowControl/>
              <w:adjustRightInd w:val="0"/>
              <w:snapToGrid w:val="0"/>
              <w:jc w:val="center"/>
              <w:rPr>
                <w:b/>
                <w:bCs/>
              </w:rPr>
            </w:pPr>
          </w:p>
          <w:p w14:paraId="6E3DB35B" w14:textId="77777777" w:rsidR="004070DA" w:rsidRPr="002B65F7" w:rsidRDefault="004070DA" w:rsidP="008509A1">
            <w:pPr>
              <w:keepNext/>
              <w:widowControl/>
              <w:adjustRightInd w:val="0"/>
              <w:snapToGrid w:val="0"/>
              <w:jc w:val="center"/>
              <w:rPr>
                <w:b/>
                <w:bCs/>
              </w:rPr>
            </w:pPr>
          </w:p>
          <w:p w14:paraId="50168F23" w14:textId="77777777" w:rsidR="004070DA" w:rsidRPr="002B65F7" w:rsidRDefault="004070DA" w:rsidP="008509A1">
            <w:pPr>
              <w:keepNext/>
              <w:widowControl/>
              <w:adjustRightInd w:val="0"/>
              <w:snapToGrid w:val="0"/>
              <w:jc w:val="center"/>
            </w:pPr>
            <w:r w:rsidRPr="002B65F7">
              <w:rPr>
                <w:b/>
                <w:bCs/>
              </w:rPr>
              <w:t>N = 131</w:t>
            </w:r>
            <w:r w:rsidRPr="002B65F7">
              <w:rPr>
                <w:b/>
                <w:bCs/>
                <w:vertAlign w:val="superscript"/>
              </w:rPr>
              <w:t>†</w:t>
            </w:r>
          </w:p>
        </w:tc>
        <w:tc>
          <w:tcPr>
            <w:tcW w:w="916" w:type="pct"/>
          </w:tcPr>
          <w:p w14:paraId="0C7E0CE8" w14:textId="57EE67D6" w:rsidR="004070DA" w:rsidRPr="002B65F7" w:rsidRDefault="004070DA" w:rsidP="008509A1">
            <w:pPr>
              <w:keepNext/>
              <w:widowControl/>
              <w:adjustRightInd w:val="0"/>
              <w:snapToGrid w:val="0"/>
              <w:jc w:val="center"/>
              <w:rPr>
                <w:b/>
                <w:bCs/>
              </w:rPr>
            </w:pPr>
            <w:r w:rsidRPr="002B65F7">
              <w:rPr>
                <w:b/>
                <w:bCs/>
              </w:rPr>
              <w:t>90 mg d’</w:t>
            </w:r>
            <w:r w:rsidR="0071390F" w:rsidRPr="002B65F7">
              <w:rPr>
                <w:b/>
                <w:bCs/>
              </w:rPr>
              <w:t>ustekinumab</w:t>
            </w:r>
            <w:r w:rsidRPr="002B65F7">
              <w:rPr>
                <w:b/>
                <w:bCs/>
              </w:rPr>
              <w:t xml:space="preserve"> toutes les 8 semaines</w:t>
            </w:r>
          </w:p>
          <w:p w14:paraId="5AC1D5EE" w14:textId="77777777" w:rsidR="004070DA" w:rsidRPr="002B65F7" w:rsidRDefault="004070DA" w:rsidP="008509A1">
            <w:pPr>
              <w:keepNext/>
              <w:widowControl/>
              <w:adjustRightInd w:val="0"/>
              <w:snapToGrid w:val="0"/>
              <w:jc w:val="center"/>
            </w:pPr>
            <w:r w:rsidRPr="002B65F7">
              <w:rPr>
                <w:b/>
                <w:bCs/>
              </w:rPr>
              <w:t>N = 128</w:t>
            </w:r>
            <w:r w:rsidRPr="002B65F7">
              <w:rPr>
                <w:b/>
                <w:bCs/>
                <w:vertAlign w:val="superscript"/>
              </w:rPr>
              <w:t>†</w:t>
            </w:r>
          </w:p>
        </w:tc>
        <w:tc>
          <w:tcPr>
            <w:tcW w:w="955" w:type="pct"/>
          </w:tcPr>
          <w:p w14:paraId="64C385C3" w14:textId="5F95E453" w:rsidR="008509A1" w:rsidRPr="002B65F7" w:rsidRDefault="004070DA" w:rsidP="008509A1">
            <w:pPr>
              <w:keepNext/>
              <w:widowControl/>
              <w:adjustRightInd w:val="0"/>
              <w:snapToGrid w:val="0"/>
              <w:jc w:val="center"/>
              <w:rPr>
                <w:b/>
                <w:bCs/>
              </w:rPr>
            </w:pPr>
            <w:r w:rsidRPr="002B65F7">
              <w:rPr>
                <w:b/>
                <w:bCs/>
              </w:rPr>
              <w:t>90 mg d’</w:t>
            </w:r>
            <w:r w:rsidR="0071390F" w:rsidRPr="002B65F7">
              <w:rPr>
                <w:b/>
                <w:bCs/>
              </w:rPr>
              <w:t>ustekinumab</w:t>
            </w:r>
            <w:r w:rsidRPr="002B65F7">
              <w:rPr>
                <w:b/>
                <w:bCs/>
              </w:rPr>
              <w:t xml:space="preserve"> toutes les 12 semaines</w:t>
            </w:r>
          </w:p>
          <w:p w14:paraId="5938E766" w14:textId="57F4C8AD" w:rsidR="004070DA" w:rsidRPr="002B65F7" w:rsidRDefault="004070DA" w:rsidP="008509A1">
            <w:pPr>
              <w:keepNext/>
              <w:widowControl/>
              <w:adjustRightInd w:val="0"/>
              <w:snapToGrid w:val="0"/>
              <w:jc w:val="center"/>
              <w:rPr>
                <w:b/>
                <w:bCs/>
              </w:rPr>
            </w:pPr>
            <w:r w:rsidRPr="002B65F7">
              <w:rPr>
                <w:b/>
                <w:bCs/>
              </w:rPr>
              <w:t>N = 129</w:t>
            </w:r>
            <w:r w:rsidRPr="002B65F7">
              <w:rPr>
                <w:b/>
                <w:bCs/>
                <w:vertAlign w:val="superscript"/>
              </w:rPr>
              <w:t>†</w:t>
            </w:r>
          </w:p>
        </w:tc>
      </w:tr>
      <w:tr w:rsidR="004070DA" w:rsidRPr="002B65F7" w14:paraId="1342514C" w14:textId="77777777" w:rsidTr="004B12BC">
        <w:trPr>
          <w:cantSplit/>
          <w:trHeight w:val="251"/>
        </w:trPr>
        <w:tc>
          <w:tcPr>
            <w:tcW w:w="2367" w:type="pct"/>
          </w:tcPr>
          <w:p w14:paraId="09F10446" w14:textId="77777777" w:rsidR="004070DA" w:rsidRPr="002B65F7" w:rsidRDefault="004070DA" w:rsidP="00496255">
            <w:pPr>
              <w:widowControl/>
              <w:adjustRightInd w:val="0"/>
              <w:snapToGrid w:val="0"/>
            </w:pPr>
            <w:r w:rsidRPr="002B65F7">
              <w:t>Rémission clinique</w:t>
            </w:r>
          </w:p>
        </w:tc>
        <w:tc>
          <w:tcPr>
            <w:tcW w:w="762" w:type="pct"/>
          </w:tcPr>
          <w:p w14:paraId="7E3DA3DA" w14:textId="77777777" w:rsidR="004070DA" w:rsidRPr="002B65F7" w:rsidRDefault="004070DA" w:rsidP="00496255">
            <w:pPr>
              <w:widowControl/>
              <w:adjustRightInd w:val="0"/>
              <w:snapToGrid w:val="0"/>
              <w:jc w:val="center"/>
            </w:pPr>
            <w:r w:rsidRPr="002B65F7">
              <w:t>36%</w:t>
            </w:r>
          </w:p>
        </w:tc>
        <w:tc>
          <w:tcPr>
            <w:tcW w:w="916" w:type="pct"/>
          </w:tcPr>
          <w:p w14:paraId="1DC3EBC4" w14:textId="77777777" w:rsidR="004070DA" w:rsidRPr="002B65F7" w:rsidRDefault="004070DA" w:rsidP="00496255">
            <w:pPr>
              <w:widowControl/>
              <w:adjustRightInd w:val="0"/>
              <w:snapToGrid w:val="0"/>
              <w:jc w:val="center"/>
            </w:pPr>
            <w:r w:rsidRPr="002B65F7">
              <w:t>53%</w:t>
            </w:r>
            <w:r w:rsidRPr="002B65F7">
              <w:rPr>
                <w:vertAlign w:val="superscript"/>
              </w:rPr>
              <w:t>a</w:t>
            </w:r>
          </w:p>
        </w:tc>
        <w:tc>
          <w:tcPr>
            <w:tcW w:w="955" w:type="pct"/>
          </w:tcPr>
          <w:p w14:paraId="00388491" w14:textId="77777777" w:rsidR="004070DA" w:rsidRPr="002B65F7" w:rsidRDefault="004070DA" w:rsidP="00496255">
            <w:pPr>
              <w:widowControl/>
              <w:adjustRightInd w:val="0"/>
              <w:snapToGrid w:val="0"/>
              <w:jc w:val="center"/>
            </w:pPr>
            <w:r w:rsidRPr="002B65F7">
              <w:t>49%</w:t>
            </w:r>
            <w:r w:rsidRPr="002B65F7">
              <w:rPr>
                <w:vertAlign w:val="superscript"/>
              </w:rPr>
              <w:t>b</w:t>
            </w:r>
          </w:p>
        </w:tc>
      </w:tr>
      <w:tr w:rsidR="004070DA" w:rsidRPr="002B65F7" w14:paraId="4FC7C067" w14:textId="77777777" w:rsidTr="004B12BC">
        <w:trPr>
          <w:cantSplit/>
          <w:trHeight w:val="251"/>
        </w:trPr>
        <w:tc>
          <w:tcPr>
            <w:tcW w:w="2367" w:type="pct"/>
          </w:tcPr>
          <w:p w14:paraId="723580F0" w14:textId="77777777" w:rsidR="004070DA" w:rsidRPr="002B65F7" w:rsidRDefault="004070DA" w:rsidP="00496255">
            <w:pPr>
              <w:widowControl/>
              <w:adjustRightInd w:val="0"/>
              <w:snapToGrid w:val="0"/>
            </w:pPr>
            <w:r w:rsidRPr="002B65F7">
              <w:t>Réponse clinique</w:t>
            </w:r>
          </w:p>
        </w:tc>
        <w:tc>
          <w:tcPr>
            <w:tcW w:w="762" w:type="pct"/>
          </w:tcPr>
          <w:p w14:paraId="09A06578" w14:textId="77777777" w:rsidR="004070DA" w:rsidRPr="002B65F7" w:rsidRDefault="004070DA" w:rsidP="00496255">
            <w:pPr>
              <w:widowControl/>
              <w:adjustRightInd w:val="0"/>
              <w:snapToGrid w:val="0"/>
              <w:jc w:val="center"/>
            </w:pPr>
            <w:r w:rsidRPr="002B65F7">
              <w:t>44%</w:t>
            </w:r>
          </w:p>
        </w:tc>
        <w:tc>
          <w:tcPr>
            <w:tcW w:w="916" w:type="pct"/>
          </w:tcPr>
          <w:p w14:paraId="69615008" w14:textId="77777777" w:rsidR="004070DA" w:rsidRPr="002B65F7" w:rsidRDefault="004070DA" w:rsidP="00496255">
            <w:pPr>
              <w:widowControl/>
              <w:adjustRightInd w:val="0"/>
              <w:snapToGrid w:val="0"/>
              <w:jc w:val="center"/>
            </w:pPr>
            <w:r w:rsidRPr="002B65F7">
              <w:t>59%</w:t>
            </w:r>
            <w:r w:rsidRPr="002B65F7">
              <w:rPr>
                <w:vertAlign w:val="superscript"/>
              </w:rPr>
              <w:t>b</w:t>
            </w:r>
          </w:p>
        </w:tc>
        <w:tc>
          <w:tcPr>
            <w:tcW w:w="955" w:type="pct"/>
          </w:tcPr>
          <w:p w14:paraId="55483FE3" w14:textId="77777777" w:rsidR="004070DA" w:rsidRPr="002B65F7" w:rsidRDefault="004070DA" w:rsidP="00496255">
            <w:pPr>
              <w:widowControl/>
              <w:adjustRightInd w:val="0"/>
              <w:snapToGrid w:val="0"/>
              <w:jc w:val="center"/>
            </w:pPr>
            <w:r w:rsidRPr="002B65F7">
              <w:t>58%</w:t>
            </w:r>
            <w:r w:rsidRPr="002B65F7">
              <w:rPr>
                <w:vertAlign w:val="superscript"/>
              </w:rPr>
              <w:t>b</w:t>
            </w:r>
          </w:p>
        </w:tc>
      </w:tr>
      <w:tr w:rsidR="004070DA" w:rsidRPr="002B65F7" w14:paraId="37780F57" w14:textId="77777777" w:rsidTr="004B12BC">
        <w:trPr>
          <w:cantSplit/>
          <w:trHeight w:val="254"/>
        </w:trPr>
        <w:tc>
          <w:tcPr>
            <w:tcW w:w="2367" w:type="pct"/>
          </w:tcPr>
          <w:p w14:paraId="3D2D208F" w14:textId="77777777" w:rsidR="004070DA" w:rsidRPr="002B65F7" w:rsidRDefault="004070DA" w:rsidP="00496255">
            <w:pPr>
              <w:widowControl/>
              <w:adjustRightInd w:val="0"/>
              <w:snapToGrid w:val="0"/>
            </w:pPr>
            <w:r w:rsidRPr="002B65F7">
              <w:t>Rémission clinique sans corticoïdes</w:t>
            </w:r>
          </w:p>
        </w:tc>
        <w:tc>
          <w:tcPr>
            <w:tcW w:w="762" w:type="pct"/>
          </w:tcPr>
          <w:p w14:paraId="0746F26F" w14:textId="77777777" w:rsidR="004070DA" w:rsidRPr="002B65F7" w:rsidRDefault="004070DA" w:rsidP="00496255">
            <w:pPr>
              <w:widowControl/>
              <w:adjustRightInd w:val="0"/>
              <w:snapToGrid w:val="0"/>
              <w:jc w:val="center"/>
            </w:pPr>
            <w:r w:rsidRPr="002B65F7">
              <w:t>30%</w:t>
            </w:r>
          </w:p>
        </w:tc>
        <w:tc>
          <w:tcPr>
            <w:tcW w:w="916" w:type="pct"/>
          </w:tcPr>
          <w:p w14:paraId="47CF2FB1" w14:textId="77777777" w:rsidR="004070DA" w:rsidRPr="002B65F7" w:rsidRDefault="004070DA" w:rsidP="00496255">
            <w:pPr>
              <w:widowControl/>
              <w:adjustRightInd w:val="0"/>
              <w:snapToGrid w:val="0"/>
              <w:jc w:val="center"/>
            </w:pPr>
            <w:r w:rsidRPr="002B65F7">
              <w:t>47%</w:t>
            </w:r>
            <w:r w:rsidRPr="002B65F7">
              <w:rPr>
                <w:vertAlign w:val="superscript"/>
              </w:rPr>
              <w:t>a</w:t>
            </w:r>
          </w:p>
        </w:tc>
        <w:tc>
          <w:tcPr>
            <w:tcW w:w="955" w:type="pct"/>
          </w:tcPr>
          <w:p w14:paraId="726568F2" w14:textId="77777777" w:rsidR="004070DA" w:rsidRPr="002B65F7" w:rsidRDefault="004070DA" w:rsidP="00496255">
            <w:pPr>
              <w:widowControl/>
              <w:adjustRightInd w:val="0"/>
              <w:snapToGrid w:val="0"/>
              <w:jc w:val="center"/>
            </w:pPr>
            <w:r w:rsidRPr="002B65F7">
              <w:t>43%</w:t>
            </w:r>
            <w:r w:rsidRPr="002B65F7">
              <w:rPr>
                <w:vertAlign w:val="superscript"/>
              </w:rPr>
              <w:t>c</w:t>
            </w:r>
          </w:p>
        </w:tc>
      </w:tr>
      <w:tr w:rsidR="004070DA" w:rsidRPr="002B65F7" w14:paraId="7138207E" w14:textId="77777777" w:rsidTr="004B12BC">
        <w:trPr>
          <w:cantSplit/>
          <w:trHeight w:val="254"/>
        </w:trPr>
        <w:tc>
          <w:tcPr>
            <w:tcW w:w="2367" w:type="pct"/>
          </w:tcPr>
          <w:p w14:paraId="13F1472A" w14:textId="77777777" w:rsidR="004070DA" w:rsidRPr="002B65F7" w:rsidRDefault="004070DA" w:rsidP="00BB6F00">
            <w:pPr>
              <w:keepNext/>
              <w:keepLines/>
              <w:widowControl/>
              <w:adjustRightInd w:val="0"/>
              <w:snapToGrid w:val="0"/>
            </w:pPr>
            <w:r w:rsidRPr="002B65F7">
              <w:t>Rémission clinique chez les patients :</w:t>
            </w:r>
          </w:p>
        </w:tc>
        <w:tc>
          <w:tcPr>
            <w:tcW w:w="762" w:type="pct"/>
          </w:tcPr>
          <w:p w14:paraId="2A43BF78" w14:textId="77777777" w:rsidR="004070DA" w:rsidRPr="002B65F7" w:rsidRDefault="004070DA" w:rsidP="00496255">
            <w:pPr>
              <w:widowControl/>
              <w:adjustRightInd w:val="0"/>
              <w:snapToGrid w:val="0"/>
              <w:jc w:val="center"/>
            </w:pPr>
          </w:p>
        </w:tc>
        <w:tc>
          <w:tcPr>
            <w:tcW w:w="916" w:type="pct"/>
          </w:tcPr>
          <w:p w14:paraId="041534B1" w14:textId="77777777" w:rsidR="004070DA" w:rsidRPr="002B65F7" w:rsidRDefault="004070DA" w:rsidP="00496255">
            <w:pPr>
              <w:widowControl/>
              <w:adjustRightInd w:val="0"/>
              <w:snapToGrid w:val="0"/>
              <w:jc w:val="center"/>
            </w:pPr>
          </w:p>
        </w:tc>
        <w:tc>
          <w:tcPr>
            <w:tcW w:w="955" w:type="pct"/>
          </w:tcPr>
          <w:p w14:paraId="3C931276" w14:textId="77777777" w:rsidR="004070DA" w:rsidRPr="002B65F7" w:rsidRDefault="004070DA" w:rsidP="00496255">
            <w:pPr>
              <w:widowControl/>
              <w:adjustRightInd w:val="0"/>
              <w:snapToGrid w:val="0"/>
              <w:jc w:val="center"/>
            </w:pPr>
          </w:p>
        </w:tc>
      </w:tr>
      <w:tr w:rsidR="004070DA" w:rsidRPr="002B65F7" w14:paraId="1820E9C4" w14:textId="77777777" w:rsidTr="004B12BC">
        <w:trPr>
          <w:cantSplit/>
          <w:trHeight w:val="254"/>
        </w:trPr>
        <w:tc>
          <w:tcPr>
            <w:tcW w:w="2367" w:type="pct"/>
          </w:tcPr>
          <w:p w14:paraId="114363A2" w14:textId="77777777" w:rsidR="004070DA" w:rsidRPr="002B65F7" w:rsidRDefault="004070DA" w:rsidP="00BB6F00">
            <w:pPr>
              <w:keepNext/>
              <w:keepLines/>
              <w:widowControl/>
              <w:adjustRightInd w:val="0"/>
              <w:snapToGrid w:val="0"/>
              <w:ind w:left="284"/>
            </w:pPr>
            <w:r w:rsidRPr="002B65F7">
              <w:t>en rémission au début du traitement d’entretien</w:t>
            </w:r>
          </w:p>
        </w:tc>
        <w:tc>
          <w:tcPr>
            <w:tcW w:w="762" w:type="pct"/>
          </w:tcPr>
          <w:p w14:paraId="6151FA04" w14:textId="77777777" w:rsidR="004070DA" w:rsidRPr="002B65F7" w:rsidRDefault="004070DA" w:rsidP="00496255">
            <w:pPr>
              <w:widowControl/>
              <w:adjustRightInd w:val="0"/>
              <w:snapToGrid w:val="0"/>
              <w:jc w:val="center"/>
            </w:pPr>
            <w:r w:rsidRPr="002B65F7">
              <w:t>46% (36/79)</w:t>
            </w:r>
          </w:p>
        </w:tc>
        <w:tc>
          <w:tcPr>
            <w:tcW w:w="916" w:type="pct"/>
          </w:tcPr>
          <w:p w14:paraId="20F16630" w14:textId="77777777" w:rsidR="004070DA" w:rsidRPr="002B65F7" w:rsidRDefault="004070DA" w:rsidP="00496255">
            <w:pPr>
              <w:widowControl/>
              <w:adjustRightInd w:val="0"/>
              <w:snapToGrid w:val="0"/>
              <w:jc w:val="center"/>
            </w:pPr>
            <w:r w:rsidRPr="002B65F7">
              <w:t>67% (52/78)</w:t>
            </w:r>
            <w:r w:rsidRPr="002B65F7">
              <w:rPr>
                <w:vertAlign w:val="superscript"/>
              </w:rPr>
              <w:t>a</w:t>
            </w:r>
          </w:p>
        </w:tc>
        <w:tc>
          <w:tcPr>
            <w:tcW w:w="955" w:type="pct"/>
          </w:tcPr>
          <w:p w14:paraId="67EA0724" w14:textId="77777777" w:rsidR="004070DA" w:rsidRPr="002B65F7" w:rsidRDefault="004070DA" w:rsidP="00496255">
            <w:pPr>
              <w:widowControl/>
              <w:adjustRightInd w:val="0"/>
              <w:snapToGrid w:val="0"/>
              <w:jc w:val="center"/>
            </w:pPr>
            <w:r w:rsidRPr="002B65F7">
              <w:t>56% (44/78)</w:t>
            </w:r>
          </w:p>
        </w:tc>
      </w:tr>
      <w:tr w:rsidR="004070DA" w:rsidRPr="002B65F7" w14:paraId="627E8ACC" w14:textId="77777777" w:rsidTr="004B12BC">
        <w:trPr>
          <w:cantSplit/>
          <w:trHeight w:val="254"/>
        </w:trPr>
        <w:tc>
          <w:tcPr>
            <w:tcW w:w="2367" w:type="pct"/>
          </w:tcPr>
          <w:p w14:paraId="41B4B714" w14:textId="77777777" w:rsidR="004070DA" w:rsidRPr="002B65F7" w:rsidRDefault="004070DA" w:rsidP="00BB6F00">
            <w:pPr>
              <w:keepNext/>
              <w:keepLines/>
              <w:widowControl/>
              <w:adjustRightInd w:val="0"/>
              <w:snapToGrid w:val="0"/>
              <w:ind w:left="284"/>
            </w:pPr>
            <w:r w:rsidRPr="002B65F7">
              <w:t>issus de l’étude CRD3002</w:t>
            </w:r>
            <w:r w:rsidRPr="002B65F7">
              <w:rPr>
                <w:vertAlign w:val="superscript"/>
              </w:rPr>
              <w:t>‡</w:t>
            </w:r>
          </w:p>
        </w:tc>
        <w:tc>
          <w:tcPr>
            <w:tcW w:w="762" w:type="pct"/>
          </w:tcPr>
          <w:p w14:paraId="4CE060EB" w14:textId="77777777" w:rsidR="004070DA" w:rsidRPr="002B65F7" w:rsidRDefault="004070DA" w:rsidP="00496255">
            <w:pPr>
              <w:widowControl/>
              <w:adjustRightInd w:val="0"/>
              <w:snapToGrid w:val="0"/>
              <w:jc w:val="center"/>
            </w:pPr>
            <w:r w:rsidRPr="002B65F7">
              <w:t>44% (31/70)</w:t>
            </w:r>
          </w:p>
        </w:tc>
        <w:tc>
          <w:tcPr>
            <w:tcW w:w="916" w:type="pct"/>
          </w:tcPr>
          <w:p w14:paraId="56F2EB5D" w14:textId="77777777" w:rsidR="004070DA" w:rsidRPr="002B65F7" w:rsidRDefault="004070DA" w:rsidP="00496255">
            <w:pPr>
              <w:widowControl/>
              <w:adjustRightInd w:val="0"/>
              <w:snapToGrid w:val="0"/>
              <w:jc w:val="center"/>
            </w:pPr>
            <w:r w:rsidRPr="002B65F7">
              <w:t>63% (45/72)</w:t>
            </w:r>
            <w:r w:rsidRPr="002B65F7">
              <w:rPr>
                <w:vertAlign w:val="superscript"/>
              </w:rPr>
              <w:t>c</w:t>
            </w:r>
          </w:p>
        </w:tc>
        <w:tc>
          <w:tcPr>
            <w:tcW w:w="955" w:type="pct"/>
          </w:tcPr>
          <w:p w14:paraId="403C4060" w14:textId="77777777" w:rsidR="004070DA" w:rsidRPr="002B65F7" w:rsidRDefault="004070DA" w:rsidP="00496255">
            <w:pPr>
              <w:widowControl/>
              <w:adjustRightInd w:val="0"/>
              <w:snapToGrid w:val="0"/>
              <w:jc w:val="center"/>
            </w:pPr>
            <w:r w:rsidRPr="002B65F7">
              <w:t>57% (41/72)</w:t>
            </w:r>
          </w:p>
        </w:tc>
      </w:tr>
      <w:tr w:rsidR="004070DA" w:rsidRPr="002B65F7" w14:paraId="5686F0D5" w14:textId="77777777" w:rsidTr="004B12BC">
        <w:trPr>
          <w:cantSplit/>
          <w:trHeight w:val="254"/>
        </w:trPr>
        <w:tc>
          <w:tcPr>
            <w:tcW w:w="2367" w:type="pct"/>
          </w:tcPr>
          <w:p w14:paraId="2B9FB1D7" w14:textId="77777777" w:rsidR="004070DA" w:rsidRPr="002B65F7" w:rsidRDefault="004070DA" w:rsidP="00BB6F00">
            <w:pPr>
              <w:keepNext/>
              <w:keepLines/>
              <w:widowControl/>
              <w:adjustRightInd w:val="0"/>
              <w:snapToGrid w:val="0"/>
              <w:ind w:left="284"/>
            </w:pPr>
            <w:r w:rsidRPr="002B65F7">
              <w:t>naïfs d’anti-TNFα</w:t>
            </w:r>
          </w:p>
        </w:tc>
        <w:tc>
          <w:tcPr>
            <w:tcW w:w="762" w:type="pct"/>
          </w:tcPr>
          <w:p w14:paraId="28765701" w14:textId="77777777" w:rsidR="004070DA" w:rsidRPr="002B65F7" w:rsidRDefault="004070DA" w:rsidP="00496255">
            <w:pPr>
              <w:widowControl/>
              <w:adjustRightInd w:val="0"/>
              <w:snapToGrid w:val="0"/>
              <w:jc w:val="center"/>
            </w:pPr>
            <w:r w:rsidRPr="002B65F7">
              <w:t>49% (25/51)</w:t>
            </w:r>
          </w:p>
        </w:tc>
        <w:tc>
          <w:tcPr>
            <w:tcW w:w="916" w:type="pct"/>
          </w:tcPr>
          <w:p w14:paraId="5EF4894B" w14:textId="77777777" w:rsidR="004070DA" w:rsidRPr="002B65F7" w:rsidRDefault="004070DA" w:rsidP="00496255">
            <w:pPr>
              <w:widowControl/>
              <w:adjustRightInd w:val="0"/>
              <w:snapToGrid w:val="0"/>
              <w:jc w:val="center"/>
            </w:pPr>
            <w:r w:rsidRPr="002B65F7">
              <w:t>65% (34/52)</w:t>
            </w:r>
            <w:r w:rsidRPr="002B65F7">
              <w:rPr>
                <w:vertAlign w:val="superscript"/>
              </w:rPr>
              <w:t>c</w:t>
            </w:r>
          </w:p>
        </w:tc>
        <w:tc>
          <w:tcPr>
            <w:tcW w:w="955" w:type="pct"/>
          </w:tcPr>
          <w:p w14:paraId="6643EA78" w14:textId="77777777" w:rsidR="004070DA" w:rsidRPr="002B65F7" w:rsidRDefault="004070DA" w:rsidP="00496255">
            <w:pPr>
              <w:widowControl/>
              <w:adjustRightInd w:val="0"/>
              <w:snapToGrid w:val="0"/>
              <w:jc w:val="center"/>
            </w:pPr>
            <w:r w:rsidRPr="002B65F7">
              <w:t>57% (30/53)</w:t>
            </w:r>
          </w:p>
        </w:tc>
      </w:tr>
      <w:tr w:rsidR="004070DA" w:rsidRPr="002B65F7" w14:paraId="7A43840C" w14:textId="77777777" w:rsidTr="004B12BC">
        <w:trPr>
          <w:cantSplit/>
          <w:trHeight w:val="254"/>
        </w:trPr>
        <w:tc>
          <w:tcPr>
            <w:tcW w:w="2367" w:type="pct"/>
          </w:tcPr>
          <w:p w14:paraId="11D20328" w14:textId="77777777" w:rsidR="004070DA" w:rsidRPr="002B65F7" w:rsidRDefault="004070DA" w:rsidP="008509A1">
            <w:pPr>
              <w:keepNext/>
              <w:widowControl/>
              <w:adjustRightInd w:val="0"/>
              <w:snapToGrid w:val="0"/>
              <w:ind w:left="284"/>
            </w:pPr>
            <w:r w:rsidRPr="002B65F7">
              <w:t>issus de l’étude CRD3001</w:t>
            </w:r>
            <w:r w:rsidRPr="002B65F7">
              <w:rPr>
                <w:vertAlign w:val="superscript"/>
              </w:rPr>
              <w:t>§</w:t>
            </w:r>
          </w:p>
        </w:tc>
        <w:tc>
          <w:tcPr>
            <w:tcW w:w="762" w:type="pct"/>
          </w:tcPr>
          <w:p w14:paraId="40CFDEF6" w14:textId="77777777" w:rsidR="004070DA" w:rsidRPr="002B65F7" w:rsidRDefault="004070DA" w:rsidP="0006229F">
            <w:pPr>
              <w:keepNext/>
              <w:widowControl/>
              <w:adjustRightInd w:val="0"/>
              <w:snapToGrid w:val="0"/>
              <w:jc w:val="center"/>
            </w:pPr>
            <w:r w:rsidRPr="002B65F7">
              <w:t>26% (16/61)</w:t>
            </w:r>
          </w:p>
        </w:tc>
        <w:tc>
          <w:tcPr>
            <w:tcW w:w="916" w:type="pct"/>
          </w:tcPr>
          <w:p w14:paraId="01A95D83" w14:textId="77777777" w:rsidR="004070DA" w:rsidRPr="002B65F7" w:rsidRDefault="004070DA" w:rsidP="0006229F">
            <w:pPr>
              <w:keepNext/>
              <w:widowControl/>
              <w:adjustRightInd w:val="0"/>
              <w:snapToGrid w:val="0"/>
              <w:jc w:val="center"/>
            </w:pPr>
            <w:r w:rsidRPr="002B65F7">
              <w:t>41% (23/56)</w:t>
            </w:r>
          </w:p>
        </w:tc>
        <w:tc>
          <w:tcPr>
            <w:tcW w:w="955" w:type="pct"/>
          </w:tcPr>
          <w:p w14:paraId="59750B68" w14:textId="77777777" w:rsidR="004070DA" w:rsidRPr="002B65F7" w:rsidRDefault="004070DA" w:rsidP="0006229F">
            <w:pPr>
              <w:keepNext/>
              <w:widowControl/>
              <w:adjustRightInd w:val="0"/>
              <w:snapToGrid w:val="0"/>
              <w:jc w:val="center"/>
            </w:pPr>
            <w:r w:rsidRPr="002B65F7">
              <w:t>39% (22/57)</w:t>
            </w:r>
          </w:p>
        </w:tc>
      </w:tr>
    </w:tbl>
    <w:p w14:paraId="03B5840D" w14:textId="402288D1" w:rsidR="00092F83" w:rsidRPr="002B65F7" w:rsidRDefault="00C31740" w:rsidP="00496255">
      <w:pPr>
        <w:widowControl/>
        <w:rPr>
          <w:sz w:val="20"/>
          <w:szCs w:val="20"/>
        </w:rPr>
      </w:pPr>
      <w:r w:rsidRPr="002B65F7">
        <w:rPr>
          <w:sz w:val="20"/>
          <w:szCs w:val="20"/>
        </w:rPr>
        <w:t>La rémission clinique est définie comme un score CDAI</w:t>
      </w:r>
      <w:r w:rsidR="000D11F1" w:rsidRPr="002B65F7">
        <w:rPr>
          <w:sz w:val="20"/>
          <w:szCs w:val="20"/>
        </w:rPr>
        <w:t> </w:t>
      </w:r>
      <w:r w:rsidRPr="002B65F7">
        <w:rPr>
          <w:sz w:val="20"/>
          <w:szCs w:val="20"/>
        </w:rPr>
        <w:t>&lt;</w:t>
      </w:r>
      <w:r w:rsidR="000D11F1" w:rsidRPr="002B65F7">
        <w:t> </w:t>
      </w:r>
      <w:r w:rsidRPr="002B65F7">
        <w:rPr>
          <w:sz w:val="20"/>
          <w:szCs w:val="20"/>
        </w:rPr>
        <w:t>150 ; La réponse clinique est définie comme une réduction du score CDAI d’au moins 100</w:t>
      </w:r>
      <w:r w:rsidR="000D11F1" w:rsidRPr="002B65F7">
        <w:rPr>
          <w:sz w:val="20"/>
          <w:szCs w:val="20"/>
        </w:rPr>
        <w:t> </w:t>
      </w:r>
      <w:r w:rsidRPr="002B65F7">
        <w:rPr>
          <w:sz w:val="20"/>
          <w:szCs w:val="20"/>
        </w:rPr>
        <w:t>points ou un état de rémission clinique</w:t>
      </w:r>
    </w:p>
    <w:p w14:paraId="03B5840E" w14:textId="215D9DA1" w:rsidR="00092F83" w:rsidRPr="002B65F7" w:rsidRDefault="00224402" w:rsidP="00496255">
      <w:pPr>
        <w:widowControl/>
        <w:rPr>
          <w:sz w:val="20"/>
          <w:szCs w:val="20"/>
        </w:rPr>
      </w:pPr>
      <w:r>
        <w:rPr>
          <w:sz w:val="20"/>
          <w:szCs w:val="20"/>
        </w:rPr>
        <w:t xml:space="preserve">* </w:t>
      </w:r>
      <w:r w:rsidR="00C31740" w:rsidRPr="002B65F7">
        <w:rPr>
          <w:sz w:val="20"/>
          <w:szCs w:val="20"/>
        </w:rPr>
        <w:t>Le groupe placebo était constitué des patients ayant répondu à l’</w:t>
      </w:r>
      <w:r w:rsidR="0071390F" w:rsidRPr="002B65F7">
        <w:rPr>
          <w:sz w:val="20"/>
          <w:szCs w:val="20"/>
        </w:rPr>
        <w:t>ustekinumab</w:t>
      </w:r>
      <w:r w:rsidR="00C31740" w:rsidRPr="002B65F7">
        <w:rPr>
          <w:sz w:val="20"/>
          <w:szCs w:val="20"/>
        </w:rPr>
        <w:t xml:space="preserve"> et randomisés pour recevoir le placebo au début du traitement d’entretien</w:t>
      </w:r>
    </w:p>
    <w:p w14:paraId="03B5840F" w14:textId="36EA108A" w:rsidR="00092F83" w:rsidRPr="002B65F7" w:rsidRDefault="00C31740" w:rsidP="00496255">
      <w:pPr>
        <w:widowControl/>
        <w:rPr>
          <w:sz w:val="20"/>
          <w:szCs w:val="20"/>
        </w:rPr>
      </w:pPr>
      <w:r w:rsidRPr="002B65F7">
        <w:rPr>
          <w:sz w:val="20"/>
          <w:szCs w:val="20"/>
          <w:vertAlign w:val="superscript"/>
        </w:rPr>
        <w:t>†</w:t>
      </w:r>
      <w:r w:rsidRPr="002B65F7">
        <w:rPr>
          <w:sz w:val="20"/>
          <w:szCs w:val="20"/>
        </w:rPr>
        <w:t xml:space="preserve"> Patients présentant une réponse clinique 100</w:t>
      </w:r>
      <w:r w:rsidR="000D11F1" w:rsidRPr="002B65F7">
        <w:rPr>
          <w:sz w:val="20"/>
          <w:szCs w:val="20"/>
        </w:rPr>
        <w:t> </w:t>
      </w:r>
      <w:r w:rsidRPr="002B65F7">
        <w:rPr>
          <w:sz w:val="20"/>
          <w:szCs w:val="20"/>
        </w:rPr>
        <w:t>points à l’</w:t>
      </w:r>
      <w:r w:rsidR="0071390F" w:rsidRPr="002B65F7">
        <w:rPr>
          <w:sz w:val="20"/>
          <w:szCs w:val="20"/>
        </w:rPr>
        <w:t>ustekinumab</w:t>
      </w:r>
      <w:r w:rsidRPr="002B65F7">
        <w:rPr>
          <w:sz w:val="20"/>
          <w:szCs w:val="20"/>
        </w:rPr>
        <w:t xml:space="preserve"> au début du traitement d’entretien</w:t>
      </w:r>
    </w:p>
    <w:p w14:paraId="03B58410" w14:textId="35FBC67A" w:rsidR="00092F83" w:rsidRPr="002B65F7" w:rsidRDefault="00C31740" w:rsidP="00496255">
      <w:pPr>
        <w:widowControl/>
        <w:rPr>
          <w:sz w:val="20"/>
          <w:szCs w:val="20"/>
        </w:rPr>
      </w:pPr>
      <w:r w:rsidRPr="002B65F7">
        <w:rPr>
          <w:sz w:val="20"/>
          <w:szCs w:val="20"/>
          <w:vertAlign w:val="superscript"/>
        </w:rPr>
        <w:t>‡</w:t>
      </w:r>
      <w:r w:rsidR="00B15BC4" w:rsidRPr="002B65F7">
        <w:rPr>
          <w:sz w:val="20"/>
          <w:szCs w:val="20"/>
        </w:rPr>
        <w:t xml:space="preserve"> </w:t>
      </w:r>
      <w:r w:rsidRPr="002B65F7">
        <w:rPr>
          <w:sz w:val="20"/>
          <w:szCs w:val="20"/>
        </w:rPr>
        <w:t>Patients ayant présenté un échec sous traitement conventionnel, mais pas sous traitement anti-TNFα</w:t>
      </w:r>
    </w:p>
    <w:p w14:paraId="03B58411" w14:textId="123C6737" w:rsidR="00092F83" w:rsidRPr="002B65F7" w:rsidRDefault="00C31740" w:rsidP="00496255">
      <w:pPr>
        <w:widowControl/>
        <w:rPr>
          <w:sz w:val="20"/>
          <w:szCs w:val="20"/>
        </w:rPr>
      </w:pPr>
      <w:r w:rsidRPr="002B65F7">
        <w:rPr>
          <w:sz w:val="20"/>
          <w:szCs w:val="20"/>
          <w:vertAlign w:val="superscript"/>
        </w:rPr>
        <w:t>§</w:t>
      </w:r>
      <w:r w:rsidR="00B15BC4" w:rsidRPr="002B65F7">
        <w:rPr>
          <w:sz w:val="20"/>
          <w:szCs w:val="20"/>
        </w:rPr>
        <w:t xml:space="preserve"> </w:t>
      </w:r>
      <w:r w:rsidRPr="002B65F7">
        <w:rPr>
          <w:sz w:val="20"/>
          <w:szCs w:val="20"/>
        </w:rPr>
        <w:t>Patients réfractaires/intolérants aux anti-TNFα</w:t>
      </w:r>
    </w:p>
    <w:p w14:paraId="03B58412" w14:textId="0D2ABAE6" w:rsidR="00092F83" w:rsidRPr="002B65F7" w:rsidRDefault="00C31740" w:rsidP="00496255">
      <w:pPr>
        <w:widowControl/>
        <w:rPr>
          <w:sz w:val="20"/>
          <w:szCs w:val="20"/>
        </w:rPr>
      </w:pPr>
      <w:r w:rsidRPr="002B65F7">
        <w:rPr>
          <w:sz w:val="20"/>
          <w:szCs w:val="20"/>
          <w:vertAlign w:val="superscript"/>
        </w:rPr>
        <w:t>a</w:t>
      </w:r>
      <w:r w:rsidR="00B15BC4" w:rsidRPr="002B65F7">
        <w:rPr>
          <w:sz w:val="20"/>
          <w:szCs w:val="20"/>
        </w:rPr>
        <w:t xml:space="preserve"> </w:t>
      </w:r>
      <w:r w:rsidRPr="002B65F7">
        <w:rPr>
          <w:sz w:val="20"/>
          <w:szCs w:val="20"/>
        </w:rPr>
        <w:t>p</w:t>
      </w:r>
      <w:r w:rsidR="000D11F1" w:rsidRPr="002B65F7">
        <w:rPr>
          <w:sz w:val="20"/>
          <w:szCs w:val="20"/>
        </w:rPr>
        <w:t> </w:t>
      </w:r>
      <w:r w:rsidRPr="002B65F7">
        <w:rPr>
          <w:sz w:val="20"/>
          <w:szCs w:val="20"/>
        </w:rPr>
        <w:t>&lt;</w:t>
      </w:r>
      <w:r w:rsidR="000D11F1" w:rsidRPr="002B65F7">
        <w:rPr>
          <w:sz w:val="20"/>
          <w:szCs w:val="20"/>
        </w:rPr>
        <w:t> </w:t>
      </w:r>
      <w:r w:rsidRPr="002B65F7">
        <w:rPr>
          <w:sz w:val="20"/>
          <w:szCs w:val="20"/>
        </w:rPr>
        <w:t>0,01</w:t>
      </w:r>
    </w:p>
    <w:p w14:paraId="03B58413" w14:textId="36C2740F" w:rsidR="00092F83" w:rsidRPr="002B65F7" w:rsidRDefault="00C31740" w:rsidP="00496255">
      <w:pPr>
        <w:widowControl/>
        <w:rPr>
          <w:sz w:val="20"/>
          <w:szCs w:val="20"/>
        </w:rPr>
      </w:pPr>
      <w:r w:rsidRPr="002B65F7">
        <w:rPr>
          <w:sz w:val="20"/>
          <w:szCs w:val="20"/>
          <w:vertAlign w:val="superscript"/>
        </w:rPr>
        <w:t>b</w:t>
      </w:r>
      <w:r w:rsidR="00B15BC4" w:rsidRPr="002B65F7">
        <w:rPr>
          <w:sz w:val="20"/>
          <w:szCs w:val="20"/>
        </w:rPr>
        <w:t xml:space="preserve"> </w:t>
      </w:r>
      <w:r w:rsidRPr="002B65F7">
        <w:rPr>
          <w:sz w:val="20"/>
          <w:szCs w:val="20"/>
        </w:rPr>
        <w:t>p</w:t>
      </w:r>
      <w:r w:rsidR="000D11F1" w:rsidRPr="002B65F7">
        <w:rPr>
          <w:sz w:val="20"/>
          <w:szCs w:val="20"/>
        </w:rPr>
        <w:t> </w:t>
      </w:r>
      <w:r w:rsidRPr="002B65F7">
        <w:rPr>
          <w:sz w:val="20"/>
          <w:szCs w:val="20"/>
        </w:rPr>
        <w:t>&lt;</w:t>
      </w:r>
      <w:r w:rsidR="000D11F1" w:rsidRPr="002B65F7">
        <w:rPr>
          <w:sz w:val="20"/>
          <w:szCs w:val="20"/>
        </w:rPr>
        <w:t> </w:t>
      </w:r>
      <w:r w:rsidRPr="002B65F7">
        <w:rPr>
          <w:sz w:val="20"/>
          <w:szCs w:val="20"/>
        </w:rPr>
        <w:t>0,05</w:t>
      </w:r>
    </w:p>
    <w:p w14:paraId="03B58414" w14:textId="7C19784A" w:rsidR="00092F83" w:rsidRPr="002B65F7" w:rsidRDefault="000D11F1" w:rsidP="00496255">
      <w:pPr>
        <w:widowControl/>
        <w:rPr>
          <w:sz w:val="20"/>
          <w:szCs w:val="20"/>
        </w:rPr>
      </w:pPr>
      <w:r w:rsidRPr="002B65F7">
        <w:rPr>
          <w:sz w:val="20"/>
          <w:szCs w:val="20"/>
          <w:vertAlign w:val="superscript"/>
        </w:rPr>
        <w:t>c</w:t>
      </w:r>
      <w:r w:rsidRPr="002B65F7">
        <w:rPr>
          <w:sz w:val="20"/>
          <w:szCs w:val="20"/>
        </w:rPr>
        <w:t xml:space="preserve"> </w:t>
      </w:r>
      <w:r w:rsidR="00C31740" w:rsidRPr="002B65F7">
        <w:rPr>
          <w:sz w:val="20"/>
          <w:szCs w:val="20"/>
        </w:rPr>
        <w:t>significatif de manière nominale (p</w:t>
      </w:r>
      <w:r w:rsidRPr="002B65F7">
        <w:rPr>
          <w:sz w:val="20"/>
          <w:szCs w:val="20"/>
        </w:rPr>
        <w:t> </w:t>
      </w:r>
      <w:r w:rsidR="00C31740" w:rsidRPr="002B65F7">
        <w:rPr>
          <w:sz w:val="20"/>
          <w:szCs w:val="20"/>
        </w:rPr>
        <w:t>&lt;</w:t>
      </w:r>
      <w:r w:rsidRPr="002B65F7">
        <w:rPr>
          <w:sz w:val="20"/>
          <w:szCs w:val="20"/>
        </w:rPr>
        <w:t> </w:t>
      </w:r>
      <w:r w:rsidR="00C31740" w:rsidRPr="002B65F7">
        <w:rPr>
          <w:sz w:val="20"/>
          <w:szCs w:val="20"/>
        </w:rPr>
        <w:t>0,05)</w:t>
      </w:r>
    </w:p>
    <w:p w14:paraId="03B58415" w14:textId="77777777" w:rsidR="00092F83" w:rsidRPr="002B65F7" w:rsidRDefault="00092F83" w:rsidP="00496255">
      <w:pPr>
        <w:widowControl/>
      </w:pPr>
    </w:p>
    <w:p w14:paraId="03B58417" w14:textId="46F0C4E5" w:rsidR="00092F83" w:rsidRPr="002B65F7" w:rsidRDefault="00C31740" w:rsidP="00496255">
      <w:pPr>
        <w:widowControl/>
      </w:pPr>
      <w:r w:rsidRPr="002B65F7">
        <w:t>Dans l’étude IM-UNITI, lors d’un traitement toutes les 12</w:t>
      </w:r>
      <w:r w:rsidR="000D11F1" w:rsidRPr="002B65F7">
        <w:t> </w:t>
      </w:r>
      <w:r w:rsidRPr="002B65F7">
        <w:t>semaines la réponse à l’</w:t>
      </w:r>
      <w:r w:rsidR="0071390F" w:rsidRPr="002B65F7">
        <w:t>ustekinumab</w:t>
      </w:r>
      <w:r w:rsidRPr="002B65F7">
        <w:t xml:space="preserve"> n’a pas été maintenue chez 29</w:t>
      </w:r>
      <w:r w:rsidR="00F361A6" w:rsidRPr="002B65F7">
        <w:t> </w:t>
      </w:r>
      <w:r w:rsidRPr="002B65F7">
        <w:t>des 129</w:t>
      </w:r>
      <w:r w:rsidR="000D11F1" w:rsidRPr="002B65F7">
        <w:t> </w:t>
      </w:r>
      <w:r w:rsidRPr="002B65F7">
        <w:t>patients, et une adaptation posologique a été autorisée pour qu’ils reçoivent l’</w:t>
      </w:r>
      <w:r w:rsidR="0071390F" w:rsidRPr="002B65F7">
        <w:t>ustekinumab</w:t>
      </w:r>
      <w:r w:rsidRPr="002B65F7">
        <w:t xml:space="preserve"> toutes les 8 semaines. L’échappement après une réponse initiale était défini par un score CDAI ≥</w:t>
      </w:r>
      <w:r w:rsidR="000D11F1" w:rsidRPr="002B65F7">
        <w:t> </w:t>
      </w:r>
      <w:r w:rsidRPr="002B65F7">
        <w:t>220</w:t>
      </w:r>
      <w:r w:rsidR="00F361A6" w:rsidRPr="002B65F7">
        <w:t> </w:t>
      </w:r>
      <w:r w:rsidRPr="002B65F7">
        <w:t>points et une augmentation du score CDAI</w:t>
      </w:r>
      <w:r w:rsidR="000D11F1" w:rsidRPr="002B65F7">
        <w:t> </w:t>
      </w:r>
      <w:r w:rsidRPr="002B65F7">
        <w:t>≥</w:t>
      </w:r>
      <w:r w:rsidR="000D11F1" w:rsidRPr="002B65F7">
        <w:t> </w:t>
      </w:r>
      <w:r w:rsidRPr="002B65F7">
        <w:t>100</w:t>
      </w:r>
      <w:r w:rsidR="00F361A6" w:rsidRPr="002B65F7">
        <w:t> </w:t>
      </w:r>
      <w:r w:rsidRPr="002B65F7">
        <w:t>points par rapport à l’inclusion. Chez ces patients, une rémission clinique a été obtenue chez 41,4% des patients</w:t>
      </w:r>
      <w:r w:rsidR="00F361A6" w:rsidRPr="002B65F7">
        <w:t xml:space="preserve"> </w:t>
      </w:r>
      <w:r w:rsidRPr="002B65F7">
        <w:t>16</w:t>
      </w:r>
      <w:r w:rsidR="00F361A6" w:rsidRPr="002B65F7">
        <w:t> </w:t>
      </w:r>
      <w:r w:rsidRPr="002B65F7">
        <w:t>semaines après l’adaptation posologique.</w:t>
      </w:r>
    </w:p>
    <w:p w14:paraId="03B58418" w14:textId="77777777" w:rsidR="00092F83" w:rsidRPr="002B65F7" w:rsidRDefault="00092F83" w:rsidP="00496255">
      <w:pPr>
        <w:widowControl/>
      </w:pPr>
    </w:p>
    <w:p w14:paraId="03B58419" w14:textId="5B33AAD7" w:rsidR="00092F83" w:rsidRPr="002B65F7" w:rsidRDefault="00C31740" w:rsidP="00496255">
      <w:pPr>
        <w:widowControl/>
      </w:pPr>
      <w:r w:rsidRPr="002B65F7">
        <w:t xml:space="preserve">Les patients qui ne présentaient pas de réponse clinique à l’induction par </w:t>
      </w:r>
      <w:r w:rsidR="0071390F" w:rsidRPr="002B65F7">
        <w:t>ustekinumab</w:t>
      </w:r>
      <w:r w:rsidRPr="002B65F7">
        <w:t xml:space="preserve"> à la semaine</w:t>
      </w:r>
      <w:r w:rsidR="00F361A6" w:rsidRPr="002B65F7">
        <w:t> </w:t>
      </w:r>
      <w:r w:rsidRPr="002B65F7">
        <w:t>8 des études d’induction UNITI-1 et UNITI-2 (476</w:t>
      </w:r>
      <w:r w:rsidR="000D11F1" w:rsidRPr="002B65F7">
        <w:t> </w:t>
      </w:r>
      <w:r w:rsidRPr="002B65F7">
        <w:t>patients) sont entrés dans la portion non randomisée de l’étude d’entretien (IM-UNITI) et ont reçu une injection sous-cutanée de 90</w:t>
      </w:r>
      <w:r w:rsidR="000D11F1" w:rsidRPr="002B65F7">
        <w:t> </w:t>
      </w:r>
      <w:r w:rsidRPr="002B65F7">
        <w:t>mg d’</w:t>
      </w:r>
      <w:r w:rsidR="0071390F" w:rsidRPr="002B65F7">
        <w:t>ustekinumab</w:t>
      </w:r>
      <w:r w:rsidRPr="002B65F7">
        <w:t xml:space="preserve"> à ce moment-là. Huit semaines plus tard, 50,5% des patients avaient obtenu une réponse clinique et continuaient de recevoir la dose d’entretien toutes les 8</w:t>
      </w:r>
      <w:r w:rsidR="00F361A6" w:rsidRPr="002B65F7">
        <w:t> </w:t>
      </w:r>
      <w:r w:rsidRPr="002B65F7">
        <w:t xml:space="preserve">semaines ; parmi ces patients poursuivant le traitement d’entretien, une majorité a présenté une réponse maintenue (68,1%) et obtenu une rémission </w:t>
      </w:r>
      <w:r w:rsidRPr="002B65F7">
        <w:lastRenderedPageBreak/>
        <w:t>(50,2%) à la semaine</w:t>
      </w:r>
      <w:r w:rsidR="000D11F1" w:rsidRPr="002B65F7">
        <w:t> </w:t>
      </w:r>
      <w:r w:rsidRPr="002B65F7">
        <w:t xml:space="preserve">44, à des proportions similaires aux patients ayant initialement répondu à l’induction par </w:t>
      </w:r>
      <w:r w:rsidR="0071390F" w:rsidRPr="002B65F7">
        <w:t>ustekinumab</w:t>
      </w:r>
      <w:r w:rsidRPr="002B65F7">
        <w:t>.</w:t>
      </w:r>
    </w:p>
    <w:p w14:paraId="5BA0A66A" w14:textId="77777777" w:rsidR="000D11F1" w:rsidRPr="002B65F7" w:rsidRDefault="000D11F1" w:rsidP="00496255">
      <w:pPr>
        <w:widowControl/>
      </w:pPr>
    </w:p>
    <w:p w14:paraId="03B5841A" w14:textId="2C66BCED" w:rsidR="00092F83" w:rsidRPr="002B65F7" w:rsidRDefault="00C31740" w:rsidP="00496255">
      <w:pPr>
        <w:widowControl/>
      </w:pPr>
      <w:r w:rsidRPr="002B65F7">
        <w:t>Sur 131</w:t>
      </w:r>
      <w:r w:rsidR="000D11F1" w:rsidRPr="002B65F7">
        <w:t> </w:t>
      </w:r>
      <w:r w:rsidRPr="002B65F7">
        <w:t xml:space="preserve">patients ayant répondu à l’induction par </w:t>
      </w:r>
      <w:r w:rsidR="0071390F" w:rsidRPr="002B65F7">
        <w:t>ustekinumab</w:t>
      </w:r>
      <w:r w:rsidRPr="002B65F7">
        <w:t xml:space="preserve"> et randomisés dans le groupe placebo au début de l’étude d’entretien, 51</w:t>
      </w:r>
      <w:r w:rsidR="00F361A6" w:rsidRPr="002B65F7">
        <w:t> </w:t>
      </w:r>
      <w:r w:rsidRPr="002B65F7">
        <w:t>ont par la suite présenté une perte de réponse et reçu 90</w:t>
      </w:r>
      <w:r w:rsidR="000D11F1" w:rsidRPr="002B65F7">
        <w:t> </w:t>
      </w:r>
      <w:r w:rsidRPr="002B65F7">
        <w:t>mg d’</w:t>
      </w:r>
      <w:r w:rsidR="0071390F" w:rsidRPr="002B65F7">
        <w:t>ustekinumab</w:t>
      </w:r>
      <w:r w:rsidRPr="002B65F7">
        <w:t xml:space="preserve"> par voie sous-cutanée toutes les 8</w:t>
      </w:r>
      <w:r w:rsidR="000D11F1" w:rsidRPr="002B65F7">
        <w:t> </w:t>
      </w:r>
      <w:r w:rsidRPr="002B65F7">
        <w:t>semaines. La majorité des patients ayant présenté une perte de réponse et repris l’</w:t>
      </w:r>
      <w:r w:rsidR="0071390F" w:rsidRPr="002B65F7">
        <w:t>ustekinumab</w:t>
      </w:r>
      <w:r w:rsidRPr="002B65F7">
        <w:t xml:space="preserve"> l’ont fait dans les 24</w:t>
      </w:r>
      <w:r w:rsidR="000D11F1" w:rsidRPr="002B65F7">
        <w:t> </w:t>
      </w:r>
      <w:r w:rsidRPr="002B65F7">
        <w:t>semaines suivant la perfusion d’induction. Sur ces 51</w:t>
      </w:r>
      <w:r w:rsidR="000D11F1" w:rsidRPr="002B65F7">
        <w:t> </w:t>
      </w:r>
      <w:r w:rsidRPr="002B65F7">
        <w:t>patients, 70,6% ont obtenu une réponse clinique et 39,2% ont obtenu une rémission clinique 16</w:t>
      </w:r>
      <w:r w:rsidR="00F361A6" w:rsidRPr="002B65F7">
        <w:t> </w:t>
      </w:r>
      <w:r w:rsidRPr="002B65F7">
        <w:t>semaines après avoir reçu la première dose sous-cutanée d’</w:t>
      </w:r>
      <w:r w:rsidR="0071390F" w:rsidRPr="002B65F7">
        <w:t>ustekinumab</w:t>
      </w:r>
      <w:r w:rsidRPr="002B65F7">
        <w:t>.</w:t>
      </w:r>
    </w:p>
    <w:p w14:paraId="03B5841B" w14:textId="77777777" w:rsidR="00092F83" w:rsidRPr="002B65F7" w:rsidRDefault="00092F83" w:rsidP="00496255">
      <w:pPr>
        <w:widowControl/>
      </w:pPr>
    </w:p>
    <w:p w14:paraId="03B5841C" w14:textId="31642D67" w:rsidR="00092F83" w:rsidRPr="002B65F7" w:rsidRDefault="00C31740" w:rsidP="00496255">
      <w:pPr>
        <w:widowControl/>
      </w:pPr>
      <w:r w:rsidRPr="002B65F7">
        <w:t>Dans IM-UNITI, les patients ayant poursuivi l’étude jusqu’à la semaine</w:t>
      </w:r>
      <w:r w:rsidR="00F361A6" w:rsidRPr="002B65F7">
        <w:t> </w:t>
      </w:r>
      <w:r w:rsidRPr="002B65F7">
        <w:t>44 étaient éligibles à continuer le traitement dans une étude d’extension. Parmi les 567</w:t>
      </w:r>
      <w:r w:rsidR="000D11F1" w:rsidRPr="002B65F7">
        <w:t> </w:t>
      </w:r>
      <w:r w:rsidRPr="002B65F7">
        <w:t xml:space="preserve">patients qui sont entrés et ont été traités par </w:t>
      </w:r>
      <w:r w:rsidR="0071390F" w:rsidRPr="002B65F7">
        <w:t>ustekinumab</w:t>
      </w:r>
      <w:r w:rsidRPr="002B65F7">
        <w:t xml:space="preserve"> dans l’étude d’extension, la rémission et la réponse cliniques étaient généralement maintenues jusqu’à la semaine</w:t>
      </w:r>
      <w:r w:rsidR="000D11F1" w:rsidRPr="002B65F7">
        <w:t> </w:t>
      </w:r>
      <w:r w:rsidRPr="002B65F7">
        <w:t>252, chez les patients en échec aux anti-TNF et chez les patients en échec aux traitements conventionnels.</w:t>
      </w:r>
    </w:p>
    <w:p w14:paraId="03B5841D" w14:textId="77777777" w:rsidR="00092F83" w:rsidRPr="002B65F7" w:rsidRDefault="00092F83" w:rsidP="00496255">
      <w:pPr>
        <w:widowControl/>
      </w:pPr>
    </w:p>
    <w:p w14:paraId="03B5841E" w14:textId="77777777" w:rsidR="00092F83" w:rsidRPr="002B65F7" w:rsidRDefault="00C31740" w:rsidP="00496255">
      <w:pPr>
        <w:widowControl/>
      </w:pPr>
      <w:r w:rsidRPr="002B65F7">
        <w:t>Aucun nouveau risque lié à la sécurité n’a été identifié après maximum 5 ans de traitement chez les patients atteints de maladie de Crohn.</w:t>
      </w:r>
    </w:p>
    <w:p w14:paraId="18B2B94D" w14:textId="77777777" w:rsidR="000D11F1" w:rsidRPr="002B65F7" w:rsidRDefault="000D11F1" w:rsidP="00496255">
      <w:pPr>
        <w:widowControl/>
        <w:rPr>
          <w:i/>
          <w:iCs/>
        </w:rPr>
      </w:pPr>
    </w:p>
    <w:p w14:paraId="03B5841F" w14:textId="351F9C0F" w:rsidR="00092F83" w:rsidRPr="002B65F7" w:rsidRDefault="00C31740" w:rsidP="00496255">
      <w:pPr>
        <w:keepNext/>
        <w:widowControl/>
        <w:rPr>
          <w:i/>
          <w:iCs/>
          <w:u w:val="single"/>
        </w:rPr>
      </w:pPr>
      <w:r w:rsidRPr="002B65F7">
        <w:rPr>
          <w:i/>
          <w:iCs/>
          <w:u w:val="single"/>
        </w:rPr>
        <w:t>Endoscopie</w:t>
      </w:r>
    </w:p>
    <w:p w14:paraId="7F7B37FB" w14:textId="77777777" w:rsidR="000D11F1" w:rsidRPr="002B65F7" w:rsidRDefault="000D11F1" w:rsidP="00496255">
      <w:pPr>
        <w:keepNext/>
        <w:widowControl/>
        <w:rPr>
          <w:i/>
          <w:iCs/>
        </w:rPr>
      </w:pPr>
    </w:p>
    <w:p w14:paraId="03B58422" w14:textId="50659C20" w:rsidR="00092F83" w:rsidRPr="002B65F7" w:rsidRDefault="00C31740" w:rsidP="00496255">
      <w:pPr>
        <w:widowControl/>
      </w:pPr>
      <w:r w:rsidRPr="002B65F7">
        <w:t>Dans une sous-étude, l’aspect endoscopique de la muqueuse a été évalué chez 252</w:t>
      </w:r>
      <w:r w:rsidR="000D11F1" w:rsidRPr="002B65F7">
        <w:t> </w:t>
      </w:r>
      <w:r w:rsidRPr="002B65F7">
        <w:t>patients présentant une activité initiale de la maladie à l’endoscopie les rendant éligibles à l’inclusion. Le critère primaire d’évaluation était le changement par rapport à l’inclusion du score SES-CD (Simplified Endoscopic Disease Severity Score for Crohn’s Disease), un score composite portant, au niveau de 5 segments iléo-coliques, sur la présence/taille des ulcères, la proportion de surface muqueuse couverte par des ulcères, la proportion de surface muqueuse présentant toute autre lésion et la présence/le type de rétrécissements/sténoses. À la semaine</w:t>
      </w:r>
      <w:r w:rsidR="000D11F1" w:rsidRPr="002B65F7">
        <w:t> </w:t>
      </w:r>
      <w:r w:rsidRPr="002B65F7">
        <w:t>8, après une dose unique d’induction en intraveineuse, le</w:t>
      </w:r>
      <w:r w:rsidR="000D11F1" w:rsidRPr="002B65F7">
        <w:t xml:space="preserve"> </w:t>
      </w:r>
      <w:r w:rsidRPr="002B65F7">
        <w:t xml:space="preserve">changement du score SES-CD était supérieur dans le groupe </w:t>
      </w:r>
      <w:r w:rsidR="0071390F" w:rsidRPr="002B65F7">
        <w:t>ustekinumab</w:t>
      </w:r>
      <w:r w:rsidRPr="002B65F7">
        <w:t xml:space="preserve"> (n</w:t>
      </w:r>
      <w:r w:rsidR="000D11F1" w:rsidRPr="002B65F7">
        <w:t> </w:t>
      </w:r>
      <w:r w:rsidRPr="002B65F7">
        <w:t>=</w:t>
      </w:r>
      <w:r w:rsidR="000D11F1" w:rsidRPr="002B65F7">
        <w:t> </w:t>
      </w:r>
      <w:r w:rsidRPr="002B65F7">
        <w:t>155, changement moyen</w:t>
      </w:r>
      <w:r w:rsidR="000D11F1" w:rsidRPr="002B65F7">
        <w:rPr>
          <w:spacing w:val="-2"/>
        </w:rPr>
        <w:t> </w:t>
      </w:r>
      <w:r w:rsidRPr="002B65F7">
        <w:t>=</w:t>
      </w:r>
      <w:r w:rsidR="000D11F1" w:rsidRPr="002B65F7">
        <w:t> </w:t>
      </w:r>
      <w:r w:rsidR="00401F09" w:rsidRPr="002B65F7">
        <w:rPr>
          <w:spacing w:val="-4"/>
        </w:rPr>
        <w:t>−</w:t>
      </w:r>
      <w:r w:rsidRPr="002B65F7">
        <w:t>2,8)</w:t>
      </w:r>
      <w:r w:rsidRPr="002B65F7">
        <w:rPr>
          <w:spacing w:val="-3"/>
        </w:rPr>
        <w:t xml:space="preserve"> </w:t>
      </w:r>
      <w:r w:rsidRPr="002B65F7">
        <w:t>comparativement</w:t>
      </w:r>
      <w:r w:rsidRPr="002B65F7">
        <w:rPr>
          <w:spacing w:val="-3"/>
        </w:rPr>
        <w:t xml:space="preserve"> </w:t>
      </w:r>
      <w:r w:rsidRPr="002B65F7">
        <w:t>au</w:t>
      </w:r>
      <w:r w:rsidRPr="002B65F7">
        <w:rPr>
          <w:spacing w:val="-3"/>
        </w:rPr>
        <w:t xml:space="preserve"> </w:t>
      </w:r>
      <w:r w:rsidRPr="002B65F7">
        <w:t>groupe</w:t>
      </w:r>
      <w:r w:rsidRPr="002B65F7">
        <w:rPr>
          <w:spacing w:val="-3"/>
        </w:rPr>
        <w:t xml:space="preserve"> </w:t>
      </w:r>
      <w:r w:rsidRPr="002B65F7">
        <w:t>placebo</w:t>
      </w:r>
      <w:r w:rsidRPr="002B65F7">
        <w:rPr>
          <w:spacing w:val="-3"/>
        </w:rPr>
        <w:t xml:space="preserve"> </w:t>
      </w:r>
      <w:r w:rsidRPr="002B65F7">
        <w:t>(n</w:t>
      </w:r>
      <w:r w:rsidR="000D11F1" w:rsidRPr="002B65F7">
        <w:rPr>
          <w:spacing w:val="-5"/>
        </w:rPr>
        <w:t> </w:t>
      </w:r>
      <w:r w:rsidRPr="002B65F7">
        <w:t>=</w:t>
      </w:r>
      <w:r w:rsidR="000D11F1" w:rsidRPr="002B65F7">
        <w:rPr>
          <w:spacing w:val="-2"/>
        </w:rPr>
        <w:t> </w:t>
      </w:r>
      <w:r w:rsidRPr="002B65F7">
        <w:t>97,</w:t>
      </w:r>
      <w:r w:rsidRPr="002B65F7">
        <w:rPr>
          <w:spacing w:val="-3"/>
        </w:rPr>
        <w:t xml:space="preserve"> </w:t>
      </w:r>
      <w:r w:rsidRPr="002B65F7">
        <w:t>changement</w:t>
      </w:r>
      <w:r w:rsidRPr="002B65F7">
        <w:rPr>
          <w:spacing w:val="-3"/>
        </w:rPr>
        <w:t xml:space="preserve"> </w:t>
      </w:r>
      <w:r w:rsidRPr="002B65F7">
        <w:t>moyen</w:t>
      </w:r>
      <w:r w:rsidR="000D11F1" w:rsidRPr="002B65F7">
        <w:rPr>
          <w:spacing w:val="-3"/>
        </w:rPr>
        <w:t> </w:t>
      </w:r>
      <w:r w:rsidRPr="002B65F7">
        <w:t>=</w:t>
      </w:r>
      <w:r w:rsidR="000D11F1" w:rsidRPr="002B65F7">
        <w:rPr>
          <w:spacing w:val="-2"/>
        </w:rPr>
        <w:t> </w:t>
      </w:r>
      <w:r w:rsidR="00401F09" w:rsidRPr="002B65F7">
        <w:rPr>
          <w:spacing w:val="-4"/>
        </w:rPr>
        <w:t>−</w:t>
      </w:r>
      <w:r w:rsidRPr="002B65F7">
        <w:t>0,7,</w:t>
      </w:r>
      <w:r w:rsidRPr="002B65F7">
        <w:rPr>
          <w:spacing w:val="-2"/>
        </w:rPr>
        <w:t xml:space="preserve"> </w:t>
      </w:r>
      <w:r w:rsidRPr="002B65F7">
        <w:t>p</w:t>
      </w:r>
      <w:r w:rsidR="000D11F1" w:rsidRPr="002B65F7">
        <w:rPr>
          <w:spacing w:val="-2"/>
        </w:rPr>
        <w:t> </w:t>
      </w:r>
      <w:r w:rsidRPr="002B65F7">
        <w:t>=</w:t>
      </w:r>
      <w:r w:rsidR="000D11F1" w:rsidRPr="002B65F7">
        <w:rPr>
          <w:spacing w:val="-2"/>
        </w:rPr>
        <w:t> </w:t>
      </w:r>
      <w:r w:rsidRPr="002B65F7">
        <w:t>0,012).</w:t>
      </w:r>
    </w:p>
    <w:p w14:paraId="03B58423" w14:textId="77777777" w:rsidR="00092F83" w:rsidRPr="002B65F7" w:rsidRDefault="00092F83" w:rsidP="00496255">
      <w:pPr>
        <w:widowControl/>
      </w:pPr>
    </w:p>
    <w:p w14:paraId="03B58424" w14:textId="77777777" w:rsidR="00092F83" w:rsidRPr="002B65F7" w:rsidRDefault="00C31740" w:rsidP="00496255">
      <w:pPr>
        <w:keepNext/>
        <w:widowControl/>
        <w:rPr>
          <w:i/>
          <w:iCs/>
          <w:u w:val="single"/>
        </w:rPr>
      </w:pPr>
      <w:r w:rsidRPr="002B65F7">
        <w:rPr>
          <w:i/>
          <w:iCs/>
          <w:u w:val="single"/>
        </w:rPr>
        <w:t>Réponse sur les fistules</w:t>
      </w:r>
    </w:p>
    <w:p w14:paraId="313F300A" w14:textId="77777777" w:rsidR="000D11F1" w:rsidRPr="002B65F7" w:rsidRDefault="000D11F1" w:rsidP="00496255">
      <w:pPr>
        <w:keepNext/>
        <w:widowControl/>
        <w:rPr>
          <w:i/>
          <w:iCs/>
        </w:rPr>
      </w:pPr>
    </w:p>
    <w:p w14:paraId="03B58426" w14:textId="2D866ED5" w:rsidR="00092F83" w:rsidRPr="002B65F7" w:rsidRDefault="00C31740" w:rsidP="00496255">
      <w:pPr>
        <w:widowControl/>
      </w:pPr>
      <w:r w:rsidRPr="002B65F7">
        <w:t>Dans un sous-groupe de patients présentant des fistules avec écoulement à l’inclusion (8,8% ; n</w:t>
      </w:r>
      <w:r w:rsidR="000D11F1" w:rsidRPr="002B65F7">
        <w:t> </w:t>
      </w:r>
      <w:r w:rsidRPr="002B65F7">
        <w:t>=</w:t>
      </w:r>
      <w:r w:rsidR="000D11F1" w:rsidRPr="002B65F7">
        <w:t> </w:t>
      </w:r>
      <w:r w:rsidRPr="002B65F7">
        <w:t>26), 12/15</w:t>
      </w:r>
      <w:r w:rsidR="00010FE7" w:rsidRPr="002B65F7">
        <w:t> </w:t>
      </w:r>
      <w:r w:rsidRPr="002B65F7">
        <w:t xml:space="preserve">(80%) des patients traités par </w:t>
      </w:r>
      <w:r w:rsidR="0071390F" w:rsidRPr="002B65F7">
        <w:t>ustekinumab</w:t>
      </w:r>
      <w:r w:rsidRPr="002B65F7">
        <w:t xml:space="preserve"> ont obtenu une réponse sur les fistules sous</w:t>
      </w:r>
      <w:r w:rsidR="000D11F1" w:rsidRPr="002B65F7">
        <w:t xml:space="preserve"> </w:t>
      </w:r>
      <w:r w:rsidRPr="002B65F7">
        <w:t>44</w:t>
      </w:r>
      <w:r w:rsidR="000D11F1" w:rsidRPr="002B65F7">
        <w:t> </w:t>
      </w:r>
      <w:r w:rsidRPr="002B65F7">
        <w:t>semaines (définie comme une réduction du nombre de fistules avec écoulement</w:t>
      </w:r>
      <w:r w:rsidR="000D11F1" w:rsidRPr="002B65F7">
        <w:t> </w:t>
      </w:r>
      <w:r w:rsidRPr="002B65F7">
        <w:t>≥</w:t>
      </w:r>
      <w:r w:rsidR="000D11F1" w:rsidRPr="002B65F7">
        <w:t> </w:t>
      </w:r>
      <w:r w:rsidRPr="002B65F7">
        <w:t>50% par rapport à l’inclusion dans l’étude d’induction) comparé à 5/11</w:t>
      </w:r>
      <w:r w:rsidR="00010FE7" w:rsidRPr="002B65F7">
        <w:t> </w:t>
      </w:r>
      <w:r w:rsidRPr="002B65F7">
        <w:t>(45,5%) des patients exposés au placebo.</w:t>
      </w:r>
    </w:p>
    <w:p w14:paraId="619DEA99" w14:textId="77777777" w:rsidR="000D11F1" w:rsidRPr="002B65F7" w:rsidRDefault="000D11F1" w:rsidP="00496255">
      <w:pPr>
        <w:widowControl/>
      </w:pPr>
    </w:p>
    <w:p w14:paraId="03B58427" w14:textId="50EAFAA2" w:rsidR="00092F83" w:rsidRPr="002B65F7" w:rsidRDefault="00C31740" w:rsidP="00496255">
      <w:pPr>
        <w:keepNext/>
        <w:widowControl/>
        <w:rPr>
          <w:i/>
          <w:iCs/>
          <w:u w:val="single"/>
        </w:rPr>
      </w:pPr>
      <w:r w:rsidRPr="002B65F7">
        <w:rPr>
          <w:i/>
          <w:iCs/>
          <w:u w:val="single"/>
        </w:rPr>
        <w:t>Qualité de vie liée à la santé</w:t>
      </w:r>
    </w:p>
    <w:p w14:paraId="185F1AA8" w14:textId="77777777" w:rsidR="000D11F1" w:rsidRPr="002B65F7" w:rsidRDefault="000D11F1" w:rsidP="00496255">
      <w:pPr>
        <w:keepNext/>
        <w:widowControl/>
      </w:pPr>
    </w:p>
    <w:p w14:paraId="03B58428" w14:textId="47C8057B" w:rsidR="00092F83" w:rsidRPr="002B65F7" w:rsidRDefault="00C31740" w:rsidP="00496255">
      <w:pPr>
        <w:widowControl/>
      </w:pPr>
      <w:r w:rsidRPr="002B65F7">
        <w:t>La qualité de vie liée à la santé a été évaluée par les questionnaires sur la maladie inflammatoire intestinale (IBDQ) et SF-36. À la semaine</w:t>
      </w:r>
      <w:r w:rsidR="000D11F1" w:rsidRPr="002B65F7">
        <w:t> </w:t>
      </w:r>
      <w:r w:rsidRPr="002B65F7">
        <w:t>8, les patients recevant l’</w:t>
      </w:r>
      <w:r w:rsidR="0071390F" w:rsidRPr="002B65F7">
        <w:t>ustekinumab</w:t>
      </w:r>
      <w:r w:rsidRPr="002B65F7">
        <w:t xml:space="preserve"> ont montré des améliorations supérieures, de manière statistiquement significative, et importantes sur le plan clinique, du score total IBDQ et de la composante mentale du score SF-36 dans les études UNITI-1 et UNITI-2, et de la composante physique du score SF-36 dans l’étude UNITI-2, comparativement au placebo. Ces améliorations se sont généralement mieux maintenues chez les patients traités par </w:t>
      </w:r>
      <w:r w:rsidR="0071390F" w:rsidRPr="002B65F7">
        <w:t>ustekinumab</w:t>
      </w:r>
      <w:r w:rsidRPr="002B65F7">
        <w:t xml:space="preserve"> dans l’étude IM-UNITI jusqu’à la semaine</w:t>
      </w:r>
      <w:r w:rsidR="000D11F1" w:rsidRPr="002B65F7">
        <w:t> </w:t>
      </w:r>
      <w:r w:rsidRPr="002B65F7">
        <w:t>44 comparativement au placebo. L’amélioration de la qualité de vie liée à la santé était généralement maintenue pendant l’étude d’extension jusqu’à la semaine</w:t>
      </w:r>
      <w:r w:rsidR="000D11F1" w:rsidRPr="002B65F7">
        <w:t> </w:t>
      </w:r>
      <w:r w:rsidRPr="002B65F7">
        <w:t>252.</w:t>
      </w:r>
    </w:p>
    <w:p w14:paraId="357939C5" w14:textId="77777777" w:rsidR="000D11F1" w:rsidRPr="002B65F7" w:rsidRDefault="000D11F1" w:rsidP="00496255">
      <w:pPr>
        <w:widowControl/>
        <w:rPr>
          <w:u w:val="single"/>
        </w:rPr>
      </w:pPr>
    </w:p>
    <w:p w14:paraId="03B584FF" w14:textId="77777777" w:rsidR="00092F83" w:rsidRPr="002B65F7" w:rsidRDefault="00C31740" w:rsidP="00496255">
      <w:pPr>
        <w:keepNext/>
        <w:widowControl/>
        <w:rPr>
          <w:u w:val="single"/>
        </w:rPr>
      </w:pPr>
      <w:r w:rsidRPr="002B65F7">
        <w:rPr>
          <w:u w:val="single"/>
        </w:rPr>
        <w:t>Immunogénicité</w:t>
      </w:r>
    </w:p>
    <w:p w14:paraId="41D919BD" w14:textId="77777777" w:rsidR="001271A5" w:rsidRPr="002B65F7" w:rsidRDefault="001271A5" w:rsidP="00496255">
      <w:pPr>
        <w:keepNext/>
        <w:widowControl/>
        <w:rPr>
          <w:u w:val="single"/>
        </w:rPr>
      </w:pPr>
    </w:p>
    <w:p w14:paraId="03B58500" w14:textId="1051543E" w:rsidR="00092F83" w:rsidRPr="002B65F7" w:rsidRDefault="00C31740" w:rsidP="00496255">
      <w:pPr>
        <w:widowControl/>
      </w:pPr>
      <w:r w:rsidRPr="002B65F7">
        <w:t>Des anticorps dirigés contre l’</w:t>
      </w:r>
      <w:r w:rsidR="0071390F" w:rsidRPr="002B65F7">
        <w:t>ustekinumab</w:t>
      </w:r>
      <w:r w:rsidRPr="002B65F7">
        <w:t xml:space="preserve"> peuvent se développer durant le traitement par </w:t>
      </w:r>
      <w:r w:rsidR="0071390F" w:rsidRPr="002B65F7">
        <w:t>ustekinumab</w:t>
      </w:r>
      <w:r w:rsidRPr="002B65F7">
        <w:t>, et la plupart sont neutralisants. La formation d’anticorps dirigés contre l’</w:t>
      </w:r>
      <w:r w:rsidR="0071390F" w:rsidRPr="002B65F7">
        <w:t>ustekinumab</w:t>
      </w:r>
      <w:r w:rsidRPr="002B65F7">
        <w:t xml:space="preserve"> est associée à une augmentation de la clairance de l’</w:t>
      </w:r>
      <w:r w:rsidR="0071390F" w:rsidRPr="002B65F7">
        <w:t>ustekinumab</w:t>
      </w:r>
      <w:r w:rsidRPr="002B65F7">
        <w:t xml:space="preserve"> et à une diminution de l’efficacité de l’</w:t>
      </w:r>
      <w:r w:rsidR="0071390F" w:rsidRPr="002B65F7">
        <w:t>ustekinumab</w:t>
      </w:r>
      <w:r w:rsidRPr="002B65F7">
        <w:t>, sauf chez les patients atteints de la maladie de Crohn, chez qui aucune diminution de l’efficacité n’a été observée. Il n’y a pas de corrélation apparente entre la présence d’anticorps dirigés contre l’</w:t>
      </w:r>
      <w:r w:rsidR="0071390F" w:rsidRPr="002B65F7">
        <w:t>ustekinumab</w:t>
      </w:r>
      <w:r w:rsidRPr="002B65F7">
        <w:t xml:space="preserve"> et la survenue de réactions au site d’injection.</w:t>
      </w:r>
    </w:p>
    <w:p w14:paraId="03B58501" w14:textId="77777777" w:rsidR="00092F83" w:rsidRPr="002B65F7" w:rsidRDefault="00092F83" w:rsidP="00496255">
      <w:pPr>
        <w:widowControl/>
      </w:pPr>
    </w:p>
    <w:p w14:paraId="03B58502" w14:textId="77777777" w:rsidR="00092F83" w:rsidRPr="002B65F7" w:rsidRDefault="00C31740" w:rsidP="00496255">
      <w:pPr>
        <w:keepNext/>
        <w:widowControl/>
        <w:rPr>
          <w:u w:val="single"/>
        </w:rPr>
      </w:pPr>
      <w:r w:rsidRPr="002B65F7">
        <w:rPr>
          <w:u w:val="single"/>
        </w:rPr>
        <w:t>Population pédiatrique</w:t>
      </w:r>
    </w:p>
    <w:p w14:paraId="17A41D86" w14:textId="77777777" w:rsidR="001271A5" w:rsidRPr="002B65F7" w:rsidRDefault="001271A5" w:rsidP="00496255">
      <w:pPr>
        <w:keepNext/>
        <w:widowControl/>
        <w:rPr>
          <w:u w:val="single"/>
        </w:rPr>
      </w:pPr>
    </w:p>
    <w:p w14:paraId="03B58503" w14:textId="297127AC" w:rsidR="00092F83" w:rsidRPr="002B65F7" w:rsidRDefault="00C31740" w:rsidP="00496255">
      <w:pPr>
        <w:widowControl/>
      </w:pPr>
      <w:r w:rsidRPr="002B65F7">
        <w:t>L’Agence européenne des médicaments a différé l’obligation de soumettre les résultats d’études réalisées avec l’</w:t>
      </w:r>
      <w:r w:rsidR="0071390F" w:rsidRPr="002B65F7">
        <w:t>ustekinumab</w:t>
      </w:r>
      <w:r w:rsidRPr="002B65F7">
        <w:t xml:space="preserve"> dans un ou plusieurs sous-groupes de la population pédiatrique dans la maladie de Crohn (voir rubrique</w:t>
      </w:r>
      <w:r w:rsidR="007C0E11" w:rsidRPr="002B65F7">
        <w:t> </w:t>
      </w:r>
      <w:r w:rsidRPr="002B65F7">
        <w:t>4.2 pour les informations concernant l’usage pédiatrique).</w:t>
      </w:r>
    </w:p>
    <w:p w14:paraId="2C10F052" w14:textId="77777777" w:rsidR="00B40FF7" w:rsidRDefault="00B40FF7" w:rsidP="00B40FF7">
      <w:pPr>
        <w:rPr>
          <w:noProof/>
          <w:lang w:eastAsia="nl-BE"/>
        </w:rPr>
      </w:pPr>
    </w:p>
    <w:p w14:paraId="20E0379B" w14:textId="1932DE68" w:rsidR="00B40FF7" w:rsidRDefault="00B40FF7" w:rsidP="00B40FF7">
      <w:pPr>
        <w:keepNext/>
        <w:rPr>
          <w:i/>
          <w:iCs/>
          <w:noProof/>
          <w:lang w:eastAsia="nl-BE"/>
        </w:rPr>
      </w:pPr>
      <w:r>
        <w:rPr>
          <w:i/>
          <w:iCs/>
          <w:noProof/>
          <w:lang w:eastAsia="nl-BE"/>
        </w:rPr>
        <w:t>Maladie de Crohn chez l’enfant</w:t>
      </w:r>
    </w:p>
    <w:p w14:paraId="6BE5FEB3" w14:textId="77777777" w:rsidR="00DA2A95" w:rsidRDefault="00DA2A95" w:rsidP="003743BD">
      <w:pPr>
        <w:keepNext/>
        <w:rPr>
          <w:i/>
          <w:iCs/>
          <w:noProof/>
          <w:lang w:eastAsia="nl-BE"/>
        </w:rPr>
      </w:pPr>
    </w:p>
    <w:p w14:paraId="54C20987" w14:textId="77777777" w:rsidR="00B40FF7" w:rsidRDefault="00B40FF7" w:rsidP="00B40FF7">
      <w:r>
        <w:rPr>
          <w:noProof/>
          <w:lang w:eastAsia="nl-BE"/>
        </w:rPr>
        <w:t xml:space="preserve">La sécurité et l’efficacité de l’ustekinumab ont été évaluées chez 48 patients pédiatriques pesant au moins 40 kg, au cours d’une analyse intermédiaire d’une étude de phase 3 multicentrique (UNITI­Jr) chez des patients pédiatriques atteints de la maladie de Crohn active modérée à sévère (définie par un score PCDAI [Paediatric Crohn’s Disease Activity Index] &gt; 30) pendant 52 semaines de traitement (8 semaines de traitement d’induction et 44 semaines de traitement d’entretien). Les patients inclus dans l’étude avaient présenté une réponse insuffisante ou n’avaient pas toléré un précédent traitement biologique ou conventionnel pour la maladie de Crohn. L’étude comprenait un traitement d’induction en ouvert avec une dose intraveineuse unique d’ustekinumab d’environ 6 mg/kg (voir rubrique 4.2), </w:t>
      </w:r>
      <w:bookmarkStart w:id="27" w:name="_Hlk191292046"/>
      <w:r>
        <w:rPr>
          <w:noProof/>
          <w:lang w:eastAsia="nl-BE"/>
        </w:rPr>
        <w:t>suivi d’une phase randomisée en double aveugle de traitement d’entretien sous-cutané de 90 mg d’ustekinumab administré toutes les 8 ou 12 semaines.</w:t>
      </w:r>
    </w:p>
    <w:bookmarkEnd w:id="27"/>
    <w:p w14:paraId="32F4602D" w14:textId="77777777" w:rsidR="00B40FF7" w:rsidRDefault="00B40FF7" w:rsidP="00B40FF7">
      <w:pPr>
        <w:rPr>
          <w:noProof/>
          <w:lang w:eastAsia="nl-BE"/>
        </w:rPr>
      </w:pPr>
    </w:p>
    <w:p w14:paraId="641A79E8" w14:textId="153CF674" w:rsidR="00B40FF7" w:rsidRPr="003743BD" w:rsidRDefault="00B40FF7" w:rsidP="00B40FF7">
      <w:pPr>
        <w:keepNext/>
        <w:rPr>
          <w:i/>
          <w:iCs/>
          <w:noProof/>
          <w:u w:val="single"/>
          <w:lang w:eastAsia="nl-BE"/>
        </w:rPr>
      </w:pPr>
      <w:r w:rsidRPr="003743BD">
        <w:rPr>
          <w:i/>
          <w:iCs/>
          <w:noProof/>
          <w:u w:val="single"/>
          <w:lang w:eastAsia="nl-BE"/>
        </w:rPr>
        <w:t>Résultats d’efficacité</w:t>
      </w:r>
    </w:p>
    <w:p w14:paraId="5F59AC07" w14:textId="77777777" w:rsidR="00DA2A95" w:rsidRDefault="00DA2A95" w:rsidP="003743BD">
      <w:pPr>
        <w:keepNext/>
        <w:rPr>
          <w:i/>
          <w:iCs/>
          <w:noProof/>
          <w:lang w:eastAsia="nl-BE"/>
        </w:rPr>
      </w:pPr>
    </w:p>
    <w:p w14:paraId="66C3B822" w14:textId="77777777" w:rsidR="00B40FF7" w:rsidRDefault="00B40FF7" w:rsidP="00B40FF7">
      <w:r>
        <w:rPr>
          <w:noProof/>
          <w:lang w:eastAsia="nl-BE"/>
        </w:rPr>
        <w:t xml:space="preserve">Le critère primaire de l’étude était la rémission clinique à la semaine 8 de l’induction (définie par un score PCDAI </w:t>
      </w:r>
      <w:r>
        <w:rPr>
          <w:rFonts w:hint="eastAsia"/>
          <w:noProof/>
          <w:lang w:eastAsia="nl-BE"/>
        </w:rPr>
        <w:t>≤</w:t>
      </w:r>
      <w:r>
        <w:rPr>
          <w:noProof/>
          <w:lang w:eastAsia="nl-BE"/>
        </w:rPr>
        <w:t> 10). La proportion de patients ayant atteint une rémission clinique était de 52,1 % (25/48), ce qui est comparable à celle observée dans les études de phase 3 sur l’ustekinumab chez l’adulte.</w:t>
      </w:r>
    </w:p>
    <w:p w14:paraId="7D7BDE0B" w14:textId="77777777" w:rsidR="00B40FF7" w:rsidRDefault="00B40FF7" w:rsidP="00B40FF7">
      <w:pPr>
        <w:rPr>
          <w:noProof/>
          <w:lang w:eastAsia="nl-BE"/>
        </w:rPr>
      </w:pPr>
    </w:p>
    <w:p w14:paraId="14024934" w14:textId="5EC77A35" w:rsidR="00B40FF7" w:rsidRDefault="00B40FF7" w:rsidP="00B40FF7">
      <w:pPr>
        <w:rPr>
          <w:noProof/>
          <w:lang w:eastAsia="nl-BE"/>
        </w:rPr>
      </w:pPr>
      <w:r>
        <w:rPr>
          <w:noProof/>
          <w:lang w:eastAsia="nl-BE"/>
        </w:rPr>
        <w:t>La réponse clinique a été observée dès la semaine 3. La proportion de patients présentant une réponse clinique à la semaine 8 (définie comme une réduction du score PCDAI de &gt; 12,5 points par rapport à l’inclusion, avec un score PCDAI total ne dépassant pas 30) était de 93,8 % (45/48).</w:t>
      </w:r>
    </w:p>
    <w:p w14:paraId="36BF1773" w14:textId="25A83AB1" w:rsidR="00B40FF7" w:rsidRDefault="00B40FF7" w:rsidP="00B40FF7">
      <w:pPr>
        <w:rPr>
          <w:noProof/>
          <w:lang w:eastAsia="nl-BE"/>
        </w:rPr>
      </w:pPr>
    </w:p>
    <w:p w14:paraId="5BF35C29" w14:textId="57DB7F87" w:rsidR="00B40FF7" w:rsidRDefault="00B40FF7" w:rsidP="00B40FF7">
      <w:pPr>
        <w:rPr>
          <w:noProof/>
          <w:lang w:eastAsia="nl-BE"/>
        </w:rPr>
      </w:pPr>
      <w:r>
        <w:rPr>
          <w:noProof/>
          <w:lang w:eastAsia="nl-BE"/>
        </w:rPr>
        <w:t>Le Tableau 1</w:t>
      </w:r>
      <w:r w:rsidR="00B85957">
        <w:rPr>
          <w:noProof/>
          <w:lang w:eastAsia="nl-BE"/>
        </w:rPr>
        <w:t>1</w:t>
      </w:r>
      <w:r>
        <w:rPr>
          <w:noProof/>
          <w:lang w:eastAsia="nl-BE"/>
        </w:rPr>
        <w:t xml:space="preserve"> présente les analyses des critères secondaires jusqu’à la semaine 44 d’entretien.</w:t>
      </w:r>
    </w:p>
    <w:p w14:paraId="22237261" w14:textId="77777777" w:rsidR="00B40FF7" w:rsidRDefault="00B40FF7" w:rsidP="00B40FF7"/>
    <w:p w14:paraId="44E7B2C7" w14:textId="2B75060C" w:rsidR="00B40FF7" w:rsidRPr="003743BD" w:rsidRDefault="00B40FF7" w:rsidP="00B40FF7">
      <w:pPr>
        <w:keepNext/>
        <w:ind w:left="1134" w:hanging="1134"/>
        <w:rPr>
          <w:b/>
          <w:bCs/>
          <w:noProof/>
          <w:lang w:val="fr-BE"/>
        </w:rPr>
      </w:pPr>
      <w:r w:rsidRPr="003743BD">
        <w:rPr>
          <w:rFonts w:eastAsia="SimSun"/>
          <w:b/>
          <w:bCs/>
          <w:noProof/>
          <w:lang w:val="fr-BE"/>
        </w:rPr>
        <w:t>Tableau 1</w:t>
      </w:r>
      <w:r w:rsidR="00B85957" w:rsidRPr="003743BD">
        <w:rPr>
          <w:rFonts w:eastAsia="SimSun"/>
          <w:b/>
          <w:bCs/>
          <w:noProof/>
          <w:lang w:val="fr-BE"/>
        </w:rPr>
        <w:t>1</w:t>
      </w:r>
      <w:r w:rsidRPr="003743BD">
        <w:rPr>
          <w:rFonts w:eastAsia="SimSun"/>
          <w:b/>
          <w:bCs/>
          <w:noProof/>
          <w:lang w:val="fr-BE"/>
        </w:rPr>
        <w:t> : Résumé des critères secondaires jusqu’à la semaine 44 d’entretien</w:t>
      </w:r>
    </w:p>
    <w:p w14:paraId="07C25756" w14:textId="77777777" w:rsidR="00B40FF7" w:rsidRDefault="00B40FF7" w:rsidP="00B40FF7">
      <w:pPr>
        <w:rPr>
          <w:noProof/>
          <w:lang w:eastAsia="nl-BE"/>
        </w:rPr>
      </w:pPr>
    </w:p>
    <w:tbl>
      <w:tblPr>
        <w:tblW w:w="9072"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16"/>
        <w:gridCol w:w="1835"/>
        <w:gridCol w:w="1775"/>
        <w:gridCol w:w="2046"/>
      </w:tblGrid>
      <w:tr w:rsidR="00B40FF7" w14:paraId="5D92DC71"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459D25F4" w14:textId="77777777" w:rsidR="00B40FF7" w:rsidRDefault="00B40FF7" w:rsidP="002F173E">
            <w:pPr>
              <w:keepNext/>
              <w:jc w:val="center"/>
            </w:pP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38C5E5D2" w14:textId="77777777" w:rsidR="00B40FF7" w:rsidRDefault="00B40FF7" w:rsidP="002F173E">
            <w:pPr>
              <w:keepNext/>
              <w:jc w:val="center"/>
              <w:rPr>
                <w:b/>
                <w:bCs/>
              </w:rPr>
            </w:pPr>
            <w:r>
              <w:rPr>
                <w:b/>
                <w:bCs/>
              </w:rPr>
              <w:t>Ustekinumab 90 mg toutes les 8 semaines</w:t>
            </w:r>
          </w:p>
          <w:p w14:paraId="1B0E7D83" w14:textId="77777777" w:rsidR="00B40FF7" w:rsidRDefault="00B40FF7" w:rsidP="002F173E">
            <w:pPr>
              <w:keepNext/>
              <w:jc w:val="center"/>
            </w:pPr>
            <w:r>
              <w:rPr>
                <w:b/>
                <w:bCs/>
              </w:rPr>
              <w:t>N = 23</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15F1C45D" w14:textId="77777777" w:rsidR="00B40FF7" w:rsidRDefault="00B40FF7" w:rsidP="002F173E">
            <w:pPr>
              <w:keepNext/>
              <w:jc w:val="center"/>
              <w:rPr>
                <w:b/>
                <w:bCs/>
              </w:rPr>
            </w:pPr>
            <w:r>
              <w:rPr>
                <w:b/>
                <w:bCs/>
              </w:rPr>
              <w:t>Ustekinumab 90 mg toutes les 12 semaines</w:t>
            </w:r>
          </w:p>
          <w:p w14:paraId="7706D8FB" w14:textId="77777777" w:rsidR="00B40FF7" w:rsidRDefault="00B40FF7" w:rsidP="002F173E">
            <w:pPr>
              <w:keepNext/>
              <w:jc w:val="center"/>
            </w:pPr>
            <w:r>
              <w:rPr>
                <w:b/>
                <w:bCs/>
              </w:rPr>
              <w:t>N = 25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5CBF1409" w14:textId="77777777" w:rsidR="00B40FF7" w:rsidRDefault="00B40FF7" w:rsidP="002F173E">
            <w:pPr>
              <w:keepNext/>
              <w:jc w:val="center"/>
            </w:pPr>
            <w:r>
              <w:rPr>
                <w:b/>
                <w:bCs/>
              </w:rPr>
              <w:t>Nombre total de patients</w:t>
            </w:r>
          </w:p>
          <w:p w14:paraId="29708B0B" w14:textId="77777777" w:rsidR="00B40FF7" w:rsidRDefault="00B40FF7" w:rsidP="002F173E">
            <w:pPr>
              <w:keepNext/>
              <w:jc w:val="center"/>
            </w:pPr>
            <w:r>
              <w:rPr>
                <w:b/>
                <w:bCs/>
              </w:rPr>
              <w:t>N = 48</w:t>
            </w:r>
          </w:p>
        </w:tc>
      </w:tr>
      <w:tr w:rsidR="00B40FF7" w14:paraId="2DB3F2F0"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661FC4C6" w14:textId="77777777" w:rsidR="00B40FF7" w:rsidRDefault="00B40FF7" w:rsidP="002F173E">
            <w:pPr>
              <w:rPr>
                <w:sz w:val="17"/>
                <w:szCs w:val="17"/>
              </w:rPr>
            </w:pPr>
            <w:r>
              <w:t xml:space="preserve">Rémission clinique </w:t>
            </w:r>
            <w:r>
              <w:rPr>
                <w:vertAlign w:val="superscript"/>
              </w:rPr>
              <w:t>* </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6BCCC515" w14:textId="77777777" w:rsidR="00B40FF7" w:rsidRDefault="00B40FF7" w:rsidP="002F173E">
            <w:pPr>
              <w:jc w:val="center"/>
            </w:pPr>
            <w:r>
              <w:t>43,5 % (10/23)</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29B198B6" w14:textId="77777777" w:rsidR="00B40FF7" w:rsidRDefault="00B40FF7" w:rsidP="002F173E">
            <w:pPr>
              <w:jc w:val="center"/>
            </w:pPr>
            <w:r>
              <w:t>60,0 % (15/25)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1D3C4F1E" w14:textId="77777777" w:rsidR="00B40FF7" w:rsidRDefault="00B40FF7" w:rsidP="002F173E">
            <w:pPr>
              <w:jc w:val="center"/>
            </w:pPr>
            <w:r>
              <w:t>52,1 % (25/48)</w:t>
            </w:r>
          </w:p>
        </w:tc>
      </w:tr>
      <w:tr w:rsidR="00B40FF7" w14:paraId="07596349"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6B7BAE23" w14:textId="77777777" w:rsidR="00B40FF7" w:rsidRDefault="00B40FF7" w:rsidP="002F173E">
            <w:r>
              <w:t>Rémission clinique sans corticoïdes </w:t>
            </w:r>
            <w:r>
              <w:rPr>
                <w:vertAlign w:val="superscript"/>
              </w:rPr>
              <w:t>§</w:t>
            </w:r>
            <w:r>
              <w:t> </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02D46377" w14:textId="77777777" w:rsidR="00B40FF7" w:rsidRDefault="00B40FF7" w:rsidP="002F173E">
            <w:pPr>
              <w:jc w:val="center"/>
            </w:pPr>
            <w:r>
              <w:t>43,5 % (10/23)</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28F86B54" w14:textId="77777777" w:rsidR="00B40FF7" w:rsidRDefault="00B40FF7" w:rsidP="002F173E">
            <w:pPr>
              <w:jc w:val="center"/>
            </w:pPr>
            <w:r>
              <w:t>60,0 % (15/25)</w:t>
            </w:r>
          </w:p>
          <w:p w14:paraId="5D3A379A" w14:textId="77777777" w:rsidR="00B40FF7" w:rsidRDefault="00B40FF7" w:rsidP="002F173E">
            <w:pPr>
              <w:jc w:val="center"/>
            </w:pP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1D7407BB" w14:textId="77777777" w:rsidR="00B40FF7" w:rsidRDefault="00B40FF7" w:rsidP="002F173E">
            <w:pPr>
              <w:jc w:val="center"/>
            </w:pPr>
            <w:r>
              <w:t>52,1 % (25/48)</w:t>
            </w:r>
          </w:p>
        </w:tc>
      </w:tr>
      <w:tr w:rsidR="00B40FF7" w14:paraId="662F13AA"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0B428C8A" w14:textId="77777777" w:rsidR="00B40FF7" w:rsidRDefault="00B40FF7" w:rsidP="002F173E">
            <w:r>
              <w:t>Rémission clinique pour les patients qui étaient en rémission clinique à la semaine 8 de l’induction</w:t>
            </w:r>
            <w:r>
              <w:rPr>
                <w:vertAlign w:val="superscript"/>
              </w:rPr>
              <w:t xml:space="preserve"> *</w:t>
            </w:r>
            <w:r>
              <w:t> </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13163346" w14:textId="77777777" w:rsidR="00B40FF7" w:rsidRDefault="00B40FF7" w:rsidP="002F173E">
            <w:pPr>
              <w:jc w:val="center"/>
            </w:pPr>
            <w:r>
              <w:t>64,3 % (9/14)</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55B9AD31" w14:textId="77777777" w:rsidR="00B40FF7" w:rsidRDefault="00B40FF7" w:rsidP="002F173E">
            <w:pPr>
              <w:jc w:val="center"/>
            </w:pPr>
            <w:r>
              <w:t>54,5 % (6/11)</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F360372" w14:textId="77777777" w:rsidR="00B40FF7" w:rsidRDefault="00B40FF7" w:rsidP="002F173E">
            <w:pPr>
              <w:jc w:val="center"/>
            </w:pPr>
            <w:r>
              <w:t>60,0 % (15/25)</w:t>
            </w:r>
          </w:p>
        </w:tc>
      </w:tr>
      <w:tr w:rsidR="00B40FF7" w14:paraId="602B436F"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37124623" w14:textId="77777777" w:rsidR="00B40FF7" w:rsidRDefault="00B40FF7" w:rsidP="002F173E">
            <w:r>
              <w:t xml:space="preserve">Réponse clinique </w:t>
            </w:r>
            <w:r>
              <w:rPr>
                <w:vertAlign w:val="superscript"/>
              </w:rPr>
              <w:t>†</w:t>
            </w:r>
            <w:r>
              <w:t> </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53197D56" w14:textId="77777777" w:rsidR="00B40FF7" w:rsidRDefault="00B40FF7" w:rsidP="002F173E">
            <w:pPr>
              <w:jc w:val="center"/>
            </w:pPr>
            <w:r>
              <w:t>52,2 % (12/23)</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13EA372B" w14:textId="77777777" w:rsidR="00B40FF7" w:rsidRDefault="00B40FF7" w:rsidP="002F173E">
            <w:pPr>
              <w:jc w:val="center"/>
            </w:pPr>
            <w:r>
              <w:t>60,0 % (15/25)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1B5327D1" w14:textId="77777777" w:rsidR="00B40FF7" w:rsidRDefault="00B40FF7" w:rsidP="002F173E">
            <w:pPr>
              <w:jc w:val="center"/>
            </w:pPr>
            <w:r>
              <w:t>56,3 % (27/48)</w:t>
            </w:r>
          </w:p>
        </w:tc>
      </w:tr>
      <w:tr w:rsidR="00B40FF7" w14:paraId="6DA234A2" w14:textId="77777777" w:rsidTr="003743BD">
        <w:trPr>
          <w:cantSplit/>
          <w:jc w:val="center"/>
        </w:trPr>
        <w:tc>
          <w:tcPr>
            <w:tcW w:w="3405" w:type="dxa"/>
            <w:tcBorders>
              <w:top w:val="single" w:sz="6" w:space="0" w:color="auto"/>
              <w:left w:val="single" w:sz="6" w:space="0" w:color="auto"/>
              <w:bottom w:val="single" w:sz="6" w:space="0" w:color="auto"/>
              <w:right w:val="single" w:sz="6" w:space="0" w:color="auto"/>
            </w:tcBorders>
            <w:tcMar>
              <w:left w:w="105" w:type="dxa"/>
              <w:right w:w="105" w:type="dxa"/>
            </w:tcMar>
          </w:tcPr>
          <w:p w14:paraId="76C6D03D" w14:textId="77777777" w:rsidR="00B40FF7" w:rsidRDefault="00B40FF7" w:rsidP="002F173E">
            <w:r>
              <w:t xml:space="preserve">Réponse endoscopique </w:t>
            </w:r>
            <w:r>
              <w:rPr>
                <w:vertAlign w:val="superscript"/>
              </w:rPr>
              <w:t>£</w:t>
            </w:r>
            <w:r>
              <w:t> </w:t>
            </w:r>
          </w:p>
        </w:tc>
        <w:tc>
          <w:tcPr>
            <w:tcW w:w="1830" w:type="dxa"/>
            <w:tcBorders>
              <w:top w:val="single" w:sz="6" w:space="0" w:color="auto"/>
              <w:left w:val="single" w:sz="6" w:space="0" w:color="auto"/>
              <w:bottom w:val="single" w:sz="6" w:space="0" w:color="auto"/>
              <w:right w:val="single" w:sz="6" w:space="0" w:color="auto"/>
            </w:tcBorders>
            <w:tcMar>
              <w:left w:w="105" w:type="dxa"/>
              <w:right w:w="105" w:type="dxa"/>
            </w:tcMar>
          </w:tcPr>
          <w:p w14:paraId="442FA8F9" w14:textId="77777777" w:rsidR="00B40FF7" w:rsidRDefault="00B40FF7" w:rsidP="002F173E">
            <w:pPr>
              <w:jc w:val="center"/>
            </w:pPr>
            <w:r>
              <w:t>22,7 % (5/22)</w:t>
            </w:r>
          </w:p>
        </w:tc>
        <w:tc>
          <w:tcPr>
            <w:tcW w:w="1770" w:type="dxa"/>
            <w:tcBorders>
              <w:top w:val="single" w:sz="6" w:space="0" w:color="auto"/>
              <w:left w:val="single" w:sz="6" w:space="0" w:color="auto"/>
              <w:bottom w:val="single" w:sz="6" w:space="0" w:color="auto"/>
              <w:right w:val="single" w:sz="6" w:space="0" w:color="auto"/>
            </w:tcBorders>
            <w:tcMar>
              <w:left w:w="105" w:type="dxa"/>
              <w:right w:w="105" w:type="dxa"/>
            </w:tcMar>
          </w:tcPr>
          <w:p w14:paraId="73723930" w14:textId="77777777" w:rsidR="00B40FF7" w:rsidRDefault="00B40FF7" w:rsidP="002F173E">
            <w:pPr>
              <w:jc w:val="center"/>
            </w:pPr>
            <w:r>
              <w:t>28,0 % (7/25)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0008D363" w14:textId="77777777" w:rsidR="00B40FF7" w:rsidRDefault="00B40FF7" w:rsidP="002F173E">
            <w:pPr>
              <w:jc w:val="center"/>
            </w:pPr>
            <w:r>
              <w:t>25,5 % (12/47)</w:t>
            </w:r>
          </w:p>
        </w:tc>
      </w:tr>
      <w:tr w:rsidR="00B40FF7" w14:paraId="4E8E89FC" w14:textId="77777777" w:rsidTr="003743BD">
        <w:trPr>
          <w:cantSplit/>
          <w:jc w:val="center"/>
        </w:trPr>
        <w:tc>
          <w:tcPr>
            <w:tcW w:w="9045" w:type="dxa"/>
            <w:gridSpan w:val="4"/>
            <w:tcBorders>
              <w:top w:val="single" w:sz="6" w:space="0" w:color="auto"/>
              <w:left w:val="nil"/>
              <w:bottom w:val="nil"/>
              <w:right w:val="nil"/>
            </w:tcBorders>
            <w:tcMar>
              <w:left w:w="105" w:type="dxa"/>
              <w:right w:w="105" w:type="dxa"/>
            </w:tcMar>
          </w:tcPr>
          <w:p w14:paraId="02CA297C" w14:textId="4375C045" w:rsidR="00B40FF7" w:rsidRPr="003743BD" w:rsidRDefault="00B40FF7" w:rsidP="003743BD">
            <w:pPr>
              <w:rPr>
                <w:sz w:val="20"/>
                <w:szCs w:val="20"/>
              </w:rPr>
            </w:pPr>
            <w:r w:rsidRPr="003743BD">
              <w:rPr>
                <w:sz w:val="20"/>
                <w:szCs w:val="20"/>
                <w:vertAlign w:val="superscript"/>
              </w:rPr>
              <w:t>*</w:t>
            </w:r>
            <w:r w:rsidR="00B85957" w:rsidRPr="003743BD">
              <w:rPr>
                <w:sz w:val="20"/>
                <w:szCs w:val="20"/>
              </w:rPr>
              <w:t xml:space="preserve"> </w:t>
            </w:r>
            <w:r w:rsidRPr="003743BD">
              <w:rPr>
                <w:sz w:val="20"/>
                <w:szCs w:val="20"/>
              </w:rPr>
              <w:t>La rémission clinique est définie par un score PCDAI ≤ 10 points.</w:t>
            </w:r>
          </w:p>
          <w:p w14:paraId="20A63A43" w14:textId="175DDC9A" w:rsidR="00B40FF7" w:rsidRPr="003743BD" w:rsidRDefault="00B40FF7" w:rsidP="003743BD">
            <w:pPr>
              <w:rPr>
                <w:sz w:val="20"/>
                <w:szCs w:val="20"/>
              </w:rPr>
            </w:pPr>
            <w:r w:rsidRPr="003743BD">
              <w:rPr>
                <w:sz w:val="20"/>
                <w:szCs w:val="20"/>
                <w:vertAlign w:val="superscript"/>
              </w:rPr>
              <w:t>§</w:t>
            </w:r>
            <w:r w:rsidR="00B85957" w:rsidRPr="003743BD">
              <w:rPr>
                <w:sz w:val="20"/>
                <w:szCs w:val="20"/>
              </w:rPr>
              <w:t xml:space="preserve"> </w:t>
            </w:r>
            <w:r w:rsidRPr="003743BD">
              <w:rPr>
                <w:sz w:val="20"/>
                <w:szCs w:val="20"/>
              </w:rPr>
              <w:t>La rémission sans corticoïdes est définie par un score PCDAI de ≤ 10 points sans recevoir de corticoïdes pendant au moins 90 jours avant la semaine 44 d’entretien.</w:t>
            </w:r>
          </w:p>
          <w:p w14:paraId="2415E95F" w14:textId="06E4C901" w:rsidR="00B40FF7" w:rsidRPr="003743BD" w:rsidRDefault="00B40FF7" w:rsidP="003743BD">
            <w:pPr>
              <w:rPr>
                <w:sz w:val="20"/>
                <w:szCs w:val="20"/>
              </w:rPr>
            </w:pPr>
            <w:r w:rsidRPr="003743BD">
              <w:rPr>
                <w:sz w:val="20"/>
                <w:szCs w:val="20"/>
                <w:vertAlign w:val="superscript"/>
              </w:rPr>
              <w:t>†</w:t>
            </w:r>
            <w:r w:rsidR="00B85957" w:rsidRPr="003743BD">
              <w:rPr>
                <w:sz w:val="20"/>
                <w:szCs w:val="20"/>
              </w:rPr>
              <w:t xml:space="preserve"> </w:t>
            </w:r>
            <w:r w:rsidRPr="003743BD">
              <w:rPr>
                <w:sz w:val="20"/>
                <w:szCs w:val="20"/>
              </w:rPr>
              <w:t>La réponse clinique est définie comme une réduction du score PCDAI de ≥ 12,5 points par rapport à l’inclusion avec un score PCDAI total ne dépassant pas 30.</w:t>
            </w:r>
          </w:p>
          <w:p w14:paraId="77A6A17F" w14:textId="20A7492F" w:rsidR="00B40FF7" w:rsidRDefault="00B40FF7" w:rsidP="003743BD">
            <w:pPr>
              <w:rPr>
                <w:sz w:val="18"/>
                <w:szCs w:val="18"/>
              </w:rPr>
            </w:pPr>
            <w:r w:rsidRPr="003743BD">
              <w:rPr>
                <w:sz w:val="20"/>
                <w:szCs w:val="20"/>
                <w:vertAlign w:val="superscript"/>
              </w:rPr>
              <w:t>£</w:t>
            </w:r>
            <w:r w:rsidR="00B85957" w:rsidRPr="003743BD">
              <w:rPr>
                <w:sz w:val="20"/>
                <w:szCs w:val="20"/>
              </w:rPr>
              <w:t xml:space="preserve"> </w:t>
            </w:r>
            <w:r w:rsidRPr="003743BD">
              <w:rPr>
                <w:sz w:val="20"/>
                <w:szCs w:val="20"/>
              </w:rPr>
              <w:t>La réponse endoscopique est définie comme une réduction du score SES-CD de ≥ 50 % ou un score SES-CD ≤ 2, chez les patients ayant un score SES-CD ≥ 3 à l’inclusion.</w:t>
            </w:r>
          </w:p>
        </w:tc>
      </w:tr>
    </w:tbl>
    <w:p w14:paraId="4D506455" w14:textId="77777777" w:rsidR="00B40FF7" w:rsidRDefault="00B40FF7" w:rsidP="00B40FF7">
      <w:pPr>
        <w:rPr>
          <w:i/>
          <w:iCs/>
          <w:noProof/>
          <w:lang w:eastAsia="nl-BE"/>
        </w:rPr>
      </w:pPr>
    </w:p>
    <w:p w14:paraId="2025FE47" w14:textId="77777777" w:rsidR="00B40FF7" w:rsidRPr="003743BD" w:rsidRDefault="00B40FF7" w:rsidP="00B40FF7">
      <w:pPr>
        <w:keepNext/>
        <w:rPr>
          <w:i/>
          <w:iCs/>
          <w:noProof/>
          <w:u w:val="single"/>
          <w:lang w:eastAsia="nl-BE"/>
        </w:rPr>
      </w:pPr>
      <w:r w:rsidRPr="003743BD">
        <w:rPr>
          <w:i/>
          <w:iCs/>
          <w:noProof/>
          <w:u w:val="single"/>
          <w:lang w:eastAsia="nl-BE"/>
        </w:rPr>
        <w:lastRenderedPageBreak/>
        <w:t>Ajustement posologique</w:t>
      </w:r>
    </w:p>
    <w:p w14:paraId="2A8C5BF0" w14:textId="77777777" w:rsidR="00DA2A95" w:rsidRDefault="00DA2A95" w:rsidP="003743BD">
      <w:pPr>
        <w:keepNext/>
        <w:rPr>
          <w:i/>
          <w:iCs/>
          <w:noProof/>
          <w:lang w:eastAsia="nl-BE"/>
        </w:rPr>
      </w:pPr>
    </w:p>
    <w:p w14:paraId="6C98A4C2" w14:textId="29E91696" w:rsidR="00B40FF7" w:rsidRDefault="00B40FF7" w:rsidP="00B40FF7">
      <w:pPr>
        <w:rPr>
          <w:noProof/>
          <w:lang w:eastAsia="nl-BE"/>
        </w:rPr>
      </w:pPr>
      <w:r w:rsidRPr="0034617B">
        <w:rPr>
          <w:noProof/>
          <w:lang w:eastAsia="nl-BE"/>
        </w:rPr>
        <w:t xml:space="preserve">Les patients qui sont entrés dans la phase </w:t>
      </w:r>
      <w:r>
        <w:rPr>
          <w:noProof/>
          <w:lang w:eastAsia="nl-BE"/>
        </w:rPr>
        <w:t>d’entretien</w:t>
      </w:r>
      <w:r w:rsidRPr="0034617B">
        <w:rPr>
          <w:noProof/>
          <w:lang w:eastAsia="nl-BE"/>
        </w:rPr>
        <w:t xml:space="preserve"> et qui ont présenté une perte de réponse basée sur le score PCDAI étaient éligibles à un ajustement </w:t>
      </w:r>
      <w:r>
        <w:rPr>
          <w:noProof/>
          <w:lang w:eastAsia="nl-BE"/>
        </w:rPr>
        <w:t>posologique</w:t>
      </w:r>
      <w:r w:rsidRPr="0034617B">
        <w:rPr>
          <w:noProof/>
          <w:lang w:eastAsia="nl-BE"/>
        </w:rPr>
        <w:t>. Les patients sont soit passé</w:t>
      </w:r>
      <w:r>
        <w:rPr>
          <w:noProof/>
          <w:lang w:eastAsia="nl-BE"/>
        </w:rPr>
        <w:t>s</w:t>
      </w:r>
      <w:r w:rsidRPr="0034617B">
        <w:rPr>
          <w:noProof/>
          <w:lang w:eastAsia="nl-BE"/>
        </w:rPr>
        <w:t xml:space="preserve"> </w:t>
      </w:r>
      <w:r w:rsidRPr="00CD6F0E">
        <w:rPr>
          <w:noProof/>
          <w:lang w:eastAsia="nl-BE"/>
        </w:rPr>
        <w:t>d’un traitement toutes les 12</w:t>
      </w:r>
      <w:r>
        <w:rPr>
          <w:noProof/>
          <w:lang w:eastAsia="nl-BE"/>
        </w:rPr>
        <w:t xml:space="preserve"> semaines </w:t>
      </w:r>
      <w:r w:rsidRPr="00CD6F0E">
        <w:rPr>
          <w:noProof/>
          <w:lang w:eastAsia="nl-BE"/>
        </w:rPr>
        <w:t xml:space="preserve">à </w:t>
      </w:r>
      <w:r>
        <w:rPr>
          <w:noProof/>
          <w:lang w:eastAsia="nl-BE"/>
        </w:rPr>
        <w:t xml:space="preserve">un traitement toutes les </w:t>
      </w:r>
      <w:r w:rsidRPr="00CD6F0E">
        <w:rPr>
          <w:noProof/>
          <w:lang w:eastAsia="nl-BE"/>
        </w:rPr>
        <w:t>8</w:t>
      </w:r>
      <w:r>
        <w:rPr>
          <w:noProof/>
          <w:lang w:eastAsia="nl-BE"/>
        </w:rPr>
        <w:t> </w:t>
      </w:r>
      <w:r w:rsidRPr="00CD6F0E">
        <w:rPr>
          <w:noProof/>
          <w:lang w:eastAsia="nl-BE"/>
        </w:rPr>
        <w:t xml:space="preserve">semaines ou sont restés </w:t>
      </w:r>
      <w:r>
        <w:rPr>
          <w:noProof/>
          <w:lang w:eastAsia="nl-BE"/>
        </w:rPr>
        <w:t xml:space="preserve">sur </w:t>
      </w:r>
      <w:r w:rsidRPr="0034617B">
        <w:rPr>
          <w:noProof/>
          <w:lang w:eastAsia="nl-BE"/>
        </w:rPr>
        <w:t>un traitement toutes les 8</w:t>
      </w:r>
      <w:r>
        <w:rPr>
          <w:noProof/>
          <w:lang w:eastAsia="nl-BE"/>
        </w:rPr>
        <w:t> </w:t>
      </w:r>
      <w:r w:rsidRPr="0034617B">
        <w:rPr>
          <w:noProof/>
          <w:lang w:eastAsia="nl-BE"/>
        </w:rPr>
        <w:t>semaines (ajustement placebo). 2 patie</w:t>
      </w:r>
      <w:r>
        <w:rPr>
          <w:noProof/>
          <w:lang w:eastAsia="nl-BE"/>
        </w:rPr>
        <w:t>n</w:t>
      </w:r>
      <w:r w:rsidRPr="0034617B">
        <w:rPr>
          <w:noProof/>
          <w:lang w:eastAsia="nl-BE"/>
        </w:rPr>
        <w:t xml:space="preserve">ts ont eu un ajustement </w:t>
      </w:r>
      <w:r>
        <w:rPr>
          <w:noProof/>
          <w:lang w:eastAsia="nl-BE"/>
        </w:rPr>
        <w:t>posologique</w:t>
      </w:r>
      <w:r w:rsidRPr="0034617B">
        <w:rPr>
          <w:noProof/>
          <w:lang w:eastAsia="nl-BE"/>
        </w:rPr>
        <w:t xml:space="preserve"> avec </w:t>
      </w:r>
      <w:r>
        <w:rPr>
          <w:noProof/>
          <w:lang w:eastAsia="nl-BE"/>
        </w:rPr>
        <w:t>l’</w:t>
      </w:r>
      <w:r w:rsidRPr="0034617B">
        <w:rPr>
          <w:noProof/>
          <w:lang w:eastAsia="nl-BE"/>
        </w:rPr>
        <w:t>interval</w:t>
      </w:r>
      <w:r>
        <w:rPr>
          <w:noProof/>
          <w:lang w:eastAsia="nl-BE"/>
        </w:rPr>
        <w:t>le</w:t>
      </w:r>
      <w:r w:rsidRPr="0034617B">
        <w:rPr>
          <w:noProof/>
          <w:lang w:eastAsia="nl-BE"/>
        </w:rPr>
        <w:t xml:space="preserve"> de traitement </w:t>
      </w:r>
      <w:r>
        <w:rPr>
          <w:noProof/>
          <w:lang w:eastAsia="nl-BE"/>
        </w:rPr>
        <w:t xml:space="preserve">le </w:t>
      </w:r>
      <w:r w:rsidRPr="0034617B">
        <w:rPr>
          <w:noProof/>
          <w:lang w:eastAsia="nl-BE"/>
        </w:rPr>
        <w:t>plus court. Chez ces p</w:t>
      </w:r>
      <w:r>
        <w:rPr>
          <w:noProof/>
          <w:lang w:eastAsia="nl-BE"/>
        </w:rPr>
        <w:t>a</w:t>
      </w:r>
      <w:r w:rsidRPr="0034617B">
        <w:rPr>
          <w:noProof/>
          <w:lang w:eastAsia="nl-BE"/>
        </w:rPr>
        <w:t>tients, la rémission clinique a été atteinte chez 100 % (2/2) des patients</w:t>
      </w:r>
      <w:r>
        <w:rPr>
          <w:noProof/>
          <w:lang w:eastAsia="nl-BE"/>
        </w:rPr>
        <w:t xml:space="preserve"> 8 semaines</w:t>
      </w:r>
      <w:r w:rsidRPr="0034617B">
        <w:rPr>
          <w:noProof/>
          <w:lang w:eastAsia="nl-BE"/>
        </w:rPr>
        <w:t xml:space="preserve"> après l’ajustement </w:t>
      </w:r>
      <w:r>
        <w:rPr>
          <w:noProof/>
          <w:lang w:eastAsia="nl-BE"/>
        </w:rPr>
        <w:t>posologique</w:t>
      </w:r>
      <w:r w:rsidRPr="0034617B">
        <w:rPr>
          <w:noProof/>
          <w:lang w:eastAsia="nl-BE"/>
        </w:rPr>
        <w:t>.</w:t>
      </w:r>
    </w:p>
    <w:p w14:paraId="36F5A4CE" w14:textId="77777777" w:rsidR="00B40FF7" w:rsidRDefault="00B40FF7" w:rsidP="00B40FF7">
      <w:pPr>
        <w:rPr>
          <w:noProof/>
          <w:lang w:eastAsia="nl-BE"/>
        </w:rPr>
      </w:pPr>
    </w:p>
    <w:p w14:paraId="08C05645" w14:textId="2BC316C4" w:rsidR="00B40FF7" w:rsidRPr="0034617B" w:rsidRDefault="00B40FF7" w:rsidP="00B40FF7">
      <w:pPr>
        <w:rPr>
          <w:noProof/>
          <w:lang w:eastAsia="nl-BE"/>
        </w:rPr>
      </w:pPr>
      <w:r>
        <w:rPr>
          <w:noProof/>
          <w:lang w:eastAsia="nl-BE"/>
        </w:rPr>
        <w:t>Le profil de sécurité des phases de traitement d’induction et d’entretien dans la populat</w:t>
      </w:r>
      <w:r w:rsidR="00DE4698">
        <w:rPr>
          <w:noProof/>
          <w:lang w:eastAsia="nl-BE"/>
        </w:rPr>
        <w:t>i</w:t>
      </w:r>
      <w:r>
        <w:rPr>
          <w:noProof/>
          <w:lang w:eastAsia="nl-BE"/>
        </w:rPr>
        <w:t>on pédiatrique pesant au moins 40 kg est comparable avec celui établi chez les patients adultes atteints de la maladie de Crohn (voir rubrique 4.8).</w:t>
      </w:r>
    </w:p>
    <w:p w14:paraId="55BA49F7" w14:textId="77777777" w:rsidR="00B40FF7" w:rsidRDefault="00B40FF7" w:rsidP="00B40FF7">
      <w:pPr>
        <w:rPr>
          <w:i/>
          <w:iCs/>
          <w:noProof/>
          <w:lang w:eastAsia="nl-BE"/>
        </w:rPr>
      </w:pPr>
    </w:p>
    <w:p w14:paraId="66B46BB5" w14:textId="764D2B47" w:rsidR="00B40FF7" w:rsidRPr="003743BD" w:rsidRDefault="00B40FF7" w:rsidP="00B40FF7">
      <w:pPr>
        <w:keepNext/>
        <w:rPr>
          <w:i/>
          <w:iCs/>
          <w:noProof/>
          <w:u w:val="single"/>
          <w:lang w:eastAsia="nl-BE"/>
        </w:rPr>
      </w:pPr>
      <w:r w:rsidRPr="003743BD">
        <w:rPr>
          <w:i/>
          <w:iCs/>
          <w:noProof/>
          <w:u w:val="single"/>
          <w:lang w:eastAsia="nl-BE"/>
        </w:rPr>
        <w:t>Biomarqueurs inflammatoires sériques et fécaux</w:t>
      </w:r>
    </w:p>
    <w:p w14:paraId="06A1A4EC" w14:textId="77777777" w:rsidR="00DA2A95" w:rsidRDefault="00DA2A95" w:rsidP="003743BD">
      <w:pPr>
        <w:keepNext/>
        <w:rPr>
          <w:i/>
          <w:iCs/>
          <w:noProof/>
          <w:lang w:eastAsia="nl-BE"/>
        </w:rPr>
      </w:pPr>
    </w:p>
    <w:p w14:paraId="3294FCEF" w14:textId="611DF2C0" w:rsidR="00B40FF7" w:rsidRDefault="00B40FF7" w:rsidP="00B40FF7">
      <w:pPr>
        <w:rPr>
          <w:noProof/>
          <w:lang w:eastAsia="nl-BE"/>
        </w:rPr>
      </w:pPr>
      <w:r>
        <w:rPr>
          <w:noProof/>
          <w:lang w:eastAsia="nl-BE"/>
        </w:rPr>
        <w:t>Le changement moyen à la semaine 44 d’entretien par rapport à l’inclusion des concentrations de protéine C-réactive (CRP) et de calprotectine fécale était de -11,17 mg/L (24,159) et de -538,2 mg/kg (1271,33), respectivement.</w:t>
      </w:r>
    </w:p>
    <w:p w14:paraId="18B8322C" w14:textId="77777777" w:rsidR="00B40FF7" w:rsidRDefault="00B40FF7" w:rsidP="00B40FF7">
      <w:pPr>
        <w:rPr>
          <w:noProof/>
          <w:lang w:eastAsia="nl-BE"/>
        </w:rPr>
      </w:pPr>
    </w:p>
    <w:p w14:paraId="6D697130" w14:textId="54F696DA" w:rsidR="00B40FF7" w:rsidRPr="003743BD" w:rsidRDefault="00B40FF7" w:rsidP="00B40FF7">
      <w:pPr>
        <w:keepNext/>
        <w:rPr>
          <w:i/>
          <w:iCs/>
          <w:noProof/>
          <w:u w:val="single"/>
          <w:lang w:eastAsia="nl-BE"/>
        </w:rPr>
      </w:pPr>
      <w:r w:rsidRPr="003743BD">
        <w:rPr>
          <w:i/>
          <w:iCs/>
          <w:noProof/>
          <w:u w:val="single"/>
          <w:lang w:eastAsia="nl-BE"/>
        </w:rPr>
        <w:t>Qualité de vie liée à la santé</w:t>
      </w:r>
    </w:p>
    <w:p w14:paraId="5530C9E3" w14:textId="77777777" w:rsidR="00DA2A95" w:rsidRDefault="00DA2A95" w:rsidP="003743BD">
      <w:pPr>
        <w:keepNext/>
        <w:rPr>
          <w:i/>
          <w:iCs/>
          <w:noProof/>
          <w:lang w:eastAsia="nl-BE"/>
        </w:rPr>
      </w:pPr>
    </w:p>
    <w:p w14:paraId="012828EA" w14:textId="130600A4" w:rsidR="00B40FF7" w:rsidRDefault="00B40FF7" w:rsidP="00B40FF7">
      <w:pPr>
        <w:rPr>
          <w:noProof/>
          <w:lang w:eastAsia="nl-BE"/>
        </w:rPr>
      </w:pPr>
      <w:r>
        <w:rPr>
          <w:noProof/>
          <w:lang w:eastAsia="nl-BE"/>
        </w:rPr>
        <w:t>Les scores totaux IMPACT-III et tous les sous-domaines (symptômes intestinaux, symptômes systémiques liés à la fatigue et bien-être) ont montré des améliorations cliniquement significatives après 52 semaines.</w:t>
      </w:r>
    </w:p>
    <w:p w14:paraId="0E165B8B" w14:textId="77777777" w:rsidR="001271A5" w:rsidRPr="002B65F7" w:rsidRDefault="001271A5" w:rsidP="00496255">
      <w:pPr>
        <w:widowControl/>
      </w:pPr>
    </w:p>
    <w:p w14:paraId="03B58504" w14:textId="7D1AABE6" w:rsidR="00092F83" w:rsidRPr="002B65F7" w:rsidRDefault="001271A5" w:rsidP="00464102">
      <w:pPr>
        <w:keepNext/>
        <w:widowControl/>
        <w:ind w:left="567" w:hanging="567"/>
        <w:rPr>
          <w:b/>
          <w:bCs/>
        </w:rPr>
      </w:pPr>
      <w:r w:rsidRPr="002B65F7">
        <w:rPr>
          <w:b/>
          <w:bCs/>
        </w:rPr>
        <w:t>5.2</w:t>
      </w:r>
      <w:r w:rsidRPr="002B65F7">
        <w:rPr>
          <w:b/>
          <w:bCs/>
        </w:rPr>
        <w:tab/>
      </w:r>
      <w:r w:rsidR="00C31740" w:rsidRPr="002B65F7">
        <w:rPr>
          <w:b/>
          <w:bCs/>
        </w:rPr>
        <w:t>Propriétés pharmacocinétiques</w:t>
      </w:r>
    </w:p>
    <w:p w14:paraId="03B58505" w14:textId="77777777" w:rsidR="00092F83" w:rsidRPr="002B65F7" w:rsidRDefault="00092F83" w:rsidP="00496255">
      <w:pPr>
        <w:keepNext/>
        <w:widowControl/>
      </w:pPr>
    </w:p>
    <w:p w14:paraId="03B58506" w14:textId="77777777" w:rsidR="00092F83" w:rsidRPr="002B65F7" w:rsidRDefault="00C31740" w:rsidP="00496255">
      <w:pPr>
        <w:keepNext/>
        <w:widowControl/>
        <w:rPr>
          <w:u w:val="single"/>
        </w:rPr>
      </w:pPr>
      <w:r w:rsidRPr="002B65F7">
        <w:rPr>
          <w:u w:val="single"/>
        </w:rPr>
        <w:t>Absorption</w:t>
      </w:r>
    </w:p>
    <w:p w14:paraId="044A58C9" w14:textId="77777777" w:rsidR="001271A5" w:rsidRPr="002B65F7" w:rsidRDefault="001271A5" w:rsidP="00496255">
      <w:pPr>
        <w:keepNext/>
        <w:widowControl/>
        <w:rPr>
          <w:u w:val="single"/>
        </w:rPr>
      </w:pPr>
    </w:p>
    <w:p w14:paraId="03B58507" w14:textId="5DC51813" w:rsidR="00092F83" w:rsidRPr="002B65F7" w:rsidRDefault="00C31740" w:rsidP="00496255">
      <w:pPr>
        <w:widowControl/>
      </w:pPr>
      <w:r w:rsidRPr="002B65F7">
        <w:t>Le temps médian nécessaire pour atteindre la concentration sérique maximale (t</w:t>
      </w:r>
      <w:r w:rsidRPr="002B65F7">
        <w:rPr>
          <w:vertAlign w:val="subscript"/>
        </w:rPr>
        <w:t>max</w:t>
      </w:r>
      <w:r w:rsidRPr="002B65F7">
        <w:t>) était de 8,5</w:t>
      </w:r>
      <w:r w:rsidR="000011A3" w:rsidRPr="002B65F7">
        <w:t> </w:t>
      </w:r>
      <w:r w:rsidRPr="002B65F7">
        <w:t>jours après une administration unique de 90</w:t>
      </w:r>
      <w:r w:rsidR="001271A5" w:rsidRPr="002B65F7">
        <w:t> </w:t>
      </w:r>
      <w:r w:rsidRPr="002B65F7">
        <w:t>mg en sous-cutanée chez des sujets sains. Après administration unique de 45</w:t>
      </w:r>
      <w:r w:rsidR="001271A5" w:rsidRPr="002B65F7">
        <w:t> </w:t>
      </w:r>
      <w:r w:rsidRPr="002B65F7">
        <w:t>mg ou de 90</w:t>
      </w:r>
      <w:r w:rsidR="001271A5" w:rsidRPr="002B65F7">
        <w:t> </w:t>
      </w:r>
      <w:r w:rsidRPr="002B65F7">
        <w:t>mg en sous-cutanée chez des patients présentant un psoriasis, les valeurs médianes t</w:t>
      </w:r>
      <w:r w:rsidRPr="002B65F7">
        <w:rPr>
          <w:vertAlign w:val="subscript"/>
        </w:rPr>
        <w:t>max</w:t>
      </w:r>
      <w:r w:rsidRPr="002B65F7">
        <w:t xml:space="preserve"> de l’</w:t>
      </w:r>
      <w:r w:rsidR="0071390F" w:rsidRPr="002B65F7">
        <w:t>ustekinumab</w:t>
      </w:r>
      <w:r w:rsidRPr="002B65F7">
        <w:t xml:space="preserve"> étaient comparables à celles observées chez des sujets sains.</w:t>
      </w:r>
    </w:p>
    <w:p w14:paraId="7DD9FFA2" w14:textId="77777777" w:rsidR="001271A5" w:rsidRPr="002B65F7" w:rsidRDefault="001271A5" w:rsidP="00496255">
      <w:pPr>
        <w:widowControl/>
      </w:pPr>
    </w:p>
    <w:p w14:paraId="03B58509" w14:textId="393EB6D6" w:rsidR="00092F83" w:rsidRPr="002B65F7" w:rsidRDefault="00C31740" w:rsidP="00496255">
      <w:pPr>
        <w:widowControl/>
      </w:pPr>
      <w:r w:rsidRPr="002B65F7">
        <w:t>La biodisponibilité absolue de l’</w:t>
      </w:r>
      <w:r w:rsidR="0071390F" w:rsidRPr="002B65F7">
        <w:t>ustekinumab</w:t>
      </w:r>
      <w:r w:rsidRPr="002B65F7">
        <w:t xml:space="preserve"> après une administration unique en sous-cutanée était estimée à 57,2% chez les patients présentant un psoriasis.</w:t>
      </w:r>
    </w:p>
    <w:p w14:paraId="03B5850A" w14:textId="77777777" w:rsidR="00092F83" w:rsidRPr="002B65F7" w:rsidRDefault="00092F83" w:rsidP="00496255">
      <w:pPr>
        <w:widowControl/>
      </w:pPr>
    </w:p>
    <w:p w14:paraId="03B5850B" w14:textId="77777777" w:rsidR="00092F83" w:rsidRPr="002B65F7" w:rsidRDefault="00C31740" w:rsidP="00496255">
      <w:pPr>
        <w:keepNext/>
        <w:widowControl/>
        <w:rPr>
          <w:u w:val="single"/>
        </w:rPr>
      </w:pPr>
      <w:r w:rsidRPr="002B65F7">
        <w:rPr>
          <w:u w:val="single"/>
        </w:rPr>
        <w:t>Distribution</w:t>
      </w:r>
    </w:p>
    <w:p w14:paraId="7F769086" w14:textId="77777777" w:rsidR="001271A5" w:rsidRPr="002B65F7" w:rsidRDefault="001271A5" w:rsidP="00496255">
      <w:pPr>
        <w:keepNext/>
        <w:widowControl/>
        <w:rPr>
          <w:u w:val="single"/>
        </w:rPr>
      </w:pPr>
    </w:p>
    <w:p w14:paraId="03B5850C" w14:textId="7D5F660C" w:rsidR="00092F83" w:rsidRPr="002B65F7" w:rsidRDefault="00C31740" w:rsidP="00496255">
      <w:pPr>
        <w:widowControl/>
      </w:pPr>
      <w:r w:rsidRPr="002B65F7">
        <w:t>Le volume de distribution médian pendant la phase finale (V</w:t>
      </w:r>
      <w:r w:rsidRPr="002B65F7">
        <w:rPr>
          <w:vertAlign w:val="subscript"/>
        </w:rPr>
        <w:t>z</w:t>
      </w:r>
      <w:r w:rsidRPr="002B65F7">
        <w:t>) après administration unique en intraveineuse à des patients présentant un psoriasis était comprise entre 57 et 83</w:t>
      </w:r>
      <w:r w:rsidR="000011A3" w:rsidRPr="002B65F7">
        <w:t> </w:t>
      </w:r>
      <w:r w:rsidRPr="002B65F7">
        <w:t>mL/kg.</w:t>
      </w:r>
    </w:p>
    <w:p w14:paraId="171BBA33" w14:textId="77777777" w:rsidR="00172806" w:rsidRPr="002B65F7" w:rsidRDefault="00172806" w:rsidP="00496255">
      <w:pPr>
        <w:widowControl/>
      </w:pPr>
    </w:p>
    <w:p w14:paraId="03B5850D" w14:textId="18808FDC" w:rsidR="00092F83" w:rsidRPr="002B65F7" w:rsidRDefault="00C31740" w:rsidP="00496255">
      <w:pPr>
        <w:keepNext/>
        <w:widowControl/>
        <w:rPr>
          <w:u w:val="single"/>
        </w:rPr>
      </w:pPr>
      <w:r w:rsidRPr="002B65F7">
        <w:rPr>
          <w:u w:val="single"/>
        </w:rPr>
        <w:t>Biotransformation</w:t>
      </w:r>
    </w:p>
    <w:p w14:paraId="5A9AAE65" w14:textId="77777777" w:rsidR="00172806" w:rsidRPr="002B65F7" w:rsidRDefault="00172806" w:rsidP="00496255">
      <w:pPr>
        <w:keepNext/>
        <w:widowControl/>
        <w:rPr>
          <w:u w:val="single"/>
        </w:rPr>
      </w:pPr>
    </w:p>
    <w:p w14:paraId="03B5850E" w14:textId="14DCAC61" w:rsidR="00092F83" w:rsidRPr="002B65F7" w:rsidRDefault="00C31740" w:rsidP="00496255">
      <w:pPr>
        <w:widowControl/>
      </w:pPr>
      <w:r w:rsidRPr="002B65F7">
        <w:t>La voie métabolique exacte de l’</w:t>
      </w:r>
      <w:r w:rsidR="0071390F" w:rsidRPr="002B65F7">
        <w:t>ustekinumab</w:t>
      </w:r>
      <w:r w:rsidRPr="002B65F7">
        <w:t xml:space="preserve"> n’est pas connue.</w:t>
      </w:r>
    </w:p>
    <w:p w14:paraId="03B5850F" w14:textId="77777777" w:rsidR="00092F83" w:rsidRPr="002B65F7" w:rsidRDefault="00092F83" w:rsidP="00496255">
      <w:pPr>
        <w:widowControl/>
      </w:pPr>
    </w:p>
    <w:p w14:paraId="03B58510" w14:textId="77777777" w:rsidR="00092F83" w:rsidRPr="002B65F7" w:rsidRDefault="00C31740" w:rsidP="00496255">
      <w:pPr>
        <w:keepNext/>
        <w:widowControl/>
        <w:rPr>
          <w:u w:val="single"/>
        </w:rPr>
      </w:pPr>
      <w:r w:rsidRPr="002B65F7">
        <w:rPr>
          <w:u w:val="single"/>
        </w:rPr>
        <w:t>Elimination</w:t>
      </w:r>
    </w:p>
    <w:p w14:paraId="0282E011" w14:textId="77777777" w:rsidR="001271A5" w:rsidRPr="002B65F7" w:rsidRDefault="001271A5" w:rsidP="00496255">
      <w:pPr>
        <w:keepNext/>
        <w:widowControl/>
        <w:rPr>
          <w:u w:val="single"/>
        </w:rPr>
      </w:pPr>
    </w:p>
    <w:p w14:paraId="03B58512" w14:textId="1077E820" w:rsidR="00092F83" w:rsidRPr="002B65F7" w:rsidRDefault="00C31740" w:rsidP="00496255">
      <w:pPr>
        <w:widowControl/>
      </w:pPr>
      <w:r w:rsidRPr="002B65F7">
        <w:t>La clairance médiane systémique (Cl) après administration unique en intraveineuse à des patients présentant un psoriasis était comprise entre 1,99 et 2,34</w:t>
      </w:r>
      <w:r w:rsidR="008F6879" w:rsidRPr="002B65F7">
        <w:t> </w:t>
      </w:r>
      <w:r w:rsidRPr="002B65F7">
        <w:t>mL/jour/kg. La demi-vie médiane (t</w:t>
      </w:r>
      <w:r w:rsidRPr="002B65F7">
        <w:rPr>
          <w:vertAlign w:val="subscript"/>
        </w:rPr>
        <w:t>1/2</w:t>
      </w:r>
      <w:r w:rsidRPr="002B65F7">
        <w:t>) de l’</w:t>
      </w:r>
      <w:r w:rsidR="0071390F" w:rsidRPr="002B65F7">
        <w:t>ustekinumab</w:t>
      </w:r>
      <w:r w:rsidRPr="002B65F7">
        <w:t xml:space="preserve"> était d’environ 3</w:t>
      </w:r>
      <w:r w:rsidR="00172806" w:rsidRPr="002B65F7">
        <w:t> </w:t>
      </w:r>
      <w:r w:rsidRPr="002B65F7">
        <w:t>semaines chez les patients présentant un psoriasis, un rhumatisme psoriasique</w:t>
      </w:r>
      <w:r w:rsidR="00F74437" w:rsidRPr="002B65F7">
        <w:t xml:space="preserve"> ou</w:t>
      </w:r>
      <w:r w:rsidRPr="002B65F7">
        <w:t xml:space="preserve"> une maladie de Crohn, elle était comprise entre 15 et 32</w:t>
      </w:r>
      <w:r w:rsidR="00172806" w:rsidRPr="002B65F7">
        <w:t> </w:t>
      </w:r>
      <w:r w:rsidRPr="002B65F7">
        <w:t xml:space="preserve">jours sur l’ensemble des études </w:t>
      </w:r>
      <w:r w:rsidR="0071390F" w:rsidRPr="002B65F7">
        <w:t>ustekinumab</w:t>
      </w:r>
      <w:r w:rsidRPr="002B65F7">
        <w:t xml:space="preserve"> réalisées dans le psoriasis et le rhumatisme psoriasique. Dans une analyse pharmacocinétique de population, la clairance apparente (Cl/F) et le volume de distribution apparent (V/F) étaient respectivement de 0,465</w:t>
      </w:r>
      <w:r w:rsidR="00291BEA" w:rsidRPr="002B65F7">
        <w:t> </w:t>
      </w:r>
      <w:r w:rsidRPr="002B65F7">
        <w:t>L/jour et de 15,7</w:t>
      </w:r>
      <w:r w:rsidR="00172806" w:rsidRPr="002B65F7">
        <w:t> </w:t>
      </w:r>
      <w:r w:rsidRPr="002B65F7">
        <w:t>L chez des</w:t>
      </w:r>
      <w:r w:rsidR="001271A5" w:rsidRPr="002B65F7">
        <w:t xml:space="preserve"> </w:t>
      </w:r>
      <w:r w:rsidRPr="002B65F7">
        <w:t>patients présentant un psoriasis. La Cl/F de l’</w:t>
      </w:r>
      <w:r w:rsidR="0071390F" w:rsidRPr="002B65F7">
        <w:t>ustekinumab</w:t>
      </w:r>
      <w:r w:rsidRPr="002B65F7">
        <w:t xml:space="preserve"> n’était pas influencée par le sexe. L’analyse pharmacocinétique de population a </w:t>
      </w:r>
      <w:r w:rsidRPr="002B65F7">
        <w:lastRenderedPageBreak/>
        <w:t>montré qu’il y avait une tendance vers une plus grande clairance de l’</w:t>
      </w:r>
      <w:r w:rsidR="0071390F" w:rsidRPr="002B65F7">
        <w:t>ustekinumab</w:t>
      </w:r>
      <w:r w:rsidRPr="002B65F7">
        <w:t xml:space="preserve"> chez les patients testés positivement aux anticorps anti-</w:t>
      </w:r>
      <w:r w:rsidR="0071390F" w:rsidRPr="002B65F7">
        <w:t>ustekinumab</w:t>
      </w:r>
      <w:r w:rsidRPr="002B65F7">
        <w:t>.</w:t>
      </w:r>
    </w:p>
    <w:p w14:paraId="3BD3B2D2" w14:textId="77777777" w:rsidR="008F6879" w:rsidRPr="002B65F7" w:rsidRDefault="008F6879" w:rsidP="00496255">
      <w:pPr>
        <w:widowControl/>
        <w:rPr>
          <w:u w:val="single"/>
        </w:rPr>
      </w:pPr>
    </w:p>
    <w:p w14:paraId="03B58513" w14:textId="10C04996" w:rsidR="00092F83" w:rsidRPr="002B65F7" w:rsidRDefault="00C31740" w:rsidP="00496255">
      <w:pPr>
        <w:keepNext/>
        <w:widowControl/>
        <w:rPr>
          <w:u w:val="single"/>
        </w:rPr>
      </w:pPr>
      <w:r w:rsidRPr="002B65F7">
        <w:rPr>
          <w:u w:val="single"/>
        </w:rPr>
        <w:t>Linéarité de dose</w:t>
      </w:r>
    </w:p>
    <w:p w14:paraId="6B8CB9C9" w14:textId="77777777" w:rsidR="008F6879" w:rsidRPr="002B65F7" w:rsidRDefault="008F6879" w:rsidP="00496255">
      <w:pPr>
        <w:keepNext/>
        <w:widowControl/>
        <w:rPr>
          <w:u w:val="single"/>
        </w:rPr>
      </w:pPr>
    </w:p>
    <w:p w14:paraId="03B58515" w14:textId="1F9ECCA4" w:rsidR="00092F83" w:rsidRPr="002B65F7" w:rsidRDefault="00C31740" w:rsidP="00496255">
      <w:pPr>
        <w:widowControl/>
      </w:pPr>
      <w:r w:rsidRPr="002B65F7">
        <w:t>L’exposition systémique de l’</w:t>
      </w:r>
      <w:r w:rsidR="0071390F" w:rsidRPr="002B65F7">
        <w:t>ustekinumab</w:t>
      </w:r>
      <w:r w:rsidRPr="002B65F7">
        <w:t xml:space="preserve"> (C</w:t>
      </w:r>
      <w:r w:rsidRPr="002B65F7">
        <w:rPr>
          <w:vertAlign w:val="subscript"/>
        </w:rPr>
        <w:t>max</w:t>
      </w:r>
      <w:r w:rsidRPr="002B65F7">
        <w:t xml:space="preserve"> et ASC) a augmenté de manière quasi-proportionnelle à la dose après administration unique intraveineuse à des posologies comprises entre 0,09</w:t>
      </w:r>
      <w:r w:rsidR="008F6879" w:rsidRPr="002B65F7">
        <w:t> </w:t>
      </w:r>
      <w:r w:rsidRPr="002B65F7">
        <w:t>mg/kg et</w:t>
      </w:r>
      <w:r w:rsidR="00172806" w:rsidRPr="002B65F7">
        <w:t xml:space="preserve"> </w:t>
      </w:r>
      <w:r w:rsidRPr="002B65F7">
        <w:t>4,5</w:t>
      </w:r>
      <w:r w:rsidR="008F6879" w:rsidRPr="002B65F7">
        <w:t> </w:t>
      </w:r>
      <w:r w:rsidRPr="002B65F7">
        <w:t>mg/kg ou après une administration unique sous-cutanée à des posologies comprises entre environ 24</w:t>
      </w:r>
      <w:r w:rsidR="008F6879" w:rsidRPr="002B65F7">
        <w:t> </w:t>
      </w:r>
      <w:r w:rsidRPr="002B65F7">
        <w:t>mg et 240</w:t>
      </w:r>
      <w:r w:rsidR="008F6879" w:rsidRPr="002B65F7">
        <w:t> </w:t>
      </w:r>
      <w:r w:rsidRPr="002B65F7">
        <w:t>mg chez des patients présentant un psoriasis.</w:t>
      </w:r>
    </w:p>
    <w:p w14:paraId="62FB7ACF" w14:textId="77777777" w:rsidR="008F6879" w:rsidRPr="002B65F7" w:rsidRDefault="008F6879" w:rsidP="00496255">
      <w:pPr>
        <w:widowControl/>
        <w:rPr>
          <w:u w:val="single"/>
        </w:rPr>
      </w:pPr>
    </w:p>
    <w:p w14:paraId="03B58516" w14:textId="1C4A21B2" w:rsidR="00092F83" w:rsidRPr="002B65F7" w:rsidRDefault="00C31740" w:rsidP="00496255">
      <w:pPr>
        <w:keepNext/>
        <w:widowControl/>
        <w:rPr>
          <w:u w:val="single"/>
        </w:rPr>
      </w:pPr>
      <w:r w:rsidRPr="002B65F7">
        <w:rPr>
          <w:u w:val="single"/>
        </w:rPr>
        <w:t xml:space="preserve">Dose unique </w:t>
      </w:r>
      <w:r w:rsidRPr="002B65F7">
        <w:rPr>
          <w:i/>
          <w:iCs/>
          <w:u w:val="single"/>
        </w:rPr>
        <w:t>versus</w:t>
      </w:r>
      <w:r w:rsidRPr="002B65F7">
        <w:rPr>
          <w:u w:val="single"/>
        </w:rPr>
        <w:t xml:space="preserve"> doses multiples</w:t>
      </w:r>
    </w:p>
    <w:p w14:paraId="49033D0E" w14:textId="77777777" w:rsidR="008F6879" w:rsidRPr="002B65F7" w:rsidRDefault="008F6879" w:rsidP="00496255">
      <w:pPr>
        <w:keepNext/>
        <w:widowControl/>
        <w:rPr>
          <w:u w:val="single"/>
        </w:rPr>
      </w:pPr>
    </w:p>
    <w:p w14:paraId="03B58518" w14:textId="3AF529F1" w:rsidR="00092F83" w:rsidRPr="002B65F7" w:rsidRDefault="00C31740" w:rsidP="00496255">
      <w:pPr>
        <w:widowControl/>
      </w:pPr>
      <w:r w:rsidRPr="002B65F7">
        <w:t>Les profils sériques de concentration de l’</w:t>
      </w:r>
      <w:r w:rsidR="0071390F" w:rsidRPr="002B65F7">
        <w:t>ustekinumab</w:t>
      </w:r>
      <w:r w:rsidRPr="002B65F7">
        <w:t xml:space="preserve"> en fonction du temps étaient généralement prévisibles après administration en sous-cutanée d’une dose unique ou de doses multiples. Chez les patients atteints de psoriasis, les concentrations sériques à l’équilibre de l’</w:t>
      </w:r>
      <w:r w:rsidR="0071390F" w:rsidRPr="002B65F7">
        <w:t>ustekinumab</w:t>
      </w:r>
      <w:r w:rsidRPr="002B65F7">
        <w:t xml:space="preserve"> ont été atteintes à la semaine 28</w:t>
      </w:r>
      <w:r w:rsidR="00172806" w:rsidRPr="002B65F7">
        <w:t> </w:t>
      </w:r>
      <w:r w:rsidRPr="002B65F7">
        <w:t xml:space="preserve">après des doses initiales en sous-cutanée aux </w:t>
      </w:r>
      <w:r w:rsidR="00F74437" w:rsidRPr="002B65F7">
        <w:t>s</w:t>
      </w:r>
      <w:r w:rsidRPr="002B65F7">
        <w:t>emaines</w:t>
      </w:r>
      <w:r w:rsidR="00172806" w:rsidRPr="002B65F7">
        <w:t> </w:t>
      </w:r>
      <w:r w:rsidRPr="002B65F7">
        <w:t>0 et 4</w:t>
      </w:r>
      <w:r w:rsidR="00172806" w:rsidRPr="002B65F7">
        <w:t> </w:t>
      </w:r>
      <w:r w:rsidRPr="002B65F7">
        <w:t>suivies d’une dose toutes les 12</w:t>
      </w:r>
      <w:r w:rsidR="008F6879" w:rsidRPr="002B65F7">
        <w:t> </w:t>
      </w:r>
      <w:r w:rsidRPr="002B65F7">
        <w:t>semaines. La concentration médiane à l’équilibre était comprise entre 0,21</w:t>
      </w:r>
      <w:r w:rsidR="008F6879" w:rsidRPr="002B65F7">
        <w:t> </w:t>
      </w:r>
      <w:r w:rsidR="00F74437" w:rsidRPr="002B65F7">
        <w:t>microgramme</w:t>
      </w:r>
      <w:r w:rsidRPr="002B65F7">
        <w:t>/mL et</w:t>
      </w:r>
      <w:r w:rsidR="008F6879" w:rsidRPr="002B65F7">
        <w:t xml:space="preserve"> </w:t>
      </w:r>
      <w:r w:rsidRPr="002B65F7">
        <w:t>0,26</w:t>
      </w:r>
      <w:r w:rsidR="008F6879" w:rsidRPr="002B65F7">
        <w:t> </w:t>
      </w:r>
      <w:r w:rsidR="00F74437" w:rsidRPr="002B65F7">
        <w:t>microgramme</w:t>
      </w:r>
      <w:r w:rsidRPr="002B65F7">
        <w:t>/mL (45</w:t>
      </w:r>
      <w:r w:rsidR="008F6879" w:rsidRPr="002B65F7">
        <w:t> </w:t>
      </w:r>
      <w:r w:rsidRPr="002B65F7">
        <w:t>mg) et entre 0,47</w:t>
      </w:r>
      <w:r w:rsidR="008F6879" w:rsidRPr="002B65F7">
        <w:t> </w:t>
      </w:r>
      <w:r w:rsidR="00F74437" w:rsidRPr="002B65F7">
        <w:t>microgramme</w:t>
      </w:r>
      <w:r w:rsidRPr="002B65F7">
        <w:t>/mL et 0,49</w:t>
      </w:r>
      <w:r w:rsidR="008F6879" w:rsidRPr="002B65F7">
        <w:t> </w:t>
      </w:r>
      <w:r w:rsidR="00F74437" w:rsidRPr="002B65F7">
        <w:t>microgramme</w:t>
      </w:r>
      <w:r w:rsidRPr="002B65F7">
        <w:t>/mL (90</w:t>
      </w:r>
      <w:r w:rsidR="008F6879" w:rsidRPr="002B65F7">
        <w:t> </w:t>
      </w:r>
      <w:r w:rsidRPr="002B65F7">
        <w:t>mg) chez les patients atteints de psoriasis. Il n’y avait pas d’accumulation apparente de la concentration sérique de l’</w:t>
      </w:r>
      <w:r w:rsidR="0071390F" w:rsidRPr="002B65F7">
        <w:t>ustekinumab</w:t>
      </w:r>
      <w:r w:rsidRPr="002B65F7">
        <w:t xml:space="preserve"> au cours du temps lors d’administrations sous-cutanées toutes les 12</w:t>
      </w:r>
      <w:r w:rsidR="00172806" w:rsidRPr="002B65F7">
        <w:t> </w:t>
      </w:r>
      <w:r w:rsidRPr="002B65F7">
        <w:t>semaines.</w:t>
      </w:r>
    </w:p>
    <w:p w14:paraId="03B58519" w14:textId="77777777" w:rsidR="00092F83" w:rsidRPr="002B65F7" w:rsidRDefault="00092F83" w:rsidP="00496255">
      <w:pPr>
        <w:widowControl/>
      </w:pPr>
    </w:p>
    <w:p w14:paraId="03B5851B" w14:textId="7F189607" w:rsidR="00092F83" w:rsidRPr="002B65F7" w:rsidRDefault="00C31740" w:rsidP="00496255">
      <w:pPr>
        <w:widowControl/>
      </w:pPr>
      <w:r w:rsidRPr="002B65F7">
        <w:t>Chez les patients atteints de la maladie de Crohn, après une dose intraveineuse de ~6</w:t>
      </w:r>
      <w:r w:rsidR="00605676" w:rsidRPr="002B65F7">
        <w:t> </w:t>
      </w:r>
      <w:r w:rsidRPr="002B65F7">
        <w:t>mg/kg, à partir de la semaine</w:t>
      </w:r>
      <w:r w:rsidR="00605676" w:rsidRPr="002B65F7">
        <w:t> </w:t>
      </w:r>
      <w:r w:rsidRPr="002B65F7">
        <w:t>8, une posologie d'entretien de 90</w:t>
      </w:r>
      <w:r w:rsidR="00605676" w:rsidRPr="002B65F7">
        <w:t> </w:t>
      </w:r>
      <w:r w:rsidRPr="002B65F7">
        <w:t>mg d'</w:t>
      </w:r>
      <w:r w:rsidR="0071390F" w:rsidRPr="002B65F7">
        <w:t>ustekinumab</w:t>
      </w:r>
      <w:r w:rsidRPr="002B65F7">
        <w:t xml:space="preserve"> par voie sous-cutanée a été administrée toutes les 8 ou 12</w:t>
      </w:r>
      <w:r w:rsidR="00605676" w:rsidRPr="002B65F7">
        <w:t> </w:t>
      </w:r>
      <w:r w:rsidRPr="002B65F7">
        <w:t>semaines. La concentration d’</w:t>
      </w:r>
      <w:r w:rsidR="0071390F" w:rsidRPr="002B65F7">
        <w:t>ustekinumab</w:t>
      </w:r>
      <w:r w:rsidRPr="002B65F7">
        <w:t xml:space="preserve"> à l’état d’équilibre a été atteinte au début de la deuxième dose d'entretien. Chez les patients atteints de la maladie de Crohn, les concentrations minimales médianes à l’état d’équilibre variaient de 1,97</w:t>
      </w:r>
      <w:r w:rsidR="00605676" w:rsidRPr="002B65F7">
        <w:t> </w:t>
      </w:r>
      <w:r w:rsidR="00F74437" w:rsidRPr="002B65F7">
        <w:t>microgramme</w:t>
      </w:r>
      <w:r w:rsidRPr="002B65F7">
        <w:t>/mL à 2,24</w:t>
      </w:r>
      <w:r w:rsidR="00605676" w:rsidRPr="002B65F7">
        <w:t> </w:t>
      </w:r>
      <w:r w:rsidR="00F74437" w:rsidRPr="002B65F7">
        <w:t>microgrammes</w:t>
      </w:r>
      <w:r w:rsidRPr="002B65F7">
        <w:t>/mL et de 0,61</w:t>
      </w:r>
      <w:r w:rsidR="00605676" w:rsidRPr="002B65F7">
        <w:t> </w:t>
      </w:r>
      <w:r w:rsidR="00F74437" w:rsidRPr="002B65F7">
        <w:t>microgramme</w:t>
      </w:r>
      <w:r w:rsidRPr="002B65F7">
        <w:t>/mL à 0,76</w:t>
      </w:r>
      <w:r w:rsidR="00605676" w:rsidRPr="002B65F7">
        <w:t> </w:t>
      </w:r>
      <w:r w:rsidR="00F74437" w:rsidRPr="002B65F7">
        <w:t>microgramme</w:t>
      </w:r>
      <w:r w:rsidRPr="002B65F7">
        <w:t>/mL lors de l’administration de 90</w:t>
      </w:r>
      <w:r w:rsidR="00605676" w:rsidRPr="002B65F7">
        <w:t> </w:t>
      </w:r>
      <w:r w:rsidRPr="002B65F7">
        <w:t>mg d'</w:t>
      </w:r>
      <w:r w:rsidR="0071390F" w:rsidRPr="002B65F7">
        <w:t>ustekinumab</w:t>
      </w:r>
      <w:r w:rsidRPr="002B65F7">
        <w:t xml:space="preserve"> toutes les 8 semaines ou toutes les 12</w:t>
      </w:r>
      <w:r w:rsidR="008A5A0B" w:rsidRPr="002B65F7">
        <w:t> </w:t>
      </w:r>
      <w:r w:rsidRPr="002B65F7">
        <w:t>semaines, respectivement. Les niveaux minimaux d’</w:t>
      </w:r>
      <w:r w:rsidR="0071390F" w:rsidRPr="002B65F7">
        <w:t>ustekinumab</w:t>
      </w:r>
      <w:r w:rsidRPr="002B65F7">
        <w:t xml:space="preserve"> à l’état d'équilibre résultant d’une administration de 90</w:t>
      </w:r>
      <w:r w:rsidR="00605676" w:rsidRPr="002B65F7">
        <w:t> </w:t>
      </w:r>
      <w:r w:rsidRPr="002B65F7">
        <w:t>mg d'</w:t>
      </w:r>
      <w:r w:rsidR="0071390F" w:rsidRPr="002B65F7">
        <w:t>ustekinumab</w:t>
      </w:r>
      <w:r w:rsidRPr="002B65F7">
        <w:t xml:space="preserve"> toutes les 8</w:t>
      </w:r>
      <w:r w:rsidR="00605676" w:rsidRPr="002B65F7">
        <w:t> </w:t>
      </w:r>
      <w:r w:rsidRPr="002B65F7">
        <w:t>semaines ont été associés à des taux plus élevés de rémission clinique comparés aux niveaux minimaux d’</w:t>
      </w:r>
      <w:r w:rsidR="0071390F" w:rsidRPr="002B65F7">
        <w:t>ustekinumab</w:t>
      </w:r>
      <w:r w:rsidRPr="002B65F7">
        <w:t xml:space="preserve"> à l’état d'équilibre après une administration de 90</w:t>
      </w:r>
      <w:r w:rsidR="005F7D16" w:rsidRPr="002B65F7">
        <w:t> </w:t>
      </w:r>
      <w:r w:rsidRPr="002B65F7">
        <w:t>mg toutes les 12</w:t>
      </w:r>
      <w:r w:rsidR="005F7D16" w:rsidRPr="002B65F7">
        <w:t> </w:t>
      </w:r>
      <w:r w:rsidRPr="002B65F7">
        <w:t>semaines.</w:t>
      </w:r>
    </w:p>
    <w:p w14:paraId="03B5851C" w14:textId="77777777" w:rsidR="00092F83" w:rsidRPr="002B65F7" w:rsidRDefault="00092F83" w:rsidP="00496255">
      <w:pPr>
        <w:widowControl/>
      </w:pPr>
    </w:p>
    <w:p w14:paraId="03B5851D" w14:textId="77777777" w:rsidR="00092F83" w:rsidRPr="002B65F7" w:rsidRDefault="00C31740" w:rsidP="00496255">
      <w:pPr>
        <w:keepNext/>
        <w:widowControl/>
        <w:rPr>
          <w:u w:val="single"/>
        </w:rPr>
      </w:pPr>
      <w:r w:rsidRPr="002B65F7">
        <w:rPr>
          <w:u w:val="single"/>
        </w:rPr>
        <w:t>Impact du poids sur la pharmacocinétique</w:t>
      </w:r>
    </w:p>
    <w:p w14:paraId="66CADCEA" w14:textId="77777777" w:rsidR="00605676" w:rsidRPr="002B65F7" w:rsidRDefault="00605676" w:rsidP="00496255">
      <w:pPr>
        <w:keepNext/>
        <w:widowControl/>
        <w:rPr>
          <w:u w:val="single"/>
        </w:rPr>
      </w:pPr>
    </w:p>
    <w:p w14:paraId="03B58521" w14:textId="1497E955" w:rsidR="00092F83" w:rsidRPr="002B65F7" w:rsidRDefault="00C31740" w:rsidP="00496255">
      <w:pPr>
        <w:keepNext/>
        <w:widowControl/>
      </w:pPr>
      <w:r w:rsidRPr="002B65F7">
        <w:t>Dans une analyse pharmacocinétique de population utilisant des données issues de patients atteints de psoriasis, le poids s’est révélé être la covariable impactant le plus significativement la clairance de l’</w:t>
      </w:r>
      <w:r w:rsidR="0071390F" w:rsidRPr="002B65F7">
        <w:t>ustekinumab</w:t>
      </w:r>
      <w:r w:rsidRPr="002B65F7">
        <w:t>. La Cl/F médiane chez les patients de poids</w:t>
      </w:r>
      <w:r w:rsidR="00605676" w:rsidRPr="002B65F7">
        <w:t> </w:t>
      </w:r>
      <w:r w:rsidRPr="002B65F7">
        <w:t>&gt;</w:t>
      </w:r>
      <w:r w:rsidR="00605676" w:rsidRPr="002B65F7">
        <w:t> </w:t>
      </w:r>
      <w:r w:rsidRPr="002B65F7">
        <w:t>100</w:t>
      </w:r>
      <w:r w:rsidR="00A06625" w:rsidRPr="002B65F7">
        <w:t> </w:t>
      </w:r>
      <w:r w:rsidRPr="002B65F7">
        <w:t>kg était environ</w:t>
      </w:r>
      <w:r w:rsidR="00A06625" w:rsidRPr="002B65F7">
        <w:t> </w:t>
      </w:r>
      <w:r w:rsidRPr="002B65F7">
        <w:t>55% plus importante que chez les patients de poids</w:t>
      </w:r>
      <w:r w:rsidR="00605676" w:rsidRPr="002B65F7">
        <w:t> </w:t>
      </w:r>
      <w:r w:rsidRPr="002B65F7">
        <w:t>≤</w:t>
      </w:r>
      <w:r w:rsidR="00605676" w:rsidRPr="002B65F7">
        <w:t> </w:t>
      </w:r>
      <w:r w:rsidRPr="002B65F7">
        <w:t>100</w:t>
      </w:r>
      <w:r w:rsidR="00A06625" w:rsidRPr="002B65F7">
        <w:t> </w:t>
      </w:r>
      <w:r w:rsidRPr="002B65F7">
        <w:t>kg. Le V/F médian chez des patients de poids</w:t>
      </w:r>
      <w:r w:rsidR="00605676" w:rsidRPr="002B65F7">
        <w:t> </w:t>
      </w:r>
      <w:r w:rsidRPr="002B65F7">
        <w:t>&gt;</w:t>
      </w:r>
      <w:r w:rsidR="00605676" w:rsidRPr="002B65F7">
        <w:t> </w:t>
      </w:r>
      <w:r w:rsidRPr="002B65F7">
        <w:t>100</w:t>
      </w:r>
      <w:r w:rsidR="00A06625" w:rsidRPr="002B65F7">
        <w:t> </w:t>
      </w:r>
      <w:r w:rsidRPr="002B65F7">
        <w:t>kg était</w:t>
      </w:r>
      <w:r w:rsidR="00F914F4" w:rsidRPr="002B65F7">
        <w:t xml:space="preserve"> </w:t>
      </w:r>
      <w:r w:rsidRPr="002B65F7">
        <w:t>environ</w:t>
      </w:r>
      <w:r w:rsidR="00A06625" w:rsidRPr="002B65F7">
        <w:t> </w:t>
      </w:r>
      <w:r w:rsidRPr="002B65F7">
        <w:t>37% plus important que chez ceux de poids</w:t>
      </w:r>
      <w:r w:rsidR="00A06625" w:rsidRPr="002B65F7">
        <w:t> </w:t>
      </w:r>
      <w:r w:rsidRPr="002B65F7">
        <w:t>≤</w:t>
      </w:r>
      <w:r w:rsidR="00A06625" w:rsidRPr="002B65F7">
        <w:t> </w:t>
      </w:r>
      <w:r w:rsidRPr="002B65F7">
        <w:t>100</w:t>
      </w:r>
      <w:r w:rsidR="00A06625" w:rsidRPr="002B65F7">
        <w:t> </w:t>
      </w:r>
      <w:r w:rsidRPr="002B65F7">
        <w:t>kg. Les concentrations sériques minimales médianes résiduelles de l’</w:t>
      </w:r>
      <w:r w:rsidR="0071390F" w:rsidRPr="002B65F7">
        <w:t>ustekinumab</w:t>
      </w:r>
      <w:r w:rsidRPr="002B65F7">
        <w:t xml:space="preserve"> chez des patients de poids plus élevé (&gt;</w:t>
      </w:r>
      <w:r w:rsidR="00A06625" w:rsidRPr="002B65F7">
        <w:t> </w:t>
      </w:r>
      <w:r w:rsidRPr="002B65F7">
        <w:t>100</w:t>
      </w:r>
      <w:r w:rsidR="00A06625" w:rsidRPr="002B65F7">
        <w:t> </w:t>
      </w:r>
      <w:r w:rsidRPr="002B65F7">
        <w:t>kg) du groupe</w:t>
      </w:r>
      <w:r w:rsidR="00A06625" w:rsidRPr="002B65F7">
        <w:t xml:space="preserve"> </w:t>
      </w:r>
      <w:r w:rsidRPr="002B65F7">
        <w:t>90</w:t>
      </w:r>
      <w:r w:rsidR="00A06625" w:rsidRPr="002B65F7">
        <w:t> </w:t>
      </w:r>
      <w:r w:rsidRPr="002B65F7">
        <w:t>mg étaient comparables à celles des patients de poids plus faible (≤</w:t>
      </w:r>
      <w:r w:rsidR="00A06625" w:rsidRPr="002B65F7">
        <w:t> </w:t>
      </w:r>
      <w:r w:rsidRPr="002B65F7">
        <w:t>100</w:t>
      </w:r>
      <w:r w:rsidR="00A06625" w:rsidRPr="002B65F7">
        <w:t> </w:t>
      </w:r>
      <w:r w:rsidRPr="002B65F7">
        <w:t>kg) du groupe</w:t>
      </w:r>
      <w:r w:rsidR="00A06625" w:rsidRPr="002B65F7">
        <w:t> </w:t>
      </w:r>
      <w:r w:rsidRPr="002B65F7">
        <w:t>45</w:t>
      </w:r>
      <w:r w:rsidR="00A06625" w:rsidRPr="002B65F7">
        <w:t> </w:t>
      </w:r>
      <w:r w:rsidRPr="002B65F7">
        <w:t>mg. Des résultats similaires ont été obtenus dans une analyse pharmacocinétique de population confirmatoire, utilisant des données issues de patients atteints de rhumatisme psoriasique.</w:t>
      </w:r>
    </w:p>
    <w:p w14:paraId="03B58522" w14:textId="77777777" w:rsidR="00092F83" w:rsidRPr="002B65F7" w:rsidRDefault="00092F83" w:rsidP="00496255">
      <w:pPr>
        <w:widowControl/>
      </w:pPr>
    </w:p>
    <w:p w14:paraId="03B58523" w14:textId="77777777" w:rsidR="00092F83" w:rsidRPr="002B65F7" w:rsidRDefault="00C31740" w:rsidP="00496255">
      <w:pPr>
        <w:keepNext/>
        <w:widowControl/>
        <w:rPr>
          <w:u w:val="single"/>
        </w:rPr>
      </w:pPr>
      <w:r w:rsidRPr="002B65F7">
        <w:rPr>
          <w:u w:val="single"/>
        </w:rPr>
        <w:t>Adaptation de la posologie</w:t>
      </w:r>
    </w:p>
    <w:p w14:paraId="3DE95E9D" w14:textId="77777777" w:rsidR="00A06625" w:rsidRPr="002B65F7" w:rsidRDefault="00A06625" w:rsidP="00496255">
      <w:pPr>
        <w:keepNext/>
        <w:widowControl/>
        <w:rPr>
          <w:u w:val="single"/>
        </w:rPr>
      </w:pPr>
    </w:p>
    <w:p w14:paraId="03B58524" w14:textId="27823A7E" w:rsidR="00092F83" w:rsidRPr="002B65F7" w:rsidRDefault="00C31740" w:rsidP="00496255">
      <w:pPr>
        <w:widowControl/>
      </w:pPr>
      <w:r w:rsidRPr="002B65F7">
        <w:t>Sur la base des données observées et des analyses PK de population, chez les patients atteints de la maladie de Crohn, les patients randomisés ayant perdu leur réponse au traitement présentaient, au fil du temps, des concentrations sériques d’</w:t>
      </w:r>
      <w:r w:rsidR="0071390F" w:rsidRPr="002B65F7">
        <w:t>ustekinumab</w:t>
      </w:r>
      <w:r w:rsidRPr="002B65F7">
        <w:t xml:space="preserve"> plus faibles par rapport aux patients ne présentant pas de perte de réponse. Dans la maladie de Crohn, l’adaptation de la posologie de 90</w:t>
      </w:r>
      <w:r w:rsidR="00A06625" w:rsidRPr="002B65F7">
        <w:t> </w:t>
      </w:r>
      <w:r w:rsidRPr="002B65F7">
        <w:t>mg toutes les 12</w:t>
      </w:r>
      <w:r w:rsidR="00A06625" w:rsidRPr="002B65F7">
        <w:t> </w:t>
      </w:r>
      <w:r w:rsidRPr="002B65F7">
        <w:t>semaines à 90</w:t>
      </w:r>
      <w:r w:rsidR="00A06625" w:rsidRPr="002B65F7">
        <w:t> </w:t>
      </w:r>
      <w:r w:rsidRPr="002B65F7">
        <w:t>mg toutes les 8</w:t>
      </w:r>
      <w:r w:rsidR="008A5A0B" w:rsidRPr="002B65F7">
        <w:t> </w:t>
      </w:r>
      <w:r w:rsidRPr="002B65F7">
        <w:t>semaines était associée à une augmentation des concentrations plasmatiques minimales d’</w:t>
      </w:r>
      <w:r w:rsidR="0071390F" w:rsidRPr="002B65F7">
        <w:t>ustekinumab</w:t>
      </w:r>
      <w:r w:rsidRPr="002B65F7">
        <w:t xml:space="preserve"> et à une augmentation associée de l’efficacité.</w:t>
      </w:r>
    </w:p>
    <w:p w14:paraId="03B58525" w14:textId="77777777" w:rsidR="00092F83" w:rsidRPr="002B65F7" w:rsidRDefault="00092F83" w:rsidP="00496255">
      <w:pPr>
        <w:widowControl/>
      </w:pPr>
    </w:p>
    <w:p w14:paraId="03B58526" w14:textId="77777777" w:rsidR="00092F83" w:rsidRPr="002B65F7" w:rsidRDefault="00C31740" w:rsidP="00496255">
      <w:pPr>
        <w:keepNext/>
        <w:widowControl/>
        <w:rPr>
          <w:u w:val="single"/>
        </w:rPr>
      </w:pPr>
      <w:r w:rsidRPr="002B65F7">
        <w:rPr>
          <w:u w:val="single"/>
        </w:rPr>
        <w:lastRenderedPageBreak/>
        <w:t>Populations particulières</w:t>
      </w:r>
    </w:p>
    <w:p w14:paraId="08AC890D" w14:textId="77777777" w:rsidR="00A06625" w:rsidRPr="002B65F7" w:rsidRDefault="00A06625" w:rsidP="00496255">
      <w:pPr>
        <w:keepNext/>
        <w:widowControl/>
        <w:rPr>
          <w:u w:val="single"/>
        </w:rPr>
      </w:pPr>
    </w:p>
    <w:p w14:paraId="03B58527" w14:textId="77777777" w:rsidR="00092F83" w:rsidRPr="002B65F7" w:rsidRDefault="00C31740" w:rsidP="00496255">
      <w:pPr>
        <w:widowControl/>
      </w:pPr>
      <w:r w:rsidRPr="002B65F7">
        <w:t>Aucune donnée pharmacocinétique n’est disponible concernant les patients présentant une insuffisance rénale ou hépatique. Aucune étude spécifique n’a été conduite chez les patients âgés.</w:t>
      </w:r>
    </w:p>
    <w:p w14:paraId="3D80B0CA" w14:textId="77777777" w:rsidR="00A06625" w:rsidRPr="002B65F7" w:rsidRDefault="00A06625" w:rsidP="00496255">
      <w:pPr>
        <w:widowControl/>
      </w:pPr>
    </w:p>
    <w:p w14:paraId="03B58528" w14:textId="400CAC50" w:rsidR="00092F83" w:rsidRPr="002B65F7" w:rsidRDefault="00C31740" w:rsidP="00496255">
      <w:pPr>
        <w:widowControl/>
      </w:pPr>
      <w:r w:rsidRPr="002B65F7">
        <w:t>La pharmacocinétique de l’</w:t>
      </w:r>
      <w:r w:rsidR="0071390F" w:rsidRPr="002B65F7">
        <w:t>ustekinumab</w:t>
      </w:r>
      <w:r w:rsidRPr="002B65F7">
        <w:t xml:space="preserve"> était généralement comparable entre les patients asiatiques et non-asiatiques présentant un psoriasis.</w:t>
      </w:r>
    </w:p>
    <w:p w14:paraId="03B58529" w14:textId="77777777" w:rsidR="00092F83" w:rsidRPr="002B65F7" w:rsidRDefault="00092F83" w:rsidP="00496255">
      <w:pPr>
        <w:widowControl/>
      </w:pPr>
    </w:p>
    <w:p w14:paraId="03B5852A" w14:textId="68333541" w:rsidR="00092F83" w:rsidRPr="002B65F7" w:rsidRDefault="00C31740" w:rsidP="00496255">
      <w:pPr>
        <w:widowControl/>
      </w:pPr>
      <w:r w:rsidRPr="002B65F7">
        <w:t>Chez les patients atteints de la maladie de Crohn, la variabilité de la clairance de l’</w:t>
      </w:r>
      <w:r w:rsidR="0071390F" w:rsidRPr="002B65F7">
        <w:t>ustekinumab</w:t>
      </w:r>
      <w:r w:rsidRPr="002B65F7">
        <w:t xml:space="preserve"> était affectée par le poids corporel, le taux d’albumine sérique, le sexe, et le statut d’anticorps anti-</w:t>
      </w:r>
      <w:r w:rsidR="0071390F" w:rsidRPr="002B65F7">
        <w:t>ustekinumab</w:t>
      </w:r>
      <w:r w:rsidRPr="002B65F7">
        <w:t xml:space="preserve">, tandis que le poids corporel était la variable principale affectant le volume de distribution. De plus, dans la maladie de Crohn, la clairance était affectée par la protéine C réactive, le statut d’échec des anti-TNF et l’origine ethnique (asiatique </w:t>
      </w:r>
      <w:r w:rsidRPr="002B65F7">
        <w:rPr>
          <w:i/>
          <w:iCs/>
        </w:rPr>
        <w:t>versus</w:t>
      </w:r>
      <w:r w:rsidRPr="002B65F7">
        <w:t xml:space="preserve"> non asiatique). L’impact de ces covariables était de</w:t>
      </w:r>
      <w:r w:rsidR="00A06625" w:rsidRPr="002B65F7">
        <w:t> </w:t>
      </w:r>
      <w:r w:rsidRPr="002B65F7">
        <w:t>±</w:t>
      </w:r>
      <w:r w:rsidR="00A06625" w:rsidRPr="002B65F7">
        <w:t> </w:t>
      </w:r>
      <w:r w:rsidRPr="002B65F7">
        <w:t>20% des valeurs typiques ou de référence du paramètre PK respectif ; ainsi, l’ajustement posologique n’est pas garanti pour ces covariables. L’utilisation concomitante d’immunomodulateurs n’a pas eu d’impact significatif sur l’élimination de l’</w:t>
      </w:r>
      <w:r w:rsidR="0071390F" w:rsidRPr="002B65F7">
        <w:t>ustekinumab</w:t>
      </w:r>
      <w:r w:rsidRPr="002B65F7">
        <w:t>.</w:t>
      </w:r>
    </w:p>
    <w:p w14:paraId="7D95C0E4" w14:textId="77777777" w:rsidR="00A06625" w:rsidRPr="002B65F7" w:rsidRDefault="00A06625" w:rsidP="00496255">
      <w:pPr>
        <w:widowControl/>
      </w:pPr>
    </w:p>
    <w:p w14:paraId="03B5852B" w14:textId="2B1B752A" w:rsidR="00092F83" w:rsidRPr="002B65F7" w:rsidRDefault="00C31740" w:rsidP="00496255">
      <w:pPr>
        <w:widowControl/>
      </w:pPr>
      <w:r w:rsidRPr="002B65F7">
        <w:t>L’analyse pharmacocinétique de population n’a pas montré de signe d’effet du tabac ou de l’alcool sur la pharmacocinétique de l’</w:t>
      </w:r>
      <w:r w:rsidR="0071390F" w:rsidRPr="002B65F7">
        <w:t>ustekinumab</w:t>
      </w:r>
      <w:r w:rsidRPr="002B65F7">
        <w:t>.</w:t>
      </w:r>
    </w:p>
    <w:p w14:paraId="576A9862" w14:textId="2F64D66C" w:rsidR="007E7C1D" w:rsidRPr="002B65F7" w:rsidRDefault="007E7C1D" w:rsidP="00496255">
      <w:pPr>
        <w:widowControl/>
      </w:pPr>
    </w:p>
    <w:p w14:paraId="4A82B983" w14:textId="6CA9E59D" w:rsidR="007E7C1D" w:rsidRPr="002B65F7" w:rsidRDefault="002526B9" w:rsidP="00496255">
      <w:pPr>
        <w:widowControl/>
      </w:pPr>
      <w:r w:rsidRPr="002B65F7">
        <w:t>L</w:t>
      </w:r>
      <w:r w:rsidR="007E7C1D" w:rsidRPr="002B65F7">
        <w:t xml:space="preserve">a biodisponibilité d’ustekinumab </w:t>
      </w:r>
      <w:r w:rsidRPr="002B65F7">
        <w:t xml:space="preserve">après une administration en seringue ou stylo prérempli </w:t>
      </w:r>
      <w:r w:rsidR="007E7C1D" w:rsidRPr="002B65F7">
        <w:t>était comparable.</w:t>
      </w:r>
    </w:p>
    <w:p w14:paraId="76AD8D0C" w14:textId="77777777" w:rsidR="00E53EB2" w:rsidRPr="002B65F7" w:rsidRDefault="00E53EB2" w:rsidP="00496255">
      <w:pPr>
        <w:widowControl/>
      </w:pPr>
    </w:p>
    <w:p w14:paraId="03B5852E" w14:textId="3F05B881" w:rsidR="00092F83" w:rsidRPr="002B65F7" w:rsidRDefault="00C31740" w:rsidP="00496255">
      <w:pPr>
        <w:widowControl/>
      </w:pPr>
      <w:r w:rsidRPr="002B65F7">
        <w:t>Les concentrations sériques d’</w:t>
      </w:r>
      <w:r w:rsidR="0071390F" w:rsidRPr="002B65F7">
        <w:t>ustekinumab</w:t>
      </w:r>
      <w:r w:rsidRPr="002B65F7">
        <w:t xml:space="preserve"> chez les adolescents âgés de 6</w:t>
      </w:r>
      <w:r w:rsidR="002B67B7" w:rsidRPr="002B65F7">
        <w:t> </w:t>
      </w:r>
      <w:r w:rsidRPr="002B65F7">
        <w:t>à 17</w:t>
      </w:r>
      <w:r w:rsidR="008A5A0B" w:rsidRPr="002B65F7">
        <w:t> </w:t>
      </w:r>
      <w:r w:rsidRPr="002B65F7">
        <w:t>ans atteints de psoriasis, traités par la dose recommandée en fonction du poids, étaient généralement comparables à celles de la population adulte atteinte de psoriasis traitée par la dose adulte. Les concentrations sériques d’</w:t>
      </w:r>
      <w:r w:rsidR="0071390F" w:rsidRPr="002B65F7">
        <w:t>ustekinumab</w:t>
      </w:r>
      <w:r w:rsidRPr="002B65F7">
        <w:t xml:space="preserve"> chez les adolescents âgés de 12</w:t>
      </w:r>
      <w:r w:rsidR="002B67B7" w:rsidRPr="002B65F7">
        <w:t> </w:t>
      </w:r>
      <w:r w:rsidRPr="002B65F7">
        <w:t>à 17</w:t>
      </w:r>
      <w:r w:rsidR="002B67B7" w:rsidRPr="002B65F7">
        <w:t> </w:t>
      </w:r>
      <w:r w:rsidRPr="002B65F7">
        <w:t>ans (CADMUS) atteints de psoriasis traités par la demi-dose recommandée en fonction du poids étaient généralement inférieures à celles observées chez les adultes.</w:t>
      </w:r>
    </w:p>
    <w:p w14:paraId="298EFAD4" w14:textId="77777777" w:rsidR="00FB3573" w:rsidRDefault="00FB3573" w:rsidP="00FB3573">
      <w:pPr>
        <w:rPr>
          <w:noProof/>
          <w:lang w:eastAsia="nl-BE"/>
        </w:rPr>
      </w:pPr>
    </w:p>
    <w:p w14:paraId="6D3972F3" w14:textId="77777777" w:rsidR="00FB3573" w:rsidRDefault="00FB3573" w:rsidP="00FB3573">
      <w:bookmarkStart w:id="28" w:name="_Hlk191292741"/>
      <w:r>
        <w:rPr>
          <w:noProof/>
          <w:lang w:eastAsia="nl-BE"/>
        </w:rPr>
        <w:t>Les concentrations sériques à l’état d’équilibre chez les patients pédiatriques atteints de la maladie de Crohn pesant au moins 40 kg étaient comparables à celles de la population adulte atteinte de la maladie de Crohn.</w:t>
      </w:r>
    </w:p>
    <w:bookmarkEnd w:id="28"/>
    <w:p w14:paraId="73D3D31D" w14:textId="77777777" w:rsidR="00A06625" w:rsidRPr="002B65F7" w:rsidRDefault="00A06625" w:rsidP="00496255">
      <w:pPr>
        <w:widowControl/>
      </w:pPr>
    </w:p>
    <w:p w14:paraId="03B5852F" w14:textId="0D89A035" w:rsidR="00092F83" w:rsidRPr="002B65F7" w:rsidRDefault="00C31740" w:rsidP="00496255">
      <w:pPr>
        <w:keepNext/>
        <w:widowControl/>
        <w:rPr>
          <w:u w:val="single"/>
        </w:rPr>
      </w:pPr>
      <w:r w:rsidRPr="002B65F7">
        <w:rPr>
          <w:u w:val="single"/>
        </w:rPr>
        <w:t>Régulation des enzymes du CYP450</w:t>
      </w:r>
    </w:p>
    <w:p w14:paraId="42AC7DDB" w14:textId="77777777" w:rsidR="00A06625" w:rsidRPr="002B65F7" w:rsidRDefault="00A06625" w:rsidP="00496255">
      <w:pPr>
        <w:keepNext/>
        <w:widowControl/>
      </w:pPr>
    </w:p>
    <w:p w14:paraId="03B58530" w14:textId="1E22EF16" w:rsidR="00092F83" w:rsidRDefault="00C31740" w:rsidP="00496255">
      <w:pPr>
        <w:widowControl/>
      </w:pPr>
      <w:r w:rsidRPr="002B65F7">
        <w:t>Les effets de l’IL-12 ou de l’IL-23 sur la régulation des enzymes du CYP450 ont été évalués dans une étude in vitro sur des hépatocytes humains, qui a montré que l’IL-12 et/ou l’IL-23 à des concentrations de 10</w:t>
      </w:r>
      <w:r w:rsidR="00257277" w:rsidRPr="002B65F7">
        <w:t> </w:t>
      </w:r>
      <w:r w:rsidRPr="002B65F7">
        <w:t>ng/mL n’altéraient pas les activités enzymatiques du CYP450 humain (CYP1A2, 2B6, 2C9, 2C19, 2D6, ou 3A4; voir rubrique</w:t>
      </w:r>
      <w:r w:rsidR="00257277" w:rsidRPr="002B65F7">
        <w:t> </w:t>
      </w:r>
      <w:r w:rsidRPr="002B65F7">
        <w:t>4.5).</w:t>
      </w:r>
    </w:p>
    <w:p w14:paraId="662F4C7B" w14:textId="77777777" w:rsidR="002B2B4F" w:rsidRDefault="002B2B4F" w:rsidP="00496255">
      <w:pPr>
        <w:widowControl/>
      </w:pPr>
    </w:p>
    <w:p w14:paraId="6D37259D" w14:textId="77777777" w:rsidR="002B2B4F" w:rsidRPr="002B65F7" w:rsidRDefault="002B2B4F" w:rsidP="002B2B4F">
      <w:pPr>
        <w:widowControl/>
      </w:pPr>
      <w:r w:rsidRPr="008F1B22">
        <w:t>Une étude d’interaction médicamenteuse de phase 1, en ouvert, CNTO1275CRD1003, a été conduite pour évaluer l’effet de l’ustekinumab sur l’activité enzymatique du cytochrome P450 suite à des doses d’induction et d’entretien chez des patients atteints de maladie de Crohn active (n</w:t>
      </w:r>
      <w:r w:rsidRPr="002B65F7">
        <w:t> </w:t>
      </w:r>
      <w:r w:rsidRPr="008F1B22">
        <w:t>=</w:t>
      </w:r>
      <w:r w:rsidRPr="002B65F7">
        <w:t> </w:t>
      </w:r>
      <w:r w:rsidRPr="008F1B22">
        <w:t>18). Il n’y a pas eu de modification cliniquement significative observée sur l’exposition à la caféine (substrat du CYP1A2), la warfarine (substrat du CYP2C9), l’oméprazole (substrat du CYP2C19), au dextrométhorphane (substrat du CYP2D6) ou au midazolam (substrat du CYP3A) lors d’une utilisation concomitante avec l’ustekinumab aux doses recommandées approuvées chez les patients atteints de la maladie de Crohn (voir rubrique 4.5).</w:t>
      </w:r>
    </w:p>
    <w:p w14:paraId="119CAE17" w14:textId="77777777" w:rsidR="00257277" w:rsidRPr="002B65F7" w:rsidRDefault="00257277" w:rsidP="00496255">
      <w:pPr>
        <w:widowControl/>
        <w:rPr>
          <w:b/>
          <w:bCs/>
        </w:rPr>
      </w:pPr>
    </w:p>
    <w:p w14:paraId="03B58532" w14:textId="4B26266B" w:rsidR="00092F83" w:rsidRPr="002B65F7" w:rsidRDefault="00257277" w:rsidP="00464102">
      <w:pPr>
        <w:keepNext/>
        <w:widowControl/>
        <w:ind w:left="567" w:hanging="567"/>
        <w:rPr>
          <w:b/>
          <w:bCs/>
        </w:rPr>
      </w:pPr>
      <w:r w:rsidRPr="002B65F7">
        <w:rPr>
          <w:b/>
          <w:bCs/>
        </w:rPr>
        <w:t>5.3</w:t>
      </w:r>
      <w:r w:rsidRPr="002B65F7">
        <w:rPr>
          <w:b/>
          <w:bCs/>
        </w:rPr>
        <w:tab/>
      </w:r>
      <w:r w:rsidR="00C31740" w:rsidRPr="002B65F7">
        <w:rPr>
          <w:b/>
          <w:bCs/>
        </w:rPr>
        <w:t>Données de sécurité préclinique</w:t>
      </w:r>
    </w:p>
    <w:p w14:paraId="03B58533" w14:textId="77777777" w:rsidR="00092F83" w:rsidRPr="002B65F7" w:rsidRDefault="00092F83" w:rsidP="00496255">
      <w:pPr>
        <w:keepNext/>
        <w:widowControl/>
      </w:pPr>
    </w:p>
    <w:p w14:paraId="03B58534" w14:textId="63E1E001" w:rsidR="00092F83" w:rsidRPr="002B65F7" w:rsidRDefault="00C31740" w:rsidP="00496255">
      <w:pPr>
        <w:widowControl/>
      </w:pPr>
      <w:r w:rsidRPr="002B65F7">
        <w:t xml:space="preserve">Les données non cliniques issues des études de toxicologie en administration répétée, </w:t>
      </w:r>
      <w:r w:rsidR="00224402">
        <w:t xml:space="preserve">de </w:t>
      </w:r>
      <w:r w:rsidRPr="002B65F7">
        <w:t xml:space="preserve">toxicologie des fonctions de reproduction et de développement incluant des évaluations de pharmacologie de sécurité, n’ont pas révélé de risque particulier pour l’homme (par exemple, organotoxicité). Dans les études de toxicologie des fonctions de reproduction et de développement menées chez les singes cynomolgus, aucun effet indésirable sur les indices de fertilité chez le mâle, ni aucune anomalie </w:t>
      </w:r>
      <w:r w:rsidRPr="002B65F7">
        <w:lastRenderedPageBreak/>
        <w:t>congénitale ou toxicité sur le développement n’ont été observés. Aucun effet délétère sur les indices de fertilité chez la femelle n’a été observé en utilisant un analogue d’un anticorps anti IL-12/23 chez les souris.</w:t>
      </w:r>
    </w:p>
    <w:p w14:paraId="03B58535" w14:textId="77777777" w:rsidR="00092F83" w:rsidRPr="002B65F7" w:rsidRDefault="00092F83" w:rsidP="00496255">
      <w:pPr>
        <w:widowControl/>
      </w:pPr>
    </w:p>
    <w:p w14:paraId="03B58536" w14:textId="2E785C1C" w:rsidR="00092F83" w:rsidRPr="002B65F7" w:rsidRDefault="00C31740" w:rsidP="00496255">
      <w:pPr>
        <w:widowControl/>
      </w:pPr>
      <w:r w:rsidRPr="002B65F7">
        <w:t>Les niveaux de doses utilisées dans les études animales étaient jusqu’à approximativement 45</w:t>
      </w:r>
      <w:r w:rsidR="002B67B7" w:rsidRPr="002B65F7">
        <w:t> </w:t>
      </w:r>
      <w:r w:rsidRPr="002B65F7">
        <w:t>fois supérieurs à la dose maximale équivalente destinée à être administrée aux patients atteints de psoriasis et ont conduit à des pics de concentrations sériques chez le singe plus de 100</w:t>
      </w:r>
      <w:r w:rsidR="00257277" w:rsidRPr="002B65F7">
        <w:t> </w:t>
      </w:r>
      <w:r w:rsidRPr="002B65F7">
        <w:t>fois supérieurs à ceux observés chez l’homme.</w:t>
      </w:r>
    </w:p>
    <w:p w14:paraId="03B58537" w14:textId="77777777" w:rsidR="00092F83" w:rsidRPr="002B65F7" w:rsidRDefault="00092F83" w:rsidP="00496255">
      <w:pPr>
        <w:widowControl/>
      </w:pPr>
    </w:p>
    <w:p w14:paraId="03B58538" w14:textId="4C9F87EB" w:rsidR="00092F83" w:rsidRPr="002B65F7" w:rsidRDefault="00C31740" w:rsidP="00496255">
      <w:pPr>
        <w:widowControl/>
      </w:pPr>
      <w:r w:rsidRPr="002B65F7">
        <w:t>Aucune étude de carcinogénicité n’a été effectuée avec l’</w:t>
      </w:r>
      <w:r w:rsidR="0071390F" w:rsidRPr="002B65F7">
        <w:t>ustekinumab</w:t>
      </w:r>
      <w:r w:rsidRPr="002B65F7">
        <w:t xml:space="preserve"> en raison du manque de modèles appropriés pour un anticorps sans réactivité croisée avec l’IL-12/23 p40 des rongeurs.</w:t>
      </w:r>
    </w:p>
    <w:p w14:paraId="03B58539" w14:textId="77777777" w:rsidR="00092F83" w:rsidRPr="002B65F7" w:rsidRDefault="00092F83" w:rsidP="00496255">
      <w:pPr>
        <w:widowControl/>
      </w:pPr>
    </w:p>
    <w:p w14:paraId="6FBB0741" w14:textId="77777777" w:rsidR="00257277" w:rsidRPr="002B65F7" w:rsidRDefault="00257277" w:rsidP="00496255">
      <w:pPr>
        <w:widowControl/>
      </w:pPr>
    </w:p>
    <w:p w14:paraId="03B5853A" w14:textId="51D5FE7E" w:rsidR="00092F83" w:rsidRPr="002B65F7" w:rsidRDefault="00257277" w:rsidP="00464102">
      <w:pPr>
        <w:keepNext/>
        <w:widowControl/>
        <w:ind w:left="567" w:hanging="567"/>
        <w:rPr>
          <w:b/>
          <w:bCs/>
        </w:rPr>
      </w:pPr>
      <w:r w:rsidRPr="002B65F7">
        <w:rPr>
          <w:b/>
          <w:bCs/>
        </w:rPr>
        <w:t>6.</w:t>
      </w:r>
      <w:r w:rsidRPr="002B65F7">
        <w:rPr>
          <w:b/>
          <w:bCs/>
        </w:rPr>
        <w:tab/>
      </w:r>
      <w:r w:rsidR="00C31740" w:rsidRPr="002B65F7">
        <w:rPr>
          <w:b/>
          <w:bCs/>
        </w:rPr>
        <w:t>DONNÉES PHARMACEUTIQUES</w:t>
      </w:r>
    </w:p>
    <w:p w14:paraId="03B5853B" w14:textId="77777777" w:rsidR="00092F83" w:rsidRPr="002B65F7" w:rsidRDefault="00092F83" w:rsidP="00496255">
      <w:pPr>
        <w:keepNext/>
        <w:widowControl/>
      </w:pPr>
    </w:p>
    <w:p w14:paraId="03B5853C" w14:textId="51615ABA" w:rsidR="00092F83" w:rsidRPr="002B65F7" w:rsidRDefault="00257277" w:rsidP="00464102">
      <w:pPr>
        <w:keepNext/>
        <w:widowControl/>
        <w:ind w:left="567" w:hanging="567"/>
        <w:rPr>
          <w:b/>
          <w:bCs/>
        </w:rPr>
      </w:pPr>
      <w:r w:rsidRPr="002B65F7">
        <w:rPr>
          <w:b/>
          <w:bCs/>
        </w:rPr>
        <w:t>6.1</w:t>
      </w:r>
      <w:r w:rsidRPr="002B65F7">
        <w:rPr>
          <w:b/>
          <w:bCs/>
        </w:rPr>
        <w:tab/>
      </w:r>
      <w:r w:rsidR="00C31740" w:rsidRPr="002B65F7">
        <w:rPr>
          <w:b/>
          <w:bCs/>
        </w:rPr>
        <w:t>Liste des excipients</w:t>
      </w:r>
    </w:p>
    <w:p w14:paraId="03B5853D" w14:textId="77777777" w:rsidR="00092F83" w:rsidRPr="002B65F7" w:rsidRDefault="00092F83" w:rsidP="00496255">
      <w:pPr>
        <w:keepNext/>
        <w:widowControl/>
      </w:pPr>
    </w:p>
    <w:p w14:paraId="03B5853E" w14:textId="77777777" w:rsidR="00092F83" w:rsidRPr="002B65F7" w:rsidRDefault="00C31740" w:rsidP="00496255">
      <w:pPr>
        <w:keepNext/>
        <w:widowControl/>
      </w:pPr>
      <w:r w:rsidRPr="002B65F7">
        <w:t>L-histidine</w:t>
      </w:r>
    </w:p>
    <w:p w14:paraId="0BC3665D" w14:textId="0E3012EE" w:rsidR="00B41E23" w:rsidRPr="002B65F7" w:rsidRDefault="00132EFC" w:rsidP="00496255">
      <w:pPr>
        <w:keepNext/>
        <w:widowControl/>
      </w:pPr>
      <w:r w:rsidRPr="002B65F7">
        <w:t>C</w:t>
      </w:r>
      <w:r w:rsidR="00C31740" w:rsidRPr="002B65F7">
        <w:t>hlorhydrate monohydraté de L-histidine</w:t>
      </w:r>
    </w:p>
    <w:p w14:paraId="03B5853F" w14:textId="2E2DADA9" w:rsidR="00092F83" w:rsidRPr="002B65F7" w:rsidRDefault="00C31740" w:rsidP="00496255">
      <w:pPr>
        <w:keepNext/>
        <w:widowControl/>
      </w:pPr>
      <w:r w:rsidRPr="002B65F7">
        <w:t>Polysorbate 80</w:t>
      </w:r>
      <w:r w:rsidR="000519D4">
        <w:t xml:space="preserve"> (E</w:t>
      </w:r>
      <w:r w:rsidR="000519D4" w:rsidRPr="00B007D2">
        <w:t> </w:t>
      </w:r>
      <w:r w:rsidR="000519D4">
        <w:t>433)</w:t>
      </w:r>
    </w:p>
    <w:p w14:paraId="03B58540" w14:textId="77777777" w:rsidR="00092F83" w:rsidRPr="002B65F7" w:rsidRDefault="00C31740" w:rsidP="00496255">
      <w:pPr>
        <w:keepNext/>
        <w:widowControl/>
      </w:pPr>
      <w:r w:rsidRPr="002B65F7">
        <w:t>Saccharose</w:t>
      </w:r>
    </w:p>
    <w:p w14:paraId="03B58541" w14:textId="77777777" w:rsidR="00092F83" w:rsidRPr="002B65F7" w:rsidRDefault="00C31740" w:rsidP="00496255">
      <w:pPr>
        <w:widowControl/>
      </w:pPr>
      <w:r w:rsidRPr="002B65F7">
        <w:t>Eau pour préparations injectables</w:t>
      </w:r>
    </w:p>
    <w:p w14:paraId="707B47B4" w14:textId="77777777" w:rsidR="00257277" w:rsidRPr="002B65F7" w:rsidRDefault="00257277" w:rsidP="00496255">
      <w:pPr>
        <w:widowControl/>
        <w:rPr>
          <w:b/>
          <w:bCs/>
        </w:rPr>
      </w:pPr>
    </w:p>
    <w:p w14:paraId="03B58542" w14:textId="3893D64E" w:rsidR="00092F83" w:rsidRPr="002B65F7" w:rsidRDefault="00257277" w:rsidP="00464102">
      <w:pPr>
        <w:keepNext/>
        <w:widowControl/>
        <w:ind w:left="567" w:hanging="567"/>
        <w:rPr>
          <w:b/>
          <w:bCs/>
        </w:rPr>
      </w:pPr>
      <w:r w:rsidRPr="002B65F7">
        <w:rPr>
          <w:b/>
          <w:bCs/>
        </w:rPr>
        <w:t>6.2</w:t>
      </w:r>
      <w:r w:rsidRPr="002B65F7">
        <w:rPr>
          <w:b/>
          <w:bCs/>
        </w:rPr>
        <w:tab/>
      </w:r>
      <w:r w:rsidR="00C31740" w:rsidRPr="002B65F7">
        <w:rPr>
          <w:b/>
          <w:bCs/>
        </w:rPr>
        <w:t>Incompatibilités</w:t>
      </w:r>
    </w:p>
    <w:p w14:paraId="03B58543" w14:textId="77777777" w:rsidR="00092F83" w:rsidRPr="002B65F7" w:rsidRDefault="00092F83" w:rsidP="00496255">
      <w:pPr>
        <w:keepNext/>
        <w:widowControl/>
      </w:pPr>
    </w:p>
    <w:p w14:paraId="03B58544" w14:textId="77777777" w:rsidR="00092F83" w:rsidRPr="002B65F7" w:rsidRDefault="00C31740" w:rsidP="00496255">
      <w:pPr>
        <w:widowControl/>
      </w:pPr>
      <w:r w:rsidRPr="002B65F7">
        <w:t>En l’absence d’études de compatibilité, ce médicament ne doit pas être mélangé avec d’autres médicaments.</w:t>
      </w:r>
    </w:p>
    <w:p w14:paraId="03B58545" w14:textId="77777777" w:rsidR="00092F83" w:rsidRPr="002B65F7" w:rsidRDefault="00092F83" w:rsidP="00496255">
      <w:pPr>
        <w:widowControl/>
      </w:pPr>
    </w:p>
    <w:p w14:paraId="03B58546" w14:textId="222831FE" w:rsidR="00092F83" w:rsidRPr="002B65F7" w:rsidRDefault="00257277" w:rsidP="00464102">
      <w:pPr>
        <w:keepNext/>
        <w:widowControl/>
        <w:ind w:left="567" w:hanging="567"/>
        <w:rPr>
          <w:b/>
          <w:bCs/>
        </w:rPr>
      </w:pPr>
      <w:r w:rsidRPr="002B65F7">
        <w:rPr>
          <w:b/>
          <w:bCs/>
        </w:rPr>
        <w:t>6.3</w:t>
      </w:r>
      <w:r w:rsidRPr="002B65F7">
        <w:rPr>
          <w:b/>
          <w:bCs/>
        </w:rPr>
        <w:tab/>
      </w:r>
      <w:r w:rsidR="00C31740" w:rsidRPr="002B65F7">
        <w:rPr>
          <w:b/>
          <w:bCs/>
        </w:rPr>
        <w:t>Durée de conservation</w:t>
      </w:r>
    </w:p>
    <w:p w14:paraId="03B58547" w14:textId="77777777" w:rsidR="00092F83" w:rsidRPr="002B65F7" w:rsidRDefault="00092F83" w:rsidP="00496255">
      <w:pPr>
        <w:keepNext/>
        <w:widowControl/>
      </w:pPr>
    </w:p>
    <w:p w14:paraId="3CCE3755" w14:textId="36EC6721" w:rsidR="00B41E23" w:rsidRPr="002B65F7" w:rsidRDefault="00132EFC" w:rsidP="00496255">
      <w:pPr>
        <w:keepNext/>
        <w:widowControl/>
      </w:pPr>
      <w:r w:rsidRPr="002B65F7">
        <w:rPr>
          <w:u w:val="single"/>
        </w:rPr>
        <w:t>WEZENLA</w:t>
      </w:r>
      <w:r w:rsidR="00C31740" w:rsidRPr="002B65F7">
        <w:rPr>
          <w:u w:val="single"/>
        </w:rPr>
        <w:t xml:space="preserve"> 45</w:t>
      </w:r>
      <w:r w:rsidR="00AC2D9A" w:rsidRPr="002B65F7">
        <w:rPr>
          <w:u w:val="single"/>
        </w:rPr>
        <w:t> </w:t>
      </w:r>
      <w:r w:rsidR="00C31740" w:rsidRPr="002B65F7">
        <w:rPr>
          <w:u w:val="single"/>
        </w:rPr>
        <w:t>mg solution injectable</w:t>
      </w:r>
    </w:p>
    <w:p w14:paraId="5FFCE6D2" w14:textId="77777777" w:rsidR="00B41E23" w:rsidRPr="002B65F7" w:rsidRDefault="00B41E23" w:rsidP="00496255">
      <w:pPr>
        <w:keepNext/>
        <w:widowControl/>
      </w:pPr>
    </w:p>
    <w:p w14:paraId="03B58548" w14:textId="151B0C72" w:rsidR="00092F83" w:rsidRPr="002B65F7" w:rsidRDefault="000B1A88" w:rsidP="00496255">
      <w:pPr>
        <w:widowControl/>
      </w:pPr>
      <w:r>
        <w:t>3</w:t>
      </w:r>
      <w:r w:rsidR="00AC2D9A" w:rsidRPr="002B65F7">
        <w:t> </w:t>
      </w:r>
      <w:r w:rsidR="00C31740" w:rsidRPr="002B65F7">
        <w:t>ans</w:t>
      </w:r>
    </w:p>
    <w:p w14:paraId="03B58549" w14:textId="77777777" w:rsidR="00092F83" w:rsidRPr="002B65F7" w:rsidRDefault="00092F83" w:rsidP="00496255">
      <w:pPr>
        <w:widowControl/>
      </w:pPr>
    </w:p>
    <w:p w14:paraId="6890E91C" w14:textId="15649514" w:rsidR="00B41E23" w:rsidRPr="002B65F7" w:rsidRDefault="00132EFC" w:rsidP="00496255">
      <w:pPr>
        <w:keepNext/>
        <w:widowControl/>
      </w:pPr>
      <w:r w:rsidRPr="002B65F7">
        <w:rPr>
          <w:u w:val="single"/>
        </w:rPr>
        <w:t>WEZENLA</w:t>
      </w:r>
      <w:r w:rsidR="00C31740" w:rsidRPr="002B65F7">
        <w:rPr>
          <w:u w:val="single"/>
        </w:rPr>
        <w:t xml:space="preserve"> 45</w:t>
      </w:r>
      <w:r w:rsidR="008D3CCF" w:rsidRPr="002B65F7">
        <w:rPr>
          <w:u w:val="single"/>
        </w:rPr>
        <w:t> </w:t>
      </w:r>
      <w:r w:rsidR="00C31740" w:rsidRPr="002B65F7">
        <w:rPr>
          <w:u w:val="single"/>
        </w:rPr>
        <w:t>mg solution injectable en seringue préremplie</w:t>
      </w:r>
    </w:p>
    <w:p w14:paraId="41B1BF2D" w14:textId="77777777" w:rsidR="00B41E23" w:rsidRPr="002B65F7" w:rsidRDefault="00B41E23" w:rsidP="00496255">
      <w:pPr>
        <w:keepNext/>
        <w:widowControl/>
      </w:pPr>
    </w:p>
    <w:p w14:paraId="03B5854A" w14:textId="08ED8E4B" w:rsidR="00092F83" w:rsidRPr="002B65F7" w:rsidRDefault="00C31740" w:rsidP="00496255">
      <w:pPr>
        <w:keepNext/>
        <w:widowControl/>
      </w:pPr>
      <w:r w:rsidRPr="002B65F7">
        <w:t>3</w:t>
      </w:r>
      <w:r w:rsidR="00AC2D9A" w:rsidRPr="002B65F7">
        <w:t> </w:t>
      </w:r>
      <w:r w:rsidRPr="002B65F7">
        <w:t>ans</w:t>
      </w:r>
    </w:p>
    <w:p w14:paraId="03B5854B" w14:textId="77777777" w:rsidR="00092F83" w:rsidRPr="002B65F7" w:rsidRDefault="00092F83" w:rsidP="00496255">
      <w:pPr>
        <w:widowControl/>
      </w:pPr>
    </w:p>
    <w:p w14:paraId="5D6DE385" w14:textId="7F0BFD21" w:rsidR="00B41E23" w:rsidRPr="002B65F7" w:rsidRDefault="00132EFC" w:rsidP="00496255">
      <w:pPr>
        <w:keepNext/>
        <w:widowControl/>
      </w:pPr>
      <w:r w:rsidRPr="002B65F7">
        <w:rPr>
          <w:u w:val="single"/>
        </w:rPr>
        <w:t>WEZENLA</w:t>
      </w:r>
      <w:r w:rsidR="00C31740" w:rsidRPr="002B65F7">
        <w:rPr>
          <w:u w:val="single"/>
        </w:rPr>
        <w:t xml:space="preserve"> 90</w:t>
      </w:r>
      <w:r w:rsidR="008D3CCF" w:rsidRPr="002B65F7">
        <w:rPr>
          <w:u w:val="single"/>
        </w:rPr>
        <w:t> </w:t>
      </w:r>
      <w:r w:rsidR="00C31740" w:rsidRPr="002B65F7">
        <w:rPr>
          <w:u w:val="single"/>
        </w:rPr>
        <w:t>mg solution injectable en seringue préremplie</w:t>
      </w:r>
    </w:p>
    <w:p w14:paraId="4F7243BB" w14:textId="77777777" w:rsidR="00B41E23" w:rsidRPr="002B65F7" w:rsidRDefault="00B41E23" w:rsidP="00496255">
      <w:pPr>
        <w:keepNext/>
        <w:widowControl/>
      </w:pPr>
    </w:p>
    <w:p w14:paraId="03B5854C" w14:textId="08EB9BCB" w:rsidR="00092F83" w:rsidRPr="002B65F7" w:rsidRDefault="00C31740" w:rsidP="00496255">
      <w:pPr>
        <w:widowControl/>
      </w:pPr>
      <w:r w:rsidRPr="002B65F7">
        <w:t>3</w:t>
      </w:r>
      <w:r w:rsidR="00AC2D9A" w:rsidRPr="002B65F7">
        <w:t> </w:t>
      </w:r>
      <w:r w:rsidRPr="002B65F7">
        <w:t>ans</w:t>
      </w:r>
    </w:p>
    <w:p w14:paraId="293808DF" w14:textId="77777777" w:rsidR="00176225" w:rsidRPr="002B65F7" w:rsidRDefault="00176225" w:rsidP="00496255">
      <w:pPr>
        <w:widowControl/>
      </w:pPr>
    </w:p>
    <w:p w14:paraId="03B5854D" w14:textId="1F3F627D" w:rsidR="00092F83" w:rsidRPr="002B65F7" w:rsidRDefault="00C31740" w:rsidP="00496255">
      <w:pPr>
        <w:widowControl/>
      </w:pPr>
      <w:r w:rsidRPr="002B65F7">
        <w:t xml:space="preserve">Les </w:t>
      </w:r>
      <w:r w:rsidR="00132EFC" w:rsidRPr="002B65F7">
        <w:t xml:space="preserve">flacons ou les </w:t>
      </w:r>
      <w:r w:rsidRPr="002B65F7">
        <w:t>seringues préremplies individuelles peuvent être conservés à température ambiante jusqu'à 30°C pendant une période unique de 30</w:t>
      </w:r>
      <w:r w:rsidR="00176225" w:rsidRPr="002B65F7">
        <w:t> </w:t>
      </w:r>
      <w:r w:rsidRPr="002B65F7">
        <w:t xml:space="preserve">jours maximum dans le carton d'origine à l’abri de la lumière. </w:t>
      </w:r>
      <w:r w:rsidR="00AF4840" w:rsidRPr="002B65F7">
        <w:t>I</w:t>
      </w:r>
      <w:r w:rsidRPr="002B65F7">
        <w:t xml:space="preserve">nscrire la date à laquelle </w:t>
      </w:r>
      <w:r w:rsidR="00AF4840" w:rsidRPr="002B65F7">
        <w:t xml:space="preserve">le flacon ou </w:t>
      </w:r>
      <w:r w:rsidRPr="002B65F7">
        <w:t>la seringue préremplie est retiré</w:t>
      </w:r>
      <w:r w:rsidR="005E2AE5" w:rsidRPr="002B65F7">
        <w:t>(</w:t>
      </w:r>
      <w:r w:rsidRPr="002B65F7">
        <w:t>e</w:t>
      </w:r>
      <w:r w:rsidR="005E2AE5" w:rsidRPr="002B65F7">
        <w:t>)</w:t>
      </w:r>
      <w:r w:rsidRPr="002B65F7">
        <w:t xml:space="preserve"> du réfrigérateur ainsi que la date limite de son utilisation. La date à laquelle la seringue ne doit plus être utilisée ne doit pas dépasser la date de péremption initiale imprimée sur le carton. Une fois qu'un</w:t>
      </w:r>
      <w:r w:rsidR="00AF4840" w:rsidRPr="002B65F7">
        <w:t xml:space="preserve"> flacon ou un</w:t>
      </w:r>
      <w:r w:rsidRPr="002B65F7">
        <w:t>e seringue a été conservé</w:t>
      </w:r>
      <w:r w:rsidR="00573A45" w:rsidRPr="002B65F7">
        <w:t>(</w:t>
      </w:r>
      <w:r w:rsidRPr="002B65F7">
        <w:t>e</w:t>
      </w:r>
      <w:r w:rsidR="00573A45" w:rsidRPr="002B65F7">
        <w:t>)</w:t>
      </w:r>
      <w:r w:rsidRPr="002B65F7">
        <w:t xml:space="preserve"> à température ambiante (jusqu'à 30°C), </w:t>
      </w:r>
      <w:r w:rsidR="00573A45" w:rsidRPr="002B65F7">
        <w:t>il/</w:t>
      </w:r>
      <w:r w:rsidRPr="002B65F7">
        <w:t>elle ne doit pas être remis</w:t>
      </w:r>
      <w:r w:rsidR="00573A45" w:rsidRPr="002B65F7">
        <w:t>(</w:t>
      </w:r>
      <w:r w:rsidRPr="002B65F7">
        <w:t>e</w:t>
      </w:r>
      <w:r w:rsidR="00573A45" w:rsidRPr="002B65F7">
        <w:t>)</w:t>
      </w:r>
      <w:r w:rsidRPr="002B65F7">
        <w:t xml:space="preserve"> au réfrigérateur. Jeter la seringue </w:t>
      </w:r>
      <w:r w:rsidR="00AF4840" w:rsidRPr="002B65F7">
        <w:t xml:space="preserve">ou le flacon </w:t>
      </w:r>
      <w:r w:rsidRPr="002B65F7">
        <w:t>s</w:t>
      </w:r>
      <w:r w:rsidR="00573A45" w:rsidRPr="002B65F7">
        <w:t>’</w:t>
      </w:r>
      <w:r w:rsidRPr="002B65F7">
        <w:t>i</w:t>
      </w:r>
      <w:r w:rsidR="00573A45" w:rsidRPr="002B65F7">
        <w:t xml:space="preserve">l/si </w:t>
      </w:r>
      <w:r w:rsidRPr="002B65F7">
        <w:t>elle n'est pas utilisé</w:t>
      </w:r>
      <w:r w:rsidR="00573A45" w:rsidRPr="002B65F7">
        <w:t>(</w:t>
      </w:r>
      <w:r w:rsidRPr="002B65F7">
        <w:t>e</w:t>
      </w:r>
      <w:r w:rsidR="00573A45" w:rsidRPr="002B65F7">
        <w:t>)</w:t>
      </w:r>
      <w:r w:rsidRPr="002B65F7">
        <w:t xml:space="preserve"> dans les 30</w:t>
      </w:r>
      <w:r w:rsidR="002B67B7" w:rsidRPr="002B65F7">
        <w:t> </w:t>
      </w:r>
      <w:r w:rsidRPr="002B65F7">
        <w:t>jours suivant sa conservation à température ambiante ou à la date de péremption initiale, si celle-ci est antérieure.</w:t>
      </w:r>
    </w:p>
    <w:p w14:paraId="00FF61AD" w14:textId="77777777" w:rsidR="00AF4840" w:rsidRPr="002B65F7" w:rsidRDefault="00AF4840" w:rsidP="00496255">
      <w:pPr>
        <w:widowControl/>
      </w:pPr>
    </w:p>
    <w:p w14:paraId="0E0C89AD" w14:textId="1F74F8FD" w:rsidR="00AF4840" w:rsidRPr="002B65F7" w:rsidRDefault="00AF4840" w:rsidP="00AF4840">
      <w:pPr>
        <w:widowControl/>
      </w:pPr>
      <w:r w:rsidRPr="002B65F7">
        <w:t xml:space="preserve">Après prélèvement dans une seringue jetable, la stabilité </w:t>
      </w:r>
      <w:r w:rsidR="00472746" w:rsidRPr="002B65F7">
        <w:t>physico-</w:t>
      </w:r>
      <w:r w:rsidRPr="002B65F7">
        <w:t xml:space="preserve">chimique </w:t>
      </w:r>
      <w:r w:rsidR="00472746" w:rsidRPr="002B65F7">
        <w:t xml:space="preserve">de la solution </w:t>
      </w:r>
      <w:r w:rsidRPr="002B65F7">
        <w:t>a été démontrée pendant 24 heures entre 15</w:t>
      </w:r>
      <w:r w:rsidR="00472746" w:rsidRPr="002B65F7">
        <w:t>°C</w:t>
      </w:r>
      <w:r w:rsidRPr="002B65F7">
        <w:t xml:space="preserve"> et 25°C. Ne pas remettre au réfrigérateur.</w:t>
      </w:r>
    </w:p>
    <w:p w14:paraId="120A6BEC" w14:textId="77777777" w:rsidR="00AF4840" w:rsidRPr="002B65F7" w:rsidRDefault="00AF4840" w:rsidP="00AF4840">
      <w:pPr>
        <w:widowControl/>
      </w:pPr>
    </w:p>
    <w:p w14:paraId="6E9B68A3" w14:textId="6580D108" w:rsidR="00AF4840" w:rsidRPr="002B65F7" w:rsidRDefault="00AF4840" w:rsidP="00AF4840">
      <w:pPr>
        <w:widowControl/>
      </w:pPr>
      <w:r w:rsidRPr="002B65F7">
        <w:t xml:space="preserve">D’un point de vue microbiologique, le produit doit être utilisé immédiatement. </w:t>
      </w:r>
      <w:r w:rsidR="00A610E5" w:rsidRPr="002B65F7">
        <w:t>En cas d</w:t>
      </w:r>
      <w:r w:rsidR="00056803" w:rsidRPr="002B65F7">
        <w:t xml:space="preserve">’utilisation </w:t>
      </w:r>
      <w:r w:rsidR="00A610E5" w:rsidRPr="002B65F7">
        <w:t>non</w:t>
      </w:r>
      <w:r w:rsidR="00036696" w:rsidRPr="002B65F7">
        <w:t xml:space="preserve"> </w:t>
      </w:r>
      <w:r w:rsidR="00056803" w:rsidRPr="002B65F7">
        <w:t>immédiate, les durées et conditions de conservation relèvent de la seule responsabilité de l’utilisateur</w:t>
      </w:r>
      <w:r w:rsidRPr="002B65F7">
        <w:t>.</w:t>
      </w:r>
    </w:p>
    <w:p w14:paraId="03B5854E" w14:textId="77777777" w:rsidR="00092F83" w:rsidRPr="002B65F7" w:rsidRDefault="00092F83" w:rsidP="00496255">
      <w:pPr>
        <w:widowControl/>
      </w:pPr>
    </w:p>
    <w:p w14:paraId="03B5854F" w14:textId="746F58C2" w:rsidR="00092F83" w:rsidRPr="002B65F7" w:rsidRDefault="00966874" w:rsidP="00464102">
      <w:pPr>
        <w:keepNext/>
        <w:widowControl/>
        <w:ind w:left="567" w:hanging="567"/>
        <w:rPr>
          <w:b/>
          <w:bCs/>
        </w:rPr>
      </w:pPr>
      <w:r w:rsidRPr="002B65F7">
        <w:rPr>
          <w:b/>
          <w:bCs/>
        </w:rPr>
        <w:lastRenderedPageBreak/>
        <w:t>6.4</w:t>
      </w:r>
      <w:r w:rsidRPr="002B65F7">
        <w:rPr>
          <w:b/>
          <w:bCs/>
        </w:rPr>
        <w:tab/>
      </w:r>
      <w:r w:rsidR="00C31740" w:rsidRPr="002B65F7">
        <w:rPr>
          <w:b/>
          <w:bCs/>
        </w:rPr>
        <w:t>Précautions particulières de conservation</w:t>
      </w:r>
    </w:p>
    <w:p w14:paraId="7E7CD298" w14:textId="77777777" w:rsidR="00966874" w:rsidRPr="002B65F7" w:rsidRDefault="00966874" w:rsidP="00496255">
      <w:pPr>
        <w:keepNext/>
        <w:widowControl/>
        <w:rPr>
          <w:b/>
          <w:bCs/>
        </w:rPr>
      </w:pPr>
    </w:p>
    <w:p w14:paraId="17FB628E" w14:textId="77777777" w:rsidR="00AF4840" w:rsidRPr="002B65F7" w:rsidRDefault="00C31740" w:rsidP="00496255">
      <w:pPr>
        <w:keepNext/>
        <w:widowControl/>
      </w:pPr>
      <w:r w:rsidRPr="002B65F7">
        <w:t xml:space="preserve">A conserver au réfrigérateur (entre 2°C et 8°C). </w:t>
      </w:r>
    </w:p>
    <w:p w14:paraId="142D2F91" w14:textId="19E018EB" w:rsidR="00092F83" w:rsidRPr="002B65F7" w:rsidRDefault="00C31740" w:rsidP="00B007D2">
      <w:pPr>
        <w:keepNext/>
        <w:widowControl/>
      </w:pPr>
      <w:r w:rsidRPr="002B65F7">
        <w:t>Ne pas congeler.</w:t>
      </w:r>
    </w:p>
    <w:p w14:paraId="03B58552" w14:textId="77777777" w:rsidR="00092F83" w:rsidRPr="002B65F7" w:rsidRDefault="00C31740" w:rsidP="00496255">
      <w:pPr>
        <w:widowControl/>
      </w:pPr>
      <w:r w:rsidRPr="002B65F7">
        <w:t>Conserver le flacon ou la seringue préremplie dans l’emballage extérieur à l’abri de la lumière.</w:t>
      </w:r>
    </w:p>
    <w:p w14:paraId="03B58553" w14:textId="51A5688C" w:rsidR="00092F83" w:rsidRPr="002B65F7" w:rsidRDefault="00C31740" w:rsidP="00496255">
      <w:pPr>
        <w:widowControl/>
      </w:pPr>
      <w:r w:rsidRPr="002B65F7">
        <w:t xml:space="preserve">Si nécessaire, les seringues préremplies individuelles </w:t>
      </w:r>
      <w:r w:rsidR="00AF4840" w:rsidRPr="002B65F7">
        <w:t xml:space="preserve">ou les flacons </w:t>
      </w:r>
      <w:r w:rsidRPr="002B65F7">
        <w:t>peuvent être conservés à température ambiante jusqu'à 30°C (voir rubrique</w:t>
      </w:r>
      <w:r w:rsidR="00966874" w:rsidRPr="002B65F7">
        <w:t> </w:t>
      </w:r>
      <w:r w:rsidRPr="002B65F7">
        <w:t>6.3).</w:t>
      </w:r>
    </w:p>
    <w:p w14:paraId="41D16874" w14:textId="77777777" w:rsidR="00966874" w:rsidRPr="002B65F7" w:rsidRDefault="00966874" w:rsidP="00496255">
      <w:pPr>
        <w:widowControl/>
        <w:rPr>
          <w:b/>
          <w:bCs/>
        </w:rPr>
      </w:pPr>
    </w:p>
    <w:p w14:paraId="03B58554" w14:textId="29BFE56E" w:rsidR="00092F83" w:rsidRPr="002B65F7" w:rsidRDefault="00966874" w:rsidP="00464102">
      <w:pPr>
        <w:keepNext/>
        <w:widowControl/>
        <w:ind w:left="567" w:hanging="567"/>
        <w:rPr>
          <w:b/>
          <w:bCs/>
        </w:rPr>
      </w:pPr>
      <w:r w:rsidRPr="002B65F7">
        <w:rPr>
          <w:b/>
          <w:bCs/>
        </w:rPr>
        <w:t>6.5</w:t>
      </w:r>
      <w:r w:rsidRPr="002B65F7">
        <w:rPr>
          <w:b/>
          <w:bCs/>
        </w:rPr>
        <w:tab/>
      </w:r>
      <w:r w:rsidR="00C31740" w:rsidRPr="002B65F7">
        <w:rPr>
          <w:b/>
          <w:bCs/>
        </w:rPr>
        <w:t>Nature et contenu de l’emballage extérieur</w:t>
      </w:r>
    </w:p>
    <w:p w14:paraId="03B58555" w14:textId="77777777" w:rsidR="00092F83" w:rsidRPr="002B65F7" w:rsidRDefault="00092F83" w:rsidP="00496255">
      <w:pPr>
        <w:keepNext/>
        <w:widowControl/>
      </w:pPr>
    </w:p>
    <w:p w14:paraId="03B58556" w14:textId="4C0936C7" w:rsidR="00092F83" w:rsidRPr="002B65F7" w:rsidRDefault="00AF4840" w:rsidP="00496255">
      <w:pPr>
        <w:keepNext/>
        <w:widowControl/>
        <w:rPr>
          <w:u w:val="single"/>
        </w:rPr>
      </w:pPr>
      <w:r w:rsidRPr="002B65F7">
        <w:rPr>
          <w:u w:val="single"/>
        </w:rPr>
        <w:t>WEZENLA</w:t>
      </w:r>
      <w:r w:rsidR="00C31740" w:rsidRPr="002B65F7">
        <w:rPr>
          <w:u w:val="single"/>
        </w:rPr>
        <w:t xml:space="preserve"> 45</w:t>
      </w:r>
      <w:r w:rsidR="00966874" w:rsidRPr="002B65F7">
        <w:rPr>
          <w:u w:val="single"/>
        </w:rPr>
        <w:t> </w:t>
      </w:r>
      <w:r w:rsidR="00C31740" w:rsidRPr="002B65F7">
        <w:rPr>
          <w:u w:val="single"/>
        </w:rPr>
        <w:t>mg solution injectable</w:t>
      </w:r>
    </w:p>
    <w:p w14:paraId="755AD07C" w14:textId="77777777" w:rsidR="00966874" w:rsidRPr="002B65F7" w:rsidRDefault="00966874" w:rsidP="00496255">
      <w:pPr>
        <w:keepNext/>
        <w:widowControl/>
      </w:pPr>
    </w:p>
    <w:p w14:paraId="03B58557" w14:textId="196A6992" w:rsidR="00092F83" w:rsidRPr="002B65F7" w:rsidRDefault="00C31740" w:rsidP="00496255">
      <w:pPr>
        <w:widowControl/>
      </w:pPr>
      <w:r w:rsidRPr="002B65F7">
        <w:t>0,5</w:t>
      </w:r>
      <w:r w:rsidR="00966874" w:rsidRPr="002B65F7">
        <w:t> </w:t>
      </w:r>
      <w:r w:rsidRPr="002B65F7">
        <w:t>mL de solution dans un flacon de 2</w:t>
      </w:r>
      <w:r w:rsidR="00966874" w:rsidRPr="002B65F7">
        <w:t> </w:t>
      </w:r>
      <w:r w:rsidRPr="002B65F7">
        <w:t xml:space="preserve">mL en verre de type I fermé par un bouchon en </w:t>
      </w:r>
      <w:r w:rsidR="00AF4840" w:rsidRPr="002B65F7">
        <w:t>élastomère</w:t>
      </w:r>
      <w:r w:rsidRPr="002B65F7">
        <w:t>.</w:t>
      </w:r>
    </w:p>
    <w:p w14:paraId="03B58558" w14:textId="77777777" w:rsidR="00092F83" w:rsidRPr="002B65F7" w:rsidRDefault="00092F83" w:rsidP="00496255">
      <w:pPr>
        <w:widowControl/>
      </w:pPr>
    </w:p>
    <w:p w14:paraId="03B58559" w14:textId="736C321D" w:rsidR="00092F83" w:rsidRPr="002B65F7" w:rsidRDefault="00AF4840" w:rsidP="00496255">
      <w:pPr>
        <w:widowControl/>
        <w:rPr>
          <w:u w:val="single"/>
        </w:rPr>
      </w:pPr>
      <w:r w:rsidRPr="002B65F7">
        <w:rPr>
          <w:u w:val="single"/>
        </w:rPr>
        <w:t>WEZENLA</w:t>
      </w:r>
      <w:r w:rsidR="00C31740" w:rsidRPr="002B65F7">
        <w:rPr>
          <w:u w:val="single"/>
        </w:rPr>
        <w:t xml:space="preserve"> 45</w:t>
      </w:r>
      <w:r w:rsidR="00966874" w:rsidRPr="002B65F7">
        <w:rPr>
          <w:u w:val="single"/>
        </w:rPr>
        <w:t> </w:t>
      </w:r>
      <w:r w:rsidR="00C31740" w:rsidRPr="002B65F7">
        <w:rPr>
          <w:u w:val="single"/>
        </w:rPr>
        <w:t>mg solution injectable en seringue préremplie</w:t>
      </w:r>
    </w:p>
    <w:p w14:paraId="26CDE75A" w14:textId="77777777" w:rsidR="00966874" w:rsidRPr="002B65F7" w:rsidRDefault="00966874" w:rsidP="00496255">
      <w:pPr>
        <w:widowControl/>
        <w:rPr>
          <w:u w:val="single"/>
        </w:rPr>
      </w:pPr>
    </w:p>
    <w:p w14:paraId="03B5855A" w14:textId="18CB7E78" w:rsidR="00092F83" w:rsidRPr="002B65F7" w:rsidRDefault="00C31740" w:rsidP="00496255">
      <w:pPr>
        <w:widowControl/>
      </w:pPr>
      <w:r w:rsidRPr="002B65F7">
        <w:t>0,5</w:t>
      </w:r>
      <w:r w:rsidR="00966874" w:rsidRPr="002B65F7">
        <w:t> </w:t>
      </w:r>
      <w:r w:rsidRPr="002B65F7">
        <w:t xml:space="preserve">mL de solution dans une seringue </w:t>
      </w:r>
      <w:r w:rsidR="00AF4840" w:rsidRPr="002B65F7">
        <w:t xml:space="preserve">préremplie </w:t>
      </w:r>
      <w:r w:rsidRPr="002B65F7">
        <w:t>de 1</w:t>
      </w:r>
      <w:r w:rsidR="00966874" w:rsidRPr="002B65F7">
        <w:t> </w:t>
      </w:r>
      <w:r w:rsidRPr="002B65F7">
        <w:t xml:space="preserve">mL en verre de type I avec une aiguille fixe en acier inoxydable et un protège aiguille. La seringue est équipée d’un dispositif </w:t>
      </w:r>
      <w:r w:rsidR="00AF4840" w:rsidRPr="002B65F7">
        <w:t xml:space="preserve">automatique </w:t>
      </w:r>
      <w:r w:rsidRPr="002B65F7">
        <w:t>de protection de l’aiguille.</w:t>
      </w:r>
    </w:p>
    <w:p w14:paraId="03B5855B" w14:textId="77777777" w:rsidR="00092F83" w:rsidRPr="002B65F7" w:rsidRDefault="00092F83" w:rsidP="00496255">
      <w:pPr>
        <w:widowControl/>
      </w:pPr>
    </w:p>
    <w:p w14:paraId="03B5855C" w14:textId="3B7EE83E" w:rsidR="00092F83" w:rsidRPr="002B65F7" w:rsidRDefault="00AF4840" w:rsidP="00496255">
      <w:pPr>
        <w:keepNext/>
        <w:widowControl/>
        <w:rPr>
          <w:u w:val="single"/>
        </w:rPr>
      </w:pPr>
      <w:r w:rsidRPr="002B65F7">
        <w:rPr>
          <w:u w:val="single"/>
        </w:rPr>
        <w:t>WEZENLA</w:t>
      </w:r>
      <w:r w:rsidR="00C31740" w:rsidRPr="002B65F7">
        <w:rPr>
          <w:u w:val="single"/>
        </w:rPr>
        <w:t xml:space="preserve"> 90</w:t>
      </w:r>
      <w:r w:rsidR="00966874" w:rsidRPr="002B65F7">
        <w:rPr>
          <w:u w:val="single"/>
        </w:rPr>
        <w:t> </w:t>
      </w:r>
      <w:r w:rsidR="00C31740" w:rsidRPr="002B65F7">
        <w:rPr>
          <w:u w:val="single"/>
        </w:rPr>
        <w:t>mg solution injectable en seringue préremplie</w:t>
      </w:r>
    </w:p>
    <w:p w14:paraId="326AA543" w14:textId="77777777" w:rsidR="00966874" w:rsidRPr="002B65F7" w:rsidRDefault="00966874" w:rsidP="00496255">
      <w:pPr>
        <w:keepNext/>
        <w:widowControl/>
        <w:rPr>
          <w:u w:val="single"/>
        </w:rPr>
      </w:pPr>
    </w:p>
    <w:p w14:paraId="03B5855D" w14:textId="0EA06985" w:rsidR="00092F83" w:rsidRPr="002B65F7" w:rsidRDefault="00C31740" w:rsidP="00496255">
      <w:pPr>
        <w:widowControl/>
      </w:pPr>
      <w:r w:rsidRPr="002B65F7">
        <w:t>1</w:t>
      </w:r>
      <w:r w:rsidR="00966874" w:rsidRPr="002B65F7">
        <w:t> </w:t>
      </w:r>
      <w:r w:rsidRPr="002B65F7">
        <w:t xml:space="preserve">mL de solution dans une seringue </w:t>
      </w:r>
      <w:r w:rsidR="00036696" w:rsidRPr="002B65F7">
        <w:t xml:space="preserve">préremplie </w:t>
      </w:r>
      <w:r w:rsidRPr="002B65F7">
        <w:t>de 1</w:t>
      </w:r>
      <w:r w:rsidR="00966874" w:rsidRPr="002B65F7">
        <w:t> </w:t>
      </w:r>
      <w:r w:rsidRPr="002B65F7">
        <w:t xml:space="preserve">mL en verre de type I avec une aiguille fixe en acier inoxydable et un protège aiguille. La seringue est équipée d’un dispositif </w:t>
      </w:r>
      <w:r w:rsidR="00036696" w:rsidRPr="002B65F7">
        <w:t xml:space="preserve">automatique </w:t>
      </w:r>
      <w:r w:rsidRPr="002B65F7">
        <w:t>de protection de l’aiguille.</w:t>
      </w:r>
    </w:p>
    <w:p w14:paraId="03B5855E" w14:textId="77777777" w:rsidR="00092F83" w:rsidRPr="002B65F7" w:rsidRDefault="00092F83" w:rsidP="00496255">
      <w:pPr>
        <w:widowControl/>
      </w:pPr>
    </w:p>
    <w:p w14:paraId="03B5855F" w14:textId="0DB9930D" w:rsidR="00092F83" w:rsidRPr="002B65F7" w:rsidRDefault="00AF4840" w:rsidP="00496255">
      <w:pPr>
        <w:widowControl/>
      </w:pPr>
      <w:r w:rsidRPr="002B65F7">
        <w:t>WEZENLA</w:t>
      </w:r>
      <w:r w:rsidR="00C31740" w:rsidRPr="002B65F7">
        <w:t xml:space="preserve"> est disponible dans une boîte contenant 1 flacon ou 1 seringue préremplie.</w:t>
      </w:r>
    </w:p>
    <w:p w14:paraId="7A3C8233" w14:textId="77777777" w:rsidR="00966874" w:rsidRPr="002B65F7" w:rsidRDefault="00966874" w:rsidP="00496255">
      <w:pPr>
        <w:widowControl/>
      </w:pPr>
    </w:p>
    <w:p w14:paraId="03B58560" w14:textId="654090DB" w:rsidR="00092F83" w:rsidRPr="002B65F7" w:rsidRDefault="00966874" w:rsidP="00464102">
      <w:pPr>
        <w:widowControl/>
        <w:ind w:left="567" w:hanging="567"/>
        <w:rPr>
          <w:b/>
          <w:bCs/>
        </w:rPr>
      </w:pPr>
      <w:r w:rsidRPr="002B65F7">
        <w:rPr>
          <w:b/>
          <w:bCs/>
        </w:rPr>
        <w:t>6.6</w:t>
      </w:r>
      <w:r w:rsidRPr="002B65F7">
        <w:rPr>
          <w:b/>
          <w:bCs/>
        </w:rPr>
        <w:tab/>
      </w:r>
      <w:r w:rsidR="00C31740" w:rsidRPr="002B65F7">
        <w:rPr>
          <w:b/>
          <w:bCs/>
        </w:rPr>
        <w:t>Précautions particulières d’élimination et manipulation</w:t>
      </w:r>
    </w:p>
    <w:p w14:paraId="03B58561" w14:textId="77777777" w:rsidR="00092F83" w:rsidRPr="002B65F7" w:rsidRDefault="00092F83" w:rsidP="00496255">
      <w:pPr>
        <w:widowControl/>
      </w:pPr>
    </w:p>
    <w:p w14:paraId="03B58562" w14:textId="62E91C18" w:rsidR="00092F83" w:rsidRPr="002B65F7" w:rsidRDefault="00C31740" w:rsidP="00496255">
      <w:pPr>
        <w:widowControl/>
      </w:pPr>
      <w:r w:rsidRPr="002B65F7">
        <w:t xml:space="preserve">Ne pas agiter la solution contenue dans le flacon ou la seringue préremplie de </w:t>
      </w:r>
      <w:r w:rsidR="00AF4840" w:rsidRPr="002B65F7">
        <w:t>WEZENLA</w:t>
      </w:r>
      <w:r w:rsidRPr="002B65F7">
        <w:t xml:space="preserve">. Avant administration sous-cutanée, la solution doit être inspectée visuellement pour mettre en évidence la présence de particules ou un changement de coloration. La solution est limpide à opalescente, incolore à jaune clair. Le médicament ne doit pas être utilisé si la solution est décolorée ou laiteuse, ou si des particules étrangères sont présentes. Avant administration, il convient de laisser </w:t>
      </w:r>
      <w:r w:rsidR="00AF4840" w:rsidRPr="002B65F7">
        <w:t>WEZENLA</w:t>
      </w:r>
      <w:r w:rsidRPr="002B65F7">
        <w:t xml:space="preserve"> atteindre la température ambiante (approximativement une demi-heure). Des instructions détaillées pour l’utilisation sont mentionnées dans la notice.</w:t>
      </w:r>
    </w:p>
    <w:p w14:paraId="03B58563" w14:textId="77777777" w:rsidR="00092F83" w:rsidRPr="002B65F7" w:rsidRDefault="00092F83" w:rsidP="00496255">
      <w:pPr>
        <w:widowControl/>
      </w:pPr>
    </w:p>
    <w:p w14:paraId="03B58564" w14:textId="785B0525" w:rsidR="00092F83" w:rsidRPr="002B65F7" w:rsidRDefault="00AF4840" w:rsidP="00496255">
      <w:pPr>
        <w:widowControl/>
      </w:pPr>
      <w:r w:rsidRPr="002B65F7">
        <w:t>WEZENLA</w:t>
      </w:r>
      <w:r w:rsidR="00C31740" w:rsidRPr="002B65F7">
        <w:t xml:space="preserve"> ne contient pas de conservateur ; tout médicament non utilisé restant dans le flacon ou la seringue ne doit pas être utilisé. </w:t>
      </w:r>
      <w:r w:rsidRPr="002B65F7">
        <w:t>WEZENLA</w:t>
      </w:r>
      <w:r w:rsidR="00C31740" w:rsidRPr="002B65F7">
        <w:t xml:space="preserve"> est contenu dans un flacon stérile à usage unique ou dans une seringue préremplie à usage unique. La seringue, l’aiguille et le flacon ne doivent jamais être réutilisés. Tout médicament non utilisé ou déchet doit être éliminé conformément à la réglementation en vigueur.</w:t>
      </w:r>
    </w:p>
    <w:p w14:paraId="03B58565" w14:textId="77777777" w:rsidR="00092F83" w:rsidRPr="002B65F7" w:rsidRDefault="00092F83" w:rsidP="00496255">
      <w:pPr>
        <w:widowControl/>
      </w:pPr>
    </w:p>
    <w:p w14:paraId="03B58566" w14:textId="56E1639C" w:rsidR="00092F83" w:rsidRPr="002B65F7" w:rsidRDefault="00C31740" w:rsidP="00496255">
      <w:pPr>
        <w:widowControl/>
      </w:pPr>
      <w:r w:rsidRPr="002B65F7">
        <w:t>Avec le flacon à dose unique, une seringue de 1</w:t>
      </w:r>
      <w:r w:rsidR="00291BEA" w:rsidRPr="002B65F7">
        <w:t> </w:t>
      </w:r>
      <w:r w:rsidRPr="002B65F7">
        <w:t>m</w:t>
      </w:r>
      <w:r w:rsidR="001932B8" w:rsidRPr="002B65F7">
        <w:t>L</w:t>
      </w:r>
      <w:r w:rsidRPr="002B65F7">
        <w:t xml:space="preserve"> avec une aiguille de 27</w:t>
      </w:r>
      <w:r w:rsidR="00167AC8" w:rsidRPr="002B65F7">
        <w:t> </w:t>
      </w:r>
      <w:r w:rsidRPr="002B65F7">
        <w:t>gauge, ½ pouce (13</w:t>
      </w:r>
      <w:r w:rsidR="00167AC8" w:rsidRPr="002B65F7">
        <w:t> </w:t>
      </w:r>
      <w:r w:rsidRPr="002B65F7">
        <w:t>mm) est recommandée.</w:t>
      </w:r>
    </w:p>
    <w:p w14:paraId="03B58567" w14:textId="77777777" w:rsidR="00092F83" w:rsidRPr="002B65F7" w:rsidRDefault="00092F83" w:rsidP="00496255">
      <w:pPr>
        <w:widowControl/>
      </w:pPr>
    </w:p>
    <w:p w14:paraId="32E54AD7" w14:textId="77777777" w:rsidR="00966874" w:rsidRPr="002B65F7" w:rsidRDefault="00966874" w:rsidP="00496255">
      <w:pPr>
        <w:widowControl/>
      </w:pPr>
    </w:p>
    <w:p w14:paraId="03B58568" w14:textId="57E61D7D" w:rsidR="00092F83" w:rsidRPr="002B65F7" w:rsidRDefault="00966874" w:rsidP="00464102">
      <w:pPr>
        <w:keepNext/>
        <w:widowControl/>
        <w:ind w:left="567" w:hanging="567"/>
        <w:rPr>
          <w:b/>
          <w:bCs/>
        </w:rPr>
      </w:pPr>
      <w:r w:rsidRPr="002B65F7">
        <w:rPr>
          <w:b/>
          <w:bCs/>
        </w:rPr>
        <w:t>7.</w:t>
      </w:r>
      <w:r w:rsidRPr="002B65F7">
        <w:rPr>
          <w:b/>
          <w:bCs/>
        </w:rPr>
        <w:tab/>
      </w:r>
      <w:r w:rsidR="00C31740" w:rsidRPr="002B65F7">
        <w:rPr>
          <w:b/>
          <w:bCs/>
        </w:rPr>
        <w:t>TITULAIRE DE L’AUTORISATION DE MISE SUR LE MARCHÉ</w:t>
      </w:r>
    </w:p>
    <w:p w14:paraId="03B58569" w14:textId="77777777" w:rsidR="00092F83" w:rsidRPr="002B65F7" w:rsidRDefault="00092F83" w:rsidP="00496255">
      <w:pPr>
        <w:keepNext/>
        <w:widowControl/>
      </w:pPr>
    </w:p>
    <w:p w14:paraId="637E557D" w14:textId="77777777" w:rsidR="00AF4840" w:rsidRPr="002B65F7" w:rsidRDefault="00AF4840" w:rsidP="00AF4840">
      <w:pPr>
        <w:rPr>
          <w:lang w:val="en-GB"/>
        </w:rPr>
      </w:pPr>
      <w:r w:rsidRPr="002B65F7">
        <w:rPr>
          <w:lang w:val="en-GB"/>
        </w:rPr>
        <w:t>Amgen Technology (Ireland) UC,</w:t>
      </w:r>
    </w:p>
    <w:p w14:paraId="00A292E0" w14:textId="77777777" w:rsidR="00AF4840" w:rsidRPr="002B65F7" w:rsidRDefault="00AF4840" w:rsidP="00AF4840">
      <w:pPr>
        <w:rPr>
          <w:lang w:val="en-GB"/>
        </w:rPr>
      </w:pPr>
      <w:r w:rsidRPr="002B65F7">
        <w:rPr>
          <w:lang w:val="en-GB"/>
        </w:rPr>
        <w:t>Pottery Road,</w:t>
      </w:r>
    </w:p>
    <w:p w14:paraId="77E95584" w14:textId="77777777" w:rsidR="00AF4840" w:rsidRPr="002B65F7" w:rsidRDefault="00AF4840" w:rsidP="00AF4840">
      <w:r w:rsidRPr="002B65F7">
        <w:t>Dun Laoghaire,</w:t>
      </w:r>
    </w:p>
    <w:p w14:paraId="4D82A75C" w14:textId="77777777" w:rsidR="00AF4840" w:rsidRPr="002B65F7" w:rsidRDefault="00AF4840" w:rsidP="00AF4840">
      <w:r w:rsidRPr="002B65F7">
        <w:t>Co Dublin,</w:t>
      </w:r>
    </w:p>
    <w:p w14:paraId="595F54AE" w14:textId="26B7058E" w:rsidR="00AF4840" w:rsidRPr="002B65F7" w:rsidRDefault="00AF4840" w:rsidP="00AF4840">
      <w:pPr>
        <w:keepNext/>
        <w:widowControl/>
      </w:pPr>
      <w:r w:rsidRPr="002B65F7">
        <w:t>Irlande</w:t>
      </w:r>
      <w:r w:rsidRPr="002B65F7" w:rsidDel="00AF4840">
        <w:t xml:space="preserve"> </w:t>
      </w:r>
    </w:p>
    <w:p w14:paraId="03B5856B" w14:textId="022591BA" w:rsidR="00092F83" w:rsidRPr="002B65F7" w:rsidRDefault="00092F83" w:rsidP="00496255">
      <w:pPr>
        <w:widowControl/>
      </w:pPr>
    </w:p>
    <w:p w14:paraId="03B5856C" w14:textId="77777777" w:rsidR="00092F83" w:rsidRPr="002B65F7" w:rsidRDefault="00092F83" w:rsidP="00496255">
      <w:pPr>
        <w:widowControl/>
      </w:pPr>
    </w:p>
    <w:p w14:paraId="03B5856E" w14:textId="06B9153D" w:rsidR="00092F83" w:rsidRPr="002B65F7" w:rsidRDefault="00966874" w:rsidP="00464102">
      <w:pPr>
        <w:keepNext/>
        <w:widowControl/>
        <w:ind w:left="567" w:hanging="567"/>
        <w:rPr>
          <w:b/>
          <w:bCs/>
        </w:rPr>
      </w:pPr>
      <w:r w:rsidRPr="002B65F7">
        <w:rPr>
          <w:b/>
          <w:bCs/>
        </w:rPr>
        <w:lastRenderedPageBreak/>
        <w:t>8.</w:t>
      </w:r>
      <w:r w:rsidRPr="002B65F7">
        <w:rPr>
          <w:b/>
          <w:bCs/>
        </w:rPr>
        <w:tab/>
      </w:r>
      <w:r w:rsidR="00C31740" w:rsidRPr="002B65F7">
        <w:rPr>
          <w:b/>
          <w:bCs/>
        </w:rPr>
        <w:t>NUMÉRO(S) D’AUTORISATION DE MISE SUR LE MARCHÉ</w:t>
      </w:r>
    </w:p>
    <w:p w14:paraId="03B5856F" w14:textId="77777777" w:rsidR="00092F83" w:rsidRPr="002B65F7" w:rsidRDefault="00092F83" w:rsidP="00496255">
      <w:pPr>
        <w:keepNext/>
        <w:widowControl/>
      </w:pPr>
    </w:p>
    <w:p w14:paraId="262D41A4" w14:textId="175DF2BA" w:rsidR="00B41E23" w:rsidRPr="002B65F7" w:rsidRDefault="00AF4840" w:rsidP="00496255">
      <w:pPr>
        <w:keepNext/>
        <w:widowControl/>
      </w:pPr>
      <w:r w:rsidRPr="002B65F7">
        <w:rPr>
          <w:u w:val="single"/>
        </w:rPr>
        <w:t>WEZENLA</w:t>
      </w:r>
      <w:r w:rsidR="00C31740" w:rsidRPr="002B65F7">
        <w:rPr>
          <w:u w:val="single"/>
        </w:rPr>
        <w:t xml:space="preserve"> 45</w:t>
      </w:r>
      <w:r w:rsidR="008D3CCF" w:rsidRPr="002B65F7">
        <w:rPr>
          <w:u w:val="single"/>
        </w:rPr>
        <w:t> </w:t>
      </w:r>
      <w:r w:rsidR="00C31740" w:rsidRPr="002B65F7">
        <w:rPr>
          <w:u w:val="single"/>
        </w:rPr>
        <w:t>mg solution injectable</w:t>
      </w:r>
    </w:p>
    <w:p w14:paraId="6E07BC47" w14:textId="77777777" w:rsidR="00B41E23" w:rsidRPr="002B65F7" w:rsidRDefault="00B41E23" w:rsidP="00496255">
      <w:pPr>
        <w:keepNext/>
        <w:widowControl/>
      </w:pPr>
    </w:p>
    <w:p w14:paraId="03B58570" w14:textId="1472BD8A" w:rsidR="00092F83" w:rsidRPr="002B65F7" w:rsidRDefault="00AF4840" w:rsidP="00496255">
      <w:pPr>
        <w:widowControl/>
      </w:pPr>
      <w:r w:rsidRPr="002B65F7">
        <w:t>EU/1/</w:t>
      </w:r>
      <w:r w:rsidR="006D22F7" w:rsidRPr="002B65F7">
        <w:t>24</w:t>
      </w:r>
      <w:r w:rsidRPr="002B65F7">
        <w:t>/</w:t>
      </w:r>
      <w:r w:rsidR="006D22F7" w:rsidRPr="002B65F7">
        <w:t>1823</w:t>
      </w:r>
      <w:r w:rsidRPr="002B65F7">
        <w:t>/</w:t>
      </w:r>
      <w:r w:rsidR="006D22F7" w:rsidRPr="002B65F7">
        <w:t>001</w:t>
      </w:r>
    </w:p>
    <w:p w14:paraId="75941B6E" w14:textId="77777777" w:rsidR="000D1C51" w:rsidRPr="002B65F7" w:rsidRDefault="000D1C51" w:rsidP="00496255">
      <w:pPr>
        <w:widowControl/>
      </w:pPr>
    </w:p>
    <w:p w14:paraId="24C2258A" w14:textId="31D98DE1" w:rsidR="00B41E23" w:rsidRPr="002B65F7" w:rsidRDefault="00AF4840" w:rsidP="00496255">
      <w:pPr>
        <w:keepNext/>
        <w:widowControl/>
      </w:pPr>
      <w:r w:rsidRPr="002B65F7">
        <w:rPr>
          <w:u w:val="single"/>
        </w:rPr>
        <w:t>WEZENLA</w:t>
      </w:r>
      <w:r w:rsidR="00C31740" w:rsidRPr="002B65F7">
        <w:rPr>
          <w:u w:val="single"/>
        </w:rPr>
        <w:t xml:space="preserve"> 45</w:t>
      </w:r>
      <w:r w:rsidR="008D3CCF" w:rsidRPr="002B65F7">
        <w:rPr>
          <w:u w:val="single"/>
        </w:rPr>
        <w:t> </w:t>
      </w:r>
      <w:r w:rsidR="00C31740" w:rsidRPr="002B65F7">
        <w:rPr>
          <w:u w:val="single"/>
        </w:rPr>
        <w:t>mg solution injectable en seringue préremplie.</w:t>
      </w:r>
    </w:p>
    <w:p w14:paraId="14946C93" w14:textId="77777777" w:rsidR="00B41E23" w:rsidRPr="002B65F7" w:rsidRDefault="00B41E23" w:rsidP="00496255">
      <w:pPr>
        <w:keepNext/>
        <w:widowControl/>
      </w:pPr>
    </w:p>
    <w:p w14:paraId="03B58572" w14:textId="00B77FC1" w:rsidR="00092F83" w:rsidRPr="002B65F7" w:rsidRDefault="00AF4840" w:rsidP="00496255">
      <w:pPr>
        <w:widowControl/>
      </w:pPr>
      <w:r w:rsidRPr="002B65F7">
        <w:t>EU/1/</w:t>
      </w:r>
      <w:r w:rsidR="006D22F7" w:rsidRPr="002B65F7">
        <w:t>24</w:t>
      </w:r>
      <w:r w:rsidRPr="002B65F7">
        <w:t>/</w:t>
      </w:r>
      <w:r w:rsidR="006D22F7" w:rsidRPr="002B65F7">
        <w:t>1823</w:t>
      </w:r>
      <w:r w:rsidRPr="002B65F7">
        <w:t>/</w:t>
      </w:r>
      <w:r w:rsidR="006D22F7" w:rsidRPr="002B65F7">
        <w:t>002</w:t>
      </w:r>
    </w:p>
    <w:p w14:paraId="03B58573" w14:textId="77777777" w:rsidR="00092F83" w:rsidRPr="002B65F7" w:rsidRDefault="00092F83" w:rsidP="00496255">
      <w:pPr>
        <w:widowControl/>
      </w:pPr>
    </w:p>
    <w:p w14:paraId="2FA43F66" w14:textId="72EDF2CA" w:rsidR="00B41E23" w:rsidRPr="002B65F7" w:rsidRDefault="00AF4840" w:rsidP="00496255">
      <w:pPr>
        <w:keepNext/>
        <w:widowControl/>
      </w:pPr>
      <w:r w:rsidRPr="002B65F7">
        <w:rPr>
          <w:u w:val="single"/>
        </w:rPr>
        <w:t>WEZENLA</w:t>
      </w:r>
      <w:r w:rsidR="00C31740" w:rsidRPr="002B65F7">
        <w:rPr>
          <w:u w:val="single"/>
        </w:rPr>
        <w:t xml:space="preserve"> 90</w:t>
      </w:r>
      <w:r w:rsidR="008D3CCF" w:rsidRPr="002B65F7">
        <w:rPr>
          <w:u w:val="single"/>
        </w:rPr>
        <w:t> </w:t>
      </w:r>
      <w:r w:rsidR="00C31740" w:rsidRPr="002B65F7">
        <w:rPr>
          <w:u w:val="single"/>
        </w:rPr>
        <w:t>mg solution injectable en seringue préremplie.</w:t>
      </w:r>
    </w:p>
    <w:p w14:paraId="0B7ACB88" w14:textId="77777777" w:rsidR="00B41E23" w:rsidRPr="002B65F7" w:rsidRDefault="00B41E23" w:rsidP="00496255">
      <w:pPr>
        <w:keepNext/>
        <w:widowControl/>
      </w:pPr>
    </w:p>
    <w:p w14:paraId="03B58574" w14:textId="40B84D40" w:rsidR="00092F83" w:rsidRPr="002B65F7" w:rsidRDefault="00AF4840" w:rsidP="00496255">
      <w:pPr>
        <w:widowControl/>
      </w:pPr>
      <w:r w:rsidRPr="002B65F7">
        <w:t>EU/1/</w:t>
      </w:r>
      <w:r w:rsidR="006D22F7" w:rsidRPr="002B65F7">
        <w:t>24</w:t>
      </w:r>
      <w:r w:rsidRPr="002B65F7">
        <w:t>/</w:t>
      </w:r>
      <w:r w:rsidR="006D22F7" w:rsidRPr="002B65F7">
        <w:t>1823</w:t>
      </w:r>
      <w:r w:rsidRPr="002B65F7">
        <w:t>/</w:t>
      </w:r>
      <w:r w:rsidR="006D22F7" w:rsidRPr="002B65F7">
        <w:t>003</w:t>
      </w:r>
    </w:p>
    <w:p w14:paraId="03B58575" w14:textId="77777777" w:rsidR="00092F83" w:rsidRPr="002B65F7" w:rsidRDefault="00092F83" w:rsidP="00496255">
      <w:pPr>
        <w:widowControl/>
      </w:pPr>
    </w:p>
    <w:p w14:paraId="206DB2D5" w14:textId="77777777" w:rsidR="00E44DB0" w:rsidRPr="002B65F7" w:rsidRDefault="00E44DB0" w:rsidP="00496255">
      <w:pPr>
        <w:widowControl/>
      </w:pPr>
    </w:p>
    <w:p w14:paraId="03B58576" w14:textId="75E1F9AB" w:rsidR="00092F83" w:rsidRPr="002B65F7" w:rsidRDefault="00E44DB0" w:rsidP="00464102">
      <w:pPr>
        <w:keepNext/>
        <w:widowControl/>
        <w:tabs>
          <w:tab w:val="left" w:pos="567"/>
        </w:tabs>
        <w:ind w:left="567" w:hanging="567"/>
        <w:rPr>
          <w:b/>
          <w:bCs/>
        </w:rPr>
      </w:pPr>
      <w:r w:rsidRPr="002B65F7">
        <w:rPr>
          <w:b/>
          <w:bCs/>
        </w:rPr>
        <w:t>9</w:t>
      </w:r>
      <w:r w:rsidR="00DC2519" w:rsidRPr="002B65F7">
        <w:rPr>
          <w:b/>
          <w:bCs/>
        </w:rPr>
        <w:t>.</w:t>
      </w:r>
      <w:r w:rsidRPr="002B65F7">
        <w:rPr>
          <w:b/>
          <w:bCs/>
        </w:rPr>
        <w:tab/>
      </w:r>
      <w:r w:rsidR="00C31740" w:rsidRPr="002B65F7">
        <w:rPr>
          <w:b/>
          <w:bCs/>
        </w:rPr>
        <w:t>DATE DE PREMIÈRE AUTORISATION/DE RENOUVELLEMENT DE L’AUTORISATION</w:t>
      </w:r>
    </w:p>
    <w:p w14:paraId="03B58577" w14:textId="77777777" w:rsidR="00092F83" w:rsidRPr="002B65F7" w:rsidRDefault="00092F83" w:rsidP="00496255">
      <w:pPr>
        <w:keepNext/>
        <w:widowControl/>
      </w:pPr>
    </w:p>
    <w:p w14:paraId="03B58578" w14:textId="3F0A418D" w:rsidR="00092F83" w:rsidRPr="002B65F7" w:rsidRDefault="00C31740" w:rsidP="00AF4840">
      <w:pPr>
        <w:widowControl/>
      </w:pPr>
      <w:r w:rsidRPr="002B65F7">
        <w:t xml:space="preserve">Date de première autorisation : </w:t>
      </w:r>
      <w:r w:rsidR="000B1A88" w:rsidRPr="000B1A88">
        <w:t>20 juin 2024</w:t>
      </w:r>
    </w:p>
    <w:p w14:paraId="03B58579" w14:textId="77777777" w:rsidR="00092F83" w:rsidRPr="002B65F7" w:rsidRDefault="00092F83" w:rsidP="00496255">
      <w:pPr>
        <w:widowControl/>
      </w:pPr>
    </w:p>
    <w:p w14:paraId="775E4125" w14:textId="77777777" w:rsidR="00E16C2B" w:rsidRPr="002B65F7" w:rsidRDefault="00E16C2B" w:rsidP="00496255">
      <w:pPr>
        <w:widowControl/>
      </w:pPr>
    </w:p>
    <w:p w14:paraId="03B5857A" w14:textId="6DC90A49" w:rsidR="00092F83" w:rsidRPr="002B65F7" w:rsidRDefault="00E16C2B" w:rsidP="00464102">
      <w:pPr>
        <w:keepNext/>
        <w:widowControl/>
        <w:tabs>
          <w:tab w:val="left" w:pos="567"/>
        </w:tabs>
        <w:ind w:left="567" w:hanging="567"/>
        <w:rPr>
          <w:b/>
          <w:bCs/>
        </w:rPr>
      </w:pPr>
      <w:r w:rsidRPr="002B65F7">
        <w:rPr>
          <w:b/>
          <w:bCs/>
        </w:rPr>
        <w:t>10</w:t>
      </w:r>
      <w:r w:rsidR="00560C78" w:rsidRPr="002B65F7">
        <w:rPr>
          <w:b/>
          <w:bCs/>
        </w:rPr>
        <w:t>.</w:t>
      </w:r>
      <w:r w:rsidRPr="002B65F7">
        <w:rPr>
          <w:b/>
          <w:bCs/>
        </w:rPr>
        <w:tab/>
      </w:r>
      <w:r w:rsidR="00C31740" w:rsidRPr="002B65F7">
        <w:rPr>
          <w:b/>
          <w:bCs/>
        </w:rPr>
        <w:t>DATE DE MISE A JOUR DU TEXTE</w:t>
      </w:r>
    </w:p>
    <w:p w14:paraId="03B5857B" w14:textId="77777777" w:rsidR="00092F83" w:rsidRPr="002B65F7" w:rsidRDefault="00092F83" w:rsidP="00496255">
      <w:pPr>
        <w:keepNext/>
        <w:widowControl/>
      </w:pPr>
    </w:p>
    <w:p w14:paraId="03B5857C" w14:textId="77777777" w:rsidR="00092F83" w:rsidRPr="002B65F7" w:rsidRDefault="00092F83" w:rsidP="00496255">
      <w:pPr>
        <w:widowControl/>
      </w:pPr>
    </w:p>
    <w:p w14:paraId="03B5857D" w14:textId="77777777" w:rsidR="00092F83" w:rsidRPr="002B65F7" w:rsidRDefault="00092F83" w:rsidP="00496255">
      <w:pPr>
        <w:widowControl/>
      </w:pPr>
    </w:p>
    <w:p w14:paraId="3B35D0AC" w14:textId="73D19FD1" w:rsidR="00B41E23" w:rsidRPr="002B65F7" w:rsidRDefault="00C31740" w:rsidP="00496255">
      <w:pPr>
        <w:widowControl/>
      </w:pPr>
      <w:r w:rsidRPr="002B65F7">
        <w:t xml:space="preserve">Des informations détaillées sur ce médicament sont disponibles sur le site internet de l’Agence européenne des médicaments </w:t>
      </w:r>
      <w:hyperlink r:id="rId15" w:history="1">
        <w:r w:rsidR="00D06682">
          <w:rPr>
            <w:rStyle w:val="Hyperlink"/>
          </w:rPr>
          <w:t>https://www.ema.europa.eu</w:t>
        </w:r>
      </w:hyperlink>
      <w:r w:rsidRPr="002B65F7">
        <w:t>.</w:t>
      </w:r>
    </w:p>
    <w:p w14:paraId="16883A89" w14:textId="77777777" w:rsidR="00B41E23" w:rsidRPr="002B65F7" w:rsidRDefault="00B41E23" w:rsidP="00496255">
      <w:pPr>
        <w:widowControl/>
      </w:pPr>
    </w:p>
    <w:p w14:paraId="08A2DA2E" w14:textId="767F09B3" w:rsidR="00FF5E44" w:rsidRPr="002B65F7" w:rsidRDefault="00E2133D" w:rsidP="00FF5E44">
      <w:pPr>
        <w:widowControl/>
        <w:rPr>
          <w:b/>
          <w:bCs/>
        </w:rPr>
      </w:pPr>
      <w:r w:rsidRPr="002B65F7">
        <w:br w:type="page"/>
      </w:r>
      <w:r w:rsidR="00A2167E">
        <w:rPr>
          <w:noProof/>
          <w:lang w:val="en-US" w:eastAsia="zh-CN"/>
        </w:rPr>
        <w:lastRenderedPageBreak/>
        <w:drawing>
          <wp:inline distT="0" distB="0" distL="0" distR="0" wp14:anchorId="2DE0156E" wp14:editId="5F4BB581">
            <wp:extent cx="187960" cy="187960"/>
            <wp:effectExtent l="0" t="0" r="0" b="0"/>
            <wp:docPr id="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sidR="00FF5E44" w:rsidRPr="002B65F7">
        <w:t>Ce médicament fait l’objet d’une surveillance supplémentaire qui permettra l’identification rapide de nouvelles informations relatives à la sécurité. Les professionnels de la santé déclarent tout effet indésirable suspecté. Voir rubrique 4.8 pour les modalités de déclaration des effets indésirables.</w:t>
      </w:r>
    </w:p>
    <w:p w14:paraId="6A98D98B" w14:textId="77777777" w:rsidR="00FF5E44" w:rsidRPr="002B65F7" w:rsidRDefault="00FF5E44" w:rsidP="00FF5E44">
      <w:pPr>
        <w:widowControl/>
      </w:pPr>
    </w:p>
    <w:p w14:paraId="04DEAA9A" w14:textId="77777777" w:rsidR="00FF5E44" w:rsidRPr="002B65F7" w:rsidRDefault="00FF5E44" w:rsidP="00FF5E44">
      <w:pPr>
        <w:widowControl/>
      </w:pPr>
    </w:p>
    <w:p w14:paraId="6D438825" w14:textId="77777777" w:rsidR="00FF5E44" w:rsidRPr="002B65F7" w:rsidRDefault="00FF5E44" w:rsidP="00FF5E44">
      <w:pPr>
        <w:keepNext/>
        <w:widowControl/>
        <w:ind w:left="567" w:hanging="567"/>
        <w:rPr>
          <w:b/>
          <w:bCs/>
        </w:rPr>
      </w:pPr>
      <w:r w:rsidRPr="002B65F7">
        <w:rPr>
          <w:b/>
          <w:bCs/>
        </w:rPr>
        <w:t>1.</w:t>
      </w:r>
      <w:r w:rsidRPr="002B65F7">
        <w:rPr>
          <w:b/>
          <w:bCs/>
        </w:rPr>
        <w:tab/>
        <w:t>DÉNOMINATION DU MÉDICAMENT</w:t>
      </w:r>
    </w:p>
    <w:p w14:paraId="52CAE81B" w14:textId="77777777" w:rsidR="00FF5E44" w:rsidRPr="002B65F7" w:rsidRDefault="00FF5E44" w:rsidP="00FF5E44">
      <w:pPr>
        <w:keepNext/>
        <w:widowControl/>
      </w:pPr>
    </w:p>
    <w:p w14:paraId="4D37269B" w14:textId="77777777" w:rsidR="00FF5E44" w:rsidRPr="002B65F7" w:rsidRDefault="00FF5E44" w:rsidP="00FF5E44">
      <w:pPr>
        <w:widowControl/>
      </w:pPr>
      <w:r w:rsidRPr="002B65F7">
        <w:t>WEZENLA 45 mg solution injectable en stylo prérempli</w:t>
      </w:r>
    </w:p>
    <w:p w14:paraId="57D0D722" w14:textId="77777777" w:rsidR="00FF5E44" w:rsidRPr="002B65F7" w:rsidRDefault="00FF5E44" w:rsidP="00FF5E44">
      <w:pPr>
        <w:widowControl/>
      </w:pPr>
      <w:r w:rsidRPr="002B65F7">
        <w:t>WEZENLA 90 mg solution injectable en stylo prérempli</w:t>
      </w:r>
    </w:p>
    <w:p w14:paraId="01DA107E" w14:textId="77777777" w:rsidR="00FF5E44" w:rsidRPr="002B65F7" w:rsidRDefault="00FF5E44" w:rsidP="00FF5E44">
      <w:pPr>
        <w:widowControl/>
      </w:pPr>
    </w:p>
    <w:p w14:paraId="25B75CC9" w14:textId="77777777" w:rsidR="00FF5E44" w:rsidRPr="002B65F7" w:rsidRDefault="00FF5E44" w:rsidP="00FF5E44">
      <w:pPr>
        <w:widowControl/>
      </w:pPr>
    </w:p>
    <w:p w14:paraId="066F488B" w14:textId="77777777" w:rsidR="00FF5E44" w:rsidRPr="002B65F7" w:rsidRDefault="00FF5E44" w:rsidP="00FF5E44">
      <w:pPr>
        <w:keepNext/>
        <w:widowControl/>
        <w:ind w:left="567" w:hanging="567"/>
        <w:rPr>
          <w:b/>
          <w:bCs/>
        </w:rPr>
      </w:pPr>
      <w:r w:rsidRPr="002B65F7">
        <w:rPr>
          <w:b/>
          <w:bCs/>
        </w:rPr>
        <w:t>2.</w:t>
      </w:r>
      <w:r w:rsidRPr="002B65F7">
        <w:rPr>
          <w:b/>
          <w:bCs/>
        </w:rPr>
        <w:tab/>
        <w:t>COMPOSITION QUALITATIVE ET QUANTITATIVE</w:t>
      </w:r>
    </w:p>
    <w:p w14:paraId="763EA57B" w14:textId="77777777" w:rsidR="00FF5E44" w:rsidRPr="002B65F7" w:rsidRDefault="00FF5E44" w:rsidP="00FF5E44">
      <w:pPr>
        <w:keepNext/>
        <w:widowControl/>
      </w:pPr>
    </w:p>
    <w:p w14:paraId="5C5F473C" w14:textId="77777777" w:rsidR="00FF5E44" w:rsidRPr="002B65F7" w:rsidRDefault="00FF5E44" w:rsidP="00FF5E44">
      <w:pPr>
        <w:keepNext/>
        <w:widowControl/>
        <w:rPr>
          <w:u w:val="single"/>
        </w:rPr>
      </w:pPr>
      <w:r w:rsidRPr="002B65F7">
        <w:rPr>
          <w:u w:val="single"/>
        </w:rPr>
        <w:t>WEZENLA 45 mg solution injectable en stylo prérempli.</w:t>
      </w:r>
    </w:p>
    <w:p w14:paraId="4E3CA3D6" w14:textId="77777777" w:rsidR="00FF5E44" w:rsidRPr="002B65F7" w:rsidRDefault="00FF5E44" w:rsidP="00FF5E44">
      <w:pPr>
        <w:keepNext/>
        <w:widowControl/>
      </w:pPr>
    </w:p>
    <w:p w14:paraId="076616D2" w14:textId="77777777" w:rsidR="00FF5E44" w:rsidRPr="002B65F7" w:rsidRDefault="00FF5E44" w:rsidP="00FF5E44">
      <w:pPr>
        <w:widowControl/>
      </w:pPr>
      <w:r w:rsidRPr="002B65F7">
        <w:t>Chaque stylo prérempli contient 45 mg d’ustekinumab dans 0,5 mL.</w:t>
      </w:r>
    </w:p>
    <w:p w14:paraId="7286341A" w14:textId="77777777" w:rsidR="00FF5E44" w:rsidRPr="002B65F7" w:rsidRDefault="00FF5E44" w:rsidP="00FF5E44">
      <w:pPr>
        <w:widowControl/>
      </w:pPr>
    </w:p>
    <w:p w14:paraId="2189C408" w14:textId="77777777" w:rsidR="00FF5E44" w:rsidRPr="002B65F7" w:rsidRDefault="00FF5E44" w:rsidP="00FF5E44">
      <w:pPr>
        <w:keepNext/>
        <w:widowControl/>
        <w:rPr>
          <w:u w:val="single"/>
        </w:rPr>
      </w:pPr>
      <w:r w:rsidRPr="002B65F7">
        <w:rPr>
          <w:u w:val="single"/>
        </w:rPr>
        <w:t>WEZENLA 90 mg solution injectable en stylo prérempli.</w:t>
      </w:r>
    </w:p>
    <w:p w14:paraId="3D3220AD" w14:textId="77777777" w:rsidR="00FF5E44" w:rsidRPr="002B65F7" w:rsidRDefault="00FF5E44" w:rsidP="00FF5E44">
      <w:pPr>
        <w:keepNext/>
        <w:widowControl/>
        <w:rPr>
          <w:u w:val="single"/>
        </w:rPr>
      </w:pPr>
    </w:p>
    <w:p w14:paraId="471C6869" w14:textId="77777777" w:rsidR="00FF5E44" w:rsidRPr="002B65F7" w:rsidRDefault="00FF5E44" w:rsidP="00FF5E44">
      <w:pPr>
        <w:widowControl/>
      </w:pPr>
      <w:r w:rsidRPr="002B65F7">
        <w:t>Chaque stylo prérempli contient 90 mg d’ustekinumab dans 1 mL.</w:t>
      </w:r>
    </w:p>
    <w:p w14:paraId="27DE5CA3" w14:textId="77777777" w:rsidR="00FF5E44" w:rsidRPr="002B65F7" w:rsidRDefault="00FF5E44" w:rsidP="00FF5E44">
      <w:pPr>
        <w:widowControl/>
      </w:pPr>
    </w:p>
    <w:p w14:paraId="1894A08D" w14:textId="77777777" w:rsidR="00FF5E44" w:rsidRPr="002B65F7" w:rsidRDefault="00FF5E44" w:rsidP="00FF5E44">
      <w:pPr>
        <w:widowControl/>
      </w:pPr>
      <w:r w:rsidRPr="002B65F7">
        <w:t>L’ustekinumab est un anticorps monoclonal IgG1κ anti-interleukine (IL)-12/23 entièrement humain produit par une lignée cellulaire d’ovaire de hamster chinois en utilisant une technique d’ADN recombinant.</w:t>
      </w:r>
    </w:p>
    <w:p w14:paraId="18DFF1B4" w14:textId="77777777" w:rsidR="00FF5E44" w:rsidRDefault="00FF5E44" w:rsidP="00FF5E44">
      <w:pPr>
        <w:widowControl/>
      </w:pPr>
    </w:p>
    <w:p w14:paraId="37730CD3" w14:textId="77777777" w:rsidR="00FB33DF" w:rsidRPr="003743BD" w:rsidRDefault="00FB33DF" w:rsidP="00FB33DF">
      <w:pPr>
        <w:widowControl/>
        <w:rPr>
          <w:u w:val="single"/>
        </w:rPr>
      </w:pPr>
      <w:r w:rsidRPr="003743BD">
        <w:rPr>
          <w:u w:val="single"/>
        </w:rPr>
        <w:t>Excipient à effet notoire</w:t>
      </w:r>
    </w:p>
    <w:p w14:paraId="53BFD6D0" w14:textId="77777777" w:rsidR="00FB33DF" w:rsidRDefault="00FB33DF" w:rsidP="00FB33DF">
      <w:pPr>
        <w:widowControl/>
      </w:pPr>
    </w:p>
    <w:p w14:paraId="01A0D371" w14:textId="77777777" w:rsidR="00FB33DF" w:rsidRDefault="00FB33DF" w:rsidP="00FB33DF">
      <w:pPr>
        <w:widowControl/>
      </w:pPr>
      <w:r>
        <w:t>Ce médicament contient 0,02 mg (45 mg/0,5 mL) ou 0,04 mg (90 mg/1,0 mL) de polysorbate 80 (E 433) dans chaque dose.</w:t>
      </w:r>
    </w:p>
    <w:p w14:paraId="3F926F7A" w14:textId="77777777" w:rsidR="00FB33DF" w:rsidRPr="002B65F7" w:rsidRDefault="00FB33DF" w:rsidP="00FF5E44">
      <w:pPr>
        <w:widowControl/>
      </w:pPr>
    </w:p>
    <w:p w14:paraId="62484DDF" w14:textId="77777777" w:rsidR="00FF5E44" w:rsidRPr="002B65F7" w:rsidRDefault="00FF5E44" w:rsidP="00FF5E44">
      <w:pPr>
        <w:widowControl/>
      </w:pPr>
      <w:r w:rsidRPr="002B65F7">
        <w:t>Pour la liste complète des excipients, voir rubrique 6.1.</w:t>
      </w:r>
    </w:p>
    <w:p w14:paraId="0AE048CB" w14:textId="77777777" w:rsidR="00FF5E44" w:rsidRPr="002B65F7" w:rsidRDefault="00FF5E44" w:rsidP="00FF5E44">
      <w:pPr>
        <w:widowControl/>
      </w:pPr>
    </w:p>
    <w:p w14:paraId="595552FC" w14:textId="77777777" w:rsidR="00FF5E44" w:rsidRPr="002B65F7" w:rsidRDefault="00FF5E44" w:rsidP="00FF5E44">
      <w:pPr>
        <w:widowControl/>
      </w:pPr>
    </w:p>
    <w:p w14:paraId="395D7313" w14:textId="77777777" w:rsidR="00FF5E44" w:rsidRPr="002B65F7" w:rsidRDefault="00FF5E44" w:rsidP="00FF5E44">
      <w:pPr>
        <w:keepNext/>
        <w:widowControl/>
        <w:ind w:left="567" w:hanging="567"/>
        <w:rPr>
          <w:b/>
          <w:bCs/>
        </w:rPr>
      </w:pPr>
      <w:r w:rsidRPr="002B65F7">
        <w:rPr>
          <w:b/>
          <w:bCs/>
        </w:rPr>
        <w:t>3.</w:t>
      </w:r>
      <w:r w:rsidRPr="002B65F7">
        <w:rPr>
          <w:b/>
          <w:bCs/>
        </w:rPr>
        <w:tab/>
        <w:t>FORME PHARMACEUTIQUE</w:t>
      </w:r>
    </w:p>
    <w:p w14:paraId="51147E76" w14:textId="77777777" w:rsidR="00FF5E44" w:rsidRPr="002B65F7" w:rsidRDefault="00FF5E44" w:rsidP="00FF5E44">
      <w:pPr>
        <w:keepNext/>
        <w:widowControl/>
      </w:pPr>
    </w:p>
    <w:p w14:paraId="1A44578D" w14:textId="77777777" w:rsidR="00FF5E44" w:rsidRPr="002B65F7" w:rsidRDefault="00FF5E44" w:rsidP="00FF5E44">
      <w:pPr>
        <w:keepNext/>
        <w:widowControl/>
        <w:rPr>
          <w:u w:val="single"/>
        </w:rPr>
      </w:pPr>
      <w:r w:rsidRPr="002B65F7">
        <w:rPr>
          <w:u w:val="single" w:color="000000"/>
        </w:rPr>
        <w:t>WEZENLA</w:t>
      </w:r>
      <w:r w:rsidRPr="002B65F7">
        <w:rPr>
          <w:u w:val="single"/>
        </w:rPr>
        <w:t xml:space="preserve"> 45 mg solution injectable en stylo prérempli.</w:t>
      </w:r>
    </w:p>
    <w:p w14:paraId="4ADF782A" w14:textId="77777777" w:rsidR="00FF5E44" w:rsidRPr="002B65F7" w:rsidRDefault="00FF5E44" w:rsidP="00FF5E44">
      <w:pPr>
        <w:keepNext/>
        <w:widowControl/>
      </w:pPr>
    </w:p>
    <w:p w14:paraId="7A11C915" w14:textId="77777777" w:rsidR="00FF5E44" w:rsidRPr="002B65F7" w:rsidRDefault="00FF5E44" w:rsidP="00FF5E44">
      <w:pPr>
        <w:widowControl/>
      </w:pPr>
      <w:r w:rsidRPr="002B65F7">
        <w:t>Solution injectable (ConfiPen).</w:t>
      </w:r>
    </w:p>
    <w:p w14:paraId="175C2511" w14:textId="77777777" w:rsidR="00FF5E44" w:rsidRPr="002B65F7" w:rsidRDefault="00FF5E44" w:rsidP="00FF5E44">
      <w:pPr>
        <w:widowControl/>
      </w:pPr>
    </w:p>
    <w:p w14:paraId="4506A929" w14:textId="77777777" w:rsidR="00FF5E44" w:rsidRPr="002B65F7" w:rsidRDefault="00FF5E44" w:rsidP="00FF5E44">
      <w:pPr>
        <w:keepNext/>
        <w:widowControl/>
      </w:pPr>
      <w:r w:rsidRPr="002B65F7">
        <w:rPr>
          <w:u w:val="single" w:color="000000"/>
        </w:rPr>
        <w:t>WEZENLA</w:t>
      </w:r>
      <w:r w:rsidRPr="002B65F7">
        <w:rPr>
          <w:u w:val="single"/>
        </w:rPr>
        <w:t xml:space="preserve"> 90 mg solution injectable en stylo prérempli.</w:t>
      </w:r>
    </w:p>
    <w:p w14:paraId="2B945546" w14:textId="77777777" w:rsidR="00FF5E44" w:rsidRPr="002B65F7" w:rsidRDefault="00FF5E44" w:rsidP="00FF5E44">
      <w:pPr>
        <w:keepNext/>
        <w:widowControl/>
      </w:pPr>
    </w:p>
    <w:p w14:paraId="74982DED" w14:textId="77777777" w:rsidR="00FF5E44" w:rsidRPr="002B65F7" w:rsidRDefault="00FF5E44" w:rsidP="00FF5E44">
      <w:pPr>
        <w:widowControl/>
      </w:pPr>
      <w:r w:rsidRPr="002B65F7">
        <w:t>Solution injectable (ConfiPen).</w:t>
      </w:r>
    </w:p>
    <w:p w14:paraId="0D26D297" w14:textId="77777777" w:rsidR="00FF5E44" w:rsidRPr="002B65F7" w:rsidRDefault="00FF5E44" w:rsidP="00FF5E44">
      <w:pPr>
        <w:widowControl/>
      </w:pPr>
    </w:p>
    <w:p w14:paraId="25699724" w14:textId="0FCC24E3" w:rsidR="00FF5E44" w:rsidRPr="002B65F7" w:rsidRDefault="00FF5E44" w:rsidP="00FF5E44">
      <w:pPr>
        <w:widowControl/>
      </w:pPr>
      <w:r w:rsidRPr="002B65F7">
        <w:t>La solution est limpide à opalescente, incolore à jaune clair.</w:t>
      </w:r>
      <w:r w:rsidR="00146587">
        <w:t xml:space="preserve"> La solution a un pH d’approximativement 6,0 et une osmolalité d’environ 280 mOsm/kg.</w:t>
      </w:r>
    </w:p>
    <w:p w14:paraId="5460A7CB" w14:textId="77777777" w:rsidR="00FF5E44" w:rsidRDefault="00FF5E44" w:rsidP="00FF5E44">
      <w:pPr>
        <w:widowControl/>
      </w:pPr>
    </w:p>
    <w:p w14:paraId="4A9E78EA" w14:textId="77777777" w:rsidR="0012494D" w:rsidRPr="002B65F7" w:rsidRDefault="0012494D" w:rsidP="00FF5E44">
      <w:pPr>
        <w:widowControl/>
      </w:pPr>
    </w:p>
    <w:p w14:paraId="1B1201AC" w14:textId="77777777" w:rsidR="00FF5E44" w:rsidRPr="002B65F7" w:rsidRDefault="00FF5E44" w:rsidP="00FF5E44">
      <w:pPr>
        <w:keepNext/>
        <w:widowControl/>
        <w:ind w:left="567" w:hanging="567"/>
        <w:rPr>
          <w:b/>
          <w:bCs/>
        </w:rPr>
      </w:pPr>
      <w:r w:rsidRPr="002B65F7">
        <w:rPr>
          <w:b/>
          <w:bCs/>
        </w:rPr>
        <w:t>4.</w:t>
      </w:r>
      <w:r w:rsidRPr="002B65F7">
        <w:rPr>
          <w:b/>
          <w:bCs/>
        </w:rPr>
        <w:tab/>
        <w:t>INFORMATIONS CLINIQUES</w:t>
      </w:r>
    </w:p>
    <w:p w14:paraId="1CD6DEAE" w14:textId="77777777" w:rsidR="00FF5E44" w:rsidRPr="002B65F7" w:rsidRDefault="00FF5E44" w:rsidP="00FF5E44">
      <w:pPr>
        <w:keepNext/>
        <w:widowControl/>
      </w:pPr>
    </w:p>
    <w:p w14:paraId="7A297FB7" w14:textId="77777777" w:rsidR="00FF5E44" w:rsidRPr="002B65F7" w:rsidRDefault="00FF5E44" w:rsidP="00FF5E44">
      <w:pPr>
        <w:keepNext/>
        <w:widowControl/>
        <w:ind w:left="567" w:hanging="567"/>
        <w:rPr>
          <w:b/>
          <w:bCs/>
        </w:rPr>
      </w:pPr>
      <w:r w:rsidRPr="002B65F7">
        <w:rPr>
          <w:b/>
          <w:bCs/>
        </w:rPr>
        <w:t>4.1</w:t>
      </w:r>
      <w:r w:rsidRPr="002B65F7">
        <w:rPr>
          <w:b/>
          <w:bCs/>
        </w:rPr>
        <w:tab/>
        <w:t>Indications thérapeutiques</w:t>
      </w:r>
    </w:p>
    <w:p w14:paraId="25158CC3" w14:textId="77777777" w:rsidR="00FF5E44" w:rsidRPr="002B65F7" w:rsidRDefault="00FF5E44" w:rsidP="00FF5E44">
      <w:pPr>
        <w:keepNext/>
        <w:widowControl/>
      </w:pPr>
    </w:p>
    <w:p w14:paraId="46C5E34A" w14:textId="77777777" w:rsidR="00FF5E44" w:rsidRPr="002B65F7" w:rsidRDefault="00FF5E44" w:rsidP="00FF5E44">
      <w:pPr>
        <w:keepNext/>
        <w:widowControl/>
        <w:rPr>
          <w:u w:val="single"/>
        </w:rPr>
      </w:pPr>
      <w:r w:rsidRPr="002B65F7">
        <w:rPr>
          <w:u w:val="single"/>
        </w:rPr>
        <w:t>Psoriasis en plaques</w:t>
      </w:r>
    </w:p>
    <w:p w14:paraId="30AD6E8B" w14:textId="77777777" w:rsidR="00FF5E44" w:rsidRPr="002B65F7" w:rsidRDefault="00FF5E44" w:rsidP="00FF5E44">
      <w:pPr>
        <w:keepNext/>
        <w:widowControl/>
        <w:rPr>
          <w:u w:val="single"/>
        </w:rPr>
      </w:pPr>
    </w:p>
    <w:p w14:paraId="08768A1D" w14:textId="77777777" w:rsidR="00FF5E44" w:rsidRPr="002B65F7" w:rsidRDefault="00FF5E44" w:rsidP="00FF5E44">
      <w:pPr>
        <w:widowControl/>
      </w:pPr>
      <w:r w:rsidRPr="002B65F7">
        <w:t>WEZENLA est indiqué dans le traitement du psoriasis en plaques modéré à sévère chez l’adulte qui n’a pas répondu, ou qui présente une contre-indication, ou qui est intolérant aux autres traitements systémiques dont la ciclosporine, le méthotrexate (MTX) ou la puvathérapie (psoralène et UVA) (voir rubrique 5.1).</w:t>
      </w:r>
    </w:p>
    <w:p w14:paraId="469D362E" w14:textId="77777777" w:rsidR="00FF5E44" w:rsidRPr="002B65F7" w:rsidRDefault="00FF5E44" w:rsidP="00FF5E44">
      <w:pPr>
        <w:widowControl/>
      </w:pPr>
    </w:p>
    <w:p w14:paraId="073E3E96" w14:textId="77777777" w:rsidR="00FF5E44" w:rsidRPr="002B65F7" w:rsidRDefault="00FF5E44" w:rsidP="00FF5E44">
      <w:pPr>
        <w:keepNext/>
        <w:widowControl/>
        <w:rPr>
          <w:u w:val="single"/>
        </w:rPr>
      </w:pPr>
      <w:r w:rsidRPr="002B65F7">
        <w:rPr>
          <w:u w:val="single"/>
        </w:rPr>
        <w:t>Rhumatisme psoriasique (RP)</w:t>
      </w:r>
    </w:p>
    <w:p w14:paraId="79F3C75F" w14:textId="77777777" w:rsidR="00FF5E44" w:rsidRPr="002B65F7" w:rsidRDefault="00FF5E44" w:rsidP="00FF5E44">
      <w:pPr>
        <w:keepNext/>
        <w:widowControl/>
        <w:rPr>
          <w:u w:val="single"/>
        </w:rPr>
      </w:pPr>
    </w:p>
    <w:p w14:paraId="18348146" w14:textId="77777777" w:rsidR="00FF5E44" w:rsidRPr="002B65F7" w:rsidRDefault="00FF5E44" w:rsidP="00FF5E44">
      <w:pPr>
        <w:widowControl/>
      </w:pPr>
      <w:r w:rsidRPr="002B65F7">
        <w:t>WEZENLA, seul ou en association avec le méthotrexate (MTX), est indiqué dans le traitement du rhumatisme psoriasique actif chez l’adulte lorsque la réponse à un précédent traitement de fond antirhumatismal non-biologique (DMARD) a été inadéquate (voir rubrique 5.1).</w:t>
      </w:r>
    </w:p>
    <w:p w14:paraId="3150145A" w14:textId="77777777" w:rsidR="00FF5E44" w:rsidRPr="002B65F7" w:rsidRDefault="00FF5E44" w:rsidP="00FF5E44">
      <w:pPr>
        <w:widowControl/>
      </w:pPr>
    </w:p>
    <w:p w14:paraId="682983D4" w14:textId="77777777" w:rsidR="00FF5E44" w:rsidRPr="002B65F7" w:rsidRDefault="00FF5E44" w:rsidP="00FF5E44">
      <w:pPr>
        <w:keepNext/>
        <w:widowControl/>
        <w:rPr>
          <w:u w:val="single"/>
        </w:rPr>
      </w:pPr>
      <w:r w:rsidRPr="002B65F7">
        <w:rPr>
          <w:u w:val="single"/>
        </w:rPr>
        <w:t>Maladie de Crohn</w:t>
      </w:r>
    </w:p>
    <w:p w14:paraId="1BB352A1" w14:textId="77777777" w:rsidR="00FF5E44" w:rsidRPr="002B65F7" w:rsidRDefault="00FF5E44" w:rsidP="00FF5E44">
      <w:pPr>
        <w:keepNext/>
        <w:widowControl/>
        <w:rPr>
          <w:u w:val="single"/>
        </w:rPr>
      </w:pPr>
    </w:p>
    <w:p w14:paraId="4975B292" w14:textId="57EE5658" w:rsidR="00FF5E44" w:rsidRPr="002B65F7" w:rsidRDefault="00FF5E44" w:rsidP="00FF5E44">
      <w:pPr>
        <w:widowControl/>
      </w:pPr>
      <w:r w:rsidRPr="002B65F7">
        <w:t>WEZENLA est indiqué dans le traitement de la maladie de Crohn active modérée à sévère chez les patients adultes présentant une réponse insuffisante, une perte de réponse ou une intolérance à un traitement conventionnel ou par anti-TNFα</w:t>
      </w:r>
      <w:r w:rsidR="00DE4698">
        <w:t>.</w:t>
      </w:r>
    </w:p>
    <w:p w14:paraId="43505AD6" w14:textId="77777777" w:rsidR="00FF5E44" w:rsidRPr="002B65F7" w:rsidRDefault="00FF5E44" w:rsidP="00FF5E44">
      <w:pPr>
        <w:widowControl/>
      </w:pPr>
    </w:p>
    <w:p w14:paraId="7CB9AEBD" w14:textId="77777777" w:rsidR="00FF5E44" w:rsidRPr="002B65F7" w:rsidRDefault="00FF5E44" w:rsidP="00FF5E44">
      <w:pPr>
        <w:keepNext/>
        <w:widowControl/>
        <w:ind w:left="567" w:hanging="567"/>
        <w:rPr>
          <w:b/>
          <w:bCs/>
        </w:rPr>
      </w:pPr>
      <w:r w:rsidRPr="002B65F7">
        <w:rPr>
          <w:b/>
          <w:bCs/>
        </w:rPr>
        <w:t>4.2</w:t>
      </w:r>
      <w:r w:rsidRPr="002B65F7">
        <w:rPr>
          <w:b/>
          <w:bCs/>
        </w:rPr>
        <w:tab/>
        <w:t>Posologie et mode d’administration</w:t>
      </w:r>
    </w:p>
    <w:p w14:paraId="7A71712F" w14:textId="77777777" w:rsidR="00FF5E44" w:rsidRPr="002B65F7" w:rsidRDefault="00FF5E44" w:rsidP="00FF5E44">
      <w:pPr>
        <w:keepNext/>
        <w:widowControl/>
      </w:pPr>
    </w:p>
    <w:p w14:paraId="6D1000E5" w14:textId="77777777" w:rsidR="00FF5E44" w:rsidRPr="002B65F7" w:rsidRDefault="00FF5E44" w:rsidP="00FF5E44">
      <w:pPr>
        <w:widowControl/>
      </w:pPr>
      <w:r w:rsidRPr="002B65F7">
        <w:t>WEZENLA est destiné à une utilisation sous la responsabilité et la surveillance de médecins qualifiés en matière de diagnostic et de traitement des affections pour lesquelles WEZENLA est indiqué.</w:t>
      </w:r>
    </w:p>
    <w:p w14:paraId="19FF55E4" w14:textId="77777777" w:rsidR="00FF5E44" w:rsidRPr="002B65F7" w:rsidRDefault="00FF5E44" w:rsidP="00FF5E44">
      <w:pPr>
        <w:widowControl/>
      </w:pPr>
    </w:p>
    <w:p w14:paraId="738ED9AD" w14:textId="77777777" w:rsidR="00FF5E44" w:rsidRPr="002B65F7" w:rsidRDefault="00FF5E44" w:rsidP="00FF5E44">
      <w:pPr>
        <w:keepNext/>
        <w:widowControl/>
        <w:rPr>
          <w:u w:val="single"/>
        </w:rPr>
      </w:pPr>
      <w:r w:rsidRPr="002B65F7">
        <w:rPr>
          <w:u w:val="single"/>
        </w:rPr>
        <w:t>Posologie</w:t>
      </w:r>
    </w:p>
    <w:p w14:paraId="4A41B77C" w14:textId="77777777" w:rsidR="00FF5E44" w:rsidRPr="002B65F7" w:rsidRDefault="00FF5E44" w:rsidP="00FF5E44">
      <w:pPr>
        <w:keepNext/>
        <w:widowControl/>
      </w:pPr>
    </w:p>
    <w:p w14:paraId="5628F0C7" w14:textId="77777777" w:rsidR="00FF5E44" w:rsidRPr="002B65F7" w:rsidRDefault="00FF5E44" w:rsidP="00FF5E44">
      <w:pPr>
        <w:keepNext/>
        <w:widowControl/>
        <w:rPr>
          <w:u w:val="single"/>
        </w:rPr>
      </w:pPr>
      <w:r w:rsidRPr="002B65F7">
        <w:rPr>
          <w:u w:val="single"/>
        </w:rPr>
        <w:t>Psoriasis en plaques</w:t>
      </w:r>
    </w:p>
    <w:p w14:paraId="7BA9EF3C" w14:textId="77777777" w:rsidR="00FF5E44" w:rsidRPr="002B65F7" w:rsidRDefault="00FF5E44" w:rsidP="00FF5E44">
      <w:pPr>
        <w:keepNext/>
        <w:widowControl/>
      </w:pPr>
    </w:p>
    <w:p w14:paraId="414BD50C" w14:textId="77777777" w:rsidR="00FF5E44" w:rsidRPr="002B65F7" w:rsidRDefault="00FF5E44" w:rsidP="00FF5E44">
      <w:pPr>
        <w:widowControl/>
      </w:pPr>
      <w:r w:rsidRPr="002B65F7">
        <w:t>La posologie recommandée de WEZENLA est d’une dose initiale de 45 mg administrée en sous- cutanée, suivie d’une dose de 45 mg 4 semaines plus tard, puis ensuite toutes les 12 semaines.</w:t>
      </w:r>
    </w:p>
    <w:p w14:paraId="1538F7C4" w14:textId="77777777" w:rsidR="00FF5E44" w:rsidRPr="002B65F7" w:rsidRDefault="00FF5E44" w:rsidP="00FF5E44">
      <w:pPr>
        <w:widowControl/>
      </w:pPr>
    </w:p>
    <w:p w14:paraId="4585DBD7" w14:textId="77777777" w:rsidR="00FF5E44" w:rsidRPr="002B65F7" w:rsidRDefault="00FF5E44" w:rsidP="00FF5E44">
      <w:pPr>
        <w:widowControl/>
      </w:pPr>
      <w:r w:rsidRPr="002B65F7">
        <w:t>L’arrêt du traitement doit être envisagé chez les patients ne présentant pas de réponse après 28 semaines de traitement.</w:t>
      </w:r>
    </w:p>
    <w:p w14:paraId="3B4FA571" w14:textId="77777777" w:rsidR="00FF5E44" w:rsidRPr="002B65F7" w:rsidRDefault="00FF5E44" w:rsidP="00FF5E44">
      <w:pPr>
        <w:widowControl/>
      </w:pPr>
    </w:p>
    <w:p w14:paraId="798AADD3" w14:textId="77777777" w:rsidR="00FF5E44" w:rsidRPr="0093531A" w:rsidRDefault="00FF5E44" w:rsidP="00FF5E44">
      <w:pPr>
        <w:keepNext/>
        <w:widowControl/>
        <w:rPr>
          <w:i/>
          <w:iCs/>
        </w:rPr>
      </w:pPr>
      <w:r w:rsidRPr="0093531A">
        <w:rPr>
          <w:i/>
          <w:iCs/>
        </w:rPr>
        <w:t>Patients de poids &gt; 100 kg</w:t>
      </w:r>
    </w:p>
    <w:p w14:paraId="583B6652" w14:textId="77777777" w:rsidR="00FF5E44" w:rsidRPr="0093531A" w:rsidRDefault="00FF5E44" w:rsidP="00FF5E44">
      <w:pPr>
        <w:keepNext/>
        <w:widowControl/>
        <w:rPr>
          <w:i/>
          <w:iCs/>
        </w:rPr>
      </w:pPr>
    </w:p>
    <w:p w14:paraId="79D13C90" w14:textId="08D54FA9" w:rsidR="00FF5E44" w:rsidRPr="0093531A" w:rsidRDefault="00FF5E44" w:rsidP="00FF5E44">
      <w:pPr>
        <w:widowControl/>
      </w:pPr>
      <w:r w:rsidRPr="0093531A">
        <w:t>Pour les patients ayant un poids &gt; 100 kg la dose initiale est de 90 mg administrée en sous-cutanée, suivie d’une dose de 90 mg 4 semaines plus tard, puis ensuite toutes les 12 semaines. Chez ces patients, l’efficacité de la dose de 45 mg a également été démontrée. Cependant, la dose de 90 mg a montré une meilleure efficacité (voir rubrique 5.1, tableau </w:t>
      </w:r>
      <w:r w:rsidR="0093531A" w:rsidRPr="0093531A">
        <w:t>2</w:t>
      </w:r>
      <w:r w:rsidRPr="0093531A">
        <w:t>).</w:t>
      </w:r>
    </w:p>
    <w:p w14:paraId="6B0D6C47" w14:textId="77777777" w:rsidR="00FF5E44" w:rsidRPr="002B65F7" w:rsidRDefault="00FF5E44" w:rsidP="00FF5E44">
      <w:pPr>
        <w:widowControl/>
      </w:pPr>
    </w:p>
    <w:p w14:paraId="7CFFC551" w14:textId="77777777" w:rsidR="00FF5E44" w:rsidRPr="002B65F7" w:rsidRDefault="00FF5E44" w:rsidP="00FF5E44">
      <w:pPr>
        <w:keepNext/>
        <w:widowControl/>
        <w:rPr>
          <w:u w:val="single"/>
        </w:rPr>
      </w:pPr>
      <w:r w:rsidRPr="002B65F7">
        <w:rPr>
          <w:u w:val="single"/>
        </w:rPr>
        <w:t>Rhumatisme psoriasique (RP)</w:t>
      </w:r>
    </w:p>
    <w:p w14:paraId="7B41B96C" w14:textId="77777777" w:rsidR="00FF5E44" w:rsidRPr="002B65F7" w:rsidRDefault="00FF5E44" w:rsidP="00FF5E44">
      <w:pPr>
        <w:keepNext/>
        <w:widowControl/>
        <w:rPr>
          <w:u w:val="single"/>
        </w:rPr>
      </w:pPr>
    </w:p>
    <w:p w14:paraId="23734DF6" w14:textId="77777777" w:rsidR="00FF5E44" w:rsidRPr="002B65F7" w:rsidRDefault="00FF5E44" w:rsidP="00FF5E44">
      <w:pPr>
        <w:widowControl/>
      </w:pPr>
      <w:r w:rsidRPr="002B65F7">
        <w:t>La posologie recommandée de WEZENLA est d’une dose initiale de 45 mg administrée par voie sous- cutanée, suivie d’une dose de 45 mg 4 semaines plus tard, puis ensuite toutes les 12 semaines. Il est possible d’utiliser 90 mg chez les patients ayant un poids &gt; 100 kg.</w:t>
      </w:r>
    </w:p>
    <w:p w14:paraId="1982953C" w14:textId="77777777" w:rsidR="00FF5E44" w:rsidRPr="002B65F7" w:rsidRDefault="00FF5E44" w:rsidP="00FF5E44">
      <w:pPr>
        <w:widowControl/>
      </w:pPr>
    </w:p>
    <w:p w14:paraId="41A3E17C" w14:textId="77777777" w:rsidR="00FF5E44" w:rsidRPr="002B65F7" w:rsidRDefault="00FF5E44" w:rsidP="00FF5E44">
      <w:pPr>
        <w:widowControl/>
      </w:pPr>
      <w:r w:rsidRPr="002B65F7">
        <w:t>L’arrêt du traitement doit être envisagé chez les patients ne présentant pas de réponse après 28 semaines de traitement.</w:t>
      </w:r>
    </w:p>
    <w:p w14:paraId="470E1ED9" w14:textId="77777777" w:rsidR="00FF5E44" w:rsidRPr="002B65F7" w:rsidRDefault="00FF5E44" w:rsidP="00FF5E44">
      <w:pPr>
        <w:widowControl/>
      </w:pPr>
    </w:p>
    <w:p w14:paraId="03C24BA5" w14:textId="77777777" w:rsidR="00FF5E44" w:rsidRPr="002B65F7" w:rsidRDefault="00FF5E44" w:rsidP="00FF5E44">
      <w:pPr>
        <w:keepNext/>
        <w:widowControl/>
        <w:rPr>
          <w:i/>
          <w:iCs/>
        </w:rPr>
      </w:pPr>
      <w:r w:rsidRPr="002B65F7">
        <w:rPr>
          <w:i/>
          <w:iCs/>
        </w:rPr>
        <w:t>Sujets âgés (≥ 65 ans)</w:t>
      </w:r>
    </w:p>
    <w:p w14:paraId="4FDCA021" w14:textId="77777777" w:rsidR="00FF5E44" w:rsidRPr="002B65F7" w:rsidRDefault="00FF5E44" w:rsidP="00FF5E44">
      <w:pPr>
        <w:keepNext/>
        <w:widowControl/>
        <w:rPr>
          <w:i/>
          <w:iCs/>
        </w:rPr>
      </w:pPr>
    </w:p>
    <w:p w14:paraId="5DF7EBC0" w14:textId="77777777" w:rsidR="00FF5E44" w:rsidRPr="002B65F7" w:rsidRDefault="00FF5E44" w:rsidP="00FF5E44">
      <w:pPr>
        <w:keepNext/>
        <w:widowControl/>
      </w:pPr>
      <w:r w:rsidRPr="002B65F7">
        <w:t>Il n'est pas nécessaire d'adapter la posologie chez les sujets âgés (voir rubrique 4.4).</w:t>
      </w:r>
    </w:p>
    <w:p w14:paraId="0B1C15D2" w14:textId="77777777" w:rsidR="00FF5E44" w:rsidRPr="002B65F7" w:rsidRDefault="00FF5E44" w:rsidP="00FF5E44">
      <w:pPr>
        <w:widowControl/>
      </w:pPr>
    </w:p>
    <w:p w14:paraId="4F7DD070" w14:textId="77777777" w:rsidR="00FF5E44" w:rsidRPr="002B65F7" w:rsidRDefault="00FF5E44" w:rsidP="00FF5E44">
      <w:pPr>
        <w:keepNext/>
        <w:widowControl/>
        <w:rPr>
          <w:i/>
          <w:iCs/>
        </w:rPr>
      </w:pPr>
      <w:r w:rsidRPr="002B65F7">
        <w:rPr>
          <w:i/>
          <w:iCs/>
        </w:rPr>
        <w:t>Insuffisance rénale et hépatique</w:t>
      </w:r>
    </w:p>
    <w:p w14:paraId="28B2268A" w14:textId="77777777" w:rsidR="00FF5E44" w:rsidRPr="002B65F7" w:rsidRDefault="00FF5E44" w:rsidP="00FF5E44">
      <w:pPr>
        <w:keepNext/>
        <w:widowControl/>
        <w:rPr>
          <w:i/>
          <w:iCs/>
        </w:rPr>
      </w:pPr>
    </w:p>
    <w:p w14:paraId="557D4B68" w14:textId="77777777" w:rsidR="00FF5E44" w:rsidRPr="002B65F7" w:rsidRDefault="00FF5E44" w:rsidP="00FF5E44">
      <w:pPr>
        <w:widowControl/>
      </w:pPr>
      <w:r w:rsidRPr="002B65F7">
        <w:t>L’ustekinumab n’a pas été étudié chez ces populations de patients. Aucune recommandation de dose ne peut être faite.</w:t>
      </w:r>
    </w:p>
    <w:p w14:paraId="42C2B55D" w14:textId="77777777" w:rsidR="00FF5E44" w:rsidRPr="002B65F7" w:rsidRDefault="00FF5E44" w:rsidP="00FF5E44">
      <w:pPr>
        <w:widowControl/>
      </w:pPr>
    </w:p>
    <w:p w14:paraId="42B48FCB" w14:textId="77777777" w:rsidR="00FF5E44" w:rsidRPr="002B65F7" w:rsidRDefault="00FF5E44" w:rsidP="00FF5E44">
      <w:pPr>
        <w:keepNext/>
        <w:widowControl/>
        <w:rPr>
          <w:i/>
          <w:iCs/>
        </w:rPr>
      </w:pPr>
      <w:r w:rsidRPr="002B65F7">
        <w:rPr>
          <w:i/>
          <w:iCs/>
        </w:rPr>
        <w:t>Population pédiatrique</w:t>
      </w:r>
    </w:p>
    <w:p w14:paraId="23FD44E0" w14:textId="77777777" w:rsidR="00FF5E44" w:rsidRPr="002B65F7" w:rsidRDefault="00FF5E44" w:rsidP="00FF5E44">
      <w:pPr>
        <w:keepNext/>
        <w:widowControl/>
        <w:rPr>
          <w:i/>
          <w:iCs/>
        </w:rPr>
      </w:pPr>
    </w:p>
    <w:p w14:paraId="46480EF4" w14:textId="7803F971" w:rsidR="00FF5E44" w:rsidRPr="002B65F7" w:rsidRDefault="00FF5E44" w:rsidP="00E0456E">
      <w:pPr>
        <w:widowControl/>
      </w:pPr>
      <w:r w:rsidRPr="002B65F7">
        <w:t xml:space="preserve">La sécurité et l’efficacité de </w:t>
      </w:r>
      <w:r w:rsidR="00844CBA" w:rsidRPr="002B65F7">
        <w:t>WEZENLA</w:t>
      </w:r>
      <w:r w:rsidRPr="002B65F7">
        <w:t xml:space="preserve"> chez les enfants âgés de moins de 6 ans atteints de psoriasis ou chez les enfants âgés de moins de 18 ans atteints de rhumatisme psoriasique n’ont pas encore été </w:t>
      </w:r>
      <w:r w:rsidRPr="002B65F7">
        <w:lastRenderedPageBreak/>
        <w:t>établies.</w:t>
      </w:r>
      <w:r w:rsidR="00E0456E">
        <w:t xml:space="preserve"> </w:t>
      </w:r>
      <w:r w:rsidR="00E0456E" w:rsidRPr="00B21A43">
        <w:t>Le stylo pr</w:t>
      </w:r>
      <w:r w:rsidR="00E0456E" w:rsidRPr="00B21A43">
        <w:rPr>
          <w:rFonts w:hint="eastAsia"/>
        </w:rPr>
        <w:t>é</w:t>
      </w:r>
      <w:r w:rsidR="00E0456E" w:rsidRPr="00B21A43">
        <w:t>rempli n</w:t>
      </w:r>
      <w:r w:rsidR="00E0456E" w:rsidRPr="00B21A43">
        <w:rPr>
          <w:rFonts w:hint="eastAsia"/>
        </w:rPr>
        <w:t>’</w:t>
      </w:r>
      <w:r w:rsidR="00E0456E" w:rsidRPr="00B21A43">
        <w:t xml:space="preserve">a pas </w:t>
      </w:r>
      <w:r w:rsidR="00E0456E" w:rsidRPr="00B21A43">
        <w:rPr>
          <w:rFonts w:hint="eastAsia"/>
        </w:rPr>
        <w:t>é</w:t>
      </w:r>
      <w:r w:rsidR="00E0456E" w:rsidRPr="00B21A43">
        <w:t>t</w:t>
      </w:r>
      <w:r w:rsidR="00E0456E" w:rsidRPr="00B21A43">
        <w:rPr>
          <w:rFonts w:hint="eastAsia"/>
        </w:rPr>
        <w:t>é</w:t>
      </w:r>
      <w:r w:rsidR="00E0456E" w:rsidRPr="00B21A43">
        <w:t xml:space="preserve"> </w:t>
      </w:r>
      <w:r w:rsidR="00E0456E" w:rsidRPr="00B21A43">
        <w:rPr>
          <w:rFonts w:hint="eastAsia"/>
        </w:rPr>
        <w:t>é</w:t>
      </w:r>
      <w:r w:rsidR="00E0456E" w:rsidRPr="00B21A43">
        <w:t>tudi</w:t>
      </w:r>
      <w:r w:rsidR="00E0456E" w:rsidRPr="00B21A43">
        <w:rPr>
          <w:rFonts w:hint="eastAsia"/>
        </w:rPr>
        <w:t>é</w:t>
      </w:r>
      <w:r w:rsidR="00E0456E" w:rsidRPr="00B21A43">
        <w:t xml:space="preserve"> dans la population p</w:t>
      </w:r>
      <w:r w:rsidR="00E0456E" w:rsidRPr="00B21A43">
        <w:rPr>
          <w:rFonts w:hint="eastAsia"/>
        </w:rPr>
        <w:t>é</w:t>
      </w:r>
      <w:r w:rsidR="00E0456E" w:rsidRPr="00B21A43">
        <w:t>diatrique et son utilisation n</w:t>
      </w:r>
      <w:r w:rsidR="00E0456E" w:rsidRPr="00B21A43">
        <w:rPr>
          <w:rFonts w:hint="eastAsia"/>
        </w:rPr>
        <w:t>’</w:t>
      </w:r>
      <w:r w:rsidR="00E0456E" w:rsidRPr="00B21A43">
        <w:t>est pas recommand</w:t>
      </w:r>
      <w:r w:rsidR="00E0456E" w:rsidRPr="00B21A43">
        <w:rPr>
          <w:rFonts w:hint="eastAsia"/>
        </w:rPr>
        <w:t>é</w:t>
      </w:r>
      <w:r w:rsidR="00E0456E" w:rsidRPr="00B21A43">
        <w:t>e chez les patients p</w:t>
      </w:r>
      <w:r w:rsidR="00E0456E" w:rsidRPr="00B21A43">
        <w:rPr>
          <w:rFonts w:hint="eastAsia"/>
        </w:rPr>
        <w:t>é</w:t>
      </w:r>
      <w:r w:rsidR="00E0456E" w:rsidRPr="00B21A43">
        <w:t>diatriques. Voir rubrique 4.2 du RCP de la seringue pr</w:t>
      </w:r>
      <w:r w:rsidR="00E0456E" w:rsidRPr="00B21A43">
        <w:rPr>
          <w:rFonts w:hint="eastAsia"/>
        </w:rPr>
        <w:t>é</w:t>
      </w:r>
      <w:r w:rsidR="00E0456E" w:rsidRPr="00B21A43">
        <w:t>remplie pour la posologie et le mode d</w:t>
      </w:r>
      <w:r w:rsidR="00E0456E" w:rsidRPr="00B21A43">
        <w:rPr>
          <w:rFonts w:hint="eastAsia"/>
        </w:rPr>
        <w:t>’</w:t>
      </w:r>
      <w:r w:rsidR="00E0456E" w:rsidRPr="00B21A43">
        <w:t>administration chez les patients p</w:t>
      </w:r>
      <w:r w:rsidR="00E0456E" w:rsidRPr="00B21A43">
        <w:rPr>
          <w:rFonts w:hint="eastAsia"/>
        </w:rPr>
        <w:t>é</w:t>
      </w:r>
      <w:r w:rsidR="00E0456E" w:rsidRPr="00B21A43">
        <w:t xml:space="preserve">diatriques </w:t>
      </w:r>
      <w:r w:rsidR="00E0456E" w:rsidRPr="00B21A43">
        <w:rPr>
          <w:rFonts w:hint="eastAsia"/>
        </w:rPr>
        <w:t>â</w:t>
      </w:r>
      <w:r w:rsidR="00E0456E" w:rsidRPr="00B21A43">
        <w:t>g</w:t>
      </w:r>
      <w:r w:rsidR="00E0456E" w:rsidRPr="00B21A43">
        <w:rPr>
          <w:rFonts w:hint="eastAsia"/>
        </w:rPr>
        <w:t>é</w:t>
      </w:r>
      <w:r w:rsidR="00E0456E" w:rsidRPr="00B21A43">
        <w:t>s de 6 ans et plus atteints de psoriasis.</w:t>
      </w:r>
    </w:p>
    <w:p w14:paraId="55728EB7" w14:textId="77777777" w:rsidR="00FF5E44" w:rsidRPr="002B65F7" w:rsidRDefault="00FF5E44" w:rsidP="00FF5E44">
      <w:pPr>
        <w:widowControl/>
      </w:pPr>
    </w:p>
    <w:p w14:paraId="7E027F49" w14:textId="77777777" w:rsidR="00FF5E44" w:rsidRPr="002B65F7" w:rsidRDefault="00FF5E44" w:rsidP="00FF5E44">
      <w:pPr>
        <w:keepNext/>
        <w:widowControl/>
        <w:rPr>
          <w:i/>
          <w:iCs/>
        </w:rPr>
      </w:pPr>
      <w:r w:rsidRPr="002B65F7">
        <w:rPr>
          <w:i/>
          <w:iCs/>
        </w:rPr>
        <w:t>Maladie de Crohn</w:t>
      </w:r>
    </w:p>
    <w:p w14:paraId="40DA0975" w14:textId="77777777" w:rsidR="00FF5E44" w:rsidRPr="002B65F7" w:rsidRDefault="00FF5E44" w:rsidP="00FF5E44">
      <w:pPr>
        <w:keepNext/>
        <w:widowControl/>
        <w:rPr>
          <w:u w:val="single"/>
        </w:rPr>
      </w:pPr>
    </w:p>
    <w:p w14:paraId="07A9A3C0" w14:textId="77777777" w:rsidR="00FF5E44" w:rsidRPr="002B65F7" w:rsidRDefault="00FF5E44" w:rsidP="00FF5E44">
      <w:pPr>
        <w:widowControl/>
      </w:pPr>
      <w:r w:rsidRPr="002B65F7">
        <w:t>Selon le schéma thérapeutique, la première dose de WEZENLA est administrée par voie intraveineuse. Pour la posologie du traitement par voie intraveineuse, voir la rubrique 4.2 du RCP de WEZENLA 130 mg solution à diluer pour perfusion.</w:t>
      </w:r>
    </w:p>
    <w:p w14:paraId="11FBB2DA" w14:textId="77777777" w:rsidR="00FF5E44" w:rsidRPr="002B65F7" w:rsidRDefault="00FF5E44" w:rsidP="00FF5E44">
      <w:pPr>
        <w:widowControl/>
      </w:pPr>
    </w:p>
    <w:p w14:paraId="00090E38" w14:textId="77777777" w:rsidR="00FF5E44" w:rsidRPr="002B65F7" w:rsidRDefault="00FF5E44" w:rsidP="00FF5E44">
      <w:pPr>
        <w:widowControl/>
      </w:pPr>
      <w:r w:rsidRPr="002B65F7">
        <w:t>La première administration par voie sous-cutanée de WEZENLA 90 mg doit être réalisée à la semaine 8 après la dose par voie intraveineuse. Après cela, une administration toutes les 12 semaines est recommandée.</w:t>
      </w:r>
    </w:p>
    <w:p w14:paraId="76733695" w14:textId="77777777" w:rsidR="00FF5E44" w:rsidRPr="002B65F7" w:rsidRDefault="00FF5E44" w:rsidP="00FF5E44">
      <w:pPr>
        <w:widowControl/>
      </w:pPr>
    </w:p>
    <w:p w14:paraId="3D01F3D5" w14:textId="77777777" w:rsidR="00FF5E44" w:rsidRPr="002B65F7" w:rsidRDefault="00FF5E44" w:rsidP="00FF5E44">
      <w:pPr>
        <w:widowControl/>
      </w:pPr>
      <w:r w:rsidRPr="002B65F7">
        <w:t>A la semaine 8 après la première administration par voie sous-cutanée, les patients qui présentent une réponse insuffisante peuvent recevoir une seconde administration par voie sous-cutanée (voir rubrique 5.1).</w:t>
      </w:r>
    </w:p>
    <w:p w14:paraId="0EF403AE" w14:textId="77777777" w:rsidR="00FF5E44" w:rsidRPr="002B65F7" w:rsidRDefault="00FF5E44" w:rsidP="00FF5E44">
      <w:pPr>
        <w:widowControl/>
      </w:pPr>
    </w:p>
    <w:p w14:paraId="423DE0C2" w14:textId="77777777" w:rsidR="00FF5E44" w:rsidRPr="002B65F7" w:rsidRDefault="00FF5E44" w:rsidP="00FF5E44">
      <w:pPr>
        <w:widowControl/>
      </w:pPr>
      <w:r w:rsidRPr="002B65F7">
        <w:t>Les patients recevant une administration toutes les 12 semaines et qui présentent un échappement après une réponse initiale peuvent bénéficier d’une augmentation de la fréquence d’administration à toutes les 8 semaines (voir rubriques 5.1 et 5.2).</w:t>
      </w:r>
    </w:p>
    <w:p w14:paraId="5AE4554E" w14:textId="77777777" w:rsidR="00FF5E44" w:rsidRPr="002B65F7" w:rsidRDefault="00FF5E44" w:rsidP="00FF5E44">
      <w:pPr>
        <w:widowControl/>
      </w:pPr>
    </w:p>
    <w:p w14:paraId="04A98195" w14:textId="77777777" w:rsidR="00FF5E44" w:rsidRPr="002B65F7" w:rsidRDefault="00FF5E44" w:rsidP="00FF5E44">
      <w:pPr>
        <w:widowControl/>
      </w:pPr>
      <w:r w:rsidRPr="002B65F7">
        <w:t>Les patients peuvent ensuite avoir une administration toutes les 8 semaines ou toutes les 12 semaines selon le jugement clinique (voir rubrique 5.1).</w:t>
      </w:r>
    </w:p>
    <w:p w14:paraId="75DCE859" w14:textId="77777777" w:rsidR="00FF5E44" w:rsidRPr="002B65F7" w:rsidRDefault="00FF5E44" w:rsidP="00FF5E44">
      <w:pPr>
        <w:widowControl/>
      </w:pPr>
    </w:p>
    <w:p w14:paraId="36CA9984" w14:textId="77777777" w:rsidR="00FF5E44" w:rsidRPr="002B65F7" w:rsidRDefault="00FF5E44" w:rsidP="00FF5E44">
      <w:pPr>
        <w:widowControl/>
      </w:pPr>
      <w:r w:rsidRPr="002B65F7">
        <w:t>Il y a lieu d’envisager l’arrêt du traitement chez les patients ne montrant aucun signe de bénéfice thérapeutique 16 semaines après la dose d’induction IV ou 16 semaines après passage à l’administration d’une dose d’entretien toutes les 8 semaines.</w:t>
      </w:r>
    </w:p>
    <w:p w14:paraId="1570281C" w14:textId="77777777" w:rsidR="00FF5E44" w:rsidRPr="002B65F7" w:rsidRDefault="00FF5E44" w:rsidP="00FF5E44">
      <w:pPr>
        <w:widowControl/>
      </w:pPr>
    </w:p>
    <w:p w14:paraId="0ABF74C5" w14:textId="77777777" w:rsidR="00FF5E44" w:rsidRPr="002B65F7" w:rsidRDefault="00FF5E44" w:rsidP="00FF5E44">
      <w:pPr>
        <w:widowControl/>
      </w:pPr>
      <w:r w:rsidRPr="002B65F7">
        <w:t xml:space="preserve">Des immunomodulateurs et/ou des corticoïdes peuvent être poursuivis pendant le traitement par </w:t>
      </w:r>
      <w:r w:rsidRPr="002B65F7">
        <w:rPr>
          <w:spacing w:val="-1"/>
        </w:rPr>
        <w:t>ustekinumab</w:t>
      </w:r>
      <w:r w:rsidRPr="002B65F7">
        <w:t xml:space="preserve">. Chez les patients qui ont répondu au traitement par </w:t>
      </w:r>
      <w:r w:rsidRPr="002B65F7">
        <w:rPr>
          <w:spacing w:val="-1"/>
        </w:rPr>
        <w:t>ustekinumab</w:t>
      </w:r>
      <w:r w:rsidRPr="002B65F7">
        <w:t>, les corticoïdes peuvent être diminués ou arrêtés conformément aux pratiques cliniques.</w:t>
      </w:r>
    </w:p>
    <w:p w14:paraId="6DEF5EB0" w14:textId="77777777" w:rsidR="00FF5E44" w:rsidRPr="002B65F7" w:rsidRDefault="00FF5E44" w:rsidP="00FF5E44">
      <w:pPr>
        <w:widowControl/>
      </w:pPr>
      <w:r w:rsidRPr="002B65F7">
        <w:t>Dans la maladie de Crohn, si le traitement est interrompu, la reprise du traitement par administration par voie sous-cutanée toutes les 8 semaines est sûre et efficace.</w:t>
      </w:r>
    </w:p>
    <w:p w14:paraId="13107DD3" w14:textId="77777777" w:rsidR="00FF5E44" w:rsidRPr="002B65F7" w:rsidRDefault="00FF5E44" w:rsidP="00FF5E44">
      <w:pPr>
        <w:widowControl/>
      </w:pPr>
    </w:p>
    <w:p w14:paraId="7AB7D31A" w14:textId="77777777" w:rsidR="00FF5E44" w:rsidRPr="002B65F7" w:rsidRDefault="00FF5E44" w:rsidP="00FF5E44">
      <w:pPr>
        <w:keepNext/>
        <w:widowControl/>
        <w:rPr>
          <w:i/>
          <w:iCs/>
        </w:rPr>
      </w:pPr>
      <w:r w:rsidRPr="002B65F7">
        <w:rPr>
          <w:i/>
          <w:iCs/>
        </w:rPr>
        <w:t>Sujets âgés (≥ 65 ans)</w:t>
      </w:r>
    </w:p>
    <w:p w14:paraId="792A8946" w14:textId="77777777" w:rsidR="00FF5E44" w:rsidRPr="002B65F7" w:rsidRDefault="00FF5E44" w:rsidP="00FF5E44">
      <w:pPr>
        <w:keepNext/>
        <w:widowControl/>
        <w:rPr>
          <w:i/>
          <w:iCs/>
        </w:rPr>
      </w:pPr>
    </w:p>
    <w:p w14:paraId="6FE133F2" w14:textId="77777777" w:rsidR="00FF5E44" w:rsidRPr="002B65F7" w:rsidRDefault="00FF5E44" w:rsidP="00FF5E44">
      <w:pPr>
        <w:widowControl/>
      </w:pPr>
      <w:r w:rsidRPr="002B65F7">
        <w:t>Aucun ajustement posologique n’est nécessaire chez le sujet âgé (voir rubrique 4.4).</w:t>
      </w:r>
    </w:p>
    <w:p w14:paraId="2D92ABF3" w14:textId="77777777" w:rsidR="00FF5E44" w:rsidRPr="002B65F7" w:rsidRDefault="00FF5E44" w:rsidP="00FF5E44">
      <w:pPr>
        <w:widowControl/>
      </w:pPr>
    </w:p>
    <w:p w14:paraId="6EDB4571" w14:textId="77777777" w:rsidR="00FF5E44" w:rsidRPr="002B65F7" w:rsidRDefault="00FF5E44" w:rsidP="00FF5E44">
      <w:pPr>
        <w:keepNext/>
        <w:widowControl/>
        <w:rPr>
          <w:i/>
          <w:iCs/>
        </w:rPr>
      </w:pPr>
      <w:r w:rsidRPr="002B65F7">
        <w:rPr>
          <w:i/>
          <w:iCs/>
        </w:rPr>
        <w:t>Insuffisance rénale et hépatique</w:t>
      </w:r>
    </w:p>
    <w:p w14:paraId="6D03FAC8" w14:textId="77777777" w:rsidR="00FF5E44" w:rsidRPr="002B65F7" w:rsidRDefault="00FF5E44" w:rsidP="00FF5E44">
      <w:pPr>
        <w:keepNext/>
        <w:widowControl/>
        <w:rPr>
          <w:i/>
          <w:iCs/>
        </w:rPr>
      </w:pPr>
    </w:p>
    <w:p w14:paraId="4CB8B8E0" w14:textId="77777777" w:rsidR="00FF5E44" w:rsidRPr="002B65F7" w:rsidRDefault="00FF5E44" w:rsidP="00FF5E44">
      <w:pPr>
        <w:widowControl/>
      </w:pPr>
      <w:r w:rsidRPr="002B65F7">
        <w:t>L’</w:t>
      </w:r>
      <w:r w:rsidRPr="002B65F7">
        <w:rPr>
          <w:spacing w:val="-1"/>
        </w:rPr>
        <w:t>ustekinumab</w:t>
      </w:r>
      <w:r w:rsidRPr="002B65F7">
        <w:t xml:space="preserve"> n’a pas été étudié dans ces populations de patients. Aucune recommandation de dose ne peut être émise.</w:t>
      </w:r>
    </w:p>
    <w:p w14:paraId="65994AB4" w14:textId="77777777" w:rsidR="00FF5E44" w:rsidRPr="002B65F7" w:rsidRDefault="00FF5E44" w:rsidP="00FF5E44">
      <w:pPr>
        <w:widowControl/>
      </w:pPr>
    </w:p>
    <w:p w14:paraId="44D3D9B8" w14:textId="77777777" w:rsidR="00FF5E44" w:rsidRPr="002B65F7" w:rsidRDefault="00FF5E44" w:rsidP="00FF5E44">
      <w:pPr>
        <w:keepNext/>
        <w:widowControl/>
        <w:rPr>
          <w:i/>
          <w:iCs/>
        </w:rPr>
      </w:pPr>
      <w:r w:rsidRPr="002B65F7">
        <w:rPr>
          <w:i/>
          <w:iCs/>
        </w:rPr>
        <w:t>Population pédiatrique</w:t>
      </w:r>
    </w:p>
    <w:p w14:paraId="0E544B21" w14:textId="77777777" w:rsidR="00FF5E44" w:rsidRPr="002B65F7" w:rsidRDefault="00FF5E44" w:rsidP="00FF5E44">
      <w:pPr>
        <w:keepNext/>
        <w:widowControl/>
      </w:pPr>
    </w:p>
    <w:p w14:paraId="0D5E9E90" w14:textId="4801416E" w:rsidR="00B505EC" w:rsidRDefault="00FF5E44" w:rsidP="00B505EC">
      <w:pPr>
        <w:rPr>
          <w:bCs/>
          <w:noProof/>
          <w:lang w:val="fr-BE" w:eastAsia="nl-BE"/>
        </w:rPr>
      </w:pPr>
      <w:r w:rsidRPr="002B65F7">
        <w:t>La sécurité et l’efficacité de l’</w:t>
      </w:r>
      <w:r w:rsidRPr="002B65F7">
        <w:rPr>
          <w:spacing w:val="-1"/>
        </w:rPr>
        <w:t>ustekinumab</w:t>
      </w:r>
      <w:r w:rsidRPr="002B65F7">
        <w:t xml:space="preserve"> </w:t>
      </w:r>
      <w:r w:rsidR="006A6CAE">
        <w:rPr>
          <w:noProof/>
          <w:lang w:eastAsia="nl-BE"/>
        </w:rPr>
        <w:t>dans le traitement de</w:t>
      </w:r>
      <w:r w:rsidRPr="002B65F7">
        <w:t xml:space="preserve"> la maladie de Crohn </w:t>
      </w:r>
      <w:r w:rsidR="00F93D05">
        <w:rPr>
          <w:noProof/>
          <w:lang w:eastAsia="nl-BE"/>
        </w:rPr>
        <w:t>chez les patients pédiatriques pesant moins de 40 kg</w:t>
      </w:r>
      <w:r w:rsidR="00F93D05" w:rsidRPr="00406A77">
        <w:rPr>
          <w:bCs/>
          <w:noProof/>
          <w:lang w:val="fr-BE" w:eastAsia="nl-BE"/>
        </w:rPr>
        <w:t xml:space="preserve"> </w:t>
      </w:r>
      <w:r w:rsidRPr="002B65F7">
        <w:t xml:space="preserve"> n’ont pas encore été établies. Aucune donnée n’est disponible.</w:t>
      </w:r>
      <w:r w:rsidR="00B505EC" w:rsidRPr="00E46716">
        <w:rPr>
          <w:noProof/>
          <w:lang w:eastAsia="nl-BE"/>
        </w:rPr>
        <w:t xml:space="preserve"> </w:t>
      </w:r>
      <w:r w:rsidR="00B505EC">
        <w:rPr>
          <w:noProof/>
          <w:lang w:eastAsia="nl-BE"/>
        </w:rPr>
        <w:t xml:space="preserve">Le stylo prérempli n’a pas été étudié dans la population pédiatrique et son utilisation n’est pas recommandée chez les patients pédiatriques. Voir la rubrique 4.2 du RCP de la </w:t>
      </w:r>
      <w:r w:rsidR="00FB33DF">
        <w:rPr>
          <w:noProof/>
          <w:lang w:eastAsia="nl-BE"/>
        </w:rPr>
        <w:t>s</w:t>
      </w:r>
      <w:r w:rsidR="00B505EC">
        <w:rPr>
          <w:noProof/>
          <w:lang w:eastAsia="nl-BE"/>
        </w:rPr>
        <w:t>olution à diluer pour perfusion et de la seringue préremplie pour la posologie et la méthode d’administration chez les patients pédiatriques pesant au moins 40 kg et atteints de la maladie de Crohn.</w:t>
      </w:r>
    </w:p>
    <w:p w14:paraId="7DB3707F" w14:textId="77777777" w:rsidR="00FF5E44" w:rsidRPr="002B65F7" w:rsidRDefault="00FF5E44" w:rsidP="00FF5E44">
      <w:pPr>
        <w:widowControl/>
      </w:pPr>
    </w:p>
    <w:p w14:paraId="67EFB591" w14:textId="77777777" w:rsidR="00FF5E44" w:rsidRPr="002B65F7" w:rsidRDefault="00FF5E44" w:rsidP="00FF5E44">
      <w:pPr>
        <w:keepNext/>
        <w:widowControl/>
        <w:rPr>
          <w:u w:val="single"/>
        </w:rPr>
      </w:pPr>
      <w:r w:rsidRPr="002B65F7">
        <w:rPr>
          <w:u w:val="single"/>
        </w:rPr>
        <w:lastRenderedPageBreak/>
        <w:t>Mode d’administration</w:t>
      </w:r>
    </w:p>
    <w:p w14:paraId="72155836" w14:textId="77777777" w:rsidR="00FF5E44" w:rsidRPr="002B65F7" w:rsidRDefault="00FF5E44" w:rsidP="00FF5E44">
      <w:pPr>
        <w:keepNext/>
        <w:widowControl/>
      </w:pPr>
    </w:p>
    <w:p w14:paraId="37E5F5F8" w14:textId="77777777" w:rsidR="00FF5E44" w:rsidRPr="003743BD" w:rsidRDefault="00FF5E44" w:rsidP="00FF5E44">
      <w:pPr>
        <w:widowControl/>
        <w:rPr>
          <w:lang w:val="fr-BE"/>
        </w:rPr>
      </w:pPr>
      <w:r w:rsidRPr="002B65F7">
        <w:t>WEZENLA 45 mg et 90 mg stylos préremplis sont exclusivement destinés à l’injection par voie sous-cutanée. Lorsque cela est possible, les sites où la peau présente du psoriasis ne doivent pas être utilisés comme sites d’injection.</w:t>
      </w:r>
    </w:p>
    <w:p w14:paraId="0C1A09BB" w14:textId="77777777" w:rsidR="00FF5E44" w:rsidRPr="002B65F7" w:rsidRDefault="00FF5E44" w:rsidP="00FF5E44">
      <w:pPr>
        <w:widowControl/>
      </w:pPr>
    </w:p>
    <w:p w14:paraId="5DF40E38" w14:textId="77777777" w:rsidR="00FF5E44" w:rsidRPr="002B65F7" w:rsidRDefault="00FF5E44" w:rsidP="00FF5E44">
      <w:pPr>
        <w:widowControl/>
      </w:pPr>
      <w:r w:rsidRPr="002B65F7">
        <w:t>Après une formation appropriée à la technique d’injection sous-cutanée, les patients ou leurs soignants peuvent s’injecter WEZENLA si leur médecin l’estime approprié. Cependant, le médecin doit assurer un suivi approprié des patients. Les patients ou leurs soignants doivent être informés de la nécessité d’injecter la quantité prescrite de WEZENLA selon les instructions mentionnées dans la notice. Des instructions détaillées pour l’utilisation sont mentionnées dans la notice.</w:t>
      </w:r>
    </w:p>
    <w:p w14:paraId="76D25887" w14:textId="77777777" w:rsidR="00FF5E44" w:rsidRPr="002B65F7" w:rsidRDefault="00FF5E44" w:rsidP="00FF5E44">
      <w:pPr>
        <w:widowControl/>
      </w:pPr>
    </w:p>
    <w:p w14:paraId="7E9B193E" w14:textId="77777777" w:rsidR="00FF5E44" w:rsidRPr="002B65F7" w:rsidRDefault="00FF5E44" w:rsidP="00FF5E44">
      <w:pPr>
        <w:widowControl/>
      </w:pPr>
      <w:r w:rsidRPr="002B65F7">
        <w:t>Pour d’autres instructions sur la préparation et les précautions particulières de manipulation, voir rubrique 6.6.</w:t>
      </w:r>
    </w:p>
    <w:p w14:paraId="1F245670" w14:textId="77777777" w:rsidR="00FF5E44" w:rsidRPr="002B65F7" w:rsidRDefault="00FF5E44" w:rsidP="00FF5E44">
      <w:pPr>
        <w:widowControl/>
      </w:pPr>
    </w:p>
    <w:p w14:paraId="5014C45A" w14:textId="77777777" w:rsidR="00FF5E44" w:rsidRPr="002B65F7" w:rsidRDefault="00FF5E44" w:rsidP="00FF5E44">
      <w:pPr>
        <w:keepNext/>
        <w:widowControl/>
        <w:ind w:left="567" w:hanging="567"/>
        <w:rPr>
          <w:b/>
          <w:bCs/>
        </w:rPr>
      </w:pPr>
      <w:r w:rsidRPr="002B65F7">
        <w:rPr>
          <w:b/>
          <w:bCs/>
        </w:rPr>
        <w:t>4.3</w:t>
      </w:r>
      <w:r w:rsidRPr="002B65F7">
        <w:rPr>
          <w:b/>
          <w:bCs/>
        </w:rPr>
        <w:tab/>
        <w:t>Contre-indications</w:t>
      </w:r>
    </w:p>
    <w:p w14:paraId="47BD9D57" w14:textId="77777777" w:rsidR="00FF5E44" w:rsidRPr="002B65F7" w:rsidRDefault="00FF5E44" w:rsidP="00FF5E44">
      <w:pPr>
        <w:keepNext/>
        <w:widowControl/>
      </w:pPr>
    </w:p>
    <w:p w14:paraId="5049FAFB" w14:textId="77777777" w:rsidR="00FF5E44" w:rsidRPr="002B65F7" w:rsidRDefault="00FF5E44" w:rsidP="00FF5E44">
      <w:pPr>
        <w:widowControl/>
      </w:pPr>
      <w:r w:rsidRPr="002B65F7">
        <w:t>Hypersensibilité à la substance active ou à l’un des excipients mentionnés à la rubrique 6.1.</w:t>
      </w:r>
    </w:p>
    <w:p w14:paraId="412E49FF" w14:textId="77777777" w:rsidR="00FF5E44" w:rsidRPr="002B65F7" w:rsidRDefault="00FF5E44" w:rsidP="00FF5E44">
      <w:pPr>
        <w:widowControl/>
      </w:pPr>
    </w:p>
    <w:p w14:paraId="27D99B2C" w14:textId="77777777" w:rsidR="00FF5E44" w:rsidRPr="002B65F7" w:rsidRDefault="00FF5E44" w:rsidP="00FF5E44">
      <w:pPr>
        <w:widowControl/>
      </w:pPr>
      <w:r w:rsidRPr="002B65F7">
        <w:t>Infection active et cliniquement importante (par exemple une tuberculose active ; voir rubrique 4.4).</w:t>
      </w:r>
    </w:p>
    <w:p w14:paraId="6222B129" w14:textId="77777777" w:rsidR="00FF5E44" w:rsidRPr="002B65F7" w:rsidRDefault="00FF5E44" w:rsidP="00FF5E44">
      <w:pPr>
        <w:widowControl/>
      </w:pPr>
    </w:p>
    <w:p w14:paraId="67F36B5A" w14:textId="77777777" w:rsidR="00FF5E44" w:rsidRPr="002B65F7" w:rsidRDefault="00FF5E44" w:rsidP="00FF5E44">
      <w:pPr>
        <w:keepNext/>
        <w:widowControl/>
        <w:ind w:left="567" w:hanging="567"/>
        <w:rPr>
          <w:b/>
          <w:bCs/>
        </w:rPr>
      </w:pPr>
      <w:r w:rsidRPr="002B65F7">
        <w:rPr>
          <w:b/>
          <w:bCs/>
        </w:rPr>
        <w:t>4.4</w:t>
      </w:r>
      <w:r w:rsidRPr="002B65F7">
        <w:rPr>
          <w:b/>
          <w:bCs/>
        </w:rPr>
        <w:tab/>
        <w:t>Mises en garde spéciales et précautions d’emploi</w:t>
      </w:r>
    </w:p>
    <w:p w14:paraId="006A4666" w14:textId="77777777" w:rsidR="00FF5E44" w:rsidRPr="002B65F7" w:rsidRDefault="00FF5E44" w:rsidP="00FF5E44">
      <w:pPr>
        <w:keepNext/>
        <w:widowControl/>
      </w:pPr>
    </w:p>
    <w:p w14:paraId="081B5D59" w14:textId="77777777" w:rsidR="00FF5E44" w:rsidRPr="002B65F7" w:rsidRDefault="00FF5E44" w:rsidP="00FF5E44">
      <w:pPr>
        <w:keepNext/>
        <w:widowControl/>
        <w:rPr>
          <w:u w:val="single"/>
        </w:rPr>
      </w:pPr>
      <w:r w:rsidRPr="002B65F7">
        <w:rPr>
          <w:u w:val="single"/>
        </w:rPr>
        <w:t>Traçabilité</w:t>
      </w:r>
    </w:p>
    <w:p w14:paraId="1CD8CBD8" w14:textId="77777777" w:rsidR="00FF5E44" w:rsidRPr="002B65F7" w:rsidRDefault="00FF5E44" w:rsidP="00FF5E44">
      <w:pPr>
        <w:keepNext/>
        <w:widowControl/>
      </w:pPr>
    </w:p>
    <w:p w14:paraId="4410D866" w14:textId="77777777" w:rsidR="00FF5E44" w:rsidRPr="002B65F7" w:rsidRDefault="00FF5E44" w:rsidP="00FF5E44">
      <w:pPr>
        <w:widowControl/>
      </w:pPr>
      <w:r w:rsidRPr="002B65F7">
        <w:t>Afin d’améliorer la traçabilité des médicaments biologiques, le nom de marque et le numéro de lot du produit administré doivent être clairement enregistrés.</w:t>
      </w:r>
    </w:p>
    <w:p w14:paraId="554AA8B8" w14:textId="77777777" w:rsidR="00FF5E44" w:rsidRPr="002B65F7" w:rsidRDefault="00FF5E44" w:rsidP="00FF5E44">
      <w:pPr>
        <w:widowControl/>
      </w:pPr>
    </w:p>
    <w:p w14:paraId="2C376CF7" w14:textId="77777777" w:rsidR="00FF5E44" w:rsidRPr="002B65F7" w:rsidRDefault="00FF5E44" w:rsidP="00FF5E44">
      <w:pPr>
        <w:keepNext/>
        <w:widowControl/>
        <w:rPr>
          <w:u w:val="single"/>
        </w:rPr>
      </w:pPr>
      <w:r w:rsidRPr="002B65F7">
        <w:rPr>
          <w:u w:val="single"/>
        </w:rPr>
        <w:t>Infections</w:t>
      </w:r>
    </w:p>
    <w:p w14:paraId="655C1C91" w14:textId="77777777" w:rsidR="00FF5E44" w:rsidRPr="002B65F7" w:rsidRDefault="00FF5E44" w:rsidP="00FF5E44">
      <w:pPr>
        <w:keepNext/>
        <w:widowControl/>
      </w:pPr>
    </w:p>
    <w:p w14:paraId="19C0C28A" w14:textId="77777777" w:rsidR="00FF5E44" w:rsidRPr="002B65F7" w:rsidRDefault="00FF5E44" w:rsidP="00FF5E44">
      <w:pPr>
        <w:widowControl/>
      </w:pPr>
      <w:r w:rsidRPr="002B65F7">
        <w:t>L’ustekinumab peut potentiellement augmenter le risque d’infections et réactiver des infections latentes. Lors des études cliniques et dans une étude observationnelle après mise sur le marché chez des patients atteints de psoriasis, de graves infections bactériennes, fongiques et virales ont été observées chez des patients recevant de l’</w:t>
      </w:r>
      <w:r w:rsidRPr="002B65F7">
        <w:rPr>
          <w:spacing w:val="-1"/>
        </w:rPr>
        <w:t>ustekinumab</w:t>
      </w:r>
      <w:r w:rsidRPr="002B65F7">
        <w:t xml:space="preserve"> (voir rubrique 4.8).</w:t>
      </w:r>
    </w:p>
    <w:p w14:paraId="12F3F623" w14:textId="77777777" w:rsidR="00FF5E44" w:rsidRPr="002B65F7" w:rsidRDefault="00FF5E44" w:rsidP="00FF5E44">
      <w:pPr>
        <w:widowControl/>
      </w:pPr>
    </w:p>
    <w:p w14:paraId="34365390" w14:textId="77777777" w:rsidR="00FF5E44" w:rsidRPr="002B65F7" w:rsidRDefault="00FF5E44" w:rsidP="00FF5E44">
      <w:pPr>
        <w:widowControl/>
      </w:pPr>
      <w:r w:rsidRPr="002B65F7">
        <w:t>Des infections opportunistes, notamment une réactivation de la tuberculose, d’autres infections bactériennes opportunistes (dont infection à mycobactérie atypique, méningite à listeria, pneumonie à legionella, et nocardiose), des infections fongiques opportunistes, des infections virales opportunistes (dont encéphalite causée par Herpes simplex 2), et des infections parasitaires (dont toxoplasmose oculaire) ont été rapportées chez les patients traités par ustekinumab.</w:t>
      </w:r>
    </w:p>
    <w:p w14:paraId="233093A8" w14:textId="77777777" w:rsidR="00FF5E44" w:rsidRPr="002B65F7" w:rsidRDefault="00FF5E44" w:rsidP="00FF5E44">
      <w:pPr>
        <w:widowControl/>
      </w:pPr>
    </w:p>
    <w:p w14:paraId="199D4D6E" w14:textId="77777777" w:rsidR="00FF5E44" w:rsidRPr="002B65F7" w:rsidRDefault="00FF5E44" w:rsidP="00FF5E44">
      <w:pPr>
        <w:widowControl/>
      </w:pPr>
      <w:r w:rsidRPr="002B65F7">
        <w:t>Des précautions doivent être prises lorsque l’utilisation de WEZENLA est envisagée chez les patients présentant une infection chronique ou ayant des antécédents d’infections récurrentes (voir rubrique 4.3).</w:t>
      </w:r>
    </w:p>
    <w:p w14:paraId="42B02DAF" w14:textId="77777777" w:rsidR="00FF5E44" w:rsidRPr="002B65F7" w:rsidRDefault="00FF5E44" w:rsidP="00FF5E44">
      <w:pPr>
        <w:widowControl/>
      </w:pPr>
    </w:p>
    <w:p w14:paraId="7BD5594E" w14:textId="77777777" w:rsidR="00FF5E44" w:rsidRPr="002B65F7" w:rsidRDefault="00FF5E44" w:rsidP="00FF5E44">
      <w:pPr>
        <w:widowControl/>
      </w:pPr>
      <w:r w:rsidRPr="002B65F7">
        <w:t>Avant d’initier le traitement par WEZENLA, les patients doivent être examinés pour dépister une infection tuberculeuse. WEZENLA ne doit pas être administré à des patients présentant une tuberculose active (voir rubrique 4.3). Le traitement d’une tuberculose latente doit être initié avant l’administration de WEZENLA. Un traitement anti-tuberculeux doit également être envisagé avant l’initiation de WEZENLA chez les patients ayant des antécédents de tuberculose latente ou active pour lesquels le suivi d’un traitement adapté ne peut être confirmé. Les patients recevant WEZENLA doivent être étroitement surveillés pour dépister les signes et symptômes de tuberculose active pendant et après le traitement.</w:t>
      </w:r>
    </w:p>
    <w:p w14:paraId="42CFF128" w14:textId="77777777" w:rsidR="00FF5E44" w:rsidRPr="002B65F7" w:rsidRDefault="00FF5E44" w:rsidP="00FF5E44">
      <w:pPr>
        <w:widowControl/>
      </w:pPr>
    </w:p>
    <w:p w14:paraId="3E63740E" w14:textId="77777777" w:rsidR="00FF5E44" w:rsidRPr="002B65F7" w:rsidRDefault="00FF5E44" w:rsidP="00FF5E44">
      <w:pPr>
        <w:widowControl/>
      </w:pPr>
      <w:r w:rsidRPr="002B65F7">
        <w:t xml:space="preserve">Les patients doivent être informés de la nécessité de consulter un médecin en cas de survenue de signes ou symptômes évocateurs d’une infection. Si un patient développe une infection grave, le </w:t>
      </w:r>
      <w:r w:rsidRPr="002B65F7">
        <w:lastRenderedPageBreak/>
        <w:t>patient devra être étroitement surveillé et WEZENLA ne devra pas être administré avant la guérison de l’infection.</w:t>
      </w:r>
    </w:p>
    <w:p w14:paraId="086825D7" w14:textId="77777777" w:rsidR="00FF5E44" w:rsidRPr="002B65F7" w:rsidRDefault="00FF5E44" w:rsidP="00FF5E44">
      <w:pPr>
        <w:widowControl/>
      </w:pPr>
    </w:p>
    <w:p w14:paraId="1E805A09" w14:textId="77777777" w:rsidR="00FF5E44" w:rsidRPr="002B65F7" w:rsidRDefault="00FF5E44" w:rsidP="00FF5E44">
      <w:pPr>
        <w:keepNext/>
        <w:widowControl/>
        <w:rPr>
          <w:u w:val="single"/>
        </w:rPr>
      </w:pPr>
      <w:r w:rsidRPr="002B65F7">
        <w:rPr>
          <w:u w:val="single"/>
        </w:rPr>
        <w:t>Tumeurs malignes</w:t>
      </w:r>
    </w:p>
    <w:p w14:paraId="3D0AD633" w14:textId="77777777" w:rsidR="00FF5E44" w:rsidRPr="002B65F7" w:rsidRDefault="00FF5E44" w:rsidP="00FF5E44">
      <w:pPr>
        <w:keepNext/>
        <w:widowControl/>
      </w:pPr>
    </w:p>
    <w:p w14:paraId="63C82E94" w14:textId="77777777" w:rsidR="00FF5E44" w:rsidRPr="002B65F7" w:rsidRDefault="00FF5E44" w:rsidP="00FF5E44">
      <w:pPr>
        <w:widowControl/>
      </w:pPr>
      <w:r w:rsidRPr="002B65F7">
        <w:t>Les immunosuppresseurs comme l’ustekinumab sont susceptibles d’augmenter le risque de tumeur maligne. Certains patients ayant reçu de l’ustekinumab au cours d’études cliniques et des patients atteints de psoriasis dans une étude observationnelle après mise sur le marché ont développé des tumeurs malignes cutanées et non-cutanées (voir rubrique 4.8). Le risque de tumeur maligne peut être supérieur chez les patients atteints de psoriasis qui ont été traités avec d’autres médicaments biologiques au cours de leur maladie.</w:t>
      </w:r>
    </w:p>
    <w:p w14:paraId="11AFCB9F" w14:textId="77777777" w:rsidR="00FF5E44" w:rsidRPr="002B65F7" w:rsidRDefault="00FF5E44" w:rsidP="00FF5E44">
      <w:pPr>
        <w:widowControl/>
      </w:pPr>
    </w:p>
    <w:p w14:paraId="20233CCC" w14:textId="77777777" w:rsidR="00FF5E44" w:rsidRPr="002B65F7" w:rsidRDefault="00FF5E44" w:rsidP="00FF5E44">
      <w:pPr>
        <w:widowControl/>
      </w:pPr>
      <w:r w:rsidRPr="002B65F7">
        <w:t>Aucune étude n’a été conduite chez des patients avec antécédents de tumeurs malignes ou chez des patients ayant continué leur traitement alors qu’ils avaient développé une tumeur maligne sous ustekinumab. En conséquence, des précautions doivent être prises lorsqu’un traitement par ustekinumab chez ces patients est envisagé.</w:t>
      </w:r>
    </w:p>
    <w:p w14:paraId="02E03422" w14:textId="77777777" w:rsidR="00FF5E44" w:rsidRPr="002B65F7" w:rsidRDefault="00FF5E44" w:rsidP="00FF5E44">
      <w:pPr>
        <w:widowControl/>
      </w:pPr>
    </w:p>
    <w:p w14:paraId="6E3C9D8B" w14:textId="77777777" w:rsidR="00FF5E44" w:rsidRPr="002B65F7" w:rsidRDefault="00FF5E44" w:rsidP="00FF5E44">
      <w:pPr>
        <w:widowControl/>
      </w:pPr>
      <w:r w:rsidRPr="002B65F7">
        <w:t>Tous les patients doivent être surveillés pour éviter l’apparition d’un cancer de la peau, en particulier ceux âgés de plus de 60 ans, ceux avec des antécédents médicaux de traitements prolongés par immunosuppresseurs ou ceux ayant des antécédents de traitement par puvathérapie (voir rubrique 4.8).</w:t>
      </w:r>
    </w:p>
    <w:p w14:paraId="2674C93F" w14:textId="77777777" w:rsidR="00FF5E44" w:rsidRPr="002B65F7" w:rsidRDefault="00FF5E44" w:rsidP="00FF5E44">
      <w:pPr>
        <w:widowControl/>
      </w:pPr>
    </w:p>
    <w:p w14:paraId="69594815" w14:textId="77777777" w:rsidR="00FF5E44" w:rsidRPr="002B65F7" w:rsidRDefault="00FF5E44" w:rsidP="00FF5E44">
      <w:pPr>
        <w:keepNext/>
        <w:widowControl/>
        <w:rPr>
          <w:u w:val="single"/>
        </w:rPr>
      </w:pPr>
      <w:r w:rsidRPr="002B65F7">
        <w:rPr>
          <w:u w:val="single"/>
        </w:rPr>
        <w:t>Réactions d’hypersensibilité systémique et respiratoire</w:t>
      </w:r>
    </w:p>
    <w:p w14:paraId="212F3170" w14:textId="77777777" w:rsidR="00FF5E44" w:rsidRPr="002B65F7" w:rsidRDefault="00FF5E44" w:rsidP="00FF5E44">
      <w:pPr>
        <w:keepNext/>
        <w:widowControl/>
        <w:rPr>
          <w:u w:val="single"/>
        </w:rPr>
      </w:pPr>
    </w:p>
    <w:p w14:paraId="2A884711" w14:textId="77777777" w:rsidR="00FF5E44" w:rsidRPr="002B65F7" w:rsidRDefault="00FF5E44" w:rsidP="00FF5E44">
      <w:pPr>
        <w:keepNext/>
        <w:widowControl/>
        <w:rPr>
          <w:i/>
          <w:iCs/>
        </w:rPr>
      </w:pPr>
      <w:r w:rsidRPr="002B65F7">
        <w:rPr>
          <w:i/>
          <w:iCs/>
        </w:rPr>
        <w:t>Systémique</w:t>
      </w:r>
    </w:p>
    <w:p w14:paraId="491B258D" w14:textId="77777777" w:rsidR="00FF5E44" w:rsidRPr="002B65F7" w:rsidRDefault="00FF5E44" w:rsidP="00FF5E44">
      <w:pPr>
        <w:keepNext/>
        <w:widowControl/>
        <w:rPr>
          <w:i/>
          <w:iCs/>
        </w:rPr>
      </w:pPr>
    </w:p>
    <w:p w14:paraId="317C6BEA" w14:textId="77777777" w:rsidR="00FF5E44" w:rsidRPr="002B65F7" w:rsidRDefault="00FF5E44" w:rsidP="00FF5E44">
      <w:pPr>
        <w:widowControl/>
      </w:pPr>
      <w:r w:rsidRPr="002B65F7">
        <w:t>Des réactions d’hypersensibilité graves ont été rapportées depuis la mise sur le marché du produit, dans certains cas plusieurs jours après le traitement. Des anaphylaxies et angioœdèmes sont survenus. En cas de survenue d’une réaction anaphylactique ou d’une autre réaction d’hypersensibilité grave, un traitement approprié doit être instauré et l’administration de WEZENLA doit être interrompue (voir rubrique 4.8).</w:t>
      </w:r>
    </w:p>
    <w:p w14:paraId="0D44B3BF" w14:textId="77777777" w:rsidR="00FF5E44" w:rsidRPr="002B65F7" w:rsidRDefault="00FF5E44" w:rsidP="00FF5E44">
      <w:pPr>
        <w:widowControl/>
        <w:rPr>
          <w:i/>
          <w:iCs/>
        </w:rPr>
      </w:pPr>
    </w:p>
    <w:p w14:paraId="1FB061A8" w14:textId="77777777" w:rsidR="00FF5E44" w:rsidRPr="002B65F7" w:rsidRDefault="00FF5E44" w:rsidP="00FF5E44">
      <w:pPr>
        <w:keepNext/>
        <w:widowControl/>
        <w:rPr>
          <w:i/>
          <w:iCs/>
        </w:rPr>
      </w:pPr>
      <w:r w:rsidRPr="002B65F7">
        <w:rPr>
          <w:i/>
          <w:iCs/>
        </w:rPr>
        <w:t>Respiratoire</w:t>
      </w:r>
    </w:p>
    <w:p w14:paraId="4C9F3782" w14:textId="77777777" w:rsidR="00FF5E44" w:rsidRPr="002B65F7" w:rsidRDefault="00FF5E44" w:rsidP="00FF5E44">
      <w:pPr>
        <w:keepNext/>
        <w:widowControl/>
      </w:pPr>
    </w:p>
    <w:p w14:paraId="13214906" w14:textId="77777777" w:rsidR="00FF5E44" w:rsidRPr="002B65F7" w:rsidRDefault="00FF5E44" w:rsidP="00FF5E44">
      <w:pPr>
        <w:widowControl/>
      </w:pPr>
      <w:r w:rsidRPr="002B65F7">
        <w:t>Des cas d’alvéolite allergique, de pneumopathie à éosinophiles et de pneumopathie organisée non infectieuse ont été rapportés depuis la mise sur le marché d’ustekinumab. Les symptômes cliniques comprenaient toux, dyspnée, infiltrats interstitiels après une à trois administrations. Les complications graves incluaient insuffisance respiratoire et prolongation d’hospitalisation. Une amélioration a été rapportée après arrêt de l’ustekinumab et aussi dans certains cas après administration de corticoïdes. Si l’infection a été exclue et le diagnostic confirmé, l’administration de l’ustekinumab doit être interrompue et un traitement approprié doit être instauré (voir rubrique 4.8).</w:t>
      </w:r>
    </w:p>
    <w:p w14:paraId="7EFB3A00" w14:textId="77777777" w:rsidR="00FF5E44" w:rsidRPr="002B65F7" w:rsidRDefault="00FF5E44" w:rsidP="00FF5E44">
      <w:pPr>
        <w:widowControl/>
      </w:pPr>
    </w:p>
    <w:p w14:paraId="06ED1581" w14:textId="77777777" w:rsidR="00FF5E44" w:rsidRPr="002B65F7" w:rsidRDefault="00FF5E44" w:rsidP="00FF5E44">
      <w:pPr>
        <w:keepNext/>
        <w:widowControl/>
        <w:rPr>
          <w:u w:val="single"/>
        </w:rPr>
      </w:pPr>
      <w:r w:rsidRPr="002B65F7">
        <w:rPr>
          <w:u w:val="single"/>
        </w:rPr>
        <w:t>Événements cardiovasculaires</w:t>
      </w:r>
    </w:p>
    <w:p w14:paraId="505EA0F2" w14:textId="77777777" w:rsidR="00FF5E44" w:rsidRPr="002B65F7" w:rsidRDefault="00FF5E44" w:rsidP="00FF5E44">
      <w:pPr>
        <w:keepNext/>
        <w:widowControl/>
        <w:rPr>
          <w:u w:val="single"/>
        </w:rPr>
      </w:pPr>
    </w:p>
    <w:p w14:paraId="59514EC3" w14:textId="77777777" w:rsidR="00FF5E44" w:rsidRPr="002B65F7" w:rsidRDefault="00FF5E44" w:rsidP="00FF5E44">
      <w:pPr>
        <w:widowControl/>
      </w:pPr>
      <w:r w:rsidRPr="002B65F7">
        <w:t>Des événements cardiovasculaires dont infarctus du myocarde et accident vasculaire cérébral ont été observés chez des patients atteints de psoriasis exposés à l’ustekinumab dans une étude observationnelle après mise sur le marché. Les facteurs de risque de maladie cardiovasculaire doivent être régulièrement évalués au cours du traitement par WEZENLA.</w:t>
      </w:r>
    </w:p>
    <w:p w14:paraId="1F47696E" w14:textId="77777777" w:rsidR="00FF5E44" w:rsidRPr="002B65F7" w:rsidRDefault="00FF5E44" w:rsidP="00FF5E44">
      <w:pPr>
        <w:widowControl/>
      </w:pPr>
    </w:p>
    <w:p w14:paraId="11A46B98" w14:textId="77777777" w:rsidR="00FF5E44" w:rsidRPr="002B65F7" w:rsidRDefault="00FF5E44" w:rsidP="00FF5E44">
      <w:pPr>
        <w:keepNext/>
        <w:widowControl/>
        <w:rPr>
          <w:u w:val="single"/>
        </w:rPr>
      </w:pPr>
      <w:r w:rsidRPr="002B65F7">
        <w:rPr>
          <w:u w:val="single"/>
        </w:rPr>
        <w:t>Vaccinations</w:t>
      </w:r>
    </w:p>
    <w:p w14:paraId="6BC05665" w14:textId="77777777" w:rsidR="00FF5E44" w:rsidRPr="002B65F7" w:rsidRDefault="00FF5E44" w:rsidP="00FF5E44">
      <w:pPr>
        <w:keepNext/>
        <w:widowControl/>
        <w:rPr>
          <w:u w:val="single"/>
        </w:rPr>
      </w:pPr>
    </w:p>
    <w:p w14:paraId="4CBF5907" w14:textId="77777777" w:rsidR="00FF5E44" w:rsidRPr="002B65F7" w:rsidRDefault="00FF5E44" w:rsidP="00FF5E44">
      <w:pPr>
        <w:widowControl/>
      </w:pPr>
      <w:r w:rsidRPr="002B65F7">
        <w:t xml:space="preserve">Il est recommandé que les vaccins vivants viraux ou bactériens (tel que Bacille de Calmette-Guérin (BCG)) ne soient pas administrés de manière concomitante à WEZENLA. Aucune étude spécifique n’a été conduite chez des patients qui ont reçu récemment un traitement par un vaccin vivant viral ou bactérien. Aucune donnée n’est disponible sur la transmission secondaire d’infection par vaccins vivants chez les patients recevant de l’ustekinumab. Avant toute vaccination par un vaccin vivant viral ou bactérien, le traitement par WEZENLA doit être arrêté au moins 15 semaines avant et peut être repris au moins 2 semaines après la vaccination. Les prescripteurs doivent consulter le Résumé des </w:t>
      </w:r>
      <w:r w:rsidRPr="002B65F7">
        <w:lastRenderedPageBreak/>
        <w:t>Caractéristiques du Produit des vaccins spécifiques pour toute information supplémentaire ou recommandations sur l’utilisation concomitante d’agents immunosuppresseurs après vaccination.</w:t>
      </w:r>
    </w:p>
    <w:p w14:paraId="63C73097" w14:textId="77777777" w:rsidR="00FF5E44" w:rsidRPr="002B65F7" w:rsidRDefault="00FF5E44" w:rsidP="00FF5E44">
      <w:pPr>
        <w:widowControl/>
      </w:pPr>
    </w:p>
    <w:p w14:paraId="6BA002E5" w14:textId="77777777" w:rsidR="00FF5E44" w:rsidRPr="002B65F7" w:rsidRDefault="00FF5E44" w:rsidP="00FF5E44">
      <w:pPr>
        <w:widowControl/>
      </w:pPr>
      <w:r w:rsidRPr="002B65F7">
        <w:t xml:space="preserve">L’administration de vaccins vivants (tel que le vaccin BCG) aux nourrissons exposés à l’ustekinumab </w:t>
      </w:r>
      <w:r w:rsidRPr="002B65F7">
        <w:rPr>
          <w:i/>
          <w:iCs/>
        </w:rPr>
        <w:t>in utero</w:t>
      </w:r>
      <w:r w:rsidRPr="002B65F7">
        <w:t xml:space="preserve"> n’est pas recommandée au cours </w:t>
      </w:r>
      <w:r w:rsidRPr="00DD2833">
        <w:t xml:space="preserve">des </w:t>
      </w:r>
      <w:r>
        <w:t>douze</w:t>
      </w:r>
      <w:r w:rsidRPr="00DD2833">
        <w:t xml:space="preserve"> </w:t>
      </w:r>
      <w:r w:rsidRPr="002B65F7">
        <w:t>mois suivant la naissance ou jusqu’à ce que les taux sériques d’ustekinumab soient indétectables chez le nourrisson (voir rubriques 4.5 et 4.6). En cas de bénéfice clinique évident pour le nourrisson, l’administration d’un vaccin vivant peut être envisagée de manière plus précoce si les taux sériques d’ustekinumab chez le nourrisson sont indétectables.</w:t>
      </w:r>
    </w:p>
    <w:p w14:paraId="749BF690" w14:textId="77777777" w:rsidR="00FF5E44" w:rsidRPr="002B65F7" w:rsidRDefault="00FF5E44" w:rsidP="00FF5E44">
      <w:pPr>
        <w:widowControl/>
      </w:pPr>
    </w:p>
    <w:p w14:paraId="1E4ED765" w14:textId="77777777" w:rsidR="00FF5E44" w:rsidRPr="002B65F7" w:rsidRDefault="00FF5E44" w:rsidP="00FF5E44">
      <w:pPr>
        <w:widowControl/>
      </w:pPr>
      <w:r w:rsidRPr="002B65F7">
        <w:t>Les patients recevant WEZENLA peuvent recevoir de façon concomitante des vaccins inactivés ou non vivants.</w:t>
      </w:r>
    </w:p>
    <w:p w14:paraId="51A9F284" w14:textId="77777777" w:rsidR="00FF5E44" w:rsidRPr="002B65F7" w:rsidRDefault="00FF5E44" w:rsidP="00FF5E44">
      <w:pPr>
        <w:widowControl/>
      </w:pPr>
    </w:p>
    <w:p w14:paraId="7FC98DF6" w14:textId="77777777" w:rsidR="00FF5E44" w:rsidRPr="002B65F7" w:rsidRDefault="00FF5E44" w:rsidP="00FF5E44">
      <w:pPr>
        <w:widowControl/>
      </w:pPr>
      <w:r w:rsidRPr="002B65F7">
        <w:t>Le traitement au long cours par WEZENLA ne réprime pas la réponse immunitaire humorale aux vaccins pneumococciques polysaccharidiques et anti-tétaniques (voir rubrique 5.1).</w:t>
      </w:r>
    </w:p>
    <w:p w14:paraId="725818AA" w14:textId="77777777" w:rsidR="00FF5E44" w:rsidRPr="002B65F7" w:rsidRDefault="00FF5E44" w:rsidP="00FF5E44">
      <w:pPr>
        <w:widowControl/>
      </w:pPr>
    </w:p>
    <w:p w14:paraId="38B72D2A" w14:textId="77777777" w:rsidR="00FF5E44" w:rsidRPr="002B65F7" w:rsidRDefault="00FF5E44" w:rsidP="00FF5E44">
      <w:pPr>
        <w:keepNext/>
        <w:widowControl/>
        <w:rPr>
          <w:u w:val="single"/>
        </w:rPr>
      </w:pPr>
      <w:r w:rsidRPr="002B65F7">
        <w:rPr>
          <w:u w:val="single"/>
        </w:rPr>
        <w:t>Traitement immunosuppresseur concomitant</w:t>
      </w:r>
    </w:p>
    <w:p w14:paraId="664C8464" w14:textId="77777777" w:rsidR="00FF5E44" w:rsidRPr="002B65F7" w:rsidRDefault="00FF5E44" w:rsidP="00FF5E44">
      <w:pPr>
        <w:keepNext/>
        <w:widowControl/>
      </w:pPr>
    </w:p>
    <w:p w14:paraId="207FCBE5" w14:textId="77777777" w:rsidR="00FF5E44" w:rsidRPr="002B65F7" w:rsidRDefault="00FF5E44" w:rsidP="00FF5E44">
      <w:pPr>
        <w:widowControl/>
      </w:pPr>
      <w:r w:rsidRPr="002B65F7">
        <w:t>Dans les études sur le psoriasis, la sécurité et l’efficacité de l’ustekinumab en association avec des immunosuppresseurs, y compris des traitements biologiques, ou de la photothérapie n’ont pas été évaluées. Dans les études sur le rhumatisme psoriasique, il n’est pas apparu que l’utilisation concomitante de MTX influence la sécurité ou l’efficacité de l’ustekinumab. Dans les études sur la maladie de Crohn et la rectocolite hémorragique, l’utilisation concomitante d’agents immunosuppresseurs ou de corticoïdes n’a pas semblé influencer la sécurité ou l’efficacité de l’ustekinumab. Des précautions doivent être prises avant l’utilisation concomitante d’autres immunosuppresseurs avec WEZENLA ou lors du relais après d’autres immunosuppresseurs biologiques (voir rubrique 4.5).</w:t>
      </w:r>
    </w:p>
    <w:p w14:paraId="61BDC251" w14:textId="77777777" w:rsidR="00FF5E44" w:rsidRPr="002B65F7" w:rsidRDefault="00FF5E44" w:rsidP="00FF5E44">
      <w:pPr>
        <w:widowControl/>
      </w:pPr>
    </w:p>
    <w:p w14:paraId="47D48B1F" w14:textId="77777777" w:rsidR="00FF5E44" w:rsidRPr="002B65F7" w:rsidRDefault="00FF5E44" w:rsidP="00FF5E44">
      <w:pPr>
        <w:keepNext/>
        <w:widowControl/>
        <w:rPr>
          <w:u w:val="single"/>
        </w:rPr>
      </w:pPr>
      <w:r w:rsidRPr="002B65F7">
        <w:rPr>
          <w:u w:val="single"/>
        </w:rPr>
        <w:t>Immunothérapie</w:t>
      </w:r>
    </w:p>
    <w:p w14:paraId="3FE9FB1B" w14:textId="77777777" w:rsidR="00FF5E44" w:rsidRPr="002B65F7" w:rsidRDefault="00FF5E44" w:rsidP="00FF5E44">
      <w:pPr>
        <w:keepNext/>
        <w:widowControl/>
      </w:pPr>
    </w:p>
    <w:p w14:paraId="0E53024B" w14:textId="77777777" w:rsidR="00FF5E44" w:rsidRPr="002B65F7" w:rsidRDefault="00FF5E44" w:rsidP="00FF5E44">
      <w:pPr>
        <w:widowControl/>
      </w:pPr>
      <w:r w:rsidRPr="002B65F7">
        <w:t>L’ustekinumab n’a pas été évalué chez des patients qui ont bénéficié d’une immunothérapie allergénique. On ne sait pas si WEZENLA peut interférer avec une immunothérapie allergénique.</w:t>
      </w:r>
    </w:p>
    <w:p w14:paraId="218BB5AA" w14:textId="77777777" w:rsidR="00FF5E44" w:rsidRPr="002B65F7" w:rsidRDefault="00FF5E44" w:rsidP="00FF5E44">
      <w:pPr>
        <w:widowControl/>
      </w:pPr>
    </w:p>
    <w:p w14:paraId="07C4FA00" w14:textId="77777777" w:rsidR="00FF5E44" w:rsidRPr="002B65F7" w:rsidRDefault="00FF5E44" w:rsidP="00FF5E44">
      <w:pPr>
        <w:keepNext/>
        <w:widowControl/>
        <w:rPr>
          <w:u w:val="single"/>
        </w:rPr>
      </w:pPr>
      <w:r w:rsidRPr="002B65F7">
        <w:rPr>
          <w:u w:val="single"/>
        </w:rPr>
        <w:t>Affections graves de la peau</w:t>
      </w:r>
    </w:p>
    <w:p w14:paraId="2AB7912B" w14:textId="77777777" w:rsidR="00FF5E44" w:rsidRPr="002B65F7" w:rsidRDefault="00FF5E44" w:rsidP="00FF5E44">
      <w:pPr>
        <w:keepNext/>
        <w:widowControl/>
      </w:pPr>
    </w:p>
    <w:p w14:paraId="5F48D6D1" w14:textId="77777777" w:rsidR="00FF5E44" w:rsidRPr="002B65F7" w:rsidRDefault="00FF5E44" w:rsidP="00FF5E44">
      <w:pPr>
        <w:widowControl/>
      </w:pPr>
      <w:r w:rsidRPr="002B65F7">
        <w:t>Chez les patients atteints de psoriasis, une érythrodermie a été rapportée à la suite d’un traitement par ustekinumab (voir rubrique 4.8). Dans le cadre de l’évolution naturelle de leur maladie, les patients atteints de psoriasis en plaques peuvent développer un psoriasis érythrodermique avec des symptômes pouvant être cliniquement indifférenciables d’une érythrodermie. Dans le cadre du suivi des patients atteints de psoriasis, les médecins doivent être vigilants en cas de symptômes de psoriasis érythrodermique ou d’érythrodermie. Si ces symptômes apparaissent, un traitement approprié doit être instauré. WEZENLA doit être arrêté en cas de suspicion de réaction médicamenteuse.</w:t>
      </w:r>
    </w:p>
    <w:p w14:paraId="0865F29C" w14:textId="77777777" w:rsidR="00FF5E44" w:rsidRPr="002B65F7" w:rsidRDefault="00FF5E44" w:rsidP="00FF5E44">
      <w:pPr>
        <w:widowControl/>
      </w:pPr>
    </w:p>
    <w:p w14:paraId="4A19069D" w14:textId="77777777" w:rsidR="00FF5E44" w:rsidRPr="002B65F7" w:rsidRDefault="00FF5E44" w:rsidP="00FF5E44">
      <w:pPr>
        <w:keepNext/>
        <w:widowControl/>
        <w:rPr>
          <w:u w:val="single"/>
        </w:rPr>
      </w:pPr>
      <w:r w:rsidRPr="002B65F7">
        <w:rPr>
          <w:u w:val="single"/>
        </w:rPr>
        <w:t>Affections liées au lupus</w:t>
      </w:r>
    </w:p>
    <w:p w14:paraId="3D1F9ADD" w14:textId="77777777" w:rsidR="00FF5E44" w:rsidRPr="002B65F7" w:rsidRDefault="00FF5E44" w:rsidP="00FF5E44">
      <w:pPr>
        <w:keepNext/>
        <w:widowControl/>
        <w:rPr>
          <w:u w:val="single"/>
        </w:rPr>
      </w:pPr>
    </w:p>
    <w:p w14:paraId="0084E45C" w14:textId="77777777" w:rsidR="00FF5E44" w:rsidRPr="002B65F7" w:rsidRDefault="00FF5E44" w:rsidP="00FF5E44">
      <w:pPr>
        <w:widowControl/>
      </w:pPr>
      <w:r w:rsidRPr="002B65F7">
        <w:t>Des cas d’affections liées au lupus ont été rapportés chez des patients traités par ustekinumab, notamment un lupus érythémateux cutané et un syndrome de type lupus. Si des lésions apparaissent, en particulier sur des zones de peau exposées au soleil ou si elles sont accompagnées d’arthralgies, le patient doit immédiatement consulter un médecin. Si le diagnostic d’une affection liée au lupus est confirmé, l’ustekinumab doit être arrêté et un traitement approprié initié.</w:t>
      </w:r>
    </w:p>
    <w:p w14:paraId="05394942" w14:textId="77777777" w:rsidR="00FF5E44" w:rsidRPr="002B65F7" w:rsidRDefault="00FF5E44" w:rsidP="00FF5E44">
      <w:pPr>
        <w:widowControl/>
        <w:rPr>
          <w:u w:val="single"/>
        </w:rPr>
      </w:pPr>
    </w:p>
    <w:p w14:paraId="01BC266C" w14:textId="77777777" w:rsidR="00FF5E44" w:rsidRPr="002B65F7" w:rsidRDefault="00FF5E44" w:rsidP="00FF5E44">
      <w:pPr>
        <w:keepNext/>
        <w:widowControl/>
        <w:rPr>
          <w:u w:val="single"/>
        </w:rPr>
      </w:pPr>
      <w:r w:rsidRPr="002B65F7">
        <w:rPr>
          <w:u w:val="single"/>
        </w:rPr>
        <w:t>Populations particulières</w:t>
      </w:r>
    </w:p>
    <w:p w14:paraId="2A1ABA1C" w14:textId="77777777" w:rsidR="00FF5E44" w:rsidRPr="002B65F7" w:rsidRDefault="00FF5E44" w:rsidP="00FF5E44">
      <w:pPr>
        <w:keepNext/>
        <w:widowControl/>
      </w:pPr>
    </w:p>
    <w:p w14:paraId="5E629991" w14:textId="77777777" w:rsidR="00FF5E44" w:rsidRPr="002B65F7" w:rsidRDefault="00FF5E44" w:rsidP="00FF5E44">
      <w:pPr>
        <w:keepNext/>
        <w:widowControl/>
        <w:rPr>
          <w:i/>
          <w:iCs/>
        </w:rPr>
      </w:pPr>
      <w:r w:rsidRPr="002B65F7">
        <w:rPr>
          <w:i/>
          <w:iCs/>
        </w:rPr>
        <w:t>Sujets âgés (≥</w:t>
      </w:r>
      <w:r w:rsidRPr="002B65F7">
        <w:t> </w:t>
      </w:r>
      <w:r w:rsidRPr="002B65F7">
        <w:rPr>
          <w:i/>
          <w:iCs/>
        </w:rPr>
        <w:t>65 ans)</w:t>
      </w:r>
    </w:p>
    <w:p w14:paraId="07AA4372" w14:textId="77777777" w:rsidR="00FF5E44" w:rsidRPr="002B65F7" w:rsidRDefault="00FF5E44" w:rsidP="00FF5E44">
      <w:pPr>
        <w:keepNext/>
        <w:widowControl/>
      </w:pPr>
    </w:p>
    <w:p w14:paraId="29EA11E1" w14:textId="77777777" w:rsidR="00FF5E44" w:rsidRPr="002B65F7" w:rsidRDefault="00FF5E44" w:rsidP="00FF5E44">
      <w:pPr>
        <w:widowControl/>
      </w:pPr>
      <w:r w:rsidRPr="002B65F7">
        <w:t xml:space="preserve">Chez les sujets âgés de 65 ans et plus ayant reçu de l’ustekinumab, aucune différence globale concernant l’efficacité et la sécurité n’a été observée en comparaison avec les sujets plus jeunes dans </w:t>
      </w:r>
      <w:r w:rsidRPr="002B65F7">
        <w:lastRenderedPageBreak/>
        <w:t>le cadre d’études cliniques dans les indications approuvées, cependant le nombre de patients âgés de 65 ans et plus n’est pas suffisant pour déterminer s’ils répondent différemment des patients plus jeunes. De façon générale, en raison d’une incidence plus élevée d’infections dans la population âgée, la prudence est recommandée pendant le traitement des sujets âgés.</w:t>
      </w:r>
    </w:p>
    <w:p w14:paraId="13BCB7B0" w14:textId="77777777" w:rsidR="00FF5E44" w:rsidRDefault="00FF5E44" w:rsidP="00FF5E44">
      <w:pPr>
        <w:widowControl/>
      </w:pPr>
    </w:p>
    <w:p w14:paraId="2A733ED0" w14:textId="77777777" w:rsidR="00BD6FE7" w:rsidRPr="009354DA" w:rsidRDefault="00BD6FE7" w:rsidP="00B007D2">
      <w:pPr>
        <w:keepNext/>
        <w:keepLines/>
        <w:widowControl/>
        <w:rPr>
          <w:u w:val="single"/>
        </w:rPr>
      </w:pPr>
      <w:r w:rsidRPr="009354DA">
        <w:rPr>
          <w:u w:val="single"/>
        </w:rPr>
        <w:t>Polysorbate 80</w:t>
      </w:r>
    </w:p>
    <w:p w14:paraId="223D73BA" w14:textId="77777777" w:rsidR="00BD6FE7" w:rsidRDefault="00BD6FE7" w:rsidP="00B007D2">
      <w:pPr>
        <w:keepNext/>
        <w:keepLines/>
        <w:widowControl/>
      </w:pPr>
    </w:p>
    <w:p w14:paraId="2A8D68F5" w14:textId="77777777" w:rsidR="00BD6FE7" w:rsidRPr="002B65F7" w:rsidRDefault="00BD6FE7" w:rsidP="00B007D2">
      <w:pPr>
        <w:keepNext/>
        <w:keepLines/>
        <w:widowControl/>
      </w:pPr>
      <w:r>
        <w:t xml:space="preserve">WEZENLA </w:t>
      </w:r>
      <w:r w:rsidRPr="00762B37">
        <w:t>contient 0,02</w:t>
      </w:r>
      <w:r w:rsidRPr="002B65F7">
        <w:rPr>
          <w:i/>
          <w:iCs/>
        </w:rPr>
        <w:t> </w:t>
      </w:r>
      <w:r w:rsidRPr="00762B37">
        <w:t>mg (45</w:t>
      </w:r>
      <w:r w:rsidRPr="002B65F7">
        <w:rPr>
          <w:i/>
          <w:iCs/>
        </w:rPr>
        <w:t> </w:t>
      </w:r>
      <w:r w:rsidRPr="00762B37">
        <w:t>mg/0,5</w:t>
      </w:r>
      <w:r w:rsidRPr="002B65F7">
        <w:rPr>
          <w:i/>
          <w:iCs/>
        </w:rPr>
        <w:t> </w:t>
      </w:r>
      <w:r w:rsidRPr="00762B37">
        <w:t>mL)</w:t>
      </w:r>
      <w:r>
        <w:t xml:space="preserve"> ou </w:t>
      </w:r>
      <w:r w:rsidRPr="00762B37">
        <w:t>0,04</w:t>
      </w:r>
      <w:r w:rsidRPr="002B65F7">
        <w:rPr>
          <w:i/>
          <w:iCs/>
        </w:rPr>
        <w:t> </w:t>
      </w:r>
      <w:r w:rsidRPr="00762B37">
        <w:t>mg (90</w:t>
      </w:r>
      <w:r w:rsidRPr="002B65F7">
        <w:rPr>
          <w:i/>
          <w:iCs/>
        </w:rPr>
        <w:t> </w:t>
      </w:r>
      <w:r w:rsidRPr="00762B37">
        <w:t>mg/1,0</w:t>
      </w:r>
      <w:r w:rsidRPr="002B65F7">
        <w:rPr>
          <w:i/>
          <w:iCs/>
        </w:rPr>
        <w:t> </w:t>
      </w:r>
      <w:r w:rsidRPr="00762B37">
        <w:t>mL) de polysorbate</w:t>
      </w:r>
      <w:r w:rsidRPr="002B65F7">
        <w:rPr>
          <w:i/>
          <w:iCs/>
        </w:rPr>
        <w:t> </w:t>
      </w:r>
      <w:r w:rsidRPr="00762B37">
        <w:t>80 (E</w:t>
      </w:r>
      <w:r w:rsidRPr="002B65F7">
        <w:rPr>
          <w:i/>
          <w:iCs/>
        </w:rPr>
        <w:t> </w:t>
      </w:r>
      <w:r w:rsidRPr="00762B37">
        <w:t>433) par dose équivalent à 0,04</w:t>
      </w:r>
      <w:r w:rsidRPr="002B65F7">
        <w:rPr>
          <w:i/>
          <w:iCs/>
        </w:rPr>
        <w:t> </w:t>
      </w:r>
      <w:r w:rsidRPr="00762B37">
        <w:t>mg/mL. Les polysorbates peuvent provoquer des réactions allergiques</w:t>
      </w:r>
      <w:r>
        <w:t xml:space="preserve">. </w:t>
      </w:r>
    </w:p>
    <w:p w14:paraId="51FBC066" w14:textId="77777777" w:rsidR="00BD6FE7" w:rsidRPr="002B65F7" w:rsidRDefault="00BD6FE7" w:rsidP="00FF5E44">
      <w:pPr>
        <w:widowControl/>
      </w:pPr>
    </w:p>
    <w:p w14:paraId="49DF9156" w14:textId="77777777" w:rsidR="00FF5E44" w:rsidRPr="002B65F7" w:rsidRDefault="00FF5E44" w:rsidP="00FF5E44">
      <w:pPr>
        <w:keepNext/>
        <w:widowControl/>
        <w:ind w:left="567" w:hanging="567"/>
        <w:rPr>
          <w:b/>
          <w:bCs/>
        </w:rPr>
      </w:pPr>
      <w:r w:rsidRPr="002B65F7">
        <w:rPr>
          <w:b/>
          <w:bCs/>
        </w:rPr>
        <w:t>4.5</w:t>
      </w:r>
      <w:r w:rsidRPr="002B65F7">
        <w:rPr>
          <w:b/>
          <w:bCs/>
        </w:rPr>
        <w:tab/>
        <w:t>Interactions avec d’autres médicaments et autres formes d’interactions</w:t>
      </w:r>
    </w:p>
    <w:p w14:paraId="20D76523" w14:textId="77777777" w:rsidR="00FF5E44" w:rsidRPr="002B65F7" w:rsidRDefault="00FF5E44" w:rsidP="00FF5E44">
      <w:pPr>
        <w:keepNext/>
        <w:widowControl/>
        <w:rPr>
          <w:b/>
          <w:bCs/>
        </w:rPr>
      </w:pPr>
    </w:p>
    <w:p w14:paraId="024FC1D7" w14:textId="77777777" w:rsidR="00FF5E44" w:rsidRPr="002B65F7" w:rsidRDefault="00FF5E44" w:rsidP="00FF5E44">
      <w:pPr>
        <w:widowControl/>
      </w:pPr>
      <w:r w:rsidRPr="002B65F7">
        <w:t>Les vaccins vivants ne doivent pas être donnés de manière concomitante avec WEZENLA.</w:t>
      </w:r>
    </w:p>
    <w:p w14:paraId="48CC0B94" w14:textId="77777777" w:rsidR="00FF5E44" w:rsidRPr="002B65F7" w:rsidRDefault="00FF5E44" w:rsidP="00FF5E44">
      <w:pPr>
        <w:widowControl/>
      </w:pPr>
    </w:p>
    <w:p w14:paraId="56E508A1" w14:textId="77777777" w:rsidR="00FF5E44" w:rsidRPr="002B65F7" w:rsidRDefault="00FF5E44" w:rsidP="00FF5E44">
      <w:pPr>
        <w:widowControl/>
      </w:pPr>
      <w:r w:rsidRPr="002B65F7">
        <w:t xml:space="preserve">L’administration de vaccins vivants (tel que le vaccin BCG) aux nourrissons exposés à l’ustekinumab </w:t>
      </w:r>
      <w:r w:rsidRPr="002B65F7">
        <w:rPr>
          <w:i/>
          <w:iCs/>
        </w:rPr>
        <w:t>in utero</w:t>
      </w:r>
      <w:r w:rsidRPr="002B65F7">
        <w:t xml:space="preserve"> n’est pas recommandée au cours </w:t>
      </w:r>
      <w:r w:rsidRPr="00DD2833">
        <w:t xml:space="preserve">des </w:t>
      </w:r>
      <w:r>
        <w:t>douze</w:t>
      </w:r>
      <w:r w:rsidRPr="00DD2833">
        <w:t xml:space="preserve"> </w:t>
      </w:r>
      <w:r w:rsidRPr="002B65F7">
        <w:t>mois suivant la naissance ou jusqu’à ce que les taux sériques d’ustekinumab soient indétectables chez le nourrisson (voir rubriques 4.4 et 4.6). En cas de bénéfice clinique évident pour le nourrisson, l’administration d’un vaccin vivant peut être envisagée de manière plus précoce si les taux sériques d’ustekinumab chez le nourrisson sont indétectables.</w:t>
      </w:r>
    </w:p>
    <w:p w14:paraId="2B88ED7E" w14:textId="77777777" w:rsidR="00FF5E44" w:rsidRPr="002B65F7" w:rsidRDefault="00FF5E44" w:rsidP="00FF5E44">
      <w:pPr>
        <w:widowControl/>
      </w:pPr>
    </w:p>
    <w:p w14:paraId="3F0BCEEB" w14:textId="44FEB95B" w:rsidR="00FF5E44" w:rsidRPr="002B65F7" w:rsidRDefault="00FF5E44" w:rsidP="00FF5E44">
      <w:pPr>
        <w:widowControl/>
      </w:pPr>
      <w:r w:rsidRPr="002B65F7">
        <w:t>Dans les analyses pharmacocinétiques de population des études de phase 3, l’effet des médicaments les plus souvent utilisés de façon concomittante chez des patients présentant un psoriasis (incluant paracétamol, ibuprofène, acide acétylsalicylique, metformine, atorvastatine, lévothyroxine) sur la pharmacocinétique de l’ustekinumab a été exploré. Il n’y a pas eu d’élément suggérant une interaction avec ces médicaments co-administrés. Cette analyse est fondée sur l’observation d’au moins 100 patients (&gt; 5% de la population étudiée) traités concomitamment par ces médicaments pendant au moins 90% de la période étudiée. La pharmacocinétique de l’ustekinumab n’a pas été modifiée par l’utilisation concomitante de MTX, d’AINS, de 6-mercaptopurine, d’azathioprine et de corticoïdes oraux chez les patients atteints de rhumatisme psoriasique, de la maladie de Crohn ou de rectocolite hémorragique, ou par une exposition préalable à des agents anti-TNFα chez les patients atteints de rhumatisme psoriasique ou de la maladie de Crohn, ou par une exposition préalable à des agents biologiques (c’est-à-dire des agents anti-TNFα et/ou le vedolizumab) chez des patients atteints de rectocolite hémorragique.</w:t>
      </w:r>
    </w:p>
    <w:p w14:paraId="430DE689" w14:textId="77777777" w:rsidR="00FF5E44" w:rsidRPr="002B65F7" w:rsidRDefault="00FF5E44" w:rsidP="00FF5E44">
      <w:pPr>
        <w:widowControl/>
      </w:pPr>
    </w:p>
    <w:p w14:paraId="0751F575" w14:textId="2C4135C4" w:rsidR="00FF5E44" w:rsidRPr="002B65F7" w:rsidRDefault="00FF5E44" w:rsidP="00FF5E44">
      <w:pPr>
        <w:widowControl/>
      </w:pPr>
      <w:r w:rsidRPr="002B65F7">
        <w:t xml:space="preserve">Les résultats d’une étude in vitro </w:t>
      </w:r>
      <w:r w:rsidR="0025373E">
        <w:t>et d’une étude de phase 1 chez des sujets atteints de maladie de Crohn active</w:t>
      </w:r>
      <w:r w:rsidR="0025373E" w:rsidRPr="002B65F7">
        <w:t xml:space="preserve"> </w:t>
      </w:r>
      <w:r w:rsidRPr="002B65F7">
        <w:t>ne suggèrent pas qu’il soit nécessaire d’ajuster la posologie chez les patients recevant de manière concomitante des substrats du CYP450 (voir rubrique 5.2).</w:t>
      </w:r>
    </w:p>
    <w:p w14:paraId="6E423B41" w14:textId="77777777" w:rsidR="00FF5E44" w:rsidRPr="002B65F7" w:rsidRDefault="00FF5E44" w:rsidP="00FF5E44">
      <w:pPr>
        <w:widowControl/>
      </w:pPr>
    </w:p>
    <w:p w14:paraId="7DE81DD4" w14:textId="77777777" w:rsidR="00FF5E44" w:rsidRPr="002B65F7" w:rsidRDefault="00FF5E44" w:rsidP="00FF5E44">
      <w:pPr>
        <w:widowControl/>
      </w:pPr>
      <w:r w:rsidRPr="002B65F7">
        <w:t>Dans les études sur le psoriasis, la sécurité et l’efficacité de l’ustekinumab en association avec des immunosuppresseurs y compris traitements biologiques, ou la photothérapie n’ont pas été évaluées. Lors des études cliniques conduites chez les patients atteints de rhumatisme psoriasique, il n’est pas apparu que l’utilisation concomitante de MTX influence la sécurité ou l’efficacité de l’ustekinumab. Dans les études sur la maladie de Crohn et la rectocolite hémorragique, l’utilisation concomitante d’agents immunosuppresseurs ou de corticoïdes n’a pas semblé influencer la sécurité ou l’efficacité de l’ustekinumab (voir rubrique 4.4).</w:t>
      </w:r>
    </w:p>
    <w:p w14:paraId="4CCD398A" w14:textId="77777777" w:rsidR="00FF5E44" w:rsidRPr="002B65F7" w:rsidRDefault="00FF5E44" w:rsidP="00FF5E44">
      <w:pPr>
        <w:widowControl/>
      </w:pPr>
    </w:p>
    <w:p w14:paraId="78252FC8" w14:textId="77777777" w:rsidR="00FF5E44" w:rsidRPr="002B65F7" w:rsidRDefault="00FF5E44" w:rsidP="00FF5E44">
      <w:pPr>
        <w:keepNext/>
        <w:widowControl/>
        <w:ind w:left="567" w:hanging="567"/>
        <w:rPr>
          <w:b/>
          <w:bCs/>
        </w:rPr>
      </w:pPr>
      <w:r w:rsidRPr="002B65F7">
        <w:rPr>
          <w:b/>
          <w:bCs/>
        </w:rPr>
        <w:t>4.6</w:t>
      </w:r>
      <w:r w:rsidRPr="002B65F7">
        <w:rPr>
          <w:b/>
          <w:bCs/>
        </w:rPr>
        <w:tab/>
        <w:t>Fertilité, grossesse et allaitement</w:t>
      </w:r>
    </w:p>
    <w:p w14:paraId="45A704E4" w14:textId="77777777" w:rsidR="00FF5E44" w:rsidRPr="002B65F7" w:rsidRDefault="00FF5E44" w:rsidP="00FF5E44">
      <w:pPr>
        <w:keepNext/>
        <w:widowControl/>
      </w:pPr>
    </w:p>
    <w:p w14:paraId="337374C6" w14:textId="77777777" w:rsidR="00FF5E44" w:rsidRPr="002B65F7" w:rsidRDefault="00FF5E44" w:rsidP="00FF5E44">
      <w:pPr>
        <w:keepNext/>
        <w:widowControl/>
        <w:rPr>
          <w:u w:val="single"/>
        </w:rPr>
      </w:pPr>
      <w:r w:rsidRPr="002B65F7">
        <w:rPr>
          <w:u w:val="single"/>
        </w:rPr>
        <w:t>Femmes en âge de procréer</w:t>
      </w:r>
    </w:p>
    <w:p w14:paraId="6F539084" w14:textId="77777777" w:rsidR="00FF5E44" w:rsidRPr="002B65F7" w:rsidRDefault="00FF5E44" w:rsidP="00FF5E44">
      <w:pPr>
        <w:keepNext/>
        <w:widowControl/>
        <w:rPr>
          <w:u w:val="single"/>
        </w:rPr>
      </w:pPr>
    </w:p>
    <w:p w14:paraId="73DC07D1" w14:textId="77777777" w:rsidR="00FF5E44" w:rsidRPr="002B65F7" w:rsidRDefault="00FF5E44" w:rsidP="00FF5E44">
      <w:pPr>
        <w:widowControl/>
      </w:pPr>
      <w:r w:rsidRPr="002B65F7">
        <w:t>Les femmes en âge de procréer doivent utiliser une méthode contraceptive efficace pendant le traitement et au moins pendant les 15 semaines qui suivent l’arrêt du traitement.</w:t>
      </w:r>
    </w:p>
    <w:p w14:paraId="5B24E478" w14:textId="77777777" w:rsidR="00FF5E44" w:rsidRPr="002B65F7" w:rsidRDefault="00FF5E44" w:rsidP="00FF5E44">
      <w:pPr>
        <w:widowControl/>
      </w:pPr>
    </w:p>
    <w:p w14:paraId="315DC010" w14:textId="77777777" w:rsidR="00FF5E44" w:rsidRPr="002B65F7" w:rsidRDefault="00FF5E44" w:rsidP="00FF5E44">
      <w:pPr>
        <w:keepNext/>
        <w:widowControl/>
        <w:rPr>
          <w:u w:val="single"/>
        </w:rPr>
      </w:pPr>
      <w:r w:rsidRPr="002B65F7">
        <w:rPr>
          <w:u w:val="single"/>
        </w:rPr>
        <w:lastRenderedPageBreak/>
        <w:t>Grossesse</w:t>
      </w:r>
    </w:p>
    <w:p w14:paraId="749DF1F0" w14:textId="77777777" w:rsidR="00FF5E44" w:rsidRPr="002B65F7" w:rsidRDefault="00FF5E44" w:rsidP="00FF5E44">
      <w:pPr>
        <w:keepNext/>
        <w:widowControl/>
      </w:pPr>
    </w:p>
    <w:p w14:paraId="6A577301" w14:textId="77777777" w:rsidR="00FF5E44" w:rsidRDefault="00FF5E44" w:rsidP="00FF5E44">
      <w:pPr>
        <w:widowControl/>
      </w:pPr>
      <w:r>
        <w:t>Les données, recueillies de manière prospective après exposition à l’ustekinumab, issues d’un nombre modéré de grossesses avec une évolution connue, incluant plus de 450 grossesses exposées au cours du premier trimestre, n’indiquent pas de risque accru de malformations congénitales majeures chez le nouveau-né.</w:t>
      </w:r>
    </w:p>
    <w:p w14:paraId="37E3E014" w14:textId="77777777" w:rsidR="00FF5E44" w:rsidRDefault="00FF5E44" w:rsidP="00FF5E44">
      <w:pPr>
        <w:widowControl/>
      </w:pPr>
    </w:p>
    <w:p w14:paraId="3C183CA0" w14:textId="77777777" w:rsidR="00FF5E44" w:rsidRDefault="00FF5E44" w:rsidP="00FF5E44">
      <w:pPr>
        <w:widowControl/>
      </w:pPr>
      <w:r w:rsidRPr="00DD2833">
        <w:t>Les études effectuées chez l’animal n’ont pas mis en évidence d’effets délétères directs ou indirects sur la gestation, le développement embryonnaire/fœtal, la parturition ou le développement post-natal (voir rubrique</w:t>
      </w:r>
      <w:r>
        <w:t> </w:t>
      </w:r>
      <w:r w:rsidRPr="00DD2833">
        <w:t xml:space="preserve">5.3). </w:t>
      </w:r>
    </w:p>
    <w:p w14:paraId="08DAAC68" w14:textId="77777777" w:rsidR="00FF5E44" w:rsidRDefault="00FF5E44" w:rsidP="00FF5E44">
      <w:pPr>
        <w:widowControl/>
      </w:pPr>
    </w:p>
    <w:p w14:paraId="4814C2EF" w14:textId="77777777" w:rsidR="00FF5E44" w:rsidRPr="00DD2833" w:rsidRDefault="00FF5E44" w:rsidP="00FF5E44">
      <w:pPr>
        <w:widowControl/>
      </w:pPr>
      <w:r>
        <w:t xml:space="preserve">Cependant, l’expérience clinique disponible est limitée. </w:t>
      </w:r>
      <w:r w:rsidRPr="00DD2833">
        <w:t xml:space="preserve">Par mesure de précaution, il est préférable d’éviter l’utilisation de </w:t>
      </w:r>
      <w:r w:rsidRPr="00CE643A">
        <w:t>WEZENLA</w:t>
      </w:r>
      <w:r w:rsidRPr="00DD2833">
        <w:t xml:space="preserve"> pendant la grossesse.</w:t>
      </w:r>
    </w:p>
    <w:p w14:paraId="5F872AA8" w14:textId="77777777" w:rsidR="00FF5E44" w:rsidRDefault="00FF5E44" w:rsidP="00FF5E44">
      <w:pPr>
        <w:widowControl/>
      </w:pPr>
    </w:p>
    <w:p w14:paraId="5F7C5515" w14:textId="77777777" w:rsidR="00FF5E44" w:rsidRPr="002B65F7" w:rsidRDefault="00FF5E44" w:rsidP="00FF5E44">
      <w:pPr>
        <w:widowControl/>
      </w:pPr>
      <w:r w:rsidRPr="00DD2833">
        <w:t>L’</w:t>
      </w:r>
      <w:r>
        <w:t>ustekinumab</w:t>
      </w:r>
      <w:r w:rsidRPr="00DD2833">
        <w:t xml:space="preserve"> traverse la barrière placentaire, il a été détecté dans le sérum de nourrissons nés de patientes traitées par </w:t>
      </w:r>
      <w:r>
        <w:t>ustekinumab</w:t>
      </w:r>
      <w:r w:rsidRPr="00DD2833">
        <w:t xml:space="preserve"> au cours de la grossesse. L’impact clinique en est inconnu, toutefois, le risque d’infection des nourrissons exposés à l’</w:t>
      </w:r>
      <w:r>
        <w:t>ustekinumab</w:t>
      </w:r>
      <w:r w:rsidRPr="00DD2833">
        <w:t xml:space="preserve"> </w:t>
      </w:r>
      <w:r w:rsidRPr="00C27136">
        <w:rPr>
          <w:i/>
          <w:iCs/>
        </w:rPr>
        <w:t>in utero</w:t>
      </w:r>
      <w:r w:rsidRPr="00DD2833">
        <w:t xml:space="preserve"> peut être augmenté après la naissance.</w:t>
      </w:r>
      <w:r>
        <w:t xml:space="preserve"> </w:t>
      </w:r>
      <w:r w:rsidRPr="00DD2833">
        <w:t>L’administration de vaccins vivants (tel que le vaccin BCG) aux nourrissons exposés à l’</w:t>
      </w:r>
      <w:r>
        <w:t>ustekinumab</w:t>
      </w:r>
      <w:r w:rsidRPr="00DD2833">
        <w:t xml:space="preserve"> </w:t>
      </w:r>
      <w:r w:rsidRPr="000B1C54">
        <w:rPr>
          <w:i/>
          <w:iCs/>
        </w:rPr>
        <w:t>in utero</w:t>
      </w:r>
      <w:r w:rsidRPr="00DD2833">
        <w:t xml:space="preserve"> n’est pas recommandée au cours des </w:t>
      </w:r>
      <w:r>
        <w:t>douze</w:t>
      </w:r>
      <w:r w:rsidRPr="00DD2833">
        <w:t xml:space="preserve"> mois suivant la naissance ou jusqu’à ce que les taux sériques d’</w:t>
      </w:r>
      <w:r>
        <w:t>ustekinumab</w:t>
      </w:r>
      <w:r w:rsidRPr="00DD2833">
        <w:t xml:space="preserve"> soient indétectables chez le nourrisson (voir rubriques 4.</w:t>
      </w:r>
      <w:r w:rsidRPr="000B1C54">
        <w:t>4</w:t>
      </w:r>
      <w:r>
        <w:t> </w:t>
      </w:r>
      <w:r w:rsidRPr="000B1C54">
        <w:t>et</w:t>
      </w:r>
      <w:r>
        <w:t> </w:t>
      </w:r>
      <w:r w:rsidRPr="00DD2833">
        <w:t>4.5). En cas de bénéfice clinique évident pour le nourrisson, l’administration d’un vaccin vivant peut être envisagée de manière plus précoce si les taux sériques d’</w:t>
      </w:r>
      <w:r>
        <w:t>ustekinumab</w:t>
      </w:r>
      <w:r w:rsidRPr="00DD2833">
        <w:t xml:space="preserve"> chez le nourrisson sont indétectables.</w:t>
      </w:r>
    </w:p>
    <w:p w14:paraId="3FD8EF9B" w14:textId="77777777" w:rsidR="00FF5E44" w:rsidRPr="002B65F7" w:rsidRDefault="00FF5E44" w:rsidP="00FF5E44">
      <w:pPr>
        <w:widowControl/>
      </w:pPr>
    </w:p>
    <w:p w14:paraId="006CD325" w14:textId="77777777" w:rsidR="00FF5E44" w:rsidRPr="002B65F7" w:rsidRDefault="00FF5E44" w:rsidP="00FF5E44">
      <w:pPr>
        <w:keepNext/>
        <w:widowControl/>
        <w:rPr>
          <w:u w:val="single"/>
        </w:rPr>
      </w:pPr>
      <w:r w:rsidRPr="002B65F7">
        <w:rPr>
          <w:u w:val="single"/>
        </w:rPr>
        <w:t>Allaitement</w:t>
      </w:r>
    </w:p>
    <w:p w14:paraId="69ECF101" w14:textId="77777777" w:rsidR="00FF5E44" w:rsidRPr="002B65F7" w:rsidRDefault="00FF5E44" w:rsidP="00FF5E44">
      <w:pPr>
        <w:keepNext/>
        <w:widowControl/>
      </w:pPr>
    </w:p>
    <w:p w14:paraId="41E6A6E7" w14:textId="77777777" w:rsidR="00FF5E44" w:rsidRPr="002B65F7" w:rsidRDefault="00FF5E44" w:rsidP="00FF5E44">
      <w:pPr>
        <w:widowControl/>
      </w:pPr>
      <w:r w:rsidRPr="002B65F7">
        <w:t>Les données issues de la littérature sont limitées et suggèrent que l’ustekinumab est excrété en très faible quantité dans le lait maternel humain. On ne sait pas si l’ustekinumab passe dans la circulation systémique après ingestion. A cause du risque potentiel d’effets indésirables de l’ustekinumab chez les nourrissons allaités, l’arrêt de l’allaitement pendant le traitement et pendant les 15 semaines qui suivent l’arrêt du traitement par WEZENLA doit être évalué, en tenant compte du bénéfice de l’allaitement pour l’enfant et de celui du traitement par WEZENLA pour la femme.</w:t>
      </w:r>
    </w:p>
    <w:p w14:paraId="489DD4AB" w14:textId="77777777" w:rsidR="00FF5E44" w:rsidRPr="002B65F7" w:rsidRDefault="00FF5E44" w:rsidP="00FF5E44">
      <w:pPr>
        <w:widowControl/>
      </w:pPr>
    </w:p>
    <w:p w14:paraId="69F47B69" w14:textId="77777777" w:rsidR="00FF5E44" w:rsidRPr="002B65F7" w:rsidRDefault="00FF5E44" w:rsidP="00FF5E44">
      <w:pPr>
        <w:keepNext/>
        <w:widowControl/>
        <w:rPr>
          <w:u w:val="single"/>
        </w:rPr>
      </w:pPr>
      <w:r w:rsidRPr="002B65F7">
        <w:rPr>
          <w:u w:val="single"/>
        </w:rPr>
        <w:t>Fertilité</w:t>
      </w:r>
    </w:p>
    <w:p w14:paraId="632F5C6F" w14:textId="77777777" w:rsidR="00FF5E44" w:rsidRPr="002B65F7" w:rsidRDefault="00FF5E44" w:rsidP="00FF5E44">
      <w:pPr>
        <w:keepNext/>
        <w:widowControl/>
        <w:rPr>
          <w:u w:val="single"/>
        </w:rPr>
      </w:pPr>
    </w:p>
    <w:p w14:paraId="2AFA00BE" w14:textId="77777777" w:rsidR="00FF5E44" w:rsidRPr="002B65F7" w:rsidRDefault="00FF5E44" w:rsidP="00FF5E44">
      <w:pPr>
        <w:widowControl/>
      </w:pPr>
      <w:r w:rsidRPr="002B65F7">
        <w:t>L’effet de l’ustekinumab sur la fertilité humaine n’a pas été évalué (voir rubrique 5.3).</w:t>
      </w:r>
    </w:p>
    <w:p w14:paraId="53FB3A83" w14:textId="77777777" w:rsidR="00FF5E44" w:rsidRPr="002B65F7" w:rsidRDefault="00FF5E44" w:rsidP="00FF5E44">
      <w:pPr>
        <w:widowControl/>
      </w:pPr>
    </w:p>
    <w:p w14:paraId="680083FC" w14:textId="77777777" w:rsidR="00FF5E44" w:rsidRPr="002B65F7" w:rsidRDefault="00FF5E44" w:rsidP="00FF5E44">
      <w:pPr>
        <w:keepNext/>
        <w:widowControl/>
        <w:ind w:left="567" w:hanging="567"/>
        <w:rPr>
          <w:b/>
          <w:bCs/>
        </w:rPr>
      </w:pPr>
      <w:r w:rsidRPr="002B65F7">
        <w:rPr>
          <w:b/>
          <w:bCs/>
        </w:rPr>
        <w:t>4.7</w:t>
      </w:r>
      <w:r w:rsidRPr="002B65F7">
        <w:rPr>
          <w:b/>
          <w:bCs/>
        </w:rPr>
        <w:tab/>
        <w:t>Effets sur l’aptitude à conduire des véhicules et à utiliser des machines</w:t>
      </w:r>
    </w:p>
    <w:p w14:paraId="76D456ED" w14:textId="77777777" w:rsidR="00FF5E44" w:rsidRPr="002B65F7" w:rsidRDefault="00FF5E44" w:rsidP="00FF5E44">
      <w:pPr>
        <w:keepNext/>
        <w:widowControl/>
      </w:pPr>
    </w:p>
    <w:p w14:paraId="4B17B004" w14:textId="77777777" w:rsidR="00FF5E44" w:rsidRPr="002B65F7" w:rsidRDefault="00FF5E44" w:rsidP="00FF5E44">
      <w:pPr>
        <w:widowControl/>
      </w:pPr>
      <w:r w:rsidRPr="002B65F7">
        <w:t>WEZENLA n’a aucun effet ou qu’un effet négligeable sur l’aptitude à conduire des véhicules et à utiliser des machines.</w:t>
      </w:r>
    </w:p>
    <w:p w14:paraId="66C87546" w14:textId="77777777" w:rsidR="00FF5E44" w:rsidRPr="002B65F7" w:rsidRDefault="00FF5E44" w:rsidP="00FF5E44">
      <w:pPr>
        <w:widowControl/>
      </w:pPr>
    </w:p>
    <w:p w14:paraId="3347E6E1" w14:textId="77777777" w:rsidR="00FF5E44" w:rsidRPr="002B65F7" w:rsidRDefault="00FF5E44" w:rsidP="00FF5E44">
      <w:pPr>
        <w:keepNext/>
        <w:widowControl/>
        <w:ind w:left="567" w:hanging="567"/>
        <w:rPr>
          <w:b/>
          <w:bCs/>
        </w:rPr>
      </w:pPr>
      <w:r w:rsidRPr="002B65F7">
        <w:rPr>
          <w:b/>
          <w:bCs/>
        </w:rPr>
        <w:t>4.8</w:t>
      </w:r>
      <w:r w:rsidRPr="002B65F7">
        <w:rPr>
          <w:b/>
          <w:bCs/>
        </w:rPr>
        <w:tab/>
        <w:t>Effets indésirables</w:t>
      </w:r>
    </w:p>
    <w:p w14:paraId="68712784" w14:textId="77777777" w:rsidR="00FF5E44" w:rsidRPr="002B65F7" w:rsidRDefault="00FF5E44" w:rsidP="00FF5E44">
      <w:pPr>
        <w:keepNext/>
        <w:widowControl/>
      </w:pPr>
    </w:p>
    <w:p w14:paraId="5805F4BA" w14:textId="77777777" w:rsidR="00FF5E44" w:rsidRPr="002B65F7" w:rsidRDefault="00FF5E44" w:rsidP="00FF5E44">
      <w:pPr>
        <w:keepNext/>
        <w:widowControl/>
        <w:rPr>
          <w:u w:val="single"/>
        </w:rPr>
      </w:pPr>
      <w:r w:rsidRPr="002B65F7">
        <w:rPr>
          <w:u w:val="single"/>
        </w:rPr>
        <w:t>Résumé du profil de sécurité</w:t>
      </w:r>
    </w:p>
    <w:p w14:paraId="778A747C" w14:textId="77777777" w:rsidR="00FF5E44" w:rsidRPr="002B65F7" w:rsidRDefault="00FF5E44" w:rsidP="00FF5E44">
      <w:pPr>
        <w:keepNext/>
        <w:widowControl/>
        <w:rPr>
          <w:u w:val="single"/>
        </w:rPr>
      </w:pPr>
    </w:p>
    <w:p w14:paraId="15A3AEFD" w14:textId="77777777" w:rsidR="00FF5E44" w:rsidRPr="002B65F7" w:rsidRDefault="00FF5E44" w:rsidP="00FF5E44">
      <w:pPr>
        <w:widowControl/>
      </w:pPr>
      <w:r w:rsidRPr="002B65F7">
        <w:t>Les effets indésirables les plus fréquents (&gt; 5%) dans les phases contrôlées des études cliniques sur le psoriasis, le rhumatisme psoriasique, la maladie de Crohn et la rectocolite hémorragique chez l’adulte avec l’ustekinumab étaient des rhinopharyngites et des céphalées. La plupart ont été considérés comme étant légers et n’ont pas nécessité d’interruption du traitement étudié. Les effets indésirables les plus graves rapportés avec l’ustekinumab sont des réactions d’hypersensibilité graves incluant l’anaphylaxie (voir rubrique 4.4). Le profil de sécurité global était similaire pour les patients atteints de psoriasis, de rhumatisme psoriasique, de la maladie de Crohn et de rectocolite hémorragique.</w:t>
      </w:r>
    </w:p>
    <w:p w14:paraId="437CCFCA" w14:textId="77777777" w:rsidR="00FF5E44" w:rsidRPr="002B65F7" w:rsidRDefault="00FF5E44" w:rsidP="00FF5E44">
      <w:pPr>
        <w:widowControl/>
      </w:pPr>
    </w:p>
    <w:p w14:paraId="263C54D9" w14:textId="77777777" w:rsidR="00FF5E44" w:rsidRPr="002B65F7" w:rsidRDefault="00FF5E44" w:rsidP="00FF5E44">
      <w:pPr>
        <w:keepNext/>
        <w:widowControl/>
        <w:rPr>
          <w:u w:val="single"/>
        </w:rPr>
      </w:pPr>
      <w:r w:rsidRPr="002B65F7">
        <w:rPr>
          <w:u w:val="single"/>
        </w:rPr>
        <w:lastRenderedPageBreak/>
        <w:t>Tableau des effets indésirables</w:t>
      </w:r>
    </w:p>
    <w:p w14:paraId="738FC1DA" w14:textId="77777777" w:rsidR="00FF5E44" w:rsidRPr="002B65F7" w:rsidRDefault="00FF5E44" w:rsidP="00FF5E44">
      <w:pPr>
        <w:keepNext/>
        <w:widowControl/>
        <w:rPr>
          <w:u w:val="single"/>
        </w:rPr>
      </w:pPr>
    </w:p>
    <w:p w14:paraId="6D0CAACC" w14:textId="2393BC06" w:rsidR="00FF5E44" w:rsidRPr="002B65F7" w:rsidRDefault="00FF5E44" w:rsidP="00FF5E44">
      <w:pPr>
        <w:widowControl/>
      </w:pPr>
      <w:r w:rsidRPr="002B65F7">
        <w:t>Les données de sécurité décrites ci-dessous reflètent l’exposition de sujets adultes à l’ustekinumab dans 14 études de phase 2 et de phase 3 menées chez 6 7</w:t>
      </w:r>
      <w:r w:rsidR="0025373E">
        <w:t>10</w:t>
      </w:r>
      <w:r w:rsidRPr="002B65F7">
        <w:t> patients (4 135 atteints de psoriasis et/ou de rhumatisme psoriasique, 1 749 atteints de la maladie de Crohn et 82</w:t>
      </w:r>
      <w:r w:rsidR="0025373E">
        <w:t>6</w:t>
      </w:r>
      <w:r w:rsidRPr="002B65F7">
        <w:t> patients atteints de rectocolite hémorragique). Cela inclut l’exposition à l’ustekinumab dans les phases contrôlées et non contrôlées des études cliniques</w:t>
      </w:r>
      <w:r w:rsidR="0025373E">
        <w:t xml:space="preserve"> chez les patients atteints de psoriasis, de rhumatisme psoriasique, de maladie de Crohn ou de rectocolite hémorragique pendant au moins 6 mois (4 577 patients) ou au moins 1 an (3</w:t>
      </w:r>
      <w:r w:rsidR="0025373E" w:rsidRPr="002B65F7">
        <w:t> </w:t>
      </w:r>
      <w:r w:rsidR="0025373E">
        <w:t>648 patients)</w:t>
      </w:r>
      <w:r w:rsidRPr="002B65F7">
        <w:t>.</w:t>
      </w:r>
      <w:r w:rsidR="0025373E">
        <w:t xml:space="preserve"> 2</w:t>
      </w:r>
      <w:r w:rsidR="0025373E" w:rsidRPr="002B65F7">
        <w:t> </w:t>
      </w:r>
      <w:r w:rsidR="0025373E">
        <w:t>194 patients atteints de psoriasis, de maladie de Crohn ou de rectocolite hémorragique, ont été exposés pendant au moins 4</w:t>
      </w:r>
      <w:r w:rsidR="0025373E" w:rsidRPr="002B65F7">
        <w:t> </w:t>
      </w:r>
      <w:r w:rsidR="0025373E">
        <w:t>ans tandis que 1</w:t>
      </w:r>
      <w:r w:rsidR="0025373E" w:rsidRPr="002B65F7">
        <w:t> </w:t>
      </w:r>
      <w:r w:rsidR="0025373E">
        <w:t>148 patients atteints de psoriasis ou de maladie de Crohn ont été exposés pendant au moins 5</w:t>
      </w:r>
      <w:r w:rsidR="0025373E" w:rsidRPr="002B65F7">
        <w:t> </w:t>
      </w:r>
      <w:r w:rsidR="0025373E">
        <w:t>ans</w:t>
      </w:r>
      <w:r w:rsidR="00E808B0">
        <w:t>.</w:t>
      </w:r>
    </w:p>
    <w:p w14:paraId="1A0155D0" w14:textId="77777777" w:rsidR="00FF5E44" w:rsidRPr="002B65F7" w:rsidRDefault="00FF5E44" w:rsidP="00FF5E44">
      <w:pPr>
        <w:widowControl/>
      </w:pPr>
    </w:p>
    <w:p w14:paraId="4045D039" w14:textId="7A83769B" w:rsidR="00FF5E44" w:rsidRPr="00D42B29" w:rsidRDefault="00FF5E44" w:rsidP="00BB6F00">
      <w:pPr>
        <w:widowControl/>
      </w:pPr>
      <w:r w:rsidRPr="00D42B29">
        <w:t>Le tableau </w:t>
      </w:r>
      <w:r w:rsidR="00950A56" w:rsidRPr="00D42B29">
        <w:t>1</w:t>
      </w:r>
      <w:r w:rsidRPr="00D42B29">
        <w:t xml:space="preserve"> fournit une liste des effets indésirables observés chez des adultes dans les études cliniques sur le psoriasis, le rhumatisme psoriasique, la maladie de Crohn et la rectocolite hémorragique, ainsi que les effets indésirables déclarés depuis la mise sur le marché du produit. Les effets indésirables sont classés par classes de systèmes d’organes et par fréquence, en utilisant les catégories suivantes : très fréquent (≥ 1/10), fréquent (≥ 1/100 à &lt; 1/10), peu fréquent (≥ 1/1 000 à &lt; 1/100), rare (≥ 1/10 000 à &lt; 1/1 000), très rare (&lt; 1/10 000), fréquence indéterminée (ne peut être estimée sur la base des données disponibles). Au sein de chaque groupe de fréquence, les effets indésirables doivent être présentés suivant un ordre décroissant de gravité.</w:t>
      </w:r>
    </w:p>
    <w:p w14:paraId="5151F55F" w14:textId="77777777" w:rsidR="00FF5E44" w:rsidRPr="00D42B29" w:rsidRDefault="00FF5E44" w:rsidP="00FF5E44">
      <w:pPr>
        <w:widowControl/>
      </w:pPr>
    </w:p>
    <w:p w14:paraId="503F0F1C" w14:textId="206A07BB" w:rsidR="00FF5E44" w:rsidRPr="00D42B29" w:rsidRDefault="00FF5E44" w:rsidP="00FF5E44">
      <w:pPr>
        <w:keepNext/>
        <w:widowControl/>
        <w:rPr>
          <w:b/>
          <w:bCs/>
        </w:rPr>
      </w:pPr>
      <w:r w:rsidRPr="00D42B29">
        <w:rPr>
          <w:b/>
          <w:bCs/>
        </w:rPr>
        <w:t>Tableau </w:t>
      </w:r>
      <w:r w:rsidR="00950A56" w:rsidRPr="00D42B29">
        <w:rPr>
          <w:b/>
          <w:bCs/>
        </w:rPr>
        <w:t>1</w:t>
      </w:r>
      <w:r w:rsidRPr="00D42B29">
        <w:rPr>
          <w:b/>
          <w:bCs/>
        </w:rPr>
        <w:t>. Liste des effets indésirables</w:t>
      </w:r>
    </w:p>
    <w:p w14:paraId="1E337798" w14:textId="77777777" w:rsidR="00FF5E44" w:rsidRPr="002B65F7" w:rsidRDefault="00FF5E44" w:rsidP="00FF5E44">
      <w:pPr>
        <w:keepNext/>
        <w:widowControl/>
        <w:rPr>
          <w:b/>
          <w:bCs/>
        </w:rPr>
      </w:pPr>
    </w:p>
    <w:tbl>
      <w:tblPr>
        <w:tblW w:w="5000"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64"/>
        <w:gridCol w:w="6391"/>
      </w:tblGrid>
      <w:tr w:rsidR="00FF5E44" w:rsidRPr="002B65F7" w14:paraId="355F0A96" w14:textId="77777777" w:rsidTr="00CE7E90">
        <w:trPr>
          <w:cantSplit/>
          <w:trHeight w:val="505"/>
          <w:tblHeader/>
        </w:trPr>
        <w:tc>
          <w:tcPr>
            <w:tcW w:w="1471" w:type="pct"/>
            <w:tcBorders>
              <w:right w:val="single" w:sz="4" w:space="0" w:color="auto"/>
            </w:tcBorders>
          </w:tcPr>
          <w:p w14:paraId="377FD491" w14:textId="77777777" w:rsidR="00FF5E44" w:rsidRPr="002B65F7" w:rsidRDefault="00FF5E44" w:rsidP="00CE7E90">
            <w:pPr>
              <w:widowControl/>
              <w:rPr>
                <w:b/>
                <w:bCs/>
              </w:rPr>
            </w:pPr>
            <w:r w:rsidRPr="002B65F7">
              <w:rPr>
                <w:b/>
                <w:bCs/>
              </w:rPr>
              <w:t>Classes de systèmes d’organes</w:t>
            </w:r>
          </w:p>
        </w:tc>
        <w:tc>
          <w:tcPr>
            <w:tcW w:w="3529" w:type="pct"/>
            <w:tcBorders>
              <w:left w:val="single" w:sz="4" w:space="0" w:color="auto"/>
            </w:tcBorders>
          </w:tcPr>
          <w:p w14:paraId="3E0A8A0E" w14:textId="77777777" w:rsidR="00FF5E44" w:rsidRPr="002B65F7" w:rsidRDefault="00FF5E44" w:rsidP="00CE7E90">
            <w:pPr>
              <w:widowControl/>
              <w:rPr>
                <w:b/>
                <w:bCs/>
              </w:rPr>
            </w:pPr>
            <w:r w:rsidRPr="002B65F7">
              <w:rPr>
                <w:b/>
                <w:bCs/>
              </w:rPr>
              <w:t>Fréquence : effet indésirable</w:t>
            </w:r>
          </w:p>
        </w:tc>
      </w:tr>
      <w:tr w:rsidR="00FF5E44" w:rsidRPr="002B65F7" w14:paraId="2DCBA644" w14:textId="77777777" w:rsidTr="00CE7E90">
        <w:trPr>
          <w:cantSplit/>
          <w:trHeight w:val="1304"/>
        </w:trPr>
        <w:tc>
          <w:tcPr>
            <w:tcW w:w="1471" w:type="pct"/>
            <w:tcBorders>
              <w:right w:val="single" w:sz="4" w:space="0" w:color="auto"/>
            </w:tcBorders>
          </w:tcPr>
          <w:p w14:paraId="1A25EB9E" w14:textId="77777777" w:rsidR="00FF5E44" w:rsidRPr="002B65F7" w:rsidRDefault="00FF5E44" w:rsidP="00CE7E90">
            <w:pPr>
              <w:widowControl/>
            </w:pPr>
            <w:r w:rsidRPr="002B65F7">
              <w:t>Infections et infestations</w:t>
            </w:r>
          </w:p>
        </w:tc>
        <w:tc>
          <w:tcPr>
            <w:tcW w:w="3529" w:type="pct"/>
            <w:tcBorders>
              <w:left w:val="single" w:sz="4" w:space="0" w:color="auto"/>
            </w:tcBorders>
          </w:tcPr>
          <w:p w14:paraId="3BCCDF0C" w14:textId="77777777" w:rsidR="00FF5E44" w:rsidRPr="002B65F7" w:rsidRDefault="00FF5E44" w:rsidP="00CE7E90">
            <w:pPr>
              <w:widowControl/>
            </w:pPr>
            <w:r w:rsidRPr="002B65F7">
              <w:t>Fréquent : Infection des voies respiratoires supérieures, rhinopharyngite, sinusite</w:t>
            </w:r>
          </w:p>
          <w:p w14:paraId="3D95903F" w14:textId="77777777" w:rsidR="00FF5E44" w:rsidRPr="002B65F7" w:rsidRDefault="00FF5E44" w:rsidP="00CE7E90">
            <w:pPr>
              <w:widowControl/>
            </w:pPr>
            <w:r w:rsidRPr="002B65F7">
              <w:t>Peu fréquent : Cellulite, infections dentaires, zona, infection des voies respiratoires inférieures, infection virale des voies respiratoires supérieures, infection mycotique vulvovaginale</w:t>
            </w:r>
          </w:p>
        </w:tc>
      </w:tr>
      <w:tr w:rsidR="00FF5E44" w:rsidRPr="002B65F7" w14:paraId="073ED08A" w14:textId="77777777" w:rsidTr="00CE7E90">
        <w:trPr>
          <w:cantSplit/>
          <w:trHeight w:val="680"/>
        </w:trPr>
        <w:tc>
          <w:tcPr>
            <w:tcW w:w="1471" w:type="pct"/>
            <w:tcBorders>
              <w:right w:val="single" w:sz="4" w:space="0" w:color="auto"/>
            </w:tcBorders>
          </w:tcPr>
          <w:p w14:paraId="78B64F53" w14:textId="77777777" w:rsidR="00FF5E44" w:rsidRPr="002B65F7" w:rsidRDefault="00FF5E44" w:rsidP="00CE7E90">
            <w:pPr>
              <w:widowControl/>
            </w:pPr>
            <w:r w:rsidRPr="002B65F7">
              <w:t>Affections du système immunitaire</w:t>
            </w:r>
          </w:p>
        </w:tc>
        <w:tc>
          <w:tcPr>
            <w:tcW w:w="3529" w:type="pct"/>
            <w:tcBorders>
              <w:left w:val="single" w:sz="4" w:space="0" w:color="auto"/>
            </w:tcBorders>
          </w:tcPr>
          <w:p w14:paraId="050E0E14" w14:textId="77777777" w:rsidR="00FF5E44" w:rsidRPr="002B65F7" w:rsidRDefault="00FF5E44" w:rsidP="00CE7E90">
            <w:pPr>
              <w:widowControl/>
            </w:pPr>
            <w:r w:rsidRPr="002B65F7">
              <w:t>Peu fréquent : Réactions d’hypersensibilité (incluant rash, urticaire) Rare : Réactions d’hypersensibilité graves (incluant anaphylaxie, angioœdème)</w:t>
            </w:r>
          </w:p>
        </w:tc>
      </w:tr>
      <w:tr w:rsidR="00FF5E44" w:rsidRPr="002B65F7" w14:paraId="3AD62C66" w14:textId="77777777" w:rsidTr="00CE7E90">
        <w:trPr>
          <w:cantSplit/>
          <w:trHeight w:val="340"/>
        </w:trPr>
        <w:tc>
          <w:tcPr>
            <w:tcW w:w="1471" w:type="pct"/>
            <w:tcBorders>
              <w:right w:val="single" w:sz="4" w:space="0" w:color="auto"/>
            </w:tcBorders>
          </w:tcPr>
          <w:p w14:paraId="0FD2E540" w14:textId="77777777" w:rsidR="00FF5E44" w:rsidRPr="002B65F7" w:rsidRDefault="00FF5E44" w:rsidP="00CE7E90">
            <w:pPr>
              <w:widowControl/>
            </w:pPr>
            <w:r w:rsidRPr="002B65F7">
              <w:t>Affections psychiatriques</w:t>
            </w:r>
          </w:p>
        </w:tc>
        <w:tc>
          <w:tcPr>
            <w:tcW w:w="3529" w:type="pct"/>
            <w:tcBorders>
              <w:left w:val="single" w:sz="4" w:space="0" w:color="auto"/>
            </w:tcBorders>
          </w:tcPr>
          <w:p w14:paraId="28B174AF" w14:textId="77777777" w:rsidR="00FF5E44" w:rsidRPr="002B65F7" w:rsidRDefault="00FF5E44" w:rsidP="00CE7E90">
            <w:pPr>
              <w:widowControl/>
            </w:pPr>
            <w:r w:rsidRPr="002B65F7">
              <w:t>Peu fréquent : Dépression</w:t>
            </w:r>
          </w:p>
        </w:tc>
      </w:tr>
      <w:tr w:rsidR="00FF5E44" w:rsidRPr="002B65F7" w14:paraId="1D6786FF" w14:textId="77777777" w:rsidTr="00CE7E90">
        <w:trPr>
          <w:cantSplit/>
          <w:trHeight w:val="567"/>
        </w:trPr>
        <w:tc>
          <w:tcPr>
            <w:tcW w:w="1471" w:type="pct"/>
            <w:tcBorders>
              <w:right w:val="single" w:sz="4" w:space="0" w:color="auto"/>
            </w:tcBorders>
          </w:tcPr>
          <w:p w14:paraId="45722231" w14:textId="77777777" w:rsidR="00FF5E44" w:rsidRPr="002B65F7" w:rsidRDefault="00FF5E44" w:rsidP="00CE7E90">
            <w:pPr>
              <w:widowControl/>
            </w:pPr>
            <w:r w:rsidRPr="002B65F7">
              <w:t>Affections du système nerveux</w:t>
            </w:r>
          </w:p>
        </w:tc>
        <w:tc>
          <w:tcPr>
            <w:tcW w:w="3529" w:type="pct"/>
            <w:tcBorders>
              <w:left w:val="single" w:sz="4" w:space="0" w:color="auto"/>
            </w:tcBorders>
          </w:tcPr>
          <w:p w14:paraId="4696832C" w14:textId="77777777" w:rsidR="00FF5E44" w:rsidRPr="002B65F7" w:rsidRDefault="00FF5E44" w:rsidP="00CE7E90">
            <w:pPr>
              <w:widowControl/>
            </w:pPr>
            <w:r w:rsidRPr="002B65F7">
              <w:t xml:space="preserve">Fréquent : Vertiges, céphalée </w:t>
            </w:r>
          </w:p>
          <w:p w14:paraId="173312DE" w14:textId="77777777" w:rsidR="00FF5E44" w:rsidRPr="002B65F7" w:rsidRDefault="00FF5E44" w:rsidP="00CE7E90">
            <w:pPr>
              <w:widowControl/>
            </w:pPr>
            <w:r w:rsidRPr="002B65F7">
              <w:t>Peu fréquent : Paralysie faciale</w:t>
            </w:r>
          </w:p>
        </w:tc>
      </w:tr>
      <w:tr w:rsidR="00FF5E44" w:rsidRPr="002B65F7" w14:paraId="0D75E98D" w14:textId="77777777" w:rsidTr="00CE7E90">
        <w:trPr>
          <w:cantSplit/>
          <w:trHeight w:val="757"/>
        </w:trPr>
        <w:tc>
          <w:tcPr>
            <w:tcW w:w="1471" w:type="pct"/>
            <w:tcBorders>
              <w:right w:val="single" w:sz="4" w:space="0" w:color="auto"/>
            </w:tcBorders>
          </w:tcPr>
          <w:p w14:paraId="27B2AEE4" w14:textId="77777777" w:rsidR="00FF5E44" w:rsidRPr="002B65F7" w:rsidRDefault="00FF5E44" w:rsidP="00CE7E90">
            <w:pPr>
              <w:widowControl/>
            </w:pPr>
            <w:r w:rsidRPr="002B65F7">
              <w:t>Affections respiratoires, thoraciques et médiastinales</w:t>
            </w:r>
          </w:p>
        </w:tc>
        <w:tc>
          <w:tcPr>
            <w:tcW w:w="3529" w:type="pct"/>
            <w:tcBorders>
              <w:left w:val="single" w:sz="4" w:space="0" w:color="auto"/>
            </w:tcBorders>
          </w:tcPr>
          <w:p w14:paraId="0CEC3AE5" w14:textId="77777777" w:rsidR="00FF5E44" w:rsidRPr="002B65F7" w:rsidRDefault="00FF5E44" w:rsidP="00CE7E90">
            <w:pPr>
              <w:widowControl/>
            </w:pPr>
            <w:r w:rsidRPr="002B65F7">
              <w:t>Fréquent : Douleur oropharyngée Peu fréquent : Congestion nasale</w:t>
            </w:r>
          </w:p>
          <w:p w14:paraId="5D9C2367" w14:textId="77777777" w:rsidR="00FF5E44" w:rsidRPr="002B65F7" w:rsidRDefault="00FF5E44" w:rsidP="00CE7E90">
            <w:pPr>
              <w:widowControl/>
            </w:pPr>
            <w:r w:rsidRPr="002B65F7">
              <w:t xml:space="preserve">Rare : Alvéolite allergique, pneumopathie à éosinophiles </w:t>
            </w:r>
          </w:p>
          <w:p w14:paraId="4A0719CF" w14:textId="77777777" w:rsidR="00FF5E44" w:rsidRPr="002B65F7" w:rsidRDefault="00FF5E44" w:rsidP="00CE7E90">
            <w:pPr>
              <w:widowControl/>
            </w:pPr>
            <w:r w:rsidRPr="002B65F7">
              <w:t>Très rare : Pneumopathie organisée*</w:t>
            </w:r>
          </w:p>
        </w:tc>
      </w:tr>
      <w:tr w:rsidR="00FF5E44" w:rsidRPr="002B65F7" w14:paraId="0EA4F37D" w14:textId="77777777" w:rsidTr="00CE7E90">
        <w:trPr>
          <w:cantSplit/>
          <w:trHeight w:val="510"/>
        </w:trPr>
        <w:tc>
          <w:tcPr>
            <w:tcW w:w="1471" w:type="pct"/>
            <w:tcBorders>
              <w:right w:val="single" w:sz="4" w:space="0" w:color="auto"/>
            </w:tcBorders>
          </w:tcPr>
          <w:p w14:paraId="7F8D8768" w14:textId="77777777" w:rsidR="00FF5E44" w:rsidRPr="002B65F7" w:rsidRDefault="00FF5E44" w:rsidP="00CE7E90">
            <w:pPr>
              <w:widowControl/>
            </w:pPr>
            <w:r w:rsidRPr="002B65F7">
              <w:t>Affections gastro-intestinales</w:t>
            </w:r>
          </w:p>
        </w:tc>
        <w:tc>
          <w:tcPr>
            <w:tcW w:w="3529" w:type="pct"/>
            <w:tcBorders>
              <w:left w:val="single" w:sz="4" w:space="0" w:color="auto"/>
            </w:tcBorders>
          </w:tcPr>
          <w:p w14:paraId="7390A208" w14:textId="77777777" w:rsidR="00FF5E44" w:rsidRPr="002B65F7" w:rsidRDefault="00FF5E44" w:rsidP="00CE7E90">
            <w:pPr>
              <w:widowControl/>
            </w:pPr>
            <w:r w:rsidRPr="002B65F7">
              <w:t>Fréquent : Diarrhée, nausée, vomissements</w:t>
            </w:r>
          </w:p>
        </w:tc>
      </w:tr>
      <w:tr w:rsidR="00FF5E44" w:rsidRPr="002B65F7" w14:paraId="2ED19E23" w14:textId="77777777" w:rsidTr="00CE7E90">
        <w:trPr>
          <w:cantSplit/>
          <w:trHeight w:val="757"/>
        </w:trPr>
        <w:tc>
          <w:tcPr>
            <w:tcW w:w="1471" w:type="pct"/>
            <w:tcBorders>
              <w:right w:val="single" w:sz="4" w:space="0" w:color="auto"/>
            </w:tcBorders>
          </w:tcPr>
          <w:p w14:paraId="691DA925" w14:textId="77777777" w:rsidR="00FF5E44" w:rsidRPr="002B65F7" w:rsidRDefault="00FF5E44" w:rsidP="00CE7E90">
            <w:pPr>
              <w:widowControl/>
            </w:pPr>
            <w:r w:rsidRPr="002B65F7">
              <w:t>Affections de la peau et du tissu sous-cutané</w:t>
            </w:r>
          </w:p>
        </w:tc>
        <w:tc>
          <w:tcPr>
            <w:tcW w:w="3529" w:type="pct"/>
            <w:tcBorders>
              <w:left w:val="single" w:sz="4" w:space="0" w:color="auto"/>
            </w:tcBorders>
          </w:tcPr>
          <w:p w14:paraId="31EEED20" w14:textId="77777777" w:rsidR="00FF5E44" w:rsidRPr="002B65F7" w:rsidRDefault="00FF5E44" w:rsidP="00CE7E90">
            <w:pPr>
              <w:widowControl/>
            </w:pPr>
            <w:r w:rsidRPr="002B65F7">
              <w:t>Fréquent : Prurit</w:t>
            </w:r>
          </w:p>
          <w:p w14:paraId="360BA1B1" w14:textId="77777777" w:rsidR="00FF5E44" w:rsidRPr="002B65F7" w:rsidRDefault="00FF5E44" w:rsidP="00CE7E90">
            <w:pPr>
              <w:widowControl/>
            </w:pPr>
            <w:r w:rsidRPr="002B65F7">
              <w:t xml:space="preserve">Peu fréquent : Psoriasis pustuleux, desquamation cutanée, acné </w:t>
            </w:r>
          </w:p>
          <w:p w14:paraId="7746DE8F" w14:textId="77777777" w:rsidR="00FF5E44" w:rsidRPr="002B65F7" w:rsidRDefault="00FF5E44" w:rsidP="00CE7E90">
            <w:pPr>
              <w:widowControl/>
            </w:pPr>
            <w:r w:rsidRPr="002B65F7">
              <w:t>Rare : Erythrodermie, vascularite d’hypersensibilité</w:t>
            </w:r>
          </w:p>
          <w:p w14:paraId="74D51D4A" w14:textId="77777777" w:rsidR="00FF5E44" w:rsidRPr="002B65F7" w:rsidRDefault="00FF5E44" w:rsidP="00CE7E90">
            <w:pPr>
              <w:widowControl/>
            </w:pPr>
            <w:r w:rsidRPr="002B65F7">
              <w:t>Très rare : Pemphigoïde bulleuse, lupus érythémateux cutané</w:t>
            </w:r>
          </w:p>
        </w:tc>
      </w:tr>
      <w:tr w:rsidR="00FF5E44" w:rsidRPr="002B65F7" w14:paraId="25974B45" w14:textId="77777777" w:rsidTr="00CE7E90">
        <w:trPr>
          <w:cantSplit/>
          <w:trHeight w:val="510"/>
        </w:trPr>
        <w:tc>
          <w:tcPr>
            <w:tcW w:w="1471" w:type="pct"/>
            <w:tcBorders>
              <w:right w:val="single" w:sz="4" w:space="0" w:color="auto"/>
            </w:tcBorders>
          </w:tcPr>
          <w:p w14:paraId="3AAC811A" w14:textId="77777777" w:rsidR="00FF5E44" w:rsidRPr="002B65F7" w:rsidRDefault="00FF5E44" w:rsidP="00CE7E90">
            <w:pPr>
              <w:widowControl/>
            </w:pPr>
            <w:r w:rsidRPr="002B65F7">
              <w:t>Affections musculo- squelettiques et systémiques</w:t>
            </w:r>
          </w:p>
        </w:tc>
        <w:tc>
          <w:tcPr>
            <w:tcW w:w="3529" w:type="pct"/>
            <w:tcBorders>
              <w:left w:val="single" w:sz="4" w:space="0" w:color="auto"/>
            </w:tcBorders>
          </w:tcPr>
          <w:p w14:paraId="06E19ADD" w14:textId="77777777" w:rsidR="00FF5E44" w:rsidRPr="002B65F7" w:rsidRDefault="00FF5E44" w:rsidP="00CE7E90">
            <w:pPr>
              <w:widowControl/>
            </w:pPr>
            <w:r w:rsidRPr="002B65F7">
              <w:t xml:space="preserve">Fréquent : Dorsalgie, myalgie, arthralgie </w:t>
            </w:r>
          </w:p>
          <w:p w14:paraId="17FED0A7" w14:textId="77777777" w:rsidR="00FF5E44" w:rsidRPr="002B65F7" w:rsidRDefault="00FF5E44" w:rsidP="00CE7E90">
            <w:pPr>
              <w:widowControl/>
            </w:pPr>
            <w:r w:rsidRPr="002B65F7">
              <w:t>Très rare : Syndrome de type lupus</w:t>
            </w:r>
          </w:p>
        </w:tc>
      </w:tr>
      <w:tr w:rsidR="00FF5E44" w:rsidRPr="002B65F7" w14:paraId="4D02B0DB" w14:textId="77777777" w:rsidTr="00CE7E90">
        <w:trPr>
          <w:cantSplit/>
          <w:trHeight w:val="757"/>
        </w:trPr>
        <w:tc>
          <w:tcPr>
            <w:tcW w:w="1471" w:type="pct"/>
            <w:tcBorders>
              <w:right w:val="single" w:sz="4" w:space="0" w:color="auto"/>
            </w:tcBorders>
          </w:tcPr>
          <w:p w14:paraId="382F5D2D" w14:textId="77777777" w:rsidR="00FF5E44" w:rsidRPr="002B65F7" w:rsidRDefault="00FF5E44" w:rsidP="00CE7E90">
            <w:pPr>
              <w:widowControl/>
            </w:pPr>
            <w:r w:rsidRPr="002B65F7">
              <w:t xml:space="preserve">Troubles généraux et </w:t>
            </w:r>
            <w:r w:rsidRPr="002B65F7">
              <w:rPr>
                <w:rFonts w:eastAsia="TimesNewRoman"/>
              </w:rPr>
              <w:t>anomalies au site d’administration</w:t>
            </w:r>
          </w:p>
        </w:tc>
        <w:tc>
          <w:tcPr>
            <w:tcW w:w="3529" w:type="pct"/>
            <w:tcBorders>
              <w:left w:val="single" w:sz="4" w:space="0" w:color="auto"/>
            </w:tcBorders>
          </w:tcPr>
          <w:p w14:paraId="0C16494A" w14:textId="77777777" w:rsidR="00FF5E44" w:rsidRPr="002B65F7" w:rsidRDefault="00FF5E44" w:rsidP="00CE7E90">
            <w:pPr>
              <w:widowControl/>
              <w:rPr>
                <w:rFonts w:eastAsia="TimesNewRoman"/>
              </w:rPr>
            </w:pPr>
            <w:r w:rsidRPr="002B65F7">
              <w:t xml:space="preserve">Fréquent : Fatigue, érythème au site d’injection, douleur au site </w:t>
            </w:r>
            <w:r w:rsidRPr="002B65F7">
              <w:rPr>
                <w:rFonts w:eastAsia="TimesNewRoman"/>
              </w:rPr>
              <w:t>d’injection</w:t>
            </w:r>
          </w:p>
          <w:p w14:paraId="4E06495D" w14:textId="77777777" w:rsidR="00FF5E44" w:rsidRPr="002B65F7" w:rsidRDefault="00FF5E44" w:rsidP="00CE7E90">
            <w:pPr>
              <w:widowControl/>
              <w:rPr>
                <w:rFonts w:eastAsia="TimesNewRoman"/>
              </w:rPr>
            </w:pPr>
            <w:r w:rsidRPr="002B65F7">
              <w:rPr>
                <w:rFonts w:eastAsia="TimesNewRoman"/>
              </w:rPr>
              <w:t>Peu fréquent : Réactions au site d’injection (incluant hémorragie,</w:t>
            </w:r>
          </w:p>
          <w:p w14:paraId="62395870" w14:textId="77777777" w:rsidR="00FF5E44" w:rsidRPr="002B65F7" w:rsidRDefault="00FF5E44" w:rsidP="00CE7E90">
            <w:pPr>
              <w:widowControl/>
            </w:pPr>
            <w:r w:rsidRPr="002B65F7">
              <w:rPr>
                <w:rFonts w:eastAsia="TimesNewRoman"/>
              </w:rPr>
              <w:t>hématome, induration, gonflement et prurit), asthénie</w:t>
            </w:r>
          </w:p>
        </w:tc>
      </w:tr>
    </w:tbl>
    <w:p w14:paraId="7B47982C" w14:textId="77777777" w:rsidR="00FF5E44" w:rsidRPr="002B65F7" w:rsidRDefault="00FF5E44" w:rsidP="00FF5E44">
      <w:pPr>
        <w:widowControl/>
        <w:rPr>
          <w:sz w:val="20"/>
          <w:szCs w:val="20"/>
        </w:rPr>
      </w:pPr>
      <w:r w:rsidRPr="002B65F7">
        <w:rPr>
          <w:sz w:val="20"/>
          <w:szCs w:val="20"/>
        </w:rPr>
        <w:t>* Voir rubrique 4.4, Réactions d’hypersensibilité systémique et respiratoire.</w:t>
      </w:r>
    </w:p>
    <w:p w14:paraId="04A5CF4B" w14:textId="77777777" w:rsidR="00FF5E44" w:rsidRPr="002B65F7" w:rsidRDefault="00FF5E44" w:rsidP="00FF5E44">
      <w:pPr>
        <w:widowControl/>
      </w:pPr>
    </w:p>
    <w:p w14:paraId="680E14BC" w14:textId="77777777" w:rsidR="00FF5E44" w:rsidRPr="002B65F7" w:rsidRDefault="00FF5E44" w:rsidP="00FF5E44">
      <w:pPr>
        <w:keepNext/>
        <w:widowControl/>
        <w:rPr>
          <w:u w:val="single"/>
        </w:rPr>
      </w:pPr>
      <w:r w:rsidRPr="002B65F7">
        <w:rPr>
          <w:u w:val="single"/>
        </w:rPr>
        <w:lastRenderedPageBreak/>
        <w:t>Description de certains effets indésirables</w:t>
      </w:r>
    </w:p>
    <w:p w14:paraId="7F3E5BBE" w14:textId="77777777" w:rsidR="00FF5E44" w:rsidRPr="002B65F7" w:rsidRDefault="00FF5E44" w:rsidP="00FF5E44">
      <w:pPr>
        <w:keepNext/>
        <w:widowControl/>
      </w:pPr>
    </w:p>
    <w:p w14:paraId="165273FF" w14:textId="77777777" w:rsidR="00FF5E44" w:rsidRPr="002B65F7" w:rsidRDefault="00FF5E44" w:rsidP="00FF5E44">
      <w:pPr>
        <w:keepNext/>
        <w:widowControl/>
        <w:rPr>
          <w:i/>
          <w:iCs/>
        </w:rPr>
      </w:pPr>
      <w:r w:rsidRPr="002B65F7">
        <w:rPr>
          <w:i/>
          <w:iCs/>
        </w:rPr>
        <w:t>Infections</w:t>
      </w:r>
    </w:p>
    <w:p w14:paraId="7438CDBB" w14:textId="77777777" w:rsidR="00FF5E44" w:rsidRPr="002B65F7" w:rsidRDefault="00FF5E44" w:rsidP="00FF5E44">
      <w:pPr>
        <w:keepNext/>
        <w:widowControl/>
        <w:rPr>
          <w:u w:val="single"/>
        </w:rPr>
      </w:pPr>
    </w:p>
    <w:p w14:paraId="423985CE" w14:textId="75A104F9" w:rsidR="00FF5E44" w:rsidRPr="002B65F7" w:rsidRDefault="00FF5E44" w:rsidP="00FF5E44">
      <w:pPr>
        <w:widowControl/>
      </w:pPr>
      <w:r w:rsidRPr="002B65F7">
        <w:t xml:space="preserve">Dans les études contrôlées </w:t>
      </w:r>
      <w:r w:rsidRPr="002B65F7">
        <w:rPr>
          <w:i/>
          <w:iCs/>
        </w:rPr>
        <w:t>versus</w:t>
      </w:r>
      <w:r w:rsidRPr="002B65F7">
        <w:t xml:space="preserve"> placebo chez des patients atteints de psoriasis, de rhumatisme psoriasique, de la maladie de Crohn et de </w:t>
      </w:r>
      <w:r w:rsidR="00DB59F8">
        <w:t xml:space="preserve">la </w:t>
      </w:r>
      <w:r w:rsidRPr="002B65F7">
        <w:t xml:space="preserve">rectocolite hémorragique, le taux d’infections ou infections graves, a été similaire entre le groupe de patients traités par l’ustekinumab et celui recevant le placebo. Dans les phases contrôlées </w:t>
      </w:r>
      <w:r w:rsidRPr="002B65F7">
        <w:rPr>
          <w:i/>
          <w:iCs/>
        </w:rPr>
        <w:t>versus</w:t>
      </w:r>
      <w:r w:rsidRPr="002B65F7">
        <w:t xml:space="preserve"> placebo de ces études cliniques, le taux d’infections a été de 1,36 par patient-année dans le groupe de patients traités par ustekinumab et de 1,34 dans le groupe de patients traités par placebo. </w:t>
      </w:r>
      <w:r w:rsidR="00B10550">
        <w:t>La fréquence des infections graves a été</w:t>
      </w:r>
      <w:r w:rsidRPr="002B65F7">
        <w:t xml:space="preserve"> de 0,03 par patient-année de suivi chez les patients traités par ustekinumab (30 infections graves pour 930 patient-années de suivi) et de 0,03 chez les patients traités par placebo (15 infections graves pour 434 patient-années de suivi) (voir rubrique 4.4).</w:t>
      </w:r>
    </w:p>
    <w:p w14:paraId="33CF07E1" w14:textId="77777777" w:rsidR="00FF5E44" w:rsidRPr="002B65F7" w:rsidRDefault="00FF5E44" w:rsidP="00FF5E44">
      <w:pPr>
        <w:widowControl/>
      </w:pPr>
    </w:p>
    <w:p w14:paraId="286E06A0" w14:textId="414B663B" w:rsidR="00FF5E44" w:rsidRPr="002B65F7" w:rsidRDefault="00FF5E44" w:rsidP="00FF5E44">
      <w:pPr>
        <w:widowControl/>
      </w:pPr>
      <w:r w:rsidRPr="002B65F7">
        <w:t>Dans les phases contrôlées et non-contrôlées des études cliniques sur le psoriasis, le rhumatisme psoriasique, la maladie de Crohn et la rectocolite hémorragique, représentant 1</w:t>
      </w:r>
      <w:r w:rsidR="00B10550">
        <w:t>5</w:t>
      </w:r>
      <w:r w:rsidRPr="002B65F7">
        <w:t> </w:t>
      </w:r>
      <w:r w:rsidR="00B10550">
        <w:t>227</w:t>
      </w:r>
      <w:r w:rsidRPr="002B65F7">
        <w:t xml:space="preserve"> patient-années d’exposition </w:t>
      </w:r>
      <w:r w:rsidR="00B10550">
        <w:t xml:space="preserve">à l’ustekinumab </w:t>
      </w:r>
      <w:r w:rsidRPr="002B65F7">
        <w:t>chez 6 7</w:t>
      </w:r>
      <w:r w:rsidR="00B10550">
        <w:t>10</w:t>
      </w:r>
      <w:r w:rsidRPr="002B65F7">
        <w:t> patients, le suivi médian était de 1,</w:t>
      </w:r>
      <w:r w:rsidR="00B10550">
        <w:t>2</w:t>
      </w:r>
      <w:r w:rsidRPr="002B65F7">
        <w:t> année ; 1,</w:t>
      </w:r>
      <w:r w:rsidR="00B10550">
        <w:t>7</w:t>
      </w:r>
      <w:r w:rsidRPr="002B65F7">
        <w:t xml:space="preserve"> année pour les études </w:t>
      </w:r>
      <w:r w:rsidR="00B10550">
        <w:t>dans</w:t>
      </w:r>
      <w:r w:rsidR="00B10550" w:rsidRPr="002B65F7">
        <w:t xml:space="preserve"> </w:t>
      </w:r>
      <w:r w:rsidRPr="002B65F7">
        <w:t xml:space="preserve">les maladies psoriasiques, 0,6 année pour les études sur la maladie de Crohn et </w:t>
      </w:r>
      <w:r w:rsidR="00B10550">
        <w:t>2</w:t>
      </w:r>
      <w:r w:rsidRPr="002B65F7">
        <w:t>,</w:t>
      </w:r>
      <w:r w:rsidR="00B10550">
        <w:t>3</w:t>
      </w:r>
      <w:r w:rsidRPr="002B65F7">
        <w:t> année</w:t>
      </w:r>
      <w:r w:rsidR="00B10550">
        <w:t>s</w:t>
      </w:r>
      <w:r w:rsidRPr="002B65F7">
        <w:t xml:space="preserve"> pour les études sur la rectocolite hémorragique. Concernant les patients traités par l’ustekinumab, le taux des infections a été de 0,</w:t>
      </w:r>
      <w:r w:rsidR="00B10550">
        <w:t>85</w:t>
      </w:r>
      <w:r w:rsidRPr="002B65F7">
        <w:t> par patient-année de suivi et le taux des infections graves de 0,02 par patient-année (</w:t>
      </w:r>
      <w:r w:rsidR="00B10550">
        <w:t>28</w:t>
      </w:r>
      <w:r w:rsidRPr="002B65F7">
        <w:t>9 infections graves pour 1</w:t>
      </w:r>
      <w:r w:rsidR="00B10550">
        <w:t>5</w:t>
      </w:r>
      <w:r w:rsidRPr="002B65F7">
        <w:t> </w:t>
      </w:r>
      <w:r w:rsidR="00B10550">
        <w:t>227</w:t>
      </w:r>
      <w:r w:rsidRPr="002B65F7">
        <w:t> patient-années de suivi), les infections graves rapportées incluaient pneumonie, abcès anal, cellulite, diverticulite, gastro-entérite et infections virales.</w:t>
      </w:r>
    </w:p>
    <w:p w14:paraId="2000F155" w14:textId="77777777" w:rsidR="00FF5E44" w:rsidRPr="002B65F7" w:rsidRDefault="00FF5E44" w:rsidP="00FF5E44">
      <w:pPr>
        <w:widowControl/>
      </w:pPr>
    </w:p>
    <w:p w14:paraId="5F370F1C" w14:textId="77777777" w:rsidR="00FF5E44" w:rsidRPr="002B65F7" w:rsidRDefault="00FF5E44" w:rsidP="00FF5E44">
      <w:pPr>
        <w:widowControl/>
      </w:pPr>
      <w:r w:rsidRPr="002B65F7">
        <w:t>Dans les études cliniques, les patients atteints d’une tuberculose latente traités simultanément avec de l’isoniazide n’ont pas développé de tuberculose.</w:t>
      </w:r>
    </w:p>
    <w:p w14:paraId="5E4B9F14" w14:textId="77777777" w:rsidR="00FF5E44" w:rsidRPr="002B65F7" w:rsidRDefault="00FF5E44" w:rsidP="00FF5E44">
      <w:pPr>
        <w:widowControl/>
      </w:pPr>
    </w:p>
    <w:p w14:paraId="1622B06A" w14:textId="77777777" w:rsidR="00FF5E44" w:rsidRPr="002B65F7" w:rsidRDefault="00FF5E44" w:rsidP="00FF5E44">
      <w:pPr>
        <w:keepNext/>
        <w:widowControl/>
        <w:rPr>
          <w:i/>
          <w:iCs/>
        </w:rPr>
      </w:pPr>
      <w:r w:rsidRPr="002B65F7">
        <w:rPr>
          <w:i/>
          <w:iCs/>
        </w:rPr>
        <w:t>Tumeurs malignes</w:t>
      </w:r>
    </w:p>
    <w:p w14:paraId="4BD6866F" w14:textId="77777777" w:rsidR="00FF5E44" w:rsidRPr="002B65F7" w:rsidRDefault="00FF5E44" w:rsidP="00FF5E44">
      <w:pPr>
        <w:keepNext/>
        <w:widowControl/>
      </w:pPr>
    </w:p>
    <w:p w14:paraId="7FF02570" w14:textId="049DB097" w:rsidR="00FF5E44" w:rsidRPr="002B65F7" w:rsidRDefault="00FF5E44" w:rsidP="00FF5E44">
      <w:pPr>
        <w:widowControl/>
      </w:pPr>
      <w:r w:rsidRPr="002B65F7">
        <w:t xml:space="preserve">Dans les phases contrôlées </w:t>
      </w:r>
      <w:r w:rsidRPr="002B65F7">
        <w:rPr>
          <w:i/>
          <w:iCs/>
        </w:rPr>
        <w:t>versus</w:t>
      </w:r>
      <w:r w:rsidRPr="002B65F7">
        <w:t xml:space="preserve"> placebo des études cliniques dans le psoriasis, le rhumatisme psoriasique, la maladie de Crohn et la rectocolite hémorragique, l’incidence des tumeurs malignes à l’exception des cancers de la peau non-mélanome a été de 0,11 pour 100 patient-années chez les patients traités par ustekinumab (1 patient pour 929 patient-années de suivi) comparé à 0, 23 chez les patients traités par placebo (1 patient pour 434 patient-années de suivi). L’incidence des cancers de la peau non-mélanome a été de 0,43 p</w:t>
      </w:r>
      <w:r w:rsidR="00F2681B">
        <w:t>our</w:t>
      </w:r>
      <w:r w:rsidRPr="002B65F7">
        <w:t xml:space="preserve"> 100 patient-années de suivi chez les patients traités par ustekinumab (4 patients pour 929 patient-années de suivi) comparé à 0,46 chez les patients traités par placebo (2 patients pour 433 patient-années de suivi).</w:t>
      </w:r>
    </w:p>
    <w:p w14:paraId="3AD94714" w14:textId="77777777" w:rsidR="00FF5E44" w:rsidRPr="002B65F7" w:rsidRDefault="00FF5E44" w:rsidP="00FF5E44">
      <w:pPr>
        <w:widowControl/>
      </w:pPr>
    </w:p>
    <w:p w14:paraId="3C889AD0" w14:textId="495B25E5" w:rsidR="00FF5E44" w:rsidRPr="002B65F7" w:rsidRDefault="00FF5E44" w:rsidP="00FF5E44">
      <w:pPr>
        <w:widowControl/>
      </w:pPr>
      <w:r w:rsidRPr="002B65F7">
        <w:t>Dans les phases contrôlées et non-contrôlées des études cliniques dans le psoriasis, le rhumatisme psoriasique, la maladie de Crohn et la rectocolite hémorragique, représentant 1</w:t>
      </w:r>
      <w:r w:rsidR="00B10550">
        <w:t>5</w:t>
      </w:r>
      <w:r w:rsidRPr="002B65F7">
        <w:t> </w:t>
      </w:r>
      <w:r w:rsidR="00B10550">
        <w:t>205</w:t>
      </w:r>
      <w:r w:rsidRPr="002B65F7">
        <w:t xml:space="preserve"> patient-années d’exposition </w:t>
      </w:r>
      <w:r w:rsidR="00B10550">
        <w:t xml:space="preserve">à l’ustekinumab </w:t>
      </w:r>
      <w:r w:rsidRPr="002B65F7">
        <w:t>chez 6 7</w:t>
      </w:r>
      <w:r w:rsidR="00B10550">
        <w:t>1</w:t>
      </w:r>
      <w:r w:rsidRPr="002B65F7">
        <w:t>0 patients, le suivi médian était de 1,</w:t>
      </w:r>
      <w:r w:rsidR="00B10550">
        <w:t>2</w:t>
      </w:r>
      <w:r w:rsidRPr="002B65F7">
        <w:t> année ; 1,</w:t>
      </w:r>
      <w:r w:rsidR="00B10550">
        <w:t>7</w:t>
      </w:r>
      <w:r w:rsidRPr="002B65F7">
        <w:t xml:space="preserve"> année pour les études dans les maladies psoriasiques, 0,6 année pour les études dans la maladie de Crohn et </w:t>
      </w:r>
      <w:r w:rsidR="00B10550">
        <w:t>2</w:t>
      </w:r>
      <w:r w:rsidRPr="002B65F7">
        <w:t>,</w:t>
      </w:r>
      <w:r w:rsidR="00B10550">
        <w:t>3</w:t>
      </w:r>
      <w:r w:rsidRPr="002B65F7">
        <w:t> année</w:t>
      </w:r>
      <w:r w:rsidR="00AC0A5B">
        <w:t>s</w:t>
      </w:r>
      <w:r w:rsidRPr="002B65F7">
        <w:t xml:space="preserve"> pour les études dans la rectocolite hémorragique. Des tumeurs malignes, excluant les cancers de la peau non-mélanome ont été rapportées chez </w:t>
      </w:r>
      <w:r w:rsidR="00B10550">
        <w:t>7</w:t>
      </w:r>
      <w:r w:rsidRPr="002B65F7">
        <w:t>6 patients sur 1</w:t>
      </w:r>
      <w:r w:rsidR="00B10550">
        <w:t>5 205</w:t>
      </w:r>
      <w:r w:rsidR="00B10550" w:rsidRPr="002B65F7">
        <w:t> </w:t>
      </w:r>
      <w:r w:rsidRPr="002B65F7">
        <w:t>patient-années de suivi (incidence de 0,5</w:t>
      </w:r>
      <w:r w:rsidR="00B10550">
        <w:t>0</w:t>
      </w:r>
      <w:r w:rsidRPr="002B65F7">
        <w:t> pour 100 patient-année</w:t>
      </w:r>
      <w:r w:rsidR="00112127">
        <w:t>s</w:t>
      </w:r>
      <w:r w:rsidRPr="002B65F7">
        <w:t xml:space="preserve"> de suivi pour les patients traités par ustekinumab). L’incidence des tumeurs malignes rapportées chez les patients traités par ustekinumab était comparable à l’incidence attendue dans la population générale (ratio standardisé d’incidence = 0,9</w:t>
      </w:r>
      <w:r w:rsidR="00B10550">
        <w:t>4</w:t>
      </w:r>
      <w:r w:rsidRPr="002B65F7">
        <w:t xml:space="preserve"> [intervalle de confiance à 95% : 0,7</w:t>
      </w:r>
      <w:r w:rsidR="00B10550">
        <w:t>3</w:t>
      </w:r>
      <w:r w:rsidRPr="002B65F7">
        <w:t>, 1,</w:t>
      </w:r>
      <w:r w:rsidR="00B10550">
        <w:t>18</w:t>
      </w:r>
      <w:r w:rsidRPr="002B65F7">
        <w:t xml:space="preserve">], ajusté à l’âge, au sexe et à l’ethnie). Les tumeurs malignes les plus fréquemment rapportées, autre que le cancer de la peau non-mélanome, étaient le cancer de la prostate, </w:t>
      </w:r>
      <w:r w:rsidR="00B10550">
        <w:t xml:space="preserve">le mélanome, </w:t>
      </w:r>
      <w:r w:rsidRPr="002B65F7">
        <w:t>le cancer colorectal et le cancer du sein. L’incidence des cancers de la peau non-mélanome était de 0,4</w:t>
      </w:r>
      <w:r w:rsidR="00B10550">
        <w:t>6</w:t>
      </w:r>
      <w:r w:rsidRPr="002B65F7">
        <w:t> pour 100 patient-années de suivi chez les patients traités par ustekinumab (6</w:t>
      </w:r>
      <w:r w:rsidR="00112127">
        <w:t>9</w:t>
      </w:r>
      <w:r w:rsidRPr="002B65F7">
        <w:t> patients sur 1</w:t>
      </w:r>
      <w:r w:rsidR="00112127">
        <w:t>5</w:t>
      </w:r>
      <w:r w:rsidRPr="002B65F7">
        <w:t> </w:t>
      </w:r>
      <w:r w:rsidR="00112127">
        <w:t>165</w:t>
      </w:r>
      <w:r w:rsidRPr="002B65F7">
        <w:t xml:space="preserve"> patient-années de suivi). Le ratio de patients atteints de cancer de la peau basocellulaire </w:t>
      </w:r>
      <w:r w:rsidRPr="002B65F7">
        <w:rPr>
          <w:i/>
          <w:iCs/>
        </w:rPr>
        <w:t>versus</w:t>
      </w:r>
      <w:r w:rsidRPr="002B65F7">
        <w:t xml:space="preserve"> spinocellulaire (3:1) est comparable au ratio attendu dans la population générale (voir rubrique 4.4).</w:t>
      </w:r>
    </w:p>
    <w:p w14:paraId="5FA80184" w14:textId="77777777" w:rsidR="00FF5E44" w:rsidRPr="002B65F7" w:rsidRDefault="00FF5E44" w:rsidP="00FF5E44">
      <w:pPr>
        <w:widowControl/>
      </w:pPr>
    </w:p>
    <w:p w14:paraId="4B4F0AA1" w14:textId="77777777" w:rsidR="00FF5E44" w:rsidRPr="002B65F7" w:rsidRDefault="00FF5E44" w:rsidP="00FF5E44">
      <w:pPr>
        <w:keepNext/>
        <w:widowControl/>
        <w:rPr>
          <w:i/>
          <w:iCs/>
        </w:rPr>
      </w:pPr>
      <w:r w:rsidRPr="002B65F7">
        <w:rPr>
          <w:i/>
          <w:iCs/>
        </w:rPr>
        <w:lastRenderedPageBreak/>
        <w:t>Réactions d’hypersensibilité</w:t>
      </w:r>
    </w:p>
    <w:p w14:paraId="3257AEFC" w14:textId="77777777" w:rsidR="00FF5E44" w:rsidRPr="002B65F7" w:rsidRDefault="00FF5E44" w:rsidP="00FF5E44">
      <w:pPr>
        <w:keepNext/>
        <w:widowControl/>
        <w:rPr>
          <w:u w:val="single"/>
        </w:rPr>
      </w:pPr>
    </w:p>
    <w:p w14:paraId="68E0D3FC" w14:textId="77777777" w:rsidR="00FF5E44" w:rsidRPr="002B65F7" w:rsidRDefault="00FF5E44" w:rsidP="00FF5E44">
      <w:pPr>
        <w:widowControl/>
      </w:pPr>
      <w:r w:rsidRPr="002B65F7">
        <w:t>Au cours des phases contrôlées des études cliniques de l’ustekinumab sur le psoriasis et le rhumatisme psoriasique, des rashs et des urticaires ont chacun été observés chez &lt; 1% des patients (voir rubrique 4.4).</w:t>
      </w:r>
    </w:p>
    <w:p w14:paraId="14314D9B" w14:textId="77777777" w:rsidR="00FF5E44" w:rsidRPr="002B65F7" w:rsidRDefault="00FF5E44" w:rsidP="00FF5E44">
      <w:pPr>
        <w:widowControl/>
      </w:pPr>
    </w:p>
    <w:p w14:paraId="3B32B557" w14:textId="77777777" w:rsidR="00FF5E44" w:rsidRPr="002B65F7" w:rsidRDefault="00FF5E44" w:rsidP="00FF5E44">
      <w:pPr>
        <w:keepNext/>
        <w:widowControl/>
        <w:rPr>
          <w:u w:val="single"/>
        </w:rPr>
      </w:pPr>
      <w:r w:rsidRPr="002B65F7">
        <w:rPr>
          <w:u w:val="single"/>
        </w:rPr>
        <w:t>Déclaration des effets indésirables suspectés</w:t>
      </w:r>
    </w:p>
    <w:p w14:paraId="2363A6D8" w14:textId="77777777" w:rsidR="00FF5E44" w:rsidRPr="002B65F7" w:rsidRDefault="00FF5E44" w:rsidP="00FF5E44">
      <w:pPr>
        <w:keepNext/>
        <w:widowControl/>
      </w:pPr>
    </w:p>
    <w:p w14:paraId="410476F3" w14:textId="77777777" w:rsidR="00FF5E44" w:rsidRPr="002B65F7" w:rsidRDefault="00FF5E44" w:rsidP="00FF5E44">
      <w:pPr>
        <w:widowControl/>
      </w:pPr>
      <w:r w:rsidRPr="002B65F7">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 voir </w:t>
      </w:r>
      <w:hyperlink r:id="rId16" w:history="1">
        <w:r>
          <w:rPr>
            <w:rStyle w:val="Hyperlink"/>
            <w:highlight w:val="lightGray"/>
          </w:rPr>
          <w:t>Annexe V</w:t>
        </w:r>
      </w:hyperlink>
      <w:r w:rsidRPr="002B65F7">
        <w:t>.</w:t>
      </w:r>
    </w:p>
    <w:p w14:paraId="635410E2" w14:textId="77777777" w:rsidR="00FF5E44" w:rsidRPr="002B65F7" w:rsidRDefault="00FF5E44" w:rsidP="00FF5E44">
      <w:pPr>
        <w:widowControl/>
        <w:rPr>
          <w:b/>
          <w:bCs/>
        </w:rPr>
      </w:pPr>
    </w:p>
    <w:p w14:paraId="2B188851" w14:textId="77777777" w:rsidR="00FF5E44" w:rsidRPr="002B65F7" w:rsidRDefault="00FF5E44" w:rsidP="00FF5E44">
      <w:pPr>
        <w:keepNext/>
        <w:widowControl/>
        <w:ind w:left="567" w:hanging="567"/>
        <w:rPr>
          <w:b/>
          <w:bCs/>
        </w:rPr>
      </w:pPr>
      <w:r w:rsidRPr="002B65F7">
        <w:rPr>
          <w:b/>
          <w:bCs/>
        </w:rPr>
        <w:t>4.9</w:t>
      </w:r>
      <w:r w:rsidRPr="002B65F7">
        <w:rPr>
          <w:b/>
          <w:bCs/>
        </w:rPr>
        <w:tab/>
        <w:t>Surdosage</w:t>
      </w:r>
    </w:p>
    <w:p w14:paraId="67325993" w14:textId="77777777" w:rsidR="00FF5E44" w:rsidRPr="002B65F7" w:rsidRDefault="00FF5E44" w:rsidP="00FF5E44">
      <w:pPr>
        <w:keepNext/>
        <w:widowControl/>
      </w:pPr>
    </w:p>
    <w:p w14:paraId="11A3478E" w14:textId="77777777" w:rsidR="00FF5E44" w:rsidRPr="002B65F7" w:rsidRDefault="00FF5E44" w:rsidP="00FF5E44">
      <w:pPr>
        <w:widowControl/>
      </w:pPr>
      <w:r w:rsidRPr="002B65F7">
        <w:t>Des doses uniques allant jusqu’à 6 mg/kg ont été administrées par voie intraveineuse au cours des études cliniques sans toxicité dose-limitante. En cas de surdosage, il est recommandé que le patient soit surveillé afin de détecter tout signe ou symptôme évoquant des effets indésirables et qu’un traitement symptomatique approprié soit immédiatement instauré.</w:t>
      </w:r>
    </w:p>
    <w:p w14:paraId="3FFCBC52" w14:textId="77777777" w:rsidR="00FF5E44" w:rsidRPr="002B65F7" w:rsidRDefault="00FF5E44" w:rsidP="00FF5E44">
      <w:pPr>
        <w:widowControl/>
      </w:pPr>
    </w:p>
    <w:p w14:paraId="5DD1764C" w14:textId="77777777" w:rsidR="00FF5E44" w:rsidRPr="002B65F7" w:rsidRDefault="00FF5E44" w:rsidP="00FF5E44">
      <w:pPr>
        <w:widowControl/>
        <w:rPr>
          <w:b/>
          <w:bCs/>
        </w:rPr>
      </w:pPr>
    </w:p>
    <w:p w14:paraId="47B419A6" w14:textId="77777777" w:rsidR="00FF5E44" w:rsidRPr="002B65F7" w:rsidRDefault="00FF5E44" w:rsidP="00FF5E44">
      <w:pPr>
        <w:keepNext/>
        <w:widowControl/>
        <w:ind w:left="567" w:hanging="567"/>
        <w:rPr>
          <w:b/>
          <w:bCs/>
        </w:rPr>
      </w:pPr>
      <w:r w:rsidRPr="002B65F7">
        <w:rPr>
          <w:b/>
          <w:bCs/>
        </w:rPr>
        <w:t>5.</w:t>
      </w:r>
      <w:r w:rsidRPr="002B65F7">
        <w:rPr>
          <w:b/>
          <w:bCs/>
        </w:rPr>
        <w:tab/>
        <w:t>PROPRIETÉS PHARMACOLOGIQUES</w:t>
      </w:r>
    </w:p>
    <w:p w14:paraId="6348DF8D" w14:textId="77777777" w:rsidR="00FF5E44" w:rsidRPr="002B65F7" w:rsidRDefault="00FF5E44" w:rsidP="00FF5E44">
      <w:pPr>
        <w:keepNext/>
        <w:widowControl/>
      </w:pPr>
    </w:p>
    <w:p w14:paraId="7DB513CA" w14:textId="77777777" w:rsidR="00FF5E44" w:rsidRPr="002B65F7" w:rsidRDefault="00FF5E44" w:rsidP="00FF5E44">
      <w:pPr>
        <w:keepNext/>
        <w:widowControl/>
        <w:ind w:left="567" w:hanging="567"/>
        <w:rPr>
          <w:b/>
          <w:bCs/>
        </w:rPr>
      </w:pPr>
      <w:r w:rsidRPr="002B65F7">
        <w:rPr>
          <w:b/>
          <w:bCs/>
        </w:rPr>
        <w:t>5.1</w:t>
      </w:r>
      <w:r w:rsidRPr="002B65F7">
        <w:rPr>
          <w:b/>
          <w:bCs/>
        </w:rPr>
        <w:tab/>
        <w:t>Propriétés pharmacodynamiques</w:t>
      </w:r>
    </w:p>
    <w:p w14:paraId="26C517FB" w14:textId="77777777" w:rsidR="00FF5E44" w:rsidRPr="002B65F7" w:rsidRDefault="00FF5E44" w:rsidP="00FF5E44">
      <w:pPr>
        <w:keepNext/>
        <w:widowControl/>
      </w:pPr>
    </w:p>
    <w:p w14:paraId="7235CBBA" w14:textId="77777777" w:rsidR="00FF5E44" w:rsidRPr="002B65F7" w:rsidRDefault="00FF5E44" w:rsidP="00FF5E44">
      <w:pPr>
        <w:widowControl/>
      </w:pPr>
      <w:r w:rsidRPr="002B65F7">
        <w:t>Classe pharmacothérapeutique : Immunosuppresseurs, inhibiteurs d’interleukine, Code ATC : L04AC05.</w:t>
      </w:r>
    </w:p>
    <w:p w14:paraId="14D58CB8" w14:textId="77777777" w:rsidR="00FF5E44" w:rsidRPr="002B65F7" w:rsidRDefault="00FF5E44" w:rsidP="00FF5E44">
      <w:pPr>
        <w:widowControl/>
      </w:pPr>
    </w:p>
    <w:p w14:paraId="5F8422EB" w14:textId="1EB7484F" w:rsidR="00FF5E44" w:rsidRPr="002B65F7" w:rsidRDefault="00FF5E44" w:rsidP="00FF5E44">
      <w:pPr>
        <w:widowControl/>
      </w:pPr>
      <w:r w:rsidRPr="002B65F7">
        <w:t xml:space="preserve">WEZENLA est un médicament biosimilaire. Des informations détaillées sont disponibles sur le site internet de l’Agence européenne des médicaments </w:t>
      </w:r>
      <w:hyperlink r:id="rId17" w:history="1">
        <w:r w:rsidR="00D06682">
          <w:rPr>
            <w:rStyle w:val="Hyperlink"/>
          </w:rPr>
          <w:t>https://www.ema.europa.eu</w:t>
        </w:r>
      </w:hyperlink>
      <w:r w:rsidRPr="002B65F7">
        <w:t>.</w:t>
      </w:r>
    </w:p>
    <w:p w14:paraId="6B3C746D" w14:textId="77777777" w:rsidR="00FF5E44" w:rsidRPr="002B65F7" w:rsidRDefault="00FF5E44" w:rsidP="00FF5E44">
      <w:pPr>
        <w:widowControl/>
      </w:pPr>
    </w:p>
    <w:p w14:paraId="094B5863" w14:textId="77777777" w:rsidR="00FF5E44" w:rsidRPr="002B65F7" w:rsidRDefault="00FF5E44" w:rsidP="00FF5E44">
      <w:pPr>
        <w:keepNext/>
        <w:widowControl/>
        <w:rPr>
          <w:u w:val="single"/>
        </w:rPr>
      </w:pPr>
      <w:r w:rsidRPr="002B65F7">
        <w:rPr>
          <w:u w:val="single"/>
        </w:rPr>
        <w:t>Mécanisme d’action</w:t>
      </w:r>
    </w:p>
    <w:p w14:paraId="2A8A78E7" w14:textId="77777777" w:rsidR="00FF5E44" w:rsidRPr="002B65F7" w:rsidRDefault="00FF5E44" w:rsidP="00FF5E44">
      <w:pPr>
        <w:keepNext/>
        <w:widowControl/>
        <w:rPr>
          <w:u w:val="single"/>
        </w:rPr>
      </w:pPr>
    </w:p>
    <w:p w14:paraId="642953B1" w14:textId="75C0185B" w:rsidR="00FF5E44" w:rsidRPr="002B65F7" w:rsidRDefault="00FF5E44" w:rsidP="00FF5E44">
      <w:pPr>
        <w:widowControl/>
      </w:pPr>
      <w:r w:rsidRPr="002B65F7">
        <w:t>L’ustekinumab est un anticorps monoclonal IgG1κ entièrement humain qui se lie spécifiquement à la sous-unité protéique p40 commune aux cytokines humaines interleukine</w:t>
      </w:r>
      <w:r w:rsidR="003F37B6">
        <w:t>s</w:t>
      </w:r>
      <w:r w:rsidRPr="002B65F7">
        <w:t xml:space="preserve"> IL-12 et IL-23.</w:t>
      </w:r>
      <w:r w:rsidR="00AD05B8">
        <w:t xml:space="preserve"> </w:t>
      </w:r>
      <w:r w:rsidRPr="002B65F7">
        <w:t>L’ustekinumab inhibe la bioactivité de l’IL-12 et de l’IL-23 humaines en empêchant la p40 de se lier au récepteur protéique IL-12Rβ1 exprimé à la surface de cellules immunitaires. L’ustekinumab ne peut pas se lier à l’IL-12 ou à l’IL-23 si elles sont préalablement fixées à leurs récepteurs cellulaires de surface</w:t>
      </w:r>
      <w:r w:rsidRPr="002B65F7">
        <w:rPr>
          <w:spacing w:val="-2"/>
        </w:rPr>
        <w:t xml:space="preserve"> </w:t>
      </w:r>
      <w:r w:rsidRPr="002B65F7">
        <w:t>IL-12Rβ1.</w:t>
      </w:r>
      <w:r w:rsidRPr="002B65F7">
        <w:rPr>
          <w:spacing w:val="-2"/>
        </w:rPr>
        <w:t xml:space="preserve"> </w:t>
      </w:r>
      <w:r w:rsidRPr="002B65F7">
        <w:t>Il</w:t>
      </w:r>
      <w:r w:rsidRPr="002B65F7">
        <w:rPr>
          <w:spacing w:val="-2"/>
        </w:rPr>
        <w:t xml:space="preserve"> </w:t>
      </w:r>
      <w:r w:rsidRPr="002B65F7">
        <w:t>est</w:t>
      </w:r>
      <w:r w:rsidRPr="002B65F7">
        <w:rPr>
          <w:spacing w:val="-2"/>
        </w:rPr>
        <w:t xml:space="preserve"> </w:t>
      </w:r>
      <w:r w:rsidRPr="002B65F7">
        <w:t>donc</w:t>
      </w:r>
      <w:r w:rsidRPr="002B65F7">
        <w:rPr>
          <w:spacing w:val="-2"/>
        </w:rPr>
        <w:t xml:space="preserve"> </w:t>
      </w:r>
      <w:r w:rsidRPr="002B65F7">
        <w:t>peu</w:t>
      </w:r>
      <w:r w:rsidRPr="002B65F7">
        <w:rPr>
          <w:spacing w:val="-2"/>
        </w:rPr>
        <w:t xml:space="preserve"> </w:t>
      </w:r>
      <w:r w:rsidRPr="002B65F7">
        <w:t>probable</w:t>
      </w:r>
      <w:r w:rsidRPr="002B65F7">
        <w:rPr>
          <w:spacing w:val="-2"/>
        </w:rPr>
        <w:t xml:space="preserve"> </w:t>
      </w:r>
      <w:r w:rsidRPr="002B65F7">
        <w:t>que</w:t>
      </w:r>
      <w:r w:rsidRPr="002B65F7">
        <w:rPr>
          <w:spacing w:val="-2"/>
        </w:rPr>
        <w:t xml:space="preserve"> </w:t>
      </w:r>
      <w:r w:rsidRPr="002B65F7">
        <w:t>l’ustekinumab</w:t>
      </w:r>
      <w:r w:rsidRPr="002B65F7">
        <w:rPr>
          <w:spacing w:val="-2"/>
        </w:rPr>
        <w:t xml:space="preserve"> </w:t>
      </w:r>
      <w:r w:rsidRPr="002B65F7">
        <w:t>contribue</w:t>
      </w:r>
      <w:r w:rsidRPr="002B65F7">
        <w:rPr>
          <w:spacing w:val="-2"/>
        </w:rPr>
        <w:t xml:space="preserve"> </w:t>
      </w:r>
      <w:r w:rsidRPr="002B65F7">
        <w:t>à</w:t>
      </w:r>
      <w:r w:rsidRPr="002B65F7">
        <w:rPr>
          <w:spacing w:val="-2"/>
        </w:rPr>
        <w:t xml:space="preserve"> </w:t>
      </w:r>
      <w:r w:rsidRPr="002B65F7">
        <w:t>la</w:t>
      </w:r>
      <w:r w:rsidRPr="002B65F7">
        <w:rPr>
          <w:spacing w:val="-2"/>
        </w:rPr>
        <w:t xml:space="preserve"> </w:t>
      </w:r>
      <w:r w:rsidRPr="002B65F7">
        <w:t>cytotoxicité</w:t>
      </w:r>
      <w:r w:rsidRPr="002B65F7">
        <w:rPr>
          <w:spacing w:val="-2"/>
        </w:rPr>
        <w:t xml:space="preserve"> </w:t>
      </w:r>
      <w:r w:rsidRPr="002B65F7">
        <w:t>médiée</w:t>
      </w:r>
      <w:r w:rsidRPr="002B65F7">
        <w:rPr>
          <w:spacing w:val="-2"/>
        </w:rPr>
        <w:t xml:space="preserve"> </w:t>
      </w:r>
      <w:r w:rsidRPr="002B65F7">
        <w:t>par</w:t>
      </w:r>
      <w:r w:rsidRPr="002B65F7">
        <w:rPr>
          <w:spacing w:val="-2"/>
        </w:rPr>
        <w:t xml:space="preserve"> </w:t>
      </w:r>
      <w:r w:rsidRPr="002B65F7">
        <w:t>le complément ou par les anticorps des cellules comportant des récepteurs à l’IL-12 et/ou IL-23. IL-12 et IL-23 sont des cytokines hétérodimériques sécrétées par des cellules présentatrices d’antigènes</w:t>
      </w:r>
      <w:r w:rsidRPr="002B65F7">
        <w:rPr>
          <w:spacing w:val="40"/>
        </w:rPr>
        <w:t xml:space="preserve"> </w:t>
      </w:r>
      <w:r w:rsidRPr="002B65F7">
        <w:t>activées telles que les macrophages et les cellules dendritiques. Chacune des cytokines participent aux fonctions immunitaires ; l’IL-12 stimule les cellules natural killer (NK) et conduit à la différenciation des lymphocytes T CD4+ vers le phénotype T helper 1 (Th1), l’IL-23 induit la différenciation en lymphocyte T helper 17 (Th17). Cependant, une anomalie de la régulation des IL-12 et IL-23 a été associée à des maladies à médiation immunitaire, telles que le psoriasis, le rhumatisme psoriasique et la maladie de Crohn.</w:t>
      </w:r>
    </w:p>
    <w:p w14:paraId="207C8AE3" w14:textId="77777777" w:rsidR="00FF5E44" w:rsidRPr="002B65F7" w:rsidRDefault="00FF5E44" w:rsidP="00FF5E44">
      <w:pPr>
        <w:widowControl/>
      </w:pPr>
    </w:p>
    <w:p w14:paraId="64E8FB48" w14:textId="77777777" w:rsidR="00FF5E44" w:rsidRPr="002B65F7" w:rsidRDefault="00FF5E44" w:rsidP="00FF5E44">
      <w:pPr>
        <w:widowControl/>
      </w:pPr>
      <w:r w:rsidRPr="002B65F7">
        <w:t>En se fixant à la sous-unité p40 commune aux IL-12 et IL-23, l’ustekinumab peut exercer ses effets cliniques à la fois sur le psoriasis, sur le rhumatisme psoriasique et sur la maladie de Crohn par inhibition des voies cytokiniques Th1 et Th17, qui occupent une place centrale dans la physiopathologie de ces maladies.</w:t>
      </w:r>
    </w:p>
    <w:p w14:paraId="58FCEAAC" w14:textId="77777777" w:rsidR="00FF5E44" w:rsidRPr="002B65F7" w:rsidRDefault="00FF5E44" w:rsidP="00FF5E44">
      <w:pPr>
        <w:widowControl/>
      </w:pPr>
    </w:p>
    <w:p w14:paraId="79C3A970" w14:textId="77777777" w:rsidR="00FF5E44" w:rsidRPr="002B65F7" w:rsidRDefault="00FF5E44" w:rsidP="00FF5E44">
      <w:pPr>
        <w:widowControl/>
      </w:pPr>
      <w:r w:rsidRPr="002B65F7">
        <w:t>Chez les patients atteints de la maladie de Crohn, le traitement par ustekinumab a conduit durant la phase d’induction à une diminution des marqueurs inflammatoires, incluant la protéine C-réactive (CRP) et la calprotectine fécale, qui s’est maintenue tout au long de la phase d’entretien. La CRP a été mesurée pendant l’étude d’extension et les diminutions observées pendant l’entretien ont été généralement maintenues jusqu’à la semaine 252.</w:t>
      </w:r>
    </w:p>
    <w:p w14:paraId="62482F89" w14:textId="77777777" w:rsidR="00FF5E44" w:rsidRPr="002B65F7" w:rsidRDefault="00FF5E44" w:rsidP="00FF5E44">
      <w:pPr>
        <w:widowControl/>
      </w:pPr>
    </w:p>
    <w:p w14:paraId="065492BC" w14:textId="77777777" w:rsidR="00FF5E44" w:rsidRPr="002B65F7" w:rsidRDefault="00FF5E44" w:rsidP="00FF5E44">
      <w:pPr>
        <w:keepNext/>
        <w:widowControl/>
        <w:rPr>
          <w:u w:val="single"/>
        </w:rPr>
      </w:pPr>
      <w:r w:rsidRPr="002B65F7">
        <w:rPr>
          <w:u w:val="single"/>
        </w:rPr>
        <w:t>Immunisation</w:t>
      </w:r>
    </w:p>
    <w:p w14:paraId="758DE25A" w14:textId="77777777" w:rsidR="00FF5E44" w:rsidRPr="002B65F7" w:rsidRDefault="00FF5E44" w:rsidP="00FF5E44">
      <w:pPr>
        <w:keepNext/>
        <w:widowControl/>
        <w:rPr>
          <w:u w:val="single"/>
        </w:rPr>
      </w:pPr>
    </w:p>
    <w:p w14:paraId="5F318F67" w14:textId="0743CBA9" w:rsidR="00FF5E44" w:rsidRPr="002B65F7" w:rsidRDefault="00FF5E44" w:rsidP="00FF5E44">
      <w:pPr>
        <w:widowControl/>
      </w:pPr>
      <w:r w:rsidRPr="002B65F7">
        <w:t>Pendant le suivi à long terme de l’étude Psoriasis 2 (PHOENIX 2), les patients adultes traités par ustekinumab pendant au moins 3,5 ans ont vu leurs réponses en anticorps vis-à-vis des vaccins pneumococciques polysacc</w:t>
      </w:r>
      <w:r w:rsidR="003F37B6">
        <w:t>h</w:t>
      </w:r>
      <w:r w:rsidRPr="002B65F7">
        <w:t>aridiques et anti-tétaniques augmenter de façon similaire au groupe contrôle psoriasis non traité par voie systémique. Une proportion similaire de patients adultes a développé des taux protecteurs d’anticorps anti-pneumococciques et anti-tétaniques et les titres d’anticorps étaient similaires chez les patients traités par ustekinumab et dans le groupe contrôle.</w:t>
      </w:r>
    </w:p>
    <w:p w14:paraId="0B57543D" w14:textId="77777777" w:rsidR="00FF5E44" w:rsidRPr="002B65F7" w:rsidRDefault="00FF5E44" w:rsidP="00FF5E44">
      <w:pPr>
        <w:widowControl/>
      </w:pPr>
    </w:p>
    <w:p w14:paraId="30475844" w14:textId="77777777" w:rsidR="00FF5E44" w:rsidRPr="002B65F7" w:rsidRDefault="00FF5E44" w:rsidP="00FF5E44">
      <w:pPr>
        <w:keepNext/>
        <w:widowControl/>
        <w:rPr>
          <w:u w:val="single"/>
        </w:rPr>
      </w:pPr>
      <w:r w:rsidRPr="002B65F7">
        <w:rPr>
          <w:u w:val="single"/>
        </w:rPr>
        <w:t>Efficacité et sécurité cliniques</w:t>
      </w:r>
    </w:p>
    <w:p w14:paraId="3C11F3B5" w14:textId="77777777" w:rsidR="00FF5E44" w:rsidRPr="002B65F7" w:rsidRDefault="00FF5E44" w:rsidP="00FF5E44">
      <w:pPr>
        <w:keepNext/>
        <w:widowControl/>
        <w:rPr>
          <w:u w:val="single"/>
        </w:rPr>
      </w:pPr>
    </w:p>
    <w:p w14:paraId="17BF39C7" w14:textId="77777777" w:rsidR="00FF5E44" w:rsidRPr="002B65F7" w:rsidRDefault="00FF5E44" w:rsidP="00FF5E44">
      <w:pPr>
        <w:keepNext/>
        <w:widowControl/>
        <w:rPr>
          <w:i/>
          <w:iCs/>
        </w:rPr>
      </w:pPr>
      <w:r w:rsidRPr="002B65F7">
        <w:rPr>
          <w:i/>
          <w:iCs/>
        </w:rPr>
        <w:t>Psoriasis en plaques (adultes)</w:t>
      </w:r>
    </w:p>
    <w:p w14:paraId="1E1844A9" w14:textId="77777777" w:rsidR="00FF5E44" w:rsidRPr="002B65F7" w:rsidRDefault="00FF5E44" w:rsidP="00FF5E44">
      <w:pPr>
        <w:keepNext/>
        <w:widowControl/>
      </w:pPr>
    </w:p>
    <w:p w14:paraId="240ED82B" w14:textId="77777777" w:rsidR="00FF5E44" w:rsidRPr="002B65F7" w:rsidRDefault="00FF5E44" w:rsidP="00FF5E44">
      <w:pPr>
        <w:widowControl/>
      </w:pPr>
      <w:r w:rsidRPr="002B65F7">
        <w:t xml:space="preserve">La sécurité et l’efficacité de l’ustekinumab ont été évaluées dans deux études randomisées, en double aveugle </w:t>
      </w:r>
      <w:r w:rsidRPr="002B65F7">
        <w:rPr>
          <w:i/>
          <w:iCs/>
        </w:rPr>
        <w:t>versus</w:t>
      </w:r>
      <w:r w:rsidRPr="002B65F7">
        <w:t xml:space="preserve"> placebo chez 1 996 patients présentant un psoriasis en plaques modéré à sévère et qui étaient candidats à la photothérapie ou à un autre traitement systémique. De plus, une étude randomisée, simple aveugle investigateur, </w:t>
      </w:r>
      <w:r w:rsidRPr="002B65F7">
        <w:rPr>
          <w:i/>
          <w:iCs/>
        </w:rPr>
        <w:t>versus</w:t>
      </w:r>
      <w:r w:rsidRPr="002B65F7">
        <w:t xml:space="preserve"> traitement actif a comparé l’ustekinumab et l’étanercept chez des patients présentant un psoriasis en plaques modéré à sévère, qui n’avaient pas répondu, ou qui présentaient une contre-indication, ou qui étaient intolérants à la ciclosporine, au MTX ou à la puvathérapie.</w:t>
      </w:r>
    </w:p>
    <w:p w14:paraId="6887BC1D" w14:textId="77777777" w:rsidR="00FF5E44" w:rsidRPr="002B65F7" w:rsidRDefault="00FF5E44" w:rsidP="00FF5E44">
      <w:pPr>
        <w:widowControl/>
      </w:pPr>
    </w:p>
    <w:p w14:paraId="3A48A437" w14:textId="77777777" w:rsidR="00FF5E44" w:rsidRPr="002B65F7" w:rsidRDefault="00FF5E44" w:rsidP="00FF5E44">
      <w:pPr>
        <w:widowControl/>
      </w:pPr>
      <w:r w:rsidRPr="002B65F7">
        <w:t>L’étude Psoriasis 1 (PHOENIX 1) a porté sur 766 patients. 53% de ces patients n’ont pas répondu, étaient intolérants, ou avaient une contre-indication à un autre traitement systémique. Les patients randomisés dans le groupe ustekinumab ont reçu une dose de 45 mg ou de 90 mg aux semaines 0 et 4 puis la même dose toutes les 12 semaines. Les patients randomisés pour recevoir un placebo aux semaines 0 et 4 ont ensuite effectué un cross-over et ont reçu l’ustekinumab (45 mg ou 90 mg) aux semaines 12 et 16 puis toutes les 12 semaines. Les patients randomisés initialement dans le groupe ustekinumab qui ont présenté une réponse PASI 75 (c’est-à-dire une amélioration par rapport à l’inclusion d’au moins 75% du score PASI : Psoriasis Area and Severity Index) aux semaines 28 et 40 ont été à nouveau randomisés pour recevoir l’ustekinumab toutes les 12 semaines ou un placebo (c.-à- d., arrêt du traitement actif). Les patients qui ont été re-randomisés pour recevoir un placebo à la semaine 40 ont reçu à nouveau le traitement par l’ustekinumab à la posologie d’origine lorsqu’ils atteignaient une baisse d’au moins 50% de l’amélioration de leur score PASI obtenue à la semaine 40.</w:t>
      </w:r>
    </w:p>
    <w:p w14:paraId="0FD0993E" w14:textId="77777777" w:rsidR="00FF5E44" w:rsidRPr="002B65F7" w:rsidRDefault="00FF5E44" w:rsidP="00FF5E44">
      <w:pPr>
        <w:widowControl/>
      </w:pPr>
    </w:p>
    <w:p w14:paraId="50938908" w14:textId="77777777" w:rsidR="00FF5E44" w:rsidRPr="002B65F7" w:rsidRDefault="00FF5E44" w:rsidP="00FF5E44">
      <w:pPr>
        <w:widowControl/>
      </w:pPr>
      <w:r w:rsidRPr="002B65F7">
        <w:t>Tous les patients ont été suivis jusqu’à plus de 76 semaines après la première administration du traitement à l’étude.</w:t>
      </w:r>
    </w:p>
    <w:p w14:paraId="46FCE9DF" w14:textId="77777777" w:rsidR="00FF5E44" w:rsidRPr="002B65F7" w:rsidRDefault="00FF5E44" w:rsidP="00FF5E44">
      <w:pPr>
        <w:widowControl/>
      </w:pPr>
    </w:p>
    <w:p w14:paraId="6FA4F46A" w14:textId="77777777" w:rsidR="00FF5E44" w:rsidRPr="002B65F7" w:rsidRDefault="00FF5E44" w:rsidP="00FF5E44">
      <w:pPr>
        <w:widowControl/>
      </w:pPr>
      <w:r w:rsidRPr="002B65F7">
        <w:t>L’étude Psoriasis 2 (PHOENIX 2) a porté sur 1 230 patients. 61% de ces patients ne répondaient pas, étaient intolérants, ou avaient une contre-indication à un autre traitement systémique. Les patients randomisés dans le groupe ustekinumab ont reçu des doses de 45 mg ou 90 mg aux semaines 0 et 4 suivies par une dose supplémentaire à la semaine 16. Les patients randomisés pour recevoir un placebo aux semaines 0 et 4 ont effectué un cross-over pour recevoir l’ustekinumab (45 mg ou 90 mg) aux semaines 12 et 16. Tous les patients ont été suivis jusqu’à plus de 52 semaines après la première administration du traitement à l’étude.</w:t>
      </w:r>
    </w:p>
    <w:p w14:paraId="26416FA2" w14:textId="77777777" w:rsidR="00FF5E44" w:rsidRPr="002B65F7" w:rsidRDefault="00FF5E44" w:rsidP="00FF5E44">
      <w:pPr>
        <w:widowControl/>
      </w:pPr>
    </w:p>
    <w:p w14:paraId="37646DB2" w14:textId="77777777" w:rsidR="00FF5E44" w:rsidRPr="002B65F7" w:rsidRDefault="00FF5E44" w:rsidP="00FF5E44">
      <w:pPr>
        <w:widowControl/>
      </w:pPr>
      <w:r w:rsidRPr="002B65F7">
        <w:t xml:space="preserve">L’étude Psoriasis 3 (ACCEPT) a porté sur 903 patients présentant un psoriasis modéré à sévère, qui n’avaient pas répondu, ou qui présentaient une contre-indication, ou qui étaient intolérants à un autre traitement systémique, et a comparé l’efficacité de l’ustekinumab à celle de l’étanercept et a évalué la sécurité de l’ustekinumab et celle de l’étanercept. Pendant les 12 semaines </w:t>
      </w:r>
      <w:r w:rsidRPr="002B65F7">
        <w:rPr>
          <w:i/>
          <w:iCs/>
        </w:rPr>
        <w:t>versus</w:t>
      </w:r>
      <w:r w:rsidRPr="002B65F7">
        <w:t xml:space="preserve"> traitement actif, les patients étaient randomisés pour recevoir l’étanercept (50 mg deux fois par semaine), l’ustekinumab 45 mg aux semaines 0 et 4, ou l’ustekinumab 90 mg aux semaines 0 et 4.</w:t>
      </w:r>
    </w:p>
    <w:p w14:paraId="22D12952" w14:textId="77777777" w:rsidR="00FF5E44" w:rsidRPr="002B65F7" w:rsidRDefault="00FF5E44" w:rsidP="00FF5E44">
      <w:pPr>
        <w:widowControl/>
      </w:pPr>
    </w:p>
    <w:p w14:paraId="4D2AF898" w14:textId="77777777" w:rsidR="00FF5E44" w:rsidRPr="002B65F7" w:rsidRDefault="00FF5E44" w:rsidP="00FF5E44">
      <w:pPr>
        <w:widowControl/>
      </w:pPr>
      <w:r w:rsidRPr="002B65F7">
        <w:t xml:space="preserve">Les caractéristiques de la maladie à l’inclusion étaient en général similaires pour tous les groupes traités dans les études Psoriasis 1 et 2, avec un score PASI médian de 17 à 18 à l’inclusion, une surface corporelle atteinte (SCA) médiane à l’inclusion ≥ 20 et un score DLQI (Dermatology Life Quality Index ou indice dermatologique de qualité de vie) médian compris entre 10 et 12. Environ un tiers </w:t>
      </w:r>
      <w:r w:rsidRPr="002B65F7">
        <w:lastRenderedPageBreak/>
        <w:t>(Etude Psoriasis 1) et un quart (Etude Psoriasis 2) des sujets présentaient un rhumatisme psoriasique (Rhum Pso). Un degré similaire de sévérité de la maladie a également été observé dans l’étude Psoriasis 3.</w:t>
      </w:r>
    </w:p>
    <w:p w14:paraId="048FB5D7" w14:textId="77777777" w:rsidR="00FF5E44" w:rsidRPr="002B65F7" w:rsidRDefault="00FF5E44" w:rsidP="00FF5E44">
      <w:pPr>
        <w:widowControl/>
      </w:pPr>
    </w:p>
    <w:p w14:paraId="183FABAF" w14:textId="3EDF4AA1" w:rsidR="00FF5E44" w:rsidRPr="002B65F7" w:rsidRDefault="00FF5E44" w:rsidP="00FF5E44">
      <w:pPr>
        <w:widowControl/>
      </w:pPr>
      <w:r w:rsidRPr="002B65F7">
        <w:t>Le critère principal de ces études était la proportion de patients qui atteignait une réponse PASI 75 à la semaine 12 par rapport à l’inclusion (voir tableaux </w:t>
      </w:r>
      <w:r w:rsidR="00036CBE">
        <w:t>2</w:t>
      </w:r>
      <w:r w:rsidRPr="002B65F7">
        <w:t xml:space="preserve"> et </w:t>
      </w:r>
      <w:r w:rsidR="008520FB">
        <w:t>3</w:t>
      </w:r>
      <w:r w:rsidRPr="002B65F7">
        <w:t>).</w:t>
      </w:r>
    </w:p>
    <w:p w14:paraId="5DAA235A" w14:textId="77777777" w:rsidR="00FF5E44" w:rsidRPr="002B65F7" w:rsidRDefault="00FF5E44" w:rsidP="00FF5E44">
      <w:pPr>
        <w:widowControl/>
      </w:pPr>
    </w:p>
    <w:p w14:paraId="631B182C" w14:textId="173EE446" w:rsidR="00FF5E44" w:rsidRPr="002B65F7" w:rsidRDefault="00FF5E44" w:rsidP="00FF5E44">
      <w:pPr>
        <w:keepNext/>
        <w:widowControl/>
        <w:rPr>
          <w:b/>
          <w:bCs/>
        </w:rPr>
      </w:pPr>
      <w:r w:rsidRPr="002B65F7">
        <w:rPr>
          <w:b/>
          <w:bCs/>
        </w:rPr>
        <w:t>Tableau </w:t>
      </w:r>
      <w:r w:rsidR="00517102">
        <w:rPr>
          <w:b/>
          <w:bCs/>
        </w:rPr>
        <w:t>2</w:t>
      </w:r>
      <w:r w:rsidRPr="002B65F7">
        <w:rPr>
          <w:b/>
          <w:bCs/>
        </w:rPr>
        <w:t>. Résumé des réponses cliniques dans l’étude Psoriasis 1 (PHOENIX 1) et l’étude Psoriasis 2 (PHOENIX 2)</w:t>
      </w:r>
    </w:p>
    <w:p w14:paraId="217B4014" w14:textId="77777777" w:rsidR="00FF5E44" w:rsidRPr="002B65F7" w:rsidRDefault="00FF5E44" w:rsidP="00FF5E44">
      <w:pPr>
        <w:keepNext/>
        <w:widowControl/>
        <w:rPr>
          <w:b/>
          <w:bCs/>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55"/>
        <w:gridCol w:w="1243"/>
        <w:gridCol w:w="1383"/>
        <w:gridCol w:w="1245"/>
        <w:gridCol w:w="1401"/>
        <w:gridCol w:w="1334"/>
      </w:tblGrid>
      <w:tr w:rsidR="00FF5E44" w:rsidRPr="002B65F7" w14:paraId="2C877BBA" w14:textId="77777777" w:rsidTr="00CE7E90">
        <w:trPr>
          <w:cantSplit/>
          <w:trHeight w:val="760"/>
          <w:tblHeader/>
        </w:trPr>
        <w:tc>
          <w:tcPr>
            <w:tcW w:w="1355" w:type="pct"/>
          </w:tcPr>
          <w:p w14:paraId="10560EEB" w14:textId="77777777" w:rsidR="00FF5E44" w:rsidRPr="002B65F7" w:rsidRDefault="00FF5E44" w:rsidP="00CE7E90">
            <w:pPr>
              <w:pStyle w:val="TableParagraph"/>
              <w:widowControl/>
              <w:suppressAutoHyphens/>
              <w:adjustRightInd w:val="0"/>
              <w:snapToGrid w:val="0"/>
              <w:ind w:left="0"/>
              <w:jc w:val="left"/>
            </w:pPr>
          </w:p>
        </w:tc>
        <w:tc>
          <w:tcPr>
            <w:tcW w:w="2136" w:type="pct"/>
            <w:gridSpan w:val="3"/>
          </w:tcPr>
          <w:p w14:paraId="50870411" w14:textId="77777777" w:rsidR="00FF5E44" w:rsidRPr="002B65F7" w:rsidRDefault="00FF5E44" w:rsidP="00CE7E90">
            <w:pPr>
              <w:pStyle w:val="TableParagraph"/>
              <w:widowControl/>
              <w:suppressAutoHyphens/>
              <w:adjustRightInd w:val="0"/>
              <w:snapToGrid w:val="0"/>
              <w:ind w:left="0"/>
              <w:rPr>
                <w:b/>
                <w:bCs/>
              </w:rPr>
            </w:pPr>
            <w:r w:rsidRPr="002B65F7">
              <w:rPr>
                <w:b/>
                <w:bCs/>
              </w:rPr>
              <w:t>Semaine</w:t>
            </w:r>
            <w:r w:rsidRPr="002B65F7">
              <w:rPr>
                <w:b/>
                <w:bCs/>
                <w:spacing w:val="-6"/>
              </w:rPr>
              <w:t> </w:t>
            </w:r>
            <w:r w:rsidRPr="002B65F7">
              <w:rPr>
                <w:b/>
                <w:bCs/>
                <w:spacing w:val="-5"/>
              </w:rPr>
              <w:t>12</w:t>
            </w:r>
          </w:p>
          <w:p w14:paraId="66B3F0F1" w14:textId="77777777" w:rsidR="00FF5E44" w:rsidRPr="002B65F7" w:rsidRDefault="00FF5E44" w:rsidP="00CE7E90">
            <w:pPr>
              <w:pStyle w:val="TableParagraph"/>
              <w:widowControl/>
              <w:suppressAutoHyphens/>
              <w:adjustRightInd w:val="0"/>
              <w:snapToGrid w:val="0"/>
              <w:ind w:left="0"/>
              <w:rPr>
                <w:b/>
                <w:bCs/>
              </w:rPr>
            </w:pPr>
            <w:r w:rsidRPr="002B65F7">
              <w:rPr>
                <w:b/>
                <w:bCs/>
              </w:rPr>
              <w:t>2</w:t>
            </w:r>
            <w:r w:rsidRPr="002B65F7">
              <w:rPr>
                <w:b/>
                <w:bCs/>
                <w:spacing w:val="-4"/>
              </w:rPr>
              <w:t> </w:t>
            </w:r>
            <w:r w:rsidRPr="002B65F7">
              <w:rPr>
                <w:b/>
                <w:bCs/>
              </w:rPr>
              <w:t>doses</w:t>
            </w:r>
            <w:r w:rsidRPr="002B65F7">
              <w:rPr>
                <w:b/>
                <w:bCs/>
                <w:spacing w:val="-3"/>
              </w:rPr>
              <w:t xml:space="preserve"> </w:t>
            </w:r>
            <w:r w:rsidRPr="002B65F7">
              <w:rPr>
                <w:b/>
                <w:bCs/>
              </w:rPr>
              <w:t>(semaine</w:t>
            </w:r>
            <w:r w:rsidRPr="002B65F7">
              <w:rPr>
                <w:b/>
                <w:bCs/>
                <w:spacing w:val="-4"/>
              </w:rPr>
              <w:t> </w:t>
            </w:r>
            <w:r w:rsidRPr="002B65F7">
              <w:rPr>
                <w:b/>
                <w:bCs/>
              </w:rPr>
              <w:t>0</w:t>
            </w:r>
            <w:r w:rsidRPr="002B65F7">
              <w:rPr>
                <w:b/>
                <w:bCs/>
                <w:spacing w:val="-3"/>
              </w:rPr>
              <w:t xml:space="preserve"> </w:t>
            </w:r>
            <w:r w:rsidRPr="002B65F7">
              <w:rPr>
                <w:b/>
                <w:bCs/>
              </w:rPr>
              <w:t>et</w:t>
            </w:r>
            <w:r w:rsidRPr="002B65F7">
              <w:rPr>
                <w:b/>
                <w:bCs/>
                <w:spacing w:val="-4"/>
              </w:rPr>
              <w:t xml:space="preserve"> </w:t>
            </w:r>
            <w:r w:rsidRPr="002B65F7">
              <w:rPr>
                <w:b/>
                <w:bCs/>
              </w:rPr>
              <w:t>semaine</w:t>
            </w:r>
            <w:r w:rsidRPr="002B65F7">
              <w:rPr>
                <w:b/>
                <w:bCs/>
                <w:spacing w:val="-3"/>
              </w:rPr>
              <w:t> </w:t>
            </w:r>
            <w:r w:rsidRPr="002B65F7">
              <w:rPr>
                <w:b/>
                <w:bCs/>
                <w:spacing w:val="-5"/>
              </w:rPr>
              <w:t>4)</w:t>
            </w:r>
          </w:p>
        </w:tc>
        <w:tc>
          <w:tcPr>
            <w:tcW w:w="1509" w:type="pct"/>
            <w:gridSpan w:val="2"/>
          </w:tcPr>
          <w:p w14:paraId="202F358E" w14:textId="77777777" w:rsidR="00FF5E44" w:rsidRPr="002B65F7" w:rsidRDefault="00FF5E44" w:rsidP="00CE7E90">
            <w:pPr>
              <w:pStyle w:val="TableParagraph"/>
              <w:widowControl/>
              <w:suppressAutoHyphens/>
              <w:adjustRightInd w:val="0"/>
              <w:snapToGrid w:val="0"/>
              <w:ind w:left="0"/>
              <w:rPr>
                <w:b/>
                <w:bCs/>
              </w:rPr>
            </w:pPr>
            <w:r w:rsidRPr="002B65F7">
              <w:rPr>
                <w:b/>
                <w:bCs/>
              </w:rPr>
              <w:t>Semaine</w:t>
            </w:r>
            <w:r w:rsidRPr="002B65F7">
              <w:rPr>
                <w:b/>
                <w:bCs/>
                <w:spacing w:val="-6"/>
              </w:rPr>
              <w:t> </w:t>
            </w:r>
            <w:r w:rsidRPr="002B65F7">
              <w:rPr>
                <w:b/>
                <w:bCs/>
                <w:spacing w:val="-5"/>
              </w:rPr>
              <w:t>28</w:t>
            </w:r>
          </w:p>
          <w:p w14:paraId="4E26408F" w14:textId="77777777" w:rsidR="00FF5E44" w:rsidRPr="002B65F7" w:rsidRDefault="00FF5E44" w:rsidP="00CE7E90">
            <w:pPr>
              <w:pStyle w:val="TableParagraph"/>
              <w:widowControl/>
              <w:suppressAutoHyphens/>
              <w:adjustRightInd w:val="0"/>
              <w:snapToGrid w:val="0"/>
              <w:ind w:left="0"/>
              <w:rPr>
                <w:b/>
                <w:bCs/>
              </w:rPr>
            </w:pPr>
            <w:r w:rsidRPr="002B65F7">
              <w:rPr>
                <w:b/>
                <w:bCs/>
              </w:rPr>
              <w:t>3</w:t>
            </w:r>
            <w:r w:rsidRPr="002B65F7">
              <w:rPr>
                <w:b/>
                <w:bCs/>
                <w:spacing w:val="-4"/>
              </w:rPr>
              <w:t> </w:t>
            </w:r>
            <w:r w:rsidRPr="002B65F7">
              <w:rPr>
                <w:b/>
                <w:bCs/>
              </w:rPr>
              <w:t>doses</w:t>
            </w:r>
            <w:r w:rsidRPr="002B65F7">
              <w:rPr>
                <w:b/>
                <w:bCs/>
                <w:spacing w:val="-5"/>
              </w:rPr>
              <w:t xml:space="preserve"> </w:t>
            </w:r>
            <w:r w:rsidRPr="002B65F7">
              <w:rPr>
                <w:b/>
                <w:bCs/>
              </w:rPr>
              <w:t>(semaine</w:t>
            </w:r>
            <w:r w:rsidRPr="002B65F7">
              <w:rPr>
                <w:b/>
                <w:bCs/>
                <w:spacing w:val="-3"/>
              </w:rPr>
              <w:t> </w:t>
            </w:r>
            <w:r w:rsidRPr="002B65F7">
              <w:rPr>
                <w:b/>
                <w:bCs/>
                <w:spacing w:val="-5"/>
              </w:rPr>
              <w:t xml:space="preserve">0, </w:t>
            </w:r>
            <w:r w:rsidRPr="002B65F7">
              <w:rPr>
                <w:b/>
                <w:bCs/>
              </w:rPr>
              <w:t>semaine</w:t>
            </w:r>
            <w:r w:rsidRPr="002B65F7">
              <w:rPr>
                <w:b/>
                <w:bCs/>
                <w:spacing w:val="-4"/>
              </w:rPr>
              <w:t> </w:t>
            </w:r>
            <w:r w:rsidRPr="002B65F7">
              <w:rPr>
                <w:b/>
                <w:bCs/>
              </w:rPr>
              <w:t>4</w:t>
            </w:r>
            <w:r w:rsidRPr="002B65F7">
              <w:rPr>
                <w:b/>
                <w:bCs/>
                <w:spacing w:val="-4"/>
              </w:rPr>
              <w:t xml:space="preserve"> </w:t>
            </w:r>
            <w:r w:rsidRPr="002B65F7">
              <w:rPr>
                <w:b/>
                <w:bCs/>
              </w:rPr>
              <w:t>et</w:t>
            </w:r>
            <w:r w:rsidRPr="002B65F7">
              <w:rPr>
                <w:b/>
                <w:bCs/>
                <w:spacing w:val="-4"/>
              </w:rPr>
              <w:t xml:space="preserve"> </w:t>
            </w:r>
            <w:r w:rsidRPr="002B65F7">
              <w:rPr>
                <w:b/>
                <w:bCs/>
              </w:rPr>
              <w:t>semaine</w:t>
            </w:r>
            <w:r w:rsidRPr="002B65F7">
              <w:rPr>
                <w:b/>
                <w:bCs/>
                <w:spacing w:val="-3"/>
              </w:rPr>
              <w:t> </w:t>
            </w:r>
            <w:r w:rsidRPr="002B65F7">
              <w:rPr>
                <w:b/>
                <w:bCs/>
                <w:spacing w:val="-5"/>
              </w:rPr>
              <w:t>16)</w:t>
            </w:r>
          </w:p>
        </w:tc>
      </w:tr>
      <w:tr w:rsidR="00FF5E44" w:rsidRPr="002B65F7" w14:paraId="5E19E65B" w14:textId="77777777" w:rsidTr="00CE7E90">
        <w:trPr>
          <w:cantSplit/>
          <w:trHeight w:val="251"/>
          <w:tblHeader/>
        </w:trPr>
        <w:tc>
          <w:tcPr>
            <w:tcW w:w="1355" w:type="pct"/>
          </w:tcPr>
          <w:p w14:paraId="64A256E0" w14:textId="77777777" w:rsidR="00FF5E44" w:rsidRPr="002B65F7" w:rsidRDefault="00FF5E44" w:rsidP="00CE7E90">
            <w:pPr>
              <w:pStyle w:val="TableParagraph"/>
              <w:widowControl/>
              <w:suppressAutoHyphens/>
              <w:adjustRightInd w:val="0"/>
              <w:snapToGrid w:val="0"/>
              <w:ind w:left="0"/>
              <w:jc w:val="left"/>
              <w:rPr>
                <w:sz w:val="18"/>
              </w:rPr>
            </w:pPr>
          </w:p>
        </w:tc>
        <w:tc>
          <w:tcPr>
            <w:tcW w:w="686" w:type="pct"/>
          </w:tcPr>
          <w:p w14:paraId="42EBB414" w14:textId="77777777" w:rsidR="00FF5E44" w:rsidRPr="002B65F7" w:rsidRDefault="00FF5E44" w:rsidP="00CE7E90">
            <w:pPr>
              <w:pStyle w:val="TableParagraph"/>
              <w:widowControl/>
              <w:suppressAutoHyphens/>
              <w:adjustRightInd w:val="0"/>
              <w:snapToGrid w:val="0"/>
              <w:ind w:left="0"/>
            </w:pPr>
            <w:r w:rsidRPr="002B65F7">
              <w:rPr>
                <w:spacing w:val="-5"/>
              </w:rPr>
              <w:t>PBO</w:t>
            </w:r>
          </w:p>
        </w:tc>
        <w:tc>
          <w:tcPr>
            <w:tcW w:w="763" w:type="pct"/>
          </w:tcPr>
          <w:p w14:paraId="676841E6" w14:textId="77777777" w:rsidR="00FF5E44" w:rsidRPr="002B65F7" w:rsidRDefault="00FF5E44" w:rsidP="00CE7E90">
            <w:pPr>
              <w:pStyle w:val="TableParagraph"/>
              <w:widowControl/>
              <w:suppressAutoHyphens/>
              <w:adjustRightInd w:val="0"/>
              <w:snapToGrid w:val="0"/>
              <w:ind w:left="0"/>
            </w:pPr>
            <w:r w:rsidRPr="002B65F7">
              <w:t>45 </w:t>
            </w:r>
            <w:r w:rsidRPr="002B65F7">
              <w:rPr>
                <w:spacing w:val="-5"/>
              </w:rPr>
              <w:t>mg</w:t>
            </w:r>
          </w:p>
        </w:tc>
        <w:tc>
          <w:tcPr>
            <w:tcW w:w="687" w:type="pct"/>
          </w:tcPr>
          <w:p w14:paraId="25B4FE35" w14:textId="77777777" w:rsidR="00FF5E44" w:rsidRPr="002B65F7" w:rsidRDefault="00FF5E44" w:rsidP="00CE7E90">
            <w:pPr>
              <w:pStyle w:val="TableParagraph"/>
              <w:widowControl/>
              <w:suppressAutoHyphens/>
              <w:adjustRightInd w:val="0"/>
              <w:snapToGrid w:val="0"/>
              <w:ind w:left="0"/>
            </w:pPr>
            <w:r w:rsidRPr="002B65F7">
              <w:t>90 </w:t>
            </w:r>
            <w:r w:rsidRPr="002B65F7">
              <w:rPr>
                <w:spacing w:val="-5"/>
              </w:rPr>
              <w:t>mg</w:t>
            </w:r>
          </w:p>
        </w:tc>
        <w:tc>
          <w:tcPr>
            <w:tcW w:w="773" w:type="pct"/>
          </w:tcPr>
          <w:p w14:paraId="2B88EF14" w14:textId="77777777" w:rsidR="00FF5E44" w:rsidRPr="002B65F7" w:rsidRDefault="00FF5E44" w:rsidP="00CE7E90">
            <w:pPr>
              <w:pStyle w:val="TableParagraph"/>
              <w:widowControl/>
              <w:suppressAutoHyphens/>
              <w:adjustRightInd w:val="0"/>
              <w:snapToGrid w:val="0"/>
              <w:ind w:left="0"/>
            </w:pPr>
            <w:r w:rsidRPr="002B65F7">
              <w:t>45 </w:t>
            </w:r>
            <w:r w:rsidRPr="002B65F7">
              <w:rPr>
                <w:spacing w:val="-5"/>
              </w:rPr>
              <w:t>mg</w:t>
            </w:r>
          </w:p>
        </w:tc>
        <w:tc>
          <w:tcPr>
            <w:tcW w:w="735" w:type="pct"/>
          </w:tcPr>
          <w:p w14:paraId="3F48921B" w14:textId="77777777" w:rsidR="00FF5E44" w:rsidRPr="002B65F7" w:rsidRDefault="00FF5E44" w:rsidP="00CE7E90">
            <w:pPr>
              <w:pStyle w:val="TableParagraph"/>
              <w:widowControl/>
              <w:suppressAutoHyphens/>
              <w:adjustRightInd w:val="0"/>
              <w:snapToGrid w:val="0"/>
              <w:ind w:left="0"/>
            </w:pPr>
            <w:r w:rsidRPr="002B65F7">
              <w:t>90 </w:t>
            </w:r>
            <w:r w:rsidRPr="002B65F7">
              <w:rPr>
                <w:spacing w:val="-5"/>
              </w:rPr>
              <w:t>mg</w:t>
            </w:r>
          </w:p>
        </w:tc>
      </w:tr>
      <w:tr w:rsidR="00FF5E44" w:rsidRPr="002B65F7" w14:paraId="206D4DA3" w14:textId="77777777" w:rsidTr="00CE7E90">
        <w:trPr>
          <w:cantSplit/>
          <w:trHeight w:val="253"/>
        </w:trPr>
        <w:tc>
          <w:tcPr>
            <w:tcW w:w="1355" w:type="pct"/>
          </w:tcPr>
          <w:p w14:paraId="22A71504" w14:textId="77777777" w:rsidR="00FF5E44" w:rsidRPr="002B65F7" w:rsidRDefault="00FF5E44" w:rsidP="00CE7E90">
            <w:pPr>
              <w:pStyle w:val="TableParagraph"/>
              <w:widowControl/>
              <w:suppressAutoHyphens/>
              <w:adjustRightInd w:val="0"/>
              <w:snapToGrid w:val="0"/>
              <w:ind w:left="0"/>
              <w:jc w:val="left"/>
              <w:rPr>
                <w:b/>
              </w:rPr>
            </w:pPr>
            <w:r w:rsidRPr="002B65F7">
              <w:rPr>
                <w:b/>
              </w:rPr>
              <w:t>Etude</w:t>
            </w:r>
            <w:r w:rsidRPr="002B65F7">
              <w:rPr>
                <w:b/>
                <w:spacing w:val="-9"/>
              </w:rPr>
              <w:t xml:space="preserve"> </w:t>
            </w:r>
            <w:r w:rsidRPr="002B65F7">
              <w:rPr>
                <w:b/>
              </w:rPr>
              <w:t>Psoriasis</w:t>
            </w:r>
            <w:r w:rsidRPr="002B65F7">
              <w:rPr>
                <w:b/>
                <w:spacing w:val="-7"/>
              </w:rPr>
              <w:t> </w:t>
            </w:r>
            <w:r w:rsidRPr="002B65F7">
              <w:rPr>
                <w:b/>
                <w:spacing w:val="-10"/>
              </w:rPr>
              <w:t>1</w:t>
            </w:r>
          </w:p>
        </w:tc>
        <w:tc>
          <w:tcPr>
            <w:tcW w:w="686" w:type="pct"/>
          </w:tcPr>
          <w:p w14:paraId="7EDDF9C4" w14:textId="77777777" w:rsidR="00FF5E44" w:rsidRPr="002B65F7" w:rsidRDefault="00FF5E44" w:rsidP="00CE7E90">
            <w:pPr>
              <w:pStyle w:val="TableParagraph"/>
              <w:widowControl/>
              <w:suppressAutoHyphens/>
              <w:adjustRightInd w:val="0"/>
              <w:snapToGrid w:val="0"/>
              <w:ind w:left="0"/>
              <w:jc w:val="left"/>
              <w:rPr>
                <w:sz w:val="18"/>
              </w:rPr>
            </w:pPr>
          </w:p>
        </w:tc>
        <w:tc>
          <w:tcPr>
            <w:tcW w:w="763" w:type="pct"/>
          </w:tcPr>
          <w:p w14:paraId="24C3C0B4" w14:textId="77777777" w:rsidR="00FF5E44" w:rsidRPr="002B65F7" w:rsidRDefault="00FF5E44" w:rsidP="00CE7E90">
            <w:pPr>
              <w:pStyle w:val="TableParagraph"/>
              <w:widowControl/>
              <w:suppressAutoHyphens/>
              <w:adjustRightInd w:val="0"/>
              <w:snapToGrid w:val="0"/>
              <w:ind w:left="0"/>
              <w:jc w:val="left"/>
              <w:rPr>
                <w:sz w:val="18"/>
              </w:rPr>
            </w:pPr>
          </w:p>
        </w:tc>
        <w:tc>
          <w:tcPr>
            <w:tcW w:w="687" w:type="pct"/>
          </w:tcPr>
          <w:p w14:paraId="04C46D78" w14:textId="77777777" w:rsidR="00FF5E44" w:rsidRPr="002B65F7" w:rsidRDefault="00FF5E44" w:rsidP="00CE7E90">
            <w:pPr>
              <w:pStyle w:val="TableParagraph"/>
              <w:widowControl/>
              <w:suppressAutoHyphens/>
              <w:adjustRightInd w:val="0"/>
              <w:snapToGrid w:val="0"/>
              <w:ind w:left="0"/>
              <w:jc w:val="left"/>
              <w:rPr>
                <w:sz w:val="18"/>
              </w:rPr>
            </w:pPr>
          </w:p>
        </w:tc>
        <w:tc>
          <w:tcPr>
            <w:tcW w:w="773" w:type="pct"/>
          </w:tcPr>
          <w:p w14:paraId="7EA85148" w14:textId="77777777" w:rsidR="00FF5E44" w:rsidRPr="002B65F7" w:rsidRDefault="00FF5E44" w:rsidP="00CE7E90">
            <w:pPr>
              <w:pStyle w:val="TableParagraph"/>
              <w:widowControl/>
              <w:suppressAutoHyphens/>
              <w:adjustRightInd w:val="0"/>
              <w:snapToGrid w:val="0"/>
              <w:ind w:left="0"/>
              <w:jc w:val="left"/>
              <w:rPr>
                <w:sz w:val="18"/>
              </w:rPr>
            </w:pPr>
          </w:p>
        </w:tc>
        <w:tc>
          <w:tcPr>
            <w:tcW w:w="735" w:type="pct"/>
          </w:tcPr>
          <w:p w14:paraId="1A433C4E" w14:textId="77777777" w:rsidR="00FF5E44" w:rsidRPr="002B65F7" w:rsidRDefault="00FF5E44" w:rsidP="00CE7E90">
            <w:pPr>
              <w:pStyle w:val="TableParagraph"/>
              <w:widowControl/>
              <w:suppressAutoHyphens/>
              <w:adjustRightInd w:val="0"/>
              <w:snapToGrid w:val="0"/>
              <w:ind w:left="0"/>
              <w:jc w:val="left"/>
              <w:rPr>
                <w:sz w:val="18"/>
              </w:rPr>
            </w:pPr>
          </w:p>
        </w:tc>
      </w:tr>
      <w:tr w:rsidR="00FF5E44" w:rsidRPr="002B65F7" w14:paraId="1F0520F1" w14:textId="77777777" w:rsidTr="00CE7E90">
        <w:trPr>
          <w:cantSplit/>
          <w:trHeight w:val="340"/>
        </w:trPr>
        <w:tc>
          <w:tcPr>
            <w:tcW w:w="1355" w:type="pct"/>
          </w:tcPr>
          <w:p w14:paraId="1C481CC4" w14:textId="77777777" w:rsidR="00FF5E44" w:rsidRPr="002B65F7" w:rsidRDefault="00FF5E44" w:rsidP="00CE7E90">
            <w:pPr>
              <w:pStyle w:val="TableParagraph"/>
              <w:widowControl/>
              <w:suppressAutoHyphens/>
              <w:adjustRightInd w:val="0"/>
              <w:snapToGrid w:val="0"/>
              <w:ind w:left="0"/>
              <w:jc w:val="left"/>
            </w:pPr>
            <w:r w:rsidRPr="002B65F7">
              <w:t>Nombre</w:t>
            </w:r>
            <w:r w:rsidRPr="002B65F7">
              <w:rPr>
                <w:spacing w:val="-14"/>
              </w:rPr>
              <w:t xml:space="preserve"> </w:t>
            </w:r>
            <w:r w:rsidRPr="002B65F7">
              <w:t>de</w:t>
            </w:r>
            <w:r w:rsidRPr="002B65F7">
              <w:rPr>
                <w:spacing w:val="-14"/>
              </w:rPr>
              <w:t xml:space="preserve"> </w:t>
            </w:r>
            <w:r w:rsidRPr="002B65F7">
              <w:t xml:space="preserve">patients </w:t>
            </w:r>
            <w:r w:rsidRPr="002B65F7">
              <w:rPr>
                <w:spacing w:val="-2"/>
              </w:rPr>
              <w:t>randomisés</w:t>
            </w:r>
          </w:p>
        </w:tc>
        <w:tc>
          <w:tcPr>
            <w:tcW w:w="686" w:type="pct"/>
          </w:tcPr>
          <w:p w14:paraId="158447AC" w14:textId="77777777" w:rsidR="00FF5E44" w:rsidRPr="002B65F7" w:rsidRDefault="00FF5E44" w:rsidP="00CE7E90">
            <w:pPr>
              <w:pStyle w:val="TableParagraph"/>
              <w:widowControl/>
              <w:suppressAutoHyphens/>
              <w:adjustRightInd w:val="0"/>
              <w:snapToGrid w:val="0"/>
              <w:ind w:left="0"/>
            </w:pPr>
            <w:r w:rsidRPr="002B65F7">
              <w:rPr>
                <w:spacing w:val="-5"/>
              </w:rPr>
              <w:t>255</w:t>
            </w:r>
          </w:p>
        </w:tc>
        <w:tc>
          <w:tcPr>
            <w:tcW w:w="763" w:type="pct"/>
          </w:tcPr>
          <w:p w14:paraId="0EBE5B5E" w14:textId="77777777" w:rsidR="00FF5E44" w:rsidRPr="002B65F7" w:rsidRDefault="00FF5E44" w:rsidP="00CE7E90">
            <w:pPr>
              <w:pStyle w:val="TableParagraph"/>
              <w:widowControl/>
              <w:suppressAutoHyphens/>
              <w:adjustRightInd w:val="0"/>
              <w:snapToGrid w:val="0"/>
              <w:ind w:left="0"/>
            </w:pPr>
            <w:r w:rsidRPr="002B65F7">
              <w:rPr>
                <w:spacing w:val="-5"/>
              </w:rPr>
              <w:t>255</w:t>
            </w:r>
          </w:p>
        </w:tc>
        <w:tc>
          <w:tcPr>
            <w:tcW w:w="687" w:type="pct"/>
          </w:tcPr>
          <w:p w14:paraId="37C3DC5F" w14:textId="77777777" w:rsidR="00FF5E44" w:rsidRPr="002B65F7" w:rsidRDefault="00FF5E44" w:rsidP="00CE7E90">
            <w:pPr>
              <w:pStyle w:val="TableParagraph"/>
              <w:widowControl/>
              <w:suppressAutoHyphens/>
              <w:adjustRightInd w:val="0"/>
              <w:snapToGrid w:val="0"/>
              <w:ind w:left="0"/>
            </w:pPr>
            <w:r w:rsidRPr="002B65F7">
              <w:rPr>
                <w:spacing w:val="-5"/>
              </w:rPr>
              <w:t>256</w:t>
            </w:r>
          </w:p>
        </w:tc>
        <w:tc>
          <w:tcPr>
            <w:tcW w:w="773" w:type="pct"/>
          </w:tcPr>
          <w:p w14:paraId="6FE9FD54" w14:textId="77777777" w:rsidR="00FF5E44" w:rsidRPr="002B65F7" w:rsidRDefault="00FF5E44" w:rsidP="00CE7E90">
            <w:pPr>
              <w:pStyle w:val="TableParagraph"/>
              <w:widowControl/>
              <w:suppressAutoHyphens/>
              <w:adjustRightInd w:val="0"/>
              <w:snapToGrid w:val="0"/>
              <w:ind w:left="0"/>
            </w:pPr>
            <w:r w:rsidRPr="002B65F7">
              <w:rPr>
                <w:spacing w:val="-5"/>
              </w:rPr>
              <w:t>250</w:t>
            </w:r>
          </w:p>
        </w:tc>
        <w:tc>
          <w:tcPr>
            <w:tcW w:w="735" w:type="pct"/>
          </w:tcPr>
          <w:p w14:paraId="7EA87107" w14:textId="77777777" w:rsidR="00FF5E44" w:rsidRPr="002B65F7" w:rsidRDefault="00FF5E44" w:rsidP="00CE7E90">
            <w:pPr>
              <w:pStyle w:val="TableParagraph"/>
              <w:widowControl/>
              <w:suppressAutoHyphens/>
              <w:adjustRightInd w:val="0"/>
              <w:snapToGrid w:val="0"/>
              <w:ind w:left="0"/>
            </w:pPr>
            <w:r w:rsidRPr="002B65F7">
              <w:rPr>
                <w:spacing w:val="-5"/>
              </w:rPr>
              <w:t>243</w:t>
            </w:r>
          </w:p>
        </w:tc>
      </w:tr>
      <w:tr w:rsidR="00FF5E44" w:rsidRPr="002B65F7" w14:paraId="0FC5B3CC" w14:textId="77777777" w:rsidTr="00CE7E90">
        <w:trPr>
          <w:cantSplit/>
          <w:trHeight w:val="204"/>
        </w:trPr>
        <w:tc>
          <w:tcPr>
            <w:tcW w:w="1355" w:type="pct"/>
          </w:tcPr>
          <w:p w14:paraId="22CD79B8" w14:textId="77777777" w:rsidR="00FF5E44" w:rsidRPr="002B65F7" w:rsidRDefault="00FF5E44" w:rsidP="00CE7E90">
            <w:pPr>
              <w:pStyle w:val="TableParagraph"/>
              <w:widowControl/>
              <w:suppressAutoHyphens/>
              <w:adjustRightInd w:val="0"/>
              <w:snapToGrid w:val="0"/>
              <w:ind w:left="0"/>
              <w:jc w:val="left"/>
            </w:pPr>
            <w:r w:rsidRPr="002B65F7">
              <w:t>Réponse</w:t>
            </w:r>
            <w:r w:rsidRPr="002B65F7">
              <w:rPr>
                <w:spacing w:val="-3"/>
              </w:rPr>
              <w:t xml:space="preserve"> </w:t>
            </w:r>
            <w:r w:rsidRPr="002B65F7">
              <w:t>PASI 50</w:t>
            </w:r>
            <w:r w:rsidRPr="002B65F7">
              <w:rPr>
                <w:spacing w:val="-3"/>
              </w:rPr>
              <w:t xml:space="preserve"> </w:t>
            </w:r>
            <w:r w:rsidRPr="002B65F7">
              <w:t>N</w:t>
            </w:r>
            <w:r w:rsidRPr="002B65F7">
              <w:rPr>
                <w:spacing w:val="-3"/>
              </w:rPr>
              <w:t xml:space="preserve"> </w:t>
            </w:r>
            <w:r w:rsidRPr="002B65F7">
              <w:rPr>
                <w:spacing w:val="-5"/>
              </w:rPr>
              <w:t>(%)</w:t>
            </w:r>
          </w:p>
        </w:tc>
        <w:tc>
          <w:tcPr>
            <w:tcW w:w="686" w:type="pct"/>
          </w:tcPr>
          <w:p w14:paraId="3FC35C37" w14:textId="77777777" w:rsidR="00FF5E44" w:rsidRPr="002B65F7" w:rsidRDefault="00FF5E44" w:rsidP="00CE7E90">
            <w:pPr>
              <w:pStyle w:val="TableParagraph"/>
              <w:widowControl/>
              <w:suppressAutoHyphens/>
              <w:adjustRightInd w:val="0"/>
              <w:snapToGrid w:val="0"/>
              <w:ind w:left="0"/>
            </w:pPr>
            <w:r w:rsidRPr="002B65F7">
              <w:rPr>
                <w:spacing w:val="-5"/>
              </w:rPr>
              <w:t xml:space="preserve">26 </w:t>
            </w:r>
            <w:r w:rsidRPr="002B65F7">
              <w:rPr>
                <w:spacing w:val="-2"/>
              </w:rPr>
              <w:t>(10%)</w:t>
            </w:r>
          </w:p>
        </w:tc>
        <w:tc>
          <w:tcPr>
            <w:tcW w:w="763" w:type="pct"/>
          </w:tcPr>
          <w:p w14:paraId="44B571B0" w14:textId="77777777" w:rsidR="00FF5E44" w:rsidRPr="002B65F7" w:rsidRDefault="00FF5E44" w:rsidP="00CE7E90">
            <w:pPr>
              <w:pStyle w:val="TableParagraph"/>
              <w:widowControl/>
              <w:suppressAutoHyphens/>
              <w:adjustRightInd w:val="0"/>
              <w:snapToGrid w:val="0"/>
              <w:ind w:left="0"/>
            </w:pPr>
            <w:r w:rsidRPr="002B65F7">
              <w:t>213</w:t>
            </w:r>
            <w:r w:rsidRPr="002B65F7">
              <w:rPr>
                <w:spacing w:val="-6"/>
              </w:rPr>
              <w:t xml:space="preserve"> </w:t>
            </w:r>
            <w:r w:rsidRPr="002B65F7">
              <w:t>(84%)</w:t>
            </w:r>
            <w:r w:rsidRPr="002B65F7">
              <w:rPr>
                <w:spacing w:val="-10"/>
                <w:vertAlign w:val="superscript"/>
              </w:rPr>
              <w:t>a</w:t>
            </w:r>
          </w:p>
        </w:tc>
        <w:tc>
          <w:tcPr>
            <w:tcW w:w="687" w:type="pct"/>
          </w:tcPr>
          <w:p w14:paraId="7FD74041" w14:textId="77777777" w:rsidR="00FF5E44" w:rsidRPr="002B65F7" w:rsidRDefault="00FF5E44" w:rsidP="00CE7E90">
            <w:pPr>
              <w:pStyle w:val="TableParagraph"/>
              <w:widowControl/>
              <w:suppressAutoHyphens/>
              <w:adjustRightInd w:val="0"/>
              <w:snapToGrid w:val="0"/>
              <w:ind w:left="0"/>
            </w:pPr>
            <w:r w:rsidRPr="002B65F7">
              <w:t>220</w:t>
            </w:r>
            <w:r w:rsidRPr="002B65F7">
              <w:rPr>
                <w:spacing w:val="-6"/>
              </w:rPr>
              <w:t xml:space="preserve"> </w:t>
            </w:r>
            <w:r w:rsidRPr="002B65F7">
              <w:t>(86%)</w:t>
            </w:r>
            <w:r w:rsidRPr="002B65F7">
              <w:rPr>
                <w:spacing w:val="-10"/>
                <w:vertAlign w:val="superscript"/>
              </w:rPr>
              <w:t>a</w:t>
            </w:r>
          </w:p>
        </w:tc>
        <w:tc>
          <w:tcPr>
            <w:tcW w:w="773" w:type="pct"/>
          </w:tcPr>
          <w:p w14:paraId="7FC8FD36" w14:textId="77777777" w:rsidR="00FF5E44" w:rsidRPr="002B65F7" w:rsidRDefault="00FF5E44" w:rsidP="00CE7E90">
            <w:pPr>
              <w:pStyle w:val="TableParagraph"/>
              <w:widowControl/>
              <w:suppressAutoHyphens/>
              <w:adjustRightInd w:val="0"/>
              <w:snapToGrid w:val="0"/>
              <w:ind w:left="0"/>
            </w:pPr>
            <w:r w:rsidRPr="002B65F7">
              <w:t>228</w:t>
            </w:r>
            <w:r w:rsidRPr="002B65F7">
              <w:rPr>
                <w:spacing w:val="-2"/>
              </w:rPr>
              <w:t xml:space="preserve"> (91%)</w:t>
            </w:r>
          </w:p>
        </w:tc>
        <w:tc>
          <w:tcPr>
            <w:tcW w:w="735" w:type="pct"/>
          </w:tcPr>
          <w:p w14:paraId="5CA70DB5" w14:textId="77777777" w:rsidR="00FF5E44" w:rsidRPr="002B65F7" w:rsidRDefault="00FF5E44" w:rsidP="00CE7E90">
            <w:pPr>
              <w:pStyle w:val="TableParagraph"/>
              <w:widowControl/>
              <w:suppressAutoHyphens/>
              <w:adjustRightInd w:val="0"/>
              <w:snapToGrid w:val="0"/>
              <w:ind w:left="0"/>
            </w:pPr>
            <w:r w:rsidRPr="002B65F7">
              <w:t>234</w:t>
            </w:r>
            <w:r w:rsidRPr="002B65F7">
              <w:rPr>
                <w:spacing w:val="-2"/>
              </w:rPr>
              <w:t xml:space="preserve"> (96%)</w:t>
            </w:r>
          </w:p>
        </w:tc>
      </w:tr>
      <w:tr w:rsidR="00FF5E44" w:rsidRPr="002B65F7" w14:paraId="7C3F8AA4" w14:textId="77777777" w:rsidTr="00CE7E90">
        <w:trPr>
          <w:cantSplit/>
          <w:trHeight w:val="251"/>
        </w:trPr>
        <w:tc>
          <w:tcPr>
            <w:tcW w:w="1355" w:type="pct"/>
          </w:tcPr>
          <w:p w14:paraId="2E8F40D3" w14:textId="77777777" w:rsidR="00FF5E44" w:rsidRPr="002B65F7" w:rsidRDefault="00FF5E44" w:rsidP="00CE7E90">
            <w:pPr>
              <w:pStyle w:val="TableParagraph"/>
              <w:widowControl/>
              <w:suppressAutoHyphens/>
              <w:adjustRightInd w:val="0"/>
              <w:snapToGrid w:val="0"/>
              <w:ind w:left="0"/>
              <w:jc w:val="left"/>
            </w:pPr>
            <w:r w:rsidRPr="002B65F7">
              <w:t>Réponse</w:t>
            </w:r>
            <w:r w:rsidRPr="002B65F7">
              <w:rPr>
                <w:spacing w:val="-3"/>
              </w:rPr>
              <w:t xml:space="preserve"> </w:t>
            </w:r>
            <w:r w:rsidRPr="002B65F7">
              <w:t>PASI 75</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48B69C78" w14:textId="77777777" w:rsidR="00FF5E44" w:rsidRPr="002B65F7" w:rsidRDefault="00FF5E44" w:rsidP="00CE7E90">
            <w:pPr>
              <w:pStyle w:val="TableParagraph"/>
              <w:widowControl/>
              <w:suppressAutoHyphens/>
              <w:adjustRightInd w:val="0"/>
              <w:snapToGrid w:val="0"/>
              <w:ind w:left="0"/>
            </w:pPr>
            <w:r w:rsidRPr="002B65F7">
              <w:t>8</w:t>
            </w:r>
            <w:r w:rsidRPr="002B65F7">
              <w:rPr>
                <w:spacing w:val="-1"/>
              </w:rPr>
              <w:t xml:space="preserve"> </w:t>
            </w:r>
            <w:r w:rsidRPr="002B65F7">
              <w:rPr>
                <w:spacing w:val="-4"/>
              </w:rPr>
              <w:t>(3%)</w:t>
            </w:r>
          </w:p>
        </w:tc>
        <w:tc>
          <w:tcPr>
            <w:tcW w:w="763" w:type="pct"/>
          </w:tcPr>
          <w:p w14:paraId="209D7BD1" w14:textId="77777777" w:rsidR="00FF5E44" w:rsidRPr="002B65F7" w:rsidRDefault="00FF5E44" w:rsidP="00CE7E90">
            <w:pPr>
              <w:pStyle w:val="TableParagraph"/>
              <w:widowControl/>
              <w:suppressAutoHyphens/>
              <w:adjustRightInd w:val="0"/>
              <w:snapToGrid w:val="0"/>
              <w:ind w:left="0"/>
            </w:pPr>
            <w:r w:rsidRPr="002B65F7">
              <w:t>171</w:t>
            </w:r>
            <w:r w:rsidRPr="002B65F7">
              <w:rPr>
                <w:spacing w:val="-6"/>
              </w:rPr>
              <w:t xml:space="preserve"> </w:t>
            </w:r>
            <w:r w:rsidRPr="002B65F7">
              <w:t>(67%)</w:t>
            </w:r>
            <w:r w:rsidRPr="002B65F7">
              <w:rPr>
                <w:spacing w:val="-10"/>
                <w:vertAlign w:val="superscript"/>
              </w:rPr>
              <w:t>a</w:t>
            </w:r>
          </w:p>
        </w:tc>
        <w:tc>
          <w:tcPr>
            <w:tcW w:w="687" w:type="pct"/>
          </w:tcPr>
          <w:p w14:paraId="54A3BAB2" w14:textId="77777777" w:rsidR="00FF5E44" w:rsidRPr="002B65F7" w:rsidRDefault="00FF5E44" w:rsidP="00CE7E90">
            <w:pPr>
              <w:pStyle w:val="TableParagraph"/>
              <w:widowControl/>
              <w:suppressAutoHyphens/>
              <w:adjustRightInd w:val="0"/>
              <w:snapToGrid w:val="0"/>
              <w:ind w:left="0"/>
            </w:pPr>
            <w:r w:rsidRPr="002B65F7">
              <w:t>170</w:t>
            </w:r>
            <w:r w:rsidRPr="002B65F7">
              <w:rPr>
                <w:spacing w:val="-6"/>
              </w:rPr>
              <w:t xml:space="preserve"> </w:t>
            </w:r>
            <w:r w:rsidRPr="002B65F7">
              <w:t>(66%)</w:t>
            </w:r>
            <w:r w:rsidRPr="002B65F7">
              <w:rPr>
                <w:spacing w:val="-10"/>
                <w:vertAlign w:val="superscript"/>
              </w:rPr>
              <w:t>a</w:t>
            </w:r>
          </w:p>
        </w:tc>
        <w:tc>
          <w:tcPr>
            <w:tcW w:w="773" w:type="pct"/>
          </w:tcPr>
          <w:p w14:paraId="283E1A3A" w14:textId="77777777" w:rsidR="00FF5E44" w:rsidRPr="002B65F7" w:rsidRDefault="00FF5E44" w:rsidP="00CE7E90">
            <w:pPr>
              <w:pStyle w:val="TableParagraph"/>
              <w:widowControl/>
              <w:suppressAutoHyphens/>
              <w:adjustRightInd w:val="0"/>
              <w:snapToGrid w:val="0"/>
              <w:ind w:left="0"/>
            </w:pPr>
            <w:r w:rsidRPr="002B65F7">
              <w:t>178</w:t>
            </w:r>
            <w:r w:rsidRPr="002B65F7">
              <w:rPr>
                <w:spacing w:val="-2"/>
              </w:rPr>
              <w:t xml:space="preserve"> (71%)</w:t>
            </w:r>
          </w:p>
        </w:tc>
        <w:tc>
          <w:tcPr>
            <w:tcW w:w="735" w:type="pct"/>
          </w:tcPr>
          <w:p w14:paraId="7180FB8F" w14:textId="77777777" w:rsidR="00FF5E44" w:rsidRPr="002B65F7" w:rsidRDefault="00FF5E44" w:rsidP="00CE7E90">
            <w:pPr>
              <w:pStyle w:val="TableParagraph"/>
              <w:widowControl/>
              <w:suppressAutoHyphens/>
              <w:adjustRightInd w:val="0"/>
              <w:snapToGrid w:val="0"/>
              <w:ind w:left="0"/>
            </w:pPr>
            <w:r w:rsidRPr="002B65F7">
              <w:t>191</w:t>
            </w:r>
            <w:r w:rsidRPr="002B65F7">
              <w:rPr>
                <w:spacing w:val="-2"/>
              </w:rPr>
              <w:t xml:space="preserve"> (79%)</w:t>
            </w:r>
          </w:p>
        </w:tc>
      </w:tr>
      <w:tr w:rsidR="00FF5E44" w:rsidRPr="002B65F7" w14:paraId="620625FC" w14:textId="77777777" w:rsidTr="00CE7E90">
        <w:trPr>
          <w:cantSplit/>
          <w:trHeight w:val="253"/>
        </w:trPr>
        <w:tc>
          <w:tcPr>
            <w:tcW w:w="1355" w:type="pct"/>
          </w:tcPr>
          <w:p w14:paraId="2CB6B2C9" w14:textId="77777777" w:rsidR="00FF5E44" w:rsidRPr="002B65F7" w:rsidRDefault="00FF5E44" w:rsidP="00CE7E90">
            <w:pPr>
              <w:pStyle w:val="TableParagraph"/>
              <w:widowControl/>
              <w:suppressAutoHyphens/>
              <w:adjustRightInd w:val="0"/>
              <w:snapToGrid w:val="0"/>
              <w:ind w:left="0"/>
              <w:jc w:val="left"/>
            </w:pPr>
            <w:r w:rsidRPr="002B65F7">
              <w:t>Réponse</w:t>
            </w:r>
            <w:r w:rsidRPr="002B65F7">
              <w:rPr>
                <w:spacing w:val="-3"/>
              </w:rPr>
              <w:t xml:space="preserve"> </w:t>
            </w:r>
            <w:r w:rsidRPr="002B65F7">
              <w:t>PASI 90</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77F59093" w14:textId="77777777" w:rsidR="00FF5E44" w:rsidRPr="002B65F7" w:rsidRDefault="00FF5E44" w:rsidP="00CE7E90">
            <w:pPr>
              <w:pStyle w:val="TableParagraph"/>
              <w:widowControl/>
              <w:suppressAutoHyphens/>
              <w:adjustRightInd w:val="0"/>
              <w:snapToGrid w:val="0"/>
              <w:ind w:left="0"/>
            </w:pPr>
            <w:r w:rsidRPr="002B65F7">
              <w:t>5</w:t>
            </w:r>
            <w:r w:rsidRPr="002B65F7">
              <w:rPr>
                <w:spacing w:val="-1"/>
              </w:rPr>
              <w:t xml:space="preserve"> </w:t>
            </w:r>
            <w:r w:rsidRPr="002B65F7">
              <w:rPr>
                <w:spacing w:val="-4"/>
              </w:rPr>
              <w:t>(2%)</w:t>
            </w:r>
          </w:p>
        </w:tc>
        <w:tc>
          <w:tcPr>
            <w:tcW w:w="763" w:type="pct"/>
          </w:tcPr>
          <w:p w14:paraId="22B84327" w14:textId="77777777" w:rsidR="00FF5E44" w:rsidRPr="002B65F7" w:rsidRDefault="00FF5E44" w:rsidP="00CE7E90">
            <w:pPr>
              <w:pStyle w:val="TableParagraph"/>
              <w:widowControl/>
              <w:suppressAutoHyphens/>
              <w:adjustRightInd w:val="0"/>
              <w:snapToGrid w:val="0"/>
              <w:ind w:left="0"/>
            </w:pPr>
            <w:r w:rsidRPr="002B65F7">
              <w:t>106</w:t>
            </w:r>
            <w:r w:rsidRPr="002B65F7">
              <w:rPr>
                <w:spacing w:val="-6"/>
              </w:rPr>
              <w:t xml:space="preserve"> </w:t>
            </w:r>
            <w:r w:rsidRPr="002B65F7">
              <w:t>(42%)</w:t>
            </w:r>
            <w:r w:rsidRPr="002B65F7">
              <w:rPr>
                <w:spacing w:val="-10"/>
                <w:vertAlign w:val="superscript"/>
              </w:rPr>
              <w:t>a</w:t>
            </w:r>
          </w:p>
        </w:tc>
        <w:tc>
          <w:tcPr>
            <w:tcW w:w="687" w:type="pct"/>
          </w:tcPr>
          <w:p w14:paraId="11F4EA70" w14:textId="77777777" w:rsidR="00FF5E44" w:rsidRPr="002B65F7" w:rsidRDefault="00FF5E44" w:rsidP="00CE7E90">
            <w:pPr>
              <w:pStyle w:val="TableParagraph"/>
              <w:widowControl/>
              <w:suppressAutoHyphens/>
              <w:adjustRightInd w:val="0"/>
              <w:snapToGrid w:val="0"/>
              <w:ind w:left="0"/>
            </w:pPr>
            <w:r w:rsidRPr="002B65F7">
              <w:t>94</w:t>
            </w:r>
            <w:r w:rsidRPr="002B65F7">
              <w:rPr>
                <w:spacing w:val="-5"/>
              </w:rPr>
              <w:t xml:space="preserve"> </w:t>
            </w:r>
            <w:r w:rsidRPr="002B65F7">
              <w:t>(37%)</w:t>
            </w:r>
            <w:r w:rsidRPr="002B65F7">
              <w:rPr>
                <w:spacing w:val="-10"/>
                <w:vertAlign w:val="superscript"/>
              </w:rPr>
              <w:t>a</w:t>
            </w:r>
          </w:p>
        </w:tc>
        <w:tc>
          <w:tcPr>
            <w:tcW w:w="773" w:type="pct"/>
          </w:tcPr>
          <w:p w14:paraId="7BD29829" w14:textId="77777777" w:rsidR="00FF5E44" w:rsidRPr="002B65F7" w:rsidRDefault="00FF5E44" w:rsidP="00CE7E90">
            <w:pPr>
              <w:pStyle w:val="TableParagraph"/>
              <w:widowControl/>
              <w:suppressAutoHyphens/>
              <w:adjustRightInd w:val="0"/>
              <w:snapToGrid w:val="0"/>
              <w:ind w:left="0"/>
            </w:pPr>
            <w:r w:rsidRPr="002B65F7">
              <w:t>123</w:t>
            </w:r>
            <w:r w:rsidRPr="002B65F7">
              <w:rPr>
                <w:spacing w:val="-2"/>
              </w:rPr>
              <w:t xml:space="preserve"> (49%)</w:t>
            </w:r>
          </w:p>
        </w:tc>
        <w:tc>
          <w:tcPr>
            <w:tcW w:w="735" w:type="pct"/>
          </w:tcPr>
          <w:p w14:paraId="5924560D" w14:textId="77777777" w:rsidR="00FF5E44" w:rsidRPr="002B65F7" w:rsidRDefault="00FF5E44" w:rsidP="00CE7E90">
            <w:pPr>
              <w:pStyle w:val="TableParagraph"/>
              <w:widowControl/>
              <w:suppressAutoHyphens/>
              <w:adjustRightInd w:val="0"/>
              <w:snapToGrid w:val="0"/>
              <w:ind w:left="0"/>
            </w:pPr>
            <w:r w:rsidRPr="002B65F7">
              <w:t>135</w:t>
            </w:r>
            <w:r w:rsidRPr="002B65F7">
              <w:rPr>
                <w:spacing w:val="-2"/>
              </w:rPr>
              <w:t xml:space="preserve"> (56%)</w:t>
            </w:r>
          </w:p>
        </w:tc>
      </w:tr>
      <w:tr w:rsidR="00FF5E44" w:rsidRPr="002B65F7" w14:paraId="6A1AB512" w14:textId="77777777" w:rsidTr="00CE7E90">
        <w:trPr>
          <w:cantSplit/>
          <w:trHeight w:val="505"/>
        </w:trPr>
        <w:tc>
          <w:tcPr>
            <w:tcW w:w="1355" w:type="pct"/>
          </w:tcPr>
          <w:p w14:paraId="20EC18A7" w14:textId="77777777" w:rsidR="00FF5E44" w:rsidRPr="002B65F7" w:rsidRDefault="00FF5E44" w:rsidP="00CE7E90">
            <w:pPr>
              <w:pStyle w:val="TableParagraph"/>
              <w:widowControl/>
              <w:suppressAutoHyphens/>
              <w:adjustRightInd w:val="0"/>
              <w:snapToGrid w:val="0"/>
              <w:ind w:left="0"/>
              <w:jc w:val="left"/>
              <w:rPr>
                <w:lang w:val="pt-PT"/>
              </w:rPr>
            </w:pPr>
            <w:r w:rsidRPr="002B65F7">
              <w:rPr>
                <w:lang w:val="pt-PT"/>
              </w:rPr>
              <w:t>PGA</w:t>
            </w:r>
            <w:r w:rsidRPr="002B65F7">
              <w:rPr>
                <w:vertAlign w:val="superscript"/>
                <w:lang w:val="pt-PT"/>
              </w:rPr>
              <w:t>b</w:t>
            </w:r>
            <w:r w:rsidRPr="002B65F7">
              <w:rPr>
                <w:spacing w:val="-11"/>
                <w:lang w:val="pt-PT"/>
              </w:rPr>
              <w:t xml:space="preserve"> </w:t>
            </w:r>
            <w:r w:rsidRPr="002B65F7">
              <w:rPr>
                <w:lang w:val="pt-PT"/>
              </w:rPr>
              <w:t>blanchi</w:t>
            </w:r>
            <w:r w:rsidRPr="002B65F7">
              <w:rPr>
                <w:spacing w:val="-12"/>
                <w:lang w:val="pt-PT"/>
              </w:rPr>
              <w:t xml:space="preserve"> </w:t>
            </w:r>
            <w:r w:rsidRPr="002B65F7">
              <w:rPr>
                <w:lang w:val="pt-PT"/>
              </w:rPr>
              <w:t>ou</w:t>
            </w:r>
            <w:r w:rsidRPr="002B65F7">
              <w:rPr>
                <w:spacing w:val="-12"/>
                <w:lang w:val="pt-PT"/>
              </w:rPr>
              <w:t xml:space="preserve"> </w:t>
            </w:r>
            <w:r w:rsidRPr="002B65F7">
              <w:rPr>
                <w:lang w:val="pt-PT"/>
              </w:rPr>
              <w:t>minimal N (%)</w:t>
            </w:r>
          </w:p>
        </w:tc>
        <w:tc>
          <w:tcPr>
            <w:tcW w:w="686" w:type="pct"/>
          </w:tcPr>
          <w:p w14:paraId="1C7A8BEC" w14:textId="77777777" w:rsidR="00FF5E44" w:rsidRPr="002B65F7" w:rsidRDefault="00FF5E44" w:rsidP="00CE7E90">
            <w:pPr>
              <w:pStyle w:val="TableParagraph"/>
              <w:widowControl/>
              <w:suppressAutoHyphens/>
              <w:adjustRightInd w:val="0"/>
              <w:snapToGrid w:val="0"/>
              <w:ind w:left="0"/>
            </w:pPr>
            <w:r w:rsidRPr="002B65F7">
              <w:t>10</w:t>
            </w:r>
            <w:r w:rsidRPr="002B65F7">
              <w:rPr>
                <w:spacing w:val="-1"/>
              </w:rPr>
              <w:t xml:space="preserve"> </w:t>
            </w:r>
            <w:r w:rsidRPr="002B65F7">
              <w:rPr>
                <w:spacing w:val="-4"/>
              </w:rPr>
              <w:t>(4%)</w:t>
            </w:r>
          </w:p>
        </w:tc>
        <w:tc>
          <w:tcPr>
            <w:tcW w:w="763" w:type="pct"/>
          </w:tcPr>
          <w:p w14:paraId="24569AA1" w14:textId="77777777" w:rsidR="00FF5E44" w:rsidRPr="002B65F7" w:rsidRDefault="00FF5E44" w:rsidP="00CE7E90">
            <w:pPr>
              <w:pStyle w:val="TableParagraph"/>
              <w:widowControl/>
              <w:suppressAutoHyphens/>
              <w:adjustRightInd w:val="0"/>
              <w:snapToGrid w:val="0"/>
              <w:ind w:left="0"/>
            </w:pPr>
            <w:r w:rsidRPr="002B65F7">
              <w:t>151</w:t>
            </w:r>
            <w:r w:rsidRPr="002B65F7">
              <w:rPr>
                <w:spacing w:val="-6"/>
              </w:rPr>
              <w:t xml:space="preserve"> </w:t>
            </w:r>
            <w:r w:rsidRPr="002B65F7">
              <w:t>(59%)</w:t>
            </w:r>
            <w:r w:rsidRPr="002B65F7">
              <w:rPr>
                <w:spacing w:val="-10"/>
                <w:vertAlign w:val="superscript"/>
              </w:rPr>
              <w:t>a</w:t>
            </w:r>
          </w:p>
        </w:tc>
        <w:tc>
          <w:tcPr>
            <w:tcW w:w="687" w:type="pct"/>
          </w:tcPr>
          <w:p w14:paraId="2976C750" w14:textId="77777777" w:rsidR="00FF5E44" w:rsidRPr="002B65F7" w:rsidRDefault="00FF5E44" w:rsidP="00CE7E90">
            <w:pPr>
              <w:pStyle w:val="TableParagraph"/>
              <w:widowControl/>
              <w:suppressAutoHyphens/>
              <w:adjustRightInd w:val="0"/>
              <w:snapToGrid w:val="0"/>
              <w:ind w:left="0"/>
            </w:pPr>
            <w:r w:rsidRPr="002B65F7">
              <w:t>156</w:t>
            </w:r>
            <w:r w:rsidRPr="002B65F7">
              <w:rPr>
                <w:spacing w:val="-6"/>
              </w:rPr>
              <w:t xml:space="preserve"> </w:t>
            </w:r>
            <w:r w:rsidRPr="002B65F7">
              <w:t>(61%)</w:t>
            </w:r>
            <w:r w:rsidRPr="002B65F7">
              <w:rPr>
                <w:spacing w:val="-10"/>
                <w:vertAlign w:val="superscript"/>
              </w:rPr>
              <w:t>a</w:t>
            </w:r>
          </w:p>
        </w:tc>
        <w:tc>
          <w:tcPr>
            <w:tcW w:w="773" w:type="pct"/>
          </w:tcPr>
          <w:p w14:paraId="4CC92413" w14:textId="77777777" w:rsidR="00FF5E44" w:rsidRPr="002B65F7" w:rsidRDefault="00FF5E44" w:rsidP="00CE7E90">
            <w:pPr>
              <w:pStyle w:val="TableParagraph"/>
              <w:widowControl/>
              <w:suppressAutoHyphens/>
              <w:adjustRightInd w:val="0"/>
              <w:snapToGrid w:val="0"/>
              <w:ind w:left="0"/>
            </w:pPr>
            <w:r w:rsidRPr="002B65F7">
              <w:t>146</w:t>
            </w:r>
            <w:r w:rsidRPr="002B65F7">
              <w:rPr>
                <w:spacing w:val="-2"/>
              </w:rPr>
              <w:t xml:space="preserve"> (58%)</w:t>
            </w:r>
          </w:p>
        </w:tc>
        <w:tc>
          <w:tcPr>
            <w:tcW w:w="735" w:type="pct"/>
          </w:tcPr>
          <w:p w14:paraId="5B79C8D7" w14:textId="77777777" w:rsidR="00FF5E44" w:rsidRPr="002B65F7" w:rsidRDefault="00FF5E44" w:rsidP="00CE7E90">
            <w:pPr>
              <w:pStyle w:val="TableParagraph"/>
              <w:widowControl/>
              <w:suppressAutoHyphens/>
              <w:adjustRightInd w:val="0"/>
              <w:snapToGrid w:val="0"/>
              <w:ind w:left="0"/>
            </w:pPr>
            <w:r w:rsidRPr="002B65F7">
              <w:t>160</w:t>
            </w:r>
            <w:r w:rsidRPr="002B65F7">
              <w:rPr>
                <w:spacing w:val="-2"/>
              </w:rPr>
              <w:t xml:space="preserve"> (66%)</w:t>
            </w:r>
          </w:p>
        </w:tc>
      </w:tr>
      <w:tr w:rsidR="00FF5E44" w:rsidRPr="002B65F7" w14:paraId="79883441" w14:textId="77777777" w:rsidTr="00CE7E90">
        <w:trPr>
          <w:cantSplit/>
          <w:trHeight w:val="251"/>
        </w:trPr>
        <w:tc>
          <w:tcPr>
            <w:tcW w:w="1355" w:type="pct"/>
          </w:tcPr>
          <w:p w14:paraId="1DA172FF" w14:textId="77777777" w:rsidR="00FF5E44" w:rsidRPr="002B65F7" w:rsidRDefault="00FF5E44" w:rsidP="00CE7E90">
            <w:pPr>
              <w:pStyle w:val="TableParagraph"/>
              <w:widowControl/>
              <w:suppressAutoHyphens/>
              <w:adjustRightInd w:val="0"/>
              <w:snapToGrid w:val="0"/>
              <w:ind w:left="0"/>
              <w:jc w:val="left"/>
            </w:pPr>
            <w:r w:rsidRPr="002B65F7">
              <w:t>Nombre</w:t>
            </w:r>
            <w:r w:rsidRPr="002B65F7">
              <w:rPr>
                <w:spacing w:val="-3"/>
              </w:rPr>
              <w:t xml:space="preserve"> </w:t>
            </w:r>
            <w:r w:rsidRPr="002B65F7">
              <w:t>de</w:t>
            </w:r>
            <w:r w:rsidRPr="002B65F7">
              <w:rPr>
                <w:spacing w:val="-2"/>
              </w:rPr>
              <w:t xml:space="preserve"> </w:t>
            </w:r>
            <w:r w:rsidRPr="002B65F7">
              <w:t>patients</w:t>
            </w:r>
            <w:r w:rsidRPr="002B65F7">
              <w:rPr>
                <w:spacing w:val="-5"/>
              </w:rPr>
              <w:t> </w:t>
            </w:r>
            <w:r w:rsidRPr="002B65F7">
              <w:t>≤</w:t>
            </w:r>
            <w:r w:rsidRPr="002B65F7">
              <w:rPr>
                <w:spacing w:val="-1"/>
              </w:rPr>
              <w:t> </w:t>
            </w:r>
            <w:r w:rsidRPr="002B65F7">
              <w:t>100 </w:t>
            </w:r>
            <w:r w:rsidRPr="002B65F7">
              <w:rPr>
                <w:spacing w:val="-5"/>
              </w:rPr>
              <w:t>kg</w:t>
            </w:r>
          </w:p>
        </w:tc>
        <w:tc>
          <w:tcPr>
            <w:tcW w:w="686" w:type="pct"/>
          </w:tcPr>
          <w:p w14:paraId="55C552FD" w14:textId="77777777" w:rsidR="00FF5E44" w:rsidRPr="002B65F7" w:rsidRDefault="00FF5E44" w:rsidP="00CE7E90">
            <w:pPr>
              <w:pStyle w:val="TableParagraph"/>
              <w:widowControl/>
              <w:suppressAutoHyphens/>
              <w:adjustRightInd w:val="0"/>
              <w:snapToGrid w:val="0"/>
              <w:ind w:left="0"/>
            </w:pPr>
            <w:r w:rsidRPr="002B65F7">
              <w:rPr>
                <w:spacing w:val="-5"/>
              </w:rPr>
              <w:t>166</w:t>
            </w:r>
          </w:p>
        </w:tc>
        <w:tc>
          <w:tcPr>
            <w:tcW w:w="763" w:type="pct"/>
          </w:tcPr>
          <w:p w14:paraId="0E0D9026" w14:textId="77777777" w:rsidR="00FF5E44" w:rsidRPr="002B65F7" w:rsidRDefault="00FF5E44" w:rsidP="00CE7E90">
            <w:pPr>
              <w:pStyle w:val="TableParagraph"/>
              <w:widowControl/>
              <w:suppressAutoHyphens/>
              <w:adjustRightInd w:val="0"/>
              <w:snapToGrid w:val="0"/>
              <w:ind w:left="0"/>
            </w:pPr>
            <w:r w:rsidRPr="002B65F7">
              <w:rPr>
                <w:spacing w:val="-5"/>
              </w:rPr>
              <w:t>168</w:t>
            </w:r>
          </w:p>
        </w:tc>
        <w:tc>
          <w:tcPr>
            <w:tcW w:w="687" w:type="pct"/>
          </w:tcPr>
          <w:p w14:paraId="395FCC49" w14:textId="77777777" w:rsidR="00FF5E44" w:rsidRPr="002B65F7" w:rsidRDefault="00FF5E44" w:rsidP="00CE7E90">
            <w:pPr>
              <w:pStyle w:val="TableParagraph"/>
              <w:widowControl/>
              <w:suppressAutoHyphens/>
              <w:adjustRightInd w:val="0"/>
              <w:snapToGrid w:val="0"/>
              <w:ind w:left="0"/>
            </w:pPr>
            <w:r w:rsidRPr="002B65F7">
              <w:rPr>
                <w:spacing w:val="-5"/>
              </w:rPr>
              <w:t>164</w:t>
            </w:r>
          </w:p>
        </w:tc>
        <w:tc>
          <w:tcPr>
            <w:tcW w:w="773" w:type="pct"/>
          </w:tcPr>
          <w:p w14:paraId="2B2CD520" w14:textId="77777777" w:rsidR="00FF5E44" w:rsidRPr="002B65F7" w:rsidRDefault="00FF5E44" w:rsidP="00CE7E90">
            <w:pPr>
              <w:pStyle w:val="TableParagraph"/>
              <w:widowControl/>
              <w:suppressAutoHyphens/>
              <w:adjustRightInd w:val="0"/>
              <w:snapToGrid w:val="0"/>
              <w:ind w:left="0"/>
            </w:pPr>
            <w:r w:rsidRPr="002B65F7">
              <w:rPr>
                <w:spacing w:val="-5"/>
              </w:rPr>
              <w:t>164</w:t>
            </w:r>
          </w:p>
        </w:tc>
        <w:tc>
          <w:tcPr>
            <w:tcW w:w="735" w:type="pct"/>
          </w:tcPr>
          <w:p w14:paraId="71F906D6" w14:textId="77777777" w:rsidR="00FF5E44" w:rsidRPr="002B65F7" w:rsidRDefault="00FF5E44" w:rsidP="00CE7E90">
            <w:pPr>
              <w:pStyle w:val="TableParagraph"/>
              <w:widowControl/>
              <w:suppressAutoHyphens/>
              <w:adjustRightInd w:val="0"/>
              <w:snapToGrid w:val="0"/>
              <w:ind w:left="0"/>
            </w:pPr>
            <w:r w:rsidRPr="002B65F7">
              <w:rPr>
                <w:spacing w:val="-5"/>
              </w:rPr>
              <w:t>153</w:t>
            </w:r>
          </w:p>
        </w:tc>
      </w:tr>
      <w:tr w:rsidR="00FF5E44" w:rsidRPr="002B65F7" w14:paraId="256794AF" w14:textId="77777777" w:rsidTr="00CE7E90">
        <w:trPr>
          <w:cantSplit/>
          <w:trHeight w:val="253"/>
        </w:trPr>
        <w:tc>
          <w:tcPr>
            <w:tcW w:w="1355" w:type="pct"/>
          </w:tcPr>
          <w:p w14:paraId="79498CD5" w14:textId="77777777" w:rsidR="00FF5E44" w:rsidRPr="002B65F7" w:rsidRDefault="00FF5E44" w:rsidP="00CE7E90">
            <w:pPr>
              <w:pStyle w:val="TableParagraph"/>
              <w:widowControl/>
              <w:suppressAutoHyphens/>
              <w:adjustRightInd w:val="0"/>
              <w:snapToGrid w:val="0"/>
              <w:ind w:left="0"/>
              <w:jc w:val="left"/>
            </w:pPr>
            <w:r w:rsidRPr="002B65F7">
              <w:t>Réponse</w:t>
            </w:r>
            <w:r w:rsidRPr="002B65F7">
              <w:rPr>
                <w:spacing w:val="-4"/>
              </w:rPr>
              <w:t xml:space="preserve"> </w:t>
            </w:r>
            <w:r w:rsidRPr="002B65F7">
              <w:t>PASI 75</w:t>
            </w:r>
            <w:r w:rsidRPr="002B65F7">
              <w:rPr>
                <w:spacing w:val="-2"/>
              </w:rPr>
              <w:t xml:space="preserve"> </w:t>
            </w:r>
            <w:r w:rsidRPr="002B65F7">
              <w:t>N</w:t>
            </w:r>
            <w:r w:rsidRPr="002B65F7">
              <w:rPr>
                <w:spacing w:val="-2"/>
              </w:rPr>
              <w:t xml:space="preserve"> </w:t>
            </w:r>
            <w:r w:rsidRPr="002B65F7">
              <w:rPr>
                <w:spacing w:val="-5"/>
              </w:rPr>
              <w:t>(%)</w:t>
            </w:r>
          </w:p>
        </w:tc>
        <w:tc>
          <w:tcPr>
            <w:tcW w:w="686" w:type="pct"/>
          </w:tcPr>
          <w:p w14:paraId="15ACC4E3" w14:textId="77777777" w:rsidR="00FF5E44" w:rsidRPr="002B65F7" w:rsidRDefault="00FF5E44" w:rsidP="00CE7E90">
            <w:pPr>
              <w:pStyle w:val="TableParagraph"/>
              <w:widowControl/>
              <w:suppressAutoHyphens/>
              <w:adjustRightInd w:val="0"/>
              <w:snapToGrid w:val="0"/>
              <w:ind w:left="0"/>
            </w:pPr>
            <w:r w:rsidRPr="002B65F7">
              <w:t>6</w:t>
            </w:r>
            <w:r w:rsidRPr="002B65F7">
              <w:rPr>
                <w:spacing w:val="-1"/>
              </w:rPr>
              <w:t xml:space="preserve"> </w:t>
            </w:r>
            <w:r w:rsidRPr="002B65F7">
              <w:rPr>
                <w:spacing w:val="-4"/>
              </w:rPr>
              <w:t>(4%)</w:t>
            </w:r>
          </w:p>
        </w:tc>
        <w:tc>
          <w:tcPr>
            <w:tcW w:w="763" w:type="pct"/>
          </w:tcPr>
          <w:p w14:paraId="2009F589" w14:textId="77777777" w:rsidR="00FF5E44" w:rsidRPr="002B65F7" w:rsidRDefault="00FF5E44" w:rsidP="00CE7E90">
            <w:pPr>
              <w:pStyle w:val="TableParagraph"/>
              <w:widowControl/>
              <w:suppressAutoHyphens/>
              <w:adjustRightInd w:val="0"/>
              <w:snapToGrid w:val="0"/>
              <w:ind w:left="0"/>
            </w:pPr>
            <w:r w:rsidRPr="002B65F7">
              <w:t>124</w:t>
            </w:r>
            <w:r w:rsidRPr="002B65F7">
              <w:rPr>
                <w:spacing w:val="-2"/>
              </w:rPr>
              <w:t xml:space="preserve"> (74%)</w:t>
            </w:r>
          </w:p>
        </w:tc>
        <w:tc>
          <w:tcPr>
            <w:tcW w:w="687" w:type="pct"/>
          </w:tcPr>
          <w:p w14:paraId="391D3DAB" w14:textId="77777777" w:rsidR="00FF5E44" w:rsidRPr="002B65F7" w:rsidRDefault="00FF5E44" w:rsidP="00CE7E90">
            <w:pPr>
              <w:pStyle w:val="TableParagraph"/>
              <w:widowControl/>
              <w:suppressAutoHyphens/>
              <w:adjustRightInd w:val="0"/>
              <w:snapToGrid w:val="0"/>
              <w:ind w:left="0"/>
            </w:pPr>
            <w:r w:rsidRPr="002B65F7">
              <w:t>107</w:t>
            </w:r>
            <w:r w:rsidRPr="002B65F7">
              <w:rPr>
                <w:spacing w:val="-2"/>
              </w:rPr>
              <w:t xml:space="preserve"> (65%)</w:t>
            </w:r>
          </w:p>
        </w:tc>
        <w:tc>
          <w:tcPr>
            <w:tcW w:w="773" w:type="pct"/>
          </w:tcPr>
          <w:p w14:paraId="31D3AC1A" w14:textId="77777777" w:rsidR="00FF5E44" w:rsidRPr="002B65F7" w:rsidRDefault="00FF5E44" w:rsidP="00CE7E90">
            <w:pPr>
              <w:pStyle w:val="TableParagraph"/>
              <w:widowControl/>
              <w:suppressAutoHyphens/>
              <w:adjustRightInd w:val="0"/>
              <w:snapToGrid w:val="0"/>
              <w:ind w:left="0"/>
            </w:pPr>
            <w:r w:rsidRPr="002B65F7">
              <w:t>130</w:t>
            </w:r>
            <w:r w:rsidRPr="002B65F7">
              <w:rPr>
                <w:spacing w:val="-2"/>
              </w:rPr>
              <w:t xml:space="preserve"> (79%)</w:t>
            </w:r>
          </w:p>
        </w:tc>
        <w:tc>
          <w:tcPr>
            <w:tcW w:w="735" w:type="pct"/>
          </w:tcPr>
          <w:p w14:paraId="207E3943" w14:textId="77777777" w:rsidR="00FF5E44" w:rsidRPr="002B65F7" w:rsidRDefault="00FF5E44" w:rsidP="00CE7E90">
            <w:pPr>
              <w:pStyle w:val="TableParagraph"/>
              <w:widowControl/>
              <w:suppressAutoHyphens/>
              <w:adjustRightInd w:val="0"/>
              <w:snapToGrid w:val="0"/>
              <w:ind w:left="0"/>
            </w:pPr>
            <w:r w:rsidRPr="002B65F7">
              <w:t>124</w:t>
            </w:r>
            <w:r w:rsidRPr="002B65F7">
              <w:rPr>
                <w:spacing w:val="-2"/>
              </w:rPr>
              <w:t xml:space="preserve"> (81%)</w:t>
            </w:r>
          </w:p>
        </w:tc>
      </w:tr>
      <w:tr w:rsidR="00FF5E44" w:rsidRPr="002B65F7" w14:paraId="410868CB" w14:textId="77777777" w:rsidTr="00CE7E90">
        <w:trPr>
          <w:cantSplit/>
          <w:trHeight w:val="251"/>
        </w:trPr>
        <w:tc>
          <w:tcPr>
            <w:tcW w:w="1355" w:type="pct"/>
          </w:tcPr>
          <w:p w14:paraId="11BFD325" w14:textId="77777777" w:rsidR="00FF5E44" w:rsidRPr="002B65F7" w:rsidRDefault="00FF5E44" w:rsidP="00CE7E90">
            <w:pPr>
              <w:pStyle w:val="TableParagraph"/>
              <w:widowControl/>
              <w:suppressAutoHyphens/>
              <w:adjustRightInd w:val="0"/>
              <w:snapToGrid w:val="0"/>
              <w:ind w:left="0"/>
              <w:jc w:val="left"/>
            </w:pPr>
            <w:r w:rsidRPr="002B65F7">
              <w:t>Nombre</w:t>
            </w:r>
            <w:r w:rsidRPr="002B65F7">
              <w:rPr>
                <w:spacing w:val="-3"/>
              </w:rPr>
              <w:t xml:space="preserve"> </w:t>
            </w:r>
            <w:r w:rsidRPr="002B65F7">
              <w:t>de</w:t>
            </w:r>
            <w:r w:rsidRPr="002B65F7">
              <w:rPr>
                <w:spacing w:val="-2"/>
              </w:rPr>
              <w:t xml:space="preserve"> </w:t>
            </w:r>
            <w:r w:rsidRPr="002B65F7">
              <w:t>patients</w:t>
            </w:r>
            <w:r w:rsidRPr="002B65F7">
              <w:rPr>
                <w:spacing w:val="-3"/>
              </w:rPr>
              <w:t> </w:t>
            </w:r>
            <w:r w:rsidRPr="002B65F7">
              <w:t>&gt;</w:t>
            </w:r>
            <w:r w:rsidRPr="002B65F7">
              <w:rPr>
                <w:spacing w:val="-4"/>
              </w:rPr>
              <w:t> </w:t>
            </w:r>
            <w:r w:rsidRPr="002B65F7">
              <w:t>100 </w:t>
            </w:r>
            <w:r w:rsidRPr="002B65F7">
              <w:rPr>
                <w:spacing w:val="-5"/>
              </w:rPr>
              <w:t>kg</w:t>
            </w:r>
          </w:p>
        </w:tc>
        <w:tc>
          <w:tcPr>
            <w:tcW w:w="686" w:type="pct"/>
          </w:tcPr>
          <w:p w14:paraId="0713F68E" w14:textId="77777777" w:rsidR="00FF5E44" w:rsidRPr="002B65F7" w:rsidRDefault="00FF5E44" w:rsidP="00CE7E90">
            <w:pPr>
              <w:pStyle w:val="TableParagraph"/>
              <w:widowControl/>
              <w:suppressAutoHyphens/>
              <w:adjustRightInd w:val="0"/>
              <w:snapToGrid w:val="0"/>
              <w:ind w:left="0"/>
            </w:pPr>
            <w:r w:rsidRPr="002B65F7">
              <w:rPr>
                <w:spacing w:val="-5"/>
              </w:rPr>
              <w:t>89</w:t>
            </w:r>
          </w:p>
        </w:tc>
        <w:tc>
          <w:tcPr>
            <w:tcW w:w="763" w:type="pct"/>
          </w:tcPr>
          <w:p w14:paraId="23E65D56" w14:textId="77777777" w:rsidR="00FF5E44" w:rsidRPr="002B65F7" w:rsidRDefault="00FF5E44" w:rsidP="00CE7E90">
            <w:pPr>
              <w:pStyle w:val="TableParagraph"/>
              <w:widowControl/>
              <w:suppressAutoHyphens/>
              <w:adjustRightInd w:val="0"/>
              <w:snapToGrid w:val="0"/>
              <w:ind w:left="0"/>
            </w:pPr>
            <w:r w:rsidRPr="002B65F7">
              <w:rPr>
                <w:spacing w:val="-5"/>
              </w:rPr>
              <w:t>87</w:t>
            </w:r>
          </w:p>
        </w:tc>
        <w:tc>
          <w:tcPr>
            <w:tcW w:w="687" w:type="pct"/>
          </w:tcPr>
          <w:p w14:paraId="5797651D" w14:textId="77777777" w:rsidR="00FF5E44" w:rsidRPr="002B65F7" w:rsidRDefault="00FF5E44" w:rsidP="00CE7E90">
            <w:pPr>
              <w:pStyle w:val="TableParagraph"/>
              <w:widowControl/>
              <w:suppressAutoHyphens/>
              <w:adjustRightInd w:val="0"/>
              <w:snapToGrid w:val="0"/>
              <w:ind w:left="0"/>
            </w:pPr>
            <w:r w:rsidRPr="002B65F7">
              <w:rPr>
                <w:spacing w:val="-5"/>
              </w:rPr>
              <w:t>92</w:t>
            </w:r>
          </w:p>
        </w:tc>
        <w:tc>
          <w:tcPr>
            <w:tcW w:w="773" w:type="pct"/>
          </w:tcPr>
          <w:p w14:paraId="660EDE34" w14:textId="77777777" w:rsidR="00FF5E44" w:rsidRPr="002B65F7" w:rsidRDefault="00FF5E44" w:rsidP="00CE7E90">
            <w:pPr>
              <w:pStyle w:val="TableParagraph"/>
              <w:widowControl/>
              <w:suppressAutoHyphens/>
              <w:adjustRightInd w:val="0"/>
              <w:snapToGrid w:val="0"/>
              <w:ind w:left="0"/>
            </w:pPr>
            <w:r w:rsidRPr="002B65F7">
              <w:rPr>
                <w:spacing w:val="-5"/>
              </w:rPr>
              <w:t>86</w:t>
            </w:r>
          </w:p>
        </w:tc>
        <w:tc>
          <w:tcPr>
            <w:tcW w:w="735" w:type="pct"/>
          </w:tcPr>
          <w:p w14:paraId="636F5478" w14:textId="77777777" w:rsidR="00FF5E44" w:rsidRPr="002B65F7" w:rsidRDefault="00FF5E44" w:rsidP="00CE7E90">
            <w:pPr>
              <w:pStyle w:val="TableParagraph"/>
              <w:widowControl/>
              <w:suppressAutoHyphens/>
              <w:adjustRightInd w:val="0"/>
              <w:snapToGrid w:val="0"/>
              <w:ind w:left="0"/>
            </w:pPr>
            <w:r w:rsidRPr="002B65F7">
              <w:rPr>
                <w:spacing w:val="-5"/>
              </w:rPr>
              <w:t>90</w:t>
            </w:r>
          </w:p>
        </w:tc>
      </w:tr>
      <w:tr w:rsidR="00FF5E44" w:rsidRPr="002B65F7" w14:paraId="6A87EC7C" w14:textId="77777777" w:rsidTr="00CE7E90">
        <w:trPr>
          <w:cantSplit/>
          <w:trHeight w:val="253"/>
        </w:trPr>
        <w:tc>
          <w:tcPr>
            <w:tcW w:w="1355" w:type="pct"/>
          </w:tcPr>
          <w:p w14:paraId="7AA90E7B" w14:textId="77777777" w:rsidR="00FF5E44" w:rsidRPr="002B65F7" w:rsidRDefault="00FF5E44" w:rsidP="00CE7E90">
            <w:pPr>
              <w:pStyle w:val="TableParagraph"/>
              <w:widowControl/>
              <w:suppressAutoHyphens/>
              <w:adjustRightInd w:val="0"/>
              <w:snapToGrid w:val="0"/>
              <w:ind w:left="0"/>
              <w:jc w:val="left"/>
            </w:pPr>
            <w:r w:rsidRPr="002B65F7">
              <w:t>Réponse</w:t>
            </w:r>
            <w:r w:rsidRPr="002B65F7">
              <w:rPr>
                <w:spacing w:val="-4"/>
              </w:rPr>
              <w:t xml:space="preserve"> </w:t>
            </w:r>
            <w:r w:rsidRPr="002B65F7">
              <w:t>PASI 75</w:t>
            </w:r>
            <w:r w:rsidRPr="002B65F7">
              <w:rPr>
                <w:spacing w:val="-2"/>
              </w:rPr>
              <w:t xml:space="preserve"> </w:t>
            </w:r>
            <w:r w:rsidRPr="002B65F7">
              <w:t>N</w:t>
            </w:r>
            <w:r w:rsidRPr="002B65F7">
              <w:rPr>
                <w:spacing w:val="-2"/>
              </w:rPr>
              <w:t xml:space="preserve"> </w:t>
            </w:r>
            <w:r w:rsidRPr="002B65F7">
              <w:rPr>
                <w:spacing w:val="-5"/>
              </w:rPr>
              <w:t>(%)</w:t>
            </w:r>
          </w:p>
        </w:tc>
        <w:tc>
          <w:tcPr>
            <w:tcW w:w="686" w:type="pct"/>
          </w:tcPr>
          <w:p w14:paraId="429D839D" w14:textId="77777777" w:rsidR="00FF5E44" w:rsidRPr="002B65F7" w:rsidRDefault="00FF5E44" w:rsidP="00CE7E90">
            <w:pPr>
              <w:pStyle w:val="TableParagraph"/>
              <w:widowControl/>
              <w:suppressAutoHyphens/>
              <w:adjustRightInd w:val="0"/>
              <w:snapToGrid w:val="0"/>
              <w:ind w:left="0"/>
            </w:pPr>
            <w:r w:rsidRPr="002B65F7">
              <w:t>2</w:t>
            </w:r>
            <w:r w:rsidRPr="002B65F7">
              <w:rPr>
                <w:spacing w:val="-1"/>
              </w:rPr>
              <w:t xml:space="preserve"> </w:t>
            </w:r>
            <w:r w:rsidRPr="002B65F7">
              <w:rPr>
                <w:spacing w:val="-4"/>
              </w:rPr>
              <w:t>(2%)</w:t>
            </w:r>
          </w:p>
        </w:tc>
        <w:tc>
          <w:tcPr>
            <w:tcW w:w="763" w:type="pct"/>
          </w:tcPr>
          <w:p w14:paraId="2FCEEC7D" w14:textId="77777777" w:rsidR="00FF5E44" w:rsidRPr="002B65F7" w:rsidRDefault="00FF5E44" w:rsidP="00CE7E90">
            <w:pPr>
              <w:pStyle w:val="TableParagraph"/>
              <w:widowControl/>
              <w:suppressAutoHyphens/>
              <w:adjustRightInd w:val="0"/>
              <w:snapToGrid w:val="0"/>
              <w:ind w:left="0"/>
            </w:pPr>
            <w:r w:rsidRPr="002B65F7">
              <w:t>47</w:t>
            </w:r>
            <w:r w:rsidRPr="002B65F7">
              <w:rPr>
                <w:spacing w:val="-1"/>
              </w:rPr>
              <w:t xml:space="preserve"> </w:t>
            </w:r>
            <w:r w:rsidRPr="002B65F7">
              <w:rPr>
                <w:spacing w:val="-2"/>
              </w:rPr>
              <w:t>(54%)</w:t>
            </w:r>
          </w:p>
        </w:tc>
        <w:tc>
          <w:tcPr>
            <w:tcW w:w="687" w:type="pct"/>
          </w:tcPr>
          <w:p w14:paraId="305331B5" w14:textId="77777777" w:rsidR="00FF5E44" w:rsidRPr="002B65F7" w:rsidRDefault="00FF5E44" w:rsidP="00CE7E90">
            <w:pPr>
              <w:pStyle w:val="TableParagraph"/>
              <w:widowControl/>
              <w:suppressAutoHyphens/>
              <w:adjustRightInd w:val="0"/>
              <w:snapToGrid w:val="0"/>
              <w:ind w:left="0"/>
            </w:pPr>
            <w:r w:rsidRPr="002B65F7">
              <w:t>63</w:t>
            </w:r>
            <w:r w:rsidRPr="002B65F7">
              <w:rPr>
                <w:spacing w:val="-1"/>
              </w:rPr>
              <w:t xml:space="preserve"> </w:t>
            </w:r>
            <w:r w:rsidRPr="002B65F7">
              <w:rPr>
                <w:spacing w:val="-2"/>
              </w:rPr>
              <w:t>(68%)</w:t>
            </w:r>
          </w:p>
        </w:tc>
        <w:tc>
          <w:tcPr>
            <w:tcW w:w="773" w:type="pct"/>
          </w:tcPr>
          <w:p w14:paraId="02A6AC5F" w14:textId="77777777" w:rsidR="00FF5E44" w:rsidRPr="002B65F7" w:rsidRDefault="00FF5E44" w:rsidP="00CE7E90">
            <w:pPr>
              <w:pStyle w:val="TableParagraph"/>
              <w:widowControl/>
              <w:suppressAutoHyphens/>
              <w:adjustRightInd w:val="0"/>
              <w:snapToGrid w:val="0"/>
              <w:ind w:left="0"/>
            </w:pPr>
            <w:r w:rsidRPr="002B65F7">
              <w:t>48</w:t>
            </w:r>
            <w:r w:rsidRPr="002B65F7">
              <w:rPr>
                <w:spacing w:val="-1"/>
              </w:rPr>
              <w:t xml:space="preserve"> </w:t>
            </w:r>
            <w:r w:rsidRPr="002B65F7">
              <w:rPr>
                <w:spacing w:val="-2"/>
              </w:rPr>
              <w:t>(56%)</w:t>
            </w:r>
          </w:p>
        </w:tc>
        <w:tc>
          <w:tcPr>
            <w:tcW w:w="735" w:type="pct"/>
          </w:tcPr>
          <w:p w14:paraId="4F2F7427" w14:textId="77777777" w:rsidR="00FF5E44" w:rsidRPr="002B65F7" w:rsidRDefault="00FF5E44" w:rsidP="00CE7E90">
            <w:pPr>
              <w:pStyle w:val="TableParagraph"/>
              <w:widowControl/>
              <w:suppressAutoHyphens/>
              <w:adjustRightInd w:val="0"/>
              <w:snapToGrid w:val="0"/>
              <w:ind w:left="0"/>
            </w:pPr>
            <w:r w:rsidRPr="002B65F7">
              <w:t>67</w:t>
            </w:r>
            <w:r w:rsidRPr="002B65F7">
              <w:rPr>
                <w:spacing w:val="-1"/>
              </w:rPr>
              <w:t xml:space="preserve"> </w:t>
            </w:r>
            <w:r w:rsidRPr="002B65F7">
              <w:rPr>
                <w:spacing w:val="-2"/>
              </w:rPr>
              <w:t>(74%)</w:t>
            </w:r>
          </w:p>
        </w:tc>
      </w:tr>
      <w:tr w:rsidR="00FF5E44" w:rsidRPr="002B65F7" w14:paraId="65606DEB" w14:textId="77777777" w:rsidTr="00CE7E90">
        <w:trPr>
          <w:cantSplit/>
          <w:trHeight w:val="254"/>
        </w:trPr>
        <w:tc>
          <w:tcPr>
            <w:tcW w:w="1355" w:type="pct"/>
          </w:tcPr>
          <w:p w14:paraId="7B884C9A" w14:textId="77777777" w:rsidR="00FF5E44" w:rsidRPr="002B65F7" w:rsidRDefault="00FF5E44" w:rsidP="00CE7E90">
            <w:pPr>
              <w:pStyle w:val="TableParagraph"/>
              <w:widowControl/>
              <w:suppressAutoHyphens/>
              <w:adjustRightInd w:val="0"/>
              <w:snapToGrid w:val="0"/>
              <w:ind w:left="0"/>
              <w:jc w:val="left"/>
              <w:rPr>
                <w:sz w:val="18"/>
              </w:rPr>
            </w:pPr>
          </w:p>
        </w:tc>
        <w:tc>
          <w:tcPr>
            <w:tcW w:w="686" w:type="pct"/>
          </w:tcPr>
          <w:p w14:paraId="36EF9DF1" w14:textId="77777777" w:rsidR="00FF5E44" w:rsidRPr="002B65F7" w:rsidRDefault="00FF5E44" w:rsidP="00CE7E90">
            <w:pPr>
              <w:pStyle w:val="TableParagraph"/>
              <w:widowControl/>
              <w:suppressAutoHyphens/>
              <w:adjustRightInd w:val="0"/>
              <w:snapToGrid w:val="0"/>
              <w:ind w:left="0"/>
              <w:jc w:val="left"/>
              <w:rPr>
                <w:sz w:val="18"/>
              </w:rPr>
            </w:pPr>
          </w:p>
        </w:tc>
        <w:tc>
          <w:tcPr>
            <w:tcW w:w="763" w:type="pct"/>
          </w:tcPr>
          <w:p w14:paraId="218AF2E8" w14:textId="77777777" w:rsidR="00FF5E44" w:rsidRPr="002B65F7" w:rsidRDefault="00FF5E44" w:rsidP="00CE7E90">
            <w:pPr>
              <w:pStyle w:val="TableParagraph"/>
              <w:widowControl/>
              <w:suppressAutoHyphens/>
              <w:adjustRightInd w:val="0"/>
              <w:snapToGrid w:val="0"/>
              <w:ind w:left="0"/>
              <w:jc w:val="left"/>
              <w:rPr>
                <w:sz w:val="18"/>
              </w:rPr>
            </w:pPr>
          </w:p>
        </w:tc>
        <w:tc>
          <w:tcPr>
            <w:tcW w:w="687" w:type="pct"/>
          </w:tcPr>
          <w:p w14:paraId="6A956547" w14:textId="77777777" w:rsidR="00FF5E44" w:rsidRPr="002B65F7" w:rsidRDefault="00FF5E44" w:rsidP="00CE7E90">
            <w:pPr>
              <w:pStyle w:val="TableParagraph"/>
              <w:widowControl/>
              <w:suppressAutoHyphens/>
              <w:adjustRightInd w:val="0"/>
              <w:snapToGrid w:val="0"/>
              <w:ind w:left="0"/>
              <w:jc w:val="left"/>
              <w:rPr>
                <w:sz w:val="18"/>
              </w:rPr>
            </w:pPr>
          </w:p>
        </w:tc>
        <w:tc>
          <w:tcPr>
            <w:tcW w:w="773" w:type="pct"/>
          </w:tcPr>
          <w:p w14:paraId="005B3B13" w14:textId="77777777" w:rsidR="00FF5E44" w:rsidRPr="002B65F7" w:rsidRDefault="00FF5E44" w:rsidP="00CE7E90">
            <w:pPr>
              <w:pStyle w:val="TableParagraph"/>
              <w:widowControl/>
              <w:suppressAutoHyphens/>
              <w:adjustRightInd w:val="0"/>
              <w:snapToGrid w:val="0"/>
              <w:ind w:left="0"/>
              <w:jc w:val="left"/>
              <w:rPr>
                <w:sz w:val="18"/>
              </w:rPr>
            </w:pPr>
          </w:p>
        </w:tc>
        <w:tc>
          <w:tcPr>
            <w:tcW w:w="735" w:type="pct"/>
          </w:tcPr>
          <w:p w14:paraId="46F5F90E" w14:textId="77777777" w:rsidR="00FF5E44" w:rsidRPr="002B65F7" w:rsidRDefault="00FF5E44" w:rsidP="00CE7E90">
            <w:pPr>
              <w:pStyle w:val="TableParagraph"/>
              <w:widowControl/>
              <w:suppressAutoHyphens/>
              <w:adjustRightInd w:val="0"/>
              <w:snapToGrid w:val="0"/>
              <w:ind w:left="0"/>
              <w:jc w:val="left"/>
              <w:rPr>
                <w:sz w:val="18"/>
              </w:rPr>
            </w:pPr>
          </w:p>
        </w:tc>
      </w:tr>
      <w:tr w:rsidR="00FF5E44" w:rsidRPr="002B65F7" w14:paraId="1AE0FE6E" w14:textId="77777777" w:rsidTr="00CE7E90">
        <w:trPr>
          <w:cantSplit/>
          <w:trHeight w:val="251"/>
        </w:trPr>
        <w:tc>
          <w:tcPr>
            <w:tcW w:w="1355" w:type="pct"/>
          </w:tcPr>
          <w:p w14:paraId="3F65C4CF" w14:textId="77777777" w:rsidR="00FF5E44" w:rsidRPr="002B65F7" w:rsidRDefault="00FF5E44" w:rsidP="00CE7E90">
            <w:pPr>
              <w:pStyle w:val="TableParagraph"/>
              <w:keepNext/>
              <w:keepLines/>
              <w:widowControl/>
              <w:suppressAutoHyphens/>
              <w:adjustRightInd w:val="0"/>
              <w:snapToGrid w:val="0"/>
              <w:ind w:left="0"/>
              <w:jc w:val="left"/>
              <w:rPr>
                <w:b/>
              </w:rPr>
            </w:pPr>
            <w:r w:rsidRPr="002B65F7">
              <w:rPr>
                <w:b/>
              </w:rPr>
              <w:t>Etude</w:t>
            </w:r>
            <w:r w:rsidRPr="002B65F7">
              <w:rPr>
                <w:b/>
                <w:spacing w:val="-9"/>
              </w:rPr>
              <w:t xml:space="preserve"> </w:t>
            </w:r>
            <w:r w:rsidRPr="002B65F7">
              <w:rPr>
                <w:b/>
              </w:rPr>
              <w:t>Psoriasis </w:t>
            </w:r>
            <w:r w:rsidRPr="002B65F7">
              <w:rPr>
                <w:b/>
                <w:spacing w:val="-10"/>
              </w:rPr>
              <w:t>2</w:t>
            </w:r>
          </w:p>
        </w:tc>
        <w:tc>
          <w:tcPr>
            <w:tcW w:w="686" w:type="pct"/>
          </w:tcPr>
          <w:p w14:paraId="3E3C1D61" w14:textId="77777777" w:rsidR="00FF5E44" w:rsidRPr="002B65F7" w:rsidRDefault="00FF5E44" w:rsidP="00CE7E90">
            <w:pPr>
              <w:pStyle w:val="TableParagraph"/>
              <w:keepNext/>
              <w:keepLines/>
              <w:widowControl/>
              <w:suppressAutoHyphens/>
              <w:adjustRightInd w:val="0"/>
              <w:snapToGrid w:val="0"/>
              <w:ind w:left="0"/>
              <w:jc w:val="left"/>
              <w:rPr>
                <w:sz w:val="18"/>
              </w:rPr>
            </w:pPr>
          </w:p>
        </w:tc>
        <w:tc>
          <w:tcPr>
            <w:tcW w:w="763" w:type="pct"/>
          </w:tcPr>
          <w:p w14:paraId="233FE676" w14:textId="77777777" w:rsidR="00FF5E44" w:rsidRPr="002B65F7" w:rsidRDefault="00FF5E44" w:rsidP="00CE7E90">
            <w:pPr>
              <w:pStyle w:val="TableParagraph"/>
              <w:keepNext/>
              <w:widowControl/>
              <w:suppressAutoHyphens/>
              <w:adjustRightInd w:val="0"/>
              <w:snapToGrid w:val="0"/>
              <w:ind w:left="0"/>
              <w:jc w:val="left"/>
              <w:rPr>
                <w:sz w:val="18"/>
              </w:rPr>
            </w:pPr>
          </w:p>
        </w:tc>
        <w:tc>
          <w:tcPr>
            <w:tcW w:w="687" w:type="pct"/>
          </w:tcPr>
          <w:p w14:paraId="6578F6A3" w14:textId="77777777" w:rsidR="00FF5E44" w:rsidRPr="002B65F7" w:rsidRDefault="00FF5E44" w:rsidP="00CE7E90">
            <w:pPr>
              <w:pStyle w:val="TableParagraph"/>
              <w:keepNext/>
              <w:widowControl/>
              <w:suppressAutoHyphens/>
              <w:adjustRightInd w:val="0"/>
              <w:snapToGrid w:val="0"/>
              <w:ind w:left="0"/>
              <w:jc w:val="left"/>
              <w:rPr>
                <w:sz w:val="18"/>
              </w:rPr>
            </w:pPr>
          </w:p>
        </w:tc>
        <w:tc>
          <w:tcPr>
            <w:tcW w:w="773" w:type="pct"/>
          </w:tcPr>
          <w:p w14:paraId="6C9AA6C6" w14:textId="77777777" w:rsidR="00FF5E44" w:rsidRPr="002B65F7" w:rsidRDefault="00FF5E44" w:rsidP="00CE7E90">
            <w:pPr>
              <w:pStyle w:val="TableParagraph"/>
              <w:keepNext/>
              <w:widowControl/>
              <w:suppressAutoHyphens/>
              <w:adjustRightInd w:val="0"/>
              <w:snapToGrid w:val="0"/>
              <w:ind w:left="0"/>
              <w:jc w:val="left"/>
              <w:rPr>
                <w:sz w:val="18"/>
              </w:rPr>
            </w:pPr>
          </w:p>
        </w:tc>
        <w:tc>
          <w:tcPr>
            <w:tcW w:w="735" w:type="pct"/>
          </w:tcPr>
          <w:p w14:paraId="03FCF8CA" w14:textId="77777777" w:rsidR="00FF5E44" w:rsidRPr="002B65F7" w:rsidRDefault="00FF5E44" w:rsidP="00CE7E90">
            <w:pPr>
              <w:pStyle w:val="TableParagraph"/>
              <w:keepNext/>
              <w:widowControl/>
              <w:suppressAutoHyphens/>
              <w:adjustRightInd w:val="0"/>
              <w:snapToGrid w:val="0"/>
              <w:ind w:left="0"/>
              <w:jc w:val="left"/>
              <w:rPr>
                <w:sz w:val="18"/>
              </w:rPr>
            </w:pPr>
          </w:p>
        </w:tc>
      </w:tr>
      <w:tr w:rsidR="00FF5E44" w:rsidRPr="002B65F7" w14:paraId="49FE24AC" w14:textId="77777777" w:rsidTr="00CE7E90">
        <w:trPr>
          <w:cantSplit/>
          <w:trHeight w:val="20"/>
        </w:trPr>
        <w:tc>
          <w:tcPr>
            <w:tcW w:w="1355" w:type="pct"/>
          </w:tcPr>
          <w:p w14:paraId="448D7968" w14:textId="77777777" w:rsidR="00FF5E44" w:rsidRPr="002B65F7" w:rsidRDefault="00FF5E44" w:rsidP="00CE7E90">
            <w:pPr>
              <w:pStyle w:val="TableParagraph"/>
              <w:keepNext/>
              <w:keepLines/>
              <w:widowControl/>
              <w:suppressAutoHyphens/>
              <w:adjustRightInd w:val="0"/>
              <w:snapToGrid w:val="0"/>
              <w:ind w:left="0"/>
              <w:jc w:val="left"/>
            </w:pPr>
            <w:r w:rsidRPr="002B65F7">
              <w:t>Nombre</w:t>
            </w:r>
            <w:r w:rsidRPr="002B65F7">
              <w:rPr>
                <w:spacing w:val="-14"/>
              </w:rPr>
              <w:t xml:space="preserve"> </w:t>
            </w:r>
            <w:r w:rsidRPr="002B65F7">
              <w:t>de</w:t>
            </w:r>
            <w:r w:rsidRPr="002B65F7">
              <w:rPr>
                <w:spacing w:val="-14"/>
              </w:rPr>
              <w:t xml:space="preserve"> </w:t>
            </w:r>
            <w:r w:rsidRPr="002B65F7">
              <w:t xml:space="preserve">patients </w:t>
            </w:r>
            <w:r w:rsidRPr="002B65F7">
              <w:rPr>
                <w:spacing w:val="-2"/>
              </w:rPr>
              <w:t>randomisés</w:t>
            </w:r>
          </w:p>
        </w:tc>
        <w:tc>
          <w:tcPr>
            <w:tcW w:w="686" w:type="pct"/>
          </w:tcPr>
          <w:p w14:paraId="02777482" w14:textId="77777777" w:rsidR="00FF5E44" w:rsidRPr="002B65F7" w:rsidRDefault="00FF5E44" w:rsidP="00CE7E90">
            <w:pPr>
              <w:pStyle w:val="TableParagraph"/>
              <w:keepNext/>
              <w:keepLines/>
              <w:widowControl/>
              <w:suppressAutoHyphens/>
              <w:adjustRightInd w:val="0"/>
              <w:snapToGrid w:val="0"/>
              <w:ind w:left="0"/>
            </w:pPr>
            <w:r w:rsidRPr="002B65F7">
              <w:rPr>
                <w:spacing w:val="-5"/>
              </w:rPr>
              <w:t>410</w:t>
            </w:r>
          </w:p>
        </w:tc>
        <w:tc>
          <w:tcPr>
            <w:tcW w:w="763" w:type="pct"/>
          </w:tcPr>
          <w:p w14:paraId="3BBD5E04" w14:textId="77777777" w:rsidR="00FF5E44" w:rsidRPr="002B65F7" w:rsidRDefault="00FF5E44" w:rsidP="00CE7E90">
            <w:pPr>
              <w:pStyle w:val="TableParagraph"/>
              <w:widowControl/>
              <w:suppressAutoHyphens/>
              <w:adjustRightInd w:val="0"/>
              <w:snapToGrid w:val="0"/>
              <w:ind w:left="0"/>
            </w:pPr>
            <w:r w:rsidRPr="002B65F7">
              <w:rPr>
                <w:spacing w:val="-5"/>
              </w:rPr>
              <w:t>409</w:t>
            </w:r>
          </w:p>
        </w:tc>
        <w:tc>
          <w:tcPr>
            <w:tcW w:w="687" w:type="pct"/>
          </w:tcPr>
          <w:p w14:paraId="6ACCA189" w14:textId="77777777" w:rsidR="00FF5E44" w:rsidRPr="002B65F7" w:rsidRDefault="00FF5E44" w:rsidP="00CE7E90">
            <w:pPr>
              <w:pStyle w:val="TableParagraph"/>
              <w:widowControl/>
              <w:suppressAutoHyphens/>
              <w:adjustRightInd w:val="0"/>
              <w:snapToGrid w:val="0"/>
              <w:ind w:left="0"/>
            </w:pPr>
            <w:r w:rsidRPr="002B65F7">
              <w:rPr>
                <w:spacing w:val="-5"/>
              </w:rPr>
              <w:t>411</w:t>
            </w:r>
          </w:p>
        </w:tc>
        <w:tc>
          <w:tcPr>
            <w:tcW w:w="773" w:type="pct"/>
          </w:tcPr>
          <w:p w14:paraId="475DECB2" w14:textId="77777777" w:rsidR="00FF5E44" w:rsidRPr="002B65F7" w:rsidRDefault="00FF5E44" w:rsidP="00CE7E90">
            <w:pPr>
              <w:pStyle w:val="TableParagraph"/>
              <w:widowControl/>
              <w:suppressAutoHyphens/>
              <w:adjustRightInd w:val="0"/>
              <w:snapToGrid w:val="0"/>
              <w:ind w:left="0"/>
            </w:pPr>
            <w:r w:rsidRPr="002B65F7">
              <w:rPr>
                <w:spacing w:val="-5"/>
              </w:rPr>
              <w:t>397</w:t>
            </w:r>
          </w:p>
        </w:tc>
        <w:tc>
          <w:tcPr>
            <w:tcW w:w="735" w:type="pct"/>
          </w:tcPr>
          <w:p w14:paraId="794E401A" w14:textId="77777777" w:rsidR="00FF5E44" w:rsidRPr="002B65F7" w:rsidRDefault="00FF5E44" w:rsidP="00CE7E90">
            <w:pPr>
              <w:pStyle w:val="TableParagraph"/>
              <w:widowControl/>
              <w:suppressAutoHyphens/>
              <w:adjustRightInd w:val="0"/>
              <w:snapToGrid w:val="0"/>
              <w:ind w:left="0"/>
            </w:pPr>
            <w:r w:rsidRPr="002B65F7">
              <w:rPr>
                <w:spacing w:val="-5"/>
              </w:rPr>
              <w:t>400</w:t>
            </w:r>
          </w:p>
        </w:tc>
      </w:tr>
      <w:tr w:rsidR="00FF5E44" w:rsidRPr="002B65F7" w14:paraId="68C53654" w14:textId="77777777" w:rsidTr="00CE7E90">
        <w:trPr>
          <w:cantSplit/>
          <w:trHeight w:val="227"/>
        </w:trPr>
        <w:tc>
          <w:tcPr>
            <w:tcW w:w="1355" w:type="pct"/>
          </w:tcPr>
          <w:p w14:paraId="35D1C4CF" w14:textId="77777777" w:rsidR="00FF5E44" w:rsidRPr="002B65F7" w:rsidRDefault="00FF5E44" w:rsidP="00CE7E90">
            <w:pPr>
              <w:pStyle w:val="TableParagraph"/>
              <w:keepNext/>
              <w:keepLines/>
              <w:widowControl/>
              <w:suppressAutoHyphens/>
              <w:adjustRightInd w:val="0"/>
              <w:snapToGrid w:val="0"/>
              <w:ind w:left="0"/>
              <w:jc w:val="left"/>
            </w:pPr>
            <w:r w:rsidRPr="002B65F7">
              <w:t>Réponse</w:t>
            </w:r>
            <w:r w:rsidRPr="002B65F7">
              <w:rPr>
                <w:spacing w:val="-3"/>
              </w:rPr>
              <w:t xml:space="preserve"> </w:t>
            </w:r>
            <w:r w:rsidRPr="002B65F7">
              <w:t>PASI</w:t>
            </w:r>
            <w:r w:rsidRPr="002B65F7">
              <w:rPr>
                <w:spacing w:val="-7"/>
              </w:rPr>
              <w:t xml:space="preserve"> </w:t>
            </w:r>
            <w:r w:rsidRPr="002B65F7">
              <w:t>50</w:t>
            </w:r>
            <w:r w:rsidRPr="002B65F7">
              <w:rPr>
                <w:spacing w:val="-3"/>
              </w:rPr>
              <w:t xml:space="preserve"> </w:t>
            </w:r>
            <w:r w:rsidRPr="002B65F7">
              <w:t>N</w:t>
            </w:r>
            <w:r w:rsidRPr="002B65F7">
              <w:rPr>
                <w:spacing w:val="-3"/>
              </w:rPr>
              <w:t xml:space="preserve"> </w:t>
            </w:r>
            <w:r w:rsidRPr="002B65F7">
              <w:rPr>
                <w:spacing w:val="-5"/>
              </w:rPr>
              <w:t>(%)</w:t>
            </w:r>
          </w:p>
        </w:tc>
        <w:tc>
          <w:tcPr>
            <w:tcW w:w="686" w:type="pct"/>
          </w:tcPr>
          <w:p w14:paraId="4B78095F" w14:textId="77777777" w:rsidR="00FF5E44" w:rsidRPr="002B65F7" w:rsidRDefault="00FF5E44" w:rsidP="00CE7E90">
            <w:pPr>
              <w:pStyle w:val="TableParagraph"/>
              <w:keepNext/>
              <w:keepLines/>
              <w:widowControl/>
              <w:suppressAutoHyphens/>
              <w:adjustRightInd w:val="0"/>
              <w:snapToGrid w:val="0"/>
              <w:ind w:left="0"/>
            </w:pPr>
            <w:r w:rsidRPr="002B65F7">
              <w:rPr>
                <w:spacing w:val="-5"/>
              </w:rPr>
              <w:t xml:space="preserve">41 </w:t>
            </w:r>
            <w:r w:rsidRPr="002B65F7">
              <w:rPr>
                <w:spacing w:val="-2"/>
              </w:rPr>
              <w:t>(10%)</w:t>
            </w:r>
          </w:p>
        </w:tc>
        <w:tc>
          <w:tcPr>
            <w:tcW w:w="763" w:type="pct"/>
          </w:tcPr>
          <w:p w14:paraId="570C68FD" w14:textId="77777777" w:rsidR="00FF5E44" w:rsidRPr="002B65F7" w:rsidRDefault="00FF5E44" w:rsidP="00CE7E90">
            <w:pPr>
              <w:pStyle w:val="TableParagraph"/>
              <w:widowControl/>
              <w:suppressAutoHyphens/>
              <w:adjustRightInd w:val="0"/>
              <w:snapToGrid w:val="0"/>
              <w:ind w:left="0"/>
            </w:pPr>
            <w:r w:rsidRPr="002B65F7">
              <w:t>342</w:t>
            </w:r>
            <w:r w:rsidRPr="002B65F7">
              <w:rPr>
                <w:spacing w:val="-4"/>
              </w:rPr>
              <w:t xml:space="preserve"> </w:t>
            </w:r>
            <w:r w:rsidRPr="002B65F7">
              <w:t>(84%)</w:t>
            </w:r>
            <w:r w:rsidRPr="002B65F7">
              <w:rPr>
                <w:spacing w:val="-10"/>
                <w:vertAlign w:val="superscript"/>
              </w:rPr>
              <w:t>a</w:t>
            </w:r>
          </w:p>
        </w:tc>
        <w:tc>
          <w:tcPr>
            <w:tcW w:w="687" w:type="pct"/>
          </w:tcPr>
          <w:p w14:paraId="122485D5" w14:textId="77777777" w:rsidR="00FF5E44" w:rsidRPr="002B65F7" w:rsidRDefault="00FF5E44" w:rsidP="00CE7E90">
            <w:pPr>
              <w:pStyle w:val="TableParagraph"/>
              <w:widowControl/>
              <w:suppressAutoHyphens/>
              <w:adjustRightInd w:val="0"/>
              <w:snapToGrid w:val="0"/>
              <w:ind w:left="0"/>
            </w:pPr>
            <w:r w:rsidRPr="002B65F7">
              <w:t>367</w:t>
            </w:r>
            <w:r w:rsidRPr="002B65F7">
              <w:rPr>
                <w:spacing w:val="-4"/>
              </w:rPr>
              <w:t xml:space="preserve"> </w:t>
            </w:r>
            <w:r w:rsidRPr="002B65F7">
              <w:t>(89%)</w:t>
            </w:r>
            <w:r w:rsidRPr="002B65F7">
              <w:rPr>
                <w:spacing w:val="-10"/>
                <w:vertAlign w:val="superscript"/>
              </w:rPr>
              <w:t>a</w:t>
            </w:r>
          </w:p>
        </w:tc>
        <w:tc>
          <w:tcPr>
            <w:tcW w:w="773" w:type="pct"/>
          </w:tcPr>
          <w:p w14:paraId="1E2F00A4" w14:textId="77777777" w:rsidR="00FF5E44" w:rsidRPr="002B65F7" w:rsidRDefault="00FF5E44" w:rsidP="00CE7E90">
            <w:pPr>
              <w:pStyle w:val="TableParagraph"/>
              <w:widowControl/>
              <w:suppressAutoHyphens/>
              <w:adjustRightInd w:val="0"/>
              <w:snapToGrid w:val="0"/>
              <w:ind w:left="0"/>
            </w:pPr>
            <w:r w:rsidRPr="002B65F7">
              <w:t>369</w:t>
            </w:r>
            <w:r w:rsidRPr="002B65F7">
              <w:rPr>
                <w:spacing w:val="-2"/>
              </w:rPr>
              <w:t xml:space="preserve"> (93%)</w:t>
            </w:r>
          </w:p>
        </w:tc>
        <w:tc>
          <w:tcPr>
            <w:tcW w:w="735" w:type="pct"/>
          </w:tcPr>
          <w:p w14:paraId="0C385944" w14:textId="77777777" w:rsidR="00FF5E44" w:rsidRPr="002B65F7" w:rsidRDefault="00FF5E44" w:rsidP="00CE7E90">
            <w:pPr>
              <w:pStyle w:val="TableParagraph"/>
              <w:widowControl/>
              <w:suppressAutoHyphens/>
              <w:adjustRightInd w:val="0"/>
              <w:snapToGrid w:val="0"/>
              <w:ind w:left="0"/>
            </w:pPr>
            <w:r w:rsidRPr="002B65F7">
              <w:t>380</w:t>
            </w:r>
            <w:r w:rsidRPr="002B65F7">
              <w:rPr>
                <w:spacing w:val="-2"/>
              </w:rPr>
              <w:t xml:space="preserve"> (95%)</w:t>
            </w:r>
          </w:p>
        </w:tc>
      </w:tr>
      <w:tr w:rsidR="00FF5E44" w:rsidRPr="002B65F7" w14:paraId="26103C79" w14:textId="77777777" w:rsidTr="00CE7E90">
        <w:trPr>
          <w:cantSplit/>
          <w:trHeight w:val="254"/>
        </w:trPr>
        <w:tc>
          <w:tcPr>
            <w:tcW w:w="1355" w:type="pct"/>
          </w:tcPr>
          <w:p w14:paraId="70C2304B" w14:textId="77777777" w:rsidR="00FF5E44" w:rsidRPr="002B65F7" w:rsidRDefault="00FF5E44" w:rsidP="00CE7E90">
            <w:pPr>
              <w:pStyle w:val="TableParagraph"/>
              <w:keepNext/>
              <w:keepLines/>
              <w:widowControl/>
              <w:suppressAutoHyphens/>
              <w:adjustRightInd w:val="0"/>
              <w:snapToGrid w:val="0"/>
              <w:ind w:left="0"/>
              <w:jc w:val="left"/>
            </w:pPr>
            <w:r w:rsidRPr="002B65F7">
              <w:t>Réponse</w:t>
            </w:r>
            <w:r w:rsidRPr="002B65F7">
              <w:rPr>
                <w:spacing w:val="-3"/>
              </w:rPr>
              <w:t xml:space="preserve"> </w:t>
            </w:r>
            <w:r w:rsidRPr="002B65F7">
              <w:t>PASI</w:t>
            </w:r>
            <w:r w:rsidRPr="002B65F7">
              <w:rPr>
                <w:spacing w:val="-7"/>
              </w:rPr>
              <w:t xml:space="preserve"> </w:t>
            </w:r>
            <w:r w:rsidRPr="002B65F7">
              <w:t>75</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64C3B025" w14:textId="77777777" w:rsidR="00FF5E44" w:rsidRPr="002B65F7" w:rsidRDefault="00FF5E44" w:rsidP="00CE7E90">
            <w:pPr>
              <w:pStyle w:val="TableParagraph"/>
              <w:keepNext/>
              <w:keepLines/>
              <w:widowControl/>
              <w:suppressAutoHyphens/>
              <w:adjustRightInd w:val="0"/>
              <w:snapToGrid w:val="0"/>
              <w:ind w:left="0"/>
            </w:pPr>
            <w:r w:rsidRPr="002B65F7">
              <w:t>15</w:t>
            </w:r>
            <w:r w:rsidRPr="002B65F7">
              <w:rPr>
                <w:spacing w:val="-1"/>
              </w:rPr>
              <w:t xml:space="preserve"> </w:t>
            </w:r>
            <w:r w:rsidRPr="002B65F7">
              <w:rPr>
                <w:spacing w:val="-4"/>
              </w:rPr>
              <w:t>(4%)</w:t>
            </w:r>
          </w:p>
        </w:tc>
        <w:tc>
          <w:tcPr>
            <w:tcW w:w="763" w:type="pct"/>
          </w:tcPr>
          <w:p w14:paraId="424961DE" w14:textId="77777777" w:rsidR="00FF5E44" w:rsidRPr="002B65F7" w:rsidRDefault="00FF5E44" w:rsidP="00CE7E90">
            <w:pPr>
              <w:pStyle w:val="TableParagraph"/>
              <w:widowControl/>
              <w:suppressAutoHyphens/>
              <w:adjustRightInd w:val="0"/>
              <w:snapToGrid w:val="0"/>
              <w:ind w:left="0"/>
            </w:pPr>
            <w:r w:rsidRPr="002B65F7">
              <w:t>273</w:t>
            </w:r>
            <w:r w:rsidRPr="002B65F7">
              <w:rPr>
                <w:spacing w:val="-4"/>
              </w:rPr>
              <w:t xml:space="preserve"> </w:t>
            </w:r>
            <w:r w:rsidRPr="002B65F7">
              <w:t>(67%)</w:t>
            </w:r>
            <w:r w:rsidRPr="002B65F7">
              <w:rPr>
                <w:spacing w:val="-10"/>
                <w:vertAlign w:val="superscript"/>
              </w:rPr>
              <w:t>a</w:t>
            </w:r>
          </w:p>
        </w:tc>
        <w:tc>
          <w:tcPr>
            <w:tcW w:w="687" w:type="pct"/>
          </w:tcPr>
          <w:p w14:paraId="143C671B" w14:textId="77777777" w:rsidR="00FF5E44" w:rsidRPr="002B65F7" w:rsidRDefault="00FF5E44" w:rsidP="00CE7E90">
            <w:pPr>
              <w:pStyle w:val="TableParagraph"/>
              <w:widowControl/>
              <w:suppressAutoHyphens/>
              <w:adjustRightInd w:val="0"/>
              <w:snapToGrid w:val="0"/>
              <w:ind w:left="0"/>
            </w:pPr>
            <w:r w:rsidRPr="002B65F7">
              <w:t>311</w:t>
            </w:r>
            <w:r w:rsidRPr="002B65F7">
              <w:rPr>
                <w:spacing w:val="-4"/>
              </w:rPr>
              <w:t xml:space="preserve"> </w:t>
            </w:r>
            <w:r w:rsidRPr="002B65F7">
              <w:t>(76%)</w:t>
            </w:r>
            <w:r w:rsidRPr="002B65F7">
              <w:rPr>
                <w:spacing w:val="-10"/>
                <w:vertAlign w:val="superscript"/>
              </w:rPr>
              <w:t>a</w:t>
            </w:r>
          </w:p>
        </w:tc>
        <w:tc>
          <w:tcPr>
            <w:tcW w:w="773" w:type="pct"/>
          </w:tcPr>
          <w:p w14:paraId="6C4C2809" w14:textId="77777777" w:rsidR="00FF5E44" w:rsidRPr="002B65F7" w:rsidRDefault="00FF5E44" w:rsidP="00CE7E90">
            <w:pPr>
              <w:pStyle w:val="TableParagraph"/>
              <w:widowControl/>
              <w:suppressAutoHyphens/>
              <w:adjustRightInd w:val="0"/>
              <w:snapToGrid w:val="0"/>
              <w:ind w:left="0"/>
            </w:pPr>
            <w:r w:rsidRPr="002B65F7">
              <w:t>276</w:t>
            </w:r>
            <w:r w:rsidRPr="002B65F7">
              <w:rPr>
                <w:spacing w:val="-2"/>
              </w:rPr>
              <w:t xml:space="preserve"> (70%)</w:t>
            </w:r>
          </w:p>
        </w:tc>
        <w:tc>
          <w:tcPr>
            <w:tcW w:w="735" w:type="pct"/>
          </w:tcPr>
          <w:p w14:paraId="40A8C812" w14:textId="77777777" w:rsidR="00FF5E44" w:rsidRPr="002B65F7" w:rsidRDefault="00FF5E44" w:rsidP="00CE7E90">
            <w:pPr>
              <w:pStyle w:val="TableParagraph"/>
              <w:widowControl/>
              <w:suppressAutoHyphens/>
              <w:adjustRightInd w:val="0"/>
              <w:snapToGrid w:val="0"/>
              <w:ind w:left="0"/>
            </w:pPr>
            <w:r w:rsidRPr="002B65F7">
              <w:t>314</w:t>
            </w:r>
            <w:r w:rsidRPr="002B65F7">
              <w:rPr>
                <w:spacing w:val="-2"/>
              </w:rPr>
              <w:t xml:space="preserve"> (79%)</w:t>
            </w:r>
          </w:p>
        </w:tc>
      </w:tr>
      <w:tr w:rsidR="00FF5E44" w:rsidRPr="002B65F7" w14:paraId="5D8B5C0E" w14:textId="77777777" w:rsidTr="00CE7E90">
        <w:trPr>
          <w:cantSplit/>
          <w:trHeight w:val="251"/>
        </w:trPr>
        <w:tc>
          <w:tcPr>
            <w:tcW w:w="1355" w:type="pct"/>
          </w:tcPr>
          <w:p w14:paraId="57ECB0F1" w14:textId="77777777" w:rsidR="00FF5E44" w:rsidRPr="002B65F7" w:rsidRDefault="00FF5E44" w:rsidP="00CE7E90">
            <w:pPr>
              <w:pStyle w:val="TableParagraph"/>
              <w:widowControl/>
              <w:suppressAutoHyphens/>
              <w:adjustRightInd w:val="0"/>
              <w:snapToGrid w:val="0"/>
              <w:ind w:left="0"/>
              <w:jc w:val="left"/>
            </w:pPr>
            <w:r w:rsidRPr="002B65F7">
              <w:t>Réponse</w:t>
            </w:r>
            <w:r w:rsidRPr="002B65F7">
              <w:rPr>
                <w:spacing w:val="-3"/>
              </w:rPr>
              <w:t xml:space="preserve"> </w:t>
            </w:r>
            <w:r w:rsidRPr="002B65F7">
              <w:t>PASI</w:t>
            </w:r>
            <w:r w:rsidRPr="002B65F7">
              <w:rPr>
                <w:spacing w:val="-7"/>
              </w:rPr>
              <w:t xml:space="preserve"> </w:t>
            </w:r>
            <w:r w:rsidRPr="002B65F7">
              <w:t>90</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2E4CF63A" w14:textId="77777777" w:rsidR="00FF5E44" w:rsidRPr="002B65F7" w:rsidRDefault="00FF5E44" w:rsidP="00CE7E90">
            <w:pPr>
              <w:pStyle w:val="TableParagraph"/>
              <w:widowControl/>
              <w:suppressAutoHyphens/>
              <w:adjustRightInd w:val="0"/>
              <w:snapToGrid w:val="0"/>
              <w:ind w:left="0"/>
            </w:pPr>
            <w:r w:rsidRPr="002B65F7">
              <w:t>3</w:t>
            </w:r>
            <w:r w:rsidRPr="002B65F7">
              <w:rPr>
                <w:spacing w:val="-1"/>
              </w:rPr>
              <w:t xml:space="preserve"> </w:t>
            </w:r>
            <w:r w:rsidRPr="002B65F7">
              <w:rPr>
                <w:spacing w:val="-4"/>
              </w:rPr>
              <w:t>(1%)</w:t>
            </w:r>
          </w:p>
        </w:tc>
        <w:tc>
          <w:tcPr>
            <w:tcW w:w="763" w:type="pct"/>
          </w:tcPr>
          <w:p w14:paraId="598EDF64" w14:textId="77777777" w:rsidR="00FF5E44" w:rsidRPr="002B65F7" w:rsidRDefault="00FF5E44" w:rsidP="00CE7E90">
            <w:pPr>
              <w:pStyle w:val="TableParagraph"/>
              <w:widowControl/>
              <w:suppressAutoHyphens/>
              <w:adjustRightInd w:val="0"/>
              <w:snapToGrid w:val="0"/>
              <w:ind w:left="0"/>
            </w:pPr>
            <w:r w:rsidRPr="002B65F7">
              <w:t>173</w:t>
            </w:r>
            <w:r w:rsidRPr="002B65F7">
              <w:rPr>
                <w:spacing w:val="-4"/>
              </w:rPr>
              <w:t xml:space="preserve"> </w:t>
            </w:r>
            <w:r w:rsidRPr="002B65F7">
              <w:t>(42%)</w:t>
            </w:r>
            <w:r w:rsidRPr="002B65F7">
              <w:rPr>
                <w:spacing w:val="-10"/>
                <w:vertAlign w:val="superscript"/>
              </w:rPr>
              <w:t>a</w:t>
            </w:r>
          </w:p>
        </w:tc>
        <w:tc>
          <w:tcPr>
            <w:tcW w:w="687" w:type="pct"/>
          </w:tcPr>
          <w:p w14:paraId="591CF4BD" w14:textId="77777777" w:rsidR="00FF5E44" w:rsidRPr="002B65F7" w:rsidRDefault="00FF5E44" w:rsidP="00CE7E90">
            <w:pPr>
              <w:pStyle w:val="TableParagraph"/>
              <w:widowControl/>
              <w:suppressAutoHyphens/>
              <w:adjustRightInd w:val="0"/>
              <w:snapToGrid w:val="0"/>
              <w:ind w:left="0"/>
            </w:pPr>
            <w:r w:rsidRPr="002B65F7">
              <w:t>209</w:t>
            </w:r>
            <w:r w:rsidRPr="002B65F7">
              <w:rPr>
                <w:spacing w:val="-4"/>
              </w:rPr>
              <w:t xml:space="preserve"> </w:t>
            </w:r>
            <w:r w:rsidRPr="002B65F7">
              <w:t>(51%)</w:t>
            </w:r>
            <w:r w:rsidRPr="002B65F7">
              <w:rPr>
                <w:spacing w:val="-10"/>
                <w:vertAlign w:val="superscript"/>
              </w:rPr>
              <w:t>a</w:t>
            </w:r>
          </w:p>
        </w:tc>
        <w:tc>
          <w:tcPr>
            <w:tcW w:w="773" w:type="pct"/>
          </w:tcPr>
          <w:p w14:paraId="46E5E8B3" w14:textId="77777777" w:rsidR="00FF5E44" w:rsidRPr="002B65F7" w:rsidRDefault="00FF5E44" w:rsidP="00CE7E90">
            <w:pPr>
              <w:pStyle w:val="TableParagraph"/>
              <w:widowControl/>
              <w:suppressAutoHyphens/>
              <w:adjustRightInd w:val="0"/>
              <w:snapToGrid w:val="0"/>
              <w:ind w:left="0"/>
            </w:pPr>
            <w:r w:rsidRPr="002B65F7">
              <w:t>178</w:t>
            </w:r>
            <w:r w:rsidRPr="002B65F7">
              <w:rPr>
                <w:spacing w:val="-2"/>
              </w:rPr>
              <w:t xml:space="preserve"> (45%)</w:t>
            </w:r>
          </w:p>
        </w:tc>
        <w:tc>
          <w:tcPr>
            <w:tcW w:w="735" w:type="pct"/>
          </w:tcPr>
          <w:p w14:paraId="7D1D0665" w14:textId="77777777" w:rsidR="00FF5E44" w:rsidRPr="002B65F7" w:rsidRDefault="00FF5E44" w:rsidP="00CE7E90">
            <w:pPr>
              <w:pStyle w:val="TableParagraph"/>
              <w:widowControl/>
              <w:suppressAutoHyphens/>
              <w:adjustRightInd w:val="0"/>
              <w:snapToGrid w:val="0"/>
              <w:ind w:left="0"/>
            </w:pPr>
            <w:r w:rsidRPr="002B65F7">
              <w:t>217</w:t>
            </w:r>
            <w:r w:rsidRPr="002B65F7">
              <w:rPr>
                <w:spacing w:val="-2"/>
              </w:rPr>
              <w:t xml:space="preserve"> (54%)</w:t>
            </w:r>
          </w:p>
        </w:tc>
      </w:tr>
      <w:tr w:rsidR="00FF5E44" w:rsidRPr="002B65F7" w14:paraId="53F7009A" w14:textId="77777777" w:rsidTr="00CE7E90">
        <w:trPr>
          <w:cantSplit/>
          <w:trHeight w:val="251"/>
        </w:trPr>
        <w:tc>
          <w:tcPr>
            <w:tcW w:w="1355" w:type="pct"/>
          </w:tcPr>
          <w:p w14:paraId="46577F98" w14:textId="77777777" w:rsidR="00FF5E44" w:rsidRPr="002B65F7" w:rsidRDefault="00FF5E44" w:rsidP="00CE7E90">
            <w:pPr>
              <w:pStyle w:val="TableParagraph"/>
              <w:widowControl/>
              <w:suppressAutoHyphens/>
              <w:adjustRightInd w:val="0"/>
              <w:snapToGrid w:val="0"/>
              <w:ind w:left="0"/>
              <w:jc w:val="left"/>
              <w:rPr>
                <w:lang w:val="pt-PT"/>
              </w:rPr>
            </w:pPr>
            <w:r w:rsidRPr="002B65F7">
              <w:rPr>
                <w:lang w:val="pt-PT"/>
              </w:rPr>
              <w:t>PGA</w:t>
            </w:r>
            <w:r w:rsidRPr="002B65F7">
              <w:rPr>
                <w:vertAlign w:val="superscript"/>
                <w:lang w:val="pt-PT"/>
              </w:rPr>
              <w:t>b</w:t>
            </w:r>
            <w:r w:rsidRPr="002B65F7">
              <w:rPr>
                <w:spacing w:val="-11"/>
                <w:lang w:val="pt-PT"/>
              </w:rPr>
              <w:t xml:space="preserve"> </w:t>
            </w:r>
            <w:r w:rsidRPr="002B65F7">
              <w:rPr>
                <w:lang w:val="pt-PT"/>
              </w:rPr>
              <w:t>blanchi</w:t>
            </w:r>
            <w:r w:rsidRPr="002B65F7">
              <w:rPr>
                <w:spacing w:val="-12"/>
                <w:lang w:val="pt-PT"/>
              </w:rPr>
              <w:t xml:space="preserve"> </w:t>
            </w:r>
            <w:r w:rsidRPr="002B65F7">
              <w:rPr>
                <w:lang w:val="pt-PT"/>
              </w:rPr>
              <w:t>ou</w:t>
            </w:r>
            <w:r w:rsidRPr="002B65F7">
              <w:rPr>
                <w:spacing w:val="-12"/>
                <w:lang w:val="pt-PT"/>
              </w:rPr>
              <w:t xml:space="preserve"> </w:t>
            </w:r>
            <w:r w:rsidRPr="002B65F7">
              <w:rPr>
                <w:lang w:val="pt-PT"/>
              </w:rPr>
              <w:t>minimal N (%)</w:t>
            </w:r>
          </w:p>
        </w:tc>
        <w:tc>
          <w:tcPr>
            <w:tcW w:w="686" w:type="pct"/>
          </w:tcPr>
          <w:p w14:paraId="25C6C363" w14:textId="77777777" w:rsidR="00FF5E44" w:rsidRPr="002B65F7" w:rsidRDefault="00FF5E44" w:rsidP="00CE7E90">
            <w:pPr>
              <w:pStyle w:val="TableParagraph"/>
              <w:widowControl/>
              <w:suppressAutoHyphens/>
              <w:adjustRightInd w:val="0"/>
              <w:snapToGrid w:val="0"/>
              <w:ind w:left="0"/>
            </w:pPr>
            <w:r w:rsidRPr="002B65F7">
              <w:t>18</w:t>
            </w:r>
            <w:r w:rsidRPr="002B65F7">
              <w:rPr>
                <w:spacing w:val="-1"/>
              </w:rPr>
              <w:t xml:space="preserve"> </w:t>
            </w:r>
            <w:r w:rsidRPr="002B65F7">
              <w:rPr>
                <w:spacing w:val="-4"/>
              </w:rPr>
              <w:t>(4%)</w:t>
            </w:r>
          </w:p>
        </w:tc>
        <w:tc>
          <w:tcPr>
            <w:tcW w:w="763" w:type="pct"/>
          </w:tcPr>
          <w:p w14:paraId="55426649" w14:textId="77777777" w:rsidR="00FF5E44" w:rsidRPr="002B65F7" w:rsidRDefault="00FF5E44" w:rsidP="00CE7E90">
            <w:pPr>
              <w:pStyle w:val="TableParagraph"/>
              <w:widowControl/>
              <w:suppressAutoHyphens/>
              <w:adjustRightInd w:val="0"/>
              <w:snapToGrid w:val="0"/>
              <w:ind w:left="0"/>
            </w:pPr>
            <w:r w:rsidRPr="002B65F7">
              <w:t>277</w:t>
            </w:r>
            <w:r w:rsidRPr="002B65F7">
              <w:rPr>
                <w:spacing w:val="-4"/>
              </w:rPr>
              <w:t xml:space="preserve"> </w:t>
            </w:r>
            <w:r w:rsidRPr="002B65F7">
              <w:t>(68%)</w:t>
            </w:r>
            <w:r w:rsidRPr="002B65F7">
              <w:rPr>
                <w:spacing w:val="-10"/>
                <w:vertAlign w:val="superscript"/>
              </w:rPr>
              <w:t>a</w:t>
            </w:r>
          </w:p>
        </w:tc>
        <w:tc>
          <w:tcPr>
            <w:tcW w:w="687" w:type="pct"/>
          </w:tcPr>
          <w:p w14:paraId="6F5AD6A2" w14:textId="77777777" w:rsidR="00FF5E44" w:rsidRPr="002B65F7" w:rsidRDefault="00FF5E44" w:rsidP="00CE7E90">
            <w:pPr>
              <w:pStyle w:val="TableParagraph"/>
              <w:widowControl/>
              <w:suppressAutoHyphens/>
              <w:adjustRightInd w:val="0"/>
              <w:snapToGrid w:val="0"/>
              <w:ind w:left="0"/>
            </w:pPr>
            <w:r w:rsidRPr="002B65F7">
              <w:t>300</w:t>
            </w:r>
            <w:r w:rsidRPr="002B65F7">
              <w:rPr>
                <w:spacing w:val="-4"/>
              </w:rPr>
              <w:t xml:space="preserve"> </w:t>
            </w:r>
            <w:r w:rsidRPr="002B65F7">
              <w:t>(73%)</w:t>
            </w:r>
            <w:r w:rsidRPr="002B65F7">
              <w:rPr>
                <w:spacing w:val="-10"/>
                <w:vertAlign w:val="superscript"/>
              </w:rPr>
              <w:t>a</w:t>
            </w:r>
          </w:p>
        </w:tc>
        <w:tc>
          <w:tcPr>
            <w:tcW w:w="773" w:type="pct"/>
          </w:tcPr>
          <w:p w14:paraId="0AE8F612" w14:textId="77777777" w:rsidR="00FF5E44" w:rsidRPr="002B65F7" w:rsidRDefault="00FF5E44" w:rsidP="00CE7E90">
            <w:pPr>
              <w:pStyle w:val="TableParagraph"/>
              <w:widowControl/>
              <w:suppressAutoHyphens/>
              <w:adjustRightInd w:val="0"/>
              <w:snapToGrid w:val="0"/>
              <w:ind w:left="0"/>
            </w:pPr>
            <w:r w:rsidRPr="002B65F7">
              <w:t>241</w:t>
            </w:r>
            <w:r w:rsidRPr="002B65F7">
              <w:rPr>
                <w:spacing w:val="-2"/>
              </w:rPr>
              <w:t xml:space="preserve"> (61%)</w:t>
            </w:r>
          </w:p>
        </w:tc>
        <w:tc>
          <w:tcPr>
            <w:tcW w:w="735" w:type="pct"/>
          </w:tcPr>
          <w:p w14:paraId="2634D5B3" w14:textId="77777777" w:rsidR="00FF5E44" w:rsidRPr="002B65F7" w:rsidRDefault="00FF5E44" w:rsidP="00CE7E90">
            <w:pPr>
              <w:pStyle w:val="TableParagraph"/>
              <w:widowControl/>
              <w:suppressAutoHyphens/>
              <w:adjustRightInd w:val="0"/>
              <w:snapToGrid w:val="0"/>
              <w:ind w:left="0"/>
            </w:pPr>
            <w:r w:rsidRPr="002B65F7">
              <w:t>279</w:t>
            </w:r>
            <w:r w:rsidRPr="002B65F7">
              <w:rPr>
                <w:spacing w:val="-2"/>
              </w:rPr>
              <w:t xml:space="preserve"> (70%)</w:t>
            </w:r>
          </w:p>
        </w:tc>
      </w:tr>
      <w:tr w:rsidR="00FF5E44" w:rsidRPr="002B65F7" w14:paraId="11A8231A" w14:textId="77777777" w:rsidTr="00CE7E90">
        <w:trPr>
          <w:cantSplit/>
          <w:trHeight w:val="251"/>
        </w:trPr>
        <w:tc>
          <w:tcPr>
            <w:tcW w:w="1355" w:type="pct"/>
          </w:tcPr>
          <w:p w14:paraId="45DF0636" w14:textId="77777777" w:rsidR="00FF5E44" w:rsidRPr="002B65F7" w:rsidRDefault="00FF5E44" w:rsidP="00CE7E90">
            <w:pPr>
              <w:pStyle w:val="TableParagraph"/>
              <w:widowControl/>
              <w:suppressAutoHyphens/>
              <w:adjustRightInd w:val="0"/>
              <w:snapToGrid w:val="0"/>
              <w:ind w:left="0"/>
              <w:jc w:val="left"/>
            </w:pPr>
            <w:r w:rsidRPr="002B65F7">
              <w:t>Nombre</w:t>
            </w:r>
            <w:r w:rsidRPr="002B65F7">
              <w:rPr>
                <w:spacing w:val="-6"/>
              </w:rPr>
              <w:t xml:space="preserve"> </w:t>
            </w:r>
            <w:r w:rsidRPr="002B65F7">
              <w:t>de</w:t>
            </w:r>
            <w:r w:rsidRPr="002B65F7">
              <w:rPr>
                <w:spacing w:val="-4"/>
              </w:rPr>
              <w:t xml:space="preserve"> </w:t>
            </w:r>
            <w:r w:rsidRPr="002B65F7">
              <w:t>patients</w:t>
            </w:r>
            <w:r w:rsidRPr="002B65F7">
              <w:rPr>
                <w:spacing w:val="-5"/>
              </w:rPr>
              <w:t> </w:t>
            </w:r>
            <w:r w:rsidRPr="002B65F7">
              <w:t>≤</w:t>
            </w:r>
            <w:r w:rsidRPr="002B65F7">
              <w:rPr>
                <w:spacing w:val="-2"/>
              </w:rPr>
              <w:t> </w:t>
            </w:r>
            <w:r w:rsidRPr="002B65F7">
              <w:t>100</w:t>
            </w:r>
            <w:r w:rsidRPr="002B65F7">
              <w:rPr>
                <w:spacing w:val="-5"/>
              </w:rPr>
              <w:t> kg</w:t>
            </w:r>
          </w:p>
        </w:tc>
        <w:tc>
          <w:tcPr>
            <w:tcW w:w="686" w:type="pct"/>
          </w:tcPr>
          <w:p w14:paraId="17FE1F89" w14:textId="77777777" w:rsidR="00FF5E44" w:rsidRPr="002B65F7" w:rsidRDefault="00FF5E44" w:rsidP="00CE7E90">
            <w:pPr>
              <w:pStyle w:val="TableParagraph"/>
              <w:widowControl/>
              <w:suppressAutoHyphens/>
              <w:adjustRightInd w:val="0"/>
              <w:snapToGrid w:val="0"/>
              <w:ind w:left="0"/>
            </w:pPr>
            <w:r w:rsidRPr="002B65F7">
              <w:rPr>
                <w:spacing w:val="-5"/>
              </w:rPr>
              <w:t>290</w:t>
            </w:r>
          </w:p>
        </w:tc>
        <w:tc>
          <w:tcPr>
            <w:tcW w:w="763" w:type="pct"/>
          </w:tcPr>
          <w:p w14:paraId="0B0C7D0D" w14:textId="77777777" w:rsidR="00FF5E44" w:rsidRPr="002B65F7" w:rsidRDefault="00FF5E44" w:rsidP="00CE7E90">
            <w:pPr>
              <w:pStyle w:val="TableParagraph"/>
              <w:widowControl/>
              <w:suppressAutoHyphens/>
              <w:adjustRightInd w:val="0"/>
              <w:snapToGrid w:val="0"/>
              <w:ind w:left="0"/>
            </w:pPr>
            <w:r w:rsidRPr="002B65F7">
              <w:rPr>
                <w:spacing w:val="-5"/>
              </w:rPr>
              <w:t>297</w:t>
            </w:r>
          </w:p>
        </w:tc>
        <w:tc>
          <w:tcPr>
            <w:tcW w:w="687" w:type="pct"/>
          </w:tcPr>
          <w:p w14:paraId="79260AA0" w14:textId="77777777" w:rsidR="00FF5E44" w:rsidRPr="002B65F7" w:rsidRDefault="00FF5E44" w:rsidP="00CE7E90">
            <w:pPr>
              <w:pStyle w:val="TableParagraph"/>
              <w:widowControl/>
              <w:suppressAutoHyphens/>
              <w:adjustRightInd w:val="0"/>
              <w:snapToGrid w:val="0"/>
              <w:ind w:left="0"/>
            </w:pPr>
            <w:r w:rsidRPr="002B65F7">
              <w:rPr>
                <w:spacing w:val="-5"/>
              </w:rPr>
              <w:t>289</w:t>
            </w:r>
          </w:p>
        </w:tc>
        <w:tc>
          <w:tcPr>
            <w:tcW w:w="773" w:type="pct"/>
          </w:tcPr>
          <w:p w14:paraId="43729117" w14:textId="77777777" w:rsidR="00FF5E44" w:rsidRPr="002B65F7" w:rsidRDefault="00FF5E44" w:rsidP="00CE7E90">
            <w:pPr>
              <w:pStyle w:val="TableParagraph"/>
              <w:widowControl/>
              <w:suppressAutoHyphens/>
              <w:adjustRightInd w:val="0"/>
              <w:snapToGrid w:val="0"/>
              <w:ind w:left="0"/>
            </w:pPr>
            <w:r w:rsidRPr="002B65F7">
              <w:rPr>
                <w:spacing w:val="-5"/>
              </w:rPr>
              <w:t>287</w:t>
            </w:r>
          </w:p>
        </w:tc>
        <w:tc>
          <w:tcPr>
            <w:tcW w:w="735" w:type="pct"/>
          </w:tcPr>
          <w:p w14:paraId="1D34E7AA" w14:textId="77777777" w:rsidR="00FF5E44" w:rsidRPr="002B65F7" w:rsidRDefault="00FF5E44" w:rsidP="00CE7E90">
            <w:pPr>
              <w:pStyle w:val="TableParagraph"/>
              <w:widowControl/>
              <w:suppressAutoHyphens/>
              <w:adjustRightInd w:val="0"/>
              <w:snapToGrid w:val="0"/>
              <w:ind w:left="0"/>
            </w:pPr>
            <w:r w:rsidRPr="002B65F7">
              <w:rPr>
                <w:spacing w:val="-5"/>
              </w:rPr>
              <w:t>280</w:t>
            </w:r>
          </w:p>
        </w:tc>
      </w:tr>
      <w:tr w:rsidR="00FF5E44" w:rsidRPr="002B65F7" w14:paraId="77574EEA" w14:textId="77777777" w:rsidTr="00CE7E90">
        <w:trPr>
          <w:cantSplit/>
          <w:trHeight w:val="251"/>
        </w:trPr>
        <w:tc>
          <w:tcPr>
            <w:tcW w:w="1355" w:type="pct"/>
          </w:tcPr>
          <w:p w14:paraId="7A5754B7" w14:textId="77777777" w:rsidR="00FF5E44" w:rsidRPr="002B65F7" w:rsidRDefault="00FF5E44" w:rsidP="00CE7E90">
            <w:pPr>
              <w:pStyle w:val="TableParagraph"/>
              <w:widowControl/>
              <w:suppressAutoHyphens/>
              <w:adjustRightInd w:val="0"/>
              <w:snapToGrid w:val="0"/>
              <w:ind w:left="0"/>
              <w:jc w:val="left"/>
            </w:pPr>
            <w:r w:rsidRPr="002B65F7">
              <w:t>Réponse</w:t>
            </w:r>
            <w:r w:rsidRPr="002B65F7">
              <w:rPr>
                <w:spacing w:val="-3"/>
              </w:rPr>
              <w:t xml:space="preserve"> </w:t>
            </w:r>
            <w:r w:rsidRPr="002B65F7">
              <w:t>PASI 75</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0359DA22" w14:textId="77777777" w:rsidR="00FF5E44" w:rsidRPr="002B65F7" w:rsidRDefault="00FF5E44" w:rsidP="00CE7E90">
            <w:pPr>
              <w:pStyle w:val="TableParagraph"/>
              <w:widowControl/>
              <w:suppressAutoHyphens/>
              <w:adjustRightInd w:val="0"/>
              <w:snapToGrid w:val="0"/>
              <w:ind w:left="0"/>
            </w:pPr>
            <w:r w:rsidRPr="002B65F7">
              <w:t>12</w:t>
            </w:r>
            <w:r w:rsidRPr="002B65F7">
              <w:rPr>
                <w:spacing w:val="-1"/>
              </w:rPr>
              <w:t xml:space="preserve"> </w:t>
            </w:r>
            <w:r w:rsidRPr="002B65F7">
              <w:rPr>
                <w:spacing w:val="-4"/>
              </w:rPr>
              <w:t>(4%)</w:t>
            </w:r>
          </w:p>
        </w:tc>
        <w:tc>
          <w:tcPr>
            <w:tcW w:w="763" w:type="pct"/>
          </w:tcPr>
          <w:p w14:paraId="29120253" w14:textId="77777777" w:rsidR="00FF5E44" w:rsidRPr="002B65F7" w:rsidRDefault="00FF5E44" w:rsidP="00CE7E90">
            <w:pPr>
              <w:pStyle w:val="TableParagraph"/>
              <w:widowControl/>
              <w:suppressAutoHyphens/>
              <w:adjustRightInd w:val="0"/>
              <w:snapToGrid w:val="0"/>
              <w:ind w:left="0"/>
            </w:pPr>
            <w:r w:rsidRPr="002B65F7">
              <w:t>218</w:t>
            </w:r>
            <w:r w:rsidRPr="002B65F7">
              <w:rPr>
                <w:spacing w:val="-2"/>
              </w:rPr>
              <w:t xml:space="preserve"> (73%)</w:t>
            </w:r>
          </w:p>
        </w:tc>
        <w:tc>
          <w:tcPr>
            <w:tcW w:w="687" w:type="pct"/>
          </w:tcPr>
          <w:p w14:paraId="32EFF7EE" w14:textId="77777777" w:rsidR="00FF5E44" w:rsidRPr="002B65F7" w:rsidRDefault="00FF5E44" w:rsidP="00CE7E90">
            <w:pPr>
              <w:pStyle w:val="TableParagraph"/>
              <w:widowControl/>
              <w:suppressAutoHyphens/>
              <w:adjustRightInd w:val="0"/>
              <w:snapToGrid w:val="0"/>
              <w:ind w:left="0"/>
            </w:pPr>
            <w:r w:rsidRPr="002B65F7">
              <w:t>225</w:t>
            </w:r>
            <w:r w:rsidRPr="002B65F7">
              <w:rPr>
                <w:spacing w:val="-2"/>
              </w:rPr>
              <w:t xml:space="preserve"> (78%)</w:t>
            </w:r>
          </w:p>
        </w:tc>
        <w:tc>
          <w:tcPr>
            <w:tcW w:w="773" w:type="pct"/>
          </w:tcPr>
          <w:p w14:paraId="3B072DC4" w14:textId="77777777" w:rsidR="00FF5E44" w:rsidRPr="002B65F7" w:rsidRDefault="00FF5E44" w:rsidP="00CE7E90">
            <w:pPr>
              <w:pStyle w:val="TableParagraph"/>
              <w:widowControl/>
              <w:suppressAutoHyphens/>
              <w:adjustRightInd w:val="0"/>
              <w:snapToGrid w:val="0"/>
              <w:ind w:left="0"/>
            </w:pPr>
            <w:r w:rsidRPr="002B65F7">
              <w:t>217</w:t>
            </w:r>
            <w:r w:rsidRPr="002B65F7">
              <w:rPr>
                <w:spacing w:val="-2"/>
              </w:rPr>
              <w:t xml:space="preserve"> (76%)</w:t>
            </w:r>
          </w:p>
        </w:tc>
        <w:tc>
          <w:tcPr>
            <w:tcW w:w="735" w:type="pct"/>
          </w:tcPr>
          <w:p w14:paraId="1D739CE9" w14:textId="77777777" w:rsidR="00FF5E44" w:rsidRPr="002B65F7" w:rsidRDefault="00FF5E44" w:rsidP="00CE7E90">
            <w:pPr>
              <w:pStyle w:val="TableParagraph"/>
              <w:widowControl/>
              <w:suppressAutoHyphens/>
              <w:adjustRightInd w:val="0"/>
              <w:snapToGrid w:val="0"/>
              <w:ind w:left="0"/>
            </w:pPr>
            <w:r w:rsidRPr="002B65F7">
              <w:t>226</w:t>
            </w:r>
            <w:r w:rsidRPr="002B65F7">
              <w:rPr>
                <w:spacing w:val="-2"/>
              </w:rPr>
              <w:t xml:space="preserve"> (81%)</w:t>
            </w:r>
          </w:p>
        </w:tc>
      </w:tr>
      <w:tr w:rsidR="00FF5E44" w:rsidRPr="002B65F7" w14:paraId="79237B26" w14:textId="77777777" w:rsidTr="00CE7E90">
        <w:trPr>
          <w:cantSplit/>
          <w:trHeight w:val="251"/>
        </w:trPr>
        <w:tc>
          <w:tcPr>
            <w:tcW w:w="1355" w:type="pct"/>
          </w:tcPr>
          <w:p w14:paraId="6B7B50A8" w14:textId="77777777" w:rsidR="00FF5E44" w:rsidRPr="002B65F7" w:rsidRDefault="00FF5E44" w:rsidP="00CE7E90">
            <w:pPr>
              <w:pStyle w:val="TableParagraph"/>
              <w:widowControl/>
              <w:suppressAutoHyphens/>
              <w:adjustRightInd w:val="0"/>
              <w:snapToGrid w:val="0"/>
              <w:ind w:left="0"/>
              <w:jc w:val="left"/>
            </w:pPr>
            <w:r w:rsidRPr="002B65F7">
              <w:t>Nombre</w:t>
            </w:r>
            <w:r w:rsidRPr="002B65F7">
              <w:rPr>
                <w:spacing w:val="-4"/>
              </w:rPr>
              <w:t xml:space="preserve"> </w:t>
            </w:r>
            <w:r w:rsidRPr="002B65F7">
              <w:t>de</w:t>
            </w:r>
            <w:r w:rsidRPr="002B65F7">
              <w:rPr>
                <w:spacing w:val="-4"/>
              </w:rPr>
              <w:t xml:space="preserve"> </w:t>
            </w:r>
            <w:r w:rsidRPr="002B65F7">
              <w:t>patients</w:t>
            </w:r>
            <w:r w:rsidRPr="002B65F7">
              <w:rPr>
                <w:spacing w:val="-3"/>
              </w:rPr>
              <w:t> </w:t>
            </w:r>
            <w:r w:rsidRPr="002B65F7">
              <w:t>&gt; 100</w:t>
            </w:r>
            <w:r w:rsidRPr="002B65F7">
              <w:rPr>
                <w:spacing w:val="-2"/>
              </w:rPr>
              <w:t> </w:t>
            </w:r>
            <w:r w:rsidRPr="002B65F7">
              <w:rPr>
                <w:spacing w:val="-5"/>
              </w:rPr>
              <w:t>kg</w:t>
            </w:r>
          </w:p>
        </w:tc>
        <w:tc>
          <w:tcPr>
            <w:tcW w:w="686" w:type="pct"/>
          </w:tcPr>
          <w:p w14:paraId="74D21B5D" w14:textId="77777777" w:rsidR="00FF5E44" w:rsidRPr="002B65F7" w:rsidRDefault="00FF5E44" w:rsidP="00CE7E90">
            <w:pPr>
              <w:pStyle w:val="TableParagraph"/>
              <w:widowControl/>
              <w:suppressAutoHyphens/>
              <w:adjustRightInd w:val="0"/>
              <w:snapToGrid w:val="0"/>
              <w:ind w:left="0"/>
            </w:pPr>
            <w:r w:rsidRPr="002B65F7">
              <w:rPr>
                <w:spacing w:val="-5"/>
              </w:rPr>
              <w:t>120</w:t>
            </w:r>
          </w:p>
        </w:tc>
        <w:tc>
          <w:tcPr>
            <w:tcW w:w="763" w:type="pct"/>
          </w:tcPr>
          <w:p w14:paraId="3B70B300" w14:textId="77777777" w:rsidR="00FF5E44" w:rsidRPr="002B65F7" w:rsidRDefault="00FF5E44" w:rsidP="00CE7E90">
            <w:pPr>
              <w:pStyle w:val="TableParagraph"/>
              <w:widowControl/>
              <w:suppressAutoHyphens/>
              <w:adjustRightInd w:val="0"/>
              <w:snapToGrid w:val="0"/>
              <w:ind w:left="0"/>
            </w:pPr>
            <w:r w:rsidRPr="002B65F7">
              <w:rPr>
                <w:spacing w:val="-5"/>
              </w:rPr>
              <w:t>112</w:t>
            </w:r>
          </w:p>
        </w:tc>
        <w:tc>
          <w:tcPr>
            <w:tcW w:w="687" w:type="pct"/>
          </w:tcPr>
          <w:p w14:paraId="6D8FD659" w14:textId="77777777" w:rsidR="00FF5E44" w:rsidRPr="002B65F7" w:rsidRDefault="00FF5E44" w:rsidP="00CE7E90">
            <w:pPr>
              <w:pStyle w:val="TableParagraph"/>
              <w:widowControl/>
              <w:suppressAutoHyphens/>
              <w:adjustRightInd w:val="0"/>
              <w:snapToGrid w:val="0"/>
              <w:ind w:left="0"/>
            </w:pPr>
            <w:r w:rsidRPr="002B65F7">
              <w:rPr>
                <w:spacing w:val="-5"/>
              </w:rPr>
              <w:t>121</w:t>
            </w:r>
          </w:p>
        </w:tc>
        <w:tc>
          <w:tcPr>
            <w:tcW w:w="773" w:type="pct"/>
          </w:tcPr>
          <w:p w14:paraId="421EFBE2" w14:textId="77777777" w:rsidR="00FF5E44" w:rsidRPr="002B65F7" w:rsidRDefault="00FF5E44" w:rsidP="00CE7E90">
            <w:pPr>
              <w:pStyle w:val="TableParagraph"/>
              <w:widowControl/>
              <w:suppressAutoHyphens/>
              <w:adjustRightInd w:val="0"/>
              <w:snapToGrid w:val="0"/>
              <w:ind w:left="0"/>
            </w:pPr>
            <w:r w:rsidRPr="002B65F7">
              <w:rPr>
                <w:spacing w:val="-5"/>
              </w:rPr>
              <w:t>110</w:t>
            </w:r>
          </w:p>
        </w:tc>
        <w:tc>
          <w:tcPr>
            <w:tcW w:w="735" w:type="pct"/>
          </w:tcPr>
          <w:p w14:paraId="39B1E824" w14:textId="77777777" w:rsidR="00FF5E44" w:rsidRPr="002B65F7" w:rsidRDefault="00FF5E44" w:rsidP="00CE7E90">
            <w:pPr>
              <w:pStyle w:val="TableParagraph"/>
              <w:widowControl/>
              <w:suppressAutoHyphens/>
              <w:adjustRightInd w:val="0"/>
              <w:snapToGrid w:val="0"/>
              <w:ind w:left="0"/>
            </w:pPr>
            <w:r w:rsidRPr="002B65F7">
              <w:rPr>
                <w:spacing w:val="-5"/>
              </w:rPr>
              <w:t>119</w:t>
            </w:r>
          </w:p>
        </w:tc>
      </w:tr>
      <w:tr w:rsidR="00FF5E44" w:rsidRPr="002B65F7" w14:paraId="18C5F9AA" w14:textId="77777777" w:rsidTr="00CE7E90">
        <w:trPr>
          <w:cantSplit/>
          <w:trHeight w:val="251"/>
        </w:trPr>
        <w:tc>
          <w:tcPr>
            <w:tcW w:w="1355" w:type="pct"/>
          </w:tcPr>
          <w:p w14:paraId="61386B58" w14:textId="77777777" w:rsidR="00FF5E44" w:rsidRPr="002B65F7" w:rsidRDefault="00FF5E44" w:rsidP="00CE7E90">
            <w:pPr>
              <w:pStyle w:val="TableParagraph"/>
              <w:widowControl/>
              <w:suppressAutoHyphens/>
              <w:adjustRightInd w:val="0"/>
              <w:snapToGrid w:val="0"/>
              <w:ind w:left="0"/>
              <w:jc w:val="left"/>
            </w:pPr>
            <w:r w:rsidRPr="002B65F7">
              <w:t>Réponse</w:t>
            </w:r>
            <w:r w:rsidRPr="002B65F7">
              <w:rPr>
                <w:spacing w:val="-3"/>
              </w:rPr>
              <w:t xml:space="preserve"> </w:t>
            </w:r>
            <w:r w:rsidRPr="002B65F7">
              <w:t>PASI 75</w:t>
            </w:r>
            <w:r w:rsidRPr="002B65F7">
              <w:rPr>
                <w:spacing w:val="-4"/>
              </w:rPr>
              <w:t xml:space="preserve"> </w:t>
            </w:r>
            <w:r w:rsidRPr="002B65F7">
              <w:t>N</w:t>
            </w:r>
            <w:r w:rsidRPr="002B65F7">
              <w:rPr>
                <w:spacing w:val="-3"/>
              </w:rPr>
              <w:t xml:space="preserve"> </w:t>
            </w:r>
            <w:r w:rsidRPr="002B65F7">
              <w:rPr>
                <w:spacing w:val="-5"/>
              </w:rPr>
              <w:t>(%)</w:t>
            </w:r>
          </w:p>
        </w:tc>
        <w:tc>
          <w:tcPr>
            <w:tcW w:w="686" w:type="pct"/>
          </w:tcPr>
          <w:p w14:paraId="4C7B09A0" w14:textId="77777777" w:rsidR="00FF5E44" w:rsidRPr="002B65F7" w:rsidRDefault="00FF5E44" w:rsidP="00CE7E90">
            <w:pPr>
              <w:pStyle w:val="TableParagraph"/>
              <w:widowControl/>
              <w:suppressAutoHyphens/>
              <w:adjustRightInd w:val="0"/>
              <w:snapToGrid w:val="0"/>
              <w:ind w:left="0"/>
            </w:pPr>
            <w:r w:rsidRPr="002B65F7">
              <w:t>3</w:t>
            </w:r>
            <w:r w:rsidRPr="002B65F7">
              <w:rPr>
                <w:spacing w:val="-1"/>
              </w:rPr>
              <w:t xml:space="preserve"> </w:t>
            </w:r>
            <w:r w:rsidRPr="002B65F7">
              <w:rPr>
                <w:spacing w:val="-4"/>
              </w:rPr>
              <w:t>(3%)</w:t>
            </w:r>
          </w:p>
        </w:tc>
        <w:tc>
          <w:tcPr>
            <w:tcW w:w="763" w:type="pct"/>
          </w:tcPr>
          <w:p w14:paraId="272D263A" w14:textId="77777777" w:rsidR="00FF5E44" w:rsidRPr="002B65F7" w:rsidRDefault="00FF5E44" w:rsidP="00CE7E90">
            <w:pPr>
              <w:pStyle w:val="TableParagraph"/>
              <w:widowControl/>
              <w:suppressAutoHyphens/>
              <w:adjustRightInd w:val="0"/>
              <w:snapToGrid w:val="0"/>
              <w:ind w:left="0"/>
            </w:pPr>
            <w:r w:rsidRPr="002B65F7">
              <w:t>55</w:t>
            </w:r>
            <w:r w:rsidRPr="002B65F7">
              <w:rPr>
                <w:spacing w:val="-1"/>
              </w:rPr>
              <w:t xml:space="preserve"> </w:t>
            </w:r>
            <w:r w:rsidRPr="002B65F7">
              <w:rPr>
                <w:spacing w:val="-2"/>
              </w:rPr>
              <w:t>(49%)</w:t>
            </w:r>
          </w:p>
        </w:tc>
        <w:tc>
          <w:tcPr>
            <w:tcW w:w="687" w:type="pct"/>
          </w:tcPr>
          <w:p w14:paraId="0A205684" w14:textId="77777777" w:rsidR="00FF5E44" w:rsidRPr="002B65F7" w:rsidRDefault="00FF5E44" w:rsidP="00CE7E90">
            <w:pPr>
              <w:pStyle w:val="TableParagraph"/>
              <w:widowControl/>
              <w:suppressAutoHyphens/>
              <w:adjustRightInd w:val="0"/>
              <w:snapToGrid w:val="0"/>
              <w:ind w:left="0"/>
            </w:pPr>
            <w:r w:rsidRPr="002B65F7">
              <w:t>86</w:t>
            </w:r>
            <w:r w:rsidRPr="002B65F7">
              <w:rPr>
                <w:spacing w:val="-1"/>
              </w:rPr>
              <w:t xml:space="preserve"> </w:t>
            </w:r>
            <w:r w:rsidRPr="002B65F7">
              <w:rPr>
                <w:spacing w:val="-2"/>
              </w:rPr>
              <w:t>(71%)</w:t>
            </w:r>
          </w:p>
        </w:tc>
        <w:tc>
          <w:tcPr>
            <w:tcW w:w="773" w:type="pct"/>
          </w:tcPr>
          <w:p w14:paraId="15A3B875" w14:textId="77777777" w:rsidR="00FF5E44" w:rsidRPr="002B65F7" w:rsidRDefault="00FF5E44" w:rsidP="00CE7E90">
            <w:pPr>
              <w:pStyle w:val="TableParagraph"/>
              <w:widowControl/>
              <w:suppressAutoHyphens/>
              <w:adjustRightInd w:val="0"/>
              <w:snapToGrid w:val="0"/>
              <w:ind w:left="0"/>
            </w:pPr>
            <w:r w:rsidRPr="002B65F7">
              <w:t>59</w:t>
            </w:r>
            <w:r w:rsidRPr="002B65F7">
              <w:rPr>
                <w:spacing w:val="-1"/>
              </w:rPr>
              <w:t xml:space="preserve"> </w:t>
            </w:r>
            <w:r w:rsidRPr="002B65F7">
              <w:rPr>
                <w:spacing w:val="-2"/>
              </w:rPr>
              <w:t>(54%)</w:t>
            </w:r>
          </w:p>
        </w:tc>
        <w:tc>
          <w:tcPr>
            <w:tcW w:w="735" w:type="pct"/>
          </w:tcPr>
          <w:p w14:paraId="44E82450" w14:textId="77777777" w:rsidR="00FF5E44" w:rsidRPr="002B65F7" w:rsidRDefault="00FF5E44" w:rsidP="00CE7E90">
            <w:pPr>
              <w:pStyle w:val="TableParagraph"/>
              <w:widowControl/>
              <w:suppressAutoHyphens/>
              <w:adjustRightInd w:val="0"/>
              <w:snapToGrid w:val="0"/>
              <w:ind w:left="0"/>
            </w:pPr>
            <w:r w:rsidRPr="002B65F7">
              <w:t>88</w:t>
            </w:r>
            <w:r w:rsidRPr="002B65F7">
              <w:rPr>
                <w:spacing w:val="-1"/>
              </w:rPr>
              <w:t xml:space="preserve"> </w:t>
            </w:r>
            <w:r w:rsidRPr="002B65F7">
              <w:rPr>
                <w:spacing w:val="-2"/>
              </w:rPr>
              <w:t>(74%)</w:t>
            </w:r>
          </w:p>
        </w:tc>
      </w:tr>
    </w:tbl>
    <w:p w14:paraId="7E07B81C" w14:textId="77777777" w:rsidR="00FF5E44" w:rsidRPr="002B65F7" w:rsidRDefault="00FF5E44" w:rsidP="00FF5E44">
      <w:pPr>
        <w:widowControl/>
        <w:rPr>
          <w:sz w:val="20"/>
          <w:szCs w:val="20"/>
        </w:rPr>
      </w:pPr>
      <w:r w:rsidRPr="002B65F7">
        <w:rPr>
          <w:sz w:val="20"/>
          <w:szCs w:val="20"/>
          <w:vertAlign w:val="superscript"/>
        </w:rPr>
        <w:t>a</w:t>
      </w:r>
      <w:r w:rsidRPr="002B65F7">
        <w:rPr>
          <w:sz w:val="20"/>
          <w:szCs w:val="20"/>
        </w:rPr>
        <w:t xml:space="preserve"> p &lt; 0,001 pour ustekinumab 45 mg ou 90 mg </w:t>
      </w:r>
      <w:r w:rsidRPr="002B65F7">
        <w:rPr>
          <w:i/>
          <w:iCs/>
          <w:sz w:val="20"/>
          <w:szCs w:val="20"/>
        </w:rPr>
        <w:t>versus</w:t>
      </w:r>
      <w:r w:rsidRPr="002B65F7">
        <w:rPr>
          <w:sz w:val="20"/>
          <w:szCs w:val="20"/>
        </w:rPr>
        <w:t xml:space="preserve"> placebo (PBO).</w:t>
      </w:r>
    </w:p>
    <w:p w14:paraId="092F03B6" w14:textId="63D2E612" w:rsidR="00FF5E44" w:rsidRPr="002B65F7" w:rsidRDefault="00FF5E44" w:rsidP="00FF5E44">
      <w:pPr>
        <w:widowControl/>
        <w:rPr>
          <w:sz w:val="20"/>
          <w:szCs w:val="20"/>
          <w:lang w:val="en-IN"/>
        </w:rPr>
      </w:pPr>
      <w:r w:rsidRPr="002B65F7">
        <w:rPr>
          <w:sz w:val="20"/>
          <w:szCs w:val="20"/>
          <w:vertAlign w:val="superscript"/>
          <w:lang w:val="en-IN"/>
        </w:rPr>
        <w:t>b</w:t>
      </w:r>
      <w:r w:rsidRPr="002B65F7">
        <w:rPr>
          <w:sz w:val="20"/>
          <w:szCs w:val="20"/>
          <w:lang w:val="en-IN"/>
        </w:rPr>
        <w:t xml:space="preserve"> PGA = Physician Global Assessment</w:t>
      </w:r>
      <w:r w:rsidR="00612790">
        <w:rPr>
          <w:sz w:val="20"/>
          <w:szCs w:val="20"/>
          <w:lang w:val="en-IN"/>
        </w:rPr>
        <w:t>.</w:t>
      </w:r>
    </w:p>
    <w:p w14:paraId="6BAE0234" w14:textId="77777777" w:rsidR="00FF5E44" w:rsidRPr="002B65F7" w:rsidRDefault="00FF5E44" w:rsidP="00FF5E44">
      <w:pPr>
        <w:widowControl/>
        <w:rPr>
          <w:lang w:val="en-IN"/>
        </w:rPr>
      </w:pPr>
    </w:p>
    <w:p w14:paraId="0D9781B9" w14:textId="62C8067A" w:rsidR="00FF5E44" w:rsidRPr="002B65F7" w:rsidRDefault="00FF5E44" w:rsidP="00FF5E44">
      <w:pPr>
        <w:keepNext/>
        <w:widowControl/>
        <w:rPr>
          <w:b/>
          <w:bCs/>
        </w:rPr>
      </w:pPr>
      <w:r w:rsidRPr="00B007D2">
        <w:rPr>
          <w:b/>
          <w:bCs/>
        </w:rPr>
        <w:t>Tableau </w:t>
      </w:r>
      <w:r w:rsidR="00EF2DBE" w:rsidRPr="00B007D2">
        <w:rPr>
          <w:b/>
          <w:bCs/>
        </w:rPr>
        <w:t>3</w:t>
      </w:r>
      <w:r w:rsidRPr="00B007D2">
        <w:rPr>
          <w:b/>
          <w:bCs/>
        </w:rPr>
        <w:t xml:space="preserve">. </w:t>
      </w:r>
      <w:r w:rsidRPr="002B65F7">
        <w:rPr>
          <w:b/>
          <w:bCs/>
        </w:rPr>
        <w:t>Résumé des réponses cliniques dans l’étude Psoriasis 3 (ACCEPT) à la semaine 12</w:t>
      </w:r>
    </w:p>
    <w:p w14:paraId="0858615D" w14:textId="77777777" w:rsidR="00FF5E44" w:rsidRPr="002B65F7" w:rsidRDefault="00FF5E44" w:rsidP="00FF5E44">
      <w:pPr>
        <w:keepNext/>
        <w:widowControl/>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47"/>
        <w:gridCol w:w="1912"/>
        <w:gridCol w:w="1981"/>
        <w:gridCol w:w="2021"/>
      </w:tblGrid>
      <w:tr w:rsidR="00FF5E44" w:rsidRPr="002B65F7" w14:paraId="7AE76417" w14:textId="77777777" w:rsidTr="00CE7E90">
        <w:trPr>
          <w:cantSplit/>
          <w:trHeight w:val="251"/>
          <w:tblHeader/>
        </w:trPr>
        <w:tc>
          <w:tcPr>
            <w:tcW w:w="1737" w:type="pct"/>
            <w:vMerge w:val="restart"/>
          </w:tcPr>
          <w:p w14:paraId="419BE761" w14:textId="77777777" w:rsidR="00FF5E44" w:rsidRPr="002B65F7" w:rsidRDefault="00FF5E44" w:rsidP="00CE7E90">
            <w:pPr>
              <w:pStyle w:val="TableParagraph"/>
              <w:keepNext/>
              <w:widowControl/>
              <w:adjustRightInd w:val="0"/>
              <w:snapToGrid w:val="0"/>
              <w:ind w:left="0"/>
              <w:jc w:val="left"/>
              <w:rPr>
                <w:sz w:val="20"/>
              </w:rPr>
            </w:pPr>
          </w:p>
        </w:tc>
        <w:tc>
          <w:tcPr>
            <w:tcW w:w="3263" w:type="pct"/>
            <w:gridSpan w:val="3"/>
          </w:tcPr>
          <w:p w14:paraId="15084FBB" w14:textId="77777777" w:rsidR="00FF5E44" w:rsidRPr="002B65F7" w:rsidRDefault="00FF5E44" w:rsidP="00CE7E90">
            <w:pPr>
              <w:pStyle w:val="TableParagraph"/>
              <w:keepNext/>
              <w:widowControl/>
              <w:adjustRightInd w:val="0"/>
              <w:snapToGrid w:val="0"/>
              <w:ind w:left="0"/>
              <w:rPr>
                <w:b/>
              </w:rPr>
            </w:pPr>
            <w:r w:rsidRPr="002B65F7">
              <w:rPr>
                <w:b/>
              </w:rPr>
              <w:t>Etude</w:t>
            </w:r>
            <w:r w:rsidRPr="002B65F7">
              <w:rPr>
                <w:b/>
                <w:spacing w:val="-9"/>
              </w:rPr>
              <w:t xml:space="preserve"> </w:t>
            </w:r>
            <w:r w:rsidRPr="002B65F7">
              <w:rPr>
                <w:b/>
              </w:rPr>
              <w:t>Psoriasis</w:t>
            </w:r>
            <w:r w:rsidRPr="002B65F7">
              <w:rPr>
                <w:b/>
                <w:spacing w:val="-7"/>
              </w:rPr>
              <w:t> </w:t>
            </w:r>
            <w:r w:rsidRPr="002B65F7">
              <w:rPr>
                <w:b/>
                <w:spacing w:val="-10"/>
              </w:rPr>
              <w:t>3</w:t>
            </w:r>
          </w:p>
        </w:tc>
      </w:tr>
      <w:tr w:rsidR="00FF5E44" w:rsidRPr="002B65F7" w14:paraId="1B7AC177" w14:textId="77777777" w:rsidTr="00CE7E90">
        <w:trPr>
          <w:cantSplit/>
          <w:trHeight w:val="506"/>
          <w:tblHeader/>
        </w:trPr>
        <w:tc>
          <w:tcPr>
            <w:tcW w:w="1737" w:type="pct"/>
            <w:vMerge/>
            <w:tcBorders>
              <w:top w:val="nil"/>
            </w:tcBorders>
          </w:tcPr>
          <w:p w14:paraId="19F7B82D" w14:textId="77777777" w:rsidR="00FF5E44" w:rsidRPr="002B65F7" w:rsidRDefault="00FF5E44" w:rsidP="00CE7E90">
            <w:pPr>
              <w:keepNext/>
              <w:widowControl/>
              <w:adjustRightInd w:val="0"/>
              <w:snapToGrid w:val="0"/>
              <w:rPr>
                <w:sz w:val="2"/>
                <w:szCs w:val="2"/>
              </w:rPr>
            </w:pPr>
          </w:p>
        </w:tc>
        <w:tc>
          <w:tcPr>
            <w:tcW w:w="1055" w:type="pct"/>
            <w:vMerge w:val="restart"/>
          </w:tcPr>
          <w:p w14:paraId="4F614687" w14:textId="77777777" w:rsidR="00FF5E44" w:rsidRPr="002B65F7" w:rsidRDefault="00FF5E44" w:rsidP="00CE7E90">
            <w:pPr>
              <w:pStyle w:val="TableParagraph"/>
              <w:keepNext/>
              <w:widowControl/>
              <w:adjustRightInd w:val="0"/>
              <w:snapToGrid w:val="0"/>
              <w:ind w:left="0"/>
              <w:rPr>
                <w:b/>
                <w:bCs/>
                <w:spacing w:val="-2"/>
              </w:rPr>
            </w:pPr>
            <w:r w:rsidRPr="002B65F7">
              <w:rPr>
                <w:b/>
                <w:bCs/>
                <w:spacing w:val="-2"/>
              </w:rPr>
              <w:t>Etanercept</w:t>
            </w:r>
          </w:p>
          <w:p w14:paraId="61DB7B03" w14:textId="77777777" w:rsidR="00FF5E44" w:rsidRPr="002B65F7" w:rsidRDefault="00FF5E44" w:rsidP="00CE7E90">
            <w:pPr>
              <w:pStyle w:val="TableParagraph"/>
              <w:keepNext/>
              <w:widowControl/>
              <w:adjustRightInd w:val="0"/>
              <w:snapToGrid w:val="0"/>
              <w:ind w:left="0"/>
              <w:rPr>
                <w:b/>
                <w:bCs/>
              </w:rPr>
            </w:pPr>
            <w:r w:rsidRPr="002B65F7">
              <w:rPr>
                <w:b/>
                <w:bCs/>
              </w:rPr>
              <w:t>24 doses</w:t>
            </w:r>
          </w:p>
          <w:p w14:paraId="3C0B175A" w14:textId="77777777" w:rsidR="00FF5E44" w:rsidRPr="002B65F7" w:rsidRDefault="00FF5E44" w:rsidP="00CE7E90">
            <w:pPr>
              <w:pStyle w:val="TableParagraph"/>
              <w:keepNext/>
              <w:widowControl/>
              <w:adjustRightInd w:val="0"/>
              <w:snapToGrid w:val="0"/>
              <w:ind w:left="0"/>
              <w:rPr>
                <w:b/>
                <w:bCs/>
              </w:rPr>
            </w:pPr>
            <w:r w:rsidRPr="002B65F7">
              <w:rPr>
                <w:b/>
                <w:bCs/>
              </w:rPr>
              <w:t>(50</w:t>
            </w:r>
            <w:r w:rsidRPr="002B65F7">
              <w:rPr>
                <w:b/>
                <w:bCs/>
                <w:spacing w:val="-11"/>
              </w:rPr>
              <w:t> </w:t>
            </w:r>
            <w:r w:rsidRPr="002B65F7">
              <w:rPr>
                <w:b/>
                <w:bCs/>
              </w:rPr>
              <w:t>mg</w:t>
            </w:r>
            <w:r w:rsidRPr="002B65F7">
              <w:rPr>
                <w:b/>
                <w:bCs/>
                <w:spacing w:val="-12"/>
              </w:rPr>
              <w:t xml:space="preserve"> </w:t>
            </w:r>
            <w:r w:rsidRPr="002B65F7">
              <w:rPr>
                <w:b/>
                <w:bCs/>
              </w:rPr>
              <w:t>deux</w:t>
            </w:r>
            <w:r w:rsidRPr="002B65F7">
              <w:rPr>
                <w:b/>
                <w:bCs/>
                <w:spacing w:val="-12"/>
              </w:rPr>
              <w:t xml:space="preserve"> </w:t>
            </w:r>
            <w:r w:rsidRPr="002B65F7">
              <w:rPr>
                <w:b/>
                <w:bCs/>
              </w:rPr>
              <w:t>fois par semaine)</w:t>
            </w:r>
          </w:p>
        </w:tc>
        <w:tc>
          <w:tcPr>
            <w:tcW w:w="2208" w:type="pct"/>
            <w:gridSpan w:val="2"/>
          </w:tcPr>
          <w:p w14:paraId="108BBBCD" w14:textId="77777777" w:rsidR="00FF5E44" w:rsidRPr="002B65F7" w:rsidRDefault="00FF5E44" w:rsidP="00CE7E90">
            <w:pPr>
              <w:pStyle w:val="TableParagraph"/>
              <w:keepNext/>
              <w:widowControl/>
              <w:adjustRightInd w:val="0"/>
              <w:snapToGrid w:val="0"/>
              <w:ind w:left="0"/>
              <w:rPr>
                <w:b/>
                <w:bCs/>
              </w:rPr>
            </w:pPr>
            <w:r w:rsidRPr="002B65F7">
              <w:rPr>
                <w:b/>
                <w:bCs/>
                <w:spacing w:val="-2"/>
              </w:rPr>
              <w:t>Ustekinumab</w:t>
            </w:r>
          </w:p>
          <w:p w14:paraId="5BB074B9" w14:textId="77777777" w:rsidR="00FF5E44" w:rsidRPr="002B65F7" w:rsidRDefault="00FF5E44" w:rsidP="00CE7E90">
            <w:pPr>
              <w:pStyle w:val="TableParagraph"/>
              <w:keepNext/>
              <w:widowControl/>
              <w:adjustRightInd w:val="0"/>
              <w:snapToGrid w:val="0"/>
              <w:ind w:left="0"/>
              <w:rPr>
                <w:b/>
                <w:bCs/>
              </w:rPr>
            </w:pPr>
            <w:r w:rsidRPr="002B65F7">
              <w:rPr>
                <w:b/>
                <w:bCs/>
              </w:rPr>
              <w:t>2</w:t>
            </w:r>
            <w:r w:rsidRPr="002B65F7">
              <w:rPr>
                <w:b/>
                <w:bCs/>
                <w:spacing w:val="-4"/>
              </w:rPr>
              <w:t> </w:t>
            </w:r>
            <w:r w:rsidRPr="002B65F7">
              <w:rPr>
                <w:b/>
                <w:bCs/>
              </w:rPr>
              <w:t>doses</w:t>
            </w:r>
            <w:r w:rsidRPr="002B65F7">
              <w:rPr>
                <w:b/>
                <w:bCs/>
                <w:spacing w:val="-3"/>
              </w:rPr>
              <w:t xml:space="preserve"> </w:t>
            </w:r>
            <w:r w:rsidRPr="002B65F7">
              <w:rPr>
                <w:b/>
                <w:bCs/>
              </w:rPr>
              <w:t>(semaine</w:t>
            </w:r>
            <w:r w:rsidRPr="002B65F7">
              <w:rPr>
                <w:b/>
                <w:bCs/>
                <w:spacing w:val="-4"/>
              </w:rPr>
              <w:t xml:space="preserve"> </w:t>
            </w:r>
            <w:r w:rsidRPr="002B65F7">
              <w:rPr>
                <w:b/>
                <w:bCs/>
              </w:rPr>
              <w:t>0</w:t>
            </w:r>
            <w:r w:rsidRPr="002B65F7">
              <w:rPr>
                <w:b/>
                <w:bCs/>
                <w:spacing w:val="-3"/>
              </w:rPr>
              <w:t xml:space="preserve"> </w:t>
            </w:r>
            <w:r w:rsidRPr="002B65F7">
              <w:rPr>
                <w:b/>
                <w:bCs/>
              </w:rPr>
              <w:t>et</w:t>
            </w:r>
            <w:r w:rsidRPr="002B65F7">
              <w:rPr>
                <w:b/>
                <w:bCs/>
                <w:spacing w:val="-4"/>
              </w:rPr>
              <w:t xml:space="preserve"> </w:t>
            </w:r>
            <w:r w:rsidRPr="002B65F7">
              <w:rPr>
                <w:b/>
                <w:bCs/>
              </w:rPr>
              <w:t>semaine</w:t>
            </w:r>
            <w:r w:rsidRPr="002B65F7">
              <w:rPr>
                <w:b/>
                <w:bCs/>
                <w:spacing w:val="-3"/>
              </w:rPr>
              <w:t xml:space="preserve"> </w:t>
            </w:r>
            <w:r w:rsidRPr="002B65F7">
              <w:rPr>
                <w:b/>
                <w:bCs/>
                <w:spacing w:val="-5"/>
              </w:rPr>
              <w:t>4)</w:t>
            </w:r>
          </w:p>
        </w:tc>
      </w:tr>
      <w:tr w:rsidR="00FF5E44" w:rsidRPr="002B65F7" w14:paraId="32128F43" w14:textId="77777777" w:rsidTr="00CE7E90">
        <w:trPr>
          <w:cantSplit/>
          <w:trHeight w:val="496"/>
          <w:tblHeader/>
        </w:trPr>
        <w:tc>
          <w:tcPr>
            <w:tcW w:w="1737" w:type="pct"/>
            <w:vMerge/>
            <w:tcBorders>
              <w:top w:val="nil"/>
            </w:tcBorders>
          </w:tcPr>
          <w:p w14:paraId="4F5CA70E" w14:textId="77777777" w:rsidR="00FF5E44" w:rsidRPr="002B65F7" w:rsidRDefault="00FF5E44" w:rsidP="00CE7E90">
            <w:pPr>
              <w:keepNext/>
              <w:widowControl/>
              <w:adjustRightInd w:val="0"/>
              <w:snapToGrid w:val="0"/>
              <w:rPr>
                <w:sz w:val="2"/>
                <w:szCs w:val="2"/>
              </w:rPr>
            </w:pPr>
          </w:p>
        </w:tc>
        <w:tc>
          <w:tcPr>
            <w:tcW w:w="1055" w:type="pct"/>
            <w:vMerge/>
            <w:tcBorders>
              <w:top w:val="nil"/>
            </w:tcBorders>
          </w:tcPr>
          <w:p w14:paraId="3081A019" w14:textId="77777777" w:rsidR="00FF5E44" w:rsidRPr="002B65F7" w:rsidRDefault="00FF5E44" w:rsidP="00CE7E90">
            <w:pPr>
              <w:keepNext/>
              <w:widowControl/>
              <w:adjustRightInd w:val="0"/>
              <w:snapToGrid w:val="0"/>
              <w:rPr>
                <w:b/>
                <w:bCs/>
                <w:sz w:val="2"/>
                <w:szCs w:val="2"/>
              </w:rPr>
            </w:pPr>
          </w:p>
        </w:tc>
        <w:tc>
          <w:tcPr>
            <w:tcW w:w="1093" w:type="pct"/>
            <w:vAlign w:val="center"/>
          </w:tcPr>
          <w:p w14:paraId="77E7BB04" w14:textId="77777777" w:rsidR="00FF5E44" w:rsidRPr="002B65F7" w:rsidRDefault="00FF5E44" w:rsidP="00CE7E90">
            <w:pPr>
              <w:pStyle w:val="TableParagraph"/>
              <w:keepNext/>
              <w:widowControl/>
              <w:adjustRightInd w:val="0"/>
              <w:snapToGrid w:val="0"/>
              <w:ind w:left="0"/>
              <w:rPr>
                <w:b/>
                <w:bCs/>
              </w:rPr>
            </w:pPr>
            <w:r w:rsidRPr="002B65F7">
              <w:rPr>
                <w:b/>
                <w:bCs/>
              </w:rPr>
              <w:t>45 </w:t>
            </w:r>
            <w:r w:rsidRPr="002B65F7">
              <w:rPr>
                <w:b/>
                <w:bCs/>
                <w:spacing w:val="-5"/>
              </w:rPr>
              <w:t>mg</w:t>
            </w:r>
          </w:p>
        </w:tc>
        <w:tc>
          <w:tcPr>
            <w:tcW w:w="1115" w:type="pct"/>
            <w:vAlign w:val="center"/>
          </w:tcPr>
          <w:p w14:paraId="0FFE83CA" w14:textId="77777777" w:rsidR="00FF5E44" w:rsidRPr="002B65F7" w:rsidRDefault="00FF5E44" w:rsidP="00CE7E90">
            <w:pPr>
              <w:pStyle w:val="TableParagraph"/>
              <w:keepNext/>
              <w:widowControl/>
              <w:adjustRightInd w:val="0"/>
              <w:snapToGrid w:val="0"/>
              <w:ind w:left="0"/>
              <w:rPr>
                <w:b/>
                <w:bCs/>
              </w:rPr>
            </w:pPr>
            <w:r w:rsidRPr="002B65F7">
              <w:rPr>
                <w:b/>
                <w:bCs/>
              </w:rPr>
              <w:t>90 </w:t>
            </w:r>
            <w:r w:rsidRPr="002B65F7">
              <w:rPr>
                <w:b/>
                <w:bCs/>
                <w:spacing w:val="-5"/>
              </w:rPr>
              <w:t>mg</w:t>
            </w:r>
          </w:p>
        </w:tc>
      </w:tr>
      <w:tr w:rsidR="00FF5E44" w:rsidRPr="002B65F7" w14:paraId="3A869C6D" w14:textId="77777777" w:rsidTr="00CE7E90">
        <w:trPr>
          <w:cantSplit/>
          <w:trHeight w:val="227"/>
        </w:trPr>
        <w:tc>
          <w:tcPr>
            <w:tcW w:w="1737" w:type="pct"/>
          </w:tcPr>
          <w:p w14:paraId="0D0EBDA2" w14:textId="77777777" w:rsidR="00FF5E44" w:rsidRPr="002B65F7" w:rsidRDefault="00FF5E44" w:rsidP="00CE7E90">
            <w:pPr>
              <w:pStyle w:val="TableParagraph"/>
              <w:widowControl/>
              <w:adjustRightInd w:val="0"/>
              <w:snapToGrid w:val="0"/>
              <w:ind w:left="0"/>
              <w:jc w:val="left"/>
            </w:pPr>
            <w:r w:rsidRPr="002B65F7">
              <w:t>Nombre</w:t>
            </w:r>
            <w:r w:rsidRPr="002B65F7">
              <w:rPr>
                <w:spacing w:val="-6"/>
              </w:rPr>
              <w:t xml:space="preserve"> </w:t>
            </w:r>
            <w:r w:rsidRPr="002B65F7">
              <w:t>de</w:t>
            </w:r>
            <w:r w:rsidRPr="002B65F7">
              <w:rPr>
                <w:spacing w:val="-5"/>
              </w:rPr>
              <w:t xml:space="preserve"> </w:t>
            </w:r>
            <w:r w:rsidRPr="002B65F7">
              <w:t>patients</w:t>
            </w:r>
            <w:r w:rsidRPr="002B65F7">
              <w:rPr>
                <w:spacing w:val="-5"/>
              </w:rPr>
              <w:t xml:space="preserve"> </w:t>
            </w:r>
            <w:r w:rsidRPr="002B65F7">
              <w:rPr>
                <w:spacing w:val="-2"/>
              </w:rPr>
              <w:t>randomisés</w:t>
            </w:r>
          </w:p>
        </w:tc>
        <w:tc>
          <w:tcPr>
            <w:tcW w:w="1055" w:type="pct"/>
          </w:tcPr>
          <w:p w14:paraId="098D9D7D" w14:textId="77777777" w:rsidR="00FF5E44" w:rsidRPr="002B65F7" w:rsidRDefault="00FF5E44" w:rsidP="00CE7E90">
            <w:pPr>
              <w:pStyle w:val="TableParagraph"/>
              <w:widowControl/>
              <w:adjustRightInd w:val="0"/>
              <w:snapToGrid w:val="0"/>
              <w:ind w:left="0"/>
            </w:pPr>
            <w:r w:rsidRPr="002B65F7">
              <w:rPr>
                <w:spacing w:val="-5"/>
              </w:rPr>
              <w:t>347</w:t>
            </w:r>
          </w:p>
        </w:tc>
        <w:tc>
          <w:tcPr>
            <w:tcW w:w="1093" w:type="pct"/>
          </w:tcPr>
          <w:p w14:paraId="18DF6947" w14:textId="77777777" w:rsidR="00FF5E44" w:rsidRPr="002B65F7" w:rsidRDefault="00FF5E44" w:rsidP="00CE7E90">
            <w:pPr>
              <w:pStyle w:val="TableParagraph"/>
              <w:widowControl/>
              <w:adjustRightInd w:val="0"/>
              <w:snapToGrid w:val="0"/>
              <w:ind w:left="0"/>
            </w:pPr>
            <w:r w:rsidRPr="002B65F7">
              <w:rPr>
                <w:spacing w:val="-5"/>
              </w:rPr>
              <w:t>209</w:t>
            </w:r>
          </w:p>
        </w:tc>
        <w:tc>
          <w:tcPr>
            <w:tcW w:w="1115" w:type="pct"/>
          </w:tcPr>
          <w:p w14:paraId="4DD68A5B" w14:textId="77777777" w:rsidR="00FF5E44" w:rsidRPr="002B65F7" w:rsidRDefault="00FF5E44" w:rsidP="00CE7E90">
            <w:pPr>
              <w:pStyle w:val="TableParagraph"/>
              <w:widowControl/>
              <w:adjustRightInd w:val="0"/>
              <w:snapToGrid w:val="0"/>
              <w:ind w:left="0"/>
            </w:pPr>
            <w:r w:rsidRPr="002B65F7">
              <w:rPr>
                <w:spacing w:val="-5"/>
              </w:rPr>
              <w:t>347</w:t>
            </w:r>
          </w:p>
        </w:tc>
      </w:tr>
      <w:tr w:rsidR="00FF5E44" w:rsidRPr="002B65F7" w14:paraId="79D3638F" w14:textId="77777777" w:rsidTr="00CE7E90">
        <w:trPr>
          <w:cantSplit/>
          <w:trHeight w:val="227"/>
        </w:trPr>
        <w:tc>
          <w:tcPr>
            <w:tcW w:w="1737" w:type="pct"/>
          </w:tcPr>
          <w:p w14:paraId="592BD37E" w14:textId="77777777" w:rsidR="00FF5E44" w:rsidRPr="002B65F7" w:rsidRDefault="00FF5E44" w:rsidP="00CE7E90">
            <w:pPr>
              <w:pStyle w:val="TableParagraph"/>
              <w:widowControl/>
              <w:adjustRightInd w:val="0"/>
              <w:snapToGrid w:val="0"/>
              <w:ind w:left="0"/>
              <w:jc w:val="left"/>
            </w:pPr>
            <w:r w:rsidRPr="002B65F7">
              <w:t>Réponse</w:t>
            </w:r>
            <w:r w:rsidRPr="002B65F7">
              <w:rPr>
                <w:spacing w:val="-3"/>
              </w:rPr>
              <w:t xml:space="preserve"> </w:t>
            </w:r>
            <w:r w:rsidRPr="002B65F7">
              <w:t>PASI</w:t>
            </w:r>
            <w:r w:rsidRPr="002B65F7">
              <w:rPr>
                <w:spacing w:val="-7"/>
              </w:rPr>
              <w:t> </w:t>
            </w:r>
            <w:r w:rsidRPr="002B65F7">
              <w:t>50</w:t>
            </w:r>
            <w:r w:rsidRPr="002B65F7">
              <w:rPr>
                <w:spacing w:val="-3"/>
              </w:rPr>
              <w:t xml:space="preserve"> </w:t>
            </w:r>
            <w:r w:rsidRPr="002B65F7">
              <w:t>N</w:t>
            </w:r>
            <w:r w:rsidRPr="002B65F7">
              <w:rPr>
                <w:spacing w:val="-3"/>
              </w:rPr>
              <w:t xml:space="preserve"> </w:t>
            </w:r>
            <w:r w:rsidRPr="002B65F7">
              <w:rPr>
                <w:spacing w:val="-5"/>
              </w:rPr>
              <w:t>(%)</w:t>
            </w:r>
          </w:p>
        </w:tc>
        <w:tc>
          <w:tcPr>
            <w:tcW w:w="1055" w:type="pct"/>
          </w:tcPr>
          <w:p w14:paraId="015D7712" w14:textId="77777777" w:rsidR="00FF5E44" w:rsidRPr="002B65F7" w:rsidRDefault="00FF5E44" w:rsidP="00CE7E90">
            <w:pPr>
              <w:pStyle w:val="TableParagraph"/>
              <w:widowControl/>
              <w:adjustRightInd w:val="0"/>
              <w:snapToGrid w:val="0"/>
              <w:ind w:left="0"/>
            </w:pPr>
            <w:r w:rsidRPr="002B65F7">
              <w:t>286</w:t>
            </w:r>
            <w:r w:rsidRPr="002B65F7">
              <w:rPr>
                <w:spacing w:val="-2"/>
              </w:rPr>
              <w:t xml:space="preserve"> (82%)</w:t>
            </w:r>
          </w:p>
        </w:tc>
        <w:tc>
          <w:tcPr>
            <w:tcW w:w="1093" w:type="pct"/>
          </w:tcPr>
          <w:p w14:paraId="79ADAF66" w14:textId="77777777" w:rsidR="00FF5E44" w:rsidRPr="002B65F7" w:rsidRDefault="00FF5E44" w:rsidP="00CE7E90">
            <w:pPr>
              <w:pStyle w:val="TableParagraph"/>
              <w:widowControl/>
              <w:adjustRightInd w:val="0"/>
              <w:snapToGrid w:val="0"/>
              <w:ind w:left="0"/>
            </w:pPr>
            <w:r w:rsidRPr="002B65F7">
              <w:t>181</w:t>
            </w:r>
            <w:r w:rsidRPr="002B65F7">
              <w:rPr>
                <w:spacing w:val="-2"/>
              </w:rPr>
              <w:t xml:space="preserve"> (87%)</w:t>
            </w:r>
          </w:p>
        </w:tc>
        <w:tc>
          <w:tcPr>
            <w:tcW w:w="1115" w:type="pct"/>
          </w:tcPr>
          <w:p w14:paraId="172ECF4C" w14:textId="77777777" w:rsidR="00FF5E44" w:rsidRPr="002B65F7" w:rsidRDefault="00FF5E44" w:rsidP="00CE7E90">
            <w:pPr>
              <w:pStyle w:val="TableParagraph"/>
              <w:widowControl/>
              <w:adjustRightInd w:val="0"/>
              <w:snapToGrid w:val="0"/>
              <w:ind w:left="0"/>
            </w:pPr>
            <w:r w:rsidRPr="002B65F7">
              <w:t>320</w:t>
            </w:r>
            <w:r w:rsidRPr="002B65F7">
              <w:rPr>
                <w:spacing w:val="-4"/>
              </w:rPr>
              <w:t xml:space="preserve"> </w:t>
            </w:r>
            <w:r w:rsidRPr="002B65F7">
              <w:t>(92%)</w:t>
            </w:r>
            <w:r w:rsidRPr="002B65F7">
              <w:rPr>
                <w:spacing w:val="-10"/>
                <w:vertAlign w:val="superscript"/>
              </w:rPr>
              <w:t>a</w:t>
            </w:r>
          </w:p>
        </w:tc>
      </w:tr>
      <w:tr w:rsidR="00FF5E44" w:rsidRPr="002B65F7" w14:paraId="6FBD2FF7" w14:textId="77777777" w:rsidTr="00CE7E90">
        <w:trPr>
          <w:cantSplit/>
          <w:trHeight w:val="254"/>
        </w:trPr>
        <w:tc>
          <w:tcPr>
            <w:tcW w:w="1737" w:type="pct"/>
          </w:tcPr>
          <w:p w14:paraId="3D9F53B2" w14:textId="77777777" w:rsidR="00FF5E44" w:rsidRPr="002B65F7" w:rsidRDefault="00FF5E44" w:rsidP="00CE7E90">
            <w:pPr>
              <w:pStyle w:val="TableParagraph"/>
              <w:widowControl/>
              <w:adjustRightInd w:val="0"/>
              <w:snapToGrid w:val="0"/>
              <w:ind w:left="0"/>
              <w:jc w:val="left"/>
            </w:pPr>
            <w:r w:rsidRPr="002B65F7">
              <w:t>Réponse</w:t>
            </w:r>
            <w:r w:rsidRPr="002B65F7">
              <w:rPr>
                <w:spacing w:val="-3"/>
              </w:rPr>
              <w:t xml:space="preserve"> </w:t>
            </w:r>
            <w:r w:rsidRPr="002B65F7">
              <w:t>PASI</w:t>
            </w:r>
            <w:r w:rsidRPr="002B65F7">
              <w:rPr>
                <w:spacing w:val="-7"/>
              </w:rPr>
              <w:t> </w:t>
            </w:r>
            <w:r w:rsidRPr="002B65F7">
              <w:t>75</w:t>
            </w:r>
            <w:r w:rsidRPr="002B65F7">
              <w:rPr>
                <w:spacing w:val="-4"/>
              </w:rPr>
              <w:t xml:space="preserve"> </w:t>
            </w:r>
            <w:r w:rsidRPr="002B65F7">
              <w:t>N</w:t>
            </w:r>
            <w:r w:rsidRPr="002B65F7">
              <w:rPr>
                <w:spacing w:val="-3"/>
              </w:rPr>
              <w:t xml:space="preserve"> </w:t>
            </w:r>
            <w:r w:rsidRPr="002B65F7">
              <w:rPr>
                <w:spacing w:val="-5"/>
              </w:rPr>
              <w:t>(%)</w:t>
            </w:r>
          </w:p>
        </w:tc>
        <w:tc>
          <w:tcPr>
            <w:tcW w:w="1055" w:type="pct"/>
          </w:tcPr>
          <w:p w14:paraId="245A9920" w14:textId="77777777" w:rsidR="00FF5E44" w:rsidRPr="002B65F7" w:rsidRDefault="00FF5E44" w:rsidP="00CE7E90">
            <w:pPr>
              <w:pStyle w:val="TableParagraph"/>
              <w:widowControl/>
              <w:adjustRightInd w:val="0"/>
              <w:snapToGrid w:val="0"/>
              <w:ind w:left="0"/>
            </w:pPr>
            <w:r w:rsidRPr="002B65F7">
              <w:t>197</w:t>
            </w:r>
            <w:r w:rsidRPr="002B65F7">
              <w:rPr>
                <w:spacing w:val="-2"/>
              </w:rPr>
              <w:t xml:space="preserve"> (57%)</w:t>
            </w:r>
          </w:p>
        </w:tc>
        <w:tc>
          <w:tcPr>
            <w:tcW w:w="1093" w:type="pct"/>
          </w:tcPr>
          <w:p w14:paraId="42B122B6" w14:textId="77777777" w:rsidR="00FF5E44" w:rsidRPr="002B65F7" w:rsidRDefault="00FF5E44" w:rsidP="00CE7E90">
            <w:pPr>
              <w:pStyle w:val="TableParagraph"/>
              <w:widowControl/>
              <w:adjustRightInd w:val="0"/>
              <w:snapToGrid w:val="0"/>
              <w:ind w:left="0"/>
            </w:pPr>
            <w:r w:rsidRPr="002B65F7">
              <w:t>141</w:t>
            </w:r>
            <w:r w:rsidRPr="002B65F7">
              <w:rPr>
                <w:spacing w:val="-4"/>
              </w:rPr>
              <w:t xml:space="preserve"> </w:t>
            </w:r>
            <w:r w:rsidRPr="002B65F7">
              <w:t>(67%)</w:t>
            </w:r>
            <w:r w:rsidRPr="002B65F7">
              <w:rPr>
                <w:spacing w:val="-10"/>
                <w:vertAlign w:val="superscript"/>
              </w:rPr>
              <w:t>b</w:t>
            </w:r>
          </w:p>
        </w:tc>
        <w:tc>
          <w:tcPr>
            <w:tcW w:w="1115" w:type="pct"/>
          </w:tcPr>
          <w:p w14:paraId="208D81E7" w14:textId="77777777" w:rsidR="00FF5E44" w:rsidRPr="002B65F7" w:rsidRDefault="00FF5E44" w:rsidP="00CE7E90">
            <w:pPr>
              <w:pStyle w:val="TableParagraph"/>
              <w:widowControl/>
              <w:adjustRightInd w:val="0"/>
              <w:snapToGrid w:val="0"/>
              <w:ind w:left="0"/>
            </w:pPr>
            <w:r w:rsidRPr="002B65F7">
              <w:t>256</w:t>
            </w:r>
            <w:r w:rsidRPr="002B65F7">
              <w:rPr>
                <w:spacing w:val="-4"/>
              </w:rPr>
              <w:t xml:space="preserve"> </w:t>
            </w:r>
            <w:r w:rsidRPr="002B65F7">
              <w:t>(74%)</w:t>
            </w:r>
            <w:r w:rsidRPr="002B65F7">
              <w:rPr>
                <w:spacing w:val="-10"/>
                <w:vertAlign w:val="superscript"/>
              </w:rPr>
              <w:t>a</w:t>
            </w:r>
          </w:p>
        </w:tc>
      </w:tr>
      <w:tr w:rsidR="00FF5E44" w:rsidRPr="002B65F7" w14:paraId="5EE7E1BF" w14:textId="77777777" w:rsidTr="00CE7E90">
        <w:trPr>
          <w:cantSplit/>
          <w:trHeight w:val="251"/>
        </w:trPr>
        <w:tc>
          <w:tcPr>
            <w:tcW w:w="1737" w:type="pct"/>
          </w:tcPr>
          <w:p w14:paraId="47E607A6" w14:textId="77777777" w:rsidR="00FF5E44" w:rsidRPr="002B65F7" w:rsidRDefault="00FF5E44" w:rsidP="00CE7E90">
            <w:pPr>
              <w:pStyle w:val="TableParagraph"/>
              <w:widowControl/>
              <w:adjustRightInd w:val="0"/>
              <w:snapToGrid w:val="0"/>
              <w:ind w:left="0"/>
              <w:jc w:val="left"/>
            </w:pPr>
            <w:r w:rsidRPr="002B65F7">
              <w:lastRenderedPageBreak/>
              <w:t>Réponse</w:t>
            </w:r>
            <w:r w:rsidRPr="002B65F7">
              <w:rPr>
                <w:spacing w:val="-3"/>
              </w:rPr>
              <w:t xml:space="preserve"> </w:t>
            </w:r>
            <w:r w:rsidRPr="002B65F7">
              <w:t>PASI</w:t>
            </w:r>
            <w:r w:rsidRPr="002B65F7">
              <w:rPr>
                <w:spacing w:val="-7"/>
              </w:rPr>
              <w:t> </w:t>
            </w:r>
            <w:r w:rsidRPr="002B65F7">
              <w:t>90</w:t>
            </w:r>
            <w:r w:rsidRPr="002B65F7">
              <w:rPr>
                <w:spacing w:val="-4"/>
              </w:rPr>
              <w:t xml:space="preserve"> </w:t>
            </w:r>
            <w:r w:rsidRPr="002B65F7">
              <w:t>N</w:t>
            </w:r>
            <w:r w:rsidRPr="002B65F7">
              <w:rPr>
                <w:spacing w:val="-3"/>
              </w:rPr>
              <w:t xml:space="preserve"> </w:t>
            </w:r>
            <w:r w:rsidRPr="002B65F7">
              <w:rPr>
                <w:spacing w:val="-5"/>
              </w:rPr>
              <w:t>(%)</w:t>
            </w:r>
          </w:p>
        </w:tc>
        <w:tc>
          <w:tcPr>
            <w:tcW w:w="1055" w:type="pct"/>
          </w:tcPr>
          <w:p w14:paraId="5EC03AF4" w14:textId="77777777" w:rsidR="00FF5E44" w:rsidRPr="002B65F7" w:rsidRDefault="00FF5E44" w:rsidP="00CE7E90">
            <w:pPr>
              <w:pStyle w:val="TableParagraph"/>
              <w:widowControl/>
              <w:adjustRightInd w:val="0"/>
              <w:snapToGrid w:val="0"/>
              <w:ind w:left="0"/>
            </w:pPr>
            <w:r w:rsidRPr="002B65F7">
              <w:t>80</w:t>
            </w:r>
            <w:r w:rsidRPr="002B65F7">
              <w:rPr>
                <w:spacing w:val="-1"/>
              </w:rPr>
              <w:t xml:space="preserve"> </w:t>
            </w:r>
            <w:r w:rsidRPr="002B65F7">
              <w:rPr>
                <w:spacing w:val="-2"/>
              </w:rPr>
              <w:t>(23%)</w:t>
            </w:r>
          </w:p>
        </w:tc>
        <w:tc>
          <w:tcPr>
            <w:tcW w:w="1093" w:type="pct"/>
          </w:tcPr>
          <w:p w14:paraId="0FA27FB4" w14:textId="77777777" w:rsidR="00FF5E44" w:rsidRPr="002B65F7" w:rsidRDefault="00FF5E44" w:rsidP="00CE7E90">
            <w:pPr>
              <w:pStyle w:val="TableParagraph"/>
              <w:widowControl/>
              <w:adjustRightInd w:val="0"/>
              <w:snapToGrid w:val="0"/>
              <w:ind w:left="0"/>
            </w:pPr>
            <w:r w:rsidRPr="002B65F7">
              <w:t>76 (36%)</w:t>
            </w:r>
            <w:r w:rsidRPr="002B65F7">
              <w:rPr>
                <w:spacing w:val="-10"/>
                <w:vertAlign w:val="superscript"/>
              </w:rPr>
              <w:t>a</w:t>
            </w:r>
          </w:p>
        </w:tc>
        <w:tc>
          <w:tcPr>
            <w:tcW w:w="1115" w:type="pct"/>
          </w:tcPr>
          <w:p w14:paraId="6809E6CB" w14:textId="77777777" w:rsidR="00FF5E44" w:rsidRPr="002B65F7" w:rsidRDefault="00FF5E44" w:rsidP="00CE7E90">
            <w:pPr>
              <w:pStyle w:val="TableParagraph"/>
              <w:widowControl/>
              <w:adjustRightInd w:val="0"/>
              <w:snapToGrid w:val="0"/>
              <w:ind w:left="0"/>
            </w:pPr>
            <w:r w:rsidRPr="002B65F7">
              <w:t>155</w:t>
            </w:r>
            <w:r w:rsidRPr="002B65F7">
              <w:rPr>
                <w:spacing w:val="-4"/>
              </w:rPr>
              <w:t xml:space="preserve"> </w:t>
            </w:r>
            <w:r w:rsidRPr="002B65F7">
              <w:t>(45%)</w:t>
            </w:r>
            <w:r w:rsidRPr="002B65F7">
              <w:rPr>
                <w:spacing w:val="-10"/>
                <w:vertAlign w:val="superscript"/>
              </w:rPr>
              <w:t>a</w:t>
            </w:r>
          </w:p>
        </w:tc>
      </w:tr>
      <w:tr w:rsidR="00FF5E44" w:rsidRPr="002B65F7" w14:paraId="54883067" w14:textId="77777777" w:rsidTr="00CE7E90">
        <w:trPr>
          <w:cantSplit/>
          <w:trHeight w:val="253"/>
        </w:trPr>
        <w:tc>
          <w:tcPr>
            <w:tcW w:w="1737" w:type="pct"/>
          </w:tcPr>
          <w:p w14:paraId="00CC3ABA" w14:textId="77777777" w:rsidR="00FF5E44" w:rsidRPr="002B65F7" w:rsidRDefault="00FF5E44" w:rsidP="00CE7E90">
            <w:pPr>
              <w:pStyle w:val="TableParagraph"/>
              <w:widowControl/>
              <w:adjustRightInd w:val="0"/>
              <w:snapToGrid w:val="0"/>
              <w:ind w:left="0"/>
              <w:jc w:val="left"/>
              <w:rPr>
                <w:lang w:val="pt-PT"/>
              </w:rPr>
            </w:pPr>
            <w:r w:rsidRPr="002B65F7">
              <w:rPr>
                <w:lang w:val="pt-PT"/>
              </w:rPr>
              <w:t>PGA</w:t>
            </w:r>
            <w:r w:rsidRPr="002B65F7">
              <w:rPr>
                <w:spacing w:val="-5"/>
                <w:lang w:val="pt-PT"/>
              </w:rPr>
              <w:t xml:space="preserve"> </w:t>
            </w:r>
            <w:r w:rsidRPr="002B65F7">
              <w:rPr>
                <w:lang w:val="pt-PT"/>
              </w:rPr>
              <w:t>blanchi</w:t>
            </w:r>
            <w:r w:rsidRPr="002B65F7">
              <w:rPr>
                <w:spacing w:val="-4"/>
                <w:lang w:val="pt-PT"/>
              </w:rPr>
              <w:t xml:space="preserve"> </w:t>
            </w:r>
            <w:r w:rsidRPr="002B65F7">
              <w:rPr>
                <w:lang w:val="pt-PT"/>
              </w:rPr>
              <w:t>ou</w:t>
            </w:r>
            <w:r w:rsidRPr="002B65F7">
              <w:rPr>
                <w:spacing w:val="-4"/>
                <w:lang w:val="pt-PT"/>
              </w:rPr>
              <w:t xml:space="preserve"> </w:t>
            </w:r>
            <w:r w:rsidRPr="002B65F7">
              <w:rPr>
                <w:lang w:val="pt-PT"/>
              </w:rPr>
              <w:t>minimal</w:t>
            </w:r>
            <w:r w:rsidRPr="002B65F7">
              <w:rPr>
                <w:spacing w:val="-4"/>
                <w:lang w:val="pt-PT"/>
              </w:rPr>
              <w:t xml:space="preserve"> </w:t>
            </w:r>
            <w:r w:rsidRPr="002B65F7">
              <w:rPr>
                <w:lang w:val="pt-PT"/>
              </w:rPr>
              <w:t>N</w:t>
            </w:r>
            <w:r w:rsidRPr="002B65F7">
              <w:rPr>
                <w:spacing w:val="-6"/>
                <w:lang w:val="pt-PT"/>
              </w:rPr>
              <w:t xml:space="preserve"> </w:t>
            </w:r>
            <w:r w:rsidRPr="002B65F7">
              <w:rPr>
                <w:spacing w:val="-5"/>
                <w:lang w:val="pt-PT"/>
              </w:rPr>
              <w:t>(%)</w:t>
            </w:r>
          </w:p>
        </w:tc>
        <w:tc>
          <w:tcPr>
            <w:tcW w:w="1055" w:type="pct"/>
          </w:tcPr>
          <w:p w14:paraId="35F598FC" w14:textId="77777777" w:rsidR="00FF5E44" w:rsidRPr="002B65F7" w:rsidRDefault="00FF5E44" w:rsidP="00CE7E90">
            <w:pPr>
              <w:pStyle w:val="TableParagraph"/>
              <w:widowControl/>
              <w:adjustRightInd w:val="0"/>
              <w:snapToGrid w:val="0"/>
              <w:ind w:left="0"/>
            </w:pPr>
            <w:r w:rsidRPr="002B65F7">
              <w:t>170</w:t>
            </w:r>
            <w:r w:rsidRPr="002B65F7">
              <w:rPr>
                <w:spacing w:val="-2"/>
              </w:rPr>
              <w:t xml:space="preserve"> (49%)</w:t>
            </w:r>
          </w:p>
        </w:tc>
        <w:tc>
          <w:tcPr>
            <w:tcW w:w="1093" w:type="pct"/>
          </w:tcPr>
          <w:p w14:paraId="29FAC3DB" w14:textId="77777777" w:rsidR="00FF5E44" w:rsidRPr="002B65F7" w:rsidRDefault="00FF5E44" w:rsidP="00CE7E90">
            <w:pPr>
              <w:pStyle w:val="TableParagraph"/>
              <w:widowControl/>
              <w:adjustRightInd w:val="0"/>
              <w:snapToGrid w:val="0"/>
              <w:ind w:left="0"/>
            </w:pPr>
            <w:r w:rsidRPr="002B65F7">
              <w:t>136</w:t>
            </w:r>
            <w:r w:rsidRPr="002B65F7">
              <w:rPr>
                <w:spacing w:val="-4"/>
              </w:rPr>
              <w:t xml:space="preserve"> </w:t>
            </w:r>
            <w:r w:rsidRPr="002B65F7">
              <w:t>(65%)</w:t>
            </w:r>
            <w:r w:rsidRPr="002B65F7">
              <w:rPr>
                <w:spacing w:val="-10"/>
                <w:vertAlign w:val="superscript"/>
              </w:rPr>
              <w:t>a</w:t>
            </w:r>
          </w:p>
        </w:tc>
        <w:tc>
          <w:tcPr>
            <w:tcW w:w="1115" w:type="pct"/>
          </w:tcPr>
          <w:p w14:paraId="1438725E" w14:textId="77777777" w:rsidR="00FF5E44" w:rsidRPr="002B65F7" w:rsidRDefault="00FF5E44" w:rsidP="00CE7E90">
            <w:pPr>
              <w:pStyle w:val="TableParagraph"/>
              <w:widowControl/>
              <w:adjustRightInd w:val="0"/>
              <w:snapToGrid w:val="0"/>
              <w:ind w:left="0"/>
            </w:pPr>
            <w:r w:rsidRPr="002B65F7">
              <w:t>245</w:t>
            </w:r>
            <w:r w:rsidRPr="002B65F7">
              <w:rPr>
                <w:spacing w:val="-4"/>
              </w:rPr>
              <w:t xml:space="preserve"> </w:t>
            </w:r>
            <w:r w:rsidRPr="002B65F7">
              <w:t>(71%)</w:t>
            </w:r>
            <w:r w:rsidRPr="002B65F7">
              <w:rPr>
                <w:spacing w:val="-10"/>
                <w:vertAlign w:val="superscript"/>
              </w:rPr>
              <w:t>a</w:t>
            </w:r>
          </w:p>
        </w:tc>
      </w:tr>
      <w:tr w:rsidR="00FF5E44" w:rsidRPr="002B65F7" w14:paraId="32F00327" w14:textId="77777777" w:rsidTr="00CE7E90">
        <w:trPr>
          <w:cantSplit/>
          <w:trHeight w:val="251"/>
        </w:trPr>
        <w:tc>
          <w:tcPr>
            <w:tcW w:w="1737" w:type="pct"/>
          </w:tcPr>
          <w:p w14:paraId="07B5B85D" w14:textId="77777777" w:rsidR="00FF5E44" w:rsidRPr="002B65F7" w:rsidRDefault="00FF5E44" w:rsidP="00CE7E90">
            <w:pPr>
              <w:pStyle w:val="TableParagraph"/>
              <w:widowControl/>
              <w:adjustRightInd w:val="0"/>
              <w:snapToGrid w:val="0"/>
              <w:ind w:left="0"/>
              <w:jc w:val="left"/>
            </w:pPr>
            <w:r w:rsidRPr="002B65F7">
              <w:t>Nombre</w:t>
            </w:r>
            <w:r w:rsidRPr="002B65F7">
              <w:rPr>
                <w:spacing w:val="-6"/>
              </w:rPr>
              <w:t xml:space="preserve"> </w:t>
            </w:r>
            <w:r w:rsidRPr="002B65F7">
              <w:t>de</w:t>
            </w:r>
            <w:r w:rsidRPr="002B65F7">
              <w:rPr>
                <w:spacing w:val="-4"/>
              </w:rPr>
              <w:t xml:space="preserve"> </w:t>
            </w:r>
            <w:r w:rsidRPr="002B65F7">
              <w:t>patients</w:t>
            </w:r>
            <w:r w:rsidRPr="002B65F7">
              <w:rPr>
                <w:spacing w:val="-5"/>
              </w:rPr>
              <w:t> </w:t>
            </w:r>
            <w:r w:rsidRPr="002B65F7">
              <w:t>≤</w:t>
            </w:r>
            <w:r w:rsidRPr="002B65F7">
              <w:rPr>
                <w:spacing w:val="-2"/>
              </w:rPr>
              <w:t> </w:t>
            </w:r>
            <w:r w:rsidRPr="002B65F7">
              <w:t>100</w:t>
            </w:r>
            <w:r w:rsidRPr="002B65F7">
              <w:rPr>
                <w:spacing w:val="-5"/>
              </w:rPr>
              <w:t> kg</w:t>
            </w:r>
          </w:p>
        </w:tc>
        <w:tc>
          <w:tcPr>
            <w:tcW w:w="1055" w:type="pct"/>
          </w:tcPr>
          <w:p w14:paraId="616E6C33" w14:textId="77777777" w:rsidR="00FF5E44" w:rsidRPr="002B65F7" w:rsidRDefault="00FF5E44" w:rsidP="00CE7E90">
            <w:pPr>
              <w:pStyle w:val="TableParagraph"/>
              <w:widowControl/>
              <w:adjustRightInd w:val="0"/>
              <w:snapToGrid w:val="0"/>
              <w:ind w:left="0"/>
            </w:pPr>
            <w:r w:rsidRPr="002B65F7">
              <w:rPr>
                <w:spacing w:val="-5"/>
              </w:rPr>
              <w:t>251</w:t>
            </w:r>
          </w:p>
        </w:tc>
        <w:tc>
          <w:tcPr>
            <w:tcW w:w="1093" w:type="pct"/>
          </w:tcPr>
          <w:p w14:paraId="6439C501" w14:textId="77777777" w:rsidR="00FF5E44" w:rsidRPr="002B65F7" w:rsidRDefault="00FF5E44" w:rsidP="00CE7E90">
            <w:pPr>
              <w:pStyle w:val="TableParagraph"/>
              <w:widowControl/>
              <w:adjustRightInd w:val="0"/>
              <w:snapToGrid w:val="0"/>
              <w:ind w:left="0"/>
            </w:pPr>
            <w:r w:rsidRPr="002B65F7">
              <w:rPr>
                <w:spacing w:val="-5"/>
              </w:rPr>
              <w:t>151</w:t>
            </w:r>
          </w:p>
        </w:tc>
        <w:tc>
          <w:tcPr>
            <w:tcW w:w="1115" w:type="pct"/>
          </w:tcPr>
          <w:p w14:paraId="1747A775" w14:textId="77777777" w:rsidR="00FF5E44" w:rsidRPr="002B65F7" w:rsidRDefault="00FF5E44" w:rsidP="00CE7E90">
            <w:pPr>
              <w:pStyle w:val="TableParagraph"/>
              <w:widowControl/>
              <w:adjustRightInd w:val="0"/>
              <w:snapToGrid w:val="0"/>
              <w:ind w:left="0"/>
            </w:pPr>
            <w:r w:rsidRPr="002B65F7">
              <w:rPr>
                <w:spacing w:val="-5"/>
              </w:rPr>
              <w:t>244</w:t>
            </w:r>
          </w:p>
        </w:tc>
      </w:tr>
      <w:tr w:rsidR="00FF5E44" w:rsidRPr="002B65F7" w14:paraId="42E16433" w14:textId="77777777" w:rsidTr="00CE7E90">
        <w:trPr>
          <w:cantSplit/>
          <w:trHeight w:val="253"/>
        </w:trPr>
        <w:tc>
          <w:tcPr>
            <w:tcW w:w="1737" w:type="pct"/>
          </w:tcPr>
          <w:p w14:paraId="3CB5CC3B" w14:textId="77777777" w:rsidR="00FF5E44" w:rsidRPr="002B65F7" w:rsidRDefault="00FF5E44" w:rsidP="00CE7E90">
            <w:pPr>
              <w:pStyle w:val="TableParagraph"/>
              <w:widowControl/>
              <w:adjustRightInd w:val="0"/>
              <w:snapToGrid w:val="0"/>
              <w:ind w:left="0"/>
              <w:jc w:val="left"/>
            </w:pPr>
            <w:r w:rsidRPr="002B65F7">
              <w:t>Réponse</w:t>
            </w:r>
            <w:r w:rsidRPr="002B65F7">
              <w:rPr>
                <w:spacing w:val="-3"/>
              </w:rPr>
              <w:t xml:space="preserve"> </w:t>
            </w:r>
            <w:r w:rsidRPr="002B65F7">
              <w:t>PASI</w:t>
            </w:r>
            <w:r w:rsidRPr="002B65F7">
              <w:rPr>
                <w:spacing w:val="-7"/>
              </w:rPr>
              <w:t> </w:t>
            </w:r>
            <w:r w:rsidRPr="002B65F7">
              <w:t>75</w:t>
            </w:r>
            <w:r w:rsidRPr="002B65F7">
              <w:rPr>
                <w:spacing w:val="-4"/>
              </w:rPr>
              <w:t xml:space="preserve"> </w:t>
            </w:r>
            <w:r w:rsidRPr="002B65F7">
              <w:t>N</w:t>
            </w:r>
            <w:r w:rsidRPr="002B65F7">
              <w:rPr>
                <w:spacing w:val="-3"/>
              </w:rPr>
              <w:t xml:space="preserve"> </w:t>
            </w:r>
            <w:r w:rsidRPr="002B65F7">
              <w:rPr>
                <w:spacing w:val="-5"/>
              </w:rPr>
              <w:t>(%)</w:t>
            </w:r>
          </w:p>
        </w:tc>
        <w:tc>
          <w:tcPr>
            <w:tcW w:w="1055" w:type="pct"/>
          </w:tcPr>
          <w:p w14:paraId="2568BDD7" w14:textId="77777777" w:rsidR="00FF5E44" w:rsidRPr="002B65F7" w:rsidRDefault="00FF5E44" w:rsidP="00CE7E90">
            <w:pPr>
              <w:pStyle w:val="TableParagraph"/>
              <w:widowControl/>
              <w:adjustRightInd w:val="0"/>
              <w:snapToGrid w:val="0"/>
              <w:ind w:left="0"/>
            </w:pPr>
            <w:r w:rsidRPr="002B65F7">
              <w:t>154</w:t>
            </w:r>
            <w:r w:rsidRPr="002B65F7">
              <w:rPr>
                <w:spacing w:val="-2"/>
              </w:rPr>
              <w:t xml:space="preserve"> (61%)</w:t>
            </w:r>
          </w:p>
        </w:tc>
        <w:tc>
          <w:tcPr>
            <w:tcW w:w="1093" w:type="pct"/>
          </w:tcPr>
          <w:p w14:paraId="3E47A2BE" w14:textId="77777777" w:rsidR="00FF5E44" w:rsidRPr="002B65F7" w:rsidRDefault="00FF5E44" w:rsidP="00CE7E90">
            <w:pPr>
              <w:pStyle w:val="TableParagraph"/>
              <w:widowControl/>
              <w:adjustRightInd w:val="0"/>
              <w:snapToGrid w:val="0"/>
              <w:ind w:left="0"/>
            </w:pPr>
            <w:r w:rsidRPr="002B65F7">
              <w:t>109</w:t>
            </w:r>
            <w:r w:rsidRPr="002B65F7">
              <w:rPr>
                <w:spacing w:val="-2"/>
              </w:rPr>
              <w:t xml:space="preserve"> (72%)</w:t>
            </w:r>
          </w:p>
        </w:tc>
        <w:tc>
          <w:tcPr>
            <w:tcW w:w="1115" w:type="pct"/>
          </w:tcPr>
          <w:p w14:paraId="5D3B315B" w14:textId="77777777" w:rsidR="00FF5E44" w:rsidRPr="002B65F7" w:rsidRDefault="00FF5E44" w:rsidP="00CE7E90">
            <w:pPr>
              <w:pStyle w:val="TableParagraph"/>
              <w:widowControl/>
              <w:adjustRightInd w:val="0"/>
              <w:snapToGrid w:val="0"/>
              <w:ind w:left="0"/>
            </w:pPr>
            <w:r w:rsidRPr="002B65F7">
              <w:t>189</w:t>
            </w:r>
            <w:r w:rsidRPr="002B65F7">
              <w:rPr>
                <w:spacing w:val="-2"/>
              </w:rPr>
              <w:t xml:space="preserve"> (77%)</w:t>
            </w:r>
          </w:p>
        </w:tc>
      </w:tr>
      <w:tr w:rsidR="00FF5E44" w:rsidRPr="002B65F7" w14:paraId="1EBEE2F8" w14:textId="77777777" w:rsidTr="00CE7E90">
        <w:trPr>
          <w:cantSplit/>
          <w:trHeight w:val="253"/>
        </w:trPr>
        <w:tc>
          <w:tcPr>
            <w:tcW w:w="1737" w:type="pct"/>
          </w:tcPr>
          <w:p w14:paraId="5BCDC0D5" w14:textId="77777777" w:rsidR="00FF5E44" w:rsidRPr="002B65F7" w:rsidRDefault="00FF5E44" w:rsidP="00CE7E90">
            <w:pPr>
              <w:pStyle w:val="TableParagraph"/>
              <w:widowControl/>
              <w:adjustRightInd w:val="0"/>
              <w:snapToGrid w:val="0"/>
              <w:ind w:left="0"/>
              <w:jc w:val="left"/>
            </w:pPr>
            <w:r w:rsidRPr="002B65F7">
              <w:t>Nombre</w:t>
            </w:r>
            <w:r w:rsidRPr="002B65F7">
              <w:rPr>
                <w:spacing w:val="-4"/>
              </w:rPr>
              <w:t xml:space="preserve"> </w:t>
            </w:r>
            <w:r w:rsidRPr="002B65F7">
              <w:t>de</w:t>
            </w:r>
            <w:r w:rsidRPr="002B65F7">
              <w:rPr>
                <w:spacing w:val="-4"/>
              </w:rPr>
              <w:t xml:space="preserve"> </w:t>
            </w:r>
            <w:r w:rsidRPr="002B65F7">
              <w:t>patients</w:t>
            </w:r>
            <w:r w:rsidRPr="002B65F7">
              <w:rPr>
                <w:spacing w:val="-3"/>
              </w:rPr>
              <w:t> </w:t>
            </w:r>
            <w:r w:rsidRPr="002B65F7">
              <w:t>&gt;</w:t>
            </w:r>
            <w:r w:rsidRPr="002B65F7">
              <w:rPr>
                <w:spacing w:val="-5"/>
              </w:rPr>
              <w:t> </w:t>
            </w:r>
            <w:r w:rsidRPr="002B65F7">
              <w:t>100</w:t>
            </w:r>
            <w:r w:rsidRPr="002B65F7">
              <w:rPr>
                <w:spacing w:val="-2"/>
              </w:rPr>
              <w:t> </w:t>
            </w:r>
            <w:r w:rsidRPr="002B65F7">
              <w:rPr>
                <w:spacing w:val="-5"/>
              </w:rPr>
              <w:t>kg</w:t>
            </w:r>
          </w:p>
        </w:tc>
        <w:tc>
          <w:tcPr>
            <w:tcW w:w="1055" w:type="pct"/>
          </w:tcPr>
          <w:p w14:paraId="7F6B9014" w14:textId="77777777" w:rsidR="00FF5E44" w:rsidRPr="002B65F7" w:rsidRDefault="00FF5E44" w:rsidP="00CE7E90">
            <w:pPr>
              <w:pStyle w:val="TableParagraph"/>
              <w:widowControl/>
              <w:adjustRightInd w:val="0"/>
              <w:snapToGrid w:val="0"/>
              <w:ind w:left="0"/>
            </w:pPr>
            <w:r w:rsidRPr="002B65F7">
              <w:rPr>
                <w:spacing w:val="-5"/>
              </w:rPr>
              <w:t>96</w:t>
            </w:r>
          </w:p>
        </w:tc>
        <w:tc>
          <w:tcPr>
            <w:tcW w:w="1093" w:type="pct"/>
          </w:tcPr>
          <w:p w14:paraId="5C835443" w14:textId="77777777" w:rsidR="00FF5E44" w:rsidRPr="002B65F7" w:rsidRDefault="00FF5E44" w:rsidP="00CE7E90">
            <w:pPr>
              <w:pStyle w:val="TableParagraph"/>
              <w:widowControl/>
              <w:adjustRightInd w:val="0"/>
              <w:snapToGrid w:val="0"/>
              <w:ind w:left="0"/>
            </w:pPr>
            <w:r w:rsidRPr="002B65F7">
              <w:rPr>
                <w:spacing w:val="-5"/>
              </w:rPr>
              <w:t>58</w:t>
            </w:r>
          </w:p>
        </w:tc>
        <w:tc>
          <w:tcPr>
            <w:tcW w:w="1115" w:type="pct"/>
          </w:tcPr>
          <w:p w14:paraId="35447811" w14:textId="77777777" w:rsidR="00FF5E44" w:rsidRPr="002B65F7" w:rsidRDefault="00FF5E44" w:rsidP="00CE7E90">
            <w:pPr>
              <w:pStyle w:val="TableParagraph"/>
              <w:widowControl/>
              <w:adjustRightInd w:val="0"/>
              <w:snapToGrid w:val="0"/>
              <w:ind w:left="0"/>
            </w:pPr>
            <w:r w:rsidRPr="002B65F7">
              <w:rPr>
                <w:spacing w:val="-5"/>
              </w:rPr>
              <w:t>103</w:t>
            </w:r>
          </w:p>
        </w:tc>
      </w:tr>
      <w:tr w:rsidR="00FF5E44" w:rsidRPr="002B65F7" w14:paraId="293BB57C" w14:textId="77777777" w:rsidTr="00CE7E90">
        <w:trPr>
          <w:cantSplit/>
          <w:trHeight w:val="251"/>
        </w:trPr>
        <w:tc>
          <w:tcPr>
            <w:tcW w:w="1737" w:type="pct"/>
          </w:tcPr>
          <w:p w14:paraId="1C15FFD0" w14:textId="77777777" w:rsidR="00FF5E44" w:rsidRPr="002B65F7" w:rsidRDefault="00FF5E44" w:rsidP="00CE7E90">
            <w:pPr>
              <w:pStyle w:val="TableParagraph"/>
              <w:widowControl/>
              <w:adjustRightInd w:val="0"/>
              <w:snapToGrid w:val="0"/>
              <w:ind w:left="0"/>
              <w:jc w:val="left"/>
            </w:pPr>
            <w:r w:rsidRPr="002B65F7">
              <w:t>Réponse</w:t>
            </w:r>
            <w:r w:rsidRPr="002B65F7">
              <w:rPr>
                <w:spacing w:val="-3"/>
              </w:rPr>
              <w:t xml:space="preserve"> </w:t>
            </w:r>
            <w:r w:rsidRPr="002B65F7">
              <w:t>PASI</w:t>
            </w:r>
            <w:r w:rsidRPr="002B65F7">
              <w:rPr>
                <w:spacing w:val="-7"/>
              </w:rPr>
              <w:t> </w:t>
            </w:r>
            <w:r w:rsidRPr="002B65F7">
              <w:t>75</w:t>
            </w:r>
            <w:r w:rsidRPr="002B65F7">
              <w:rPr>
                <w:spacing w:val="-4"/>
              </w:rPr>
              <w:t xml:space="preserve"> </w:t>
            </w:r>
            <w:r w:rsidRPr="002B65F7">
              <w:t>N</w:t>
            </w:r>
            <w:r w:rsidRPr="002B65F7">
              <w:rPr>
                <w:spacing w:val="-3"/>
              </w:rPr>
              <w:t xml:space="preserve"> </w:t>
            </w:r>
            <w:r w:rsidRPr="002B65F7">
              <w:rPr>
                <w:spacing w:val="-5"/>
              </w:rPr>
              <w:t>(%)</w:t>
            </w:r>
          </w:p>
        </w:tc>
        <w:tc>
          <w:tcPr>
            <w:tcW w:w="1055" w:type="pct"/>
          </w:tcPr>
          <w:p w14:paraId="13039F7D" w14:textId="77777777" w:rsidR="00FF5E44" w:rsidRPr="002B65F7" w:rsidRDefault="00FF5E44" w:rsidP="00CE7E90">
            <w:pPr>
              <w:pStyle w:val="TableParagraph"/>
              <w:widowControl/>
              <w:adjustRightInd w:val="0"/>
              <w:snapToGrid w:val="0"/>
              <w:ind w:left="0"/>
            </w:pPr>
            <w:r w:rsidRPr="002B65F7">
              <w:t>43</w:t>
            </w:r>
            <w:r w:rsidRPr="002B65F7">
              <w:rPr>
                <w:spacing w:val="-1"/>
              </w:rPr>
              <w:t xml:space="preserve"> </w:t>
            </w:r>
            <w:r w:rsidRPr="002B65F7">
              <w:rPr>
                <w:spacing w:val="-2"/>
              </w:rPr>
              <w:t>(45%)</w:t>
            </w:r>
          </w:p>
        </w:tc>
        <w:tc>
          <w:tcPr>
            <w:tcW w:w="1093" w:type="pct"/>
          </w:tcPr>
          <w:p w14:paraId="0D0A387C" w14:textId="77777777" w:rsidR="00FF5E44" w:rsidRPr="002B65F7" w:rsidRDefault="00FF5E44" w:rsidP="00CE7E90">
            <w:pPr>
              <w:pStyle w:val="TableParagraph"/>
              <w:widowControl/>
              <w:adjustRightInd w:val="0"/>
              <w:snapToGrid w:val="0"/>
              <w:ind w:left="0"/>
            </w:pPr>
            <w:r w:rsidRPr="002B65F7">
              <w:t>32</w:t>
            </w:r>
            <w:r w:rsidRPr="002B65F7">
              <w:rPr>
                <w:spacing w:val="-1"/>
              </w:rPr>
              <w:t xml:space="preserve"> </w:t>
            </w:r>
            <w:r w:rsidRPr="002B65F7">
              <w:rPr>
                <w:spacing w:val="-2"/>
              </w:rPr>
              <w:t>(55%)</w:t>
            </w:r>
          </w:p>
        </w:tc>
        <w:tc>
          <w:tcPr>
            <w:tcW w:w="1115" w:type="pct"/>
          </w:tcPr>
          <w:p w14:paraId="5C2597C1" w14:textId="77777777" w:rsidR="00FF5E44" w:rsidRPr="002B65F7" w:rsidRDefault="00FF5E44" w:rsidP="00CE7E90">
            <w:pPr>
              <w:pStyle w:val="TableParagraph"/>
              <w:widowControl/>
              <w:adjustRightInd w:val="0"/>
              <w:snapToGrid w:val="0"/>
              <w:ind w:left="0"/>
            </w:pPr>
            <w:r w:rsidRPr="002B65F7">
              <w:t>67</w:t>
            </w:r>
            <w:r w:rsidRPr="002B65F7">
              <w:rPr>
                <w:spacing w:val="-1"/>
              </w:rPr>
              <w:t xml:space="preserve"> </w:t>
            </w:r>
            <w:r w:rsidRPr="002B65F7">
              <w:rPr>
                <w:spacing w:val="-2"/>
              </w:rPr>
              <w:t>(65%)</w:t>
            </w:r>
          </w:p>
        </w:tc>
      </w:tr>
    </w:tbl>
    <w:p w14:paraId="72AE1EE0" w14:textId="77777777" w:rsidR="00FF5E44" w:rsidRPr="002B65F7" w:rsidRDefault="00FF5E44" w:rsidP="00FF5E44">
      <w:pPr>
        <w:widowControl/>
        <w:rPr>
          <w:sz w:val="20"/>
          <w:szCs w:val="20"/>
        </w:rPr>
      </w:pPr>
      <w:r w:rsidRPr="002B65F7">
        <w:rPr>
          <w:sz w:val="20"/>
          <w:szCs w:val="20"/>
          <w:vertAlign w:val="superscript"/>
        </w:rPr>
        <w:t>a</w:t>
      </w:r>
      <w:r w:rsidRPr="002B65F7">
        <w:rPr>
          <w:sz w:val="20"/>
          <w:szCs w:val="20"/>
        </w:rPr>
        <w:t xml:space="preserve"> p &lt; 0,001 pour ustekinumab 45 mg ou 90 mg </w:t>
      </w:r>
      <w:r w:rsidRPr="002B65F7">
        <w:rPr>
          <w:i/>
          <w:iCs/>
          <w:sz w:val="20"/>
          <w:szCs w:val="20"/>
        </w:rPr>
        <w:t>versus</w:t>
      </w:r>
      <w:r w:rsidRPr="002B65F7">
        <w:rPr>
          <w:sz w:val="20"/>
          <w:szCs w:val="20"/>
        </w:rPr>
        <w:t xml:space="preserve"> étanercept.</w:t>
      </w:r>
    </w:p>
    <w:p w14:paraId="1CE3667F" w14:textId="262CE81C" w:rsidR="00FF5E44" w:rsidRPr="002B65F7" w:rsidRDefault="00FF5E44" w:rsidP="00FF5E44">
      <w:pPr>
        <w:widowControl/>
        <w:rPr>
          <w:sz w:val="20"/>
          <w:szCs w:val="20"/>
        </w:rPr>
      </w:pPr>
      <w:r w:rsidRPr="002B65F7">
        <w:rPr>
          <w:sz w:val="20"/>
          <w:szCs w:val="20"/>
          <w:vertAlign w:val="superscript"/>
        </w:rPr>
        <w:t>b</w:t>
      </w:r>
      <w:r w:rsidRPr="002B65F7">
        <w:rPr>
          <w:sz w:val="20"/>
          <w:szCs w:val="20"/>
        </w:rPr>
        <w:t xml:space="preserve"> p = 0,012 pour ustekinumab 45 mg </w:t>
      </w:r>
      <w:r w:rsidRPr="002B65F7">
        <w:rPr>
          <w:i/>
          <w:iCs/>
          <w:sz w:val="20"/>
          <w:szCs w:val="20"/>
        </w:rPr>
        <w:t>versus</w:t>
      </w:r>
      <w:r w:rsidRPr="002B65F7">
        <w:rPr>
          <w:sz w:val="20"/>
          <w:szCs w:val="20"/>
        </w:rPr>
        <w:t xml:space="preserve"> étanercept</w:t>
      </w:r>
      <w:r w:rsidR="009F74E5">
        <w:rPr>
          <w:sz w:val="20"/>
          <w:szCs w:val="20"/>
        </w:rPr>
        <w:t>.</w:t>
      </w:r>
    </w:p>
    <w:p w14:paraId="5ADFD7FF" w14:textId="77777777" w:rsidR="00FF5E44" w:rsidRPr="002B65F7" w:rsidRDefault="00FF5E44" w:rsidP="00FF5E44">
      <w:pPr>
        <w:pStyle w:val="BodyText"/>
        <w:widowControl/>
        <w:spacing w:before="9"/>
      </w:pPr>
    </w:p>
    <w:p w14:paraId="586E44E0" w14:textId="15E12A67" w:rsidR="00FF5E44" w:rsidRPr="002B65F7" w:rsidRDefault="00FF5E44" w:rsidP="00FF5E44">
      <w:pPr>
        <w:widowControl/>
      </w:pPr>
      <w:r w:rsidRPr="002B65F7">
        <w:t>Dans l’étude Psoriasis 1, le maintien du PASI 75 était significativement supérieur dans le groupe traité en continu comparé au groupe ayant arrêté le traitement actif (p &lt; 0,001). Les résultats étaient similaires quelle que soit la dose d’ustekinumab. A 1 an (Semaine 52), 89% des patients re-randomisés en traitement d’entretien étaient répondeurs PASI 75, comparé à 63% des patients du groupe re</w:t>
      </w:r>
      <w:r w:rsidR="00A1075C">
        <w:rPr>
          <w:vertAlign w:val="subscript"/>
        </w:rPr>
        <w:noBreakHyphen/>
      </w:r>
      <w:r w:rsidRPr="002B65F7">
        <w:t>randomisés placebo (arrêt du traitement actif) (p &lt; 0,001). A 18 mois (Semaine 76), 84% des patients re-randomisés en traitement d’entretien étaient répondeurs PASI 75 comparé à 19% des patients du groupe re-randomisés placebo (arrêt du traitement actif). A 3 ans (Semaine 148), 82% des patients re-randomisés en traitement d’entretien étaient répondeurs PASI 75. Après 5 ans (Semaine 244), 80% des patients re-randomisés en traitement d’entretien étaient répondeurs PASI 75.</w:t>
      </w:r>
    </w:p>
    <w:p w14:paraId="19552D27" w14:textId="77777777" w:rsidR="00FF5E44" w:rsidRPr="002B65F7" w:rsidRDefault="00FF5E44" w:rsidP="00FF5E44">
      <w:pPr>
        <w:widowControl/>
      </w:pPr>
    </w:p>
    <w:p w14:paraId="73B1FA98" w14:textId="77777777" w:rsidR="00FF5E44" w:rsidRPr="002B65F7" w:rsidRDefault="00FF5E44" w:rsidP="00FF5E44">
      <w:pPr>
        <w:widowControl/>
      </w:pPr>
      <w:r w:rsidRPr="002B65F7">
        <w:t>Chez les patients re-randomisés placebo, et qui reprenaient leur traitement par l’ustekinumab aux doses initialement reçues suite à une perte ≥ 50% de l’amélioration de leur score PASI, 85% ont atteint à nouveau une réponse PASI 75 dans les 12 semaines suivant la reprise du traitement.</w:t>
      </w:r>
    </w:p>
    <w:p w14:paraId="0DE799B9" w14:textId="77777777" w:rsidR="00FF5E44" w:rsidRPr="002B65F7" w:rsidRDefault="00FF5E44" w:rsidP="00FF5E44">
      <w:pPr>
        <w:widowControl/>
      </w:pPr>
    </w:p>
    <w:p w14:paraId="09011578" w14:textId="77777777" w:rsidR="00FF5E44" w:rsidRPr="002B65F7" w:rsidRDefault="00FF5E44" w:rsidP="00FF5E44">
      <w:pPr>
        <w:widowControl/>
      </w:pPr>
      <w:r w:rsidRPr="002B65F7">
        <w:t xml:space="preserve">Dans l’étude Psoriasis 1, à la semaine 2 et à la semaine 12, l’amélioration du DLQI a été significativement supérieure par rapport à l’inclusion dans chaque groupe de traitement ustekinumab </w:t>
      </w:r>
      <w:r w:rsidRPr="002B65F7">
        <w:rPr>
          <w:i/>
          <w:iCs/>
        </w:rPr>
        <w:t>versus</w:t>
      </w:r>
      <w:r w:rsidRPr="002B65F7">
        <w:t xml:space="preserve"> placebo. L’amélioration a été maintenue à la semaine 28. Des améliorations significatives comparables ont été observées dans l’étude Psoriasis 2 aux semaines 4 et 12, maintenues jusqu’à la semaine 24. Dans l’étude Psoriasis 1, une amélioration significative du psoriasis unguéal (selon le Nail Psoriasis Severity Index), des composantes physiques et mentales du score SF-36 et de l’Echelle Visuelle Analogique (EVA) Démangeaisons, a été observée dans chaque groupe de traitement par l’ustekinumab comparé au placebo. Dans l’étude Psoriasis 2, le Hospital Anxiety and Depression Scale (HADS) et le Work Limitation Questionnaire (WLQ) étaient également significativement améliorés dans chaque groupe de traitement par l’ustekinumab comparé au placebo.</w:t>
      </w:r>
    </w:p>
    <w:p w14:paraId="09A1461C" w14:textId="77777777" w:rsidR="00FF5E44" w:rsidRPr="002B65F7" w:rsidRDefault="00FF5E44" w:rsidP="00FF5E44">
      <w:pPr>
        <w:widowControl/>
      </w:pPr>
    </w:p>
    <w:p w14:paraId="0B0B456A" w14:textId="77777777" w:rsidR="00FF5E44" w:rsidRPr="002B65F7" w:rsidRDefault="00FF5E44" w:rsidP="00FF5E44">
      <w:pPr>
        <w:keepNext/>
        <w:keepLines/>
        <w:widowControl/>
        <w:rPr>
          <w:i/>
          <w:iCs/>
        </w:rPr>
      </w:pPr>
      <w:r w:rsidRPr="002B65F7">
        <w:rPr>
          <w:i/>
          <w:iCs/>
        </w:rPr>
        <w:t>Rhumatisme psoriasique (RP) (adultes)</w:t>
      </w:r>
    </w:p>
    <w:p w14:paraId="4A72B18C" w14:textId="77777777" w:rsidR="00FF5E44" w:rsidRPr="002B65F7" w:rsidRDefault="00FF5E44" w:rsidP="00FF5E44">
      <w:pPr>
        <w:keepNext/>
        <w:keepLines/>
        <w:widowControl/>
      </w:pPr>
    </w:p>
    <w:p w14:paraId="2D1230FC" w14:textId="77777777" w:rsidR="00FF5E44" w:rsidRPr="002B65F7" w:rsidRDefault="00FF5E44" w:rsidP="00FF5E44">
      <w:pPr>
        <w:widowControl/>
      </w:pPr>
      <w:r w:rsidRPr="002B65F7">
        <w:t>Il a été montré que l’ustekinumab améliore les signes et symptômes, la fonction physique et la qualité de vie et réduit le taux de progression des atteintes articulaires périphériques des adultes atteints de rhumatisme psoriasique actif.</w:t>
      </w:r>
    </w:p>
    <w:p w14:paraId="2DEE0751" w14:textId="77777777" w:rsidR="00FF5E44" w:rsidRPr="002B65F7" w:rsidRDefault="00FF5E44" w:rsidP="00FF5E44">
      <w:pPr>
        <w:widowControl/>
      </w:pPr>
    </w:p>
    <w:p w14:paraId="1F9B8B1D" w14:textId="77777777" w:rsidR="00FF5E44" w:rsidRPr="002B65F7" w:rsidRDefault="00FF5E44" w:rsidP="00FF5E44">
      <w:pPr>
        <w:widowControl/>
      </w:pPr>
      <w:r w:rsidRPr="002B65F7">
        <w:t xml:space="preserve">La sécurité et l’efficacité de l’ustekinumab ont été évaluées dans deux études cliniques randomisées, en double aveugle </w:t>
      </w:r>
      <w:r w:rsidRPr="002B65F7">
        <w:rPr>
          <w:i/>
          <w:iCs/>
        </w:rPr>
        <w:t>versus</w:t>
      </w:r>
      <w:r w:rsidRPr="002B65F7">
        <w:t xml:space="preserve"> placebo, chez 927 patients présentant un rhumatisme psoriasique actif (≥ 5 articulations gonflées et ≥ 5 articulations douloureuses) malgré un traitement par des anti- inflammatoires non-stéroïdiens (AINS) ou par un traitement de fond antirhumatismal (DMARD). Les patients de ces études présentaient un diagnostic de rhumatisme psoriasique depuis au moins 6 mois. Des patients de chaque sous-type de rhumatisme psoriasique ont été recrutés, incluant la polyarthrite sans nodules rhumatoïdes (39%), la spondylite avec arthrite périphérique (28%), l’arthrite périphérique asymétrique (21%), atteinte des interphalangiennes distales (12%) et l’arthrite mutilante (0,5%). Dans les deux études, plus de 70% et 40% des patients présentaient respectivement une enthésite et une dactylite à l’inclusion. Les patients ont été randomisés pour recevoir un traitement par ustekinumab 45 mg, 90 mg, ou le placebo par voie sous-cutanée aux semaines 0 et 4, suivi par une </w:t>
      </w:r>
      <w:r w:rsidRPr="002B65F7">
        <w:lastRenderedPageBreak/>
        <w:t>administration toutes les 12 semaines. Approximativement 50% des patients ont poursuivi le traitement par MTX à doses stables (≤ 25 mg/semaine).</w:t>
      </w:r>
    </w:p>
    <w:p w14:paraId="2D34A576" w14:textId="77777777" w:rsidR="00FF5E44" w:rsidRPr="002B65F7" w:rsidRDefault="00FF5E44" w:rsidP="00FF5E44">
      <w:pPr>
        <w:widowControl/>
      </w:pPr>
    </w:p>
    <w:p w14:paraId="57BC761C" w14:textId="77777777" w:rsidR="00FF5E44" w:rsidRPr="002B65F7" w:rsidRDefault="00FF5E44" w:rsidP="00FF5E44">
      <w:pPr>
        <w:widowControl/>
      </w:pPr>
      <w:r w:rsidRPr="002B65F7">
        <w:t>Dans l’Étude Rhumatisme Psoriasique 1 (PSUMMIT I) et l’Étude Rhumatisme Psoriasique 2 (PSUMMIT II), respectivement 80% et 86% des patients ont été précédemment traités par des DMARDs. Dans l’Étude 1, un précédent traitement par des médicaments anti-TNF-α n’était pas autorisé. Dans l’Étude 2, la majorité des patients (58%, n = 180) ont été précédemment traités par un ou plusieurs anti-TNF-α ; parmi ces patients, plus de 70% avaient arrêté leur traitement anti-TNF-α pour cause de manque d’efficacité ou d’intolérance à tout moment.</w:t>
      </w:r>
    </w:p>
    <w:p w14:paraId="740BECA1" w14:textId="77777777" w:rsidR="00FF5E44" w:rsidRPr="002B65F7" w:rsidRDefault="00FF5E44" w:rsidP="00FF5E44">
      <w:pPr>
        <w:widowControl/>
      </w:pPr>
    </w:p>
    <w:p w14:paraId="0881E23D" w14:textId="77777777" w:rsidR="00FF5E44" w:rsidRPr="002B65F7" w:rsidRDefault="00FF5E44" w:rsidP="00FF5E44">
      <w:pPr>
        <w:keepNext/>
        <w:widowControl/>
        <w:rPr>
          <w:i/>
          <w:iCs/>
          <w:u w:val="single"/>
        </w:rPr>
      </w:pPr>
      <w:r w:rsidRPr="002B65F7">
        <w:rPr>
          <w:i/>
          <w:iCs/>
          <w:u w:val="single"/>
        </w:rPr>
        <w:t>Signes et symptômes</w:t>
      </w:r>
    </w:p>
    <w:p w14:paraId="79D0FA79" w14:textId="77777777" w:rsidR="00FF5E44" w:rsidRPr="002B65F7" w:rsidRDefault="00FF5E44" w:rsidP="00FF5E44">
      <w:pPr>
        <w:keepNext/>
        <w:widowControl/>
        <w:rPr>
          <w:i/>
          <w:iCs/>
        </w:rPr>
      </w:pPr>
    </w:p>
    <w:p w14:paraId="6125FCA0" w14:textId="2EAD673D" w:rsidR="00FF5E44" w:rsidRPr="002B65F7" w:rsidRDefault="00FF5E44" w:rsidP="00FF5E44">
      <w:pPr>
        <w:widowControl/>
      </w:pPr>
      <w:r w:rsidRPr="002B65F7">
        <w:t>Le traitement par l’ustekinumab a entraîné des améliorations significatives des mesures de l’activité de la maladie comparé au placebo à la semaine 24. Le critère principal était le pourcentage de patients ayant obtenu une réponse ACR 20 (score American College of Rheumatology) à la semaine 24. Les résultats d’efficacité principaux sont montrés dans le tableau </w:t>
      </w:r>
      <w:r w:rsidR="002C0927">
        <w:t>4</w:t>
      </w:r>
      <w:r w:rsidRPr="002B65F7">
        <w:t xml:space="preserve"> ci-dessous.</w:t>
      </w:r>
    </w:p>
    <w:p w14:paraId="09596BF5" w14:textId="77777777" w:rsidR="00FF5E44" w:rsidRPr="002B65F7" w:rsidRDefault="00FF5E44" w:rsidP="00FF5E44">
      <w:pPr>
        <w:widowControl/>
      </w:pPr>
    </w:p>
    <w:p w14:paraId="468F43B6" w14:textId="4D5E5EBC" w:rsidR="00FF5E44" w:rsidRPr="002B65F7" w:rsidRDefault="00FF5E44" w:rsidP="00FF5E44">
      <w:pPr>
        <w:keepNext/>
        <w:keepLines/>
        <w:widowControl/>
        <w:rPr>
          <w:b/>
          <w:bCs/>
        </w:rPr>
      </w:pPr>
      <w:r w:rsidRPr="002B65F7">
        <w:rPr>
          <w:b/>
          <w:bCs/>
        </w:rPr>
        <w:t>Tableau </w:t>
      </w:r>
      <w:r w:rsidR="002C0927">
        <w:rPr>
          <w:b/>
          <w:bCs/>
        </w:rPr>
        <w:t>4</w:t>
      </w:r>
      <w:r w:rsidRPr="002B65F7">
        <w:rPr>
          <w:b/>
          <w:bCs/>
        </w:rPr>
        <w:t>. Nombre de patients qui ont obtenu une réponse clinique dans l’Étude Rhumatisme Psoriasique 1 (PSUMMIT I) et 2 (PSUMMIT II) à la semaine 24</w:t>
      </w:r>
    </w:p>
    <w:p w14:paraId="01256F51" w14:textId="77777777" w:rsidR="00FF5E44" w:rsidRPr="002B65F7" w:rsidRDefault="00FF5E44" w:rsidP="00FF5E44">
      <w:pPr>
        <w:keepNext/>
        <w:keepLines/>
        <w:widowControl/>
        <w:rPr>
          <w:b/>
          <w:bCs/>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3"/>
        <w:gridCol w:w="1323"/>
        <w:gridCol w:w="1245"/>
        <w:gridCol w:w="1245"/>
        <w:gridCol w:w="1245"/>
        <w:gridCol w:w="1122"/>
        <w:gridCol w:w="1058"/>
      </w:tblGrid>
      <w:tr w:rsidR="00FF5E44" w:rsidRPr="002B65F7" w14:paraId="518A6C44" w14:textId="77777777" w:rsidTr="00CE7E90">
        <w:trPr>
          <w:cantSplit/>
          <w:trHeight w:val="230"/>
          <w:tblHeader/>
        </w:trPr>
        <w:tc>
          <w:tcPr>
            <w:tcW w:w="1006" w:type="pct"/>
            <w:vAlign w:val="center"/>
          </w:tcPr>
          <w:p w14:paraId="142C33DF" w14:textId="77777777" w:rsidR="00FF5E44" w:rsidRPr="002B65F7" w:rsidRDefault="00FF5E44" w:rsidP="00CE7E90">
            <w:pPr>
              <w:keepNext/>
              <w:keepLines/>
              <w:widowControl/>
              <w:adjustRightInd w:val="0"/>
              <w:snapToGrid w:val="0"/>
              <w:jc w:val="center"/>
              <w:rPr>
                <w:sz w:val="20"/>
                <w:szCs w:val="20"/>
              </w:rPr>
            </w:pPr>
          </w:p>
        </w:tc>
        <w:tc>
          <w:tcPr>
            <w:tcW w:w="2103" w:type="pct"/>
            <w:gridSpan w:val="3"/>
            <w:vAlign w:val="center"/>
          </w:tcPr>
          <w:p w14:paraId="7ECEA363"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Étude Rhumatisme Psoriasique 1</w:t>
            </w:r>
          </w:p>
        </w:tc>
        <w:tc>
          <w:tcPr>
            <w:tcW w:w="1890" w:type="pct"/>
            <w:gridSpan w:val="3"/>
            <w:vAlign w:val="center"/>
          </w:tcPr>
          <w:p w14:paraId="585F0D34"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Étude Rhumatisme Psoriasique 2</w:t>
            </w:r>
          </w:p>
        </w:tc>
      </w:tr>
      <w:tr w:rsidR="00FF5E44" w:rsidRPr="002B65F7" w14:paraId="2847B1F9" w14:textId="77777777" w:rsidTr="00CE7E90">
        <w:trPr>
          <w:cantSplit/>
          <w:trHeight w:val="230"/>
          <w:tblHeader/>
        </w:trPr>
        <w:tc>
          <w:tcPr>
            <w:tcW w:w="1006" w:type="pct"/>
            <w:vAlign w:val="center"/>
          </w:tcPr>
          <w:p w14:paraId="46684784" w14:textId="77777777" w:rsidR="00FF5E44" w:rsidRPr="002B65F7" w:rsidRDefault="00FF5E44" w:rsidP="00CE7E90">
            <w:pPr>
              <w:keepNext/>
              <w:keepLines/>
              <w:widowControl/>
              <w:adjustRightInd w:val="0"/>
              <w:snapToGrid w:val="0"/>
              <w:jc w:val="center"/>
              <w:rPr>
                <w:sz w:val="20"/>
                <w:szCs w:val="20"/>
              </w:rPr>
            </w:pPr>
          </w:p>
        </w:tc>
        <w:tc>
          <w:tcPr>
            <w:tcW w:w="730" w:type="pct"/>
            <w:vAlign w:val="center"/>
          </w:tcPr>
          <w:p w14:paraId="298C727D"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PBO</w:t>
            </w:r>
          </w:p>
        </w:tc>
        <w:tc>
          <w:tcPr>
            <w:tcW w:w="687" w:type="pct"/>
            <w:vAlign w:val="center"/>
          </w:tcPr>
          <w:p w14:paraId="0C10EF98"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45 mg</w:t>
            </w:r>
          </w:p>
        </w:tc>
        <w:tc>
          <w:tcPr>
            <w:tcW w:w="687" w:type="pct"/>
            <w:vAlign w:val="center"/>
          </w:tcPr>
          <w:p w14:paraId="00C446F5"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90 mg</w:t>
            </w:r>
          </w:p>
        </w:tc>
        <w:tc>
          <w:tcPr>
            <w:tcW w:w="687" w:type="pct"/>
            <w:vAlign w:val="center"/>
          </w:tcPr>
          <w:p w14:paraId="04E2C2FB"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PBO</w:t>
            </w:r>
          </w:p>
        </w:tc>
        <w:tc>
          <w:tcPr>
            <w:tcW w:w="619" w:type="pct"/>
            <w:vAlign w:val="center"/>
          </w:tcPr>
          <w:p w14:paraId="0A5EBD7A"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45 mg</w:t>
            </w:r>
          </w:p>
        </w:tc>
        <w:tc>
          <w:tcPr>
            <w:tcW w:w="584" w:type="pct"/>
            <w:vAlign w:val="center"/>
          </w:tcPr>
          <w:p w14:paraId="6F97A952"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90 mg</w:t>
            </w:r>
          </w:p>
        </w:tc>
      </w:tr>
      <w:tr w:rsidR="00FF5E44" w:rsidRPr="002B65F7" w14:paraId="408E059F" w14:textId="77777777" w:rsidTr="00CE7E90">
        <w:trPr>
          <w:cantSplit/>
          <w:trHeight w:val="688"/>
        </w:trPr>
        <w:tc>
          <w:tcPr>
            <w:tcW w:w="1006" w:type="pct"/>
            <w:vAlign w:val="center"/>
          </w:tcPr>
          <w:p w14:paraId="61835AD2" w14:textId="77777777" w:rsidR="00FF5E44" w:rsidRPr="002B65F7" w:rsidRDefault="00FF5E44" w:rsidP="00CE7E90">
            <w:pPr>
              <w:keepNext/>
              <w:keepLines/>
              <w:widowControl/>
              <w:adjustRightInd w:val="0"/>
              <w:snapToGrid w:val="0"/>
              <w:rPr>
                <w:b/>
                <w:bCs/>
                <w:sz w:val="20"/>
                <w:szCs w:val="20"/>
              </w:rPr>
            </w:pPr>
            <w:r w:rsidRPr="002B65F7">
              <w:rPr>
                <w:b/>
                <w:bCs/>
                <w:sz w:val="20"/>
                <w:szCs w:val="20"/>
              </w:rPr>
              <w:t>Nombre de patients randomisés</w:t>
            </w:r>
          </w:p>
        </w:tc>
        <w:tc>
          <w:tcPr>
            <w:tcW w:w="730" w:type="pct"/>
            <w:vAlign w:val="center"/>
          </w:tcPr>
          <w:p w14:paraId="0740216E"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206</w:t>
            </w:r>
          </w:p>
        </w:tc>
        <w:tc>
          <w:tcPr>
            <w:tcW w:w="687" w:type="pct"/>
            <w:vAlign w:val="center"/>
          </w:tcPr>
          <w:p w14:paraId="424F2518"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205</w:t>
            </w:r>
          </w:p>
        </w:tc>
        <w:tc>
          <w:tcPr>
            <w:tcW w:w="687" w:type="pct"/>
            <w:vAlign w:val="center"/>
          </w:tcPr>
          <w:p w14:paraId="714EE308"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204</w:t>
            </w:r>
          </w:p>
        </w:tc>
        <w:tc>
          <w:tcPr>
            <w:tcW w:w="687" w:type="pct"/>
            <w:vAlign w:val="center"/>
          </w:tcPr>
          <w:p w14:paraId="7A689786"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104</w:t>
            </w:r>
          </w:p>
        </w:tc>
        <w:tc>
          <w:tcPr>
            <w:tcW w:w="619" w:type="pct"/>
            <w:vAlign w:val="center"/>
          </w:tcPr>
          <w:p w14:paraId="1989E5FE"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103</w:t>
            </w:r>
          </w:p>
        </w:tc>
        <w:tc>
          <w:tcPr>
            <w:tcW w:w="584" w:type="pct"/>
            <w:vAlign w:val="center"/>
          </w:tcPr>
          <w:p w14:paraId="5A4913EB" w14:textId="77777777" w:rsidR="00FF5E44" w:rsidRPr="002B65F7" w:rsidRDefault="00FF5E44" w:rsidP="00CE7E90">
            <w:pPr>
              <w:keepNext/>
              <w:keepLines/>
              <w:widowControl/>
              <w:adjustRightInd w:val="0"/>
              <w:snapToGrid w:val="0"/>
              <w:jc w:val="center"/>
              <w:rPr>
                <w:b/>
                <w:bCs/>
                <w:sz w:val="20"/>
                <w:szCs w:val="20"/>
              </w:rPr>
            </w:pPr>
            <w:r w:rsidRPr="002B65F7">
              <w:rPr>
                <w:b/>
                <w:bCs/>
                <w:sz w:val="20"/>
                <w:szCs w:val="20"/>
              </w:rPr>
              <w:t>105</w:t>
            </w:r>
          </w:p>
        </w:tc>
      </w:tr>
      <w:tr w:rsidR="00FF5E44" w:rsidRPr="002B65F7" w14:paraId="542112A9" w14:textId="77777777" w:rsidTr="00CE7E90">
        <w:trPr>
          <w:cantSplit/>
          <w:trHeight w:val="460"/>
        </w:trPr>
        <w:tc>
          <w:tcPr>
            <w:tcW w:w="1006" w:type="pct"/>
            <w:vAlign w:val="center"/>
          </w:tcPr>
          <w:p w14:paraId="237A8A24" w14:textId="77777777" w:rsidR="00FF5E44" w:rsidRPr="002B65F7" w:rsidRDefault="00FF5E44" w:rsidP="00CE7E90">
            <w:pPr>
              <w:keepNext/>
              <w:keepLines/>
              <w:widowControl/>
              <w:adjustRightInd w:val="0"/>
              <w:snapToGrid w:val="0"/>
              <w:rPr>
                <w:sz w:val="20"/>
                <w:szCs w:val="20"/>
              </w:rPr>
            </w:pPr>
            <w:r w:rsidRPr="002B65F7">
              <w:rPr>
                <w:sz w:val="20"/>
                <w:szCs w:val="20"/>
              </w:rPr>
              <w:t>Réponse</w:t>
            </w:r>
          </w:p>
          <w:p w14:paraId="2F1257B4" w14:textId="77777777" w:rsidR="00FF5E44" w:rsidRPr="002B65F7" w:rsidRDefault="00FF5E44" w:rsidP="00CE7E90">
            <w:pPr>
              <w:keepNext/>
              <w:keepLines/>
              <w:widowControl/>
              <w:adjustRightInd w:val="0"/>
              <w:snapToGrid w:val="0"/>
              <w:rPr>
                <w:sz w:val="20"/>
                <w:szCs w:val="20"/>
              </w:rPr>
            </w:pPr>
            <w:r w:rsidRPr="002B65F7">
              <w:rPr>
                <w:sz w:val="20"/>
                <w:szCs w:val="20"/>
              </w:rPr>
              <w:t>ACR 20, N (%)</w:t>
            </w:r>
          </w:p>
        </w:tc>
        <w:tc>
          <w:tcPr>
            <w:tcW w:w="730" w:type="pct"/>
            <w:vAlign w:val="center"/>
          </w:tcPr>
          <w:p w14:paraId="6DBB58F3" w14:textId="77777777" w:rsidR="00FF5E44" w:rsidRPr="002B65F7" w:rsidRDefault="00FF5E44" w:rsidP="00CE7E90">
            <w:pPr>
              <w:keepNext/>
              <w:keepLines/>
              <w:widowControl/>
              <w:adjustRightInd w:val="0"/>
              <w:snapToGrid w:val="0"/>
              <w:jc w:val="center"/>
              <w:rPr>
                <w:sz w:val="20"/>
                <w:szCs w:val="20"/>
              </w:rPr>
            </w:pPr>
            <w:r w:rsidRPr="002B65F7">
              <w:rPr>
                <w:sz w:val="20"/>
                <w:szCs w:val="20"/>
              </w:rPr>
              <w:t>47 (23%)</w:t>
            </w:r>
          </w:p>
        </w:tc>
        <w:tc>
          <w:tcPr>
            <w:tcW w:w="687" w:type="pct"/>
            <w:vAlign w:val="center"/>
          </w:tcPr>
          <w:p w14:paraId="475043D5" w14:textId="77777777" w:rsidR="00FF5E44" w:rsidRPr="002B65F7" w:rsidRDefault="00FF5E44" w:rsidP="00CE7E90">
            <w:pPr>
              <w:keepNext/>
              <w:keepLines/>
              <w:widowControl/>
              <w:adjustRightInd w:val="0"/>
              <w:snapToGrid w:val="0"/>
              <w:jc w:val="center"/>
              <w:rPr>
                <w:sz w:val="20"/>
                <w:szCs w:val="20"/>
              </w:rPr>
            </w:pPr>
            <w:r w:rsidRPr="002B65F7">
              <w:rPr>
                <w:sz w:val="20"/>
                <w:szCs w:val="20"/>
              </w:rPr>
              <w:t>87 (42%)</w:t>
            </w:r>
            <w:r w:rsidRPr="002B65F7">
              <w:rPr>
                <w:sz w:val="20"/>
                <w:szCs w:val="20"/>
                <w:vertAlign w:val="superscript"/>
              </w:rPr>
              <w:t>a</w:t>
            </w:r>
          </w:p>
        </w:tc>
        <w:tc>
          <w:tcPr>
            <w:tcW w:w="687" w:type="pct"/>
            <w:vAlign w:val="center"/>
          </w:tcPr>
          <w:p w14:paraId="6D472F66" w14:textId="77777777" w:rsidR="00FF5E44" w:rsidRPr="002B65F7" w:rsidRDefault="00FF5E44" w:rsidP="00CE7E90">
            <w:pPr>
              <w:keepNext/>
              <w:keepLines/>
              <w:widowControl/>
              <w:adjustRightInd w:val="0"/>
              <w:snapToGrid w:val="0"/>
              <w:jc w:val="center"/>
              <w:rPr>
                <w:sz w:val="20"/>
                <w:szCs w:val="20"/>
              </w:rPr>
            </w:pPr>
            <w:r w:rsidRPr="002B65F7">
              <w:rPr>
                <w:sz w:val="20"/>
                <w:szCs w:val="20"/>
              </w:rPr>
              <w:t>101 (50%)</w:t>
            </w:r>
            <w:r w:rsidRPr="002B65F7">
              <w:rPr>
                <w:sz w:val="20"/>
                <w:szCs w:val="20"/>
                <w:vertAlign w:val="superscript"/>
              </w:rPr>
              <w:t>a</w:t>
            </w:r>
          </w:p>
        </w:tc>
        <w:tc>
          <w:tcPr>
            <w:tcW w:w="687" w:type="pct"/>
            <w:vAlign w:val="center"/>
          </w:tcPr>
          <w:p w14:paraId="5EF240E8" w14:textId="77777777" w:rsidR="00FF5E44" w:rsidRPr="002B65F7" w:rsidRDefault="00FF5E44" w:rsidP="00CE7E90">
            <w:pPr>
              <w:keepNext/>
              <w:keepLines/>
              <w:widowControl/>
              <w:adjustRightInd w:val="0"/>
              <w:snapToGrid w:val="0"/>
              <w:jc w:val="center"/>
              <w:rPr>
                <w:sz w:val="20"/>
                <w:szCs w:val="20"/>
              </w:rPr>
            </w:pPr>
            <w:r w:rsidRPr="002B65F7">
              <w:rPr>
                <w:sz w:val="20"/>
                <w:szCs w:val="20"/>
              </w:rPr>
              <w:t>21 (20%)</w:t>
            </w:r>
          </w:p>
        </w:tc>
        <w:tc>
          <w:tcPr>
            <w:tcW w:w="619" w:type="pct"/>
            <w:vAlign w:val="center"/>
          </w:tcPr>
          <w:p w14:paraId="0EB0F101" w14:textId="77777777" w:rsidR="00FF5E44" w:rsidRPr="002B65F7" w:rsidRDefault="00FF5E44" w:rsidP="00CE7E90">
            <w:pPr>
              <w:keepNext/>
              <w:keepLines/>
              <w:widowControl/>
              <w:adjustRightInd w:val="0"/>
              <w:snapToGrid w:val="0"/>
              <w:jc w:val="center"/>
              <w:rPr>
                <w:sz w:val="20"/>
                <w:szCs w:val="20"/>
              </w:rPr>
            </w:pPr>
            <w:r w:rsidRPr="002B65F7">
              <w:rPr>
                <w:sz w:val="20"/>
                <w:szCs w:val="20"/>
              </w:rPr>
              <w:t>45 (44%)</w:t>
            </w:r>
            <w:r w:rsidRPr="002B65F7">
              <w:rPr>
                <w:sz w:val="20"/>
                <w:szCs w:val="20"/>
                <w:vertAlign w:val="superscript"/>
              </w:rPr>
              <w:t>a</w:t>
            </w:r>
          </w:p>
        </w:tc>
        <w:tc>
          <w:tcPr>
            <w:tcW w:w="584" w:type="pct"/>
            <w:vAlign w:val="center"/>
          </w:tcPr>
          <w:p w14:paraId="351A7C58" w14:textId="77777777" w:rsidR="00FF5E44" w:rsidRPr="002B65F7" w:rsidRDefault="00FF5E44" w:rsidP="00CE7E90">
            <w:pPr>
              <w:keepNext/>
              <w:keepLines/>
              <w:widowControl/>
              <w:adjustRightInd w:val="0"/>
              <w:snapToGrid w:val="0"/>
              <w:jc w:val="center"/>
              <w:rPr>
                <w:sz w:val="20"/>
                <w:szCs w:val="20"/>
              </w:rPr>
            </w:pPr>
            <w:r w:rsidRPr="002B65F7">
              <w:rPr>
                <w:sz w:val="20"/>
                <w:szCs w:val="20"/>
              </w:rPr>
              <w:t>46 (44%)</w:t>
            </w:r>
            <w:r w:rsidRPr="002B65F7">
              <w:rPr>
                <w:sz w:val="20"/>
                <w:szCs w:val="20"/>
                <w:vertAlign w:val="superscript"/>
              </w:rPr>
              <w:t>a</w:t>
            </w:r>
          </w:p>
        </w:tc>
      </w:tr>
      <w:tr w:rsidR="00FF5E44" w:rsidRPr="002B65F7" w14:paraId="6DEF2E26" w14:textId="77777777" w:rsidTr="00CE7E90">
        <w:trPr>
          <w:cantSplit/>
          <w:trHeight w:val="460"/>
        </w:trPr>
        <w:tc>
          <w:tcPr>
            <w:tcW w:w="1006" w:type="pct"/>
            <w:vAlign w:val="center"/>
          </w:tcPr>
          <w:p w14:paraId="13D5BD4E" w14:textId="77777777" w:rsidR="00FF5E44" w:rsidRPr="002B65F7" w:rsidRDefault="00FF5E44" w:rsidP="00CE7E90">
            <w:pPr>
              <w:keepNext/>
              <w:keepLines/>
              <w:widowControl/>
              <w:adjustRightInd w:val="0"/>
              <w:snapToGrid w:val="0"/>
              <w:rPr>
                <w:sz w:val="20"/>
                <w:szCs w:val="20"/>
              </w:rPr>
            </w:pPr>
            <w:r w:rsidRPr="002B65F7">
              <w:rPr>
                <w:sz w:val="20"/>
                <w:szCs w:val="20"/>
              </w:rPr>
              <w:t>Réponse</w:t>
            </w:r>
          </w:p>
          <w:p w14:paraId="09CC1FFF" w14:textId="77777777" w:rsidR="00FF5E44" w:rsidRPr="002B65F7" w:rsidRDefault="00FF5E44" w:rsidP="00CE7E90">
            <w:pPr>
              <w:keepNext/>
              <w:keepLines/>
              <w:widowControl/>
              <w:adjustRightInd w:val="0"/>
              <w:snapToGrid w:val="0"/>
              <w:rPr>
                <w:sz w:val="20"/>
                <w:szCs w:val="20"/>
              </w:rPr>
            </w:pPr>
            <w:r w:rsidRPr="002B65F7">
              <w:rPr>
                <w:sz w:val="20"/>
                <w:szCs w:val="20"/>
              </w:rPr>
              <w:t>ACR 50, N (%)</w:t>
            </w:r>
          </w:p>
        </w:tc>
        <w:tc>
          <w:tcPr>
            <w:tcW w:w="730" w:type="pct"/>
            <w:vAlign w:val="center"/>
          </w:tcPr>
          <w:p w14:paraId="76F43820" w14:textId="77777777" w:rsidR="00FF5E44" w:rsidRPr="002B65F7" w:rsidRDefault="00FF5E44" w:rsidP="00CE7E90">
            <w:pPr>
              <w:keepNext/>
              <w:keepLines/>
              <w:widowControl/>
              <w:adjustRightInd w:val="0"/>
              <w:snapToGrid w:val="0"/>
              <w:jc w:val="center"/>
              <w:rPr>
                <w:sz w:val="20"/>
                <w:szCs w:val="20"/>
              </w:rPr>
            </w:pPr>
            <w:r w:rsidRPr="002B65F7">
              <w:rPr>
                <w:sz w:val="20"/>
                <w:szCs w:val="20"/>
              </w:rPr>
              <w:t>18 (9%)</w:t>
            </w:r>
          </w:p>
        </w:tc>
        <w:tc>
          <w:tcPr>
            <w:tcW w:w="687" w:type="pct"/>
            <w:vAlign w:val="center"/>
          </w:tcPr>
          <w:p w14:paraId="121A1033" w14:textId="77777777" w:rsidR="00FF5E44" w:rsidRPr="002B65F7" w:rsidRDefault="00FF5E44" w:rsidP="00CE7E90">
            <w:pPr>
              <w:keepNext/>
              <w:keepLines/>
              <w:widowControl/>
              <w:adjustRightInd w:val="0"/>
              <w:snapToGrid w:val="0"/>
              <w:jc w:val="center"/>
              <w:rPr>
                <w:sz w:val="20"/>
                <w:szCs w:val="20"/>
              </w:rPr>
            </w:pPr>
            <w:r w:rsidRPr="002B65F7">
              <w:rPr>
                <w:sz w:val="20"/>
                <w:szCs w:val="20"/>
              </w:rPr>
              <w:t>51 (25%)</w:t>
            </w:r>
            <w:r w:rsidRPr="002B65F7">
              <w:rPr>
                <w:sz w:val="20"/>
                <w:szCs w:val="20"/>
                <w:vertAlign w:val="superscript"/>
              </w:rPr>
              <w:t>a</w:t>
            </w:r>
          </w:p>
        </w:tc>
        <w:tc>
          <w:tcPr>
            <w:tcW w:w="687" w:type="pct"/>
            <w:vAlign w:val="center"/>
          </w:tcPr>
          <w:p w14:paraId="0CEC2FA6" w14:textId="77777777" w:rsidR="00FF5E44" w:rsidRPr="002B65F7" w:rsidRDefault="00FF5E44" w:rsidP="00CE7E90">
            <w:pPr>
              <w:keepNext/>
              <w:keepLines/>
              <w:widowControl/>
              <w:adjustRightInd w:val="0"/>
              <w:snapToGrid w:val="0"/>
              <w:jc w:val="center"/>
              <w:rPr>
                <w:sz w:val="20"/>
                <w:szCs w:val="20"/>
              </w:rPr>
            </w:pPr>
            <w:r w:rsidRPr="002B65F7">
              <w:rPr>
                <w:sz w:val="20"/>
                <w:szCs w:val="20"/>
              </w:rPr>
              <w:t>57 (28%)</w:t>
            </w:r>
            <w:r w:rsidRPr="002B65F7">
              <w:rPr>
                <w:sz w:val="20"/>
                <w:szCs w:val="20"/>
                <w:vertAlign w:val="superscript"/>
              </w:rPr>
              <w:t>a</w:t>
            </w:r>
          </w:p>
        </w:tc>
        <w:tc>
          <w:tcPr>
            <w:tcW w:w="687" w:type="pct"/>
            <w:vAlign w:val="center"/>
          </w:tcPr>
          <w:p w14:paraId="5BECB2D8" w14:textId="77777777" w:rsidR="00FF5E44" w:rsidRPr="002B65F7" w:rsidRDefault="00FF5E44" w:rsidP="00CE7E90">
            <w:pPr>
              <w:keepNext/>
              <w:keepLines/>
              <w:widowControl/>
              <w:adjustRightInd w:val="0"/>
              <w:snapToGrid w:val="0"/>
              <w:jc w:val="center"/>
              <w:rPr>
                <w:sz w:val="20"/>
                <w:szCs w:val="20"/>
              </w:rPr>
            </w:pPr>
            <w:r w:rsidRPr="002B65F7">
              <w:rPr>
                <w:sz w:val="20"/>
                <w:szCs w:val="20"/>
              </w:rPr>
              <w:t>7 (7%)</w:t>
            </w:r>
          </w:p>
        </w:tc>
        <w:tc>
          <w:tcPr>
            <w:tcW w:w="619" w:type="pct"/>
            <w:vAlign w:val="center"/>
          </w:tcPr>
          <w:p w14:paraId="2295E382" w14:textId="77777777" w:rsidR="00FF5E44" w:rsidRPr="002B65F7" w:rsidRDefault="00FF5E44" w:rsidP="00CE7E90">
            <w:pPr>
              <w:keepNext/>
              <w:keepLines/>
              <w:widowControl/>
              <w:adjustRightInd w:val="0"/>
              <w:snapToGrid w:val="0"/>
              <w:jc w:val="center"/>
              <w:rPr>
                <w:sz w:val="20"/>
                <w:szCs w:val="20"/>
              </w:rPr>
            </w:pPr>
            <w:r w:rsidRPr="002B65F7">
              <w:rPr>
                <w:sz w:val="20"/>
                <w:szCs w:val="20"/>
              </w:rPr>
              <w:t>18 (17%)</w:t>
            </w:r>
            <w:r w:rsidRPr="002B65F7">
              <w:rPr>
                <w:sz w:val="20"/>
                <w:szCs w:val="20"/>
                <w:vertAlign w:val="superscript"/>
              </w:rPr>
              <w:t>b</w:t>
            </w:r>
          </w:p>
        </w:tc>
        <w:tc>
          <w:tcPr>
            <w:tcW w:w="584" w:type="pct"/>
            <w:vAlign w:val="center"/>
          </w:tcPr>
          <w:p w14:paraId="6B45C04D" w14:textId="77777777" w:rsidR="00FF5E44" w:rsidRPr="002B65F7" w:rsidRDefault="00FF5E44" w:rsidP="00CE7E90">
            <w:pPr>
              <w:keepNext/>
              <w:keepLines/>
              <w:widowControl/>
              <w:adjustRightInd w:val="0"/>
              <w:snapToGrid w:val="0"/>
              <w:jc w:val="center"/>
              <w:rPr>
                <w:sz w:val="20"/>
                <w:szCs w:val="20"/>
              </w:rPr>
            </w:pPr>
            <w:r w:rsidRPr="002B65F7">
              <w:rPr>
                <w:sz w:val="20"/>
                <w:szCs w:val="20"/>
              </w:rPr>
              <w:t>24 (23%)</w:t>
            </w:r>
            <w:r w:rsidRPr="002B65F7">
              <w:rPr>
                <w:sz w:val="20"/>
                <w:szCs w:val="20"/>
                <w:vertAlign w:val="superscript"/>
              </w:rPr>
              <w:t>a</w:t>
            </w:r>
          </w:p>
        </w:tc>
      </w:tr>
      <w:tr w:rsidR="00FF5E44" w:rsidRPr="002B65F7" w14:paraId="3BDE27DD" w14:textId="77777777" w:rsidTr="00CE7E90">
        <w:trPr>
          <w:cantSplit/>
          <w:trHeight w:val="460"/>
        </w:trPr>
        <w:tc>
          <w:tcPr>
            <w:tcW w:w="1006" w:type="pct"/>
            <w:vAlign w:val="center"/>
          </w:tcPr>
          <w:p w14:paraId="0BCA6277" w14:textId="77777777" w:rsidR="00FF5E44" w:rsidRPr="002B65F7" w:rsidRDefault="00FF5E44" w:rsidP="00CE7E90">
            <w:pPr>
              <w:widowControl/>
              <w:adjustRightInd w:val="0"/>
              <w:snapToGrid w:val="0"/>
              <w:rPr>
                <w:sz w:val="20"/>
                <w:szCs w:val="20"/>
              </w:rPr>
            </w:pPr>
            <w:r w:rsidRPr="002B65F7">
              <w:rPr>
                <w:sz w:val="20"/>
                <w:szCs w:val="20"/>
              </w:rPr>
              <w:t>Réponse</w:t>
            </w:r>
          </w:p>
          <w:p w14:paraId="6E30300A" w14:textId="77777777" w:rsidR="00FF5E44" w:rsidRPr="002B65F7" w:rsidRDefault="00FF5E44" w:rsidP="00CE7E90">
            <w:pPr>
              <w:widowControl/>
              <w:adjustRightInd w:val="0"/>
              <w:snapToGrid w:val="0"/>
              <w:rPr>
                <w:sz w:val="20"/>
                <w:szCs w:val="20"/>
              </w:rPr>
            </w:pPr>
            <w:r w:rsidRPr="002B65F7">
              <w:rPr>
                <w:sz w:val="20"/>
                <w:szCs w:val="20"/>
              </w:rPr>
              <w:t>ACR 70, N (%)</w:t>
            </w:r>
          </w:p>
        </w:tc>
        <w:tc>
          <w:tcPr>
            <w:tcW w:w="730" w:type="pct"/>
            <w:vAlign w:val="center"/>
          </w:tcPr>
          <w:p w14:paraId="49AFF468" w14:textId="77777777" w:rsidR="00FF5E44" w:rsidRPr="002B65F7" w:rsidRDefault="00FF5E44" w:rsidP="00CE7E90">
            <w:pPr>
              <w:widowControl/>
              <w:adjustRightInd w:val="0"/>
              <w:snapToGrid w:val="0"/>
              <w:jc w:val="center"/>
              <w:rPr>
                <w:sz w:val="20"/>
                <w:szCs w:val="20"/>
              </w:rPr>
            </w:pPr>
            <w:r w:rsidRPr="002B65F7">
              <w:rPr>
                <w:sz w:val="20"/>
                <w:szCs w:val="20"/>
              </w:rPr>
              <w:t>5 (2%)</w:t>
            </w:r>
          </w:p>
        </w:tc>
        <w:tc>
          <w:tcPr>
            <w:tcW w:w="687" w:type="pct"/>
            <w:vAlign w:val="center"/>
          </w:tcPr>
          <w:p w14:paraId="7E400E86" w14:textId="77777777" w:rsidR="00FF5E44" w:rsidRPr="002B65F7" w:rsidRDefault="00FF5E44" w:rsidP="00CE7E90">
            <w:pPr>
              <w:widowControl/>
              <w:adjustRightInd w:val="0"/>
              <w:snapToGrid w:val="0"/>
              <w:jc w:val="center"/>
              <w:rPr>
                <w:sz w:val="20"/>
                <w:szCs w:val="20"/>
              </w:rPr>
            </w:pPr>
            <w:r w:rsidRPr="002B65F7">
              <w:rPr>
                <w:sz w:val="20"/>
                <w:szCs w:val="20"/>
              </w:rPr>
              <w:t>25 (12%)</w:t>
            </w:r>
            <w:r w:rsidRPr="002B65F7">
              <w:rPr>
                <w:sz w:val="20"/>
                <w:szCs w:val="20"/>
                <w:vertAlign w:val="superscript"/>
              </w:rPr>
              <w:t>a</w:t>
            </w:r>
          </w:p>
        </w:tc>
        <w:tc>
          <w:tcPr>
            <w:tcW w:w="687" w:type="pct"/>
            <w:vAlign w:val="center"/>
          </w:tcPr>
          <w:p w14:paraId="7A7A1539" w14:textId="77777777" w:rsidR="00FF5E44" w:rsidRPr="002B65F7" w:rsidRDefault="00FF5E44" w:rsidP="00CE7E90">
            <w:pPr>
              <w:widowControl/>
              <w:adjustRightInd w:val="0"/>
              <w:snapToGrid w:val="0"/>
              <w:jc w:val="center"/>
              <w:rPr>
                <w:sz w:val="20"/>
                <w:szCs w:val="20"/>
              </w:rPr>
            </w:pPr>
            <w:r w:rsidRPr="002B65F7">
              <w:rPr>
                <w:sz w:val="20"/>
                <w:szCs w:val="20"/>
              </w:rPr>
              <w:t>29 (14%)</w:t>
            </w:r>
            <w:r w:rsidRPr="002B65F7">
              <w:rPr>
                <w:sz w:val="20"/>
                <w:szCs w:val="20"/>
                <w:vertAlign w:val="superscript"/>
              </w:rPr>
              <w:t>a</w:t>
            </w:r>
          </w:p>
        </w:tc>
        <w:tc>
          <w:tcPr>
            <w:tcW w:w="687" w:type="pct"/>
            <w:vAlign w:val="center"/>
          </w:tcPr>
          <w:p w14:paraId="388D374D" w14:textId="77777777" w:rsidR="00FF5E44" w:rsidRPr="002B65F7" w:rsidRDefault="00FF5E44" w:rsidP="00CE7E90">
            <w:pPr>
              <w:widowControl/>
              <w:adjustRightInd w:val="0"/>
              <w:snapToGrid w:val="0"/>
              <w:jc w:val="center"/>
              <w:rPr>
                <w:sz w:val="20"/>
                <w:szCs w:val="20"/>
              </w:rPr>
            </w:pPr>
            <w:r w:rsidRPr="002B65F7">
              <w:rPr>
                <w:sz w:val="20"/>
                <w:szCs w:val="20"/>
              </w:rPr>
              <w:t>3 (3%)</w:t>
            </w:r>
          </w:p>
        </w:tc>
        <w:tc>
          <w:tcPr>
            <w:tcW w:w="619" w:type="pct"/>
            <w:vAlign w:val="center"/>
          </w:tcPr>
          <w:p w14:paraId="1C8F47BC" w14:textId="77777777" w:rsidR="00FF5E44" w:rsidRPr="002B65F7" w:rsidRDefault="00FF5E44" w:rsidP="00CE7E90">
            <w:pPr>
              <w:widowControl/>
              <w:adjustRightInd w:val="0"/>
              <w:snapToGrid w:val="0"/>
              <w:jc w:val="center"/>
              <w:rPr>
                <w:sz w:val="20"/>
                <w:szCs w:val="20"/>
              </w:rPr>
            </w:pPr>
            <w:r w:rsidRPr="002B65F7">
              <w:rPr>
                <w:sz w:val="20"/>
                <w:szCs w:val="20"/>
              </w:rPr>
              <w:t>7 (7%)c</w:t>
            </w:r>
          </w:p>
        </w:tc>
        <w:tc>
          <w:tcPr>
            <w:tcW w:w="584" w:type="pct"/>
            <w:vAlign w:val="center"/>
          </w:tcPr>
          <w:p w14:paraId="3FBFCB11" w14:textId="77777777" w:rsidR="00FF5E44" w:rsidRPr="002B65F7" w:rsidRDefault="00FF5E44" w:rsidP="00CE7E90">
            <w:pPr>
              <w:widowControl/>
              <w:adjustRightInd w:val="0"/>
              <w:snapToGrid w:val="0"/>
              <w:jc w:val="center"/>
              <w:rPr>
                <w:sz w:val="20"/>
                <w:szCs w:val="20"/>
              </w:rPr>
            </w:pPr>
            <w:r w:rsidRPr="002B65F7">
              <w:rPr>
                <w:sz w:val="20"/>
                <w:szCs w:val="20"/>
              </w:rPr>
              <w:t>9 (9%)</w:t>
            </w:r>
            <w:r w:rsidRPr="002B65F7">
              <w:rPr>
                <w:sz w:val="20"/>
                <w:szCs w:val="20"/>
                <w:vertAlign w:val="superscript"/>
              </w:rPr>
              <w:t>c</w:t>
            </w:r>
          </w:p>
        </w:tc>
      </w:tr>
      <w:tr w:rsidR="00FF5E44" w:rsidRPr="002B65F7" w14:paraId="7C298841" w14:textId="77777777" w:rsidTr="00CE7E90">
        <w:trPr>
          <w:cantSplit/>
          <w:trHeight w:val="460"/>
        </w:trPr>
        <w:tc>
          <w:tcPr>
            <w:tcW w:w="1006" w:type="pct"/>
            <w:vAlign w:val="center"/>
          </w:tcPr>
          <w:p w14:paraId="54AC1736" w14:textId="77777777" w:rsidR="00FF5E44" w:rsidRPr="002B65F7" w:rsidRDefault="00FF5E44" w:rsidP="00CE7E90">
            <w:pPr>
              <w:widowControl/>
              <w:adjustRightInd w:val="0"/>
              <w:snapToGrid w:val="0"/>
              <w:rPr>
                <w:i/>
                <w:iCs/>
                <w:sz w:val="20"/>
                <w:szCs w:val="20"/>
              </w:rPr>
            </w:pPr>
            <w:r w:rsidRPr="002B65F7">
              <w:rPr>
                <w:i/>
                <w:iCs/>
                <w:sz w:val="20"/>
                <w:szCs w:val="20"/>
              </w:rPr>
              <w:t>Nombre de patients avec SCA ≥</w:t>
            </w:r>
            <w:r w:rsidRPr="002B65F7">
              <w:rPr>
                <w:sz w:val="20"/>
                <w:szCs w:val="20"/>
              </w:rPr>
              <w:t> </w:t>
            </w:r>
            <w:r w:rsidRPr="002B65F7">
              <w:rPr>
                <w:i/>
                <w:iCs/>
                <w:sz w:val="20"/>
                <w:szCs w:val="20"/>
              </w:rPr>
              <w:t xml:space="preserve">3% </w:t>
            </w:r>
            <w:r w:rsidRPr="002B65F7">
              <w:rPr>
                <w:i/>
                <w:iCs/>
                <w:sz w:val="20"/>
                <w:szCs w:val="20"/>
                <w:vertAlign w:val="superscript"/>
              </w:rPr>
              <w:t>d</w:t>
            </w:r>
          </w:p>
        </w:tc>
        <w:tc>
          <w:tcPr>
            <w:tcW w:w="730" w:type="pct"/>
            <w:vAlign w:val="center"/>
          </w:tcPr>
          <w:p w14:paraId="690348DC" w14:textId="77777777" w:rsidR="00FF5E44" w:rsidRPr="002B65F7" w:rsidRDefault="00FF5E44" w:rsidP="00CE7E90">
            <w:pPr>
              <w:widowControl/>
              <w:adjustRightInd w:val="0"/>
              <w:snapToGrid w:val="0"/>
              <w:jc w:val="center"/>
              <w:rPr>
                <w:sz w:val="20"/>
                <w:szCs w:val="20"/>
              </w:rPr>
            </w:pPr>
            <w:r w:rsidRPr="002B65F7">
              <w:rPr>
                <w:sz w:val="20"/>
                <w:szCs w:val="20"/>
              </w:rPr>
              <w:t>146</w:t>
            </w:r>
          </w:p>
        </w:tc>
        <w:tc>
          <w:tcPr>
            <w:tcW w:w="687" w:type="pct"/>
            <w:vAlign w:val="center"/>
          </w:tcPr>
          <w:p w14:paraId="3E0EFC62" w14:textId="77777777" w:rsidR="00FF5E44" w:rsidRPr="002B65F7" w:rsidRDefault="00FF5E44" w:rsidP="00CE7E90">
            <w:pPr>
              <w:widowControl/>
              <w:adjustRightInd w:val="0"/>
              <w:snapToGrid w:val="0"/>
              <w:jc w:val="center"/>
              <w:rPr>
                <w:sz w:val="20"/>
                <w:szCs w:val="20"/>
              </w:rPr>
            </w:pPr>
            <w:r w:rsidRPr="002B65F7">
              <w:rPr>
                <w:sz w:val="20"/>
                <w:szCs w:val="20"/>
              </w:rPr>
              <w:t>145</w:t>
            </w:r>
          </w:p>
        </w:tc>
        <w:tc>
          <w:tcPr>
            <w:tcW w:w="687" w:type="pct"/>
            <w:vAlign w:val="center"/>
          </w:tcPr>
          <w:p w14:paraId="5FF51AFC" w14:textId="77777777" w:rsidR="00FF5E44" w:rsidRPr="002B65F7" w:rsidRDefault="00FF5E44" w:rsidP="00CE7E90">
            <w:pPr>
              <w:widowControl/>
              <w:adjustRightInd w:val="0"/>
              <w:snapToGrid w:val="0"/>
              <w:jc w:val="center"/>
              <w:rPr>
                <w:sz w:val="20"/>
                <w:szCs w:val="20"/>
              </w:rPr>
            </w:pPr>
            <w:r w:rsidRPr="002B65F7">
              <w:rPr>
                <w:sz w:val="20"/>
                <w:szCs w:val="20"/>
              </w:rPr>
              <w:t>149</w:t>
            </w:r>
          </w:p>
        </w:tc>
        <w:tc>
          <w:tcPr>
            <w:tcW w:w="687" w:type="pct"/>
            <w:vAlign w:val="center"/>
          </w:tcPr>
          <w:p w14:paraId="59191827" w14:textId="77777777" w:rsidR="00FF5E44" w:rsidRPr="002B65F7" w:rsidRDefault="00FF5E44" w:rsidP="00CE7E90">
            <w:pPr>
              <w:widowControl/>
              <w:adjustRightInd w:val="0"/>
              <w:snapToGrid w:val="0"/>
              <w:jc w:val="center"/>
              <w:rPr>
                <w:sz w:val="20"/>
                <w:szCs w:val="20"/>
              </w:rPr>
            </w:pPr>
            <w:r w:rsidRPr="002B65F7">
              <w:rPr>
                <w:sz w:val="20"/>
                <w:szCs w:val="20"/>
              </w:rPr>
              <w:t>80</w:t>
            </w:r>
          </w:p>
        </w:tc>
        <w:tc>
          <w:tcPr>
            <w:tcW w:w="619" w:type="pct"/>
            <w:vAlign w:val="center"/>
          </w:tcPr>
          <w:p w14:paraId="32C06B82" w14:textId="77777777" w:rsidR="00FF5E44" w:rsidRPr="002B65F7" w:rsidRDefault="00FF5E44" w:rsidP="00CE7E90">
            <w:pPr>
              <w:widowControl/>
              <w:adjustRightInd w:val="0"/>
              <w:snapToGrid w:val="0"/>
              <w:jc w:val="center"/>
              <w:rPr>
                <w:sz w:val="20"/>
                <w:szCs w:val="20"/>
              </w:rPr>
            </w:pPr>
            <w:r w:rsidRPr="002B65F7">
              <w:rPr>
                <w:sz w:val="20"/>
                <w:szCs w:val="20"/>
              </w:rPr>
              <w:t>80</w:t>
            </w:r>
          </w:p>
        </w:tc>
        <w:tc>
          <w:tcPr>
            <w:tcW w:w="584" w:type="pct"/>
            <w:vAlign w:val="center"/>
          </w:tcPr>
          <w:p w14:paraId="1AE91DD1" w14:textId="77777777" w:rsidR="00FF5E44" w:rsidRPr="002B65F7" w:rsidRDefault="00FF5E44" w:rsidP="00CE7E90">
            <w:pPr>
              <w:widowControl/>
              <w:adjustRightInd w:val="0"/>
              <w:snapToGrid w:val="0"/>
              <w:jc w:val="center"/>
              <w:rPr>
                <w:sz w:val="20"/>
                <w:szCs w:val="20"/>
              </w:rPr>
            </w:pPr>
            <w:r w:rsidRPr="002B65F7">
              <w:rPr>
                <w:sz w:val="20"/>
                <w:szCs w:val="20"/>
              </w:rPr>
              <w:t>81</w:t>
            </w:r>
          </w:p>
        </w:tc>
      </w:tr>
      <w:tr w:rsidR="00FF5E44" w:rsidRPr="002B65F7" w14:paraId="6A080BCC" w14:textId="77777777" w:rsidTr="00CE7E90">
        <w:trPr>
          <w:cantSplit/>
          <w:trHeight w:val="458"/>
        </w:trPr>
        <w:tc>
          <w:tcPr>
            <w:tcW w:w="1006" w:type="pct"/>
            <w:vAlign w:val="center"/>
          </w:tcPr>
          <w:p w14:paraId="605D21B1" w14:textId="77777777" w:rsidR="00FF5E44" w:rsidRPr="002B65F7" w:rsidRDefault="00FF5E44" w:rsidP="00CE7E90">
            <w:pPr>
              <w:widowControl/>
              <w:adjustRightInd w:val="0"/>
              <w:snapToGrid w:val="0"/>
              <w:rPr>
                <w:sz w:val="20"/>
                <w:szCs w:val="20"/>
              </w:rPr>
            </w:pPr>
            <w:r w:rsidRPr="002B65F7">
              <w:rPr>
                <w:sz w:val="20"/>
                <w:szCs w:val="20"/>
              </w:rPr>
              <w:t>Réponse</w:t>
            </w:r>
          </w:p>
          <w:p w14:paraId="6FE27BB5" w14:textId="77777777" w:rsidR="00FF5E44" w:rsidRPr="002B65F7" w:rsidRDefault="00FF5E44" w:rsidP="00CE7E90">
            <w:pPr>
              <w:widowControl/>
              <w:adjustRightInd w:val="0"/>
              <w:snapToGrid w:val="0"/>
              <w:rPr>
                <w:sz w:val="20"/>
                <w:szCs w:val="20"/>
              </w:rPr>
            </w:pPr>
            <w:r w:rsidRPr="002B65F7">
              <w:rPr>
                <w:sz w:val="20"/>
                <w:szCs w:val="20"/>
              </w:rPr>
              <w:t>PASI 75, N (%)</w:t>
            </w:r>
          </w:p>
        </w:tc>
        <w:tc>
          <w:tcPr>
            <w:tcW w:w="730" w:type="pct"/>
            <w:vAlign w:val="center"/>
          </w:tcPr>
          <w:p w14:paraId="5EB0CAFC" w14:textId="77777777" w:rsidR="00FF5E44" w:rsidRPr="002B65F7" w:rsidRDefault="00FF5E44" w:rsidP="00CE7E90">
            <w:pPr>
              <w:widowControl/>
              <w:adjustRightInd w:val="0"/>
              <w:snapToGrid w:val="0"/>
              <w:jc w:val="center"/>
              <w:rPr>
                <w:sz w:val="20"/>
                <w:szCs w:val="20"/>
              </w:rPr>
            </w:pPr>
            <w:r w:rsidRPr="002B65F7">
              <w:rPr>
                <w:sz w:val="20"/>
                <w:szCs w:val="20"/>
              </w:rPr>
              <w:t>16 (11%)</w:t>
            </w:r>
          </w:p>
        </w:tc>
        <w:tc>
          <w:tcPr>
            <w:tcW w:w="687" w:type="pct"/>
            <w:vAlign w:val="center"/>
          </w:tcPr>
          <w:p w14:paraId="3F6805AE" w14:textId="77777777" w:rsidR="00FF5E44" w:rsidRPr="002B65F7" w:rsidRDefault="00FF5E44" w:rsidP="00CE7E90">
            <w:pPr>
              <w:widowControl/>
              <w:adjustRightInd w:val="0"/>
              <w:snapToGrid w:val="0"/>
              <w:jc w:val="center"/>
              <w:rPr>
                <w:sz w:val="20"/>
                <w:szCs w:val="20"/>
              </w:rPr>
            </w:pPr>
            <w:r w:rsidRPr="002B65F7">
              <w:rPr>
                <w:sz w:val="20"/>
                <w:szCs w:val="20"/>
              </w:rPr>
              <w:t>83 (57%)</w:t>
            </w:r>
            <w:r w:rsidRPr="002B65F7">
              <w:rPr>
                <w:sz w:val="20"/>
                <w:szCs w:val="20"/>
                <w:vertAlign w:val="superscript"/>
              </w:rPr>
              <w:t>a</w:t>
            </w:r>
          </w:p>
        </w:tc>
        <w:tc>
          <w:tcPr>
            <w:tcW w:w="687" w:type="pct"/>
            <w:vAlign w:val="center"/>
          </w:tcPr>
          <w:p w14:paraId="14AEBFC7" w14:textId="77777777" w:rsidR="00FF5E44" w:rsidRPr="002B65F7" w:rsidRDefault="00FF5E44" w:rsidP="00CE7E90">
            <w:pPr>
              <w:widowControl/>
              <w:adjustRightInd w:val="0"/>
              <w:snapToGrid w:val="0"/>
              <w:jc w:val="center"/>
              <w:rPr>
                <w:sz w:val="20"/>
                <w:szCs w:val="20"/>
              </w:rPr>
            </w:pPr>
            <w:r w:rsidRPr="002B65F7">
              <w:rPr>
                <w:sz w:val="20"/>
                <w:szCs w:val="20"/>
              </w:rPr>
              <w:t>93 (62%)</w:t>
            </w:r>
            <w:r w:rsidRPr="002B65F7">
              <w:rPr>
                <w:sz w:val="20"/>
                <w:szCs w:val="20"/>
                <w:vertAlign w:val="superscript"/>
              </w:rPr>
              <w:t>a</w:t>
            </w:r>
          </w:p>
        </w:tc>
        <w:tc>
          <w:tcPr>
            <w:tcW w:w="687" w:type="pct"/>
            <w:vAlign w:val="center"/>
          </w:tcPr>
          <w:p w14:paraId="0EFFE76C" w14:textId="77777777" w:rsidR="00FF5E44" w:rsidRPr="002B65F7" w:rsidRDefault="00FF5E44" w:rsidP="00CE7E90">
            <w:pPr>
              <w:widowControl/>
              <w:adjustRightInd w:val="0"/>
              <w:snapToGrid w:val="0"/>
              <w:jc w:val="center"/>
              <w:rPr>
                <w:sz w:val="20"/>
                <w:szCs w:val="20"/>
              </w:rPr>
            </w:pPr>
            <w:r w:rsidRPr="002B65F7">
              <w:rPr>
                <w:sz w:val="20"/>
                <w:szCs w:val="20"/>
              </w:rPr>
              <w:t>4 (5%)</w:t>
            </w:r>
          </w:p>
        </w:tc>
        <w:tc>
          <w:tcPr>
            <w:tcW w:w="619" w:type="pct"/>
            <w:vAlign w:val="center"/>
          </w:tcPr>
          <w:p w14:paraId="0A5DE192" w14:textId="77777777" w:rsidR="00FF5E44" w:rsidRPr="002B65F7" w:rsidRDefault="00FF5E44" w:rsidP="00CE7E90">
            <w:pPr>
              <w:widowControl/>
              <w:adjustRightInd w:val="0"/>
              <w:snapToGrid w:val="0"/>
              <w:jc w:val="center"/>
              <w:rPr>
                <w:sz w:val="20"/>
                <w:szCs w:val="20"/>
              </w:rPr>
            </w:pPr>
            <w:r w:rsidRPr="002B65F7">
              <w:rPr>
                <w:sz w:val="20"/>
                <w:szCs w:val="20"/>
              </w:rPr>
              <w:t>41 (51%)</w:t>
            </w:r>
            <w:r w:rsidRPr="002B65F7">
              <w:rPr>
                <w:sz w:val="20"/>
                <w:szCs w:val="20"/>
                <w:vertAlign w:val="superscript"/>
              </w:rPr>
              <w:t>a</w:t>
            </w:r>
          </w:p>
        </w:tc>
        <w:tc>
          <w:tcPr>
            <w:tcW w:w="584" w:type="pct"/>
            <w:vAlign w:val="center"/>
          </w:tcPr>
          <w:p w14:paraId="4EA34E84" w14:textId="77777777" w:rsidR="00FF5E44" w:rsidRPr="002B65F7" w:rsidRDefault="00FF5E44" w:rsidP="00CE7E90">
            <w:pPr>
              <w:widowControl/>
              <w:adjustRightInd w:val="0"/>
              <w:snapToGrid w:val="0"/>
              <w:jc w:val="center"/>
              <w:rPr>
                <w:sz w:val="20"/>
                <w:szCs w:val="20"/>
              </w:rPr>
            </w:pPr>
            <w:r w:rsidRPr="002B65F7">
              <w:rPr>
                <w:sz w:val="20"/>
                <w:szCs w:val="20"/>
              </w:rPr>
              <w:t>45 (56%)</w:t>
            </w:r>
            <w:r w:rsidRPr="002B65F7">
              <w:rPr>
                <w:sz w:val="20"/>
                <w:szCs w:val="20"/>
                <w:vertAlign w:val="superscript"/>
              </w:rPr>
              <w:t>a</w:t>
            </w:r>
          </w:p>
        </w:tc>
      </w:tr>
      <w:tr w:rsidR="00FF5E44" w:rsidRPr="002B65F7" w14:paraId="465A1DBB" w14:textId="77777777" w:rsidTr="00CE7E90">
        <w:trPr>
          <w:cantSplit/>
          <w:trHeight w:val="460"/>
        </w:trPr>
        <w:tc>
          <w:tcPr>
            <w:tcW w:w="1006" w:type="pct"/>
            <w:vAlign w:val="center"/>
          </w:tcPr>
          <w:p w14:paraId="51B975E3" w14:textId="77777777" w:rsidR="00FF5E44" w:rsidRPr="002B65F7" w:rsidRDefault="00FF5E44" w:rsidP="00CE7E90">
            <w:pPr>
              <w:widowControl/>
              <w:adjustRightInd w:val="0"/>
              <w:snapToGrid w:val="0"/>
              <w:rPr>
                <w:sz w:val="20"/>
                <w:szCs w:val="20"/>
              </w:rPr>
            </w:pPr>
            <w:r w:rsidRPr="002B65F7">
              <w:rPr>
                <w:sz w:val="20"/>
                <w:szCs w:val="20"/>
              </w:rPr>
              <w:t>Réponse</w:t>
            </w:r>
          </w:p>
          <w:p w14:paraId="52EC6B11" w14:textId="77777777" w:rsidR="00FF5E44" w:rsidRPr="002B65F7" w:rsidRDefault="00FF5E44" w:rsidP="00CE7E90">
            <w:pPr>
              <w:widowControl/>
              <w:adjustRightInd w:val="0"/>
              <w:snapToGrid w:val="0"/>
              <w:rPr>
                <w:sz w:val="20"/>
                <w:szCs w:val="20"/>
              </w:rPr>
            </w:pPr>
            <w:r w:rsidRPr="002B65F7">
              <w:rPr>
                <w:sz w:val="20"/>
                <w:szCs w:val="20"/>
              </w:rPr>
              <w:t>PASI 90, N (%)</w:t>
            </w:r>
          </w:p>
        </w:tc>
        <w:tc>
          <w:tcPr>
            <w:tcW w:w="730" w:type="pct"/>
            <w:vAlign w:val="center"/>
          </w:tcPr>
          <w:p w14:paraId="52D450B4" w14:textId="77777777" w:rsidR="00FF5E44" w:rsidRPr="002B65F7" w:rsidRDefault="00FF5E44" w:rsidP="00CE7E90">
            <w:pPr>
              <w:widowControl/>
              <w:adjustRightInd w:val="0"/>
              <w:snapToGrid w:val="0"/>
              <w:jc w:val="center"/>
              <w:rPr>
                <w:sz w:val="20"/>
                <w:szCs w:val="20"/>
              </w:rPr>
            </w:pPr>
            <w:r w:rsidRPr="002B65F7">
              <w:rPr>
                <w:sz w:val="20"/>
                <w:szCs w:val="20"/>
              </w:rPr>
              <w:t>4 (3%)</w:t>
            </w:r>
          </w:p>
        </w:tc>
        <w:tc>
          <w:tcPr>
            <w:tcW w:w="687" w:type="pct"/>
            <w:vAlign w:val="center"/>
          </w:tcPr>
          <w:p w14:paraId="3628E7F3" w14:textId="77777777" w:rsidR="00FF5E44" w:rsidRPr="002B65F7" w:rsidRDefault="00FF5E44" w:rsidP="00CE7E90">
            <w:pPr>
              <w:widowControl/>
              <w:adjustRightInd w:val="0"/>
              <w:snapToGrid w:val="0"/>
              <w:jc w:val="center"/>
              <w:rPr>
                <w:sz w:val="20"/>
                <w:szCs w:val="20"/>
              </w:rPr>
            </w:pPr>
            <w:r w:rsidRPr="002B65F7">
              <w:rPr>
                <w:sz w:val="20"/>
                <w:szCs w:val="20"/>
              </w:rPr>
              <w:t>60 (41%)</w:t>
            </w:r>
            <w:r w:rsidRPr="002B65F7">
              <w:rPr>
                <w:sz w:val="20"/>
                <w:szCs w:val="20"/>
                <w:vertAlign w:val="superscript"/>
              </w:rPr>
              <w:t>a</w:t>
            </w:r>
          </w:p>
        </w:tc>
        <w:tc>
          <w:tcPr>
            <w:tcW w:w="687" w:type="pct"/>
            <w:vAlign w:val="center"/>
          </w:tcPr>
          <w:p w14:paraId="5A5737F5" w14:textId="77777777" w:rsidR="00FF5E44" w:rsidRPr="002B65F7" w:rsidRDefault="00FF5E44" w:rsidP="00CE7E90">
            <w:pPr>
              <w:widowControl/>
              <w:adjustRightInd w:val="0"/>
              <w:snapToGrid w:val="0"/>
              <w:jc w:val="center"/>
              <w:rPr>
                <w:sz w:val="20"/>
                <w:szCs w:val="20"/>
              </w:rPr>
            </w:pPr>
            <w:r w:rsidRPr="002B65F7">
              <w:rPr>
                <w:sz w:val="20"/>
                <w:szCs w:val="20"/>
              </w:rPr>
              <w:t>65 (44%)</w:t>
            </w:r>
            <w:r w:rsidRPr="002B65F7">
              <w:rPr>
                <w:sz w:val="20"/>
                <w:szCs w:val="20"/>
                <w:vertAlign w:val="superscript"/>
              </w:rPr>
              <w:t>a</w:t>
            </w:r>
          </w:p>
        </w:tc>
        <w:tc>
          <w:tcPr>
            <w:tcW w:w="687" w:type="pct"/>
            <w:vAlign w:val="center"/>
          </w:tcPr>
          <w:p w14:paraId="5F0A944F" w14:textId="77777777" w:rsidR="00FF5E44" w:rsidRPr="002B65F7" w:rsidRDefault="00FF5E44" w:rsidP="00CE7E90">
            <w:pPr>
              <w:widowControl/>
              <w:adjustRightInd w:val="0"/>
              <w:snapToGrid w:val="0"/>
              <w:jc w:val="center"/>
              <w:rPr>
                <w:sz w:val="20"/>
                <w:szCs w:val="20"/>
              </w:rPr>
            </w:pPr>
            <w:r w:rsidRPr="002B65F7">
              <w:rPr>
                <w:sz w:val="20"/>
                <w:szCs w:val="20"/>
              </w:rPr>
              <w:t>3 (4%)</w:t>
            </w:r>
          </w:p>
        </w:tc>
        <w:tc>
          <w:tcPr>
            <w:tcW w:w="619" w:type="pct"/>
            <w:vAlign w:val="center"/>
          </w:tcPr>
          <w:p w14:paraId="33E88087" w14:textId="77777777" w:rsidR="00FF5E44" w:rsidRPr="002B65F7" w:rsidRDefault="00FF5E44" w:rsidP="00CE7E90">
            <w:pPr>
              <w:widowControl/>
              <w:adjustRightInd w:val="0"/>
              <w:snapToGrid w:val="0"/>
              <w:jc w:val="center"/>
              <w:rPr>
                <w:sz w:val="20"/>
                <w:szCs w:val="20"/>
              </w:rPr>
            </w:pPr>
            <w:r w:rsidRPr="002B65F7">
              <w:rPr>
                <w:sz w:val="20"/>
                <w:szCs w:val="20"/>
              </w:rPr>
              <w:t>24 (30%)</w:t>
            </w:r>
            <w:r w:rsidRPr="002B65F7">
              <w:rPr>
                <w:sz w:val="20"/>
                <w:szCs w:val="20"/>
                <w:vertAlign w:val="superscript"/>
              </w:rPr>
              <w:t>a</w:t>
            </w:r>
          </w:p>
        </w:tc>
        <w:tc>
          <w:tcPr>
            <w:tcW w:w="584" w:type="pct"/>
            <w:vAlign w:val="center"/>
          </w:tcPr>
          <w:p w14:paraId="79978F1C" w14:textId="77777777" w:rsidR="00FF5E44" w:rsidRPr="002B65F7" w:rsidRDefault="00FF5E44" w:rsidP="00CE7E90">
            <w:pPr>
              <w:widowControl/>
              <w:adjustRightInd w:val="0"/>
              <w:snapToGrid w:val="0"/>
              <w:jc w:val="center"/>
              <w:rPr>
                <w:sz w:val="20"/>
                <w:szCs w:val="20"/>
              </w:rPr>
            </w:pPr>
            <w:r w:rsidRPr="002B65F7">
              <w:rPr>
                <w:sz w:val="20"/>
                <w:szCs w:val="20"/>
              </w:rPr>
              <w:t>36 (44%)</w:t>
            </w:r>
            <w:r w:rsidRPr="002B65F7">
              <w:rPr>
                <w:sz w:val="20"/>
                <w:szCs w:val="20"/>
                <w:vertAlign w:val="superscript"/>
              </w:rPr>
              <w:t>a</w:t>
            </w:r>
          </w:p>
        </w:tc>
      </w:tr>
      <w:tr w:rsidR="00FF5E44" w:rsidRPr="002B65F7" w14:paraId="77523AB6" w14:textId="77777777" w:rsidTr="00CE7E90">
        <w:trPr>
          <w:cantSplit/>
          <w:trHeight w:val="737"/>
        </w:trPr>
        <w:tc>
          <w:tcPr>
            <w:tcW w:w="1006" w:type="pct"/>
            <w:vAlign w:val="center"/>
          </w:tcPr>
          <w:p w14:paraId="0A3372D1" w14:textId="77777777" w:rsidR="00FF5E44" w:rsidRPr="002B65F7" w:rsidRDefault="00FF5E44" w:rsidP="00CE7E90">
            <w:pPr>
              <w:widowControl/>
              <w:adjustRightInd w:val="0"/>
              <w:snapToGrid w:val="0"/>
              <w:rPr>
                <w:sz w:val="20"/>
                <w:szCs w:val="20"/>
              </w:rPr>
            </w:pPr>
            <w:r w:rsidRPr="002B65F7">
              <w:rPr>
                <w:sz w:val="20"/>
                <w:szCs w:val="20"/>
              </w:rPr>
              <w:t>Réponse combinée PASI 75 et ACR 20, N (%)</w:t>
            </w:r>
          </w:p>
        </w:tc>
        <w:tc>
          <w:tcPr>
            <w:tcW w:w="730" w:type="pct"/>
            <w:vAlign w:val="center"/>
          </w:tcPr>
          <w:p w14:paraId="72C87445" w14:textId="77777777" w:rsidR="00FF5E44" w:rsidRPr="002B65F7" w:rsidRDefault="00FF5E44" w:rsidP="00CE7E90">
            <w:pPr>
              <w:widowControl/>
              <w:adjustRightInd w:val="0"/>
              <w:snapToGrid w:val="0"/>
              <w:jc w:val="center"/>
              <w:rPr>
                <w:sz w:val="20"/>
                <w:szCs w:val="20"/>
              </w:rPr>
            </w:pPr>
            <w:r w:rsidRPr="002B65F7">
              <w:rPr>
                <w:sz w:val="20"/>
                <w:szCs w:val="20"/>
              </w:rPr>
              <w:t>8 (5%)</w:t>
            </w:r>
          </w:p>
        </w:tc>
        <w:tc>
          <w:tcPr>
            <w:tcW w:w="687" w:type="pct"/>
            <w:vAlign w:val="center"/>
          </w:tcPr>
          <w:p w14:paraId="0F216BB0" w14:textId="77777777" w:rsidR="00FF5E44" w:rsidRPr="002B65F7" w:rsidRDefault="00FF5E44" w:rsidP="00CE7E90">
            <w:pPr>
              <w:widowControl/>
              <w:adjustRightInd w:val="0"/>
              <w:snapToGrid w:val="0"/>
              <w:jc w:val="center"/>
              <w:rPr>
                <w:sz w:val="20"/>
                <w:szCs w:val="20"/>
              </w:rPr>
            </w:pPr>
            <w:r w:rsidRPr="002B65F7">
              <w:rPr>
                <w:sz w:val="20"/>
                <w:szCs w:val="20"/>
              </w:rPr>
              <w:t>40 (28%)</w:t>
            </w:r>
            <w:r w:rsidRPr="002B65F7">
              <w:rPr>
                <w:sz w:val="20"/>
                <w:szCs w:val="20"/>
                <w:vertAlign w:val="superscript"/>
              </w:rPr>
              <w:t>a</w:t>
            </w:r>
          </w:p>
        </w:tc>
        <w:tc>
          <w:tcPr>
            <w:tcW w:w="687" w:type="pct"/>
            <w:vAlign w:val="center"/>
          </w:tcPr>
          <w:p w14:paraId="102CF2B7" w14:textId="77777777" w:rsidR="00FF5E44" w:rsidRPr="002B65F7" w:rsidRDefault="00FF5E44" w:rsidP="00CE7E90">
            <w:pPr>
              <w:widowControl/>
              <w:adjustRightInd w:val="0"/>
              <w:snapToGrid w:val="0"/>
              <w:jc w:val="center"/>
              <w:rPr>
                <w:sz w:val="20"/>
                <w:szCs w:val="20"/>
              </w:rPr>
            </w:pPr>
            <w:r w:rsidRPr="002B65F7">
              <w:rPr>
                <w:sz w:val="20"/>
                <w:szCs w:val="20"/>
              </w:rPr>
              <w:t>62 (42%)</w:t>
            </w:r>
            <w:r w:rsidRPr="002B65F7">
              <w:rPr>
                <w:sz w:val="20"/>
                <w:szCs w:val="20"/>
                <w:vertAlign w:val="superscript"/>
              </w:rPr>
              <w:t>a</w:t>
            </w:r>
          </w:p>
        </w:tc>
        <w:tc>
          <w:tcPr>
            <w:tcW w:w="687" w:type="pct"/>
            <w:vAlign w:val="center"/>
          </w:tcPr>
          <w:p w14:paraId="27681DAA" w14:textId="77777777" w:rsidR="00FF5E44" w:rsidRPr="002B65F7" w:rsidRDefault="00FF5E44" w:rsidP="00CE7E90">
            <w:pPr>
              <w:widowControl/>
              <w:adjustRightInd w:val="0"/>
              <w:snapToGrid w:val="0"/>
              <w:jc w:val="center"/>
              <w:rPr>
                <w:sz w:val="20"/>
                <w:szCs w:val="20"/>
              </w:rPr>
            </w:pPr>
            <w:r w:rsidRPr="002B65F7">
              <w:rPr>
                <w:sz w:val="20"/>
                <w:szCs w:val="20"/>
              </w:rPr>
              <w:t>2 (3%)</w:t>
            </w:r>
          </w:p>
        </w:tc>
        <w:tc>
          <w:tcPr>
            <w:tcW w:w="619" w:type="pct"/>
            <w:vAlign w:val="center"/>
          </w:tcPr>
          <w:p w14:paraId="6046CBA9" w14:textId="77777777" w:rsidR="00FF5E44" w:rsidRPr="002B65F7" w:rsidRDefault="00FF5E44" w:rsidP="00CE7E90">
            <w:pPr>
              <w:widowControl/>
              <w:adjustRightInd w:val="0"/>
              <w:snapToGrid w:val="0"/>
              <w:jc w:val="center"/>
              <w:rPr>
                <w:sz w:val="20"/>
                <w:szCs w:val="20"/>
              </w:rPr>
            </w:pPr>
            <w:r w:rsidRPr="002B65F7">
              <w:rPr>
                <w:sz w:val="20"/>
                <w:szCs w:val="20"/>
              </w:rPr>
              <w:t>24 (30%)</w:t>
            </w:r>
            <w:r w:rsidRPr="002B65F7">
              <w:rPr>
                <w:sz w:val="20"/>
                <w:szCs w:val="20"/>
                <w:vertAlign w:val="superscript"/>
              </w:rPr>
              <w:t>a</w:t>
            </w:r>
          </w:p>
        </w:tc>
        <w:tc>
          <w:tcPr>
            <w:tcW w:w="584" w:type="pct"/>
            <w:vAlign w:val="center"/>
          </w:tcPr>
          <w:p w14:paraId="1700087C" w14:textId="77777777" w:rsidR="00FF5E44" w:rsidRPr="002B65F7" w:rsidRDefault="00FF5E44" w:rsidP="00CE7E90">
            <w:pPr>
              <w:widowControl/>
              <w:adjustRightInd w:val="0"/>
              <w:snapToGrid w:val="0"/>
              <w:jc w:val="center"/>
              <w:rPr>
                <w:sz w:val="20"/>
                <w:szCs w:val="20"/>
              </w:rPr>
            </w:pPr>
            <w:r w:rsidRPr="002B65F7">
              <w:rPr>
                <w:sz w:val="20"/>
                <w:szCs w:val="20"/>
              </w:rPr>
              <w:t>31 (38%)</w:t>
            </w:r>
            <w:r w:rsidRPr="002B65F7">
              <w:rPr>
                <w:sz w:val="20"/>
                <w:szCs w:val="20"/>
                <w:vertAlign w:val="superscript"/>
              </w:rPr>
              <w:t>a</w:t>
            </w:r>
          </w:p>
        </w:tc>
      </w:tr>
      <w:tr w:rsidR="00FF5E44" w:rsidRPr="002B65F7" w14:paraId="51C5ED83" w14:textId="77777777" w:rsidTr="00CE7E90">
        <w:trPr>
          <w:cantSplit/>
          <w:trHeight w:val="230"/>
        </w:trPr>
        <w:tc>
          <w:tcPr>
            <w:tcW w:w="1006" w:type="pct"/>
            <w:vAlign w:val="center"/>
          </w:tcPr>
          <w:p w14:paraId="28A344C4" w14:textId="77777777" w:rsidR="00FF5E44" w:rsidRPr="002B65F7" w:rsidRDefault="00FF5E44" w:rsidP="00CE7E90">
            <w:pPr>
              <w:widowControl/>
              <w:adjustRightInd w:val="0"/>
              <w:snapToGrid w:val="0"/>
              <w:rPr>
                <w:sz w:val="20"/>
                <w:szCs w:val="20"/>
              </w:rPr>
            </w:pPr>
          </w:p>
        </w:tc>
        <w:tc>
          <w:tcPr>
            <w:tcW w:w="730" w:type="pct"/>
            <w:vAlign w:val="center"/>
          </w:tcPr>
          <w:p w14:paraId="1A91D55E" w14:textId="77777777" w:rsidR="00FF5E44" w:rsidRPr="002B65F7" w:rsidRDefault="00FF5E44" w:rsidP="00CE7E90">
            <w:pPr>
              <w:widowControl/>
              <w:adjustRightInd w:val="0"/>
              <w:snapToGrid w:val="0"/>
              <w:jc w:val="center"/>
              <w:rPr>
                <w:sz w:val="20"/>
                <w:szCs w:val="20"/>
              </w:rPr>
            </w:pPr>
          </w:p>
        </w:tc>
        <w:tc>
          <w:tcPr>
            <w:tcW w:w="687" w:type="pct"/>
            <w:vAlign w:val="center"/>
          </w:tcPr>
          <w:p w14:paraId="67B33988" w14:textId="77777777" w:rsidR="00FF5E44" w:rsidRPr="002B65F7" w:rsidRDefault="00FF5E44" w:rsidP="00CE7E90">
            <w:pPr>
              <w:widowControl/>
              <w:adjustRightInd w:val="0"/>
              <w:snapToGrid w:val="0"/>
              <w:jc w:val="center"/>
              <w:rPr>
                <w:sz w:val="20"/>
                <w:szCs w:val="20"/>
              </w:rPr>
            </w:pPr>
          </w:p>
        </w:tc>
        <w:tc>
          <w:tcPr>
            <w:tcW w:w="687" w:type="pct"/>
            <w:vAlign w:val="center"/>
          </w:tcPr>
          <w:p w14:paraId="61B3140F" w14:textId="77777777" w:rsidR="00FF5E44" w:rsidRPr="002B65F7" w:rsidRDefault="00FF5E44" w:rsidP="00CE7E90">
            <w:pPr>
              <w:widowControl/>
              <w:adjustRightInd w:val="0"/>
              <w:snapToGrid w:val="0"/>
              <w:jc w:val="center"/>
              <w:rPr>
                <w:sz w:val="20"/>
                <w:szCs w:val="20"/>
              </w:rPr>
            </w:pPr>
          </w:p>
        </w:tc>
        <w:tc>
          <w:tcPr>
            <w:tcW w:w="687" w:type="pct"/>
            <w:vAlign w:val="center"/>
          </w:tcPr>
          <w:p w14:paraId="2E1574BE" w14:textId="77777777" w:rsidR="00FF5E44" w:rsidRPr="002B65F7" w:rsidRDefault="00FF5E44" w:rsidP="00CE7E90">
            <w:pPr>
              <w:widowControl/>
              <w:adjustRightInd w:val="0"/>
              <w:snapToGrid w:val="0"/>
              <w:jc w:val="center"/>
              <w:rPr>
                <w:sz w:val="20"/>
                <w:szCs w:val="20"/>
              </w:rPr>
            </w:pPr>
          </w:p>
        </w:tc>
        <w:tc>
          <w:tcPr>
            <w:tcW w:w="619" w:type="pct"/>
            <w:vAlign w:val="center"/>
          </w:tcPr>
          <w:p w14:paraId="082C6914" w14:textId="77777777" w:rsidR="00FF5E44" w:rsidRPr="002B65F7" w:rsidRDefault="00FF5E44" w:rsidP="00CE7E90">
            <w:pPr>
              <w:widowControl/>
              <w:adjustRightInd w:val="0"/>
              <w:snapToGrid w:val="0"/>
              <w:jc w:val="center"/>
              <w:rPr>
                <w:sz w:val="20"/>
                <w:szCs w:val="20"/>
              </w:rPr>
            </w:pPr>
          </w:p>
        </w:tc>
        <w:tc>
          <w:tcPr>
            <w:tcW w:w="584" w:type="pct"/>
            <w:vAlign w:val="center"/>
          </w:tcPr>
          <w:p w14:paraId="2AC7E5C1" w14:textId="77777777" w:rsidR="00FF5E44" w:rsidRPr="002B65F7" w:rsidRDefault="00FF5E44" w:rsidP="00CE7E90">
            <w:pPr>
              <w:widowControl/>
              <w:adjustRightInd w:val="0"/>
              <w:snapToGrid w:val="0"/>
              <w:jc w:val="center"/>
              <w:rPr>
                <w:sz w:val="20"/>
                <w:szCs w:val="20"/>
              </w:rPr>
            </w:pPr>
          </w:p>
        </w:tc>
      </w:tr>
      <w:tr w:rsidR="00FF5E44" w:rsidRPr="002B65F7" w14:paraId="4BD8422F" w14:textId="77777777" w:rsidTr="00CE7E90">
        <w:trPr>
          <w:cantSplit/>
          <w:trHeight w:val="460"/>
        </w:trPr>
        <w:tc>
          <w:tcPr>
            <w:tcW w:w="1006" w:type="pct"/>
            <w:vAlign w:val="center"/>
          </w:tcPr>
          <w:p w14:paraId="3135909C" w14:textId="77777777" w:rsidR="00FF5E44" w:rsidRPr="002B65F7" w:rsidRDefault="00FF5E44" w:rsidP="00CE7E90">
            <w:pPr>
              <w:widowControl/>
              <w:adjustRightInd w:val="0"/>
              <w:snapToGrid w:val="0"/>
              <w:rPr>
                <w:b/>
                <w:bCs/>
                <w:sz w:val="20"/>
                <w:szCs w:val="20"/>
              </w:rPr>
            </w:pPr>
            <w:r w:rsidRPr="002B65F7">
              <w:rPr>
                <w:b/>
                <w:bCs/>
                <w:sz w:val="20"/>
                <w:szCs w:val="20"/>
              </w:rPr>
              <w:t>Nombre de patients ≤ 100 kg</w:t>
            </w:r>
          </w:p>
        </w:tc>
        <w:tc>
          <w:tcPr>
            <w:tcW w:w="730" w:type="pct"/>
            <w:vAlign w:val="center"/>
          </w:tcPr>
          <w:p w14:paraId="6EF9783A" w14:textId="77777777" w:rsidR="00FF5E44" w:rsidRPr="002B65F7" w:rsidRDefault="00FF5E44" w:rsidP="00CE7E90">
            <w:pPr>
              <w:widowControl/>
              <w:adjustRightInd w:val="0"/>
              <w:snapToGrid w:val="0"/>
              <w:jc w:val="center"/>
              <w:rPr>
                <w:sz w:val="20"/>
                <w:szCs w:val="20"/>
              </w:rPr>
            </w:pPr>
            <w:r w:rsidRPr="002B65F7">
              <w:rPr>
                <w:sz w:val="20"/>
                <w:szCs w:val="20"/>
              </w:rPr>
              <w:t>154</w:t>
            </w:r>
          </w:p>
        </w:tc>
        <w:tc>
          <w:tcPr>
            <w:tcW w:w="687" w:type="pct"/>
            <w:vAlign w:val="center"/>
          </w:tcPr>
          <w:p w14:paraId="738634D0" w14:textId="77777777" w:rsidR="00FF5E44" w:rsidRPr="002B65F7" w:rsidRDefault="00FF5E44" w:rsidP="00CE7E90">
            <w:pPr>
              <w:widowControl/>
              <w:adjustRightInd w:val="0"/>
              <w:snapToGrid w:val="0"/>
              <w:jc w:val="center"/>
              <w:rPr>
                <w:sz w:val="20"/>
                <w:szCs w:val="20"/>
              </w:rPr>
            </w:pPr>
            <w:r w:rsidRPr="002B65F7">
              <w:rPr>
                <w:sz w:val="20"/>
                <w:szCs w:val="20"/>
              </w:rPr>
              <w:t>153</w:t>
            </w:r>
          </w:p>
        </w:tc>
        <w:tc>
          <w:tcPr>
            <w:tcW w:w="687" w:type="pct"/>
            <w:vAlign w:val="center"/>
          </w:tcPr>
          <w:p w14:paraId="7EA5178E" w14:textId="77777777" w:rsidR="00FF5E44" w:rsidRPr="002B65F7" w:rsidRDefault="00FF5E44" w:rsidP="00CE7E90">
            <w:pPr>
              <w:widowControl/>
              <w:adjustRightInd w:val="0"/>
              <w:snapToGrid w:val="0"/>
              <w:jc w:val="center"/>
              <w:rPr>
                <w:sz w:val="20"/>
                <w:szCs w:val="20"/>
              </w:rPr>
            </w:pPr>
            <w:r w:rsidRPr="002B65F7">
              <w:rPr>
                <w:sz w:val="20"/>
                <w:szCs w:val="20"/>
              </w:rPr>
              <w:t>154</w:t>
            </w:r>
          </w:p>
        </w:tc>
        <w:tc>
          <w:tcPr>
            <w:tcW w:w="687" w:type="pct"/>
            <w:vAlign w:val="center"/>
          </w:tcPr>
          <w:p w14:paraId="1E859681" w14:textId="77777777" w:rsidR="00FF5E44" w:rsidRPr="002B65F7" w:rsidRDefault="00FF5E44" w:rsidP="00CE7E90">
            <w:pPr>
              <w:widowControl/>
              <w:adjustRightInd w:val="0"/>
              <w:snapToGrid w:val="0"/>
              <w:jc w:val="center"/>
              <w:rPr>
                <w:sz w:val="20"/>
                <w:szCs w:val="20"/>
              </w:rPr>
            </w:pPr>
            <w:r w:rsidRPr="002B65F7">
              <w:rPr>
                <w:sz w:val="20"/>
                <w:szCs w:val="20"/>
              </w:rPr>
              <w:t>74</w:t>
            </w:r>
          </w:p>
        </w:tc>
        <w:tc>
          <w:tcPr>
            <w:tcW w:w="619" w:type="pct"/>
            <w:vAlign w:val="center"/>
          </w:tcPr>
          <w:p w14:paraId="05EB8658" w14:textId="77777777" w:rsidR="00FF5E44" w:rsidRPr="002B65F7" w:rsidRDefault="00FF5E44" w:rsidP="00CE7E90">
            <w:pPr>
              <w:widowControl/>
              <w:adjustRightInd w:val="0"/>
              <w:snapToGrid w:val="0"/>
              <w:jc w:val="center"/>
              <w:rPr>
                <w:sz w:val="20"/>
                <w:szCs w:val="20"/>
              </w:rPr>
            </w:pPr>
            <w:r w:rsidRPr="002B65F7">
              <w:rPr>
                <w:sz w:val="20"/>
                <w:szCs w:val="20"/>
              </w:rPr>
              <w:t>74</w:t>
            </w:r>
          </w:p>
        </w:tc>
        <w:tc>
          <w:tcPr>
            <w:tcW w:w="584" w:type="pct"/>
            <w:vAlign w:val="center"/>
          </w:tcPr>
          <w:p w14:paraId="378D8947" w14:textId="77777777" w:rsidR="00FF5E44" w:rsidRPr="002B65F7" w:rsidRDefault="00FF5E44" w:rsidP="00CE7E90">
            <w:pPr>
              <w:widowControl/>
              <w:adjustRightInd w:val="0"/>
              <w:snapToGrid w:val="0"/>
              <w:jc w:val="center"/>
              <w:rPr>
                <w:sz w:val="20"/>
                <w:szCs w:val="20"/>
              </w:rPr>
            </w:pPr>
            <w:r w:rsidRPr="002B65F7">
              <w:rPr>
                <w:sz w:val="20"/>
                <w:szCs w:val="20"/>
              </w:rPr>
              <w:t>73</w:t>
            </w:r>
          </w:p>
        </w:tc>
      </w:tr>
      <w:tr w:rsidR="00FF5E44" w:rsidRPr="002B65F7" w14:paraId="2F9642ED" w14:textId="77777777" w:rsidTr="00CE7E90">
        <w:trPr>
          <w:cantSplit/>
          <w:trHeight w:val="457"/>
        </w:trPr>
        <w:tc>
          <w:tcPr>
            <w:tcW w:w="1006" w:type="pct"/>
            <w:vAlign w:val="center"/>
          </w:tcPr>
          <w:p w14:paraId="426FD34D" w14:textId="77777777" w:rsidR="00FF5E44" w:rsidRPr="002B65F7" w:rsidRDefault="00FF5E44" w:rsidP="00CE7E90">
            <w:pPr>
              <w:widowControl/>
              <w:adjustRightInd w:val="0"/>
              <w:snapToGrid w:val="0"/>
              <w:rPr>
                <w:sz w:val="20"/>
                <w:szCs w:val="20"/>
              </w:rPr>
            </w:pPr>
            <w:r w:rsidRPr="002B65F7">
              <w:rPr>
                <w:sz w:val="20"/>
                <w:szCs w:val="20"/>
              </w:rPr>
              <w:t>Réponse</w:t>
            </w:r>
          </w:p>
          <w:p w14:paraId="5709FCB9" w14:textId="77777777" w:rsidR="00FF5E44" w:rsidRPr="002B65F7" w:rsidRDefault="00FF5E44" w:rsidP="00CE7E90">
            <w:pPr>
              <w:widowControl/>
              <w:adjustRightInd w:val="0"/>
              <w:snapToGrid w:val="0"/>
              <w:rPr>
                <w:sz w:val="20"/>
                <w:szCs w:val="20"/>
              </w:rPr>
            </w:pPr>
            <w:r w:rsidRPr="002B65F7">
              <w:rPr>
                <w:sz w:val="20"/>
                <w:szCs w:val="20"/>
              </w:rPr>
              <w:t>ACR 20, N (%)</w:t>
            </w:r>
          </w:p>
        </w:tc>
        <w:tc>
          <w:tcPr>
            <w:tcW w:w="730" w:type="pct"/>
            <w:vAlign w:val="center"/>
          </w:tcPr>
          <w:p w14:paraId="3531378C" w14:textId="77777777" w:rsidR="00FF5E44" w:rsidRPr="002B65F7" w:rsidRDefault="00FF5E44" w:rsidP="00CE7E90">
            <w:pPr>
              <w:widowControl/>
              <w:adjustRightInd w:val="0"/>
              <w:snapToGrid w:val="0"/>
              <w:jc w:val="center"/>
              <w:rPr>
                <w:sz w:val="20"/>
                <w:szCs w:val="20"/>
              </w:rPr>
            </w:pPr>
            <w:r w:rsidRPr="002B65F7">
              <w:rPr>
                <w:sz w:val="20"/>
                <w:szCs w:val="20"/>
              </w:rPr>
              <w:t>39 (25%)</w:t>
            </w:r>
          </w:p>
        </w:tc>
        <w:tc>
          <w:tcPr>
            <w:tcW w:w="687" w:type="pct"/>
            <w:vAlign w:val="center"/>
          </w:tcPr>
          <w:p w14:paraId="3C2CD6BE" w14:textId="77777777" w:rsidR="00FF5E44" w:rsidRPr="002B65F7" w:rsidRDefault="00FF5E44" w:rsidP="00CE7E90">
            <w:pPr>
              <w:widowControl/>
              <w:adjustRightInd w:val="0"/>
              <w:snapToGrid w:val="0"/>
              <w:jc w:val="center"/>
              <w:rPr>
                <w:sz w:val="20"/>
                <w:szCs w:val="20"/>
              </w:rPr>
            </w:pPr>
            <w:r w:rsidRPr="002B65F7">
              <w:rPr>
                <w:sz w:val="20"/>
                <w:szCs w:val="20"/>
              </w:rPr>
              <w:t>67 (44%)</w:t>
            </w:r>
          </w:p>
        </w:tc>
        <w:tc>
          <w:tcPr>
            <w:tcW w:w="687" w:type="pct"/>
            <w:vAlign w:val="center"/>
          </w:tcPr>
          <w:p w14:paraId="1F370B8B" w14:textId="77777777" w:rsidR="00FF5E44" w:rsidRPr="002B65F7" w:rsidRDefault="00FF5E44" w:rsidP="00CE7E90">
            <w:pPr>
              <w:widowControl/>
              <w:adjustRightInd w:val="0"/>
              <w:snapToGrid w:val="0"/>
              <w:jc w:val="center"/>
              <w:rPr>
                <w:sz w:val="20"/>
                <w:szCs w:val="20"/>
              </w:rPr>
            </w:pPr>
            <w:r w:rsidRPr="002B65F7">
              <w:rPr>
                <w:sz w:val="20"/>
                <w:szCs w:val="20"/>
              </w:rPr>
              <w:t>78 (51%)</w:t>
            </w:r>
          </w:p>
        </w:tc>
        <w:tc>
          <w:tcPr>
            <w:tcW w:w="687" w:type="pct"/>
            <w:vAlign w:val="center"/>
          </w:tcPr>
          <w:p w14:paraId="1DC2A924" w14:textId="77777777" w:rsidR="00FF5E44" w:rsidRPr="002B65F7" w:rsidRDefault="00FF5E44" w:rsidP="00CE7E90">
            <w:pPr>
              <w:widowControl/>
              <w:adjustRightInd w:val="0"/>
              <w:snapToGrid w:val="0"/>
              <w:jc w:val="center"/>
              <w:rPr>
                <w:sz w:val="20"/>
                <w:szCs w:val="20"/>
              </w:rPr>
            </w:pPr>
            <w:r w:rsidRPr="002B65F7">
              <w:rPr>
                <w:sz w:val="20"/>
                <w:szCs w:val="20"/>
              </w:rPr>
              <w:t>17 (23%)</w:t>
            </w:r>
          </w:p>
        </w:tc>
        <w:tc>
          <w:tcPr>
            <w:tcW w:w="619" w:type="pct"/>
            <w:vAlign w:val="center"/>
          </w:tcPr>
          <w:p w14:paraId="4FDF9528" w14:textId="77777777" w:rsidR="00FF5E44" w:rsidRPr="002B65F7" w:rsidRDefault="00FF5E44" w:rsidP="00CE7E90">
            <w:pPr>
              <w:widowControl/>
              <w:adjustRightInd w:val="0"/>
              <w:snapToGrid w:val="0"/>
              <w:jc w:val="center"/>
              <w:rPr>
                <w:sz w:val="20"/>
                <w:szCs w:val="20"/>
              </w:rPr>
            </w:pPr>
            <w:r w:rsidRPr="002B65F7">
              <w:rPr>
                <w:sz w:val="20"/>
                <w:szCs w:val="20"/>
              </w:rPr>
              <w:t>32 (43%)</w:t>
            </w:r>
          </w:p>
        </w:tc>
        <w:tc>
          <w:tcPr>
            <w:tcW w:w="584" w:type="pct"/>
            <w:vAlign w:val="center"/>
          </w:tcPr>
          <w:p w14:paraId="4F69F985" w14:textId="77777777" w:rsidR="00FF5E44" w:rsidRPr="002B65F7" w:rsidRDefault="00FF5E44" w:rsidP="00CE7E90">
            <w:pPr>
              <w:widowControl/>
              <w:adjustRightInd w:val="0"/>
              <w:snapToGrid w:val="0"/>
              <w:jc w:val="center"/>
              <w:rPr>
                <w:sz w:val="20"/>
                <w:szCs w:val="20"/>
              </w:rPr>
            </w:pPr>
            <w:r w:rsidRPr="002B65F7">
              <w:rPr>
                <w:sz w:val="20"/>
                <w:szCs w:val="20"/>
              </w:rPr>
              <w:t>34 (47%)</w:t>
            </w:r>
          </w:p>
        </w:tc>
      </w:tr>
      <w:tr w:rsidR="00FF5E44" w:rsidRPr="002B65F7" w14:paraId="0DFA1904" w14:textId="77777777" w:rsidTr="00CE7E90">
        <w:trPr>
          <w:cantSplit/>
          <w:trHeight w:val="460"/>
        </w:trPr>
        <w:tc>
          <w:tcPr>
            <w:tcW w:w="1006" w:type="pct"/>
            <w:vAlign w:val="center"/>
          </w:tcPr>
          <w:p w14:paraId="32924F3F" w14:textId="77777777" w:rsidR="00FF5E44" w:rsidRPr="002B65F7" w:rsidRDefault="00FF5E44" w:rsidP="00CE7E90">
            <w:pPr>
              <w:widowControl/>
              <w:adjustRightInd w:val="0"/>
              <w:snapToGrid w:val="0"/>
              <w:rPr>
                <w:sz w:val="20"/>
                <w:szCs w:val="20"/>
              </w:rPr>
            </w:pPr>
            <w:r w:rsidRPr="002B65F7">
              <w:rPr>
                <w:sz w:val="20"/>
                <w:szCs w:val="20"/>
              </w:rPr>
              <w:t>Nombre de patients avec SCA ≥ 3%</w:t>
            </w:r>
            <w:r w:rsidRPr="002B65F7">
              <w:rPr>
                <w:sz w:val="20"/>
                <w:szCs w:val="20"/>
                <w:vertAlign w:val="superscript"/>
              </w:rPr>
              <w:t>d</w:t>
            </w:r>
          </w:p>
        </w:tc>
        <w:tc>
          <w:tcPr>
            <w:tcW w:w="730" w:type="pct"/>
            <w:vAlign w:val="center"/>
          </w:tcPr>
          <w:p w14:paraId="31F6F2DD" w14:textId="77777777" w:rsidR="00FF5E44" w:rsidRPr="002B65F7" w:rsidRDefault="00FF5E44" w:rsidP="00CE7E90">
            <w:pPr>
              <w:widowControl/>
              <w:adjustRightInd w:val="0"/>
              <w:snapToGrid w:val="0"/>
              <w:jc w:val="center"/>
              <w:rPr>
                <w:sz w:val="20"/>
                <w:szCs w:val="20"/>
              </w:rPr>
            </w:pPr>
            <w:r w:rsidRPr="002B65F7">
              <w:rPr>
                <w:sz w:val="20"/>
                <w:szCs w:val="20"/>
              </w:rPr>
              <w:t>105</w:t>
            </w:r>
          </w:p>
        </w:tc>
        <w:tc>
          <w:tcPr>
            <w:tcW w:w="687" w:type="pct"/>
            <w:vAlign w:val="center"/>
          </w:tcPr>
          <w:p w14:paraId="69CFCCFE" w14:textId="77777777" w:rsidR="00FF5E44" w:rsidRPr="002B65F7" w:rsidRDefault="00FF5E44" w:rsidP="00CE7E90">
            <w:pPr>
              <w:widowControl/>
              <w:adjustRightInd w:val="0"/>
              <w:snapToGrid w:val="0"/>
              <w:jc w:val="center"/>
              <w:rPr>
                <w:sz w:val="20"/>
                <w:szCs w:val="20"/>
              </w:rPr>
            </w:pPr>
            <w:r w:rsidRPr="002B65F7">
              <w:rPr>
                <w:sz w:val="20"/>
                <w:szCs w:val="20"/>
              </w:rPr>
              <w:t>105</w:t>
            </w:r>
          </w:p>
        </w:tc>
        <w:tc>
          <w:tcPr>
            <w:tcW w:w="687" w:type="pct"/>
            <w:vAlign w:val="center"/>
          </w:tcPr>
          <w:p w14:paraId="63F81BC4" w14:textId="77777777" w:rsidR="00FF5E44" w:rsidRPr="002B65F7" w:rsidRDefault="00FF5E44" w:rsidP="00CE7E90">
            <w:pPr>
              <w:widowControl/>
              <w:adjustRightInd w:val="0"/>
              <w:snapToGrid w:val="0"/>
              <w:jc w:val="center"/>
              <w:rPr>
                <w:sz w:val="20"/>
                <w:szCs w:val="20"/>
              </w:rPr>
            </w:pPr>
            <w:r w:rsidRPr="002B65F7">
              <w:rPr>
                <w:sz w:val="20"/>
                <w:szCs w:val="20"/>
              </w:rPr>
              <w:t>111</w:t>
            </w:r>
          </w:p>
        </w:tc>
        <w:tc>
          <w:tcPr>
            <w:tcW w:w="687" w:type="pct"/>
            <w:vAlign w:val="center"/>
          </w:tcPr>
          <w:p w14:paraId="404E12D5" w14:textId="77777777" w:rsidR="00FF5E44" w:rsidRPr="002B65F7" w:rsidRDefault="00FF5E44" w:rsidP="00CE7E90">
            <w:pPr>
              <w:widowControl/>
              <w:adjustRightInd w:val="0"/>
              <w:snapToGrid w:val="0"/>
              <w:jc w:val="center"/>
              <w:rPr>
                <w:sz w:val="20"/>
                <w:szCs w:val="20"/>
              </w:rPr>
            </w:pPr>
            <w:r w:rsidRPr="002B65F7">
              <w:rPr>
                <w:sz w:val="20"/>
                <w:szCs w:val="20"/>
              </w:rPr>
              <w:t>54</w:t>
            </w:r>
          </w:p>
        </w:tc>
        <w:tc>
          <w:tcPr>
            <w:tcW w:w="619" w:type="pct"/>
            <w:vAlign w:val="center"/>
          </w:tcPr>
          <w:p w14:paraId="0E354D0C" w14:textId="77777777" w:rsidR="00FF5E44" w:rsidRPr="002B65F7" w:rsidRDefault="00FF5E44" w:rsidP="00CE7E90">
            <w:pPr>
              <w:widowControl/>
              <w:adjustRightInd w:val="0"/>
              <w:snapToGrid w:val="0"/>
              <w:jc w:val="center"/>
              <w:rPr>
                <w:sz w:val="20"/>
                <w:szCs w:val="20"/>
              </w:rPr>
            </w:pPr>
            <w:r w:rsidRPr="002B65F7">
              <w:rPr>
                <w:sz w:val="20"/>
                <w:szCs w:val="20"/>
              </w:rPr>
              <w:t>58</w:t>
            </w:r>
          </w:p>
        </w:tc>
        <w:tc>
          <w:tcPr>
            <w:tcW w:w="584" w:type="pct"/>
            <w:vAlign w:val="center"/>
          </w:tcPr>
          <w:p w14:paraId="2DD98CC4" w14:textId="77777777" w:rsidR="00FF5E44" w:rsidRPr="002B65F7" w:rsidRDefault="00FF5E44" w:rsidP="00CE7E90">
            <w:pPr>
              <w:widowControl/>
              <w:adjustRightInd w:val="0"/>
              <w:snapToGrid w:val="0"/>
              <w:jc w:val="center"/>
              <w:rPr>
                <w:sz w:val="20"/>
                <w:szCs w:val="20"/>
              </w:rPr>
            </w:pPr>
            <w:r w:rsidRPr="002B65F7">
              <w:rPr>
                <w:sz w:val="20"/>
                <w:szCs w:val="20"/>
              </w:rPr>
              <w:t>57</w:t>
            </w:r>
          </w:p>
        </w:tc>
      </w:tr>
      <w:tr w:rsidR="00FF5E44" w:rsidRPr="002B65F7" w14:paraId="0CF3783F" w14:textId="77777777" w:rsidTr="00CE7E90">
        <w:trPr>
          <w:cantSplit/>
          <w:trHeight w:val="460"/>
        </w:trPr>
        <w:tc>
          <w:tcPr>
            <w:tcW w:w="1006" w:type="pct"/>
            <w:vAlign w:val="center"/>
          </w:tcPr>
          <w:p w14:paraId="4E9E71D0" w14:textId="77777777" w:rsidR="00FF5E44" w:rsidRPr="002B65F7" w:rsidRDefault="00FF5E44" w:rsidP="00CE7E90">
            <w:pPr>
              <w:widowControl/>
              <w:adjustRightInd w:val="0"/>
              <w:snapToGrid w:val="0"/>
              <w:rPr>
                <w:sz w:val="20"/>
                <w:szCs w:val="20"/>
              </w:rPr>
            </w:pPr>
            <w:r w:rsidRPr="002B65F7">
              <w:rPr>
                <w:sz w:val="20"/>
                <w:szCs w:val="20"/>
              </w:rPr>
              <w:t>Réponse</w:t>
            </w:r>
          </w:p>
          <w:p w14:paraId="2F811DB8" w14:textId="77777777" w:rsidR="00FF5E44" w:rsidRPr="002B65F7" w:rsidRDefault="00FF5E44" w:rsidP="00CE7E90">
            <w:pPr>
              <w:widowControl/>
              <w:adjustRightInd w:val="0"/>
              <w:snapToGrid w:val="0"/>
              <w:rPr>
                <w:sz w:val="20"/>
                <w:szCs w:val="20"/>
              </w:rPr>
            </w:pPr>
            <w:r w:rsidRPr="002B65F7">
              <w:rPr>
                <w:sz w:val="20"/>
                <w:szCs w:val="20"/>
              </w:rPr>
              <w:t>PASI 75, N (%)</w:t>
            </w:r>
          </w:p>
        </w:tc>
        <w:tc>
          <w:tcPr>
            <w:tcW w:w="730" w:type="pct"/>
            <w:vAlign w:val="center"/>
          </w:tcPr>
          <w:p w14:paraId="075DD791" w14:textId="77777777" w:rsidR="00FF5E44" w:rsidRPr="002B65F7" w:rsidRDefault="00FF5E44" w:rsidP="00CE7E90">
            <w:pPr>
              <w:widowControl/>
              <w:adjustRightInd w:val="0"/>
              <w:snapToGrid w:val="0"/>
              <w:jc w:val="center"/>
              <w:rPr>
                <w:sz w:val="20"/>
                <w:szCs w:val="20"/>
              </w:rPr>
            </w:pPr>
            <w:r w:rsidRPr="002B65F7">
              <w:rPr>
                <w:sz w:val="20"/>
                <w:szCs w:val="20"/>
              </w:rPr>
              <w:t>14 (13%)</w:t>
            </w:r>
          </w:p>
        </w:tc>
        <w:tc>
          <w:tcPr>
            <w:tcW w:w="687" w:type="pct"/>
            <w:vAlign w:val="center"/>
          </w:tcPr>
          <w:p w14:paraId="3623803C" w14:textId="77777777" w:rsidR="00FF5E44" w:rsidRPr="002B65F7" w:rsidRDefault="00FF5E44" w:rsidP="00CE7E90">
            <w:pPr>
              <w:widowControl/>
              <w:adjustRightInd w:val="0"/>
              <w:snapToGrid w:val="0"/>
              <w:jc w:val="center"/>
              <w:rPr>
                <w:sz w:val="20"/>
                <w:szCs w:val="20"/>
              </w:rPr>
            </w:pPr>
            <w:r w:rsidRPr="002B65F7">
              <w:rPr>
                <w:sz w:val="20"/>
                <w:szCs w:val="20"/>
              </w:rPr>
              <w:t>64 (61%)</w:t>
            </w:r>
          </w:p>
        </w:tc>
        <w:tc>
          <w:tcPr>
            <w:tcW w:w="687" w:type="pct"/>
            <w:vAlign w:val="center"/>
          </w:tcPr>
          <w:p w14:paraId="0AFB5E3C" w14:textId="77777777" w:rsidR="00FF5E44" w:rsidRPr="002B65F7" w:rsidRDefault="00FF5E44" w:rsidP="00CE7E90">
            <w:pPr>
              <w:widowControl/>
              <w:adjustRightInd w:val="0"/>
              <w:snapToGrid w:val="0"/>
              <w:jc w:val="center"/>
              <w:rPr>
                <w:sz w:val="20"/>
                <w:szCs w:val="20"/>
              </w:rPr>
            </w:pPr>
            <w:r w:rsidRPr="002B65F7">
              <w:rPr>
                <w:sz w:val="20"/>
                <w:szCs w:val="20"/>
              </w:rPr>
              <w:t>73 (66%)</w:t>
            </w:r>
          </w:p>
        </w:tc>
        <w:tc>
          <w:tcPr>
            <w:tcW w:w="687" w:type="pct"/>
            <w:vAlign w:val="center"/>
          </w:tcPr>
          <w:p w14:paraId="685ACE81" w14:textId="77777777" w:rsidR="00FF5E44" w:rsidRPr="002B65F7" w:rsidRDefault="00FF5E44" w:rsidP="00CE7E90">
            <w:pPr>
              <w:widowControl/>
              <w:adjustRightInd w:val="0"/>
              <w:snapToGrid w:val="0"/>
              <w:jc w:val="center"/>
              <w:rPr>
                <w:sz w:val="20"/>
                <w:szCs w:val="20"/>
              </w:rPr>
            </w:pPr>
            <w:r w:rsidRPr="002B65F7">
              <w:rPr>
                <w:sz w:val="20"/>
                <w:szCs w:val="20"/>
              </w:rPr>
              <w:t>4 (7%)</w:t>
            </w:r>
          </w:p>
        </w:tc>
        <w:tc>
          <w:tcPr>
            <w:tcW w:w="619" w:type="pct"/>
            <w:vAlign w:val="center"/>
          </w:tcPr>
          <w:p w14:paraId="7EB1193B" w14:textId="77777777" w:rsidR="00FF5E44" w:rsidRPr="002B65F7" w:rsidRDefault="00FF5E44" w:rsidP="00CE7E90">
            <w:pPr>
              <w:widowControl/>
              <w:adjustRightInd w:val="0"/>
              <w:snapToGrid w:val="0"/>
              <w:jc w:val="center"/>
              <w:rPr>
                <w:sz w:val="20"/>
                <w:szCs w:val="20"/>
              </w:rPr>
            </w:pPr>
            <w:r w:rsidRPr="002B65F7">
              <w:rPr>
                <w:sz w:val="20"/>
                <w:szCs w:val="20"/>
              </w:rPr>
              <w:t>31 (53%)</w:t>
            </w:r>
          </w:p>
        </w:tc>
        <w:tc>
          <w:tcPr>
            <w:tcW w:w="584" w:type="pct"/>
            <w:vAlign w:val="center"/>
          </w:tcPr>
          <w:p w14:paraId="6B21DBA0" w14:textId="77777777" w:rsidR="00FF5E44" w:rsidRPr="002B65F7" w:rsidRDefault="00FF5E44" w:rsidP="00CE7E90">
            <w:pPr>
              <w:widowControl/>
              <w:adjustRightInd w:val="0"/>
              <w:snapToGrid w:val="0"/>
              <w:jc w:val="center"/>
              <w:rPr>
                <w:sz w:val="20"/>
                <w:szCs w:val="20"/>
              </w:rPr>
            </w:pPr>
            <w:r w:rsidRPr="002B65F7">
              <w:rPr>
                <w:sz w:val="20"/>
                <w:szCs w:val="20"/>
              </w:rPr>
              <w:t>32 (56%)</w:t>
            </w:r>
          </w:p>
        </w:tc>
      </w:tr>
      <w:tr w:rsidR="00FF5E44" w:rsidRPr="002B65F7" w14:paraId="17459562" w14:textId="77777777" w:rsidTr="00CE7E90">
        <w:trPr>
          <w:cantSplit/>
          <w:trHeight w:val="460"/>
        </w:trPr>
        <w:tc>
          <w:tcPr>
            <w:tcW w:w="1006" w:type="pct"/>
            <w:vAlign w:val="center"/>
          </w:tcPr>
          <w:p w14:paraId="7358CABF" w14:textId="77777777" w:rsidR="00FF5E44" w:rsidRPr="002B65F7" w:rsidRDefault="00FF5E44" w:rsidP="00CE7E90">
            <w:pPr>
              <w:widowControl/>
              <w:adjustRightInd w:val="0"/>
              <w:snapToGrid w:val="0"/>
              <w:rPr>
                <w:sz w:val="20"/>
                <w:szCs w:val="20"/>
              </w:rPr>
            </w:pPr>
            <w:r w:rsidRPr="002B65F7">
              <w:rPr>
                <w:sz w:val="20"/>
                <w:szCs w:val="20"/>
              </w:rPr>
              <w:t>Nombre de patients &gt; 100 kg</w:t>
            </w:r>
          </w:p>
        </w:tc>
        <w:tc>
          <w:tcPr>
            <w:tcW w:w="730" w:type="pct"/>
            <w:vAlign w:val="center"/>
          </w:tcPr>
          <w:p w14:paraId="3066F4A1" w14:textId="77777777" w:rsidR="00FF5E44" w:rsidRPr="002B65F7" w:rsidRDefault="00FF5E44" w:rsidP="00CE7E90">
            <w:pPr>
              <w:widowControl/>
              <w:adjustRightInd w:val="0"/>
              <w:snapToGrid w:val="0"/>
              <w:jc w:val="center"/>
              <w:rPr>
                <w:sz w:val="20"/>
                <w:szCs w:val="20"/>
              </w:rPr>
            </w:pPr>
            <w:r w:rsidRPr="002B65F7">
              <w:rPr>
                <w:sz w:val="20"/>
                <w:szCs w:val="20"/>
              </w:rPr>
              <w:t>52</w:t>
            </w:r>
          </w:p>
        </w:tc>
        <w:tc>
          <w:tcPr>
            <w:tcW w:w="687" w:type="pct"/>
            <w:vAlign w:val="center"/>
          </w:tcPr>
          <w:p w14:paraId="78C3860C" w14:textId="77777777" w:rsidR="00FF5E44" w:rsidRPr="002B65F7" w:rsidRDefault="00FF5E44" w:rsidP="00CE7E90">
            <w:pPr>
              <w:widowControl/>
              <w:adjustRightInd w:val="0"/>
              <w:snapToGrid w:val="0"/>
              <w:jc w:val="center"/>
              <w:rPr>
                <w:sz w:val="20"/>
                <w:szCs w:val="20"/>
              </w:rPr>
            </w:pPr>
            <w:r w:rsidRPr="002B65F7">
              <w:rPr>
                <w:sz w:val="20"/>
                <w:szCs w:val="20"/>
              </w:rPr>
              <w:t>52</w:t>
            </w:r>
          </w:p>
        </w:tc>
        <w:tc>
          <w:tcPr>
            <w:tcW w:w="687" w:type="pct"/>
            <w:vAlign w:val="center"/>
          </w:tcPr>
          <w:p w14:paraId="7FFA7816" w14:textId="77777777" w:rsidR="00FF5E44" w:rsidRPr="002B65F7" w:rsidRDefault="00FF5E44" w:rsidP="00CE7E90">
            <w:pPr>
              <w:widowControl/>
              <w:adjustRightInd w:val="0"/>
              <w:snapToGrid w:val="0"/>
              <w:jc w:val="center"/>
              <w:rPr>
                <w:sz w:val="20"/>
                <w:szCs w:val="20"/>
              </w:rPr>
            </w:pPr>
            <w:r w:rsidRPr="002B65F7">
              <w:rPr>
                <w:sz w:val="20"/>
                <w:szCs w:val="20"/>
              </w:rPr>
              <w:t>50</w:t>
            </w:r>
          </w:p>
        </w:tc>
        <w:tc>
          <w:tcPr>
            <w:tcW w:w="687" w:type="pct"/>
            <w:vAlign w:val="center"/>
          </w:tcPr>
          <w:p w14:paraId="46DDDC67" w14:textId="77777777" w:rsidR="00FF5E44" w:rsidRPr="002B65F7" w:rsidRDefault="00FF5E44" w:rsidP="00CE7E90">
            <w:pPr>
              <w:widowControl/>
              <w:adjustRightInd w:val="0"/>
              <w:snapToGrid w:val="0"/>
              <w:jc w:val="center"/>
              <w:rPr>
                <w:sz w:val="20"/>
                <w:szCs w:val="20"/>
              </w:rPr>
            </w:pPr>
            <w:r w:rsidRPr="002B65F7">
              <w:rPr>
                <w:sz w:val="20"/>
                <w:szCs w:val="20"/>
              </w:rPr>
              <w:t>30</w:t>
            </w:r>
          </w:p>
        </w:tc>
        <w:tc>
          <w:tcPr>
            <w:tcW w:w="619" w:type="pct"/>
            <w:vAlign w:val="center"/>
          </w:tcPr>
          <w:p w14:paraId="485D315C" w14:textId="77777777" w:rsidR="00FF5E44" w:rsidRPr="002B65F7" w:rsidRDefault="00FF5E44" w:rsidP="00CE7E90">
            <w:pPr>
              <w:widowControl/>
              <w:adjustRightInd w:val="0"/>
              <w:snapToGrid w:val="0"/>
              <w:jc w:val="center"/>
              <w:rPr>
                <w:sz w:val="20"/>
                <w:szCs w:val="20"/>
              </w:rPr>
            </w:pPr>
            <w:r w:rsidRPr="002B65F7">
              <w:rPr>
                <w:sz w:val="20"/>
                <w:szCs w:val="20"/>
              </w:rPr>
              <w:t>29</w:t>
            </w:r>
          </w:p>
        </w:tc>
        <w:tc>
          <w:tcPr>
            <w:tcW w:w="584" w:type="pct"/>
            <w:vAlign w:val="center"/>
          </w:tcPr>
          <w:p w14:paraId="3A3B7D60" w14:textId="77777777" w:rsidR="00FF5E44" w:rsidRPr="002B65F7" w:rsidRDefault="00FF5E44" w:rsidP="00CE7E90">
            <w:pPr>
              <w:widowControl/>
              <w:adjustRightInd w:val="0"/>
              <w:snapToGrid w:val="0"/>
              <w:jc w:val="center"/>
              <w:rPr>
                <w:sz w:val="20"/>
                <w:szCs w:val="20"/>
              </w:rPr>
            </w:pPr>
            <w:r w:rsidRPr="002B65F7">
              <w:rPr>
                <w:sz w:val="20"/>
                <w:szCs w:val="20"/>
              </w:rPr>
              <w:t>31</w:t>
            </w:r>
          </w:p>
        </w:tc>
      </w:tr>
      <w:tr w:rsidR="00FF5E44" w:rsidRPr="002B65F7" w14:paraId="052F03A8" w14:textId="77777777" w:rsidTr="00CE7E90">
        <w:trPr>
          <w:cantSplit/>
          <w:trHeight w:val="460"/>
        </w:trPr>
        <w:tc>
          <w:tcPr>
            <w:tcW w:w="1006" w:type="pct"/>
            <w:vAlign w:val="center"/>
          </w:tcPr>
          <w:p w14:paraId="63808B58" w14:textId="77777777" w:rsidR="00FF5E44" w:rsidRPr="002B65F7" w:rsidRDefault="00FF5E44" w:rsidP="00CE7E90">
            <w:pPr>
              <w:widowControl/>
              <w:adjustRightInd w:val="0"/>
              <w:snapToGrid w:val="0"/>
              <w:rPr>
                <w:sz w:val="20"/>
                <w:szCs w:val="20"/>
              </w:rPr>
            </w:pPr>
            <w:r w:rsidRPr="002B65F7">
              <w:rPr>
                <w:sz w:val="20"/>
                <w:szCs w:val="20"/>
              </w:rPr>
              <w:t>Réponse</w:t>
            </w:r>
          </w:p>
          <w:p w14:paraId="556E9864" w14:textId="77777777" w:rsidR="00FF5E44" w:rsidRPr="002B65F7" w:rsidRDefault="00FF5E44" w:rsidP="00CE7E90">
            <w:pPr>
              <w:widowControl/>
              <w:adjustRightInd w:val="0"/>
              <w:snapToGrid w:val="0"/>
              <w:rPr>
                <w:sz w:val="20"/>
                <w:szCs w:val="20"/>
              </w:rPr>
            </w:pPr>
            <w:r w:rsidRPr="002B65F7">
              <w:rPr>
                <w:sz w:val="20"/>
                <w:szCs w:val="20"/>
              </w:rPr>
              <w:t>ACR 20, N (%)</w:t>
            </w:r>
          </w:p>
        </w:tc>
        <w:tc>
          <w:tcPr>
            <w:tcW w:w="730" w:type="pct"/>
            <w:vAlign w:val="center"/>
          </w:tcPr>
          <w:p w14:paraId="0ED923F9" w14:textId="77777777" w:rsidR="00FF5E44" w:rsidRPr="002B65F7" w:rsidRDefault="00FF5E44" w:rsidP="00CE7E90">
            <w:pPr>
              <w:widowControl/>
              <w:adjustRightInd w:val="0"/>
              <w:snapToGrid w:val="0"/>
              <w:jc w:val="center"/>
              <w:rPr>
                <w:sz w:val="20"/>
                <w:szCs w:val="20"/>
              </w:rPr>
            </w:pPr>
            <w:r w:rsidRPr="002B65F7">
              <w:rPr>
                <w:sz w:val="20"/>
                <w:szCs w:val="20"/>
              </w:rPr>
              <w:t>8 (15%)</w:t>
            </w:r>
          </w:p>
        </w:tc>
        <w:tc>
          <w:tcPr>
            <w:tcW w:w="687" w:type="pct"/>
            <w:vAlign w:val="center"/>
          </w:tcPr>
          <w:p w14:paraId="3B45D3A9" w14:textId="77777777" w:rsidR="00FF5E44" w:rsidRPr="002B65F7" w:rsidRDefault="00FF5E44" w:rsidP="00CE7E90">
            <w:pPr>
              <w:widowControl/>
              <w:adjustRightInd w:val="0"/>
              <w:snapToGrid w:val="0"/>
              <w:jc w:val="center"/>
              <w:rPr>
                <w:sz w:val="20"/>
                <w:szCs w:val="20"/>
              </w:rPr>
            </w:pPr>
            <w:r w:rsidRPr="002B65F7">
              <w:rPr>
                <w:sz w:val="20"/>
                <w:szCs w:val="20"/>
              </w:rPr>
              <w:t>20 (38%)</w:t>
            </w:r>
          </w:p>
        </w:tc>
        <w:tc>
          <w:tcPr>
            <w:tcW w:w="687" w:type="pct"/>
            <w:vAlign w:val="center"/>
          </w:tcPr>
          <w:p w14:paraId="00D5C9D3" w14:textId="77777777" w:rsidR="00FF5E44" w:rsidRPr="002B65F7" w:rsidRDefault="00FF5E44" w:rsidP="00CE7E90">
            <w:pPr>
              <w:widowControl/>
              <w:adjustRightInd w:val="0"/>
              <w:snapToGrid w:val="0"/>
              <w:jc w:val="center"/>
              <w:rPr>
                <w:sz w:val="20"/>
                <w:szCs w:val="20"/>
              </w:rPr>
            </w:pPr>
            <w:r w:rsidRPr="002B65F7">
              <w:rPr>
                <w:sz w:val="20"/>
                <w:szCs w:val="20"/>
              </w:rPr>
              <w:t>23 (46%)</w:t>
            </w:r>
          </w:p>
        </w:tc>
        <w:tc>
          <w:tcPr>
            <w:tcW w:w="687" w:type="pct"/>
            <w:vAlign w:val="center"/>
          </w:tcPr>
          <w:p w14:paraId="24AC4572" w14:textId="77777777" w:rsidR="00FF5E44" w:rsidRPr="002B65F7" w:rsidRDefault="00FF5E44" w:rsidP="00CE7E90">
            <w:pPr>
              <w:widowControl/>
              <w:adjustRightInd w:val="0"/>
              <w:snapToGrid w:val="0"/>
              <w:jc w:val="center"/>
              <w:rPr>
                <w:sz w:val="20"/>
                <w:szCs w:val="20"/>
              </w:rPr>
            </w:pPr>
            <w:r w:rsidRPr="002B65F7">
              <w:rPr>
                <w:sz w:val="20"/>
                <w:szCs w:val="20"/>
              </w:rPr>
              <w:t>4 (13%)</w:t>
            </w:r>
          </w:p>
        </w:tc>
        <w:tc>
          <w:tcPr>
            <w:tcW w:w="619" w:type="pct"/>
            <w:vAlign w:val="center"/>
          </w:tcPr>
          <w:p w14:paraId="7FF0FD2E" w14:textId="77777777" w:rsidR="00FF5E44" w:rsidRPr="002B65F7" w:rsidRDefault="00FF5E44" w:rsidP="00CE7E90">
            <w:pPr>
              <w:widowControl/>
              <w:adjustRightInd w:val="0"/>
              <w:snapToGrid w:val="0"/>
              <w:jc w:val="center"/>
              <w:rPr>
                <w:sz w:val="20"/>
                <w:szCs w:val="20"/>
              </w:rPr>
            </w:pPr>
            <w:r w:rsidRPr="002B65F7">
              <w:rPr>
                <w:sz w:val="20"/>
                <w:szCs w:val="20"/>
              </w:rPr>
              <w:t>13 (45%)</w:t>
            </w:r>
          </w:p>
        </w:tc>
        <w:tc>
          <w:tcPr>
            <w:tcW w:w="584" w:type="pct"/>
            <w:vAlign w:val="center"/>
          </w:tcPr>
          <w:p w14:paraId="5B2DC016" w14:textId="77777777" w:rsidR="00FF5E44" w:rsidRPr="002B65F7" w:rsidRDefault="00FF5E44" w:rsidP="00CE7E90">
            <w:pPr>
              <w:widowControl/>
              <w:adjustRightInd w:val="0"/>
              <w:snapToGrid w:val="0"/>
              <w:jc w:val="center"/>
              <w:rPr>
                <w:sz w:val="20"/>
                <w:szCs w:val="20"/>
              </w:rPr>
            </w:pPr>
            <w:r w:rsidRPr="002B65F7">
              <w:rPr>
                <w:sz w:val="20"/>
                <w:szCs w:val="20"/>
              </w:rPr>
              <w:t>12 (39%)</w:t>
            </w:r>
          </w:p>
        </w:tc>
      </w:tr>
      <w:tr w:rsidR="00FF5E44" w:rsidRPr="002B65F7" w14:paraId="1D558DD3" w14:textId="77777777" w:rsidTr="00CE7E90">
        <w:trPr>
          <w:cantSplit/>
          <w:trHeight w:val="460"/>
        </w:trPr>
        <w:tc>
          <w:tcPr>
            <w:tcW w:w="1006" w:type="pct"/>
            <w:vAlign w:val="center"/>
          </w:tcPr>
          <w:p w14:paraId="77ABFA93" w14:textId="77777777" w:rsidR="00FF5E44" w:rsidRPr="002B65F7" w:rsidRDefault="00FF5E44" w:rsidP="00CE7E90">
            <w:pPr>
              <w:widowControl/>
              <w:adjustRightInd w:val="0"/>
              <w:snapToGrid w:val="0"/>
              <w:rPr>
                <w:sz w:val="20"/>
                <w:szCs w:val="20"/>
              </w:rPr>
            </w:pPr>
            <w:r w:rsidRPr="002B65F7">
              <w:rPr>
                <w:sz w:val="20"/>
                <w:szCs w:val="20"/>
              </w:rPr>
              <w:t>Nombre de patients avec SCA≥ 3%</w:t>
            </w:r>
            <w:r w:rsidRPr="002B65F7">
              <w:rPr>
                <w:sz w:val="20"/>
                <w:szCs w:val="20"/>
                <w:vertAlign w:val="superscript"/>
              </w:rPr>
              <w:t>d</w:t>
            </w:r>
          </w:p>
        </w:tc>
        <w:tc>
          <w:tcPr>
            <w:tcW w:w="730" w:type="pct"/>
            <w:vAlign w:val="center"/>
          </w:tcPr>
          <w:p w14:paraId="1BB8E299" w14:textId="77777777" w:rsidR="00FF5E44" w:rsidRPr="002B65F7" w:rsidRDefault="00FF5E44" w:rsidP="00CE7E90">
            <w:pPr>
              <w:widowControl/>
              <w:adjustRightInd w:val="0"/>
              <w:snapToGrid w:val="0"/>
              <w:jc w:val="center"/>
              <w:rPr>
                <w:sz w:val="20"/>
                <w:szCs w:val="20"/>
              </w:rPr>
            </w:pPr>
            <w:r w:rsidRPr="002B65F7">
              <w:rPr>
                <w:sz w:val="20"/>
                <w:szCs w:val="20"/>
              </w:rPr>
              <w:t>41</w:t>
            </w:r>
          </w:p>
        </w:tc>
        <w:tc>
          <w:tcPr>
            <w:tcW w:w="687" w:type="pct"/>
            <w:vAlign w:val="center"/>
          </w:tcPr>
          <w:p w14:paraId="1ED9D18A" w14:textId="77777777" w:rsidR="00FF5E44" w:rsidRPr="002B65F7" w:rsidRDefault="00FF5E44" w:rsidP="00CE7E90">
            <w:pPr>
              <w:widowControl/>
              <w:adjustRightInd w:val="0"/>
              <w:snapToGrid w:val="0"/>
              <w:jc w:val="center"/>
              <w:rPr>
                <w:sz w:val="20"/>
                <w:szCs w:val="20"/>
              </w:rPr>
            </w:pPr>
            <w:r w:rsidRPr="002B65F7">
              <w:rPr>
                <w:sz w:val="20"/>
                <w:szCs w:val="20"/>
              </w:rPr>
              <w:t>40</w:t>
            </w:r>
          </w:p>
        </w:tc>
        <w:tc>
          <w:tcPr>
            <w:tcW w:w="687" w:type="pct"/>
            <w:vAlign w:val="center"/>
          </w:tcPr>
          <w:p w14:paraId="25485953" w14:textId="77777777" w:rsidR="00FF5E44" w:rsidRPr="002B65F7" w:rsidRDefault="00FF5E44" w:rsidP="00CE7E90">
            <w:pPr>
              <w:widowControl/>
              <w:adjustRightInd w:val="0"/>
              <w:snapToGrid w:val="0"/>
              <w:jc w:val="center"/>
              <w:rPr>
                <w:sz w:val="20"/>
                <w:szCs w:val="20"/>
              </w:rPr>
            </w:pPr>
            <w:r w:rsidRPr="002B65F7">
              <w:rPr>
                <w:sz w:val="20"/>
                <w:szCs w:val="20"/>
              </w:rPr>
              <w:t>38</w:t>
            </w:r>
          </w:p>
        </w:tc>
        <w:tc>
          <w:tcPr>
            <w:tcW w:w="687" w:type="pct"/>
            <w:vAlign w:val="center"/>
          </w:tcPr>
          <w:p w14:paraId="639795D9" w14:textId="77777777" w:rsidR="00FF5E44" w:rsidRPr="002B65F7" w:rsidRDefault="00FF5E44" w:rsidP="00CE7E90">
            <w:pPr>
              <w:widowControl/>
              <w:adjustRightInd w:val="0"/>
              <w:snapToGrid w:val="0"/>
              <w:jc w:val="center"/>
              <w:rPr>
                <w:sz w:val="20"/>
                <w:szCs w:val="20"/>
              </w:rPr>
            </w:pPr>
            <w:r w:rsidRPr="002B65F7">
              <w:rPr>
                <w:sz w:val="20"/>
                <w:szCs w:val="20"/>
              </w:rPr>
              <w:t>26</w:t>
            </w:r>
          </w:p>
        </w:tc>
        <w:tc>
          <w:tcPr>
            <w:tcW w:w="619" w:type="pct"/>
            <w:vAlign w:val="center"/>
          </w:tcPr>
          <w:p w14:paraId="495C97B9" w14:textId="77777777" w:rsidR="00FF5E44" w:rsidRPr="002B65F7" w:rsidRDefault="00FF5E44" w:rsidP="00CE7E90">
            <w:pPr>
              <w:widowControl/>
              <w:adjustRightInd w:val="0"/>
              <w:snapToGrid w:val="0"/>
              <w:jc w:val="center"/>
              <w:rPr>
                <w:sz w:val="20"/>
                <w:szCs w:val="20"/>
              </w:rPr>
            </w:pPr>
            <w:r w:rsidRPr="002B65F7">
              <w:rPr>
                <w:sz w:val="20"/>
                <w:szCs w:val="20"/>
              </w:rPr>
              <w:t>22</w:t>
            </w:r>
          </w:p>
        </w:tc>
        <w:tc>
          <w:tcPr>
            <w:tcW w:w="584" w:type="pct"/>
            <w:vAlign w:val="center"/>
          </w:tcPr>
          <w:p w14:paraId="003571A6" w14:textId="77777777" w:rsidR="00FF5E44" w:rsidRPr="002B65F7" w:rsidRDefault="00FF5E44" w:rsidP="00CE7E90">
            <w:pPr>
              <w:widowControl/>
              <w:adjustRightInd w:val="0"/>
              <w:snapToGrid w:val="0"/>
              <w:jc w:val="center"/>
              <w:rPr>
                <w:sz w:val="20"/>
                <w:szCs w:val="20"/>
              </w:rPr>
            </w:pPr>
            <w:r w:rsidRPr="002B65F7">
              <w:rPr>
                <w:sz w:val="20"/>
                <w:szCs w:val="20"/>
              </w:rPr>
              <w:t>24</w:t>
            </w:r>
          </w:p>
        </w:tc>
      </w:tr>
      <w:tr w:rsidR="00FF5E44" w:rsidRPr="002B65F7" w14:paraId="0CD89DC5" w14:textId="77777777" w:rsidTr="00CE7E90">
        <w:trPr>
          <w:cantSplit/>
          <w:trHeight w:val="460"/>
        </w:trPr>
        <w:tc>
          <w:tcPr>
            <w:tcW w:w="1006" w:type="pct"/>
            <w:vAlign w:val="center"/>
          </w:tcPr>
          <w:p w14:paraId="762EAB0C" w14:textId="77777777" w:rsidR="00FF5E44" w:rsidRPr="002B65F7" w:rsidRDefault="00FF5E44" w:rsidP="00CE7E90">
            <w:pPr>
              <w:widowControl/>
              <w:adjustRightInd w:val="0"/>
              <w:snapToGrid w:val="0"/>
              <w:rPr>
                <w:sz w:val="20"/>
                <w:szCs w:val="20"/>
              </w:rPr>
            </w:pPr>
            <w:r w:rsidRPr="002B65F7">
              <w:rPr>
                <w:sz w:val="20"/>
                <w:szCs w:val="20"/>
              </w:rPr>
              <w:t>Réponse</w:t>
            </w:r>
          </w:p>
          <w:p w14:paraId="7764D9F3" w14:textId="77777777" w:rsidR="00FF5E44" w:rsidRPr="002B65F7" w:rsidRDefault="00FF5E44" w:rsidP="00CE7E90">
            <w:pPr>
              <w:widowControl/>
              <w:adjustRightInd w:val="0"/>
              <w:snapToGrid w:val="0"/>
              <w:rPr>
                <w:sz w:val="20"/>
                <w:szCs w:val="20"/>
              </w:rPr>
            </w:pPr>
            <w:r w:rsidRPr="002B65F7">
              <w:rPr>
                <w:sz w:val="20"/>
                <w:szCs w:val="20"/>
              </w:rPr>
              <w:t>PASI 75, N (%)</w:t>
            </w:r>
          </w:p>
        </w:tc>
        <w:tc>
          <w:tcPr>
            <w:tcW w:w="730" w:type="pct"/>
            <w:vAlign w:val="center"/>
          </w:tcPr>
          <w:p w14:paraId="730A4360" w14:textId="77777777" w:rsidR="00FF5E44" w:rsidRPr="002B65F7" w:rsidRDefault="00FF5E44" w:rsidP="00CE7E90">
            <w:pPr>
              <w:widowControl/>
              <w:adjustRightInd w:val="0"/>
              <w:snapToGrid w:val="0"/>
              <w:jc w:val="center"/>
              <w:rPr>
                <w:sz w:val="20"/>
                <w:szCs w:val="20"/>
              </w:rPr>
            </w:pPr>
            <w:r w:rsidRPr="002B65F7">
              <w:rPr>
                <w:sz w:val="20"/>
                <w:szCs w:val="20"/>
              </w:rPr>
              <w:t>2 (5%)</w:t>
            </w:r>
          </w:p>
        </w:tc>
        <w:tc>
          <w:tcPr>
            <w:tcW w:w="687" w:type="pct"/>
            <w:vAlign w:val="center"/>
          </w:tcPr>
          <w:p w14:paraId="6BC79CB4" w14:textId="77777777" w:rsidR="00FF5E44" w:rsidRPr="002B65F7" w:rsidRDefault="00FF5E44" w:rsidP="00CE7E90">
            <w:pPr>
              <w:widowControl/>
              <w:adjustRightInd w:val="0"/>
              <w:snapToGrid w:val="0"/>
              <w:jc w:val="center"/>
              <w:rPr>
                <w:sz w:val="20"/>
                <w:szCs w:val="20"/>
              </w:rPr>
            </w:pPr>
            <w:r w:rsidRPr="002B65F7">
              <w:rPr>
                <w:sz w:val="20"/>
                <w:szCs w:val="20"/>
              </w:rPr>
              <w:t>19 (48%)</w:t>
            </w:r>
          </w:p>
        </w:tc>
        <w:tc>
          <w:tcPr>
            <w:tcW w:w="687" w:type="pct"/>
            <w:vAlign w:val="center"/>
          </w:tcPr>
          <w:p w14:paraId="63D395B5" w14:textId="77777777" w:rsidR="00FF5E44" w:rsidRPr="002B65F7" w:rsidRDefault="00FF5E44" w:rsidP="00CE7E90">
            <w:pPr>
              <w:widowControl/>
              <w:adjustRightInd w:val="0"/>
              <w:snapToGrid w:val="0"/>
              <w:jc w:val="center"/>
              <w:rPr>
                <w:sz w:val="20"/>
                <w:szCs w:val="20"/>
              </w:rPr>
            </w:pPr>
            <w:r w:rsidRPr="002B65F7">
              <w:rPr>
                <w:sz w:val="20"/>
                <w:szCs w:val="20"/>
              </w:rPr>
              <w:t>20 (53%)</w:t>
            </w:r>
          </w:p>
        </w:tc>
        <w:tc>
          <w:tcPr>
            <w:tcW w:w="687" w:type="pct"/>
            <w:vAlign w:val="center"/>
          </w:tcPr>
          <w:p w14:paraId="47232562" w14:textId="77777777" w:rsidR="00FF5E44" w:rsidRPr="002B65F7" w:rsidRDefault="00FF5E44" w:rsidP="00CE7E90">
            <w:pPr>
              <w:widowControl/>
              <w:adjustRightInd w:val="0"/>
              <w:snapToGrid w:val="0"/>
              <w:jc w:val="center"/>
              <w:rPr>
                <w:sz w:val="20"/>
                <w:szCs w:val="20"/>
              </w:rPr>
            </w:pPr>
            <w:r w:rsidRPr="002B65F7">
              <w:rPr>
                <w:sz w:val="20"/>
                <w:szCs w:val="20"/>
              </w:rPr>
              <w:t>0</w:t>
            </w:r>
          </w:p>
        </w:tc>
        <w:tc>
          <w:tcPr>
            <w:tcW w:w="619" w:type="pct"/>
            <w:vAlign w:val="center"/>
          </w:tcPr>
          <w:p w14:paraId="2A5DF845" w14:textId="77777777" w:rsidR="00FF5E44" w:rsidRPr="002B65F7" w:rsidRDefault="00FF5E44" w:rsidP="00CE7E90">
            <w:pPr>
              <w:widowControl/>
              <w:adjustRightInd w:val="0"/>
              <w:snapToGrid w:val="0"/>
              <w:jc w:val="center"/>
              <w:rPr>
                <w:sz w:val="20"/>
                <w:szCs w:val="20"/>
              </w:rPr>
            </w:pPr>
            <w:r w:rsidRPr="002B65F7">
              <w:rPr>
                <w:sz w:val="20"/>
                <w:szCs w:val="20"/>
              </w:rPr>
              <w:t>10 (45%)</w:t>
            </w:r>
          </w:p>
        </w:tc>
        <w:tc>
          <w:tcPr>
            <w:tcW w:w="584" w:type="pct"/>
            <w:vAlign w:val="center"/>
          </w:tcPr>
          <w:p w14:paraId="720A3678" w14:textId="77777777" w:rsidR="00FF5E44" w:rsidRPr="002B65F7" w:rsidRDefault="00FF5E44" w:rsidP="00CE7E90">
            <w:pPr>
              <w:widowControl/>
              <w:adjustRightInd w:val="0"/>
              <w:snapToGrid w:val="0"/>
              <w:jc w:val="center"/>
              <w:rPr>
                <w:sz w:val="20"/>
                <w:szCs w:val="20"/>
              </w:rPr>
            </w:pPr>
            <w:r w:rsidRPr="002B65F7">
              <w:rPr>
                <w:sz w:val="20"/>
                <w:szCs w:val="20"/>
              </w:rPr>
              <w:t>13 (54%)</w:t>
            </w:r>
          </w:p>
        </w:tc>
      </w:tr>
    </w:tbl>
    <w:p w14:paraId="6D2951ED" w14:textId="77777777" w:rsidR="00FF5E44" w:rsidRPr="002B65F7" w:rsidRDefault="00FF5E44" w:rsidP="00FF5E44">
      <w:pPr>
        <w:widowControl/>
        <w:rPr>
          <w:sz w:val="20"/>
          <w:szCs w:val="20"/>
        </w:rPr>
      </w:pPr>
      <w:r w:rsidRPr="002B65F7">
        <w:rPr>
          <w:sz w:val="20"/>
          <w:szCs w:val="20"/>
          <w:vertAlign w:val="superscript"/>
        </w:rPr>
        <w:t>a</w:t>
      </w:r>
      <w:r w:rsidRPr="002B65F7">
        <w:rPr>
          <w:sz w:val="20"/>
          <w:szCs w:val="20"/>
        </w:rPr>
        <w:t xml:space="preserve"> p &lt; 0,001</w:t>
      </w:r>
    </w:p>
    <w:p w14:paraId="6538D640" w14:textId="77777777" w:rsidR="00FF5E44" w:rsidRPr="002B65F7" w:rsidRDefault="00FF5E44" w:rsidP="00FF5E44">
      <w:pPr>
        <w:widowControl/>
        <w:rPr>
          <w:sz w:val="20"/>
          <w:szCs w:val="20"/>
        </w:rPr>
      </w:pPr>
      <w:r w:rsidRPr="002B65F7">
        <w:rPr>
          <w:sz w:val="20"/>
          <w:szCs w:val="20"/>
          <w:vertAlign w:val="superscript"/>
        </w:rPr>
        <w:t>b</w:t>
      </w:r>
      <w:r w:rsidRPr="002B65F7">
        <w:rPr>
          <w:sz w:val="20"/>
          <w:szCs w:val="20"/>
        </w:rPr>
        <w:t xml:space="preserve"> p &lt; 0,05</w:t>
      </w:r>
    </w:p>
    <w:p w14:paraId="5080377B" w14:textId="77777777" w:rsidR="00FF5E44" w:rsidRPr="002B65F7" w:rsidRDefault="00FF5E44" w:rsidP="00FF5E44">
      <w:pPr>
        <w:widowControl/>
        <w:rPr>
          <w:sz w:val="20"/>
          <w:szCs w:val="20"/>
        </w:rPr>
      </w:pPr>
      <w:r w:rsidRPr="002B65F7">
        <w:rPr>
          <w:sz w:val="20"/>
          <w:szCs w:val="20"/>
          <w:vertAlign w:val="superscript"/>
        </w:rPr>
        <w:t>c</w:t>
      </w:r>
      <w:r w:rsidRPr="002B65F7">
        <w:rPr>
          <w:sz w:val="20"/>
          <w:szCs w:val="20"/>
        </w:rPr>
        <w:t xml:space="preserve"> p = NS</w:t>
      </w:r>
    </w:p>
    <w:p w14:paraId="61DD488B" w14:textId="77777777" w:rsidR="00FF5E44" w:rsidRPr="002B65F7" w:rsidRDefault="00FF5E44" w:rsidP="00FF5E44">
      <w:pPr>
        <w:widowControl/>
        <w:rPr>
          <w:sz w:val="20"/>
          <w:szCs w:val="20"/>
        </w:rPr>
      </w:pPr>
      <w:r w:rsidRPr="002B65F7">
        <w:rPr>
          <w:sz w:val="20"/>
          <w:szCs w:val="20"/>
          <w:vertAlign w:val="superscript"/>
        </w:rPr>
        <w:lastRenderedPageBreak/>
        <w:t>d</w:t>
      </w:r>
      <w:r w:rsidRPr="002B65F7">
        <w:rPr>
          <w:sz w:val="20"/>
          <w:szCs w:val="20"/>
        </w:rPr>
        <w:t xml:space="preserve"> Nombre de patients avec une surface corporelle atteinte (SCA) par le psoriasis ≥ 3% à l’inclusion</w:t>
      </w:r>
    </w:p>
    <w:p w14:paraId="0134D4B1" w14:textId="77777777" w:rsidR="00FF5E44" w:rsidRPr="002B65F7" w:rsidRDefault="00FF5E44" w:rsidP="00FF5E44">
      <w:pPr>
        <w:widowControl/>
      </w:pPr>
    </w:p>
    <w:p w14:paraId="62D035C2" w14:textId="77777777" w:rsidR="00FF5E44" w:rsidRPr="002B65F7" w:rsidRDefault="00FF5E44" w:rsidP="00FF5E44">
      <w:pPr>
        <w:widowControl/>
      </w:pPr>
      <w:r w:rsidRPr="002B65F7">
        <w:t>Les réponses ACR 20, 50 et 70 ont continué de s’améliorer ou se sont maintenues jusqu’aux semaines 52 (Études Rhumatisme Psoriasique 1 et 2) et 100 (Étude Rhumatisme Psoriasique 1). Dans l’Étude Rhumatisme Psoriasique 1, les réponses ACR 20 à la semaine 100 ont été obtenues chez 57% et 64% des patients, traités respectivement par 45 mg et 90 mg d’ustekinumab. Dans l’Étude Rhumatisme Psoriasique 2, les réponses ACR 20 à la semaine 52 ont été obtenues chez 47% et 48% des patients traités respectivement par 45 mg et 90 mg d’ustekinumab.</w:t>
      </w:r>
    </w:p>
    <w:p w14:paraId="68AB3ACD" w14:textId="77777777" w:rsidR="00FF5E44" w:rsidRPr="002B65F7" w:rsidRDefault="00FF5E44" w:rsidP="00FF5E44">
      <w:pPr>
        <w:widowControl/>
      </w:pPr>
    </w:p>
    <w:p w14:paraId="0BFBC249" w14:textId="77777777" w:rsidR="00FF5E44" w:rsidRPr="002B65F7" w:rsidRDefault="00FF5E44" w:rsidP="00FF5E44">
      <w:pPr>
        <w:widowControl/>
      </w:pPr>
      <w:r w:rsidRPr="002B65F7">
        <w:t>La proportion de patients obtenant une modification du critère de réponse du rhumatisme psoriasique (PsARC) était aussi significativement meilleure dans les groupes ustekinumab comparé au groupe placebo à la semaine 24. Les réponses PsARC se sont maintenues jusqu’aux semaines 52 et 100. Une plus grande proportion de patients traités par l’ustekinumab, qui avaient une spondylite avec arthrite périphérique en tant que forme principale, ont démontré une amélioration de 50 et 70% des scores BASDAI (Bath Ankylosing Spondylitis Disease Activity Index) comparé au placebo à la semaine 24.</w:t>
      </w:r>
    </w:p>
    <w:p w14:paraId="54592F01" w14:textId="77777777" w:rsidR="00FF5E44" w:rsidRPr="002B65F7" w:rsidRDefault="00FF5E44" w:rsidP="00FF5E44">
      <w:pPr>
        <w:widowControl/>
      </w:pPr>
    </w:p>
    <w:p w14:paraId="7C6D13F3" w14:textId="77777777" w:rsidR="00FF5E44" w:rsidRPr="002B65F7" w:rsidRDefault="00FF5E44" w:rsidP="00FF5E44">
      <w:pPr>
        <w:widowControl/>
      </w:pPr>
      <w:r w:rsidRPr="002B65F7">
        <w:t>Les réponses observées dans les groupes traités par l’ustekinumab étaient similaires chez les patients recevant et ne recevant pas de MTX de façon concomitante et se sont maintenues jusqu’aux semaines 52 et 100. Les patients précédemment traités par anti-TNF-α ayant reçu l’ustekinumab, ont obtenu une meilleure réponse à la semaine 24 que les patients recevant le placebo (réponse ACR 20 à la semaine 24 pour 45 mg et 90 mg respectivement de 37% et 34%, comparé au placebo 15% ; p &lt; 0,05) et les réponses se sont maintenues jusqu’à la semaine 52.</w:t>
      </w:r>
    </w:p>
    <w:p w14:paraId="7FA34244" w14:textId="77777777" w:rsidR="00FF5E44" w:rsidRPr="002B65F7" w:rsidRDefault="00FF5E44" w:rsidP="00FF5E44">
      <w:pPr>
        <w:widowControl/>
      </w:pPr>
    </w:p>
    <w:p w14:paraId="3532279C" w14:textId="77777777" w:rsidR="00FF5E44" w:rsidRPr="002B65F7" w:rsidRDefault="00FF5E44" w:rsidP="00FF5E44">
      <w:pPr>
        <w:widowControl/>
      </w:pPr>
      <w:r w:rsidRPr="002B65F7">
        <w:t>Pour les patients présentant une enthésite et/ou une dactylite à l’inclusion, une amélioration significative du score d’enthésites et de dactylites a été observée dans les groupes ustekinumab comparé au groupe placebo à la semaine 24 dans l’Étude Rhumatisme Psoriasique 1. Dans l’Étude Rhumatisme Psoriasique 2, une amélioration significative du score d’enthésites et une amélioration numérique (non statistiquement significative) du score de dactylites ont été observées dans le groupe de traitement par ustekinumab 90 mg comparé au groupe placebo à la semaine 24. Les améliorations du score d’enthésites et du score de dactylites se sont maintenues jusqu’aux semaines 52 et 100.</w:t>
      </w:r>
    </w:p>
    <w:p w14:paraId="60265DB7" w14:textId="77777777" w:rsidR="00FF5E44" w:rsidRPr="002B65F7" w:rsidRDefault="00FF5E44" w:rsidP="00FF5E44">
      <w:pPr>
        <w:widowControl/>
      </w:pPr>
    </w:p>
    <w:p w14:paraId="3AE631B6" w14:textId="77777777" w:rsidR="00FF5E44" w:rsidRPr="002B65F7" w:rsidRDefault="00FF5E44" w:rsidP="00FF5E44">
      <w:pPr>
        <w:keepNext/>
        <w:widowControl/>
        <w:rPr>
          <w:i/>
          <w:iCs/>
          <w:u w:val="single"/>
        </w:rPr>
      </w:pPr>
      <w:r w:rsidRPr="002B65F7">
        <w:rPr>
          <w:i/>
          <w:iCs/>
          <w:u w:val="single"/>
        </w:rPr>
        <w:t>Réponse radiographique</w:t>
      </w:r>
    </w:p>
    <w:p w14:paraId="2C0DF31A" w14:textId="77777777" w:rsidR="00FF5E44" w:rsidRPr="002B65F7" w:rsidRDefault="00FF5E44" w:rsidP="00FF5E44">
      <w:pPr>
        <w:keepNext/>
        <w:widowControl/>
        <w:rPr>
          <w:i/>
          <w:iCs/>
        </w:rPr>
      </w:pPr>
    </w:p>
    <w:p w14:paraId="2E33FA13" w14:textId="77777777" w:rsidR="00FF5E44" w:rsidRPr="002B65F7" w:rsidRDefault="00FF5E44" w:rsidP="00FF5E44">
      <w:pPr>
        <w:widowControl/>
      </w:pPr>
      <w:r w:rsidRPr="002B65F7">
        <w:t>Les atteintes structurales au niveau des mains et des pieds étaient mesurées par la variation du score total de van der Heijde-Sharp (vdH-S score) modifié pour le rhumatisme psoriasique par l’addition des articulations interphalangiennes distales de la main, par rapport aux valeurs initiales. Une analyse intégrée pré-spécifiée combinant les données de 927 patients dans les Etudes Rhumatisme psoriasique 1 et 2 a été réalisée. L’ustekinumab a démontré une diminution statistiquement significative du taux de progression des atteintes structurales comparé au placebo à la semaine 24, mesurée par la variation du score vdH-S total modifié (score moyen ± ET de 0,97 ± 3,85 dans le groupe placebo comparé à 0,40 ± 2,11 et 0,39 ± 2,40 dans les groupes ustekinumab 45 mg (p &lt; 0,05) et 90 mg (p &lt; 0,001) respectivement). Ce résultat repose sur l’Etude Rhumatisme Psoriasique 1. L’effet est considéré démontré, indépendamment de l’utilisation concomitante de méthotrexate et s’est maintenu jusqu’aux semaines 52 (analyse intégrée) et 100 (Etude Rhumatisme Psoriasique 1).</w:t>
      </w:r>
    </w:p>
    <w:p w14:paraId="1B0D6546" w14:textId="77777777" w:rsidR="00FF5E44" w:rsidRPr="002B65F7" w:rsidRDefault="00FF5E44" w:rsidP="00FF5E44">
      <w:pPr>
        <w:widowControl/>
      </w:pPr>
    </w:p>
    <w:p w14:paraId="6BF2F503" w14:textId="77777777" w:rsidR="00FF5E44" w:rsidRPr="002B65F7" w:rsidRDefault="00FF5E44" w:rsidP="00FF5E44">
      <w:pPr>
        <w:keepNext/>
        <w:widowControl/>
        <w:rPr>
          <w:i/>
          <w:iCs/>
          <w:u w:val="single"/>
        </w:rPr>
      </w:pPr>
      <w:r w:rsidRPr="002B65F7">
        <w:rPr>
          <w:i/>
          <w:iCs/>
          <w:u w:val="single"/>
        </w:rPr>
        <w:t>Fonction physique et qualité de vie</w:t>
      </w:r>
    </w:p>
    <w:p w14:paraId="62AE51F9" w14:textId="77777777" w:rsidR="00FF5E44" w:rsidRPr="002B65F7" w:rsidRDefault="00FF5E44" w:rsidP="00FF5E44">
      <w:pPr>
        <w:keepNext/>
        <w:widowControl/>
        <w:rPr>
          <w:i/>
          <w:iCs/>
        </w:rPr>
      </w:pPr>
    </w:p>
    <w:p w14:paraId="548BAE39" w14:textId="77777777" w:rsidR="00FF5E44" w:rsidRPr="002B65F7" w:rsidRDefault="00FF5E44" w:rsidP="00FF5E44">
      <w:pPr>
        <w:widowControl/>
      </w:pPr>
      <w:r w:rsidRPr="002B65F7">
        <w:t>Les patients traités par l’ustekinumab ont montré une amélioration significative de la fonction physique évaluée par l’indice HAQ-DI (Disability Index of the Health Assessment</w:t>
      </w:r>
      <w:r w:rsidRPr="002B65F7">
        <w:rPr>
          <w:spacing w:val="-3"/>
        </w:rPr>
        <w:t xml:space="preserve"> </w:t>
      </w:r>
      <w:r w:rsidRPr="002B65F7">
        <w:t>Questionnaire)</w:t>
      </w:r>
      <w:r w:rsidRPr="002B65F7">
        <w:rPr>
          <w:spacing w:val="-3"/>
        </w:rPr>
        <w:t xml:space="preserve"> </w:t>
      </w:r>
      <w:r w:rsidRPr="002B65F7">
        <w:t>à</w:t>
      </w:r>
      <w:r w:rsidRPr="002B65F7">
        <w:rPr>
          <w:spacing w:val="-3"/>
        </w:rPr>
        <w:t xml:space="preserve"> </w:t>
      </w:r>
      <w:r w:rsidRPr="002B65F7">
        <w:t>la semaine 24. La proportion de patients obtenant une amélioration cliniquement significative ≥ 0,3 du score HAQ-DI par rapport à l’inclusion était également significativement meilleure dans les groupes ustekinumab en comparaison au placebo. L’amélioration du score HAQ-DI par rapport à l’inclusion s’est maintenue jusqu’aux semaines 52 et 100.</w:t>
      </w:r>
    </w:p>
    <w:p w14:paraId="0DA7A8B6" w14:textId="77777777" w:rsidR="00FF5E44" w:rsidRPr="002B65F7" w:rsidRDefault="00FF5E44" w:rsidP="00FF5E44">
      <w:pPr>
        <w:widowControl/>
      </w:pPr>
    </w:p>
    <w:p w14:paraId="74000616" w14:textId="77777777" w:rsidR="00FF5E44" w:rsidRPr="002B65F7" w:rsidRDefault="00FF5E44" w:rsidP="00FF5E44">
      <w:pPr>
        <w:widowControl/>
      </w:pPr>
      <w:r w:rsidRPr="002B65F7">
        <w:t xml:space="preserve">Une amélioration significative des scores DLQI a été constatée dans les groupes ustekinumab comparé au placebo à la semaine 24 et s’est maintenue jusqu’aux semaines 52 et 100. Dans l’Étude Rhumatisme Psoriasique 2, une amélioration significative des scores FACIT-F (Functional </w:t>
      </w:r>
      <w:r w:rsidRPr="002B65F7">
        <w:lastRenderedPageBreak/>
        <w:t>Assessment of Chronic Illness Therapy - Fatigue) a été constatée dans les groupes ustekinumab comparé au placebo à la semaine 24. La proportion de patients obtenant une amélioration cliniquement significative de la fatigue (4 points au score FACIT-F) était également significativement plus importante dans les groupes ustekinumab comparé au placebo. Les améliorations des scores FACIT se sont maintenues jusqu’à la semaine 52.</w:t>
      </w:r>
    </w:p>
    <w:p w14:paraId="3FF66E22" w14:textId="77777777" w:rsidR="00FF5E44" w:rsidRPr="002B65F7" w:rsidRDefault="00FF5E44" w:rsidP="00FF5E44">
      <w:pPr>
        <w:widowControl/>
      </w:pPr>
    </w:p>
    <w:p w14:paraId="6BEBD6CE" w14:textId="77777777" w:rsidR="00FF5E44" w:rsidRPr="002B65F7" w:rsidRDefault="00FF5E44" w:rsidP="00FF5E44">
      <w:pPr>
        <w:keepNext/>
        <w:widowControl/>
        <w:rPr>
          <w:u w:val="single"/>
        </w:rPr>
      </w:pPr>
      <w:r w:rsidRPr="002B65F7">
        <w:rPr>
          <w:u w:val="single"/>
        </w:rPr>
        <w:t>Population pédiatrique</w:t>
      </w:r>
    </w:p>
    <w:p w14:paraId="519C8F7A" w14:textId="77777777" w:rsidR="00FF5E44" w:rsidRPr="002B65F7" w:rsidRDefault="00FF5E44" w:rsidP="00FF5E44">
      <w:pPr>
        <w:keepNext/>
        <w:widowControl/>
        <w:rPr>
          <w:u w:val="single"/>
        </w:rPr>
      </w:pPr>
    </w:p>
    <w:p w14:paraId="7E3911DC" w14:textId="38652864" w:rsidR="00FF5E44" w:rsidRPr="002B65F7" w:rsidRDefault="00FF5E44" w:rsidP="00AE4016">
      <w:pPr>
        <w:widowControl/>
      </w:pPr>
      <w:r w:rsidRPr="002B65F7">
        <w:t>L’Agence européenne des médicaments a différé l’obligation de soumettre les résultats d’études réalisées avec l’ustekinumab dans un ou plusieurs sous-groupes de la population pédiatrique atteinte d’arthrite juvénile idiopathique.</w:t>
      </w:r>
      <w:r w:rsidR="00AE4016">
        <w:t xml:space="preserve"> </w:t>
      </w:r>
      <w:r w:rsidR="00AE4016" w:rsidRPr="001622B7">
        <w:t>Le stylo pr</w:t>
      </w:r>
      <w:r w:rsidR="00AE4016" w:rsidRPr="001622B7">
        <w:rPr>
          <w:rFonts w:hint="eastAsia"/>
        </w:rPr>
        <w:t>é</w:t>
      </w:r>
      <w:r w:rsidR="00AE4016" w:rsidRPr="001622B7">
        <w:t>rempli n</w:t>
      </w:r>
      <w:r w:rsidR="00AE4016" w:rsidRPr="001622B7">
        <w:rPr>
          <w:rFonts w:hint="eastAsia"/>
        </w:rPr>
        <w:t>’</w:t>
      </w:r>
      <w:r w:rsidR="00AE4016" w:rsidRPr="001622B7">
        <w:t xml:space="preserve">a pas </w:t>
      </w:r>
      <w:r w:rsidR="00AE4016" w:rsidRPr="001622B7">
        <w:rPr>
          <w:rFonts w:hint="eastAsia"/>
        </w:rPr>
        <w:t>é</w:t>
      </w:r>
      <w:r w:rsidR="00AE4016" w:rsidRPr="001622B7">
        <w:t>t</w:t>
      </w:r>
      <w:r w:rsidR="00AE4016" w:rsidRPr="001622B7">
        <w:rPr>
          <w:rFonts w:hint="eastAsia"/>
        </w:rPr>
        <w:t>é</w:t>
      </w:r>
      <w:r w:rsidR="00AE4016" w:rsidRPr="001622B7">
        <w:t xml:space="preserve"> </w:t>
      </w:r>
      <w:r w:rsidR="00AE4016" w:rsidRPr="001622B7">
        <w:rPr>
          <w:rFonts w:hint="eastAsia"/>
        </w:rPr>
        <w:t>é</w:t>
      </w:r>
      <w:r w:rsidR="00AE4016" w:rsidRPr="001622B7">
        <w:t>tudi</w:t>
      </w:r>
      <w:r w:rsidR="00AE4016" w:rsidRPr="001622B7">
        <w:rPr>
          <w:rFonts w:hint="eastAsia"/>
        </w:rPr>
        <w:t>é</w:t>
      </w:r>
      <w:r w:rsidR="00AE4016" w:rsidRPr="001622B7">
        <w:t xml:space="preserve"> dans la population p</w:t>
      </w:r>
      <w:r w:rsidR="00AE4016" w:rsidRPr="001622B7">
        <w:rPr>
          <w:rFonts w:hint="eastAsia"/>
        </w:rPr>
        <w:t>é</w:t>
      </w:r>
      <w:r w:rsidR="00AE4016" w:rsidRPr="001622B7">
        <w:t>diatrique atteinte de psoriasis et son utilisation n</w:t>
      </w:r>
      <w:r w:rsidR="00AE4016" w:rsidRPr="001622B7">
        <w:rPr>
          <w:rFonts w:hint="eastAsia"/>
        </w:rPr>
        <w:t>’</w:t>
      </w:r>
      <w:r w:rsidR="00AE4016" w:rsidRPr="001622B7">
        <w:t>est pas recommand</w:t>
      </w:r>
      <w:r w:rsidR="00AE4016" w:rsidRPr="001622B7">
        <w:rPr>
          <w:rFonts w:hint="eastAsia"/>
        </w:rPr>
        <w:t>é</w:t>
      </w:r>
      <w:r w:rsidR="00AE4016" w:rsidRPr="001622B7">
        <w:t>e chez les patients p</w:t>
      </w:r>
      <w:r w:rsidR="00AE4016" w:rsidRPr="001622B7">
        <w:rPr>
          <w:rFonts w:hint="eastAsia"/>
        </w:rPr>
        <w:t>é</w:t>
      </w:r>
      <w:r w:rsidR="00AE4016" w:rsidRPr="001622B7">
        <w:t>diatriques.</w:t>
      </w:r>
    </w:p>
    <w:p w14:paraId="6E6F1D41" w14:textId="77777777" w:rsidR="00FF5E44" w:rsidRPr="002B65F7" w:rsidRDefault="00FF5E44" w:rsidP="00FF5E44">
      <w:pPr>
        <w:widowControl/>
      </w:pPr>
    </w:p>
    <w:p w14:paraId="7564EA45" w14:textId="77777777" w:rsidR="00FF5E44" w:rsidRPr="002B65F7" w:rsidRDefault="00FF5E44" w:rsidP="00FF5E44">
      <w:pPr>
        <w:keepNext/>
        <w:keepLines/>
        <w:widowControl/>
        <w:rPr>
          <w:i/>
          <w:iCs/>
        </w:rPr>
      </w:pPr>
      <w:r w:rsidRPr="002B65F7">
        <w:rPr>
          <w:i/>
          <w:iCs/>
        </w:rPr>
        <w:t>Maladie de Crohn</w:t>
      </w:r>
    </w:p>
    <w:p w14:paraId="3B7C52C0" w14:textId="77777777" w:rsidR="00FF5E44" w:rsidRPr="002B65F7" w:rsidRDefault="00FF5E44" w:rsidP="00FF5E44">
      <w:pPr>
        <w:keepNext/>
        <w:keepLines/>
        <w:widowControl/>
        <w:rPr>
          <w:u w:val="single"/>
        </w:rPr>
      </w:pPr>
    </w:p>
    <w:p w14:paraId="2B7F68FE" w14:textId="7A246424" w:rsidR="00FF5E44" w:rsidRPr="002B65F7" w:rsidRDefault="00FF5E44" w:rsidP="00FF5E44">
      <w:pPr>
        <w:widowControl/>
      </w:pPr>
      <w:r w:rsidRPr="002B65F7">
        <w:t xml:space="preserve">La sécurité et l’efficacité de l’ustekinumab ont été évaluées dans trois études multicentriques randomisées, en double aveugle, contrôlées </w:t>
      </w:r>
      <w:r w:rsidRPr="002B65F7">
        <w:rPr>
          <w:i/>
          <w:iCs/>
        </w:rPr>
        <w:t>versus</w:t>
      </w:r>
      <w:r w:rsidRPr="002B65F7">
        <w:t xml:space="preserve"> placebo chez des patients adultes atteints d’une maladie de Crohn active modérée à sévère (score CDAI [Crohn’s Disease Activity Index] ≥ 220 et ≤ 450). Le programme de développement clinique consistait en deux études d’induction intraveineuse de 8 semaines (UNITI-1 et UNITI-2) suivies d’une étude d’entretien randomisée, sous</w:t>
      </w:r>
      <w:r w:rsidR="00A1075C">
        <w:noBreakHyphen/>
      </w:r>
      <w:r w:rsidRPr="002B65F7">
        <w:t>cutanée de 44 semaines (IM-UNITI), ce qui représente 52 semaines de traitement.</w:t>
      </w:r>
    </w:p>
    <w:p w14:paraId="51EB9890" w14:textId="77777777" w:rsidR="00FF5E44" w:rsidRPr="002B65F7" w:rsidRDefault="00FF5E44" w:rsidP="00FF5E44">
      <w:pPr>
        <w:widowControl/>
      </w:pPr>
    </w:p>
    <w:p w14:paraId="5648A04E" w14:textId="77777777" w:rsidR="00FF5E44" w:rsidRPr="002B65F7" w:rsidRDefault="00FF5E44" w:rsidP="00FF5E44">
      <w:pPr>
        <w:widowControl/>
      </w:pPr>
      <w:r w:rsidRPr="002B65F7">
        <w:t>Les études d’induction incluaient 1 409 (UNITI-1, n = 769 ; UNITI-2, n = 640) patients. Le critère primaire d’évaluation des deux études d’induction était la proportion de sujets présentant une réponse clinique (définie comme une réduction du score CDAI ≥ 100 points) à la semaine 6. Les données d’efficacité ont été recueillies et analysées jusqu’à la semaine 8 pour les deux études. L’administration concomitante de corticoïdes oraux, d’immunomodulateurs, d’aminosalicylates et d’antibiotiques était autorisée et 75% des patients ont continué à recevoir au moins un de ces médicaments. Dans les deux études, les patients étaient randomisés pour recevoir une administration intraveineuse unique de la dose recommandée en fonction du poids d’environ 6 mg/kg (voir rubrique 4.2 du RCP de WEZENLA 130 mg solution à diluer pour perfusion), d’une dose fixe de 130 mg d’ustekinumab ou d’un placebo à la semaine 0.</w:t>
      </w:r>
    </w:p>
    <w:p w14:paraId="3B3AC1EE" w14:textId="77777777" w:rsidR="00FF5E44" w:rsidRPr="002B65F7" w:rsidRDefault="00FF5E44" w:rsidP="00FF5E44">
      <w:pPr>
        <w:widowControl/>
      </w:pPr>
    </w:p>
    <w:p w14:paraId="582E8906" w14:textId="77777777" w:rsidR="00FF5E44" w:rsidRPr="002B65F7" w:rsidRDefault="00FF5E44" w:rsidP="00FF5E44">
      <w:pPr>
        <w:widowControl/>
      </w:pPr>
      <w:r w:rsidRPr="002B65F7">
        <w:t>Les patients de l’étude UNITI-1 étaient en échec ou intolérants à un précédent traitement anti-TNFα. Environ 48% des patients avaient présenté un échec lors d’1 précédent traitement anti-TNFα et 52% avaient échoué à 2 ou 3 précédents traitements anti-TNFα. Dans cette étude, 29,1% des patients avaient présenté une réponse initiale insuffisante (non-répondeurs primaires), 69,4% avaient répondu mais</w:t>
      </w:r>
      <w:r w:rsidRPr="002B65F7">
        <w:rPr>
          <w:spacing w:val="-3"/>
        </w:rPr>
        <w:t xml:space="preserve"> </w:t>
      </w:r>
      <w:r w:rsidRPr="002B65F7">
        <w:t>étaient</w:t>
      </w:r>
      <w:r w:rsidRPr="002B65F7">
        <w:rPr>
          <w:spacing w:val="-3"/>
        </w:rPr>
        <w:t xml:space="preserve"> </w:t>
      </w:r>
      <w:r w:rsidRPr="002B65F7">
        <w:t>en</w:t>
      </w:r>
      <w:r w:rsidRPr="002B65F7">
        <w:rPr>
          <w:spacing w:val="-3"/>
        </w:rPr>
        <w:t xml:space="preserve"> </w:t>
      </w:r>
      <w:r w:rsidRPr="002B65F7">
        <w:t>échappement</w:t>
      </w:r>
      <w:r w:rsidRPr="002B65F7">
        <w:rPr>
          <w:spacing w:val="-3"/>
        </w:rPr>
        <w:t xml:space="preserve"> </w:t>
      </w:r>
      <w:r w:rsidRPr="002B65F7">
        <w:t>après</w:t>
      </w:r>
      <w:r w:rsidRPr="002B65F7">
        <w:rPr>
          <w:spacing w:val="-3"/>
        </w:rPr>
        <w:t xml:space="preserve"> </w:t>
      </w:r>
      <w:r w:rsidRPr="002B65F7">
        <w:t>une</w:t>
      </w:r>
      <w:r w:rsidRPr="002B65F7">
        <w:rPr>
          <w:spacing w:val="-3"/>
        </w:rPr>
        <w:t xml:space="preserve"> </w:t>
      </w:r>
      <w:r w:rsidRPr="002B65F7">
        <w:t>réponse</w:t>
      </w:r>
      <w:r w:rsidRPr="002B65F7">
        <w:rPr>
          <w:spacing w:val="-3"/>
        </w:rPr>
        <w:t xml:space="preserve"> </w:t>
      </w:r>
      <w:r w:rsidRPr="002B65F7">
        <w:t>initiale</w:t>
      </w:r>
      <w:r w:rsidRPr="002B65F7">
        <w:rPr>
          <w:spacing w:val="-3"/>
        </w:rPr>
        <w:t xml:space="preserve"> </w:t>
      </w:r>
      <w:r w:rsidRPr="002B65F7">
        <w:t>(non-répondeurs</w:t>
      </w:r>
      <w:r w:rsidRPr="002B65F7">
        <w:rPr>
          <w:spacing w:val="-3"/>
        </w:rPr>
        <w:t xml:space="preserve"> </w:t>
      </w:r>
      <w:r w:rsidRPr="002B65F7">
        <w:t>secondaires)</w:t>
      </w:r>
      <w:r w:rsidRPr="002B65F7">
        <w:rPr>
          <w:spacing w:val="-3"/>
        </w:rPr>
        <w:t xml:space="preserve"> </w:t>
      </w:r>
      <w:r w:rsidRPr="002B65F7">
        <w:t>et</w:t>
      </w:r>
      <w:r w:rsidRPr="002B65F7">
        <w:rPr>
          <w:spacing w:val="-3"/>
        </w:rPr>
        <w:t xml:space="preserve"> </w:t>
      </w:r>
      <w:r w:rsidRPr="002B65F7">
        <w:t>36,4%</w:t>
      </w:r>
      <w:r w:rsidRPr="002B65F7">
        <w:rPr>
          <w:spacing w:val="-3"/>
        </w:rPr>
        <w:t xml:space="preserve"> </w:t>
      </w:r>
      <w:r w:rsidRPr="002B65F7">
        <w:t>étaient intolérants aux anti-TNFα.</w:t>
      </w:r>
    </w:p>
    <w:p w14:paraId="0C4B828D" w14:textId="77777777" w:rsidR="00FF5E44" w:rsidRPr="002B65F7" w:rsidRDefault="00FF5E44" w:rsidP="00FF5E44">
      <w:pPr>
        <w:widowControl/>
      </w:pPr>
    </w:p>
    <w:p w14:paraId="47DC06C1" w14:textId="77777777" w:rsidR="00FF5E44" w:rsidRPr="002B65F7" w:rsidRDefault="00FF5E44" w:rsidP="00FF5E44">
      <w:pPr>
        <w:widowControl/>
      </w:pPr>
      <w:r w:rsidRPr="002B65F7">
        <w:t>Les patients de l’étude UNITI-2 étaient en échec à au moins un traitement conventionnel, incluant les corticoïdes ou immunomodulateurs, et étaient naïfs d’anti-TNFα (68,6%) ou avaient précédemment reçu un traitement anti-TNFα sans échec (31,4%).</w:t>
      </w:r>
    </w:p>
    <w:p w14:paraId="5EFC0868" w14:textId="77777777" w:rsidR="00FF5E44" w:rsidRPr="002B65F7" w:rsidRDefault="00FF5E44" w:rsidP="00FF5E44">
      <w:pPr>
        <w:widowControl/>
      </w:pPr>
    </w:p>
    <w:p w14:paraId="05DB6603" w14:textId="2C16CE57" w:rsidR="00FF5E44" w:rsidRPr="002B65F7" w:rsidRDefault="00FF5E44" w:rsidP="00FF5E44">
      <w:pPr>
        <w:widowControl/>
      </w:pPr>
      <w:r w:rsidRPr="002B65F7">
        <w:t>Dans UNITI-1 et UNITI-2, une proportion significativement supérieure de patients présentait une réponse et une rémission cliniques dans le groupe traité par ustekinumab comparativement au placebo (voir tableau </w:t>
      </w:r>
      <w:r w:rsidR="000962E7">
        <w:t>5</w:t>
      </w:r>
      <w:r w:rsidRPr="002B65F7">
        <w:t>). Chez les patients traités par ustekinumab, la réponse et la rémission cliniques étaient significatives dès la semaine 3 et ont continué à s’améliorer jusqu’à la semaine 8. Dans ces études d’induction, l’efficacité était plus élevée et plus durable dans le groupe recevant une dose déterminée en fonction du poids comparativement au groupe de dose 130 mg. Un dosage par palier est donc recommandé pour l’induction intraveineuse.</w:t>
      </w:r>
    </w:p>
    <w:p w14:paraId="4CE5279A" w14:textId="77777777" w:rsidR="00FF5E44" w:rsidRPr="002B65F7" w:rsidRDefault="00FF5E44" w:rsidP="00FF5E44">
      <w:pPr>
        <w:widowControl/>
        <w:rPr>
          <w:b/>
          <w:bCs/>
        </w:rPr>
      </w:pPr>
    </w:p>
    <w:p w14:paraId="0E2D26B9" w14:textId="01F6B973" w:rsidR="00FF5E44" w:rsidRPr="002B65F7" w:rsidRDefault="00FF5E44" w:rsidP="00B007D2">
      <w:pPr>
        <w:keepNext/>
        <w:widowControl/>
        <w:rPr>
          <w:b/>
          <w:bCs/>
        </w:rPr>
      </w:pPr>
      <w:r w:rsidRPr="002B65F7">
        <w:rPr>
          <w:b/>
          <w:bCs/>
        </w:rPr>
        <w:lastRenderedPageBreak/>
        <w:t>Tableau </w:t>
      </w:r>
      <w:r w:rsidR="003D6B28">
        <w:rPr>
          <w:b/>
          <w:bCs/>
        </w:rPr>
        <w:t>5</w:t>
      </w:r>
      <w:r w:rsidRPr="002B65F7">
        <w:rPr>
          <w:b/>
          <w:bCs/>
        </w:rPr>
        <w:t>. Induction de la réponse et de la rémission cliniques dans les études UNITI-1 et UNITI 2</w:t>
      </w:r>
    </w:p>
    <w:p w14:paraId="753350A2" w14:textId="77777777" w:rsidR="00FF5E44" w:rsidRPr="002B65F7" w:rsidRDefault="00FF5E44" w:rsidP="00B007D2">
      <w:pPr>
        <w:keepNext/>
        <w:widowControl/>
        <w:rPr>
          <w:b/>
          <w:bCs/>
        </w:rPr>
      </w:pP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62"/>
        <w:gridCol w:w="1620"/>
        <w:gridCol w:w="1635"/>
        <w:gridCol w:w="1209"/>
        <w:gridCol w:w="1635"/>
      </w:tblGrid>
      <w:tr w:rsidR="00FF5E44" w:rsidRPr="002B65F7" w14:paraId="05808994" w14:textId="77777777" w:rsidTr="00CE7E90">
        <w:trPr>
          <w:cantSplit/>
          <w:trHeight w:val="254"/>
          <w:tblHeader/>
        </w:trPr>
        <w:tc>
          <w:tcPr>
            <w:tcW w:w="1660" w:type="pct"/>
          </w:tcPr>
          <w:p w14:paraId="4CA9575A" w14:textId="77777777" w:rsidR="00FF5E44" w:rsidRPr="002B65F7" w:rsidRDefault="00FF5E44" w:rsidP="00B007D2">
            <w:pPr>
              <w:keepNext/>
              <w:widowControl/>
            </w:pPr>
          </w:p>
        </w:tc>
        <w:tc>
          <w:tcPr>
            <w:tcW w:w="1755" w:type="pct"/>
            <w:gridSpan w:val="2"/>
          </w:tcPr>
          <w:p w14:paraId="17890551" w14:textId="77777777" w:rsidR="00FF5E44" w:rsidRPr="002B65F7" w:rsidRDefault="00FF5E44" w:rsidP="00B007D2">
            <w:pPr>
              <w:keepNext/>
              <w:widowControl/>
              <w:jc w:val="center"/>
              <w:rPr>
                <w:b/>
                <w:bCs/>
              </w:rPr>
            </w:pPr>
            <w:r w:rsidRPr="002B65F7">
              <w:rPr>
                <w:b/>
                <w:bCs/>
              </w:rPr>
              <w:t>UNITI-1*</w:t>
            </w:r>
          </w:p>
        </w:tc>
        <w:tc>
          <w:tcPr>
            <w:tcW w:w="1585" w:type="pct"/>
            <w:gridSpan w:val="2"/>
          </w:tcPr>
          <w:p w14:paraId="7E9DC44C" w14:textId="77777777" w:rsidR="00FF5E44" w:rsidRPr="002B65F7" w:rsidRDefault="00FF5E44" w:rsidP="00B007D2">
            <w:pPr>
              <w:keepNext/>
              <w:widowControl/>
              <w:jc w:val="center"/>
              <w:rPr>
                <w:b/>
                <w:bCs/>
              </w:rPr>
            </w:pPr>
            <w:r w:rsidRPr="002B65F7">
              <w:rPr>
                <w:b/>
                <w:bCs/>
              </w:rPr>
              <w:t>UNITI-2**</w:t>
            </w:r>
          </w:p>
        </w:tc>
      </w:tr>
      <w:tr w:rsidR="00FF5E44" w:rsidRPr="002B65F7" w14:paraId="0DC17C34" w14:textId="77777777" w:rsidTr="00CE7E90">
        <w:trPr>
          <w:cantSplit/>
          <w:trHeight w:val="1010"/>
          <w:tblHeader/>
        </w:trPr>
        <w:tc>
          <w:tcPr>
            <w:tcW w:w="1660" w:type="pct"/>
          </w:tcPr>
          <w:p w14:paraId="2F2AB0E2" w14:textId="77777777" w:rsidR="00FF5E44" w:rsidRPr="002B65F7" w:rsidRDefault="00FF5E44" w:rsidP="00BB6F00">
            <w:pPr>
              <w:widowControl/>
            </w:pPr>
          </w:p>
        </w:tc>
        <w:tc>
          <w:tcPr>
            <w:tcW w:w="919" w:type="pct"/>
          </w:tcPr>
          <w:p w14:paraId="13D097D6" w14:textId="77777777" w:rsidR="00FF5E44" w:rsidRPr="002B65F7" w:rsidRDefault="00FF5E44" w:rsidP="00BB6F00">
            <w:pPr>
              <w:widowControl/>
              <w:jc w:val="center"/>
              <w:rPr>
                <w:b/>
                <w:bCs/>
              </w:rPr>
            </w:pPr>
            <w:r w:rsidRPr="002B65F7">
              <w:rPr>
                <w:b/>
                <w:bCs/>
              </w:rPr>
              <w:t>Placebo</w:t>
            </w:r>
          </w:p>
          <w:p w14:paraId="445D9607" w14:textId="77777777" w:rsidR="00FF5E44" w:rsidRPr="002B65F7" w:rsidRDefault="00FF5E44" w:rsidP="00BB6F00">
            <w:pPr>
              <w:widowControl/>
              <w:jc w:val="center"/>
              <w:rPr>
                <w:b/>
                <w:bCs/>
              </w:rPr>
            </w:pPr>
            <w:r w:rsidRPr="002B65F7">
              <w:rPr>
                <w:b/>
                <w:bCs/>
              </w:rPr>
              <w:t>N =</w:t>
            </w:r>
            <w:r w:rsidRPr="002B65F7">
              <w:t> </w:t>
            </w:r>
            <w:r w:rsidRPr="002B65F7">
              <w:rPr>
                <w:b/>
                <w:bCs/>
              </w:rPr>
              <w:t>247</w:t>
            </w:r>
          </w:p>
        </w:tc>
        <w:tc>
          <w:tcPr>
            <w:tcW w:w="836" w:type="pct"/>
          </w:tcPr>
          <w:p w14:paraId="5551679A" w14:textId="77777777" w:rsidR="00FF5E44" w:rsidRPr="002B65F7" w:rsidRDefault="00FF5E44" w:rsidP="00BB6F00">
            <w:pPr>
              <w:widowControl/>
              <w:jc w:val="center"/>
              <w:rPr>
                <w:b/>
                <w:bCs/>
              </w:rPr>
            </w:pPr>
            <w:r w:rsidRPr="002B65F7">
              <w:rPr>
                <w:b/>
                <w:bCs/>
              </w:rPr>
              <w:t>Dose recommandée d’ustekinumab</w:t>
            </w:r>
          </w:p>
          <w:p w14:paraId="2F006FB7" w14:textId="77777777" w:rsidR="00FF5E44" w:rsidRPr="002B65F7" w:rsidRDefault="00FF5E44" w:rsidP="00BB6F00">
            <w:pPr>
              <w:widowControl/>
              <w:jc w:val="center"/>
              <w:rPr>
                <w:b/>
                <w:bCs/>
              </w:rPr>
            </w:pPr>
            <w:r w:rsidRPr="002B65F7">
              <w:rPr>
                <w:b/>
                <w:bCs/>
              </w:rPr>
              <w:t>N = 249</w:t>
            </w:r>
          </w:p>
        </w:tc>
        <w:tc>
          <w:tcPr>
            <w:tcW w:w="692" w:type="pct"/>
          </w:tcPr>
          <w:p w14:paraId="3ECA811E" w14:textId="77777777" w:rsidR="00FF5E44" w:rsidRPr="002B65F7" w:rsidRDefault="00FF5E44" w:rsidP="00BB6F00">
            <w:pPr>
              <w:widowControl/>
              <w:jc w:val="center"/>
              <w:rPr>
                <w:b/>
                <w:bCs/>
              </w:rPr>
            </w:pPr>
            <w:r w:rsidRPr="002B65F7">
              <w:rPr>
                <w:b/>
                <w:bCs/>
              </w:rPr>
              <w:t>Placebo</w:t>
            </w:r>
          </w:p>
          <w:p w14:paraId="79C83A3B" w14:textId="77777777" w:rsidR="00FF5E44" w:rsidRPr="002B65F7" w:rsidRDefault="00FF5E44" w:rsidP="00BB6F00">
            <w:pPr>
              <w:widowControl/>
              <w:jc w:val="center"/>
              <w:rPr>
                <w:b/>
                <w:bCs/>
              </w:rPr>
            </w:pPr>
            <w:r w:rsidRPr="002B65F7">
              <w:rPr>
                <w:b/>
                <w:bCs/>
              </w:rPr>
              <w:t>N =</w:t>
            </w:r>
            <w:r w:rsidRPr="002B65F7">
              <w:t> </w:t>
            </w:r>
            <w:r w:rsidRPr="002B65F7">
              <w:rPr>
                <w:b/>
                <w:bCs/>
              </w:rPr>
              <w:t>209</w:t>
            </w:r>
          </w:p>
        </w:tc>
        <w:tc>
          <w:tcPr>
            <w:tcW w:w="893" w:type="pct"/>
          </w:tcPr>
          <w:p w14:paraId="116EDD93" w14:textId="77777777" w:rsidR="00FF5E44" w:rsidRPr="002B65F7" w:rsidRDefault="00FF5E44" w:rsidP="00BB6F00">
            <w:pPr>
              <w:widowControl/>
              <w:jc w:val="center"/>
              <w:rPr>
                <w:b/>
                <w:bCs/>
              </w:rPr>
            </w:pPr>
            <w:r w:rsidRPr="002B65F7">
              <w:rPr>
                <w:b/>
                <w:bCs/>
              </w:rPr>
              <w:t>Dose recommandée d’ustekinumab</w:t>
            </w:r>
          </w:p>
          <w:p w14:paraId="653718DB" w14:textId="77777777" w:rsidR="00FF5E44" w:rsidRPr="002B65F7" w:rsidRDefault="00FF5E44" w:rsidP="00BB6F00">
            <w:pPr>
              <w:widowControl/>
              <w:jc w:val="center"/>
              <w:rPr>
                <w:b/>
                <w:bCs/>
              </w:rPr>
            </w:pPr>
            <w:r w:rsidRPr="002B65F7">
              <w:rPr>
                <w:b/>
                <w:bCs/>
              </w:rPr>
              <w:t>N = 209</w:t>
            </w:r>
          </w:p>
        </w:tc>
      </w:tr>
      <w:tr w:rsidR="00FF5E44" w:rsidRPr="002B65F7" w14:paraId="344B1068" w14:textId="77777777" w:rsidTr="00CE7E90">
        <w:trPr>
          <w:cantSplit/>
          <w:trHeight w:val="253"/>
        </w:trPr>
        <w:tc>
          <w:tcPr>
            <w:tcW w:w="1660" w:type="pct"/>
          </w:tcPr>
          <w:p w14:paraId="52C686EB" w14:textId="77777777" w:rsidR="00FF5E44" w:rsidRPr="002B65F7" w:rsidRDefault="00FF5E44" w:rsidP="00BB6F00">
            <w:pPr>
              <w:widowControl/>
            </w:pPr>
            <w:r w:rsidRPr="002B65F7">
              <w:t>Rémission clinique, semaine 8</w:t>
            </w:r>
          </w:p>
        </w:tc>
        <w:tc>
          <w:tcPr>
            <w:tcW w:w="919" w:type="pct"/>
          </w:tcPr>
          <w:p w14:paraId="2532CFC5" w14:textId="77777777" w:rsidR="00FF5E44" w:rsidRPr="002B65F7" w:rsidRDefault="00FF5E44" w:rsidP="00BB6F00">
            <w:pPr>
              <w:widowControl/>
              <w:jc w:val="center"/>
            </w:pPr>
            <w:r w:rsidRPr="002B65F7">
              <w:t>18 (7,3%)</w:t>
            </w:r>
          </w:p>
        </w:tc>
        <w:tc>
          <w:tcPr>
            <w:tcW w:w="836" w:type="pct"/>
          </w:tcPr>
          <w:p w14:paraId="29598FB6" w14:textId="77777777" w:rsidR="00FF5E44" w:rsidRPr="002B65F7" w:rsidRDefault="00FF5E44" w:rsidP="00BB6F00">
            <w:pPr>
              <w:widowControl/>
              <w:jc w:val="center"/>
            </w:pPr>
            <w:r w:rsidRPr="002B65F7">
              <w:t>52 (20,9%)</w:t>
            </w:r>
            <w:r w:rsidRPr="002B65F7">
              <w:rPr>
                <w:vertAlign w:val="superscript"/>
              </w:rPr>
              <w:t>a</w:t>
            </w:r>
          </w:p>
        </w:tc>
        <w:tc>
          <w:tcPr>
            <w:tcW w:w="692" w:type="pct"/>
          </w:tcPr>
          <w:p w14:paraId="6BEAF61B" w14:textId="77777777" w:rsidR="00FF5E44" w:rsidRPr="002B65F7" w:rsidRDefault="00FF5E44" w:rsidP="00BB6F00">
            <w:pPr>
              <w:widowControl/>
              <w:jc w:val="center"/>
            </w:pPr>
            <w:r w:rsidRPr="002B65F7">
              <w:t>41 (19,6%)</w:t>
            </w:r>
          </w:p>
        </w:tc>
        <w:tc>
          <w:tcPr>
            <w:tcW w:w="893" w:type="pct"/>
          </w:tcPr>
          <w:p w14:paraId="2FF06478" w14:textId="77777777" w:rsidR="00FF5E44" w:rsidRPr="002B65F7" w:rsidRDefault="00FF5E44" w:rsidP="00BB6F00">
            <w:pPr>
              <w:widowControl/>
              <w:jc w:val="center"/>
            </w:pPr>
            <w:r w:rsidRPr="002B65F7">
              <w:t>84 (40,2%)</w:t>
            </w:r>
            <w:r w:rsidRPr="002B65F7">
              <w:rPr>
                <w:vertAlign w:val="superscript"/>
              </w:rPr>
              <w:t>a</w:t>
            </w:r>
          </w:p>
        </w:tc>
      </w:tr>
      <w:tr w:rsidR="00FF5E44" w:rsidRPr="002B65F7" w14:paraId="3E6C907F" w14:textId="77777777" w:rsidTr="00CE7E90">
        <w:trPr>
          <w:cantSplit/>
          <w:trHeight w:val="506"/>
        </w:trPr>
        <w:tc>
          <w:tcPr>
            <w:tcW w:w="1660" w:type="pct"/>
          </w:tcPr>
          <w:p w14:paraId="3EC14431" w14:textId="77777777" w:rsidR="00FF5E44" w:rsidRPr="002B65F7" w:rsidRDefault="00FF5E44" w:rsidP="00BB6F00">
            <w:pPr>
              <w:widowControl/>
            </w:pPr>
            <w:r w:rsidRPr="002B65F7">
              <w:t>Réponse clinique (100 points), semaine 6</w:t>
            </w:r>
          </w:p>
        </w:tc>
        <w:tc>
          <w:tcPr>
            <w:tcW w:w="919" w:type="pct"/>
          </w:tcPr>
          <w:p w14:paraId="1761E08C" w14:textId="77777777" w:rsidR="00FF5E44" w:rsidRPr="002B65F7" w:rsidRDefault="00FF5E44" w:rsidP="00BB6F00">
            <w:pPr>
              <w:widowControl/>
              <w:jc w:val="center"/>
            </w:pPr>
            <w:r w:rsidRPr="002B65F7">
              <w:t>53 (21,5%)</w:t>
            </w:r>
          </w:p>
        </w:tc>
        <w:tc>
          <w:tcPr>
            <w:tcW w:w="836" w:type="pct"/>
          </w:tcPr>
          <w:p w14:paraId="20F01F0C" w14:textId="77777777" w:rsidR="00FF5E44" w:rsidRPr="002B65F7" w:rsidRDefault="00FF5E44" w:rsidP="00BB6F00">
            <w:pPr>
              <w:widowControl/>
              <w:jc w:val="center"/>
            </w:pPr>
            <w:r w:rsidRPr="002B65F7">
              <w:t>84 (33,7%)</w:t>
            </w:r>
            <w:r w:rsidRPr="002B65F7">
              <w:rPr>
                <w:vertAlign w:val="superscript"/>
              </w:rPr>
              <w:t>b</w:t>
            </w:r>
          </w:p>
        </w:tc>
        <w:tc>
          <w:tcPr>
            <w:tcW w:w="692" w:type="pct"/>
          </w:tcPr>
          <w:p w14:paraId="36E3CE13" w14:textId="77777777" w:rsidR="00FF5E44" w:rsidRPr="002B65F7" w:rsidRDefault="00FF5E44" w:rsidP="00BB6F00">
            <w:pPr>
              <w:widowControl/>
              <w:jc w:val="center"/>
            </w:pPr>
            <w:r w:rsidRPr="002B65F7">
              <w:t>60 (28,7%)</w:t>
            </w:r>
          </w:p>
        </w:tc>
        <w:tc>
          <w:tcPr>
            <w:tcW w:w="893" w:type="pct"/>
          </w:tcPr>
          <w:p w14:paraId="5C658A04" w14:textId="77777777" w:rsidR="00FF5E44" w:rsidRPr="002B65F7" w:rsidRDefault="00FF5E44" w:rsidP="00BB6F00">
            <w:pPr>
              <w:widowControl/>
              <w:jc w:val="center"/>
            </w:pPr>
            <w:r w:rsidRPr="002B65F7">
              <w:t>116 (55,5%)</w:t>
            </w:r>
            <w:r w:rsidRPr="002B65F7">
              <w:rPr>
                <w:vertAlign w:val="superscript"/>
              </w:rPr>
              <w:t>a</w:t>
            </w:r>
          </w:p>
        </w:tc>
      </w:tr>
      <w:tr w:rsidR="00FF5E44" w:rsidRPr="002B65F7" w14:paraId="5F851638" w14:textId="77777777" w:rsidTr="00CE7E90">
        <w:trPr>
          <w:cantSplit/>
          <w:trHeight w:val="503"/>
        </w:trPr>
        <w:tc>
          <w:tcPr>
            <w:tcW w:w="1660" w:type="pct"/>
          </w:tcPr>
          <w:p w14:paraId="65F03831" w14:textId="77777777" w:rsidR="00FF5E44" w:rsidRPr="002B65F7" w:rsidRDefault="00FF5E44" w:rsidP="00BB6F00">
            <w:pPr>
              <w:widowControl/>
            </w:pPr>
            <w:r w:rsidRPr="002B65F7">
              <w:t>Réponse clinique (100 points),</w:t>
            </w:r>
          </w:p>
          <w:p w14:paraId="4BA8AAC2" w14:textId="77777777" w:rsidR="00FF5E44" w:rsidRPr="002B65F7" w:rsidRDefault="00FF5E44" w:rsidP="00BB6F00">
            <w:pPr>
              <w:widowControl/>
            </w:pPr>
            <w:r w:rsidRPr="002B65F7">
              <w:t>semaine 8</w:t>
            </w:r>
          </w:p>
        </w:tc>
        <w:tc>
          <w:tcPr>
            <w:tcW w:w="919" w:type="pct"/>
          </w:tcPr>
          <w:p w14:paraId="20ABB117" w14:textId="77777777" w:rsidR="00FF5E44" w:rsidRPr="002B65F7" w:rsidRDefault="00FF5E44" w:rsidP="00BB6F00">
            <w:pPr>
              <w:widowControl/>
              <w:jc w:val="center"/>
            </w:pPr>
            <w:r w:rsidRPr="002B65F7">
              <w:t>50 (20,2%)</w:t>
            </w:r>
          </w:p>
        </w:tc>
        <w:tc>
          <w:tcPr>
            <w:tcW w:w="836" w:type="pct"/>
          </w:tcPr>
          <w:p w14:paraId="75B5864F" w14:textId="77777777" w:rsidR="00FF5E44" w:rsidRPr="002B65F7" w:rsidRDefault="00FF5E44" w:rsidP="00BB6F00">
            <w:pPr>
              <w:widowControl/>
              <w:jc w:val="center"/>
            </w:pPr>
            <w:r w:rsidRPr="002B65F7">
              <w:t>94 (37,8%)</w:t>
            </w:r>
            <w:r w:rsidRPr="002B65F7">
              <w:rPr>
                <w:vertAlign w:val="superscript"/>
              </w:rPr>
              <w:t>a</w:t>
            </w:r>
          </w:p>
        </w:tc>
        <w:tc>
          <w:tcPr>
            <w:tcW w:w="692" w:type="pct"/>
          </w:tcPr>
          <w:p w14:paraId="4FEE856D" w14:textId="77777777" w:rsidR="00FF5E44" w:rsidRPr="002B65F7" w:rsidRDefault="00FF5E44" w:rsidP="00BB6F00">
            <w:pPr>
              <w:widowControl/>
              <w:jc w:val="center"/>
            </w:pPr>
            <w:r w:rsidRPr="002B65F7">
              <w:t>67 (32,1%)</w:t>
            </w:r>
          </w:p>
        </w:tc>
        <w:tc>
          <w:tcPr>
            <w:tcW w:w="893" w:type="pct"/>
          </w:tcPr>
          <w:p w14:paraId="0C8182D6" w14:textId="77777777" w:rsidR="00FF5E44" w:rsidRPr="002B65F7" w:rsidRDefault="00FF5E44" w:rsidP="00BB6F00">
            <w:pPr>
              <w:widowControl/>
              <w:jc w:val="center"/>
            </w:pPr>
            <w:r w:rsidRPr="002B65F7">
              <w:t>121 (57,9%)</w:t>
            </w:r>
            <w:r w:rsidRPr="002B65F7">
              <w:rPr>
                <w:vertAlign w:val="superscript"/>
              </w:rPr>
              <w:t>a</w:t>
            </w:r>
          </w:p>
        </w:tc>
      </w:tr>
      <w:tr w:rsidR="00FF5E44" w:rsidRPr="002B65F7" w14:paraId="6127E422" w14:textId="77777777" w:rsidTr="00CE7E90">
        <w:trPr>
          <w:cantSplit/>
          <w:trHeight w:val="254"/>
        </w:trPr>
        <w:tc>
          <w:tcPr>
            <w:tcW w:w="1660" w:type="pct"/>
          </w:tcPr>
          <w:p w14:paraId="0FB25151" w14:textId="77777777" w:rsidR="00FF5E44" w:rsidRPr="002B65F7" w:rsidRDefault="00FF5E44" w:rsidP="00BB6F00">
            <w:pPr>
              <w:widowControl/>
            </w:pPr>
            <w:r w:rsidRPr="002B65F7">
              <w:t>Réponse 70 points, semaine 3</w:t>
            </w:r>
          </w:p>
        </w:tc>
        <w:tc>
          <w:tcPr>
            <w:tcW w:w="919" w:type="pct"/>
          </w:tcPr>
          <w:p w14:paraId="46E64447" w14:textId="77777777" w:rsidR="00FF5E44" w:rsidRPr="002B65F7" w:rsidRDefault="00FF5E44" w:rsidP="00BB6F00">
            <w:pPr>
              <w:widowControl/>
              <w:jc w:val="center"/>
            </w:pPr>
            <w:r w:rsidRPr="002B65F7">
              <w:t>67 (27,1%)</w:t>
            </w:r>
          </w:p>
        </w:tc>
        <w:tc>
          <w:tcPr>
            <w:tcW w:w="836" w:type="pct"/>
          </w:tcPr>
          <w:p w14:paraId="0AD625F2" w14:textId="77777777" w:rsidR="00FF5E44" w:rsidRPr="002B65F7" w:rsidRDefault="00FF5E44" w:rsidP="00BB6F00">
            <w:pPr>
              <w:widowControl/>
              <w:jc w:val="center"/>
            </w:pPr>
            <w:r w:rsidRPr="002B65F7">
              <w:t>101 (40,6%)</w:t>
            </w:r>
            <w:r w:rsidRPr="002B65F7">
              <w:rPr>
                <w:vertAlign w:val="superscript"/>
              </w:rPr>
              <w:t>b</w:t>
            </w:r>
          </w:p>
        </w:tc>
        <w:tc>
          <w:tcPr>
            <w:tcW w:w="692" w:type="pct"/>
          </w:tcPr>
          <w:p w14:paraId="547A79B3" w14:textId="77777777" w:rsidR="00FF5E44" w:rsidRPr="002B65F7" w:rsidRDefault="00FF5E44" w:rsidP="00BB6F00">
            <w:pPr>
              <w:widowControl/>
              <w:jc w:val="center"/>
            </w:pPr>
            <w:r w:rsidRPr="002B65F7">
              <w:t>66 (31,6%)</w:t>
            </w:r>
          </w:p>
        </w:tc>
        <w:tc>
          <w:tcPr>
            <w:tcW w:w="893" w:type="pct"/>
          </w:tcPr>
          <w:p w14:paraId="799B981F" w14:textId="77777777" w:rsidR="00FF5E44" w:rsidRPr="002B65F7" w:rsidRDefault="00FF5E44" w:rsidP="00BB6F00">
            <w:pPr>
              <w:widowControl/>
              <w:jc w:val="center"/>
            </w:pPr>
            <w:r w:rsidRPr="002B65F7">
              <w:t>106 (50,7%)</w:t>
            </w:r>
            <w:r w:rsidRPr="002B65F7">
              <w:rPr>
                <w:vertAlign w:val="superscript"/>
              </w:rPr>
              <w:t>a</w:t>
            </w:r>
          </w:p>
        </w:tc>
      </w:tr>
      <w:tr w:rsidR="00FF5E44" w:rsidRPr="002B65F7" w14:paraId="27F89081" w14:textId="77777777" w:rsidTr="00CE7E90">
        <w:trPr>
          <w:cantSplit/>
          <w:trHeight w:val="251"/>
        </w:trPr>
        <w:tc>
          <w:tcPr>
            <w:tcW w:w="1660" w:type="pct"/>
          </w:tcPr>
          <w:p w14:paraId="5267C464" w14:textId="77777777" w:rsidR="00FF5E44" w:rsidRPr="002B65F7" w:rsidRDefault="00FF5E44" w:rsidP="00BB6F00">
            <w:pPr>
              <w:widowControl/>
            </w:pPr>
            <w:r w:rsidRPr="002B65F7">
              <w:t>Réponse 70 points, semaine 6</w:t>
            </w:r>
          </w:p>
        </w:tc>
        <w:tc>
          <w:tcPr>
            <w:tcW w:w="919" w:type="pct"/>
          </w:tcPr>
          <w:p w14:paraId="71E61A93" w14:textId="77777777" w:rsidR="00FF5E44" w:rsidRPr="002B65F7" w:rsidRDefault="00FF5E44" w:rsidP="00BB6F00">
            <w:pPr>
              <w:widowControl/>
              <w:jc w:val="center"/>
            </w:pPr>
            <w:r w:rsidRPr="002B65F7">
              <w:t>75 (30,4%)</w:t>
            </w:r>
          </w:p>
        </w:tc>
        <w:tc>
          <w:tcPr>
            <w:tcW w:w="836" w:type="pct"/>
          </w:tcPr>
          <w:p w14:paraId="239668F9" w14:textId="77777777" w:rsidR="00FF5E44" w:rsidRPr="002B65F7" w:rsidRDefault="00FF5E44" w:rsidP="00BB6F00">
            <w:pPr>
              <w:widowControl/>
              <w:jc w:val="center"/>
            </w:pPr>
            <w:r w:rsidRPr="002B65F7">
              <w:t>109 (43,8%)</w:t>
            </w:r>
            <w:r w:rsidRPr="002B65F7">
              <w:rPr>
                <w:vertAlign w:val="superscript"/>
              </w:rPr>
              <w:t>b</w:t>
            </w:r>
          </w:p>
        </w:tc>
        <w:tc>
          <w:tcPr>
            <w:tcW w:w="692" w:type="pct"/>
          </w:tcPr>
          <w:p w14:paraId="5C45DDC4" w14:textId="77777777" w:rsidR="00FF5E44" w:rsidRPr="002B65F7" w:rsidRDefault="00FF5E44" w:rsidP="00BB6F00">
            <w:pPr>
              <w:widowControl/>
              <w:jc w:val="center"/>
            </w:pPr>
            <w:r w:rsidRPr="002B65F7">
              <w:t>81 (38,8%)</w:t>
            </w:r>
          </w:p>
        </w:tc>
        <w:tc>
          <w:tcPr>
            <w:tcW w:w="893" w:type="pct"/>
          </w:tcPr>
          <w:p w14:paraId="7F5982B7" w14:textId="77777777" w:rsidR="00FF5E44" w:rsidRPr="002B65F7" w:rsidRDefault="00FF5E44" w:rsidP="00BB6F00">
            <w:pPr>
              <w:widowControl/>
              <w:jc w:val="center"/>
            </w:pPr>
            <w:r w:rsidRPr="002B65F7">
              <w:t>135 (64,6%)</w:t>
            </w:r>
            <w:r w:rsidRPr="002B65F7">
              <w:rPr>
                <w:vertAlign w:val="superscript"/>
              </w:rPr>
              <w:t>a</w:t>
            </w:r>
          </w:p>
        </w:tc>
      </w:tr>
    </w:tbl>
    <w:p w14:paraId="05CC7F9B" w14:textId="77777777" w:rsidR="00FF5E44" w:rsidRPr="002B65F7" w:rsidRDefault="00FF5E44" w:rsidP="00FF5E44">
      <w:pPr>
        <w:widowControl/>
        <w:rPr>
          <w:sz w:val="20"/>
          <w:szCs w:val="20"/>
        </w:rPr>
      </w:pPr>
      <w:r w:rsidRPr="002B65F7">
        <w:rPr>
          <w:sz w:val="20"/>
          <w:szCs w:val="20"/>
        </w:rPr>
        <w:t>La rémission clinique est définie comme un score CDAI &lt; 150 ; La réponse clinique est définie comme une réduction du score CDAI d’au moins 100 points ou un état de rémission clinique</w:t>
      </w:r>
    </w:p>
    <w:p w14:paraId="11480F84" w14:textId="77777777" w:rsidR="00FF5E44" w:rsidRPr="002B65F7" w:rsidRDefault="00FF5E44" w:rsidP="00FF5E44">
      <w:pPr>
        <w:widowControl/>
        <w:rPr>
          <w:sz w:val="20"/>
          <w:szCs w:val="20"/>
        </w:rPr>
      </w:pPr>
      <w:r w:rsidRPr="002B65F7">
        <w:rPr>
          <w:sz w:val="20"/>
          <w:szCs w:val="20"/>
        </w:rPr>
        <w:t>La réponse 70 points est définie comme une réduction du score CDAI d’au moins 70 points</w:t>
      </w:r>
    </w:p>
    <w:p w14:paraId="1487E2E5" w14:textId="77777777" w:rsidR="00FF5E44" w:rsidRPr="002B65F7" w:rsidRDefault="00FF5E44" w:rsidP="00FF5E44">
      <w:pPr>
        <w:widowControl/>
        <w:rPr>
          <w:sz w:val="20"/>
          <w:szCs w:val="20"/>
        </w:rPr>
      </w:pPr>
      <w:r w:rsidRPr="002B65F7">
        <w:rPr>
          <w:b/>
          <w:bCs/>
          <w:sz w:val="20"/>
          <w:szCs w:val="20"/>
        </w:rPr>
        <w:t>*</w:t>
      </w:r>
      <w:r w:rsidRPr="002B65F7">
        <w:rPr>
          <w:sz w:val="20"/>
          <w:szCs w:val="20"/>
        </w:rPr>
        <w:t xml:space="preserve"> Échec des anti-TNFα</w:t>
      </w:r>
    </w:p>
    <w:p w14:paraId="3C18178D" w14:textId="77777777" w:rsidR="00FF5E44" w:rsidRPr="002B65F7" w:rsidRDefault="00FF5E44" w:rsidP="00FF5E44">
      <w:pPr>
        <w:widowControl/>
        <w:rPr>
          <w:sz w:val="20"/>
          <w:szCs w:val="20"/>
        </w:rPr>
      </w:pPr>
      <w:r w:rsidRPr="002B65F7">
        <w:rPr>
          <w:sz w:val="20"/>
          <w:szCs w:val="20"/>
        </w:rPr>
        <w:t>** Échec des traitements conventionnels</w:t>
      </w:r>
    </w:p>
    <w:p w14:paraId="034C4415" w14:textId="77777777" w:rsidR="00FF5E44" w:rsidRPr="002B65F7" w:rsidRDefault="00FF5E44" w:rsidP="00FF5E44">
      <w:pPr>
        <w:widowControl/>
        <w:rPr>
          <w:sz w:val="20"/>
          <w:szCs w:val="20"/>
        </w:rPr>
      </w:pPr>
      <w:r w:rsidRPr="002B65F7">
        <w:rPr>
          <w:sz w:val="20"/>
          <w:szCs w:val="20"/>
          <w:vertAlign w:val="superscript"/>
        </w:rPr>
        <w:t>a</w:t>
      </w:r>
      <w:r w:rsidRPr="002B65F7">
        <w:rPr>
          <w:sz w:val="20"/>
          <w:szCs w:val="20"/>
        </w:rPr>
        <w:t xml:space="preserve"> p &lt; 0,001</w:t>
      </w:r>
    </w:p>
    <w:p w14:paraId="1FDC9486" w14:textId="77777777" w:rsidR="00FF5E44" w:rsidRPr="002B65F7" w:rsidRDefault="00FF5E44" w:rsidP="00FF5E44">
      <w:pPr>
        <w:widowControl/>
        <w:rPr>
          <w:sz w:val="20"/>
          <w:szCs w:val="20"/>
        </w:rPr>
      </w:pPr>
      <w:r w:rsidRPr="002B65F7">
        <w:rPr>
          <w:sz w:val="20"/>
          <w:szCs w:val="20"/>
          <w:vertAlign w:val="superscript"/>
        </w:rPr>
        <w:t>b</w:t>
      </w:r>
      <w:r w:rsidRPr="002B65F7">
        <w:rPr>
          <w:sz w:val="20"/>
          <w:szCs w:val="20"/>
        </w:rPr>
        <w:t xml:space="preserve"> p &lt; 0,01</w:t>
      </w:r>
    </w:p>
    <w:p w14:paraId="6C3AA9AD" w14:textId="77777777" w:rsidR="00FF5E44" w:rsidRPr="002B65F7" w:rsidRDefault="00FF5E44" w:rsidP="00FF5E44">
      <w:pPr>
        <w:widowControl/>
      </w:pPr>
    </w:p>
    <w:p w14:paraId="218C5041" w14:textId="77777777" w:rsidR="00FF5E44" w:rsidRPr="002B65F7" w:rsidRDefault="00FF5E44" w:rsidP="00FF5E44">
      <w:pPr>
        <w:widowControl/>
      </w:pPr>
      <w:r w:rsidRPr="002B65F7">
        <w:t>L’étude d’entretien (IM-UNITI) a évalué 388 patients ayant obtenu une réponse clinique de 100 points à la semaine 8 après un traitement d’induction par ustekinumab dans les études UNITI-1 et UNITI-2. Les patients étaient randomisés pour recevoir un traitement d’entretien sous-cutané par 90 mg d’ustekinumab toutes les 8 semaines, ou 90 mg d’ustekinumab toutes les 12 semaines ou un placebo pendant 44 semaines (pour la posologie recommandée pour le traitement d’entretien, voir rubrique 4.2).</w:t>
      </w:r>
    </w:p>
    <w:p w14:paraId="1EEF9193" w14:textId="77777777" w:rsidR="00FF5E44" w:rsidRPr="002B65F7" w:rsidRDefault="00FF5E44" w:rsidP="00FF5E44">
      <w:pPr>
        <w:widowControl/>
      </w:pPr>
    </w:p>
    <w:p w14:paraId="67B08493" w14:textId="71351C15" w:rsidR="00FF5E44" w:rsidRPr="002B65F7" w:rsidRDefault="00FF5E44" w:rsidP="00FF5E44">
      <w:pPr>
        <w:widowControl/>
      </w:pPr>
      <w:r w:rsidRPr="002B65F7">
        <w:t>Une proportion significativement supérieure de patients a maintenu une rémission et une réponse cliniques dans les groupes traités par ustekinumab comparativement au groupe placebo à la semaine 44 (voir tableau </w:t>
      </w:r>
      <w:r w:rsidR="009A4816">
        <w:t>6</w:t>
      </w:r>
      <w:r w:rsidRPr="002B65F7">
        <w:t>).</w:t>
      </w:r>
    </w:p>
    <w:p w14:paraId="79DAE2E0" w14:textId="77777777" w:rsidR="00FF5E44" w:rsidRPr="002B65F7" w:rsidRDefault="00FF5E44" w:rsidP="00FF5E44">
      <w:pPr>
        <w:widowControl/>
      </w:pPr>
    </w:p>
    <w:p w14:paraId="5D3EA5A8" w14:textId="1D835163" w:rsidR="00FF5E44" w:rsidRPr="002B65F7" w:rsidRDefault="00FF5E44" w:rsidP="00FF5E44">
      <w:pPr>
        <w:keepNext/>
        <w:widowControl/>
        <w:rPr>
          <w:b/>
          <w:bCs/>
        </w:rPr>
      </w:pPr>
      <w:r w:rsidRPr="002B65F7">
        <w:rPr>
          <w:b/>
          <w:bCs/>
        </w:rPr>
        <w:t>Tableau </w:t>
      </w:r>
      <w:r w:rsidR="00A051AC">
        <w:rPr>
          <w:b/>
          <w:bCs/>
        </w:rPr>
        <w:t>6</w:t>
      </w:r>
      <w:r w:rsidRPr="002B65F7">
        <w:rPr>
          <w:b/>
          <w:bCs/>
        </w:rPr>
        <w:t>. Maintien de la réponse et de la rémission cliniques dans l’étude IM-UNITI (semaine 44 ; 52 semaines après l’initiation avec la dose d’induction)</w:t>
      </w:r>
    </w:p>
    <w:p w14:paraId="476608A7" w14:textId="77777777" w:rsidR="00FF5E44" w:rsidRPr="002B65F7" w:rsidRDefault="00FF5E44" w:rsidP="00FF5E44">
      <w:pPr>
        <w:keepNext/>
        <w:widowControl/>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2"/>
        <w:gridCol w:w="1278"/>
        <w:gridCol w:w="1660"/>
        <w:gridCol w:w="1731"/>
      </w:tblGrid>
      <w:tr w:rsidR="00FF5E44" w:rsidRPr="002B65F7" w14:paraId="79C436DC" w14:textId="77777777" w:rsidTr="00CE7E90">
        <w:trPr>
          <w:cantSplit/>
          <w:trHeight w:val="1264"/>
          <w:tblHeader/>
        </w:trPr>
        <w:tc>
          <w:tcPr>
            <w:tcW w:w="2424" w:type="pct"/>
          </w:tcPr>
          <w:p w14:paraId="3066DAB7" w14:textId="77777777" w:rsidR="00FF5E44" w:rsidRPr="002B65F7" w:rsidRDefault="00FF5E44" w:rsidP="00CE7E90">
            <w:pPr>
              <w:keepNext/>
              <w:widowControl/>
              <w:adjustRightInd w:val="0"/>
              <w:snapToGrid w:val="0"/>
            </w:pPr>
          </w:p>
        </w:tc>
        <w:tc>
          <w:tcPr>
            <w:tcW w:w="705" w:type="pct"/>
          </w:tcPr>
          <w:p w14:paraId="74E17578" w14:textId="77777777" w:rsidR="00FF5E44" w:rsidRPr="002B65F7" w:rsidRDefault="00FF5E44" w:rsidP="00CE7E90">
            <w:pPr>
              <w:keepNext/>
              <w:widowControl/>
              <w:adjustRightInd w:val="0"/>
              <w:snapToGrid w:val="0"/>
              <w:jc w:val="center"/>
              <w:rPr>
                <w:b/>
                <w:bCs/>
              </w:rPr>
            </w:pPr>
            <w:r w:rsidRPr="002B65F7">
              <w:rPr>
                <w:b/>
                <w:bCs/>
              </w:rPr>
              <w:t>Placebo*</w:t>
            </w:r>
          </w:p>
          <w:p w14:paraId="08647861" w14:textId="77777777" w:rsidR="00FF5E44" w:rsidRPr="002B65F7" w:rsidRDefault="00FF5E44" w:rsidP="00CE7E90">
            <w:pPr>
              <w:keepNext/>
              <w:widowControl/>
              <w:adjustRightInd w:val="0"/>
              <w:snapToGrid w:val="0"/>
              <w:jc w:val="center"/>
              <w:rPr>
                <w:b/>
                <w:bCs/>
              </w:rPr>
            </w:pPr>
          </w:p>
          <w:p w14:paraId="116AD76A" w14:textId="77777777" w:rsidR="00FF5E44" w:rsidRPr="002B65F7" w:rsidRDefault="00FF5E44" w:rsidP="00CE7E90">
            <w:pPr>
              <w:keepNext/>
              <w:widowControl/>
              <w:adjustRightInd w:val="0"/>
              <w:snapToGrid w:val="0"/>
              <w:jc w:val="center"/>
              <w:rPr>
                <w:b/>
                <w:bCs/>
              </w:rPr>
            </w:pPr>
          </w:p>
          <w:p w14:paraId="4AD6BD7F" w14:textId="77777777" w:rsidR="00FF5E44" w:rsidRPr="002B65F7" w:rsidRDefault="00FF5E44" w:rsidP="00CE7E90">
            <w:pPr>
              <w:keepNext/>
              <w:widowControl/>
              <w:adjustRightInd w:val="0"/>
              <w:snapToGrid w:val="0"/>
              <w:jc w:val="center"/>
              <w:rPr>
                <w:b/>
                <w:bCs/>
              </w:rPr>
            </w:pPr>
          </w:p>
          <w:p w14:paraId="2B308F9F" w14:textId="77777777" w:rsidR="00FF5E44" w:rsidRPr="002B65F7" w:rsidRDefault="00FF5E44" w:rsidP="00CE7E90">
            <w:pPr>
              <w:keepNext/>
              <w:widowControl/>
              <w:adjustRightInd w:val="0"/>
              <w:snapToGrid w:val="0"/>
              <w:jc w:val="center"/>
            </w:pPr>
            <w:r w:rsidRPr="002B65F7">
              <w:rPr>
                <w:b/>
                <w:bCs/>
              </w:rPr>
              <w:t>N = 131</w:t>
            </w:r>
            <w:r w:rsidRPr="002B65F7">
              <w:rPr>
                <w:b/>
                <w:bCs/>
                <w:vertAlign w:val="superscript"/>
              </w:rPr>
              <w:t>†</w:t>
            </w:r>
          </w:p>
        </w:tc>
        <w:tc>
          <w:tcPr>
            <w:tcW w:w="916" w:type="pct"/>
          </w:tcPr>
          <w:p w14:paraId="0102A27A" w14:textId="77777777" w:rsidR="00FF5E44" w:rsidRPr="002B65F7" w:rsidRDefault="00FF5E44" w:rsidP="00CE7E90">
            <w:pPr>
              <w:keepNext/>
              <w:widowControl/>
              <w:adjustRightInd w:val="0"/>
              <w:snapToGrid w:val="0"/>
              <w:jc w:val="center"/>
              <w:rPr>
                <w:b/>
                <w:bCs/>
              </w:rPr>
            </w:pPr>
            <w:r w:rsidRPr="002B65F7">
              <w:rPr>
                <w:b/>
                <w:bCs/>
              </w:rPr>
              <w:t>90 mg d’ustekinumab toutes les 8 semaines</w:t>
            </w:r>
          </w:p>
          <w:p w14:paraId="5D1FE262" w14:textId="77777777" w:rsidR="00FF5E44" w:rsidRPr="002B65F7" w:rsidRDefault="00FF5E44" w:rsidP="00CE7E90">
            <w:pPr>
              <w:keepNext/>
              <w:widowControl/>
              <w:adjustRightInd w:val="0"/>
              <w:snapToGrid w:val="0"/>
              <w:jc w:val="center"/>
            </w:pPr>
            <w:r w:rsidRPr="002B65F7">
              <w:rPr>
                <w:b/>
                <w:bCs/>
              </w:rPr>
              <w:t>N = 128</w:t>
            </w:r>
            <w:r w:rsidRPr="002B65F7">
              <w:rPr>
                <w:b/>
                <w:bCs/>
                <w:vertAlign w:val="superscript"/>
              </w:rPr>
              <w:t>†</w:t>
            </w:r>
          </w:p>
        </w:tc>
        <w:tc>
          <w:tcPr>
            <w:tcW w:w="955" w:type="pct"/>
          </w:tcPr>
          <w:p w14:paraId="2B3CAF0F" w14:textId="77777777" w:rsidR="00FF5E44" w:rsidRPr="002B65F7" w:rsidRDefault="00FF5E44" w:rsidP="00CE7E90">
            <w:pPr>
              <w:keepNext/>
              <w:widowControl/>
              <w:adjustRightInd w:val="0"/>
              <w:snapToGrid w:val="0"/>
              <w:jc w:val="center"/>
              <w:rPr>
                <w:b/>
                <w:bCs/>
              </w:rPr>
            </w:pPr>
            <w:r w:rsidRPr="002B65F7">
              <w:rPr>
                <w:b/>
                <w:bCs/>
              </w:rPr>
              <w:t>90 mg d’ustekinumab toutes les 12 semaines</w:t>
            </w:r>
          </w:p>
          <w:p w14:paraId="52148F24" w14:textId="77777777" w:rsidR="00FF5E44" w:rsidRPr="002B65F7" w:rsidRDefault="00FF5E44" w:rsidP="00CE7E90">
            <w:pPr>
              <w:keepNext/>
              <w:widowControl/>
              <w:adjustRightInd w:val="0"/>
              <w:snapToGrid w:val="0"/>
              <w:jc w:val="center"/>
              <w:rPr>
                <w:b/>
                <w:bCs/>
              </w:rPr>
            </w:pPr>
            <w:r w:rsidRPr="002B65F7">
              <w:rPr>
                <w:b/>
                <w:bCs/>
              </w:rPr>
              <w:t>N = 129</w:t>
            </w:r>
            <w:r w:rsidRPr="002B65F7">
              <w:rPr>
                <w:b/>
                <w:bCs/>
                <w:vertAlign w:val="superscript"/>
              </w:rPr>
              <w:t>†</w:t>
            </w:r>
          </w:p>
        </w:tc>
      </w:tr>
      <w:tr w:rsidR="00FF5E44" w:rsidRPr="002B65F7" w14:paraId="5E046947" w14:textId="77777777" w:rsidTr="00CE7E90">
        <w:trPr>
          <w:cantSplit/>
          <w:trHeight w:val="251"/>
        </w:trPr>
        <w:tc>
          <w:tcPr>
            <w:tcW w:w="2424" w:type="pct"/>
          </w:tcPr>
          <w:p w14:paraId="77798D81" w14:textId="77777777" w:rsidR="00FF5E44" w:rsidRPr="002B65F7" w:rsidRDefault="00FF5E44" w:rsidP="00CE7E90">
            <w:pPr>
              <w:widowControl/>
              <w:adjustRightInd w:val="0"/>
              <w:snapToGrid w:val="0"/>
            </w:pPr>
            <w:r w:rsidRPr="002B65F7">
              <w:t>Rémission clinique</w:t>
            </w:r>
          </w:p>
        </w:tc>
        <w:tc>
          <w:tcPr>
            <w:tcW w:w="705" w:type="pct"/>
          </w:tcPr>
          <w:p w14:paraId="0D368A2C" w14:textId="77777777" w:rsidR="00FF5E44" w:rsidRPr="002B65F7" w:rsidRDefault="00FF5E44" w:rsidP="00CE7E90">
            <w:pPr>
              <w:widowControl/>
              <w:adjustRightInd w:val="0"/>
              <w:snapToGrid w:val="0"/>
              <w:jc w:val="center"/>
            </w:pPr>
            <w:r w:rsidRPr="002B65F7">
              <w:t>36%</w:t>
            </w:r>
          </w:p>
        </w:tc>
        <w:tc>
          <w:tcPr>
            <w:tcW w:w="916" w:type="pct"/>
          </w:tcPr>
          <w:p w14:paraId="005F7AA7" w14:textId="77777777" w:rsidR="00FF5E44" w:rsidRPr="002B65F7" w:rsidRDefault="00FF5E44" w:rsidP="00CE7E90">
            <w:pPr>
              <w:widowControl/>
              <w:adjustRightInd w:val="0"/>
              <w:snapToGrid w:val="0"/>
              <w:jc w:val="center"/>
            </w:pPr>
            <w:r w:rsidRPr="002B65F7">
              <w:t>53%</w:t>
            </w:r>
            <w:r w:rsidRPr="002B65F7">
              <w:rPr>
                <w:vertAlign w:val="superscript"/>
              </w:rPr>
              <w:t>a</w:t>
            </w:r>
          </w:p>
        </w:tc>
        <w:tc>
          <w:tcPr>
            <w:tcW w:w="955" w:type="pct"/>
          </w:tcPr>
          <w:p w14:paraId="69F102C7" w14:textId="77777777" w:rsidR="00FF5E44" w:rsidRPr="002B65F7" w:rsidRDefault="00FF5E44" w:rsidP="00CE7E90">
            <w:pPr>
              <w:widowControl/>
              <w:adjustRightInd w:val="0"/>
              <w:snapToGrid w:val="0"/>
              <w:jc w:val="center"/>
            </w:pPr>
            <w:r w:rsidRPr="002B65F7">
              <w:t>49%</w:t>
            </w:r>
            <w:r w:rsidRPr="002B65F7">
              <w:rPr>
                <w:vertAlign w:val="superscript"/>
              </w:rPr>
              <w:t>b</w:t>
            </w:r>
          </w:p>
        </w:tc>
      </w:tr>
      <w:tr w:rsidR="00FF5E44" w:rsidRPr="002B65F7" w14:paraId="08F3FB67" w14:textId="77777777" w:rsidTr="00CE7E90">
        <w:trPr>
          <w:cantSplit/>
          <w:trHeight w:val="251"/>
        </w:trPr>
        <w:tc>
          <w:tcPr>
            <w:tcW w:w="2424" w:type="pct"/>
          </w:tcPr>
          <w:p w14:paraId="6A47C0FA" w14:textId="77777777" w:rsidR="00FF5E44" w:rsidRPr="002B65F7" w:rsidRDefault="00FF5E44" w:rsidP="00CE7E90">
            <w:pPr>
              <w:widowControl/>
              <w:adjustRightInd w:val="0"/>
              <w:snapToGrid w:val="0"/>
            </w:pPr>
            <w:r w:rsidRPr="002B65F7">
              <w:t>Réponse clinique</w:t>
            </w:r>
          </w:p>
        </w:tc>
        <w:tc>
          <w:tcPr>
            <w:tcW w:w="705" w:type="pct"/>
          </w:tcPr>
          <w:p w14:paraId="5DC31E25" w14:textId="77777777" w:rsidR="00FF5E44" w:rsidRPr="002B65F7" w:rsidRDefault="00FF5E44" w:rsidP="00CE7E90">
            <w:pPr>
              <w:widowControl/>
              <w:adjustRightInd w:val="0"/>
              <w:snapToGrid w:val="0"/>
              <w:jc w:val="center"/>
            </w:pPr>
            <w:r w:rsidRPr="002B65F7">
              <w:t>44%</w:t>
            </w:r>
          </w:p>
        </w:tc>
        <w:tc>
          <w:tcPr>
            <w:tcW w:w="916" w:type="pct"/>
          </w:tcPr>
          <w:p w14:paraId="21685DCA" w14:textId="77777777" w:rsidR="00FF5E44" w:rsidRPr="002B65F7" w:rsidRDefault="00FF5E44" w:rsidP="00CE7E90">
            <w:pPr>
              <w:widowControl/>
              <w:adjustRightInd w:val="0"/>
              <w:snapToGrid w:val="0"/>
              <w:jc w:val="center"/>
            </w:pPr>
            <w:r w:rsidRPr="002B65F7">
              <w:t>59%</w:t>
            </w:r>
            <w:r w:rsidRPr="002B65F7">
              <w:rPr>
                <w:vertAlign w:val="superscript"/>
              </w:rPr>
              <w:t>b</w:t>
            </w:r>
          </w:p>
        </w:tc>
        <w:tc>
          <w:tcPr>
            <w:tcW w:w="955" w:type="pct"/>
          </w:tcPr>
          <w:p w14:paraId="3BE2DAE3" w14:textId="77777777" w:rsidR="00FF5E44" w:rsidRPr="002B65F7" w:rsidRDefault="00FF5E44" w:rsidP="00CE7E90">
            <w:pPr>
              <w:widowControl/>
              <w:adjustRightInd w:val="0"/>
              <w:snapToGrid w:val="0"/>
              <w:jc w:val="center"/>
            </w:pPr>
            <w:r w:rsidRPr="002B65F7">
              <w:t>58%</w:t>
            </w:r>
            <w:r w:rsidRPr="002B65F7">
              <w:rPr>
                <w:vertAlign w:val="superscript"/>
              </w:rPr>
              <w:t>b</w:t>
            </w:r>
          </w:p>
        </w:tc>
      </w:tr>
      <w:tr w:rsidR="00FF5E44" w:rsidRPr="002B65F7" w14:paraId="5ED96A51" w14:textId="77777777" w:rsidTr="00CE7E90">
        <w:trPr>
          <w:cantSplit/>
          <w:trHeight w:val="254"/>
        </w:trPr>
        <w:tc>
          <w:tcPr>
            <w:tcW w:w="2424" w:type="pct"/>
          </w:tcPr>
          <w:p w14:paraId="13005618" w14:textId="77777777" w:rsidR="00FF5E44" w:rsidRPr="002B65F7" w:rsidRDefault="00FF5E44" w:rsidP="00CE7E90">
            <w:pPr>
              <w:widowControl/>
              <w:adjustRightInd w:val="0"/>
              <w:snapToGrid w:val="0"/>
            </w:pPr>
            <w:r w:rsidRPr="002B65F7">
              <w:t>Rémission clinique sans corticoïdes</w:t>
            </w:r>
          </w:p>
        </w:tc>
        <w:tc>
          <w:tcPr>
            <w:tcW w:w="705" w:type="pct"/>
          </w:tcPr>
          <w:p w14:paraId="0EF388A0" w14:textId="77777777" w:rsidR="00FF5E44" w:rsidRPr="002B65F7" w:rsidRDefault="00FF5E44" w:rsidP="00CE7E90">
            <w:pPr>
              <w:widowControl/>
              <w:adjustRightInd w:val="0"/>
              <w:snapToGrid w:val="0"/>
              <w:jc w:val="center"/>
            </w:pPr>
            <w:r w:rsidRPr="002B65F7">
              <w:t>30%</w:t>
            </w:r>
          </w:p>
        </w:tc>
        <w:tc>
          <w:tcPr>
            <w:tcW w:w="916" w:type="pct"/>
          </w:tcPr>
          <w:p w14:paraId="2FCD148E" w14:textId="77777777" w:rsidR="00FF5E44" w:rsidRPr="002B65F7" w:rsidRDefault="00FF5E44" w:rsidP="00CE7E90">
            <w:pPr>
              <w:widowControl/>
              <w:adjustRightInd w:val="0"/>
              <w:snapToGrid w:val="0"/>
              <w:jc w:val="center"/>
            </w:pPr>
            <w:r w:rsidRPr="002B65F7">
              <w:t>47%</w:t>
            </w:r>
            <w:r w:rsidRPr="002B65F7">
              <w:rPr>
                <w:vertAlign w:val="superscript"/>
              </w:rPr>
              <w:t>a</w:t>
            </w:r>
          </w:p>
        </w:tc>
        <w:tc>
          <w:tcPr>
            <w:tcW w:w="955" w:type="pct"/>
          </w:tcPr>
          <w:p w14:paraId="699A486D" w14:textId="77777777" w:rsidR="00FF5E44" w:rsidRPr="002B65F7" w:rsidRDefault="00FF5E44" w:rsidP="00CE7E90">
            <w:pPr>
              <w:widowControl/>
              <w:adjustRightInd w:val="0"/>
              <w:snapToGrid w:val="0"/>
              <w:jc w:val="center"/>
            </w:pPr>
            <w:r w:rsidRPr="002B65F7">
              <w:t>43%</w:t>
            </w:r>
            <w:r w:rsidRPr="002B65F7">
              <w:rPr>
                <w:vertAlign w:val="superscript"/>
              </w:rPr>
              <w:t>c</w:t>
            </w:r>
          </w:p>
        </w:tc>
      </w:tr>
      <w:tr w:rsidR="00FF5E44" w:rsidRPr="002B65F7" w14:paraId="6B92041D" w14:textId="77777777" w:rsidTr="00CE7E90">
        <w:trPr>
          <w:cantSplit/>
          <w:trHeight w:val="254"/>
        </w:trPr>
        <w:tc>
          <w:tcPr>
            <w:tcW w:w="2424" w:type="pct"/>
          </w:tcPr>
          <w:p w14:paraId="55D094C5" w14:textId="77777777" w:rsidR="00FF5E44" w:rsidRPr="002B65F7" w:rsidRDefault="00FF5E44" w:rsidP="00CE7E90">
            <w:pPr>
              <w:widowControl/>
              <w:adjustRightInd w:val="0"/>
              <w:snapToGrid w:val="0"/>
            </w:pPr>
            <w:r w:rsidRPr="002B65F7">
              <w:t>Rémission clinique chez les patients :</w:t>
            </w:r>
          </w:p>
        </w:tc>
        <w:tc>
          <w:tcPr>
            <w:tcW w:w="705" w:type="pct"/>
          </w:tcPr>
          <w:p w14:paraId="3DE82042" w14:textId="77777777" w:rsidR="00FF5E44" w:rsidRPr="002B65F7" w:rsidRDefault="00FF5E44" w:rsidP="00CE7E90">
            <w:pPr>
              <w:widowControl/>
              <w:adjustRightInd w:val="0"/>
              <w:snapToGrid w:val="0"/>
              <w:jc w:val="center"/>
            </w:pPr>
          </w:p>
        </w:tc>
        <w:tc>
          <w:tcPr>
            <w:tcW w:w="916" w:type="pct"/>
          </w:tcPr>
          <w:p w14:paraId="0D2A63E3" w14:textId="77777777" w:rsidR="00FF5E44" w:rsidRPr="002B65F7" w:rsidRDefault="00FF5E44" w:rsidP="00CE7E90">
            <w:pPr>
              <w:widowControl/>
              <w:adjustRightInd w:val="0"/>
              <w:snapToGrid w:val="0"/>
              <w:jc w:val="center"/>
            </w:pPr>
          </w:p>
        </w:tc>
        <w:tc>
          <w:tcPr>
            <w:tcW w:w="955" w:type="pct"/>
          </w:tcPr>
          <w:p w14:paraId="2E46C220" w14:textId="77777777" w:rsidR="00FF5E44" w:rsidRPr="002B65F7" w:rsidRDefault="00FF5E44" w:rsidP="00CE7E90">
            <w:pPr>
              <w:widowControl/>
              <w:adjustRightInd w:val="0"/>
              <w:snapToGrid w:val="0"/>
              <w:jc w:val="center"/>
            </w:pPr>
          </w:p>
        </w:tc>
      </w:tr>
      <w:tr w:rsidR="00FF5E44" w:rsidRPr="002B65F7" w14:paraId="261F6587" w14:textId="77777777" w:rsidTr="00CE7E90">
        <w:trPr>
          <w:cantSplit/>
          <w:trHeight w:val="254"/>
        </w:trPr>
        <w:tc>
          <w:tcPr>
            <w:tcW w:w="2424" w:type="pct"/>
          </w:tcPr>
          <w:p w14:paraId="5BB4B91B" w14:textId="77777777" w:rsidR="00FF5E44" w:rsidRPr="002B65F7" w:rsidRDefault="00FF5E44" w:rsidP="00CE7E90">
            <w:pPr>
              <w:widowControl/>
              <w:adjustRightInd w:val="0"/>
              <w:snapToGrid w:val="0"/>
              <w:ind w:left="284"/>
            </w:pPr>
            <w:r w:rsidRPr="002B65F7">
              <w:t>en rémission au début du traitement d’entretien</w:t>
            </w:r>
          </w:p>
        </w:tc>
        <w:tc>
          <w:tcPr>
            <w:tcW w:w="705" w:type="pct"/>
          </w:tcPr>
          <w:p w14:paraId="3F2E224A" w14:textId="77777777" w:rsidR="00FF5E44" w:rsidRPr="002B65F7" w:rsidRDefault="00FF5E44" w:rsidP="00CE7E90">
            <w:pPr>
              <w:widowControl/>
              <w:adjustRightInd w:val="0"/>
              <w:snapToGrid w:val="0"/>
              <w:jc w:val="center"/>
            </w:pPr>
            <w:r w:rsidRPr="002B65F7">
              <w:t>46% (36/79)</w:t>
            </w:r>
          </w:p>
        </w:tc>
        <w:tc>
          <w:tcPr>
            <w:tcW w:w="916" w:type="pct"/>
          </w:tcPr>
          <w:p w14:paraId="67E656C8" w14:textId="77777777" w:rsidR="00FF5E44" w:rsidRPr="002B65F7" w:rsidRDefault="00FF5E44" w:rsidP="00CE7E90">
            <w:pPr>
              <w:widowControl/>
              <w:adjustRightInd w:val="0"/>
              <w:snapToGrid w:val="0"/>
              <w:jc w:val="center"/>
            </w:pPr>
            <w:r w:rsidRPr="002B65F7">
              <w:t>67% (52/78)</w:t>
            </w:r>
            <w:r w:rsidRPr="002B65F7">
              <w:rPr>
                <w:vertAlign w:val="superscript"/>
              </w:rPr>
              <w:t>a</w:t>
            </w:r>
          </w:p>
        </w:tc>
        <w:tc>
          <w:tcPr>
            <w:tcW w:w="955" w:type="pct"/>
          </w:tcPr>
          <w:p w14:paraId="0A9C3810" w14:textId="77777777" w:rsidR="00FF5E44" w:rsidRPr="002B65F7" w:rsidRDefault="00FF5E44" w:rsidP="00CE7E90">
            <w:pPr>
              <w:widowControl/>
              <w:adjustRightInd w:val="0"/>
              <w:snapToGrid w:val="0"/>
              <w:jc w:val="center"/>
            </w:pPr>
            <w:r w:rsidRPr="002B65F7">
              <w:t>56% (44/78)</w:t>
            </w:r>
          </w:p>
        </w:tc>
      </w:tr>
      <w:tr w:rsidR="00FF5E44" w:rsidRPr="002B65F7" w14:paraId="233F265A" w14:textId="77777777" w:rsidTr="00CE7E90">
        <w:trPr>
          <w:cantSplit/>
          <w:trHeight w:val="254"/>
        </w:trPr>
        <w:tc>
          <w:tcPr>
            <w:tcW w:w="2424" w:type="pct"/>
          </w:tcPr>
          <w:p w14:paraId="1D86A9DC" w14:textId="77777777" w:rsidR="00FF5E44" w:rsidRPr="002B65F7" w:rsidRDefault="00FF5E44" w:rsidP="00CE7E90">
            <w:pPr>
              <w:widowControl/>
              <w:adjustRightInd w:val="0"/>
              <w:snapToGrid w:val="0"/>
              <w:ind w:left="284"/>
            </w:pPr>
            <w:r w:rsidRPr="002B65F7">
              <w:t>issus de l’étude CRD3002</w:t>
            </w:r>
            <w:r w:rsidRPr="002B65F7">
              <w:rPr>
                <w:vertAlign w:val="superscript"/>
              </w:rPr>
              <w:t>‡</w:t>
            </w:r>
          </w:p>
        </w:tc>
        <w:tc>
          <w:tcPr>
            <w:tcW w:w="705" w:type="pct"/>
          </w:tcPr>
          <w:p w14:paraId="522F3124" w14:textId="77777777" w:rsidR="00FF5E44" w:rsidRPr="002B65F7" w:rsidRDefault="00FF5E44" w:rsidP="00CE7E90">
            <w:pPr>
              <w:widowControl/>
              <w:adjustRightInd w:val="0"/>
              <w:snapToGrid w:val="0"/>
              <w:jc w:val="center"/>
            </w:pPr>
            <w:r w:rsidRPr="002B65F7">
              <w:t>44% (31/70)</w:t>
            </w:r>
          </w:p>
        </w:tc>
        <w:tc>
          <w:tcPr>
            <w:tcW w:w="916" w:type="pct"/>
          </w:tcPr>
          <w:p w14:paraId="777D1235" w14:textId="77777777" w:rsidR="00FF5E44" w:rsidRPr="002B65F7" w:rsidRDefault="00FF5E44" w:rsidP="00CE7E90">
            <w:pPr>
              <w:widowControl/>
              <w:adjustRightInd w:val="0"/>
              <w:snapToGrid w:val="0"/>
              <w:jc w:val="center"/>
            </w:pPr>
            <w:r w:rsidRPr="002B65F7">
              <w:t>63% (45/72)</w:t>
            </w:r>
            <w:r w:rsidRPr="002B65F7">
              <w:rPr>
                <w:vertAlign w:val="superscript"/>
              </w:rPr>
              <w:t>c</w:t>
            </w:r>
          </w:p>
        </w:tc>
        <w:tc>
          <w:tcPr>
            <w:tcW w:w="955" w:type="pct"/>
          </w:tcPr>
          <w:p w14:paraId="14307D2F" w14:textId="77777777" w:rsidR="00FF5E44" w:rsidRPr="002B65F7" w:rsidRDefault="00FF5E44" w:rsidP="00CE7E90">
            <w:pPr>
              <w:widowControl/>
              <w:adjustRightInd w:val="0"/>
              <w:snapToGrid w:val="0"/>
              <w:jc w:val="center"/>
            </w:pPr>
            <w:r w:rsidRPr="002B65F7">
              <w:t>57% (41/72)</w:t>
            </w:r>
          </w:p>
        </w:tc>
      </w:tr>
      <w:tr w:rsidR="00FF5E44" w:rsidRPr="002B65F7" w14:paraId="0850FB81" w14:textId="77777777" w:rsidTr="00CE7E90">
        <w:trPr>
          <w:cantSplit/>
          <w:trHeight w:val="254"/>
        </w:trPr>
        <w:tc>
          <w:tcPr>
            <w:tcW w:w="2424" w:type="pct"/>
          </w:tcPr>
          <w:p w14:paraId="48AF1FF7" w14:textId="77777777" w:rsidR="00FF5E44" w:rsidRPr="002B65F7" w:rsidRDefault="00FF5E44" w:rsidP="00CE7E90">
            <w:pPr>
              <w:widowControl/>
              <w:adjustRightInd w:val="0"/>
              <w:snapToGrid w:val="0"/>
              <w:ind w:left="284"/>
            </w:pPr>
            <w:r w:rsidRPr="002B65F7">
              <w:t>naïfs d’anti-TNFα</w:t>
            </w:r>
          </w:p>
        </w:tc>
        <w:tc>
          <w:tcPr>
            <w:tcW w:w="705" w:type="pct"/>
          </w:tcPr>
          <w:p w14:paraId="016A1556" w14:textId="77777777" w:rsidR="00FF5E44" w:rsidRPr="002B65F7" w:rsidRDefault="00FF5E44" w:rsidP="00CE7E90">
            <w:pPr>
              <w:widowControl/>
              <w:adjustRightInd w:val="0"/>
              <w:snapToGrid w:val="0"/>
              <w:jc w:val="center"/>
            </w:pPr>
            <w:r w:rsidRPr="002B65F7">
              <w:t>49% (25/51)</w:t>
            </w:r>
          </w:p>
        </w:tc>
        <w:tc>
          <w:tcPr>
            <w:tcW w:w="916" w:type="pct"/>
          </w:tcPr>
          <w:p w14:paraId="5DC1261C" w14:textId="77777777" w:rsidR="00FF5E44" w:rsidRPr="002B65F7" w:rsidRDefault="00FF5E44" w:rsidP="00CE7E90">
            <w:pPr>
              <w:widowControl/>
              <w:adjustRightInd w:val="0"/>
              <w:snapToGrid w:val="0"/>
              <w:jc w:val="center"/>
            </w:pPr>
            <w:r w:rsidRPr="002B65F7">
              <w:t>65% (34/52)</w:t>
            </w:r>
            <w:r w:rsidRPr="002B65F7">
              <w:rPr>
                <w:vertAlign w:val="superscript"/>
              </w:rPr>
              <w:t>c</w:t>
            </w:r>
          </w:p>
        </w:tc>
        <w:tc>
          <w:tcPr>
            <w:tcW w:w="955" w:type="pct"/>
          </w:tcPr>
          <w:p w14:paraId="55DFDDE8" w14:textId="77777777" w:rsidR="00FF5E44" w:rsidRPr="002B65F7" w:rsidRDefault="00FF5E44" w:rsidP="00CE7E90">
            <w:pPr>
              <w:widowControl/>
              <w:adjustRightInd w:val="0"/>
              <w:snapToGrid w:val="0"/>
              <w:jc w:val="center"/>
            </w:pPr>
            <w:r w:rsidRPr="002B65F7">
              <w:t>57% (30/53)</w:t>
            </w:r>
          </w:p>
        </w:tc>
      </w:tr>
      <w:tr w:rsidR="00FF5E44" w:rsidRPr="002B65F7" w14:paraId="5CB5C741" w14:textId="77777777" w:rsidTr="00CE7E90">
        <w:trPr>
          <w:cantSplit/>
          <w:trHeight w:val="254"/>
        </w:trPr>
        <w:tc>
          <w:tcPr>
            <w:tcW w:w="2424" w:type="pct"/>
          </w:tcPr>
          <w:p w14:paraId="25CD3EC2" w14:textId="77777777" w:rsidR="00FF5E44" w:rsidRPr="002B65F7" w:rsidRDefault="00FF5E44" w:rsidP="00CE7E90">
            <w:pPr>
              <w:keepNext/>
              <w:widowControl/>
              <w:adjustRightInd w:val="0"/>
              <w:snapToGrid w:val="0"/>
              <w:ind w:left="284"/>
            </w:pPr>
            <w:r w:rsidRPr="002B65F7">
              <w:t>issus de l’étude CRD3001</w:t>
            </w:r>
            <w:r w:rsidRPr="002B65F7">
              <w:rPr>
                <w:vertAlign w:val="superscript"/>
              </w:rPr>
              <w:t>§</w:t>
            </w:r>
          </w:p>
        </w:tc>
        <w:tc>
          <w:tcPr>
            <w:tcW w:w="705" w:type="pct"/>
          </w:tcPr>
          <w:p w14:paraId="4DED6979" w14:textId="77777777" w:rsidR="00FF5E44" w:rsidRPr="002B65F7" w:rsidRDefault="00FF5E44" w:rsidP="00CE7E90">
            <w:pPr>
              <w:keepNext/>
              <w:widowControl/>
              <w:adjustRightInd w:val="0"/>
              <w:snapToGrid w:val="0"/>
              <w:jc w:val="center"/>
            </w:pPr>
            <w:r w:rsidRPr="002B65F7">
              <w:t>26% (16/61)</w:t>
            </w:r>
          </w:p>
        </w:tc>
        <w:tc>
          <w:tcPr>
            <w:tcW w:w="916" w:type="pct"/>
          </w:tcPr>
          <w:p w14:paraId="27F42E5C" w14:textId="77777777" w:rsidR="00FF5E44" w:rsidRPr="002B65F7" w:rsidRDefault="00FF5E44" w:rsidP="00CE7E90">
            <w:pPr>
              <w:keepNext/>
              <w:widowControl/>
              <w:adjustRightInd w:val="0"/>
              <w:snapToGrid w:val="0"/>
              <w:jc w:val="center"/>
            </w:pPr>
            <w:r w:rsidRPr="002B65F7">
              <w:t>41% (23/56)</w:t>
            </w:r>
          </w:p>
        </w:tc>
        <w:tc>
          <w:tcPr>
            <w:tcW w:w="955" w:type="pct"/>
          </w:tcPr>
          <w:p w14:paraId="5DA34C5F" w14:textId="77777777" w:rsidR="00FF5E44" w:rsidRPr="002B65F7" w:rsidRDefault="00FF5E44" w:rsidP="00CE7E90">
            <w:pPr>
              <w:keepNext/>
              <w:widowControl/>
              <w:adjustRightInd w:val="0"/>
              <w:snapToGrid w:val="0"/>
              <w:jc w:val="center"/>
            </w:pPr>
            <w:r w:rsidRPr="002B65F7">
              <w:t>39% (22/57)</w:t>
            </w:r>
          </w:p>
        </w:tc>
      </w:tr>
    </w:tbl>
    <w:p w14:paraId="44A9F449" w14:textId="77777777" w:rsidR="00FF5E44" w:rsidRPr="002B65F7" w:rsidRDefault="00FF5E44" w:rsidP="00FF5E44">
      <w:pPr>
        <w:widowControl/>
        <w:rPr>
          <w:sz w:val="20"/>
          <w:szCs w:val="20"/>
        </w:rPr>
      </w:pPr>
      <w:r w:rsidRPr="002B65F7">
        <w:rPr>
          <w:sz w:val="20"/>
          <w:szCs w:val="20"/>
        </w:rPr>
        <w:t>La rémission clinique est définie comme un score CDAI &lt;</w:t>
      </w:r>
      <w:r w:rsidRPr="002B65F7">
        <w:t> </w:t>
      </w:r>
      <w:r w:rsidRPr="002B65F7">
        <w:rPr>
          <w:sz w:val="20"/>
          <w:szCs w:val="20"/>
        </w:rPr>
        <w:t>150 ; La réponse clinique est définie comme une réduction du score CDAI d’au moins 100 points ou un état de rémission clinique</w:t>
      </w:r>
    </w:p>
    <w:p w14:paraId="470D6F08" w14:textId="6122B828" w:rsidR="00FF5E44" w:rsidRPr="002B65F7" w:rsidRDefault="00AC0A5B" w:rsidP="00B007D2">
      <w:pPr>
        <w:widowControl/>
        <w:ind w:left="142" w:hanging="142"/>
        <w:rPr>
          <w:sz w:val="20"/>
          <w:szCs w:val="20"/>
        </w:rPr>
      </w:pPr>
      <w:r w:rsidRPr="00B007D2">
        <w:rPr>
          <w:sz w:val="20"/>
          <w:szCs w:val="20"/>
          <w:lang w:val="fr-CH"/>
        </w:rPr>
        <w:lastRenderedPageBreak/>
        <w:t xml:space="preserve">* </w:t>
      </w:r>
      <w:r w:rsidR="00FF5E44" w:rsidRPr="002B65F7">
        <w:rPr>
          <w:sz w:val="20"/>
          <w:szCs w:val="20"/>
        </w:rPr>
        <w:t>Le groupe placebo était constitué des patients ayant répondu à l’ustekinumab et randomisés pour recevoir le placebo au début du traitement d’entretien</w:t>
      </w:r>
    </w:p>
    <w:p w14:paraId="69696FED" w14:textId="77777777" w:rsidR="00FF5E44" w:rsidRPr="002B65F7" w:rsidRDefault="00FF5E44" w:rsidP="00FF5E44">
      <w:pPr>
        <w:widowControl/>
        <w:rPr>
          <w:sz w:val="20"/>
          <w:szCs w:val="20"/>
        </w:rPr>
      </w:pPr>
      <w:r w:rsidRPr="002B65F7">
        <w:rPr>
          <w:sz w:val="20"/>
          <w:szCs w:val="20"/>
          <w:vertAlign w:val="superscript"/>
        </w:rPr>
        <w:t>†</w:t>
      </w:r>
      <w:r w:rsidRPr="002B65F7">
        <w:rPr>
          <w:sz w:val="20"/>
          <w:szCs w:val="20"/>
        </w:rPr>
        <w:t xml:space="preserve"> Patients présentant une réponse clinique 100 points à l’ustekinumab au début du traitement d’entretien</w:t>
      </w:r>
    </w:p>
    <w:p w14:paraId="0CF7D821" w14:textId="77777777" w:rsidR="00FF5E44" w:rsidRPr="002B65F7" w:rsidRDefault="00FF5E44" w:rsidP="00FF5E44">
      <w:pPr>
        <w:widowControl/>
        <w:rPr>
          <w:sz w:val="20"/>
          <w:szCs w:val="20"/>
        </w:rPr>
      </w:pPr>
      <w:r w:rsidRPr="002B65F7">
        <w:rPr>
          <w:sz w:val="20"/>
          <w:szCs w:val="20"/>
          <w:vertAlign w:val="superscript"/>
        </w:rPr>
        <w:t>‡</w:t>
      </w:r>
      <w:r w:rsidRPr="002B65F7">
        <w:rPr>
          <w:sz w:val="20"/>
          <w:szCs w:val="20"/>
        </w:rPr>
        <w:t xml:space="preserve"> Patients ayant présenté un échec sous traitement conventionnel, mais pas sous traitement anti-TNFα</w:t>
      </w:r>
    </w:p>
    <w:p w14:paraId="1B2B1539" w14:textId="77777777" w:rsidR="00FF5E44" w:rsidRPr="002B65F7" w:rsidRDefault="00FF5E44" w:rsidP="00FF5E44">
      <w:pPr>
        <w:widowControl/>
        <w:rPr>
          <w:sz w:val="20"/>
          <w:szCs w:val="20"/>
        </w:rPr>
      </w:pPr>
      <w:r w:rsidRPr="002B65F7">
        <w:rPr>
          <w:sz w:val="20"/>
          <w:szCs w:val="20"/>
          <w:vertAlign w:val="superscript"/>
        </w:rPr>
        <w:t>§</w:t>
      </w:r>
      <w:r w:rsidRPr="002B65F7">
        <w:rPr>
          <w:sz w:val="20"/>
          <w:szCs w:val="20"/>
        </w:rPr>
        <w:t xml:space="preserve"> Patients réfractaires/intolérants aux anti-TNFα</w:t>
      </w:r>
    </w:p>
    <w:p w14:paraId="5ED9FE20" w14:textId="77777777" w:rsidR="00FF5E44" w:rsidRPr="002B65F7" w:rsidRDefault="00FF5E44" w:rsidP="00FF5E44">
      <w:pPr>
        <w:widowControl/>
        <w:rPr>
          <w:sz w:val="20"/>
          <w:szCs w:val="20"/>
        </w:rPr>
      </w:pPr>
      <w:r w:rsidRPr="002B65F7">
        <w:rPr>
          <w:sz w:val="20"/>
          <w:szCs w:val="20"/>
          <w:vertAlign w:val="superscript"/>
        </w:rPr>
        <w:t>a</w:t>
      </w:r>
      <w:r w:rsidRPr="002B65F7">
        <w:rPr>
          <w:sz w:val="20"/>
          <w:szCs w:val="20"/>
        </w:rPr>
        <w:t xml:space="preserve"> p &lt; 0,01</w:t>
      </w:r>
    </w:p>
    <w:p w14:paraId="6BF70A55" w14:textId="77777777" w:rsidR="00FF5E44" w:rsidRPr="002B65F7" w:rsidRDefault="00FF5E44" w:rsidP="00FF5E44">
      <w:pPr>
        <w:widowControl/>
        <w:rPr>
          <w:sz w:val="20"/>
          <w:szCs w:val="20"/>
        </w:rPr>
      </w:pPr>
      <w:r w:rsidRPr="002B65F7">
        <w:rPr>
          <w:sz w:val="20"/>
          <w:szCs w:val="20"/>
          <w:vertAlign w:val="superscript"/>
        </w:rPr>
        <w:t>b</w:t>
      </w:r>
      <w:r w:rsidRPr="002B65F7">
        <w:rPr>
          <w:sz w:val="20"/>
          <w:szCs w:val="20"/>
        </w:rPr>
        <w:t xml:space="preserve"> p &lt; 0,05</w:t>
      </w:r>
    </w:p>
    <w:p w14:paraId="7F54509E" w14:textId="77777777" w:rsidR="00FF5E44" w:rsidRPr="002B65F7" w:rsidRDefault="00FF5E44" w:rsidP="00FF5E44">
      <w:pPr>
        <w:widowControl/>
        <w:rPr>
          <w:sz w:val="20"/>
          <w:szCs w:val="20"/>
        </w:rPr>
      </w:pPr>
      <w:r w:rsidRPr="002B65F7">
        <w:rPr>
          <w:sz w:val="20"/>
          <w:szCs w:val="20"/>
          <w:vertAlign w:val="superscript"/>
        </w:rPr>
        <w:t>c</w:t>
      </w:r>
      <w:r w:rsidRPr="002B65F7">
        <w:rPr>
          <w:sz w:val="20"/>
          <w:szCs w:val="20"/>
        </w:rPr>
        <w:t xml:space="preserve"> significatif de manière nominale (p &lt; 0,05)</w:t>
      </w:r>
    </w:p>
    <w:p w14:paraId="60A5B369" w14:textId="77777777" w:rsidR="00FF5E44" w:rsidRPr="002B65F7" w:rsidRDefault="00FF5E44" w:rsidP="00FF5E44">
      <w:pPr>
        <w:widowControl/>
      </w:pPr>
    </w:p>
    <w:p w14:paraId="4FE0A048" w14:textId="77777777" w:rsidR="00FF5E44" w:rsidRPr="002B65F7" w:rsidRDefault="00FF5E44" w:rsidP="00FF5E44">
      <w:pPr>
        <w:widowControl/>
      </w:pPr>
      <w:r w:rsidRPr="002B65F7">
        <w:t>Dans l’étude IM-UNITI, lors d’un traitement toutes les 12 semaines la réponse à l’ustekinumab n’a pas été maintenue chez 29 des 129 patients, et une adaptation posologique a été autorisée pour qu’ils reçoivent l’ustekinumab toutes les 8 semaines. L’échappement après une réponse initiale était défini par un score CDAI ≥ 220 points et une augmentation du score CDAI ≥ 100 points par rapport à l’inclusion. Chez ces patients, une rémission clinique a été obtenue chez 41,4% des patients 16 semaines après l’adaptation posologique.</w:t>
      </w:r>
    </w:p>
    <w:p w14:paraId="7771BB86" w14:textId="77777777" w:rsidR="00FF5E44" w:rsidRPr="002B65F7" w:rsidRDefault="00FF5E44" w:rsidP="00FF5E44">
      <w:pPr>
        <w:widowControl/>
      </w:pPr>
    </w:p>
    <w:p w14:paraId="61340DEC" w14:textId="77777777" w:rsidR="00FF5E44" w:rsidRPr="002B65F7" w:rsidRDefault="00FF5E44" w:rsidP="00FF5E44">
      <w:pPr>
        <w:widowControl/>
      </w:pPr>
      <w:r w:rsidRPr="002B65F7">
        <w:t>Les patients qui ne présentaient pas de réponse clinique à l’induction par ustekinumab à la semaine 8 des études d’induction UNITI-1 et UNITI-2 (476 patients) sont entrés dans la portion non randomisée de l’étude d’entretien (IM-UNITI) et ont reçu une injection sous-cutanée de 90 mg d’ustekinumab à ce moment-là. Huit semaines plus tard, 50,5% des patients avaient obtenu une réponse clinique et continuaient de recevoir la dose d’entretien toutes les 8 semaines ; parmi ces patients poursuivant le traitement d’entretien, une majorité a présenté une réponse maintenue (68,1%) et obtenu une rémission (50,2%) à la semaine 44, à des proportions similaires aux patients ayant initialement répondu à l’induction par ustekinumab.</w:t>
      </w:r>
    </w:p>
    <w:p w14:paraId="2506F585" w14:textId="77777777" w:rsidR="00FF5E44" w:rsidRPr="002B65F7" w:rsidRDefault="00FF5E44" w:rsidP="00FF5E44">
      <w:pPr>
        <w:widowControl/>
      </w:pPr>
    </w:p>
    <w:p w14:paraId="1705C08B" w14:textId="77777777" w:rsidR="00FF5E44" w:rsidRPr="002B65F7" w:rsidRDefault="00FF5E44" w:rsidP="00FF5E44">
      <w:pPr>
        <w:widowControl/>
      </w:pPr>
      <w:r w:rsidRPr="002B65F7">
        <w:t>Sur 131 patients ayant répondu à l’induction par ustekinumab et randomisés dans le groupe placebo au début de l’étude d’entretien, 51 ont par la suite présenté une perte de réponse et reçu 90 mg d’ustekinumab par voie sous-cutanée toutes les 8 semaines. La majorité des patients ayant présenté une perte de réponse et repris l’ustekinumab l’ont fait dans les 24 semaines suivant la perfusion d’induction. Sur ces 51 patients, 70,6% ont obtenu une réponse clinique et 39,2% ont obtenu une rémission clinique 16 semaines après avoir reçu la première dose sous-cutanée d’ustekinumab.</w:t>
      </w:r>
    </w:p>
    <w:p w14:paraId="52B84413" w14:textId="77777777" w:rsidR="00FF5E44" w:rsidRPr="002B65F7" w:rsidRDefault="00FF5E44" w:rsidP="00FF5E44">
      <w:pPr>
        <w:widowControl/>
      </w:pPr>
    </w:p>
    <w:p w14:paraId="021873DC" w14:textId="77777777" w:rsidR="00FF5E44" w:rsidRPr="002B65F7" w:rsidRDefault="00FF5E44" w:rsidP="00FF5E44">
      <w:pPr>
        <w:widowControl/>
      </w:pPr>
      <w:r w:rsidRPr="002B65F7">
        <w:t>Dans IM-UNITI, les patients ayant poursuivi l’étude jusqu’à la semaine 44 étaient éligibles à continuer le traitement dans une étude d’extension. Parmi les 567 patients qui sont entrés et ont été traités par ustekinumab dans l’étude d’extension, la rémission et la réponse cliniques étaient généralement maintenues jusqu’à la semaine 252, chez les patients en échec aux anti-TNF et chez les patients en échec aux traitements conventionnels.</w:t>
      </w:r>
    </w:p>
    <w:p w14:paraId="7F21620F" w14:textId="77777777" w:rsidR="00FF5E44" w:rsidRPr="002B65F7" w:rsidRDefault="00FF5E44" w:rsidP="00FF5E44">
      <w:pPr>
        <w:widowControl/>
      </w:pPr>
    </w:p>
    <w:p w14:paraId="3EBBE0EC" w14:textId="77777777" w:rsidR="00FF5E44" w:rsidRPr="002B65F7" w:rsidRDefault="00FF5E44" w:rsidP="00FF5E44">
      <w:pPr>
        <w:widowControl/>
      </w:pPr>
      <w:r w:rsidRPr="002B65F7">
        <w:t>Aucun nouveau risque lié à la sécurité n’a été identifié après maximum 5 ans de traitement chez les patients atteints de maladie de Crohn.</w:t>
      </w:r>
    </w:p>
    <w:p w14:paraId="48B097DF" w14:textId="77777777" w:rsidR="00FF5E44" w:rsidRPr="002B65F7" w:rsidRDefault="00FF5E44" w:rsidP="00FF5E44">
      <w:pPr>
        <w:widowControl/>
        <w:rPr>
          <w:i/>
          <w:iCs/>
        </w:rPr>
      </w:pPr>
    </w:p>
    <w:p w14:paraId="39BF338F" w14:textId="77777777" w:rsidR="00FF5E44" w:rsidRPr="002B65F7" w:rsidRDefault="00FF5E44" w:rsidP="00FF5E44">
      <w:pPr>
        <w:keepNext/>
        <w:widowControl/>
        <w:rPr>
          <w:i/>
          <w:iCs/>
          <w:u w:val="single"/>
        </w:rPr>
      </w:pPr>
      <w:r w:rsidRPr="002B65F7">
        <w:rPr>
          <w:i/>
          <w:iCs/>
          <w:u w:val="single"/>
        </w:rPr>
        <w:t>Endoscopie</w:t>
      </w:r>
    </w:p>
    <w:p w14:paraId="7729BDDA" w14:textId="77777777" w:rsidR="00FF5E44" w:rsidRPr="002B65F7" w:rsidRDefault="00FF5E44" w:rsidP="00FF5E44">
      <w:pPr>
        <w:keepNext/>
        <w:widowControl/>
        <w:rPr>
          <w:i/>
          <w:iCs/>
        </w:rPr>
      </w:pPr>
    </w:p>
    <w:p w14:paraId="17654A49" w14:textId="77777777" w:rsidR="00FF5E44" w:rsidRPr="002B65F7" w:rsidRDefault="00FF5E44" w:rsidP="00FF5E44">
      <w:pPr>
        <w:widowControl/>
      </w:pPr>
      <w:r w:rsidRPr="002B65F7">
        <w:t>Dans une sous-étude, l’aspect endoscopique de la muqueuse a été évalué chez 252 patients présentant une activité initiale de la maladie à l’endoscopie les rendant éligibles à l’inclusion. Le critère primaire d’évaluation était le changement par rapport à l’inclusion du score SES-CD (Simplified Endoscopic Disease Severity Score for Crohn’s Disease), un score composite portant, au niveau de 5 segments iléo-coliques, sur la présence/taille des ulcères, la proportion de surface muqueuse couverte par des ulcères, la proportion de surface muqueuse présentant toute autre lésion et la présence/le type de rétrécissements/sténoses. À la semaine 8, après une dose unique d’induction en intraveineuse, le changement du score SES-CD était supérieur dans le groupe ustekinumab (n = 155, changement moyen</w:t>
      </w:r>
      <w:r w:rsidRPr="002B65F7">
        <w:rPr>
          <w:spacing w:val="-2"/>
        </w:rPr>
        <w:t> </w:t>
      </w:r>
      <w:r w:rsidRPr="002B65F7">
        <w:t>= </w:t>
      </w:r>
      <w:r w:rsidRPr="002B65F7">
        <w:rPr>
          <w:spacing w:val="-4"/>
        </w:rPr>
        <w:t>−</w:t>
      </w:r>
      <w:r w:rsidRPr="002B65F7">
        <w:t>2,8)</w:t>
      </w:r>
      <w:r w:rsidRPr="002B65F7">
        <w:rPr>
          <w:spacing w:val="-3"/>
        </w:rPr>
        <w:t xml:space="preserve"> </w:t>
      </w:r>
      <w:r w:rsidRPr="002B65F7">
        <w:t>comparativement</w:t>
      </w:r>
      <w:r w:rsidRPr="002B65F7">
        <w:rPr>
          <w:spacing w:val="-3"/>
        </w:rPr>
        <w:t xml:space="preserve"> </w:t>
      </w:r>
      <w:r w:rsidRPr="002B65F7">
        <w:t>au</w:t>
      </w:r>
      <w:r w:rsidRPr="002B65F7">
        <w:rPr>
          <w:spacing w:val="-3"/>
        </w:rPr>
        <w:t xml:space="preserve"> </w:t>
      </w:r>
      <w:r w:rsidRPr="002B65F7">
        <w:t>groupe</w:t>
      </w:r>
      <w:r w:rsidRPr="002B65F7">
        <w:rPr>
          <w:spacing w:val="-3"/>
        </w:rPr>
        <w:t xml:space="preserve"> </w:t>
      </w:r>
      <w:r w:rsidRPr="002B65F7">
        <w:t>placebo</w:t>
      </w:r>
      <w:r w:rsidRPr="002B65F7">
        <w:rPr>
          <w:spacing w:val="-3"/>
        </w:rPr>
        <w:t xml:space="preserve"> </w:t>
      </w:r>
      <w:r w:rsidRPr="002B65F7">
        <w:t>(n</w:t>
      </w:r>
      <w:r w:rsidRPr="002B65F7">
        <w:rPr>
          <w:spacing w:val="-5"/>
        </w:rPr>
        <w:t> </w:t>
      </w:r>
      <w:r w:rsidRPr="002B65F7">
        <w:t>=</w:t>
      </w:r>
      <w:r w:rsidRPr="002B65F7">
        <w:rPr>
          <w:spacing w:val="-2"/>
        </w:rPr>
        <w:t> </w:t>
      </w:r>
      <w:r w:rsidRPr="002B65F7">
        <w:t>97,</w:t>
      </w:r>
      <w:r w:rsidRPr="002B65F7">
        <w:rPr>
          <w:spacing w:val="-3"/>
        </w:rPr>
        <w:t xml:space="preserve"> </w:t>
      </w:r>
      <w:r w:rsidRPr="002B65F7">
        <w:t>changement</w:t>
      </w:r>
      <w:r w:rsidRPr="002B65F7">
        <w:rPr>
          <w:spacing w:val="-3"/>
        </w:rPr>
        <w:t xml:space="preserve"> </w:t>
      </w:r>
      <w:r w:rsidRPr="002B65F7">
        <w:t>moyen</w:t>
      </w:r>
      <w:r w:rsidRPr="002B65F7">
        <w:rPr>
          <w:spacing w:val="-3"/>
        </w:rPr>
        <w:t> </w:t>
      </w:r>
      <w:r w:rsidRPr="002B65F7">
        <w:t>=</w:t>
      </w:r>
      <w:r w:rsidRPr="002B65F7">
        <w:rPr>
          <w:spacing w:val="-2"/>
        </w:rPr>
        <w:t> </w:t>
      </w:r>
      <w:r w:rsidRPr="002B65F7">
        <w:rPr>
          <w:spacing w:val="-4"/>
        </w:rPr>
        <w:t>−</w:t>
      </w:r>
      <w:r w:rsidRPr="002B65F7">
        <w:t>0,7,</w:t>
      </w:r>
      <w:r w:rsidRPr="002B65F7">
        <w:rPr>
          <w:spacing w:val="-2"/>
        </w:rPr>
        <w:t xml:space="preserve"> </w:t>
      </w:r>
      <w:r w:rsidRPr="002B65F7">
        <w:t>p</w:t>
      </w:r>
      <w:r w:rsidRPr="002B65F7">
        <w:rPr>
          <w:spacing w:val="-2"/>
        </w:rPr>
        <w:t> </w:t>
      </w:r>
      <w:r w:rsidRPr="002B65F7">
        <w:t>=</w:t>
      </w:r>
      <w:r w:rsidRPr="002B65F7">
        <w:rPr>
          <w:spacing w:val="-2"/>
        </w:rPr>
        <w:t> </w:t>
      </w:r>
      <w:r w:rsidRPr="002B65F7">
        <w:t>0,012).</w:t>
      </w:r>
    </w:p>
    <w:p w14:paraId="23DF9030" w14:textId="77777777" w:rsidR="00FF5E44" w:rsidRPr="002B65F7" w:rsidRDefault="00FF5E44" w:rsidP="00FF5E44">
      <w:pPr>
        <w:widowControl/>
      </w:pPr>
    </w:p>
    <w:p w14:paraId="52AB47B8" w14:textId="77777777" w:rsidR="00FF5E44" w:rsidRPr="002B65F7" w:rsidRDefault="00FF5E44" w:rsidP="00FF5E44">
      <w:pPr>
        <w:keepNext/>
        <w:widowControl/>
        <w:rPr>
          <w:i/>
          <w:iCs/>
          <w:u w:val="single"/>
        </w:rPr>
      </w:pPr>
      <w:r w:rsidRPr="002B65F7">
        <w:rPr>
          <w:i/>
          <w:iCs/>
          <w:u w:val="single"/>
        </w:rPr>
        <w:t>Réponse sur les fistules</w:t>
      </w:r>
    </w:p>
    <w:p w14:paraId="0FEB4639" w14:textId="77777777" w:rsidR="00FF5E44" w:rsidRPr="002B65F7" w:rsidRDefault="00FF5E44" w:rsidP="00FF5E44">
      <w:pPr>
        <w:keepNext/>
        <w:widowControl/>
        <w:rPr>
          <w:i/>
          <w:iCs/>
        </w:rPr>
      </w:pPr>
    </w:p>
    <w:p w14:paraId="4FF1AD28" w14:textId="77777777" w:rsidR="00FF5E44" w:rsidRPr="002B65F7" w:rsidRDefault="00FF5E44" w:rsidP="00FF5E44">
      <w:pPr>
        <w:widowControl/>
      </w:pPr>
      <w:r w:rsidRPr="002B65F7">
        <w:t xml:space="preserve">Dans un sous-groupe de patients présentant des fistules avec écoulement à l’inclusion (8,8% ; n = 26), 12/15 (80%) des patients traités par ustekinumab ont obtenu une réponse sur les fistules sous </w:t>
      </w:r>
      <w:r w:rsidRPr="002B65F7">
        <w:lastRenderedPageBreak/>
        <w:t>44 semaines (définie comme une réduction du nombre de fistules avec écoulement ≥ 50% par rapport à l’inclusion dans l’étude d’induction) comparé à 5/11 (45,5%) des patients exposés au placebo.</w:t>
      </w:r>
    </w:p>
    <w:p w14:paraId="058CB712" w14:textId="77777777" w:rsidR="00FF5E44" w:rsidRPr="002B65F7" w:rsidRDefault="00FF5E44" w:rsidP="00FF5E44">
      <w:pPr>
        <w:widowControl/>
      </w:pPr>
    </w:p>
    <w:p w14:paraId="0257D15C" w14:textId="77777777" w:rsidR="00FF5E44" w:rsidRPr="002B65F7" w:rsidRDefault="00FF5E44" w:rsidP="00FF5E44">
      <w:pPr>
        <w:keepNext/>
        <w:widowControl/>
        <w:rPr>
          <w:i/>
          <w:iCs/>
          <w:u w:val="single"/>
        </w:rPr>
      </w:pPr>
      <w:r w:rsidRPr="002B65F7">
        <w:rPr>
          <w:i/>
          <w:iCs/>
          <w:u w:val="single"/>
        </w:rPr>
        <w:t>Qualité de vie liée à la santé</w:t>
      </w:r>
    </w:p>
    <w:p w14:paraId="7E076327" w14:textId="77777777" w:rsidR="00FF5E44" w:rsidRPr="002B65F7" w:rsidRDefault="00FF5E44" w:rsidP="00FF5E44">
      <w:pPr>
        <w:keepNext/>
        <w:widowControl/>
      </w:pPr>
    </w:p>
    <w:p w14:paraId="7C73B9DD" w14:textId="77777777" w:rsidR="00FF5E44" w:rsidRPr="002B65F7" w:rsidRDefault="00FF5E44" w:rsidP="00FF5E44">
      <w:pPr>
        <w:widowControl/>
      </w:pPr>
      <w:r w:rsidRPr="002B65F7">
        <w:t>La qualité de vie liée à la santé a été évaluée par les questionnaires sur la maladie inflammatoire intestinale (IBDQ) et SF-36. À la semaine 8, les patients recevant l’ustekinumab ont montré des améliorations supérieures, de manière statistiquement significative, et importantes sur le plan clinique, du score total IBDQ et de la composante mentale du score SF-36 dans les études UNITI-1 et UNITI-2, et de la composante physique du score SF-36 dans l’étude UNITI-2, comparativement au placebo. Ces améliorations se sont généralement mieux maintenues chez les patients traités par ustekinumab dans l’étude IM-UNITI jusqu’à la semaine 44 comparativement au placebo. L’amélioration de la qualité de vie liée à la santé était généralement maintenue pendant l’étude d’extension jusqu’à la semaine 252.</w:t>
      </w:r>
    </w:p>
    <w:p w14:paraId="7EAE5D60" w14:textId="77777777" w:rsidR="00FF5E44" w:rsidRPr="002B65F7" w:rsidRDefault="00FF5E44" w:rsidP="00FF5E44">
      <w:pPr>
        <w:widowControl/>
        <w:rPr>
          <w:u w:val="single"/>
        </w:rPr>
      </w:pPr>
    </w:p>
    <w:p w14:paraId="02412317" w14:textId="77777777" w:rsidR="00FF5E44" w:rsidRPr="002B65F7" w:rsidRDefault="00FF5E44" w:rsidP="00FF5E44">
      <w:pPr>
        <w:keepNext/>
        <w:widowControl/>
        <w:rPr>
          <w:u w:val="single"/>
        </w:rPr>
      </w:pPr>
      <w:r w:rsidRPr="002B65F7">
        <w:rPr>
          <w:u w:val="single"/>
        </w:rPr>
        <w:t>Immunogénicité</w:t>
      </w:r>
    </w:p>
    <w:p w14:paraId="17EBDC89" w14:textId="77777777" w:rsidR="00FF5E44" w:rsidRPr="002B65F7" w:rsidRDefault="00FF5E44" w:rsidP="00FF5E44">
      <w:pPr>
        <w:keepNext/>
        <w:widowControl/>
        <w:rPr>
          <w:u w:val="single"/>
        </w:rPr>
      </w:pPr>
    </w:p>
    <w:p w14:paraId="4E782992" w14:textId="77777777" w:rsidR="00FF5E44" w:rsidRPr="002B65F7" w:rsidRDefault="00FF5E44" w:rsidP="00FF5E44">
      <w:pPr>
        <w:widowControl/>
      </w:pPr>
      <w:r w:rsidRPr="002B65F7">
        <w:t>Des anticorps dirigés contre l’ustekinumab peuvent se développer durant le traitement par ustekinumab, et la plupart sont neutralisants. La formation d’anticorps dirigés contre l’ustekinumab est associée à une augmentation de la clairance de l’ustekinumab et à une diminution de l’efficacité de l’ustekinumab, sauf chez les patients atteints de la maladie de Crohn, chez qui aucune diminution de l’efficacité n’a été observée. Il n’y a pas de corrélation apparente entre la présence d’anticorps dirigés contre l’ustekinumab et la survenue de réactions au site d’injection.</w:t>
      </w:r>
    </w:p>
    <w:p w14:paraId="72DFA08D" w14:textId="77777777" w:rsidR="00FF5E44" w:rsidRPr="002B65F7" w:rsidRDefault="00FF5E44" w:rsidP="00FF5E44">
      <w:pPr>
        <w:widowControl/>
      </w:pPr>
    </w:p>
    <w:p w14:paraId="081F2B40" w14:textId="77777777" w:rsidR="00FF5E44" w:rsidRPr="002B65F7" w:rsidRDefault="00FF5E44" w:rsidP="00FF5E44">
      <w:pPr>
        <w:keepNext/>
        <w:widowControl/>
        <w:rPr>
          <w:u w:val="single"/>
        </w:rPr>
      </w:pPr>
      <w:r w:rsidRPr="002B65F7">
        <w:rPr>
          <w:u w:val="single"/>
        </w:rPr>
        <w:t>Population pédiatrique</w:t>
      </w:r>
    </w:p>
    <w:p w14:paraId="2ECAEAA0" w14:textId="77777777" w:rsidR="00FF5E44" w:rsidRPr="002B65F7" w:rsidRDefault="00FF5E44" w:rsidP="00FF5E44">
      <w:pPr>
        <w:keepNext/>
        <w:widowControl/>
        <w:rPr>
          <w:u w:val="single"/>
        </w:rPr>
      </w:pPr>
    </w:p>
    <w:p w14:paraId="3997D4B1" w14:textId="51D601D4" w:rsidR="00FF5E44" w:rsidRPr="002B65F7" w:rsidRDefault="00FF5E44" w:rsidP="005958A4">
      <w:pPr>
        <w:widowControl/>
      </w:pPr>
      <w:r w:rsidRPr="002B65F7">
        <w:t>L’Agence européenne des médicaments a différé l’obligation de soumettre les résultats d’études réalisées avec l’ustekinumab dans un ou plusieurs sous-groupes de la population pédiatrique dans la maladie de Crohn.</w:t>
      </w:r>
      <w:r w:rsidR="005958A4">
        <w:t xml:space="preserve"> </w:t>
      </w:r>
      <w:r w:rsidR="005958A4" w:rsidRPr="00B21A43">
        <w:t>Le stylo prérempli n’a pas été étudié dans la population pédiatrique et son utilisation n’est pas recommandée chez les patients pédiatriques.</w:t>
      </w:r>
    </w:p>
    <w:p w14:paraId="10C7589B" w14:textId="77777777" w:rsidR="00FF5E44" w:rsidRPr="002B65F7" w:rsidRDefault="00FF5E44" w:rsidP="00FF5E44">
      <w:pPr>
        <w:widowControl/>
      </w:pPr>
    </w:p>
    <w:p w14:paraId="4A9EDEAA" w14:textId="77777777" w:rsidR="00FF5E44" w:rsidRPr="002B65F7" w:rsidRDefault="00FF5E44" w:rsidP="00FF5E44">
      <w:pPr>
        <w:keepNext/>
        <w:widowControl/>
        <w:ind w:left="567" w:hanging="567"/>
        <w:rPr>
          <w:b/>
          <w:bCs/>
        </w:rPr>
      </w:pPr>
      <w:r w:rsidRPr="002B65F7">
        <w:rPr>
          <w:b/>
          <w:bCs/>
        </w:rPr>
        <w:t>5.2</w:t>
      </w:r>
      <w:r w:rsidRPr="002B65F7">
        <w:rPr>
          <w:b/>
          <w:bCs/>
        </w:rPr>
        <w:tab/>
        <w:t>Propriétés pharmacocinétiques</w:t>
      </w:r>
    </w:p>
    <w:p w14:paraId="4BD10DFA" w14:textId="77777777" w:rsidR="00FF5E44" w:rsidRPr="002B65F7" w:rsidRDefault="00FF5E44" w:rsidP="00FF5E44">
      <w:pPr>
        <w:keepNext/>
        <w:widowControl/>
      </w:pPr>
    </w:p>
    <w:p w14:paraId="2E121114" w14:textId="77777777" w:rsidR="00FF5E44" w:rsidRPr="002B65F7" w:rsidRDefault="00FF5E44" w:rsidP="00FF5E44">
      <w:pPr>
        <w:keepNext/>
        <w:widowControl/>
        <w:rPr>
          <w:u w:val="single"/>
        </w:rPr>
      </w:pPr>
      <w:r w:rsidRPr="002B65F7">
        <w:rPr>
          <w:u w:val="single"/>
        </w:rPr>
        <w:t>Absorption</w:t>
      </w:r>
    </w:p>
    <w:p w14:paraId="0625FD44" w14:textId="77777777" w:rsidR="00FF5E44" w:rsidRPr="002B65F7" w:rsidRDefault="00FF5E44" w:rsidP="00FF5E44">
      <w:pPr>
        <w:keepNext/>
        <w:widowControl/>
        <w:rPr>
          <w:u w:val="single"/>
        </w:rPr>
      </w:pPr>
    </w:p>
    <w:p w14:paraId="7A71DABD" w14:textId="77777777" w:rsidR="00FF5E44" w:rsidRPr="002B65F7" w:rsidRDefault="00FF5E44" w:rsidP="00FF5E44">
      <w:pPr>
        <w:widowControl/>
      </w:pPr>
      <w:r w:rsidRPr="002B65F7">
        <w:t>Le temps médian nécessaire pour atteindre la concentration sérique maximale (t</w:t>
      </w:r>
      <w:r w:rsidRPr="002B65F7">
        <w:rPr>
          <w:vertAlign w:val="subscript"/>
        </w:rPr>
        <w:t>max</w:t>
      </w:r>
      <w:r w:rsidRPr="002B65F7">
        <w:t>) était de 8,5 jours après une administration unique de 90 mg en sous-cutanée chez des sujets sains. Après administration unique de 45 mg ou de 90 mg en sous-cutanée chez des patients présentant un psoriasis, les valeurs médianes t</w:t>
      </w:r>
      <w:r w:rsidRPr="002B65F7">
        <w:rPr>
          <w:vertAlign w:val="subscript"/>
        </w:rPr>
        <w:t>max</w:t>
      </w:r>
      <w:r w:rsidRPr="002B65F7">
        <w:t xml:space="preserve"> de l’ustekinumab étaient comparables à celles observées chez des sujets sains.</w:t>
      </w:r>
    </w:p>
    <w:p w14:paraId="7CE177F9" w14:textId="77777777" w:rsidR="00FF5E44" w:rsidRPr="002B65F7" w:rsidRDefault="00FF5E44" w:rsidP="00FF5E44">
      <w:pPr>
        <w:widowControl/>
      </w:pPr>
    </w:p>
    <w:p w14:paraId="70C47A46" w14:textId="77777777" w:rsidR="00FF5E44" w:rsidRPr="002B65F7" w:rsidRDefault="00FF5E44" w:rsidP="00FF5E44">
      <w:pPr>
        <w:widowControl/>
      </w:pPr>
      <w:r w:rsidRPr="002B65F7">
        <w:t>La biodisponibilité absolue de l’ustekinumab après une administration unique en sous-cutanée était estimée à 57,2% chez les patients présentant un psoriasis.</w:t>
      </w:r>
    </w:p>
    <w:p w14:paraId="3C93C225" w14:textId="77777777" w:rsidR="00FF5E44" w:rsidRPr="002B65F7" w:rsidRDefault="00FF5E44" w:rsidP="00FF5E44">
      <w:pPr>
        <w:widowControl/>
      </w:pPr>
    </w:p>
    <w:p w14:paraId="0B8BE2E1" w14:textId="77777777" w:rsidR="00FF5E44" w:rsidRPr="002B65F7" w:rsidRDefault="00FF5E44" w:rsidP="00FF5E44">
      <w:pPr>
        <w:keepNext/>
        <w:widowControl/>
        <w:rPr>
          <w:u w:val="single"/>
        </w:rPr>
      </w:pPr>
      <w:r w:rsidRPr="002B65F7">
        <w:rPr>
          <w:u w:val="single"/>
        </w:rPr>
        <w:t>Distribution</w:t>
      </w:r>
    </w:p>
    <w:p w14:paraId="108B98A0" w14:textId="77777777" w:rsidR="00FF5E44" w:rsidRPr="002B65F7" w:rsidRDefault="00FF5E44" w:rsidP="00FF5E44">
      <w:pPr>
        <w:keepNext/>
        <w:widowControl/>
        <w:rPr>
          <w:u w:val="single"/>
        </w:rPr>
      </w:pPr>
    </w:p>
    <w:p w14:paraId="566ADF28" w14:textId="77777777" w:rsidR="00FF5E44" w:rsidRPr="002B65F7" w:rsidRDefault="00FF5E44" w:rsidP="00FF5E44">
      <w:pPr>
        <w:widowControl/>
      </w:pPr>
      <w:r w:rsidRPr="002B65F7">
        <w:t>Le volume de distribution médian pendant la phase finale (V</w:t>
      </w:r>
      <w:r w:rsidRPr="002B65F7">
        <w:rPr>
          <w:vertAlign w:val="subscript"/>
        </w:rPr>
        <w:t>z</w:t>
      </w:r>
      <w:r w:rsidRPr="002B65F7">
        <w:t>) après administration unique en intraveineuse à des patients présentant un psoriasis était comprise entre 57 et 83 mL/kg.</w:t>
      </w:r>
    </w:p>
    <w:p w14:paraId="5CFFE1BD" w14:textId="77777777" w:rsidR="00FF5E44" w:rsidRPr="002B65F7" w:rsidRDefault="00FF5E44" w:rsidP="00FF5E44">
      <w:pPr>
        <w:widowControl/>
      </w:pPr>
    </w:p>
    <w:p w14:paraId="5F83F230" w14:textId="77777777" w:rsidR="00FF5E44" w:rsidRPr="002B65F7" w:rsidRDefault="00FF5E44" w:rsidP="00FF5E44">
      <w:pPr>
        <w:keepNext/>
        <w:widowControl/>
        <w:rPr>
          <w:u w:val="single"/>
        </w:rPr>
      </w:pPr>
      <w:r w:rsidRPr="002B65F7">
        <w:rPr>
          <w:u w:val="single"/>
        </w:rPr>
        <w:t>Biotransformation</w:t>
      </w:r>
    </w:p>
    <w:p w14:paraId="63EF162B" w14:textId="77777777" w:rsidR="00FF5E44" w:rsidRPr="002B65F7" w:rsidRDefault="00FF5E44" w:rsidP="00FF5E44">
      <w:pPr>
        <w:keepNext/>
        <w:widowControl/>
        <w:rPr>
          <w:u w:val="single"/>
        </w:rPr>
      </w:pPr>
    </w:p>
    <w:p w14:paraId="66325DB0" w14:textId="77777777" w:rsidR="00FF5E44" w:rsidRPr="002B65F7" w:rsidRDefault="00FF5E44" w:rsidP="00FF5E44">
      <w:pPr>
        <w:widowControl/>
      </w:pPr>
      <w:r w:rsidRPr="002B65F7">
        <w:t>La voie métabolique exacte de l’ustekinumab n’est pas connue.</w:t>
      </w:r>
    </w:p>
    <w:p w14:paraId="3541229F" w14:textId="77777777" w:rsidR="00FF5E44" w:rsidRPr="002B65F7" w:rsidRDefault="00FF5E44" w:rsidP="00FF5E44">
      <w:pPr>
        <w:widowControl/>
      </w:pPr>
    </w:p>
    <w:p w14:paraId="1EDA0701" w14:textId="77777777" w:rsidR="00FF5E44" w:rsidRPr="002B65F7" w:rsidRDefault="00FF5E44" w:rsidP="00FF5E44">
      <w:pPr>
        <w:keepNext/>
        <w:widowControl/>
        <w:rPr>
          <w:u w:val="single"/>
        </w:rPr>
      </w:pPr>
      <w:r w:rsidRPr="002B65F7">
        <w:rPr>
          <w:u w:val="single"/>
        </w:rPr>
        <w:t>Elimination</w:t>
      </w:r>
    </w:p>
    <w:p w14:paraId="2D4B71A7" w14:textId="77777777" w:rsidR="00FF5E44" w:rsidRPr="002B65F7" w:rsidRDefault="00FF5E44" w:rsidP="00FF5E44">
      <w:pPr>
        <w:keepNext/>
        <w:widowControl/>
        <w:rPr>
          <w:u w:val="single"/>
        </w:rPr>
      </w:pPr>
    </w:p>
    <w:p w14:paraId="4253E7AA" w14:textId="77777777" w:rsidR="00FF5E44" w:rsidRPr="002B65F7" w:rsidRDefault="00FF5E44" w:rsidP="00FF5E44">
      <w:pPr>
        <w:widowControl/>
      </w:pPr>
      <w:r w:rsidRPr="002B65F7">
        <w:t>La clairance médiane systémique (Cl) après administration unique en intraveineuse à des patients présentant un psoriasis était comprise entre 1,99 et 2,34 mL/jour/kg. La demi-vie médiane (t</w:t>
      </w:r>
      <w:r w:rsidRPr="002B65F7">
        <w:rPr>
          <w:vertAlign w:val="subscript"/>
        </w:rPr>
        <w:t>1/2</w:t>
      </w:r>
      <w:r w:rsidRPr="002B65F7">
        <w:t xml:space="preserve">) de l’ustekinumab était d’environ 3 semaines chez les patients présentant un psoriasis, un rhumatisme psoriasique ou une maladie de Crohn, elle était comprise entre 15 et 32 jours sur l’ensemble des études </w:t>
      </w:r>
      <w:r w:rsidRPr="002B65F7">
        <w:lastRenderedPageBreak/>
        <w:t>ustekinumab réalisées dans le psoriasis et le rhumatisme psoriasique. Dans une analyse pharmacocinétique de population, la clairance apparente (Cl/F) et le volume de distribution apparent (V/F) étaient respectivement de 0,465 L/jour et de 15,7 L chez des patients présentant un psoriasis. La Cl/F de l’ustekinumab n’était pas influencée par le sexe. L’analyse pharmacocinétique de population a montré qu’il y avait une tendance vers une plus grande clairance de l’ustekinumab chez les patients testés positivement aux anticorps anti-ustekinumab.</w:t>
      </w:r>
    </w:p>
    <w:p w14:paraId="27EB2FFD" w14:textId="77777777" w:rsidR="00FF5E44" w:rsidRPr="002B65F7" w:rsidRDefault="00FF5E44" w:rsidP="00FF5E44">
      <w:pPr>
        <w:widowControl/>
        <w:rPr>
          <w:u w:val="single"/>
        </w:rPr>
      </w:pPr>
    </w:p>
    <w:p w14:paraId="049CBE7A" w14:textId="77777777" w:rsidR="00FF5E44" w:rsidRPr="002B65F7" w:rsidRDefault="00FF5E44" w:rsidP="00FF5E44">
      <w:pPr>
        <w:keepNext/>
        <w:widowControl/>
        <w:rPr>
          <w:u w:val="single"/>
        </w:rPr>
      </w:pPr>
      <w:r w:rsidRPr="002B65F7">
        <w:rPr>
          <w:u w:val="single"/>
        </w:rPr>
        <w:t>Linéarité de dose</w:t>
      </w:r>
    </w:p>
    <w:p w14:paraId="0C43FF54" w14:textId="77777777" w:rsidR="00FF5E44" w:rsidRPr="002B65F7" w:rsidRDefault="00FF5E44" w:rsidP="00FF5E44">
      <w:pPr>
        <w:keepNext/>
        <w:widowControl/>
        <w:rPr>
          <w:u w:val="single"/>
        </w:rPr>
      </w:pPr>
    </w:p>
    <w:p w14:paraId="27A6E50D" w14:textId="77777777" w:rsidR="00FF5E44" w:rsidRPr="002B65F7" w:rsidRDefault="00FF5E44" w:rsidP="00FF5E44">
      <w:pPr>
        <w:widowControl/>
      </w:pPr>
      <w:r w:rsidRPr="002B65F7">
        <w:t>L’exposition systémique de l’ustekinumab (C</w:t>
      </w:r>
      <w:r w:rsidRPr="002B65F7">
        <w:rPr>
          <w:vertAlign w:val="subscript"/>
        </w:rPr>
        <w:t>max</w:t>
      </w:r>
      <w:r w:rsidRPr="002B65F7">
        <w:t xml:space="preserve"> et ASC) a augmenté de manière quasi-proportionnelle à la dose après administration unique intraveineuse à des posologies comprises entre 0,09 mg/kg et 4,5 mg/kg ou après une administration unique sous-cutanée à des posologies comprises entre environ 24 mg et 240 mg chez des patients présentant un psoriasis.</w:t>
      </w:r>
    </w:p>
    <w:p w14:paraId="48ADEBA7" w14:textId="77777777" w:rsidR="00FF5E44" w:rsidRPr="002B65F7" w:rsidRDefault="00FF5E44" w:rsidP="00FF5E44">
      <w:pPr>
        <w:widowControl/>
        <w:rPr>
          <w:u w:val="single"/>
        </w:rPr>
      </w:pPr>
    </w:p>
    <w:p w14:paraId="53364DE4" w14:textId="77777777" w:rsidR="00FF5E44" w:rsidRPr="002B65F7" w:rsidRDefault="00FF5E44" w:rsidP="00FF5E44">
      <w:pPr>
        <w:keepNext/>
        <w:widowControl/>
        <w:rPr>
          <w:u w:val="single"/>
        </w:rPr>
      </w:pPr>
      <w:r w:rsidRPr="002B65F7">
        <w:rPr>
          <w:u w:val="single"/>
        </w:rPr>
        <w:t xml:space="preserve">Dose unique </w:t>
      </w:r>
      <w:r w:rsidRPr="002B65F7">
        <w:rPr>
          <w:i/>
          <w:iCs/>
          <w:u w:val="single"/>
        </w:rPr>
        <w:t>versus</w:t>
      </w:r>
      <w:r w:rsidRPr="002B65F7">
        <w:rPr>
          <w:u w:val="single"/>
        </w:rPr>
        <w:t xml:space="preserve"> doses multiples</w:t>
      </w:r>
    </w:p>
    <w:p w14:paraId="65571711" w14:textId="77777777" w:rsidR="00FF5E44" w:rsidRPr="002B65F7" w:rsidRDefault="00FF5E44" w:rsidP="00FF5E44">
      <w:pPr>
        <w:keepNext/>
        <w:widowControl/>
        <w:rPr>
          <w:u w:val="single"/>
        </w:rPr>
      </w:pPr>
    </w:p>
    <w:p w14:paraId="591CCEF3" w14:textId="77777777" w:rsidR="00FF5E44" w:rsidRPr="002B65F7" w:rsidRDefault="00FF5E44" w:rsidP="00FF5E44">
      <w:pPr>
        <w:widowControl/>
      </w:pPr>
      <w:r w:rsidRPr="002B65F7">
        <w:t>Les profils sériques de concentration de l’ustekinumab en fonction du temps étaient généralement prévisibles après administration en sous-cutanée d’une dose unique ou de doses multiples. Chez les patients atteints de psoriasis, les concentrations sériques à l’équilibre de l’ustekinumab ont été atteintes à la semaine 28 après des doses initiales en sous-cutanée aux semaines 0 et 4 suivies d’une dose toutes les 12 semaines. La concentration médiane à l’équilibre était comprise entre 0,21 microgramme/mL et 0,26 microgramme/mL (45 mg) et entre 0,47 microgramme/mL et 0,49 microgramme/mL (90 mg) chez les patients atteints de psoriasis. Il n’y avait pas d’accumulation apparente de la concentration sérique de l’ustekinumab au cours du temps lors d’administrations sous-cutanées toutes les 12 semaines.</w:t>
      </w:r>
    </w:p>
    <w:p w14:paraId="413C3012" w14:textId="77777777" w:rsidR="00FF5E44" w:rsidRPr="002B65F7" w:rsidRDefault="00FF5E44" w:rsidP="00FF5E44">
      <w:pPr>
        <w:widowControl/>
      </w:pPr>
    </w:p>
    <w:p w14:paraId="3D0CFCAE" w14:textId="77777777" w:rsidR="00FF5E44" w:rsidRPr="002B65F7" w:rsidRDefault="00FF5E44" w:rsidP="00FF5E44">
      <w:pPr>
        <w:widowControl/>
      </w:pPr>
      <w:r w:rsidRPr="002B65F7">
        <w:t>Chez les patients atteints de la maladie de Crohn, après une dose intraveineuse de ~6 mg/kg, à partir de la semaine 8, une posologie d'entretien de 90 mg d'ustekinumab par voie sous-cutanée a été administrée toutes les 8 ou 12 semaines. La concentration d’ustekinumab à l’état d’équilibre a été atteinte au début de la deuxième dose d'entretien. Chez les patients atteints de la maladie de Crohn, les concentrations minimales médianes à l’état d’équilibre variaient de 1,97 microgramme/mL à 2,24 microgrammes/mL et de 0,61 microgramme/mL à 0,76 microgramme/mL lors de l’administration de 90 mg d'ustekinumab toutes les 8 semaines ou toutes les 12 semaines, respectivement. Les niveaux minimaux d’ustekinumab à l’état d'équilibre résultant d’une administration de 90 mg d'ustekinumab toutes les 8 semaines ont été associés à des taux plus élevés de rémission clinique comparés aux niveaux minimaux d’ustekinumab à l’état d'équilibre après une administration de 90 mg toutes les 12 semaines.</w:t>
      </w:r>
    </w:p>
    <w:p w14:paraId="36466665" w14:textId="77777777" w:rsidR="00FF5E44" w:rsidRPr="002B65F7" w:rsidRDefault="00FF5E44" w:rsidP="00FF5E44">
      <w:pPr>
        <w:widowControl/>
      </w:pPr>
    </w:p>
    <w:p w14:paraId="45D2F999" w14:textId="77777777" w:rsidR="00FF5E44" w:rsidRPr="002B65F7" w:rsidRDefault="00FF5E44" w:rsidP="00FF5E44">
      <w:pPr>
        <w:keepNext/>
        <w:widowControl/>
        <w:rPr>
          <w:u w:val="single"/>
        </w:rPr>
      </w:pPr>
      <w:r w:rsidRPr="002B65F7">
        <w:rPr>
          <w:u w:val="single"/>
        </w:rPr>
        <w:t>Impact du poids sur la pharmacocinétique</w:t>
      </w:r>
    </w:p>
    <w:p w14:paraId="49BE324E" w14:textId="77777777" w:rsidR="00FF5E44" w:rsidRPr="002B65F7" w:rsidRDefault="00FF5E44" w:rsidP="00FF5E44">
      <w:pPr>
        <w:keepNext/>
        <w:widowControl/>
        <w:rPr>
          <w:u w:val="single"/>
        </w:rPr>
      </w:pPr>
    </w:p>
    <w:p w14:paraId="209CBE5E" w14:textId="77777777" w:rsidR="00FF5E44" w:rsidRPr="002B65F7" w:rsidRDefault="00FF5E44" w:rsidP="00FF5E44">
      <w:pPr>
        <w:keepNext/>
        <w:widowControl/>
      </w:pPr>
      <w:r w:rsidRPr="002B65F7">
        <w:t>Dans une analyse pharmacocinétique de population utilisant des données issues de patients atteints de psoriasis, le poids s’est révélé être la covariable impactant le plus significativement la clairance de l’ustekinumab. La Cl/F médiane chez les patients de poids &gt; 100 kg était environ 55% plus importante que chez les patients de poids ≤ 100 kg. Le V/F médian chez des patients de poids &gt; 100 kg était environ 37% plus important que chez ceux de poids ≤ 100 kg. Les concentrations sériques minimales médianes résiduelles de l’ustekinumab chez des patients de poids plus élevé (&gt; 100 kg) du groupe 90 mg étaient comparables à celles des patients de poids plus faible (≤ 100 kg) du groupe 45 mg. Des résultats similaires ont été obtenus dans une analyse pharmacocinétique de population confirmatoire, utilisant des données issues de patients atteints de rhumatisme psoriasique.</w:t>
      </w:r>
    </w:p>
    <w:p w14:paraId="383FE26F" w14:textId="77777777" w:rsidR="00FF5E44" w:rsidRPr="002B65F7" w:rsidRDefault="00FF5E44" w:rsidP="00FF5E44">
      <w:pPr>
        <w:widowControl/>
      </w:pPr>
    </w:p>
    <w:p w14:paraId="05DE7E57" w14:textId="77777777" w:rsidR="00FF5E44" w:rsidRPr="002B65F7" w:rsidRDefault="00FF5E44" w:rsidP="00FF5E44">
      <w:pPr>
        <w:keepNext/>
        <w:widowControl/>
        <w:rPr>
          <w:u w:val="single"/>
        </w:rPr>
      </w:pPr>
      <w:r w:rsidRPr="002B65F7">
        <w:rPr>
          <w:u w:val="single"/>
        </w:rPr>
        <w:t>Adaptation de la posologie</w:t>
      </w:r>
    </w:p>
    <w:p w14:paraId="43A1840E" w14:textId="77777777" w:rsidR="00FF5E44" w:rsidRPr="002B65F7" w:rsidRDefault="00FF5E44" w:rsidP="00FF5E44">
      <w:pPr>
        <w:keepNext/>
        <w:widowControl/>
        <w:rPr>
          <w:u w:val="single"/>
        </w:rPr>
      </w:pPr>
    </w:p>
    <w:p w14:paraId="2653EC9F" w14:textId="77777777" w:rsidR="00FF5E44" w:rsidRPr="002B65F7" w:rsidRDefault="00FF5E44" w:rsidP="00FF5E44">
      <w:pPr>
        <w:widowControl/>
      </w:pPr>
      <w:r w:rsidRPr="002B65F7">
        <w:t xml:space="preserve">Sur la base des données observées et des analyses PK de population, chez les patients atteints de la maladie de Crohn, les patients randomisés ayant perdu leur réponse au traitement présentaient, au fil du temps, des concentrations sériques d’ustekinumab plus faibles par rapport aux patients ne présentant pas de perte de réponse. Dans la maladie de Crohn, l’adaptation de la posologie de 90 mg </w:t>
      </w:r>
      <w:r w:rsidRPr="002B65F7">
        <w:lastRenderedPageBreak/>
        <w:t>toutes les 12 semaines à 90 mg toutes les 8 semaines était associée à une augmentation des concentrations plasmatiques minimales d’ustekinumab et à une augmentation associée de l’efficacité.</w:t>
      </w:r>
    </w:p>
    <w:p w14:paraId="7CA959F0" w14:textId="77777777" w:rsidR="00FF5E44" w:rsidRPr="002B65F7" w:rsidRDefault="00FF5E44" w:rsidP="00FF5E44">
      <w:pPr>
        <w:widowControl/>
      </w:pPr>
    </w:p>
    <w:p w14:paraId="07EC45A6" w14:textId="77777777" w:rsidR="00FF5E44" w:rsidRPr="002B65F7" w:rsidRDefault="00FF5E44" w:rsidP="00FF5E44">
      <w:pPr>
        <w:keepNext/>
        <w:widowControl/>
        <w:rPr>
          <w:u w:val="single"/>
        </w:rPr>
      </w:pPr>
      <w:r w:rsidRPr="002B65F7">
        <w:rPr>
          <w:u w:val="single"/>
        </w:rPr>
        <w:t>Populations particulières</w:t>
      </w:r>
    </w:p>
    <w:p w14:paraId="0E38B5B8" w14:textId="77777777" w:rsidR="00FF5E44" w:rsidRPr="002B65F7" w:rsidRDefault="00FF5E44" w:rsidP="00FF5E44">
      <w:pPr>
        <w:keepNext/>
        <w:widowControl/>
        <w:rPr>
          <w:u w:val="single"/>
        </w:rPr>
      </w:pPr>
    </w:p>
    <w:p w14:paraId="30A0011A" w14:textId="77777777" w:rsidR="00FF5E44" w:rsidRPr="002B65F7" w:rsidRDefault="00FF5E44" w:rsidP="00FF5E44">
      <w:pPr>
        <w:widowControl/>
      </w:pPr>
      <w:r w:rsidRPr="002B65F7">
        <w:t>Aucune donnée pharmacocinétique n’est disponible concernant les patients présentant une insuffisance rénale ou hépatique. Aucune étude spécifique n’a été conduite chez les patients âgés.</w:t>
      </w:r>
    </w:p>
    <w:p w14:paraId="05571133" w14:textId="77777777" w:rsidR="00FF5E44" w:rsidRPr="002B65F7" w:rsidRDefault="00FF5E44" w:rsidP="00BB6F00">
      <w:pPr>
        <w:keepNext/>
        <w:widowControl/>
      </w:pPr>
    </w:p>
    <w:p w14:paraId="783B8154" w14:textId="77777777" w:rsidR="00FF5E44" w:rsidRPr="002B65F7" w:rsidRDefault="00FF5E44" w:rsidP="00FF5E44">
      <w:pPr>
        <w:widowControl/>
      </w:pPr>
      <w:r w:rsidRPr="002B65F7">
        <w:t>La pharmacocinétique de l’ustekinumab était généralement comparable entre les patients asiatiques et non-asiatiques présentant un psoriasis.</w:t>
      </w:r>
    </w:p>
    <w:p w14:paraId="1DDD6F60" w14:textId="77777777" w:rsidR="00FF5E44" w:rsidRPr="002B65F7" w:rsidRDefault="00FF5E44" w:rsidP="00FF5E44">
      <w:pPr>
        <w:widowControl/>
      </w:pPr>
    </w:p>
    <w:p w14:paraId="53067317" w14:textId="77777777" w:rsidR="00FF5E44" w:rsidRPr="002B65F7" w:rsidRDefault="00FF5E44" w:rsidP="00FF5E44">
      <w:pPr>
        <w:widowControl/>
      </w:pPr>
      <w:r w:rsidRPr="002B65F7">
        <w:t xml:space="preserve">Chez les patients atteints de la maladie de Crohn, la variabilité de la clairance de l’ustekinumab était affectée par le poids corporel, le taux d’albumine sérique, le sexe, et le statut d’anticorps anti-ustekinumab, tandis que le poids corporel était la variable principale affectant le volume de distribution. De plus, dans la maladie de Crohn, la clairance était affectée par la protéine C réactive, le statut d’échec des anti-TNF et l’origine ethnique (asiatique </w:t>
      </w:r>
      <w:r w:rsidRPr="002B65F7">
        <w:rPr>
          <w:i/>
          <w:iCs/>
        </w:rPr>
        <w:t>versus</w:t>
      </w:r>
      <w:r w:rsidRPr="002B65F7">
        <w:t xml:space="preserve"> non asiatique). L’impact de ces covariables était de ± 20% des valeurs typiques ou de référence du paramètre PK respectif ; ainsi, l’ajustement posologique n’est pas garanti pour ces covariables. L’utilisation concomitante d’immunomodulateurs n’a pas eu d’impact significatif sur l’élimination de l’ustekinumab.</w:t>
      </w:r>
    </w:p>
    <w:p w14:paraId="397A228E" w14:textId="77777777" w:rsidR="00FF5E44" w:rsidRPr="002B65F7" w:rsidRDefault="00FF5E44" w:rsidP="00FF5E44">
      <w:pPr>
        <w:widowControl/>
      </w:pPr>
    </w:p>
    <w:p w14:paraId="1D8C7C54" w14:textId="77777777" w:rsidR="00FF5E44" w:rsidRPr="002B65F7" w:rsidRDefault="00FF5E44" w:rsidP="00FF5E44">
      <w:pPr>
        <w:widowControl/>
      </w:pPr>
      <w:r w:rsidRPr="002B65F7">
        <w:t>L’analyse pharmacocinétique de population n’a pas montré de signe d’effet du tabac ou de l’alcool sur la pharmacocinétique de l’ustekinumab.</w:t>
      </w:r>
    </w:p>
    <w:p w14:paraId="318A54B8" w14:textId="77777777" w:rsidR="00FF5E44" w:rsidRPr="002B65F7" w:rsidRDefault="00FF5E44" w:rsidP="00FF5E44">
      <w:pPr>
        <w:widowControl/>
      </w:pPr>
    </w:p>
    <w:p w14:paraId="22E0E525" w14:textId="77777777" w:rsidR="00FF5E44" w:rsidRPr="001622B7" w:rsidRDefault="00FF5E44" w:rsidP="00FF5E44">
      <w:pPr>
        <w:widowControl/>
      </w:pPr>
      <w:r w:rsidRPr="001622B7">
        <w:t>La biodisponibilité d’ustekinumab après une administration en seringue ou stylo prérempli était comparable.</w:t>
      </w:r>
    </w:p>
    <w:p w14:paraId="28C38F2A" w14:textId="77777777" w:rsidR="00FF5E44" w:rsidRPr="001622B7" w:rsidRDefault="00FF5E44" w:rsidP="00FF5E44">
      <w:pPr>
        <w:widowControl/>
      </w:pPr>
    </w:p>
    <w:p w14:paraId="5C684B5D" w14:textId="77777777" w:rsidR="00732F9C" w:rsidRPr="001622B7" w:rsidRDefault="00732F9C" w:rsidP="00732F9C">
      <w:pPr>
        <w:widowControl/>
      </w:pPr>
      <w:r w:rsidRPr="001622B7">
        <w:t>Le stylo prérempli n’a pas été étudié dans la population pédiatrique et son utilisation n’est pas recommandée chez les patients pédiatriques.</w:t>
      </w:r>
    </w:p>
    <w:p w14:paraId="58EF67CA" w14:textId="77777777" w:rsidR="00FF5E44" w:rsidRPr="001622B7" w:rsidRDefault="00FF5E44" w:rsidP="00FF5E44">
      <w:pPr>
        <w:widowControl/>
      </w:pPr>
    </w:p>
    <w:p w14:paraId="736DA7E4" w14:textId="77777777" w:rsidR="00FF5E44" w:rsidRPr="002B65F7" w:rsidRDefault="00FF5E44" w:rsidP="00FF5E44">
      <w:pPr>
        <w:keepNext/>
        <w:widowControl/>
        <w:rPr>
          <w:u w:val="single"/>
        </w:rPr>
      </w:pPr>
      <w:r w:rsidRPr="002B65F7">
        <w:rPr>
          <w:u w:val="single"/>
        </w:rPr>
        <w:t>Régulation des enzymes du CYP450</w:t>
      </w:r>
    </w:p>
    <w:p w14:paraId="50CECB2A" w14:textId="77777777" w:rsidR="00FF5E44" w:rsidRPr="002B65F7" w:rsidRDefault="00FF5E44" w:rsidP="00FF5E44">
      <w:pPr>
        <w:keepNext/>
        <w:widowControl/>
      </w:pPr>
    </w:p>
    <w:p w14:paraId="2854F57B" w14:textId="77777777" w:rsidR="00FF5E44" w:rsidRDefault="00FF5E44" w:rsidP="00FF5E44">
      <w:pPr>
        <w:widowControl/>
      </w:pPr>
      <w:r w:rsidRPr="002B65F7">
        <w:t>Les effets de l’IL-12 ou de l’IL-23 sur la régulation des enzymes du CYP450 ont été évalués dans une étude in vitro sur des hépatocytes humains, qui a montré que l’IL-12 et/ou l’IL-23 à des concentrations de 10 ng/mL n’altéraient pas les activités enzymatiques du CYP450 humain (CYP1A2, 2B6, 2C9, 2C19, 2D6, ou 3A4; voir rubrique 4.5).</w:t>
      </w:r>
    </w:p>
    <w:p w14:paraId="40AE1A39" w14:textId="77777777" w:rsidR="00112127" w:rsidRDefault="00112127" w:rsidP="00FF5E44">
      <w:pPr>
        <w:widowControl/>
      </w:pPr>
    </w:p>
    <w:p w14:paraId="3CF24811" w14:textId="2243FA13" w:rsidR="00112127" w:rsidRPr="002B65F7" w:rsidRDefault="00112127" w:rsidP="00FF5E44">
      <w:pPr>
        <w:widowControl/>
      </w:pPr>
      <w:r w:rsidRPr="008F1B22">
        <w:t>Une étude d’interaction médicamenteuse de phase 1, en ouvert, CNTO1275CRD1003, a été conduite pour évaluer l’effet de l’ustekinumab sur l’activité enzymatique du cytochrome P450 suite à des doses d’induction et d’entretien chez des patients atteints de maladie de Crohn active (n</w:t>
      </w:r>
      <w:r w:rsidRPr="002B65F7">
        <w:t> </w:t>
      </w:r>
      <w:r w:rsidRPr="008F1B22">
        <w:t>=</w:t>
      </w:r>
      <w:r w:rsidRPr="002B65F7">
        <w:t> </w:t>
      </w:r>
      <w:r w:rsidRPr="008F1B22">
        <w:t>18). Il n’y a pas eu de modification cliniquement significative observée sur l’exposition à la caféine (substrat du CYP1A2), la warfarine (substrat du CYP2C9), l’oméprazole (substrat du CYP2C19), au dextrométhorphane (substrat du CYP2D6) ou au midazolam (substrat du CYP3A) lors d’une utilisation concomitante avec l’ustekinumab aux doses recommandées approuvées chez les patients atteints de la maladie de Crohn (voir rubrique 4.5).</w:t>
      </w:r>
    </w:p>
    <w:p w14:paraId="5E5A46C0" w14:textId="77777777" w:rsidR="00FF5E44" w:rsidRPr="002B65F7" w:rsidRDefault="00FF5E44" w:rsidP="00FF5E44">
      <w:pPr>
        <w:widowControl/>
        <w:rPr>
          <w:b/>
          <w:bCs/>
        </w:rPr>
      </w:pPr>
    </w:p>
    <w:p w14:paraId="48591023" w14:textId="77777777" w:rsidR="00FF5E44" w:rsidRPr="002B65F7" w:rsidRDefault="00FF5E44" w:rsidP="00FF5E44">
      <w:pPr>
        <w:keepNext/>
        <w:widowControl/>
        <w:ind w:left="567" w:hanging="567"/>
        <w:rPr>
          <w:b/>
          <w:bCs/>
        </w:rPr>
      </w:pPr>
      <w:r w:rsidRPr="002B65F7">
        <w:rPr>
          <w:b/>
          <w:bCs/>
        </w:rPr>
        <w:t>5.3</w:t>
      </w:r>
      <w:r w:rsidRPr="002B65F7">
        <w:rPr>
          <w:b/>
          <w:bCs/>
        </w:rPr>
        <w:tab/>
        <w:t>Données de sécurité préclinique</w:t>
      </w:r>
    </w:p>
    <w:p w14:paraId="1BCCE722" w14:textId="77777777" w:rsidR="00FF5E44" w:rsidRPr="002B65F7" w:rsidRDefault="00FF5E44" w:rsidP="00FF5E44">
      <w:pPr>
        <w:keepNext/>
        <w:widowControl/>
      </w:pPr>
    </w:p>
    <w:p w14:paraId="1ECBC3B8" w14:textId="77777777" w:rsidR="00FF5E44" w:rsidRPr="002B65F7" w:rsidRDefault="00FF5E44" w:rsidP="00FF5E44">
      <w:pPr>
        <w:widowControl/>
      </w:pPr>
      <w:r w:rsidRPr="002B65F7">
        <w:t>Les données non cliniques issues des études de toxicologie en administration répétée, toxicologie des fonctions de reproduction et de développement incluant des évaluations de pharmacologie de sécurité, n’ont pas révélé de risque particulier pour l’homme (par exemple, organotoxicité). Dans les études de toxicologie des fonctions de reproduction et de développement menées chez les singes cynomolgus, aucun effet indésirable sur les indices de fertilité chez le mâle, ni aucune anomalie congénitale ou toxicité sur le développement n’ont été observés. Aucun effet délétère sur les indices de fertilité chez la femelle n’a été observé en utilisant un analogue d’un anticorps anti IL-12/23 chez les souris.</w:t>
      </w:r>
    </w:p>
    <w:p w14:paraId="0A201E72" w14:textId="77777777" w:rsidR="00FF5E44" w:rsidRPr="002B65F7" w:rsidRDefault="00FF5E44" w:rsidP="00FF5E44">
      <w:pPr>
        <w:widowControl/>
      </w:pPr>
    </w:p>
    <w:p w14:paraId="0D3CC286" w14:textId="77777777" w:rsidR="00FF5E44" w:rsidRPr="002B65F7" w:rsidRDefault="00FF5E44" w:rsidP="00FF5E44">
      <w:pPr>
        <w:widowControl/>
      </w:pPr>
      <w:r w:rsidRPr="002B65F7">
        <w:t xml:space="preserve">Les niveaux de doses utilisées dans les études animales étaient jusqu’à approximativement 45 fois supérieurs à la dose maximale équivalente destinée à être administrée aux patients atteints de psoriasis </w:t>
      </w:r>
      <w:r w:rsidRPr="002B65F7">
        <w:lastRenderedPageBreak/>
        <w:t>et ont conduit à des pics de concentrations sériques chez le singe plus de 100 fois supérieurs à ceux observés chez l’homme.</w:t>
      </w:r>
    </w:p>
    <w:p w14:paraId="6EFF509D" w14:textId="77777777" w:rsidR="00FF5E44" w:rsidRPr="002B65F7" w:rsidRDefault="00FF5E44" w:rsidP="00FF5E44">
      <w:pPr>
        <w:widowControl/>
      </w:pPr>
    </w:p>
    <w:p w14:paraId="53C4913E" w14:textId="77777777" w:rsidR="00FF5E44" w:rsidRPr="002B65F7" w:rsidRDefault="00FF5E44" w:rsidP="00FF5E44">
      <w:pPr>
        <w:widowControl/>
      </w:pPr>
      <w:r w:rsidRPr="002B65F7">
        <w:t>Aucune étude de carcinogénicité n’a été effectuée avec l’ustekinumab en raison du manque de modèles appropriés pour un anticorps sans réactivité croisée avec l’IL-12/23 p40 des rongeurs.</w:t>
      </w:r>
    </w:p>
    <w:p w14:paraId="3704DB41" w14:textId="77777777" w:rsidR="00FF5E44" w:rsidRPr="002B65F7" w:rsidRDefault="00FF5E44" w:rsidP="00FF5E44">
      <w:pPr>
        <w:widowControl/>
      </w:pPr>
    </w:p>
    <w:p w14:paraId="505C1D63" w14:textId="77777777" w:rsidR="00FF5E44" w:rsidRPr="002B65F7" w:rsidRDefault="00FF5E44" w:rsidP="00FF5E44">
      <w:pPr>
        <w:widowControl/>
      </w:pPr>
    </w:p>
    <w:p w14:paraId="78E03175" w14:textId="77777777" w:rsidR="00FF5E44" w:rsidRPr="002B65F7" w:rsidRDefault="00FF5E44" w:rsidP="00FF5E44">
      <w:pPr>
        <w:keepNext/>
        <w:widowControl/>
        <w:ind w:left="567" w:hanging="567"/>
        <w:rPr>
          <w:b/>
          <w:bCs/>
        </w:rPr>
      </w:pPr>
      <w:r w:rsidRPr="002B65F7">
        <w:rPr>
          <w:b/>
          <w:bCs/>
        </w:rPr>
        <w:t>6.</w:t>
      </w:r>
      <w:r w:rsidRPr="002B65F7">
        <w:rPr>
          <w:b/>
          <w:bCs/>
        </w:rPr>
        <w:tab/>
        <w:t>DONNÉES PHARMACEUTIQUES</w:t>
      </w:r>
    </w:p>
    <w:p w14:paraId="4BD6552E" w14:textId="77777777" w:rsidR="00FF5E44" w:rsidRPr="002B65F7" w:rsidRDefault="00FF5E44" w:rsidP="00FF5E44">
      <w:pPr>
        <w:keepNext/>
        <w:widowControl/>
      </w:pPr>
    </w:p>
    <w:p w14:paraId="788EB354" w14:textId="77777777" w:rsidR="00FF5E44" w:rsidRPr="002B65F7" w:rsidRDefault="00FF5E44" w:rsidP="00FF5E44">
      <w:pPr>
        <w:keepNext/>
        <w:widowControl/>
        <w:ind w:left="567" w:hanging="567"/>
        <w:rPr>
          <w:b/>
          <w:bCs/>
        </w:rPr>
      </w:pPr>
      <w:r w:rsidRPr="002B65F7">
        <w:rPr>
          <w:b/>
          <w:bCs/>
        </w:rPr>
        <w:t>6.1</w:t>
      </w:r>
      <w:r w:rsidRPr="002B65F7">
        <w:rPr>
          <w:b/>
          <w:bCs/>
        </w:rPr>
        <w:tab/>
        <w:t>Liste des excipients</w:t>
      </w:r>
    </w:p>
    <w:p w14:paraId="158293C1" w14:textId="77777777" w:rsidR="00FF5E44" w:rsidRPr="002B65F7" w:rsidRDefault="00FF5E44" w:rsidP="00FF5E44">
      <w:pPr>
        <w:keepNext/>
        <w:widowControl/>
      </w:pPr>
    </w:p>
    <w:p w14:paraId="4D6B1EDE" w14:textId="77777777" w:rsidR="00FF5E44" w:rsidRPr="002B65F7" w:rsidRDefault="00FF5E44" w:rsidP="00FF5E44">
      <w:pPr>
        <w:keepNext/>
        <w:widowControl/>
      </w:pPr>
      <w:r w:rsidRPr="002B65F7">
        <w:t>L-histidine</w:t>
      </w:r>
    </w:p>
    <w:p w14:paraId="218BF6A1" w14:textId="77777777" w:rsidR="00FF5E44" w:rsidRPr="002B65F7" w:rsidRDefault="00FF5E44" w:rsidP="00FF5E44">
      <w:pPr>
        <w:keepNext/>
        <w:widowControl/>
      </w:pPr>
      <w:r w:rsidRPr="002B65F7">
        <w:t>Chlorhydrate monohydraté de L-histidine</w:t>
      </w:r>
    </w:p>
    <w:p w14:paraId="11813903" w14:textId="0C71B3A2" w:rsidR="00FF5E44" w:rsidRPr="002B65F7" w:rsidRDefault="00FF5E44" w:rsidP="00FF5E44">
      <w:pPr>
        <w:keepNext/>
        <w:widowControl/>
      </w:pPr>
      <w:r w:rsidRPr="002B65F7">
        <w:t>Polysorbate 80</w:t>
      </w:r>
      <w:r w:rsidR="00112127">
        <w:t xml:space="preserve"> (E</w:t>
      </w:r>
      <w:r w:rsidR="00112127" w:rsidRPr="002B65F7">
        <w:t> </w:t>
      </w:r>
      <w:r w:rsidR="00112127">
        <w:t>433)</w:t>
      </w:r>
    </w:p>
    <w:p w14:paraId="2574D63F" w14:textId="77777777" w:rsidR="00FF5E44" w:rsidRPr="002B65F7" w:rsidRDefault="00FF5E44" w:rsidP="00FF5E44">
      <w:pPr>
        <w:keepNext/>
        <w:widowControl/>
      </w:pPr>
      <w:r w:rsidRPr="002B65F7">
        <w:t>Saccharose</w:t>
      </w:r>
    </w:p>
    <w:p w14:paraId="0E4C0488" w14:textId="77777777" w:rsidR="00FF5E44" w:rsidRPr="002B65F7" w:rsidRDefault="00FF5E44" w:rsidP="00FF5E44">
      <w:pPr>
        <w:widowControl/>
      </w:pPr>
      <w:r w:rsidRPr="002B65F7">
        <w:t>Eau pour préparations injectables</w:t>
      </w:r>
    </w:p>
    <w:p w14:paraId="1556A07D" w14:textId="77777777" w:rsidR="00FF5E44" w:rsidRPr="002B65F7" w:rsidRDefault="00FF5E44" w:rsidP="00FF5E44">
      <w:pPr>
        <w:widowControl/>
        <w:rPr>
          <w:b/>
          <w:bCs/>
        </w:rPr>
      </w:pPr>
    </w:p>
    <w:p w14:paraId="37578F09" w14:textId="77777777" w:rsidR="00FF5E44" w:rsidRPr="002B65F7" w:rsidRDefault="00FF5E44" w:rsidP="00FF5E44">
      <w:pPr>
        <w:keepNext/>
        <w:widowControl/>
        <w:ind w:left="567" w:hanging="567"/>
        <w:rPr>
          <w:b/>
          <w:bCs/>
        </w:rPr>
      </w:pPr>
      <w:r w:rsidRPr="002B65F7">
        <w:rPr>
          <w:b/>
          <w:bCs/>
        </w:rPr>
        <w:t>6.2</w:t>
      </w:r>
      <w:r w:rsidRPr="002B65F7">
        <w:rPr>
          <w:b/>
          <w:bCs/>
        </w:rPr>
        <w:tab/>
        <w:t>Incompatibilités</w:t>
      </w:r>
    </w:p>
    <w:p w14:paraId="35172BE1" w14:textId="77777777" w:rsidR="00FF5E44" w:rsidRPr="002B65F7" w:rsidRDefault="00FF5E44" w:rsidP="00FF5E44">
      <w:pPr>
        <w:keepNext/>
        <w:widowControl/>
      </w:pPr>
    </w:p>
    <w:p w14:paraId="54FB27E2" w14:textId="77777777" w:rsidR="00FF5E44" w:rsidRPr="002B65F7" w:rsidRDefault="00FF5E44" w:rsidP="00FF5E44">
      <w:pPr>
        <w:widowControl/>
      </w:pPr>
      <w:r w:rsidRPr="002B65F7">
        <w:t>En l’absence d’études de compatibilité, ce médicament ne doit pas être mélangé avec d’autres médicaments.</w:t>
      </w:r>
    </w:p>
    <w:p w14:paraId="4235FE71" w14:textId="77777777" w:rsidR="00FF5E44" w:rsidRPr="002B65F7" w:rsidRDefault="00FF5E44" w:rsidP="00FF5E44">
      <w:pPr>
        <w:widowControl/>
      </w:pPr>
    </w:p>
    <w:p w14:paraId="2C6EF9C3" w14:textId="77777777" w:rsidR="00FF5E44" w:rsidRPr="002B65F7" w:rsidRDefault="00FF5E44" w:rsidP="00FF5E44">
      <w:pPr>
        <w:keepNext/>
        <w:widowControl/>
        <w:ind w:left="567" w:hanging="567"/>
        <w:rPr>
          <w:b/>
          <w:bCs/>
        </w:rPr>
      </w:pPr>
      <w:r w:rsidRPr="002B65F7">
        <w:rPr>
          <w:b/>
          <w:bCs/>
        </w:rPr>
        <w:t>6.3</w:t>
      </w:r>
      <w:r w:rsidRPr="002B65F7">
        <w:rPr>
          <w:b/>
          <w:bCs/>
        </w:rPr>
        <w:tab/>
        <w:t>Durée de conservation</w:t>
      </w:r>
    </w:p>
    <w:p w14:paraId="387076F8" w14:textId="77777777" w:rsidR="00FF5E44" w:rsidRPr="002B65F7" w:rsidRDefault="00FF5E44" w:rsidP="00FF5E44">
      <w:pPr>
        <w:keepNext/>
        <w:widowControl/>
      </w:pPr>
    </w:p>
    <w:p w14:paraId="4D90ECB9" w14:textId="77777777" w:rsidR="00FF5E44" w:rsidRPr="002B65F7" w:rsidRDefault="00FF5E44" w:rsidP="00FF5E44">
      <w:pPr>
        <w:keepNext/>
        <w:widowControl/>
      </w:pPr>
      <w:r w:rsidRPr="002B65F7">
        <w:rPr>
          <w:u w:val="single"/>
        </w:rPr>
        <w:t>WEZENLA 45 mg solution injectable en stylo prérempli</w:t>
      </w:r>
    </w:p>
    <w:p w14:paraId="4BD64CDF" w14:textId="77777777" w:rsidR="00FF5E44" w:rsidRPr="002B65F7" w:rsidRDefault="00FF5E44" w:rsidP="00FF5E44">
      <w:pPr>
        <w:keepNext/>
        <w:widowControl/>
      </w:pPr>
    </w:p>
    <w:p w14:paraId="774FF4C7" w14:textId="77777777" w:rsidR="00FF5E44" w:rsidRPr="002B65F7" w:rsidRDefault="00FF5E44" w:rsidP="00FF5E44">
      <w:pPr>
        <w:keepNext/>
        <w:widowControl/>
      </w:pPr>
      <w:r w:rsidRPr="002B65F7">
        <w:t>3 ans</w:t>
      </w:r>
    </w:p>
    <w:p w14:paraId="516E7A77" w14:textId="77777777" w:rsidR="00FF5E44" w:rsidRPr="002B65F7" w:rsidRDefault="00FF5E44" w:rsidP="00FF5E44">
      <w:pPr>
        <w:widowControl/>
      </w:pPr>
    </w:p>
    <w:p w14:paraId="165D10F5" w14:textId="77777777" w:rsidR="00FF5E44" w:rsidRPr="002B65F7" w:rsidRDefault="00FF5E44" w:rsidP="00FF5E44">
      <w:pPr>
        <w:keepNext/>
        <w:widowControl/>
      </w:pPr>
      <w:r w:rsidRPr="002B65F7">
        <w:rPr>
          <w:u w:val="single"/>
        </w:rPr>
        <w:t>WEZENLA 90 mg solution injectable en stylo prérempli</w:t>
      </w:r>
    </w:p>
    <w:p w14:paraId="0B6045CC" w14:textId="77777777" w:rsidR="00FF5E44" w:rsidRPr="002B65F7" w:rsidRDefault="00FF5E44" w:rsidP="00FF5E44">
      <w:pPr>
        <w:keepNext/>
        <w:widowControl/>
      </w:pPr>
    </w:p>
    <w:p w14:paraId="07625ED5" w14:textId="77777777" w:rsidR="00FF5E44" w:rsidRPr="002B65F7" w:rsidRDefault="00FF5E44" w:rsidP="00FF5E44">
      <w:pPr>
        <w:widowControl/>
      </w:pPr>
      <w:r w:rsidRPr="002B65F7">
        <w:t>3 ans</w:t>
      </w:r>
    </w:p>
    <w:p w14:paraId="63DCBBF0" w14:textId="77777777" w:rsidR="00FF5E44" w:rsidRPr="002B65F7" w:rsidRDefault="00FF5E44" w:rsidP="00FF5E44">
      <w:pPr>
        <w:widowControl/>
      </w:pPr>
    </w:p>
    <w:p w14:paraId="2622C69F" w14:textId="77777777" w:rsidR="00FF5E44" w:rsidRPr="002B65F7" w:rsidRDefault="00FF5E44" w:rsidP="00FF5E44">
      <w:pPr>
        <w:widowControl/>
      </w:pPr>
      <w:r w:rsidRPr="002B65F7">
        <w:t>Les stylos préremplis individuels peuvent être conservés à température ambiante jusqu'à 30°C pendant une période unique de 30 jours maximum dans le carton d'origine à l’abri de la lumière. Inscrire la date à laquelle le stylo prérempli est retiré du réfrigérateur ainsi que la date limite de son utilisation. La date à laquelle l</w:t>
      </w:r>
      <w:r>
        <w:t>e stylo</w:t>
      </w:r>
      <w:r w:rsidRPr="002B65F7">
        <w:t xml:space="preserve"> ne doit plus être utilisée ne doit pas dépasser la date de péremption initiale imprimée sur le carton. Une fois qu'un stylo prérempli a été conservé à température ambiante (jusqu'à 30°C), il ne doit pas être remis au réfrigérateur. Jeter le stylo prérempli s’il n'est pas utilisé dans les 30 jours suivant sa conservation à température ambiante ou à la date de péremption initiale, si celle-ci est antérieure.</w:t>
      </w:r>
    </w:p>
    <w:p w14:paraId="1F2A92D6" w14:textId="77777777" w:rsidR="00FF5E44" w:rsidRPr="002B65F7" w:rsidRDefault="00FF5E44" w:rsidP="00FF5E44">
      <w:pPr>
        <w:widowControl/>
      </w:pPr>
    </w:p>
    <w:p w14:paraId="3F4FE3C0" w14:textId="77777777" w:rsidR="00FF5E44" w:rsidRPr="002B65F7" w:rsidRDefault="00FF5E44" w:rsidP="00FF5E44">
      <w:pPr>
        <w:keepNext/>
        <w:widowControl/>
        <w:ind w:left="567" w:hanging="567"/>
        <w:rPr>
          <w:b/>
          <w:bCs/>
        </w:rPr>
      </w:pPr>
      <w:r w:rsidRPr="002B65F7">
        <w:rPr>
          <w:b/>
          <w:bCs/>
        </w:rPr>
        <w:t>6.4</w:t>
      </w:r>
      <w:r w:rsidRPr="002B65F7">
        <w:rPr>
          <w:b/>
          <w:bCs/>
        </w:rPr>
        <w:tab/>
        <w:t>Précautions particulières de conservation</w:t>
      </w:r>
    </w:p>
    <w:p w14:paraId="76E10594" w14:textId="77777777" w:rsidR="00FF5E44" w:rsidRPr="002B65F7" w:rsidRDefault="00FF5E44" w:rsidP="00FF5E44">
      <w:pPr>
        <w:keepNext/>
        <w:widowControl/>
        <w:rPr>
          <w:b/>
          <w:bCs/>
        </w:rPr>
      </w:pPr>
    </w:p>
    <w:p w14:paraId="319FEDE3" w14:textId="77777777" w:rsidR="00FF5E44" w:rsidRPr="002B65F7" w:rsidRDefault="00FF5E44" w:rsidP="00FF5E44">
      <w:pPr>
        <w:keepNext/>
        <w:widowControl/>
      </w:pPr>
      <w:r w:rsidRPr="002B65F7">
        <w:t xml:space="preserve">A conserver au réfrigérateur (entre 2°C et 8°C). </w:t>
      </w:r>
    </w:p>
    <w:p w14:paraId="48056664" w14:textId="0BFFB2C5" w:rsidR="00FF5E44" w:rsidRPr="002B65F7" w:rsidRDefault="00FF5E44" w:rsidP="00B007D2">
      <w:pPr>
        <w:keepNext/>
        <w:widowControl/>
      </w:pPr>
      <w:r w:rsidRPr="002B65F7">
        <w:t>Ne pas congeler.</w:t>
      </w:r>
    </w:p>
    <w:p w14:paraId="1235F21B" w14:textId="77777777" w:rsidR="00FF5E44" w:rsidRPr="002B65F7" w:rsidRDefault="00FF5E44" w:rsidP="00FF5E44">
      <w:pPr>
        <w:widowControl/>
      </w:pPr>
      <w:r w:rsidRPr="002B65F7">
        <w:t>Conserver le stylo prérempli dans l’emballage extérieur à l’abri de la lumière.</w:t>
      </w:r>
    </w:p>
    <w:p w14:paraId="3A95BF3D" w14:textId="77777777" w:rsidR="00FF5E44" w:rsidRPr="002B65F7" w:rsidRDefault="00FF5E44" w:rsidP="00FF5E44">
      <w:pPr>
        <w:widowControl/>
      </w:pPr>
      <w:r w:rsidRPr="002B65F7">
        <w:t>Si nécessaire, les stylos préremplis individuels peuvent être conservés à température ambiante jusqu'à 30°C (voir rubrique 6.3).</w:t>
      </w:r>
    </w:p>
    <w:p w14:paraId="1DD6614D" w14:textId="77777777" w:rsidR="00FF5E44" w:rsidRPr="002B65F7" w:rsidRDefault="00FF5E44" w:rsidP="00FF5E44">
      <w:pPr>
        <w:widowControl/>
        <w:rPr>
          <w:b/>
          <w:bCs/>
        </w:rPr>
      </w:pPr>
    </w:p>
    <w:p w14:paraId="445F8E28" w14:textId="77777777" w:rsidR="00FF5E44" w:rsidRPr="002B65F7" w:rsidRDefault="00FF5E44" w:rsidP="00FF5E44">
      <w:pPr>
        <w:keepNext/>
        <w:widowControl/>
        <w:ind w:left="567" w:hanging="567"/>
        <w:rPr>
          <w:b/>
          <w:bCs/>
        </w:rPr>
      </w:pPr>
      <w:r w:rsidRPr="002B65F7">
        <w:rPr>
          <w:b/>
          <w:bCs/>
        </w:rPr>
        <w:t>6.5</w:t>
      </w:r>
      <w:r w:rsidRPr="002B65F7">
        <w:rPr>
          <w:b/>
          <w:bCs/>
        </w:rPr>
        <w:tab/>
        <w:t>Nature et contenu de l’emballage extérieur</w:t>
      </w:r>
    </w:p>
    <w:p w14:paraId="20DD5D70" w14:textId="77777777" w:rsidR="00FF5E44" w:rsidRPr="002B65F7" w:rsidRDefault="00FF5E44" w:rsidP="00FF5E44">
      <w:pPr>
        <w:keepNext/>
        <w:widowControl/>
      </w:pPr>
    </w:p>
    <w:p w14:paraId="67566169" w14:textId="77777777" w:rsidR="00FF5E44" w:rsidRPr="002B65F7" w:rsidRDefault="00FF5E44" w:rsidP="00FF5E44">
      <w:pPr>
        <w:widowControl/>
        <w:rPr>
          <w:u w:val="single"/>
        </w:rPr>
      </w:pPr>
      <w:r w:rsidRPr="002B65F7">
        <w:rPr>
          <w:u w:val="single"/>
        </w:rPr>
        <w:t>WEZENLA 45 mg solution injectable en stylo prérempli</w:t>
      </w:r>
    </w:p>
    <w:p w14:paraId="77E3DD2C" w14:textId="77777777" w:rsidR="00FF5E44" w:rsidRPr="002B65F7" w:rsidRDefault="00FF5E44" w:rsidP="00FF5E44">
      <w:pPr>
        <w:widowControl/>
        <w:rPr>
          <w:u w:val="single"/>
        </w:rPr>
      </w:pPr>
    </w:p>
    <w:p w14:paraId="7BA8CDA1" w14:textId="417A66F7" w:rsidR="00FF5E44" w:rsidRPr="002B65F7" w:rsidRDefault="00FF5E44" w:rsidP="00FF5E44">
      <w:pPr>
        <w:widowControl/>
      </w:pPr>
      <w:r w:rsidRPr="002B65F7">
        <w:t>0,5 mL de solution dans un</w:t>
      </w:r>
      <w:r w:rsidR="002D3E3F">
        <w:t>e</w:t>
      </w:r>
      <w:r w:rsidRPr="002B65F7">
        <w:t xml:space="preserve"> </w:t>
      </w:r>
      <w:r w:rsidR="00112127">
        <w:t>seringue</w:t>
      </w:r>
      <w:r w:rsidR="00112127" w:rsidRPr="002B65F7">
        <w:t xml:space="preserve"> </w:t>
      </w:r>
      <w:r w:rsidRPr="002B65F7">
        <w:t>prérempli</w:t>
      </w:r>
      <w:r w:rsidR="00112127">
        <w:t>e</w:t>
      </w:r>
      <w:r w:rsidRPr="002B65F7">
        <w:t xml:space="preserve"> de 1 mL en verre de type I avec une aiguille fixe en acier inoxydable</w:t>
      </w:r>
      <w:r w:rsidR="002D3E3F">
        <w:t>,</w:t>
      </w:r>
      <w:r w:rsidR="00112127">
        <w:t xml:space="preserve"> assemblée dans un stylo</w:t>
      </w:r>
      <w:r w:rsidRPr="002B65F7">
        <w:t>.</w:t>
      </w:r>
    </w:p>
    <w:p w14:paraId="15E58204" w14:textId="77777777" w:rsidR="00FF5E44" w:rsidRPr="002B65F7" w:rsidRDefault="00FF5E44" w:rsidP="00FF5E44">
      <w:pPr>
        <w:widowControl/>
      </w:pPr>
    </w:p>
    <w:p w14:paraId="20B995EB" w14:textId="77777777" w:rsidR="00FF5E44" w:rsidRPr="002B65F7" w:rsidRDefault="00FF5E44" w:rsidP="00FF5E44">
      <w:pPr>
        <w:keepNext/>
        <w:widowControl/>
        <w:rPr>
          <w:u w:val="single"/>
        </w:rPr>
      </w:pPr>
      <w:r w:rsidRPr="002B65F7">
        <w:rPr>
          <w:u w:val="single"/>
        </w:rPr>
        <w:lastRenderedPageBreak/>
        <w:t>WEZENLA 90 mg solution injectable en stylo prérempli</w:t>
      </w:r>
    </w:p>
    <w:p w14:paraId="0AB91045" w14:textId="77777777" w:rsidR="00FF5E44" w:rsidRPr="002B65F7" w:rsidRDefault="00FF5E44" w:rsidP="00FF5E44">
      <w:pPr>
        <w:keepNext/>
        <w:widowControl/>
        <w:rPr>
          <w:u w:val="single"/>
        </w:rPr>
      </w:pPr>
    </w:p>
    <w:p w14:paraId="78B1EDDF" w14:textId="438750EF" w:rsidR="00FF5E44" w:rsidRPr="002B65F7" w:rsidRDefault="00FF5E44" w:rsidP="00FF5E44">
      <w:pPr>
        <w:widowControl/>
      </w:pPr>
      <w:r w:rsidRPr="002B65F7">
        <w:t>1 mL de solution dans un</w:t>
      </w:r>
      <w:r w:rsidR="00112127">
        <w:t>e seringue</w:t>
      </w:r>
      <w:r w:rsidRPr="002B65F7">
        <w:t>prérempli</w:t>
      </w:r>
      <w:r w:rsidR="00112127">
        <w:t>e</w:t>
      </w:r>
      <w:r w:rsidRPr="002B65F7">
        <w:t xml:space="preserve"> de 1 mL en verre de type I avec une aiguille fixe en acier inoxydable</w:t>
      </w:r>
      <w:r w:rsidR="002D3E3F">
        <w:t>,</w:t>
      </w:r>
      <w:r w:rsidR="00112127">
        <w:t xml:space="preserve"> assemblée dans un stylo</w:t>
      </w:r>
      <w:r w:rsidRPr="002B65F7">
        <w:t>.</w:t>
      </w:r>
    </w:p>
    <w:p w14:paraId="5CFF76CD" w14:textId="77777777" w:rsidR="00FF5E44" w:rsidRPr="002B65F7" w:rsidRDefault="00FF5E44" w:rsidP="00FF5E44">
      <w:pPr>
        <w:widowControl/>
      </w:pPr>
    </w:p>
    <w:p w14:paraId="4F7D7ACD" w14:textId="77777777" w:rsidR="00FF5E44" w:rsidRPr="002B65F7" w:rsidRDefault="00FF5E44" w:rsidP="00FF5E44">
      <w:pPr>
        <w:widowControl/>
      </w:pPr>
      <w:r w:rsidRPr="002B65F7">
        <w:t>WEZENLA est disponible dans une boîte contenant 1 stylo prérempli.</w:t>
      </w:r>
    </w:p>
    <w:p w14:paraId="1BDCECA2" w14:textId="77777777" w:rsidR="00FF5E44" w:rsidRPr="002B65F7" w:rsidRDefault="00FF5E44" w:rsidP="00FF5E44">
      <w:pPr>
        <w:widowControl/>
      </w:pPr>
    </w:p>
    <w:p w14:paraId="056EB462" w14:textId="77777777" w:rsidR="00FF5E44" w:rsidRPr="002B65F7" w:rsidRDefault="00FF5E44" w:rsidP="00FF5E44">
      <w:pPr>
        <w:widowControl/>
        <w:ind w:left="567" w:hanging="567"/>
        <w:rPr>
          <w:b/>
          <w:bCs/>
        </w:rPr>
      </w:pPr>
      <w:r w:rsidRPr="002B65F7">
        <w:rPr>
          <w:b/>
          <w:bCs/>
        </w:rPr>
        <w:t>6.6</w:t>
      </w:r>
      <w:r w:rsidRPr="002B65F7">
        <w:rPr>
          <w:b/>
          <w:bCs/>
        </w:rPr>
        <w:tab/>
        <w:t>Précautions particulières d’élimination et manipulation</w:t>
      </w:r>
    </w:p>
    <w:p w14:paraId="030AC98E" w14:textId="77777777" w:rsidR="00FF5E44" w:rsidRPr="002B65F7" w:rsidRDefault="00FF5E44" w:rsidP="00FF5E44">
      <w:pPr>
        <w:widowControl/>
      </w:pPr>
    </w:p>
    <w:p w14:paraId="4FE2F7AB" w14:textId="3938C7DA" w:rsidR="00FF5E44" w:rsidRPr="002B65F7" w:rsidRDefault="00FF5E44" w:rsidP="00FF5E44">
      <w:pPr>
        <w:widowControl/>
      </w:pPr>
      <w:r w:rsidRPr="002B65F7">
        <w:t>Ne pas agiter la solution contenue dans le stylo prérempli de WEZENLA. Avant administration sous</w:t>
      </w:r>
      <w:r w:rsidR="00A1075C">
        <w:noBreakHyphen/>
      </w:r>
      <w:r w:rsidRPr="002B65F7">
        <w:t>cutanée, la solution doit être inspectée visuellement pour mettre en évidence la présence de particules ou un changement de coloration. La solution est limpide à opalescente, incolore à jaune clair. Le médicament ne doit pas être utilisé si la solution est décolorée ou laiteuse, ou si des particules étrangères sont présentes. Avant administration, il convient de laisser WEZENLA atteindre la température ambiante (approximativement une demi-heure). Des instructions détaillées pour l’utilisation sont mentionnées dans la notice.</w:t>
      </w:r>
    </w:p>
    <w:p w14:paraId="514445F8" w14:textId="77777777" w:rsidR="00FF5E44" w:rsidRPr="002B65F7" w:rsidRDefault="00FF5E44" w:rsidP="00FF5E44">
      <w:pPr>
        <w:widowControl/>
      </w:pPr>
    </w:p>
    <w:p w14:paraId="433D2CAF" w14:textId="77777777" w:rsidR="00FF5E44" w:rsidRPr="002B65F7" w:rsidRDefault="00FF5E44" w:rsidP="00FF5E44">
      <w:pPr>
        <w:widowControl/>
      </w:pPr>
      <w:r w:rsidRPr="002B65F7">
        <w:t>WEZENLA ne contient pas de conservateur ; tout médicament non utilisé restant dans l</w:t>
      </w:r>
      <w:r>
        <w:t>e stylo</w:t>
      </w:r>
      <w:r w:rsidRPr="002B65F7">
        <w:t xml:space="preserve"> ne doit pas être utilisé. WEZENLA est contenu dans un stylo prérempli stérile à usage unique. Le stylo prérempli ne doit jamais être réutilisé. Tout médicament non utilisé ou déchet doit être éliminé conformément à la réglementation en vigueur.</w:t>
      </w:r>
    </w:p>
    <w:p w14:paraId="1CE81D81" w14:textId="77777777" w:rsidR="00FF5E44" w:rsidRPr="002B65F7" w:rsidRDefault="00FF5E44" w:rsidP="00FF5E44">
      <w:pPr>
        <w:widowControl/>
      </w:pPr>
    </w:p>
    <w:p w14:paraId="0FC08EDF" w14:textId="77777777" w:rsidR="00FF5E44" w:rsidRPr="002B65F7" w:rsidRDefault="00FF5E44" w:rsidP="00FF5E44">
      <w:pPr>
        <w:widowControl/>
      </w:pPr>
    </w:p>
    <w:p w14:paraId="6935AC8B" w14:textId="77777777" w:rsidR="00FF5E44" w:rsidRPr="002B65F7" w:rsidRDefault="00FF5E44" w:rsidP="00FF5E44">
      <w:pPr>
        <w:keepNext/>
        <w:widowControl/>
        <w:ind w:left="567" w:hanging="567"/>
        <w:rPr>
          <w:b/>
          <w:bCs/>
        </w:rPr>
      </w:pPr>
      <w:r w:rsidRPr="002B65F7">
        <w:rPr>
          <w:b/>
          <w:bCs/>
        </w:rPr>
        <w:t>7.</w:t>
      </w:r>
      <w:r w:rsidRPr="002B65F7">
        <w:rPr>
          <w:b/>
          <w:bCs/>
        </w:rPr>
        <w:tab/>
        <w:t>TITULAIRE DE L’AUTORISATION DE MISE SUR LE MARCHÉ</w:t>
      </w:r>
    </w:p>
    <w:p w14:paraId="4B293ECA" w14:textId="77777777" w:rsidR="00FF5E44" w:rsidRPr="002B65F7" w:rsidRDefault="00FF5E44" w:rsidP="00FF5E44">
      <w:pPr>
        <w:keepNext/>
        <w:widowControl/>
      </w:pPr>
    </w:p>
    <w:p w14:paraId="085AB39D" w14:textId="77777777" w:rsidR="00FF5E44" w:rsidRPr="002B65F7" w:rsidRDefault="00FF5E44" w:rsidP="00FF5E44">
      <w:pPr>
        <w:rPr>
          <w:lang w:val="en-GB"/>
        </w:rPr>
      </w:pPr>
      <w:r w:rsidRPr="002B65F7">
        <w:rPr>
          <w:lang w:val="en-GB"/>
        </w:rPr>
        <w:t>Amgen Technology (Ireland) UC,</w:t>
      </w:r>
    </w:p>
    <w:p w14:paraId="1AA9348D" w14:textId="77777777" w:rsidR="00FF5E44" w:rsidRPr="002B65F7" w:rsidRDefault="00FF5E44" w:rsidP="00FF5E44">
      <w:pPr>
        <w:rPr>
          <w:lang w:val="en-GB"/>
        </w:rPr>
      </w:pPr>
      <w:r w:rsidRPr="002B65F7">
        <w:rPr>
          <w:lang w:val="en-GB"/>
        </w:rPr>
        <w:t>Pottery Road,</w:t>
      </w:r>
    </w:p>
    <w:p w14:paraId="6851C6A2" w14:textId="77777777" w:rsidR="00FF5E44" w:rsidRPr="002B65F7" w:rsidRDefault="00FF5E44" w:rsidP="00FF5E44">
      <w:r w:rsidRPr="002B65F7">
        <w:t>Dun Laoghaire,</w:t>
      </w:r>
    </w:p>
    <w:p w14:paraId="243E24A6" w14:textId="77777777" w:rsidR="00FF5E44" w:rsidRPr="002B65F7" w:rsidRDefault="00FF5E44" w:rsidP="00FF5E44">
      <w:r w:rsidRPr="002B65F7">
        <w:t>Co Dublin,</w:t>
      </w:r>
    </w:p>
    <w:p w14:paraId="7F10A814" w14:textId="77777777" w:rsidR="00FF5E44" w:rsidRPr="002B65F7" w:rsidRDefault="00FF5E44" w:rsidP="00FF5E44">
      <w:pPr>
        <w:keepNext/>
        <w:widowControl/>
      </w:pPr>
      <w:r w:rsidRPr="002B65F7">
        <w:t>Irlande</w:t>
      </w:r>
      <w:r w:rsidRPr="002B65F7" w:rsidDel="00AF4840">
        <w:t xml:space="preserve"> </w:t>
      </w:r>
    </w:p>
    <w:p w14:paraId="3D0CF4D0" w14:textId="77777777" w:rsidR="00FF5E44" w:rsidRPr="002B65F7" w:rsidRDefault="00FF5E44" w:rsidP="00FF5E44">
      <w:pPr>
        <w:widowControl/>
      </w:pPr>
    </w:p>
    <w:p w14:paraId="3518989E" w14:textId="77777777" w:rsidR="00FF5E44" w:rsidRPr="002B65F7" w:rsidRDefault="00FF5E44" w:rsidP="00FF5E44">
      <w:pPr>
        <w:widowControl/>
      </w:pPr>
    </w:p>
    <w:p w14:paraId="0BA3C310" w14:textId="77777777" w:rsidR="00FF5E44" w:rsidRPr="002B65F7" w:rsidRDefault="00FF5E44" w:rsidP="00FF5E44">
      <w:pPr>
        <w:keepNext/>
        <w:widowControl/>
        <w:ind w:left="567" w:hanging="567"/>
        <w:rPr>
          <w:b/>
          <w:bCs/>
        </w:rPr>
      </w:pPr>
      <w:r w:rsidRPr="002B65F7">
        <w:rPr>
          <w:b/>
          <w:bCs/>
        </w:rPr>
        <w:t>8.</w:t>
      </w:r>
      <w:r w:rsidRPr="002B65F7">
        <w:rPr>
          <w:b/>
          <w:bCs/>
        </w:rPr>
        <w:tab/>
        <w:t>NUMÉRO(S) D’AUTORISATION DE MISE SUR LE MARCHÉ</w:t>
      </w:r>
    </w:p>
    <w:p w14:paraId="247EF23D" w14:textId="77777777" w:rsidR="00FF5E44" w:rsidRPr="002B65F7" w:rsidRDefault="00FF5E44" w:rsidP="00FF5E44">
      <w:pPr>
        <w:keepNext/>
        <w:widowControl/>
      </w:pPr>
    </w:p>
    <w:p w14:paraId="351FD531" w14:textId="77777777" w:rsidR="00FF5E44" w:rsidRPr="002B65F7" w:rsidRDefault="00FF5E44" w:rsidP="00FF5E44">
      <w:pPr>
        <w:keepNext/>
        <w:widowControl/>
      </w:pPr>
      <w:r w:rsidRPr="002B65F7">
        <w:rPr>
          <w:u w:val="single"/>
        </w:rPr>
        <w:t>WEZENLA 45 mg solution injectable en stylo prérempli.</w:t>
      </w:r>
    </w:p>
    <w:p w14:paraId="21429A23" w14:textId="77777777" w:rsidR="00FF5E44" w:rsidRPr="002B65F7" w:rsidRDefault="00FF5E44" w:rsidP="00FF5E44">
      <w:pPr>
        <w:keepNext/>
        <w:widowControl/>
      </w:pPr>
    </w:p>
    <w:p w14:paraId="131FE252" w14:textId="573BB855" w:rsidR="00FF5E44" w:rsidRPr="002B65F7" w:rsidRDefault="00FF5E44" w:rsidP="00FF5E44">
      <w:pPr>
        <w:widowControl/>
      </w:pPr>
      <w:r w:rsidRPr="002B65F7">
        <w:t>EU/1/24/1823/</w:t>
      </w:r>
      <w:r w:rsidR="00204F7D">
        <w:t>005</w:t>
      </w:r>
    </w:p>
    <w:p w14:paraId="493A20B5" w14:textId="77777777" w:rsidR="00FF5E44" w:rsidRPr="002B65F7" w:rsidRDefault="00FF5E44" w:rsidP="00FF5E44">
      <w:pPr>
        <w:widowControl/>
      </w:pPr>
    </w:p>
    <w:p w14:paraId="56058D14" w14:textId="77777777" w:rsidR="00FF5E44" w:rsidRPr="002B65F7" w:rsidRDefault="00FF5E44" w:rsidP="00FF5E44">
      <w:pPr>
        <w:keepNext/>
        <w:widowControl/>
      </w:pPr>
      <w:r w:rsidRPr="002B65F7">
        <w:rPr>
          <w:u w:val="single"/>
        </w:rPr>
        <w:t>WEZENLA 90 mg solution injectable en stylo prérempli.</w:t>
      </w:r>
    </w:p>
    <w:p w14:paraId="2E02237D" w14:textId="77777777" w:rsidR="00FF5E44" w:rsidRPr="002B65F7" w:rsidRDefault="00FF5E44" w:rsidP="00FF5E44">
      <w:pPr>
        <w:keepNext/>
        <w:widowControl/>
      </w:pPr>
    </w:p>
    <w:p w14:paraId="2318497B" w14:textId="3507BBB8" w:rsidR="00FF5E44" w:rsidRPr="002B65F7" w:rsidRDefault="00FF5E44" w:rsidP="00FF5E44">
      <w:pPr>
        <w:widowControl/>
      </w:pPr>
      <w:r w:rsidRPr="002B65F7">
        <w:t>EU/1/24/1823/</w:t>
      </w:r>
      <w:r w:rsidR="00204F7D">
        <w:t>006</w:t>
      </w:r>
    </w:p>
    <w:p w14:paraId="75C7A9B4" w14:textId="77777777" w:rsidR="00FF5E44" w:rsidRPr="002B65F7" w:rsidRDefault="00FF5E44" w:rsidP="00FF5E44">
      <w:pPr>
        <w:widowControl/>
      </w:pPr>
    </w:p>
    <w:p w14:paraId="07C65D2C" w14:textId="77777777" w:rsidR="00FF5E44" w:rsidRPr="002B65F7" w:rsidRDefault="00FF5E44" w:rsidP="00FF5E44">
      <w:pPr>
        <w:widowControl/>
      </w:pPr>
    </w:p>
    <w:p w14:paraId="5FF12159" w14:textId="77777777" w:rsidR="00FF5E44" w:rsidRPr="002B65F7" w:rsidRDefault="00FF5E44" w:rsidP="00FF5E44">
      <w:pPr>
        <w:keepNext/>
        <w:widowControl/>
        <w:tabs>
          <w:tab w:val="left" w:pos="567"/>
        </w:tabs>
        <w:ind w:left="567" w:hanging="567"/>
        <w:rPr>
          <w:b/>
          <w:bCs/>
        </w:rPr>
      </w:pPr>
      <w:r w:rsidRPr="002B65F7">
        <w:rPr>
          <w:b/>
          <w:bCs/>
        </w:rPr>
        <w:t>9.</w:t>
      </w:r>
      <w:r w:rsidRPr="002B65F7">
        <w:rPr>
          <w:b/>
          <w:bCs/>
        </w:rPr>
        <w:tab/>
        <w:t>DATE DE PREMIÈRE AUTORISATION/DE RENOUVELLEMENT DE L’AUTORISATION</w:t>
      </w:r>
    </w:p>
    <w:p w14:paraId="40992E4C" w14:textId="77777777" w:rsidR="00FF5E44" w:rsidRPr="002B65F7" w:rsidRDefault="00FF5E44" w:rsidP="00FF5E44">
      <w:pPr>
        <w:keepNext/>
        <w:widowControl/>
      </w:pPr>
    </w:p>
    <w:p w14:paraId="4F91E0B7" w14:textId="73A12472" w:rsidR="00FF5E44" w:rsidRPr="002B65F7" w:rsidRDefault="00FF5E44" w:rsidP="00FF5E44">
      <w:pPr>
        <w:widowControl/>
      </w:pPr>
      <w:r w:rsidRPr="002B65F7">
        <w:t xml:space="preserve">Date de première autorisation : </w:t>
      </w:r>
      <w:r w:rsidR="00204F7D" w:rsidRPr="000B1A88">
        <w:t>20 juin 2024</w:t>
      </w:r>
    </w:p>
    <w:p w14:paraId="2A66B4C8" w14:textId="77777777" w:rsidR="00FF5E44" w:rsidRPr="002B65F7" w:rsidRDefault="00FF5E44" w:rsidP="00FF5E44">
      <w:pPr>
        <w:widowControl/>
      </w:pPr>
    </w:p>
    <w:p w14:paraId="41323080" w14:textId="77777777" w:rsidR="00FF5E44" w:rsidRPr="002B65F7" w:rsidRDefault="00FF5E44" w:rsidP="00FF5E44">
      <w:pPr>
        <w:widowControl/>
      </w:pPr>
    </w:p>
    <w:p w14:paraId="3D7B8228" w14:textId="77777777" w:rsidR="00FF5E44" w:rsidRPr="002B65F7" w:rsidRDefault="00FF5E44" w:rsidP="00FF5E44">
      <w:pPr>
        <w:keepNext/>
        <w:widowControl/>
        <w:tabs>
          <w:tab w:val="left" w:pos="567"/>
        </w:tabs>
        <w:ind w:left="567" w:hanging="567"/>
        <w:rPr>
          <w:b/>
          <w:bCs/>
        </w:rPr>
      </w:pPr>
      <w:r w:rsidRPr="002B65F7">
        <w:rPr>
          <w:b/>
          <w:bCs/>
        </w:rPr>
        <w:t>10.</w:t>
      </w:r>
      <w:r w:rsidRPr="002B65F7">
        <w:rPr>
          <w:b/>
          <w:bCs/>
        </w:rPr>
        <w:tab/>
        <w:t>DATE DE MISE A JOUR DU TEXTE</w:t>
      </w:r>
    </w:p>
    <w:p w14:paraId="463D0256" w14:textId="77777777" w:rsidR="00FF5E44" w:rsidRPr="002B65F7" w:rsidRDefault="00FF5E44" w:rsidP="00FF5E44">
      <w:pPr>
        <w:keepNext/>
        <w:widowControl/>
      </w:pPr>
    </w:p>
    <w:p w14:paraId="2D8F73DC" w14:textId="77777777" w:rsidR="00FF5E44" w:rsidRPr="002B65F7" w:rsidRDefault="00FF5E44" w:rsidP="00FF5E44">
      <w:pPr>
        <w:widowControl/>
      </w:pPr>
    </w:p>
    <w:p w14:paraId="735C97DC" w14:textId="77777777" w:rsidR="00FF5E44" w:rsidRPr="002B65F7" w:rsidRDefault="00FF5E44" w:rsidP="00FF5E44">
      <w:pPr>
        <w:widowControl/>
      </w:pPr>
    </w:p>
    <w:p w14:paraId="423AC410" w14:textId="6FF1D178" w:rsidR="00FF5E44" w:rsidRPr="002B65F7" w:rsidRDefault="00FF5E44" w:rsidP="00FF5E44">
      <w:pPr>
        <w:widowControl/>
      </w:pPr>
      <w:r w:rsidRPr="002B65F7">
        <w:t xml:space="preserve">Des informations détaillées sur ce médicament sont disponibles sur le site internet de l’Agence européenne des médicaments </w:t>
      </w:r>
      <w:hyperlink r:id="rId18" w:history="1">
        <w:r w:rsidR="00D06682">
          <w:rPr>
            <w:rStyle w:val="Hyperlink"/>
          </w:rPr>
          <w:t>https://www.ema.europa.eu</w:t>
        </w:r>
      </w:hyperlink>
      <w:r w:rsidRPr="002B65F7">
        <w:t>.</w:t>
      </w:r>
    </w:p>
    <w:p w14:paraId="4325A4DE" w14:textId="537F8CB7" w:rsidR="00166AE2" w:rsidRPr="002B65F7" w:rsidRDefault="00166AE2" w:rsidP="00166AE2">
      <w:pPr>
        <w:widowControl/>
      </w:pPr>
    </w:p>
    <w:p w14:paraId="1632B497" w14:textId="77777777" w:rsidR="00166AE2" w:rsidRPr="002B65F7" w:rsidRDefault="00166AE2" w:rsidP="00166AE2">
      <w:pPr>
        <w:widowControl/>
      </w:pPr>
      <w:r w:rsidRPr="002B65F7">
        <w:br w:type="page"/>
      </w:r>
    </w:p>
    <w:p w14:paraId="03B58A5C" w14:textId="77777777" w:rsidR="00092F83" w:rsidRPr="002B65F7" w:rsidRDefault="00092F83" w:rsidP="00496255">
      <w:pPr>
        <w:widowControl/>
        <w:jc w:val="center"/>
      </w:pPr>
    </w:p>
    <w:p w14:paraId="03B58A5D" w14:textId="77777777" w:rsidR="00092F83" w:rsidRPr="002B65F7" w:rsidRDefault="00092F83" w:rsidP="00496255">
      <w:pPr>
        <w:widowControl/>
        <w:jc w:val="center"/>
      </w:pPr>
    </w:p>
    <w:p w14:paraId="03B58A5E" w14:textId="77777777" w:rsidR="00092F83" w:rsidRPr="002B65F7" w:rsidRDefault="00092F83" w:rsidP="00496255">
      <w:pPr>
        <w:widowControl/>
        <w:jc w:val="center"/>
      </w:pPr>
    </w:p>
    <w:p w14:paraId="03B58A5F" w14:textId="77777777" w:rsidR="00092F83" w:rsidRPr="002B65F7" w:rsidRDefault="00092F83" w:rsidP="00496255">
      <w:pPr>
        <w:widowControl/>
        <w:jc w:val="center"/>
      </w:pPr>
    </w:p>
    <w:p w14:paraId="03B58A60" w14:textId="77777777" w:rsidR="00092F83" w:rsidRPr="002B65F7" w:rsidRDefault="00092F83" w:rsidP="00496255">
      <w:pPr>
        <w:widowControl/>
        <w:jc w:val="center"/>
      </w:pPr>
    </w:p>
    <w:p w14:paraId="03B58A61" w14:textId="77777777" w:rsidR="00092F83" w:rsidRPr="002B65F7" w:rsidRDefault="00092F83" w:rsidP="00496255">
      <w:pPr>
        <w:widowControl/>
        <w:jc w:val="center"/>
      </w:pPr>
    </w:p>
    <w:p w14:paraId="03B58A62" w14:textId="77777777" w:rsidR="00092F83" w:rsidRPr="002B65F7" w:rsidRDefault="00092F83" w:rsidP="00496255">
      <w:pPr>
        <w:widowControl/>
        <w:jc w:val="center"/>
      </w:pPr>
    </w:p>
    <w:p w14:paraId="03B58A63" w14:textId="77777777" w:rsidR="00092F83" w:rsidRPr="002B65F7" w:rsidRDefault="00092F83" w:rsidP="00496255">
      <w:pPr>
        <w:widowControl/>
        <w:jc w:val="center"/>
      </w:pPr>
    </w:p>
    <w:p w14:paraId="03B58A64" w14:textId="77777777" w:rsidR="00092F83" w:rsidRPr="002B65F7" w:rsidRDefault="00092F83" w:rsidP="00496255">
      <w:pPr>
        <w:widowControl/>
        <w:jc w:val="center"/>
      </w:pPr>
    </w:p>
    <w:p w14:paraId="03B58A65" w14:textId="77777777" w:rsidR="00092F83" w:rsidRPr="002B65F7" w:rsidRDefault="00092F83" w:rsidP="00496255">
      <w:pPr>
        <w:widowControl/>
        <w:jc w:val="center"/>
      </w:pPr>
    </w:p>
    <w:p w14:paraId="03B58A66" w14:textId="77777777" w:rsidR="00092F83" w:rsidRPr="002B65F7" w:rsidRDefault="00092F83" w:rsidP="00496255">
      <w:pPr>
        <w:widowControl/>
        <w:jc w:val="center"/>
      </w:pPr>
    </w:p>
    <w:p w14:paraId="03B58A67" w14:textId="77777777" w:rsidR="00092F83" w:rsidRPr="002B65F7" w:rsidRDefault="00092F83" w:rsidP="00496255">
      <w:pPr>
        <w:widowControl/>
        <w:jc w:val="center"/>
      </w:pPr>
    </w:p>
    <w:p w14:paraId="03B58A68" w14:textId="77777777" w:rsidR="00092F83" w:rsidRPr="002B65F7" w:rsidRDefault="00092F83" w:rsidP="00496255">
      <w:pPr>
        <w:widowControl/>
        <w:jc w:val="center"/>
      </w:pPr>
    </w:p>
    <w:p w14:paraId="03B58A69" w14:textId="77777777" w:rsidR="00092F83" w:rsidRPr="002B65F7" w:rsidRDefault="00092F83" w:rsidP="00496255">
      <w:pPr>
        <w:widowControl/>
        <w:jc w:val="center"/>
      </w:pPr>
    </w:p>
    <w:p w14:paraId="03B58A6A" w14:textId="77777777" w:rsidR="00092F83" w:rsidRPr="002B65F7" w:rsidRDefault="00092F83" w:rsidP="00496255">
      <w:pPr>
        <w:widowControl/>
        <w:jc w:val="center"/>
      </w:pPr>
    </w:p>
    <w:p w14:paraId="03B58A6B" w14:textId="77777777" w:rsidR="00092F83" w:rsidRPr="002B65F7" w:rsidRDefault="00092F83" w:rsidP="00496255">
      <w:pPr>
        <w:widowControl/>
        <w:jc w:val="center"/>
      </w:pPr>
    </w:p>
    <w:p w14:paraId="03B58A6C" w14:textId="77777777" w:rsidR="00092F83" w:rsidRPr="002B65F7" w:rsidRDefault="00092F83" w:rsidP="00496255">
      <w:pPr>
        <w:widowControl/>
        <w:jc w:val="center"/>
      </w:pPr>
    </w:p>
    <w:p w14:paraId="03B58A6D" w14:textId="77777777" w:rsidR="00092F83" w:rsidRPr="002B65F7" w:rsidRDefault="00092F83" w:rsidP="00496255">
      <w:pPr>
        <w:widowControl/>
        <w:jc w:val="center"/>
      </w:pPr>
    </w:p>
    <w:p w14:paraId="03B58A6E" w14:textId="77777777" w:rsidR="00092F83" w:rsidRPr="002B65F7" w:rsidRDefault="00092F83" w:rsidP="00496255">
      <w:pPr>
        <w:widowControl/>
        <w:jc w:val="center"/>
      </w:pPr>
    </w:p>
    <w:p w14:paraId="4DE1D136" w14:textId="77777777" w:rsidR="00A3503F" w:rsidRPr="002B65F7" w:rsidRDefault="00A3503F" w:rsidP="00496255">
      <w:pPr>
        <w:widowControl/>
        <w:jc w:val="center"/>
      </w:pPr>
    </w:p>
    <w:p w14:paraId="5CC62165" w14:textId="77777777" w:rsidR="00A3503F" w:rsidRPr="002B65F7" w:rsidRDefault="00A3503F" w:rsidP="00496255">
      <w:pPr>
        <w:widowControl/>
        <w:jc w:val="center"/>
      </w:pPr>
    </w:p>
    <w:p w14:paraId="5B0D8C24" w14:textId="77777777" w:rsidR="00A3503F" w:rsidRDefault="00A3503F" w:rsidP="00496255">
      <w:pPr>
        <w:widowControl/>
        <w:jc w:val="center"/>
      </w:pPr>
    </w:p>
    <w:p w14:paraId="5802FA15" w14:textId="77777777" w:rsidR="00FE04B7" w:rsidRPr="002B65F7" w:rsidRDefault="00FE04B7" w:rsidP="00496255">
      <w:pPr>
        <w:widowControl/>
        <w:jc w:val="center"/>
      </w:pPr>
    </w:p>
    <w:p w14:paraId="03B58A6F" w14:textId="6B23F049" w:rsidR="00092F83" w:rsidRPr="002B65F7" w:rsidRDefault="00C31740" w:rsidP="00496255">
      <w:pPr>
        <w:widowControl/>
        <w:jc w:val="center"/>
        <w:rPr>
          <w:b/>
          <w:bCs/>
        </w:rPr>
      </w:pPr>
      <w:r w:rsidRPr="002B65F7">
        <w:rPr>
          <w:b/>
          <w:bCs/>
        </w:rPr>
        <w:t>ANNEXE II</w:t>
      </w:r>
    </w:p>
    <w:p w14:paraId="03B58A70" w14:textId="77777777" w:rsidR="00092F83" w:rsidRPr="002B65F7" w:rsidRDefault="00092F83" w:rsidP="00496255">
      <w:pPr>
        <w:widowControl/>
        <w:jc w:val="center"/>
      </w:pPr>
    </w:p>
    <w:p w14:paraId="03B58A71" w14:textId="1758D2FE" w:rsidR="00092F83" w:rsidRPr="002B65F7" w:rsidRDefault="003E7F93" w:rsidP="00B671F3">
      <w:pPr>
        <w:widowControl/>
        <w:ind w:left="1701" w:hanging="567"/>
        <w:rPr>
          <w:b/>
          <w:bCs/>
        </w:rPr>
      </w:pPr>
      <w:r w:rsidRPr="002B65F7">
        <w:rPr>
          <w:b/>
          <w:bCs/>
        </w:rPr>
        <w:t>A.</w:t>
      </w:r>
      <w:r w:rsidRPr="002B65F7">
        <w:rPr>
          <w:b/>
          <w:bCs/>
        </w:rPr>
        <w:tab/>
      </w:r>
      <w:r w:rsidR="00C31740" w:rsidRPr="002B65F7">
        <w:rPr>
          <w:b/>
          <w:bCs/>
        </w:rPr>
        <w:t>FABRICANT DE LA SUBSTANCE ACTIVE D’ORIGINE BIOLOGIQUE ET FABRICANT</w:t>
      </w:r>
      <w:r w:rsidR="00AF4840" w:rsidRPr="002B65F7">
        <w:rPr>
          <w:b/>
          <w:bCs/>
        </w:rPr>
        <w:t>S</w:t>
      </w:r>
      <w:r w:rsidR="00C31740" w:rsidRPr="002B65F7">
        <w:rPr>
          <w:b/>
          <w:bCs/>
        </w:rPr>
        <w:t xml:space="preserve"> RESPONSABLE</w:t>
      </w:r>
      <w:r w:rsidR="00AF4840" w:rsidRPr="002B65F7">
        <w:rPr>
          <w:b/>
          <w:bCs/>
        </w:rPr>
        <w:t>S</w:t>
      </w:r>
      <w:r w:rsidR="00C31740" w:rsidRPr="002B65F7">
        <w:rPr>
          <w:b/>
          <w:bCs/>
        </w:rPr>
        <w:t xml:space="preserve"> DE LA LIBÉRATION DES LOTS</w:t>
      </w:r>
    </w:p>
    <w:p w14:paraId="4F2B49D4" w14:textId="77777777" w:rsidR="002161B0" w:rsidRPr="002B65F7" w:rsidRDefault="002161B0" w:rsidP="00496255">
      <w:pPr>
        <w:widowControl/>
        <w:ind w:left="1701" w:right="119" w:hanging="709"/>
      </w:pPr>
    </w:p>
    <w:p w14:paraId="03B58A72" w14:textId="5DE905C1" w:rsidR="00092F83" w:rsidRPr="002B65F7" w:rsidRDefault="002161B0" w:rsidP="00B671F3">
      <w:pPr>
        <w:widowControl/>
        <w:ind w:left="1701" w:hanging="567"/>
        <w:rPr>
          <w:b/>
          <w:bCs/>
        </w:rPr>
      </w:pPr>
      <w:r w:rsidRPr="002B65F7">
        <w:rPr>
          <w:b/>
          <w:bCs/>
        </w:rPr>
        <w:t>B.</w:t>
      </w:r>
      <w:r w:rsidRPr="002B65F7">
        <w:rPr>
          <w:b/>
          <w:bCs/>
        </w:rPr>
        <w:tab/>
      </w:r>
      <w:r w:rsidR="00C31740" w:rsidRPr="002B65F7">
        <w:rPr>
          <w:b/>
          <w:bCs/>
        </w:rPr>
        <w:t>CONDITIONS OU RESTRICTIONS DE DÉLIVRANCE ET D’UTILISATION</w:t>
      </w:r>
    </w:p>
    <w:p w14:paraId="03B58A73" w14:textId="77777777" w:rsidR="00092F83" w:rsidRPr="002B65F7" w:rsidRDefault="00092F83" w:rsidP="00496255">
      <w:pPr>
        <w:widowControl/>
        <w:ind w:left="1701" w:right="119" w:hanging="709"/>
      </w:pPr>
    </w:p>
    <w:p w14:paraId="03B58A74" w14:textId="69C5D81B" w:rsidR="00092F83" w:rsidRPr="002B65F7" w:rsidRDefault="002161B0" w:rsidP="00B671F3">
      <w:pPr>
        <w:widowControl/>
        <w:ind w:left="1701" w:hanging="567"/>
        <w:rPr>
          <w:b/>
          <w:bCs/>
        </w:rPr>
      </w:pPr>
      <w:r w:rsidRPr="002B65F7">
        <w:rPr>
          <w:b/>
          <w:bCs/>
        </w:rPr>
        <w:t>C.</w:t>
      </w:r>
      <w:r w:rsidRPr="002B65F7">
        <w:rPr>
          <w:b/>
          <w:bCs/>
        </w:rPr>
        <w:tab/>
      </w:r>
      <w:r w:rsidR="00C31740" w:rsidRPr="002B65F7">
        <w:rPr>
          <w:b/>
          <w:bCs/>
        </w:rPr>
        <w:t>AUTRES CONDITIONS ET OBLIGATIONS DE L’AUTORISATION DE MISE SUR LE MARCHÉ</w:t>
      </w:r>
    </w:p>
    <w:p w14:paraId="38D02710" w14:textId="77777777" w:rsidR="002161B0" w:rsidRPr="002B65F7" w:rsidRDefault="002161B0" w:rsidP="00496255">
      <w:pPr>
        <w:widowControl/>
        <w:ind w:left="1701" w:right="119" w:hanging="709"/>
      </w:pPr>
    </w:p>
    <w:p w14:paraId="03B58A75" w14:textId="20D01C0C" w:rsidR="00092F83" w:rsidRPr="002B65F7" w:rsidRDefault="002161B0" w:rsidP="00B671F3">
      <w:pPr>
        <w:widowControl/>
        <w:ind w:left="1701" w:hanging="567"/>
        <w:rPr>
          <w:b/>
          <w:bCs/>
        </w:rPr>
      </w:pPr>
      <w:r w:rsidRPr="002B65F7">
        <w:rPr>
          <w:b/>
          <w:bCs/>
        </w:rPr>
        <w:t>D.</w:t>
      </w:r>
      <w:r w:rsidRPr="002B65F7">
        <w:rPr>
          <w:b/>
          <w:bCs/>
        </w:rPr>
        <w:tab/>
      </w:r>
      <w:r w:rsidR="00C31740" w:rsidRPr="002B65F7">
        <w:rPr>
          <w:b/>
          <w:bCs/>
        </w:rPr>
        <w:t>CONDITIONS OU RESTRICTIONS EN VUE D’UNE UTILISATION SÛRE ET EFFICACE DU MÉDICAMENT</w:t>
      </w:r>
    </w:p>
    <w:p w14:paraId="5180ED29" w14:textId="77777777" w:rsidR="00092F83" w:rsidRPr="002B65F7" w:rsidRDefault="00092F83" w:rsidP="00496255">
      <w:pPr>
        <w:widowControl/>
      </w:pPr>
    </w:p>
    <w:p w14:paraId="03B58A77" w14:textId="0ACD0019" w:rsidR="00092F83" w:rsidRPr="002B65F7" w:rsidRDefault="008E1A8B" w:rsidP="004B12BC">
      <w:pPr>
        <w:pStyle w:val="TitleB"/>
        <w:keepNext w:val="0"/>
      </w:pPr>
      <w:bookmarkStart w:id="29" w:name="A._FABRICANTS_DE_LA_SUBSTANCE_ACTIVE_D’O"/>
      <w:bookmarkEnd w:id="29"/>
      <w:r>
        <w:rPr>
          <w:b w:val="0"/>
          <w:bCs w:val="0"/>
          <w:spacing w:val="-2"/>
          <w:highlight w:val="lightGray"/>
        </w:rPr>
        <w:br w:type="page"/>
      </w:r>
      <w:r w:rsidR="004B77B0" w:rsidRPr="002B65F7">
        <w:lastRenderedPageBreak/>
        <w:t>A.</w:t>
      </w:r>
      <w:r w:rsidR="004B77B0" w:rsidRPr="002B65F7">
        <w:tab/>
      </w:r>
      <w:r w:rsidR="00C31740" w:rsidRPr="002B65F7">
        <w:t>FABRICANT DE LA SUBSTANCE ACTIVE D’ORIGINE BIOLOGIQUE ET FABRICANT</w:t>
      </w:r>
      <w:r w:rsidR="00AF4840" w:rsidRPr="002B65F7">
        <w:t>S</w:t>
      </w:r>
      <w:r w:rsidR="00C31740" w:rsidRPr="002B65F7">
        <w:t xml:space="preserve"> RESPONSABLE</w:t>
      </w:r>
      <w:r w:rsidR="00AF4840" w:rsidRPr="002B65F7">
        <w:t>S</w:t>
      </w:r>
      <w:r w:rsidR="00C31740" w:rsidRPr="002B65F7">
        <w:t xml:space="preserve"> DE LA LIBÉRATION DES LOTS</w:t>
      </w:r>
    </w:p>
    <w:p w14:paraId="03B58A78" w14:textId="77777777" w:rsidR="00092F83" w:rsidRPr="002B65F7" w:rsidRDefault="00092F83" w:rsidP="00496255">
      <w:pPr>
        <w:keepNext/>
        <w:widowControl/>
      </w:pPr>
    </w:p>
    <w:p w14:paraId="03B58A79" w14:textId="1F1C85FA" w:rsidR="00092F83" w:rsidRPr="002B65F7" w:rsidRDefault="00C31740" w:rsidP="00496255">
      <w:pPr>
        <w:keepNext/>
        <w:widowControl/>
        <w:rPr>
          <w:u w:val="single"/>
        </w:rPr>
      </w:pPr>
      <w:r w:rsidRPr="002B65F7">
        <w:rPr>
          <w:u w:val="single"/>
        </w:rPr>
        <w:t>Nom et adresse d</w:t>
      </w:r>
      <w:r w:rsidR="00AF4840" w:rsidRPr="002B65F7">
        <w:rPr>
          <w:u w:val="single"/>
        </w:rPr>
        <w:t>u</w:t>
      </w:r>
      <w:r w:rsidRPr="002B65F7">
        <w:rPr>
          <w:u w:val="single"/>
        </w:rPr>
        <w:t xml:space="preserve"> fabricant des substances actives d’origine biologique</w:t>
      </w:r>
    </w:p>
    <w:p w14:paraId="25567FF7" w14:textId="77777777" w:rsidR="00AF4840" w:rsidRPr="002B65F7" w:rsidRDefault="00AF4840" w:rsidP="00AF4840">
      <w:pPr>
        <w:keepNext/>
        <w:tabs>
          <w:tab w:val="left" w:pos="680"/>
        </w:tabs>
        <w:rPr>
          <w:lang w:val="en-GB"/>
        </w:rPr>
      </w:pPr>
      <w:r w:rsidRPr="002B65F7">
        <w:rPr>
          <w:lang w:val="en-GB"/>
        </w:rPr>
        <w:t>Immunex Rhode Island Corporation</w:t>
      </w:r>
    </w:p>
    <w:p w14:paraId="0277FFAD" w14:textId="77777777" w:rsidR="00AF4840" w:rsidRPr="002B65F7" w:rsidRDefault="00AF4840" w:rsidP="00AF4840">
      <w:pPr>
        <w:keepNext/>
        <w:tabs>
          <w:tab w:val="left" w:pos="680"/>
        </w:tabs>
        <w:rPr>
          <w:lang w:val="en-GB"/>
        </w:rPr>
      </w:pPr>
      <w:r w:rsidRPr="002B65F7">
        <w:rPr>
          <w:lang w:val="en-GB"/>
        </w:rPr>
        <w:t>40 Technology Way</w:t>
      </w:r>
    </w:p>
    <w:p w14:paraId="50983443" w14:textId="77777777" w:rsidR="00AF4840" w:rsidRPr="00085FB7" w:rsidRDefault="00AF4840" w:rsidP="00AF4840">
      <w:pPr>
        <w:keepNext/>
        <w:tabs>
          <w:tab w:val="left" w:pos="680"/>
        </w:tabs>
        <w:rPr>
          <w:lang w:val="en-GB"/>
        </w:rPr>
      </w:pPr>
      <w:r w:rsidRPr="00085FB7">
        <w:rPr>
          <w:lang w:val="en-GB"/>
        </w:rPr>
        <w:t>West Greenwich</w:t>
      </w:r>
    </w:p>
    <w:p w14:paraId="7A19D2D1" w14:textId="77777777" w:rsidR="00AF4840" w:rsidRPr="00085FB7" w:rsidRDefault="00AF4840" w:rsidP="00AF4840">
      <w:pPr>
        <w:keepNext/>
        <w:tabs>
          <w:tab w:val="left" w:pos="680"/>
        </w:tabs>
        <w:rPr>
          <w:lang w:val="en-GB"/>
        </w:rPr>
      </w:pPr>
      <w:r w:rsidRPr="00085FB7">
        <w:rPr>
          <w:lang w:val="en-GB"/>
        </w:rPr>
        <w:t>Rhode Island, 02817</w:t>
      </w:r>
    </w:p>
    <w:p w14:paraId="03B58A7D" w14:textId="6B331321" w:rsidR="00092F83" w:rsidRPr="00085FB7" w:rsidRDefault="00036696" w:rsidP="00496255">
      <w:pPr>
        <w:widowControl/>
        <w:rPr>
          <w:lang w:val="en-GB"/>
        </w:rPr>
      </w:pPr>
      <w:r w:rsidRPr="00085FB7">
        <w:rPr>
          <w:lang w:val="en-GB"/>
        </w:rPr>
        <w:t>É</w:t>
      </w:r>
      <w:r w:rsidR="00AF4840" w:rsidRPr="00085FB7">
        <w:rPr>
          <w:lang w:val="en-GB"/>
        </w:rPr>
        <w:t>tat</w:t>
      </w:r>
      <w:r w:rsidRPr="00085FB7">
        <w:rPr>
          <w:lang w:val="en-GB"/>
        </w:rPr>
        <w:t>s</w:t>
      </w:r>
      <w:r w:rsidR="00AF4840" w:rsidRPr="00085FB7">
        <w:rPr>
          <w:lang w:val="en-GB"/>
        </w:rPr>
        <w:t>-Unis</w:t>
      </w:r>
    </w:p>
    <w:p w14:paraId="24BD43A1" w14:textId="77777777" w:rsidR="00051530" w:rsidRPr="00085FB7" w:rsidRDefault="00051530" w:rsidP="00496255">
      <w:pPr>
        <w:widowControl/>
        <w:rPr>
          <w:lang w:val="en-GB"/>
        </w:rPr>
      </w:pPr>
    </w:p>
    <w:p w14:paraId="03B58A82" w14:textId="1C24920E" w:rsidR="00092F83" w:rsidRPr="002B65F7" w:rsidRDefault="00C31740" w:rsidP="00496255">
      <w:pPr>
        <w:keepNext/>
        <w:widowControl/>
      </w:pPr>
      <w:r w:rsidRPr="002B65F7">
        <w:rPr>
          <w:u w:val="single"/>
        </w:rPr>
        <w:t>Nom et adresse d</w:t>
      </w:r>
      <w:r w:rsidR="00AF4840" w:rsidRPr="002B65F7">
        <w:rPr>
          <w:u w:val="single"/>
        </w:rPr>
        <w:t>es</w:t>
      </w:r>
      <w:r w:rsidRPr="002B65F7">
        <w:rPr>
          <w:u w:val="single"/>
        </w:rPr>
        <w:t xml:space="preserve"> fabricant</w:t>
      </w:r>
      <w:r w:rsidR="00AF4840" w:rsidRPr="002B65F7">
        <w:rPr>
          <w:u w:val="single"/>
        </w:rPr>
        <w:t>s</w:t>
      </w:r>
      <w:r w:rsidRPr="002B65F7">
        <w:rPr>
          <w:u w:val="single"/>
        </w:rPr>
        <w:t xml:space="preserve"> responsable</w:t>
      </w:r>
      <w:r w:rsidR="00AF4840" w:rsidRPr="002B65F7">
        <w:rPr>
          <w:u w:val="single"/>
        </w:rPr>
        <w:t>s</w:t>
      </w:r>
      <w:r w:rsidRPr="002B65F7">
        <w:rPr>
          <w:u w:val="single"/>
        </w:rPr>
        <w:t xml:space="preserve"> de la libération des lots</w:t>
      </w:r>
    </w:p>
    <w:p w14:paraId="609BAD40" w14:textId="77777777" w:rsidR="00AF4840" w:rsidRPr="002B65F7" w:rsidRDefault="00AF4840" w:rsidP="00AF4840">
      <w:pPr>
        <w:keepNext/>
        <w:rPr>
          <w:lang w:val="en-GB"/>
        </w:rPr>
      </w:pPr>
      <w:r w:rsidRPr="002B65F7">
        <w:rPr>
          <w:lang w:val="en-GB"/>
        </w:rPr>
        <w:t>Amgen Technology (Ireland) UC,</w:t>
      </w:r>
    </w:p>
    <w:p w14:paraId="4F526656" w14:textId="77777777" w:rsidR="00AF4840" w:rsidRPr="002B65F7" w:rsidRDefault="00AF4840" w:rsidP="00AF4840">
      <w:pPr>
        <w:keepNext/>
        <w:rPr>
          <w:lang w:val="en-GB"/>
        </w:rPr>
      </w:pPr>
      <w:r w:rsidRPr="002B65F7">
        <w:rPr>
          <w:lang w:val="en-GB"/>
        </w:rPr>
        <w:t>Pottery Road,</w:t>
      </w:r>
    </w:p>
    <w:p w14:paraId="272CD546" w14:textId="77777777" w:rsidR="00AF4840" w:rsidRPr="00A2167E" w:rsidRDefault="00AF4840" w:rsidP="00AF4840">
      <w:pPr>
        <w:keepNext/>
      </w:pPr>
      <w:r w:rsidRPr="00A2167E">
        <w:t>Dun Laoghaire,</w:t>
      </w:r>
    </w:p>
    <w:p w14:paraId="7DFEA4B5" w14:textId="77777777" w:rsidR="00AF4840" w:rsidRPr="00A2167E" w:rsidRDefault="00AF4840" w:rsidP="00AF4840">
      <w:pPr>
        <w:keepNext/>
      </w:pPr>
      <w:r w:rsidRPr="00A2167E">
        <w:t>Co Dublin,</w:t>
      </w:r>
    </w:p>
    <w:p w14:paraId="2D01C27E" w14:textId="242CD3D7" w:rsidR="00AF4840" w:rsidRDefault="00AF4840" w:rsidP="00AF4840">
      <w:pPr>
        <w:rPr>
          <w:lang w:val="de-DE"/>
        </w:rPr>
      </w:pPr>
      <w:r w:rsidRPr="00BB6F00">
        <w:rPr>
          <w:lang w:val="de-DE"/>
        </w:rPr>
        <w:t>Irlande</w:t>
      </w:r>
    </w:p>
    <w:p w14:paraId="6A107735" w14:textId="77777777" w:rsidR="00D60A71" w:rsidRDefault="00D60A71" w:rsidP="00AF4840">
      <w:pPr>
        <w:rPr>
          <w:lang w:val="de-DE"/>
        </w:rPr>
      </w:pPr>
    </w:p>
    <w:p w14:paraId="75DEC37D" w14:textId="77777777" w:rsidR="00D60A71" w:rsidRPr="00D60A71" w:rsidRDefault="00D60A71" w:rsidP="00D60A71">
      <w:pPr>
        <w:rPr>
          <w:lang w:val="de-DE"/>
        </w:rPr>
      </w:pPr>
      <w:r w:rsidRPr="00D60A71">
        <w:rPr>
          <w:lang w:val="de-DE"/>
        </w:rPr>
        <w:t xml:space="preserve">Amgen Europe B.V. </w:t>
      </w:r>
    </w:p>
    <w:p w14:paraId="7DFE8FC3" w14:textId="77777777" w:rsidR="00D60A71" w:rsidRPr="00D60A71" w:rsidRDefault="00D60A71" w:rsidP="00D60A71">
      <w:pPr>
        <w:rPr>
          <w:lang w:val="de-DE"/>
        </w:rPr>
      </w:pPr>
      <w:r w:rsidRPr="00D60A71">
        <w:rPr>
          <w:lang w:val="de-DE"/>
        </w:rPr>
        <w:t xml:space="preserve">Minervum 7061 </w:t>
      </w:r>
    </w:p>
    <w:p w14:paraId="29DE27B3" w14:textId="77777777" w:rsidR="00D60A71" w:rsidRPr="00D60A71" w:rsidRDefault="00D60A71" w:rsidP="00D60A71">
      <w:pPr>
        <w:rPr>
          <w:lang w:val="de-DE"/>
        </w:rPr>
      </w:pPr>
      <w:r w:rsidRPr="00D60A71">
        <w:rPr>
          <w:lang w:val="de-DE"/>
        </w:rPr>
        <w:t xml:space="preserve">4817 ZK Breda </w:t>
      </w:r>
    </w:p>
    <w:p w14:paraId="4A2BB381" w14:textId="4AA5BB3E" w:rsidR="00D60A71" w:rsidRPr="00BB6F00" w:rsidRDefault="00D60A71" w:rsidP="00D60A71">
      <w:pPr>
        <w:rPr>
          <w:lang w:val="de-DE"/>
        </w:rPr>
      </w:pPr>
      <w:r w:rsidRPr="00D60A71">
        <w:rPr>
          <w:lang w:val="de-DE"/>
        </w:rPr>
        <w:t>Pays-Bas</w:t>
      </w:r>
    </w:p>
    <w:p w14:paraId="378F36AA" w14:textId="77777777" w:rsidR="00AF4840" w:rsidRPr="00BB6F00" w:rsidRDefault="00AF4840" w:rsidP="00AF4840">
      <w:pPr>
        <w:tabs>
          <w:tab w:val="left" w:pos="680"/>
        </w:tabs>
        <w:rPr>
          <w:lang w:val="de-DE"/>
        </w:rPr>
      </w:pPr>
    </w:p>
    <w:p w14:paraId="0C30D7E6" w14:textId="77777777" w:rsidR="00AF4840" w:rsidRPr="00BB6F00" w:rsidRDefault="00AF4840" w:rsidP="00AF4840">
      <w:pPr>
        <w:keepNext/>
        <w:rPr>
          <w:lang w:val="de-DE"/>
        </w:rPr>
      </w:pPr>
      <w:r w:rsidRPr="00BB6F00">
        <w:rPr>
          <w:lang w:val="de-DE"/>
        </w:rPr>
        <w:t>Amgen NV</w:t>
      </w:r>
    </w:p>
    <w:p w14:paraId="48D7589D" w14:textId="77777777" w:rsidR="00AF4840" w:rsidRPr="00695B4B" w:rsidRDefault="00AF4840" w:rsidP="00AF4840">
      <w:pPr>
        <w:keepNext/>
      </w:pPr>
      <w:r w:rsidRPr="00695B4B">
        <w:t>Telecomlaan 5-7</w:t>
      </w:r>
    </w:p>
    <w:p w14:paraId="086F5282" w14:textId="77777777" w:rsidR="00AF4840" w:rsidRPr="00695B4B" w:rsidRDefault="00AF4840" w:rsidP="00AF4840">
      <w:pPr>
        <w:keepNext/>
      </w:pPr>
      <w:r w:rsidRPr="00695B4B">
        <w:t>1831 Diegem</w:t>
      </w:r>
    </w:p>
    <w:p w14:paraId="31BD060A" w14:textId="0C590B4A" w:rsidR="00AF4840" w:rsidRPr="00695B4B" w:rsidRDefault="00AF4840" w:rsidP="00AF4840">
      <w:r w:rsidRPr="00695B4B">
        <w:t>Belgique</w:t>
      </w:r>
    </w:p>
    <w:p w14:paraId="03B58A85" w14:textId="5393A5F1" w:rsidR="00092F83" w:rsidRPr="00695B4B" w:rsidRDefault="00092F83" w:rsidP="00496255">
      <w:pPr>
        <w:widowControl/>
      </w:pPr>
    </w:p>
    <w:p w14:paraId="3B736842" w14:textId="4E648898" w:rsidR="005816E3" w:rsidRPr="002B65F7" w:rsidRDefault="00036696" w:rsidP="00496255">
      <w:pPr>
        <w:widowControl/>
      </w:pPr>
      <w:r w:rsidRPr="002B65F7">
        <w:rPr>
          <w:color w:val="000000"/>
        </w:rPr>
        <w:t>Le nom et l’adresse du fabricant responsable de la libération du lot concerné doivent figurer sur la notice du médicament</w:t>
      </w:r>
      <w:r w:rsidRPr="002B65F7">
        <w:t>.</w:t>
      </w:r>
    </w:p>
    <w:p w14:paraId="03B58A86" w14:textId="77777777" w:rsidR="00092F83" w:rsidRPr="002B65F7" w:rsidRDefault="00092F83" w:rsidP="00496255">
      <w:pPr>
        <w:widowControl/>
      </w:pPr>
    </w:p>
    <w:p w14:paraId="3142BA60" w14:textId="77777777" w:rsidR="00977D84" w:rsidRPr="002B65F7" w:rsidRDefault="00977D84" w:rsidP="00496255">
      <w:pPr>
        <w:widowControl/>
      </w:pPr>
    </w:p>
    <w:p w14:paraId="03B58A87" w14:textId="444DD7EA" w:rsidR="00092F83" w:rsidRPr="002B65F7" w:rsidRDefault="00051530" w:rsidP="00496255">
      <w:pPr>
        <w:pStyle w:val="TitleB"/>
      </w:pPr>
      <w:bookmarkStart w:id="30" w:name="B._CONDITIONS_OU_RESTRICTIONS_DE_DÉLIVRA"/>
      <w:bookmarkEnd w:id="30"/>
      <w:r w:rsidRPr="002B65F7">
        <w:t>B.</w:t>
      </w:r>
      <w:r w:rsidRPr="002B65F7">
        <w:tab/>
      </w:r>
      <w:r w:rsidR="00C31740" w:rsidRPr="002B65F7">
        <w:t>CONDITIONS OU RESTRICTIONS DE DÉLIVRANCE ET D’UTILISATION</w:t>
      </w:r>
    </w:p>
    <w:p w14:paraId="03B58A88" w14:textId="77777777" w:rsidR="00092F83" w:rsidRPr="002B65F7" w:rsidRDefault="00092F83" w:rsidP="00496255">
      <w:pPr>
        <w:keepNext/>
        <w:widowControl/>
      </w:pPr>
    </w:p>
    <w:p w14:paraId="03B58A89" w14:textId="1894D9BE" w:rsidR="00092F83" w:rsidRPr="002B65F7" w:rsidRDefault="00C31740" w:rsidP="00496255">
      <w:pPr>
        <w:widowControl/>
      </w:pPr>
      <w:r w:rsidRPr="002B65F7">
        <w:t>Médicament soumis à prescription médicale restreinte (voir Annexe I : Résumé des Caractéristiques du Produit, rubrique</w:t>
      </w:r>
      <w:r w:rsidR="00051530" w:rsidRPr="002B65F7">
        <w:t> </w:t>
      </w:r>
      <w:r w:rsidRPr="002B65F7">
        <w:t>4.2).</w:t>
      </w:r>
    </w:p>
    <w:p w14:paraId="03B58A8A" w14:textId="77777777" w:rsidR="00092F83" w:rsidRPr="002B65F7" w:rsidRDefault="00092F83" w:rsidP="00496255">
      <w:pPr>
        <w:widowControl/>
      </w:pPr>
    </w:p>
    <w:p w14:paraId="03B58A8B" w14:textId="77777777" w:rsidR="00092F83" w:rsidRPr="002B65F7" w:rsidRDefault="00092F83" w:rsidP="00496255">
      <w:pPr>
        <w:widowControl/>
      </w:pPr>
    </w:p>
    <w:p w14:paraId="03B58A8C" w14:textId="09342EB9" w:rsidR="00092F83" w:rsidRPr="002B65F7" w:rsidRDefault="00051530" w:rsidP="00496255">
      <w:pPr>
        <w:pStyle w:val="TitleB"/>
      </w:pPr>
      <w:bookmarkStart w:id="31" w:name="C._AUTRES_CONDITIONS_ET_OBLIGATIONS_DE_L"/>
      <w:bookmarkEnd w:id="31"/>
      <w:r w:rsidRPr="002B65F7">
        <w:t>C.</w:t>
      </w:r>
      <w:r w:rsidRPr="002B65F7">
        <w:tab/>
      </w:r>
      <w:r w:rsidR="00C31740" w:rsidRPr="002B65F7">
        <w:t>AUTRES CONDITIONS ET OBLIGATIONS DE L’AUTORISATION DE MISE SUR LE MARCHÉ</w:t>
      </w:r>
    </w:p>
    <w:p w14:paraId="03B58A8D" w14:textId="77777777" w:rsidR="00092F83" w:rsidRPr="002B65F7" w:rsidRDefault="00092F83" w:rsidP="00496255">
      <w:pPr>
        <w:keepNext/>
        <w:widowControl/>
      </w:pPr>
    </w:p>
    <w:p w14:paraId="03B58A8E" w14:textId="4E6E5D86" w:rsidR="00092F83" w:rsidRPr="002B65F7" w:rsidRDefault="00C31740" w:rsidP="00047B20">
      <w:pPr>
        <w:pStyle w:val="ListParagraph"/>
        <w:keepNext/>
        <w:widowControl/>
        <w:numPr>
          <w:ilvl w:val="0"/>
          <w:numId w:val="15"/>
        </w:numPr>
        <w:ind w:left="567" w:hanging="567"/>
        <w:rPr>
          <w:b/>
          <w:bCs/>
        </w:rPr>
      </w:pPr>
      <w:r w:rsidRPr="002B65F7">
        <w:rPr>
          <w:b/>
          <w:bCs/>
        </w:rPr>
        <w:t>Rapports périodiques actualisés de sécurité (PSURs)</w:t>
      </w:r>
    </w:p>
    <w:p w14:paraId="7F8B575D" w14:textId="77777777" w:rsidR="00977D84" w:rsidRPr="002B65F7" w:rsidRDefault="00977D84" w:rsidP="00496255">
      <w:pPr>
        <w:keepNext/>
        <w:widowControl/>
        <w:rPr>
          <w:b/>
          <w:bCs/>
        </w:rPr>
      </w:pPr>
    </w:p>
    <w:p w14:paraId="03B58A8F" w14:textId="77777777" w:rsidR="00092F83" w:rsidRPr="002B65F7" w:rsidRDefault="00C31740" w:rsidP="00496255">
      <w:pPr>
        <w:widowControl/>
      </w:pPr>
      <w:r w:rsidRPr="002B65F7">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14:paraId="03B58A90" w14:textId="77777777" w:rsidR="00092F83" w:rsidRPr="002B65F7" w:rsidRDefault="00092F83" w:rsidP="00496255">
      <w:pPr>
        <w:widowControl/>
      </w:pPr>
    </w:p>
    <w:p w14:paraId="219CC65C" w14:textId="77777777" w:rsidR="006F0DD6" w:rsidRPr="002B65F7" w:rsidRDefault="006F0DD6" w:rsidP="00496255">
      <w:pPr>
        <w:widowControl/>
      </w:pPr>
    </w:p>
    <w:p w14:paraId="03B58A91" w14:textId="6000D2D7" w:rsidR="00092F83" w:rsidRPr="002B65F7" w:rsidRDefault="00977D84" w:rsidP="00496255">
      <w:pPr>
        <w:pStyle w:val="TitleB"/>
      </w:pPr>
      <w:bookmarkStart w:id="32" w:name="D._CONDITIONS_OU_RESTRICTIONS_EN_VUE_D’U"/>
      <w:bookmarkEnd w:id="32"/>
      <w:r w:rsidRPr="002B65F7">
        <w:t>D.</w:t>
      </w:r>
      <w:r w:rsidRPr="002B65F7">
        <w:tab/>
      </w:r>
      <w:r w:rsidR="00C31740" w:rsidRPr="002B65F7">
        <w:t>CONDITIONS OU RESTRICTIONS EN VUE D’UNE UTILISATION SÛRE ET EFFICACE DU MÉDICAMENT</w:t>
      </w:r>
    </w:p>
    <w:p w14:paraId="03B58A92" w14:textId="77777777" w:rsidR="00092F83" w:rsidRPr="002B65F7" w:rsidRDefault="00092F83" w:rsidP="00496255">
      <w:pPr>
        <w:keepNext/>
        <w:widowControl/>
      </w:pPr>
    </w:p>
    <w:p w14:paraId="03B58A93" w14:textId="5518266D" w:rsidR="00092F83" w:rsidRPr="002B65F7" w:rsidRDefault="00C31740" w:rsidP="00047B20">
      <w:pPr>
        <w:pStyle w:val="ListParagraph"/>
        <w:keepNext/>
        <w:widowControl/>
        <w:numPr>
          <w:ilvl w:val="0"/>
          <w:numId w:val="15"/>
        </w:numPr>
        <w:ind w:left="567" w:hanging="567"/>
        <w:rPr>
          <w:b/>
          <w:bCs/>
        </w:rPr>
      </w:pPr>
      <w:r w:rsidRPr="002B65F7">
        <w:rPr>
          <w:b/>
          <w:bCs/>
        </w:rPr>
        <w:t>Plan de Gestion des Risques (PGR)</w:t>
      </w:r>
    </w:p>
    <w:p w14:paraId="5C5F6FF2" w14:textId="77777777" w:rsidR="00977D84" w:rsidRPr="002B65F7" w:rsidRDefault="00977D84" w:rsidP="00496255">
      <w:pPr>
        <w:widowControl/>
      </w:pPr>
    </w:p>
    <w:p w14:paraId="03B58A94" w14:textId="77777777" w:rsidR="00092F83" w:rsidRPr="002B65F7" w:rsidRDefault="00C31740" w:rsidP="00496255">
      <w:pPr>
        <w:widowControl/>
      </w:pPr>
      <w:r w:rsidRPr="002B65F7">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03B58A95" w14:textId="77777777" w:rsidR="00092F83" w:rsidRPr="002B65F7" w:rsidRDefault="00092F83" w:rsidP="00496255">
      <w:pPr>
        <w:widowControl/>
      </w:pPr>
    </w:p>
    <w:p w14:paraId="03B58A96" w14:textId="77777777" w:rsidR="00092F83" w:rsidRPr="002B65F7" w:rsidRDefault="00C31740" w:rsidP="00496255">
      <w:pPr>
        <w:keepNext/>
        <w:widowControl/>
      </w:pPr>
      <w:r w:rsidRPr="002B65F7">
        <w:lastRenderedPageBreak/>
        <w:t>De plus, un PGR actualisé doit être soumis :</w:t>
      </w:r>
    </w:p>
    <w:p w14:paraId="03B58A97" w14:textId="63349A23" w:rsidR="00092F83" w:rsidRPr="002B65F7" w:rsidRDefault="00C31740" w:rsidP="007A7B22">
      <w:pPr>
        <w:pStyle w:val="ListParagraph"/>
        <w:keepNext/>
        <w:widowControl/>
        <w:numPr>
          <w:ilvl w:val="0"/>
          <w:numId w:val="16"/>
        </w:numPr>
        <w:tabs>
          <w:tab w:val="left" w:pos="567"/>
        </w:tabs>
        <w:ind w:left="567" w:hanging="567"/>
      </w:pPr>
      <w:r w:rsidRPr="002B65F7">
        <w:t>à la demande de l’Agence européenne des médicaments ;</w:t>
      </w:r>
    </w:p>
    <w:p w14:paraId="03B58A98" w14:textId="20D9AEDB" w:rsidR="00092F83" w:rsidRPr="002B65F7" w:rsidRDefault="00C31740" w:rsidP="007A7B22">
      <w:pPr>
        <w:pStyle w:val="ListParagraph"/>
        <w:widowControl/>
        <w:numPr>
          <w:ilvl w:val="0"/>
          <w:numId w:val="16"/>
        </w:numPr>
        <w:tabs>
          <w:tab w:val="left" w:pos="567"/>
        </w:tabs>
        <w:ind w:left="567" w:hanging="567"/>
      </w:pPr>
      <w:r w:rsidRPr="002B65F7">
        <w:t>dès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03B58A9A" w14:textId="3C45DB63" w:rsidR="00977D84" w:rsidRPr="002B65F7" w:rsidRDefault="00977D84" w:rsidP="0065709C">
      <w:pPr>
        <w:pStyle w:val="BodyText"/>
        <w:widowControl/>
        <w:jc w:val="center"/>
      </w:pPr>
      <w:r w:rsidRPr="002B65F7">
        <w:br w:type="page"/>
      </w:r>
    </w:p>
    <w:p w14:paraId="5EFE4073" w14:textId="77777777" w:rsidR="00092F83" w:rsidRPr="002B65F7" w:rsidRDefault="00092F83" w:rsidP="00047B20">
      <w:pPr>
        <w:widowControl/>
        <w:jc w:val="center"/>
      </w:pPr>
    </w:p>
    <w:p w14:paraId="03B58A9B" w14:textId="77777777" w:rsidR="00092F83" w:rsidRPr="002B65F7" w:rsidRDefault="00092F83" w:rsidP="00047B20">
      <w:pPr>
        <w:widowControl/>
        <w:jc w:val="center"/>
      </w:pPr>
    </w:p>
    <w:p w14:paraId="03B58A9C" w14:textId="77777777" w:rsidR="00092F83" w:rsidRPr="002B65F7" w:rsidRDefault="00092F83" w:rsidP="00047B20">
      <w:pPr>
        <w:widowControl/>
        <w:jc w:val="center"/>
      </w:pPr>
    </w:p>
    <w:p w14:paraId="03B58A9D" w14:textId="77777777" w:rsidR="00092F83" w:rsidRPr="002B65F7" w:rsidRDefault="00092F83" w:rsidP="00047B20">
      <w:pPr>
        <w:widowControl/>
        <w:jc w:val="center"/>
      </w:pPr>
    </w:p>
    <w:p w14:paraId="03B58A9E" w14:textId="77777777" w:rsidR="00092F83" w:rsidRPr="002B65F7" w:rsidRDefault="00092F83" w:rsidP="00047B20">
      <w:pPr>
        <w:widowControl/>
        <w:jc w:val="center"/>
      </w:pPr>
    </w:p>
    <w:p w14:paraId="03B58A9F" w14:textId="77777777" w:rsidR="00092F83" w:rsidRPr="002B65F7" w:rsidRDefault="00092F83" w:rsidP="00047B20">
      <w:pPr>
        <w:widowControl/>
        <w:jc w:val="center"/>
      </w:pPr>
    </w:p>
    <w:p w14:paraId="03B58AA0" w14:textId="77777777" w:rsidR="00092F83" w:rsidRPr="002B65F7" w:rsidRDefault="00092F83" w:rsidP="00047B20">
      <w:pPr>
        <w:widowControl/>
        <w:jc w:val="center"/>
      </w:pPr>
    </w:p>
    <w:p w14:paraId="03B58AA1" w14:textId="77777777" w:rsidR="00092F83" w:rsidRPr="002B65F7" w:rsidRDefault="00092F83" w:rsidP="00047B20">
      <w:pPr>
        <w:widowControl/>
        <w:jc w:val="center"/>
      </w:pPr>
    </w:p>
    <w:p w14:paraId="03B58AA2" w14:textId="77777777" w:rsidR="00092F83" w:rsidRPr="002B65F7" w:rsidRDefault="00092F83" w:rsidP="00047B20">
      <w:pPr>
        <w:widowControl/>
        <w:jc w:val="center"/>
      </w:pPr>
    </w:p>
    <w:p w14:paraId="03B58AA3" w14:textId="77777777" w:rsidR="00092F83" w:rsidRPr="002B65F7" w:rsidRDefault="00092F83" w:rsidP="00047B20">
      <w:pPr>
        <w:widowControl/>
        <w:jc w:val="center"/>
      </w:pPr>
    </w:p>
    <w:p w14:paraId="03B58AA4" w14:textId="77777777" w:rsidR="00092F83" w:rsidRPr="002B65F7" w:rsidRDefault="00092F83" w:rsidP="00047B20">
      <w:pPr>
        <w:widowControl/>
        <w:jc w:val="center"/>
      </w:pPr>
    </w:p>
    <w:p w14:paraId="03B58AA5" w14:textId="77777777" w:rsidR="00092F83" w:rsidRPr="002B65F7" w:rsidRDefault="00092F83" w:rsidP="00047B20">
      <w:pPr>
        <w:widowControl/>
        <w:jc w:val="center"/>
      </w:pPr>
    </w:p>
    <w:p w14:paraId="03B58AA6" w14:textId="77777777" w:rsidR="00092F83" w:rsidRPr="002B65F7" w:rsidRDefault="00092F83" w:rsidP="00047B20">
      <w:pPr>
        <w:widowControl/>
        <w:jc w:val="center"/>
      </w:pPr>
    </w:p>
    <w:p w14:paraId="03B58AA7" w14:textId="77777777" w:rsidR="00092F83" w:rsidRPr="002B65F7" w:rsidRDefault="00092F83" w:rsidP="00047B20">
      <w:pPr>
        <w:widowControl/>
        <w:jc w:val="center"/>
      </w:pPr>
    </w:p>
    <w:p w14:paraId="03B58AA9" w14:textId="77777777" w:rsidR="00092F83" w:rsidRPr="002B65F7" w:rsidRDefault="00092F83" w:rsidP="00047B20">
      <w:pPr>
        <w:widowControl/>
        <w:jc w:val="center"/>
      </w:pPr>
    </w:p>
    <w:p w14:paraId="03B58AAA" w14:textId="77777777" w:rsidR="00092F83" w:rsidRPr="002B65F7" w:rsidRDefault="00092F83" w:rsidP="00047B20">
      <w:pPr>
        <w:widowControl/>
        <w:jc w:val="center"/>
      </w:pPr>
    </w:p>
    <w:p w14:paraId="03B58AAB" w14:textId="77777777" w:rsidR="00092F83" w:rsidRPr="002B65F7" w:rsidRDefault="00092F83" w:rsidP="00047B20">
      <w:pPr>
        <w:widowControl/>
        <w:jc w:val="center"/>
      </w:pPr>
    </w:p>
    <w:p w14:paraId="03B58AAC" w14:textId="77777777" w:rsidR="00092F83" w:rsidRPr="002B65F7" w:rsidRDefault="00092F83" w:rsidP="00047B20">
      <w:pPr>
        <w:widowControl/>
        <w:jc w:val="center"/>
      </w:pPr>
    </w:p>
    <w:p w14:paraId="5A4414D9" w14:textId="77777777" w:rsidR="00977D84" w:rsidRPr="002B65F7" w:rsidRDefault="00977D84" w:rsidP="00047B20">
      <w:pPr>
        <w:widowControl/>
        <w:jc w:val="center"/>
      </w:pPr>
    </w:p>
    <w:p w14:paraId="46995D77" w14:textId="77777777" w:rsidR="00977D84" w:rsidRPr="002B65F7" w:rsidRDefault="00977D84" w:rsidP="00047B20">
      <w:pPr>
        <w:widowControl/>
        <w:jc w:val="center"/>
      </w:pPr>
    </w:p>
    <w:p w14:paraId="2A1162DE" w14:textId="77777777" w:rsidR="00E73F60" w:rsidRPr="002B65F7" w:rsidRDefault="00E73F60" w:rsidP="00047B20">
      <w:pPr>
        <w:widowControl/>
        <w:jc w:val="center"/>
      </w:pPr>
    </w:p>
    <w:p w14:paraId="4DD8CAA4" w14:textId="77777777" w:rsidR="00E73F60" w:rsidRDefault="00E73F60" w:rsidP="00047B20">
      <w:pPr>
        <w:widowControl/>
        <w:jc w:val="center"/>
      </w:pPr>
    </w:p>
    <w:p w14:paraId="2B7C3EC8" w14:textId="77777777" w:rsidR="00FE04B7" w:rsidRPr="002B65F7" w:rsidRDefault="00FE04B7" w:rsidP="00047B20">
      <w:pPr>
        <w:widowControl/>
        <w:jc w:val="center"/>
      </w:pPr>
    </w:p>
    <w:p w14:paraId="1FA6FEAB" w14:textId="3585336D" w:rsidR="00977D84" w:rsidRPr="002B65F7" w:rsidRDefault="00C31740" w:rsidP="00047B20">
      <w:pPr>
        <w:widowControl/>
        <w:jc w:val="center"/>
        <w:rPr>
          <w:b/>
          <w:bCs/>
        </w:rPr>
      </w:pPr>
      <w:r w:rsidRPr="002B65F7">
        <w:rPr>
          <w:b/>
          <w:bCs/>
        </w:rPr>
        <w:t>ANNEXE III</w:t>
      </w:r>
    </w:p>
    <w:p w14:paraId="4E97EDA8" w14:textId="77777777" w:rsidR="00977D84" w:rsidRPr="002B65F7" w:rsidRDefault="00977D84" w:rsidP="00047B20">
      <w:pPr>
        <w:widowControl/>
        <w:jc w:val="center"/>
        <w:rPr>
          <w:b/>
          <w:bCs/>
        </w:rPr>
      </w:pPr>
    </w:p>
    <w:p w14:paraId="03B58AAD" w14:textId="64849D6B" w:rsidR="00092F83" w:rsidRPr="002B65F7" w:rsidRDefault="00C31740" w:rsidP="00047B20">
      <w:pPr>
        <w:widowControl/>
        <w:jc w:val="center"/>
        <w:rPr>
          <w:b/>
          <w:bCs/>
        </w:rPr>
      </w:pPr>
      <w:r w:rsidRPr="002B65F7">
        <w:rPr>
          <w:b/>
          <w:bCs/>
        </w:rPr>
        <w:t>ÉTIQUETAGE ET NOTICE</w:t>
      </w:r>
    </w:p>
    <w:p w14:paraId="340D2B6E" w14:textId="77777777" w:rsidR="00092F83" w:rsidRPr="002B65F7" w:rsidRDefault="00092F83" w:rsidP="00047B20">
      <w:pPr>
        <w:widowControl/>
        <w:jc w:val="center"/>
      </w:pPr>
    </w:p>
    <w:p w14:paraId="03B58AAF" w14:textId="4EBB3D69" w:rsidR="00977D84" w:rsidRPr="002B65F7" w:rsidRDefault="00977D84" w:rsidP="0065709C">
      <w:pPr>
        <w:pStyle w:val="BodyText"/>
        <w:widowControl/>
        <w:jc w:val="center"/>
        <w:rPr>
          <w:b/>
        </w:rPr>
      </w:pPr>
      <w:r w:rsidRPr="002B65F7">
        <w:rPr>
          <w:b/>
        </w:rPr>
        <w:br w:type="page"/>
      </w:r>
    </w:p>
    <w:p w14:paraId="002FC881" w14:textId="77777777" w:rsidR="00092F83" w:rsidRPr="002B65F7" w:rsidRDefault="00092F83" w:rsidP="00496255">
      <w:pPr>
        <w:widowControl/>
        <w:jc w:val="center"/>
      </w:pPr>
    </w:p>
    <w:p w14:paraId="03B58AB0" w14:textId="77777777" w:rsidR="00092F83" w:rsidRPr="002B65F7" w:rsidRDefault="00092F83" w:rsidP="00496255">
      <w:pPr>
        <w:widowControl/>
        <w:jc w:val="center"/>
      </w:pPr>
    </w:p>
    <w:p w14:paraId="03B58AB1" w14:textId="77777777" w:rsidR="00092F83" w:rsidRPr="002B65F7" w:rsidRDefault="00092F83" w:rsidP="00496255">
      <w:pPr>
        <w:widowControl/>
        <w:jc w:val="center"/>
      </w:pPr>
    </w:p>
    <w:p w14:paraId="03B58AB2" w14:textId="77777777" w:rsidR="00092F83" w:rsidRPr="002B65F7" w:rsidRDefault="00092F83" w:rsidP="00496255">
      <w:pPr>
        <w:widowControl/>
        <w:jc w:val="center"/>
      </w:pPr>
    </w:p>
    <w:p w14:paraId="03B58AB3" w14:textId="77777777" w:rsidR="00092F83" w:rsidRPr="002B65F7" w:rsidRDefault="00092F83" w:rsidP="00496255">
      <w:pPr>
        <w:widowControl/>
        <w:jc w:val="center"/>
      </w:pPr>
    </w:p>
    <w:p w14:paraId="03B58AB4" w14:textId="77777777" w:rsidR="00092F83" w:rsidRPr="002B65F7" w:rsidRDefault="00092F83" w:rsidP="00496255">
      <w:pPr>
        <w:widowControl/>
        <w:jc w:val="center"/>
      </w:pPr>
    </w:p>
    <w:p w14:paraId="03B58AB5" w14:textId="77777777" w:rsidR="00092F83" w:rsidRPr="002B65F7" w:rsidRDefault="00092F83" w:rsidP="00496255">
      <w:pPr>
        <w:widowControl/>
        <w:jc w:val="center"/>
      </w:pPr>
    </w:p>
    <w:p w14:paraId="03B58AB6" w14:textId="77777777" w:rsidR="00092F83" w:rsidRPr="002B65F7" w:rsidRDefault="00092F83" w:rsidP="00496255">
      <w:pPr>
        <w:widowControl/>
        <w:jc w:val="center"/>
      </w:pPr>
    </w:p>
    <w:p w14:paraId="03B58AB7" w14:textId="77777777" w:rsidR="00092F83" w:rsidRPr="002B65F7" w:rsidRDefault="00092F83" w:rsidP="00496255">
      <w:pPr>
        <w:widowControl/>
        <w:jc w:val="center"/>
      </w:pPr>
    </w:p>
    <w:p w14:paraId="03B58AB8" w14:textId="77777777" w:rsidR="00092F83" w:rsidRPr="002B65F7" w:rsidRDefault="00092F83" w:rsidP="00496255">
      <w:pPr>
        <w:widowControl/>
        <w:jc w:val="center"/>
      </w:pPr>
    </w:p>
    <w:p w14:paraId="03B58AB9" w14:textId="77777777" w:rsidR="00092F83" w:rsidRPr="002B65F7" w:rsidRDefault="00092F83" w:rsidP="00496255">
      <w:pPr>
        <w:widowControl/>
        <w:jc w:val="center"/>
      </w:pPr>
    </w:p>
    <w:p w14:paraId="03B58ABA" w14:textId="77777777" w:rsidR="00092F83" w:rsidRPr="002B65F7" w:rsidRDefault="00092F83" w:rsidP="00496255">
      <w:pPr>
        <w:widowControl/>
        <w:jc w:val="center"/>
      </w:pPr>
    </w:p>
    <w:p w14:paraId="03B58ABB" w14:textId="77777777" w:rsidR="00092F83" w:rsidRPr="002B65F7" w:rsidRDefault="00092F83" w:rsidP="00496255">
      <w:pPr>
        <w:widowControl/>
        <w:jc w:val="center"/>
      </w:pPr>
    </w:p>
    <w:p w14:paraId="03B58ABC" w14:textId="77777777" w:rsidR="00092F83" w:rsidRPr="002B65F7" w:rsidRDefault="00092F83" w:rsidP="00496255">
      <w:pPr>
        <w:widowControl/>
        <w:jc w:val="center"/>
      </w:pPr>
    </w:p>
    <w:p w14:paraId="03B58ABD" w14:textId="77777777" w:rsidR="00092F83" w:rsidRPr="002B65F7" w:rsidRDefault="00092F83" w:rsidP="00496255">
      <w:pPr>
        <w:widowControl/>
        <w:jc w:val="center"/>
      </w:pPr>
    </w:p>
    <w:p w14:paraId="03B58ABE" w14:textId="77777777" w:rsidR="00092F83" w:rsidRPr="002B65F7" w:rsidRDefault="00092F83" w:rsidP="00496255">
      <w:pPr>
        <w:widowControl/>
        <w:jc w:val="center"/>
      </w:pPr>
    </w:p>
    <w:p w14:paraId="03B58ABF" w14:textId="77777777" w:rsidR="00092F83" w:rsidRPr="002B65F7" w:rsidRDefault="00092F83" w:rsidP="00496255">
      <w:pPr>
        <w:widowControl/>
        <w:jc w:val="center"/>
      </w:pPr>
    </w:p>
    <w:p w14:paraId="03B58AC0" w14:textId="77777777" w:rsidR="00092F83" w:rsidRPr="002B65F7" w:rsidRDefault="00092F83" w:rsidP="00496255">
      <w:pPr>
        <w:widowControl/>
        <w:jc w:val="center"/>
      </w:pPr>
    </w:p>
    <w:p w14:paraId="03B58AC1" w14:textId="77777777" w:rsidR="00092F83" w:rsidRPr="002B65F7" w:rsidRDefault="00092F83" w:rsidP="00496255">
      <w:pPr>
        <w:widowControl/>
        <w:jc w:val="center"/>
      </w:pPr>
    </w:p>
    <w:p w14:paraId="5C93C8BA" w14:textId="77777777" w:rsidR="00E73F60" w:rsidRPr="002B65F7" w:rsidRDefault="00E73F60" w:rsidP="00496255">
      <w:pPr>
        <w:widowControl/>
        <w:jc w:val="center"/>
      </w:pPr>
    </w:p>
    <w:p w14:paraId="440CCE60" w14:textId="77777777" w:rsidR="00E73F60" w:rsidRPr="002B65F7" w:rsidRDefault="00E73F60" w:rsidP="00496255">
      <w:pPr>
        <w:widowControl/>
        <w:jc w:val="center"/>
      </w:pPr>
    </w:p>
    <w:p w14:paraId="12F089F7" w14:textId="77777777" w:rsidR="00E73F60" w:rsidRDefault="00E73F60" w:rsidP="00496255">
      <w:pPr>
        <w:pStyle w:val="TitleA"/>
        <w:widowControl/>
      </w:pPr>
    </w:p>
    <w:p w14:paraId="65CC0590" w14:textId="77777777" w:rsidR="00FE04B7" w:rsidRPr="002B65F7" w:rsidRDefault="00FE04B7" w:rsidP="00496255">
      <w:pPr>
        <w:pStyle w:val="TitleA"/>
        <w:widowControl/>
      </w:pPr>
    </w:p>
    <w:p w14:paraId="20FC56B6" w14:textId="77777777" w:rsidR="00873368" w:rsidRPr="002B65F7" w:rsidRDefault="00E73F60" w:rsidP="00496255">
      <w:pPr>
        <w:pStyle w:val="TitleA"/>
        <w:widowControl/>
      </w:pPr>
      <w:bookmarkStart w:id="33" w:name="A._ÉTIQUETAGE"/>
      <w:bookmarkEnd w:id="33"/>
      <w:r w:rsidRPr="002B65F7">
        <w:t xml:space="preserve">A. </w:t>
      </w:r>
      <w:r w:rsidR="00C31740" w:rsidRPr="002B65F7">
        <w:t>ÉTIQUETAGE</w:t>
      </w:r>
    </w:p>
    <w:p w14:paraId="78598ABA" w14:textId="3BCAC78F" w:rsidR="00720113" w:rsidRPr="002B65F7" w:rsidRDefault="00E73F60" w:rsidP="004B12BC">
      <w:pPr>
        <w:keepNext/>
        <w:widowControl/>
        <w:pBdr>
          <w:top w:val="single" w:sz="4" w:space="1" w:color="auto"/>
          <w:left w:val="single" w:sz="4" w:space="4" w:color="auto"/>
          <w:bottom w:val="single" w:sz="4" w:space="1" w:color="auto"/>
          <w:right w:val="single" w:sz="4" w:space="4" w:color="auto"/>
        </w:pBdr>
        <w:rPr>
          <w:rFonts w:eastAsia="TimesNewRoman,Bold"/>
          <w:b/>
        </w:rPr>
      </w:pPr>
      <w:r w:rsidRPr="002B65F7">
        <w:br w:type="page"/>
      </w:r>
      <w:r w:rsidR="00720113" w:rsidRPr="002B65F7">
        <w:rPr>
          <w:rFonts w:eastAsia="TimesNewRoman,Bold"/>
          <w:b/>
        </w:rPr>
        <w:lastRenderedPageBreak/>
        <w:t>MENTIONS DEVANT FIGURER SUR L’EMBALLAGE EXTÉRIEUR</w:t>
      </w:r>
    </w:p>
    <w:p w14:paraId="1E2C05D2"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rPr>
          <w:rFonts w:eastAsia="TimesNewRoman,Bold"/>
          <w:b/>
        </w:rPr>
      </w:pPr>
    </w:p>
    <w:p w14:paraId="19E813B2" w14:textId="6251F49A" w:rsidR="00720113" w:rsidRPr="002B65F7" w:rsidRDefault="00720113" w:rsidP="00720113">
      <w:pPr>
        <w:keepNext/>
        <w:widowControl/>
        <w:pBdr>
          <w:top w:val="single" w:sz="4" w:space="1" w:color="auto"/>
          <w:left w:val="single" w:sz="4" w:space="4" w:color="auto"/>
          <w:bottom w:val="single" w:sz="4" w:space="1" w:color="auto"/>
          <w:right w:val="single" w:sz="4" w:space="4" w:color="auto"/>
        </w:pBdr>
        <w:rPr>
          <w:b/>
        </w:rPr>
      </w:pPr>
      <w:r w:rsidRPr="002B65F7">
        <w:rPr>
          <w:rFonts w:eastAsia="TimesNewRoman,Bold"/>
          <w:b/>
        </w:rPr>
        <w:t>CARTON EXTERIEUR FLACON</w:t>
      </w:r>
    </w:p>
    <w:p w14:paraId="03B58AC4" w14:textId="2B84F768" w:rsidR="00092F83" w:rsidRPr="002B65F7" w:rsidRDefault="00092F83" w:rsidP="00720113">
      <w:pPr>
        <w:keepNext/>
        <w:widowControl/>
      </w:pPr>
    </w:p>
    <w:p w14:paraId="03B58AC5" w14:textId="197D8206" w:rsidR="00092F83" w:rsidRPr="002B65F7" w:rsidRDefault="00092F83" w:rsidP="00720113">
      <w:pPr>
        <w:widowControl/>
      </w:pPr>
    </w:p>
    <w:p w14:paraId="76B258C1"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rFonts w:eastAsia="TimesNewRoman,Bold"/>
          <w:b/>
          <w:bCs/>
        </w:rPr>
        <w:t>1.</w:t>
      </w:r>
      <w:r w:rsidRPr="002B65F7">
        <w:rPr>
          <w:rFonts w:eastAsia="TimesNewRoman,Bold"/>
          <w:b/>
          <w:bCs/>
        </w:rPr>
        <w:tab/>
        <w:t>DÉNOMINATION DU MÉDICAMENT</w:t>
      </w:r>
    </w:p>
    <w:p w14:paraId="03B58AC6" w14:textId="77777777" w:rsidR="00092F83" w:rsidRPr="002B65F7" w:rsidRDefault="00092F83" w:rsidP="00720113">
      <w:pPr>
        <w:keepNext/>
        <w:widowControl/>
      </w:pPr>
    </w:p>
    <w:p w14:paraId="44464B22" w14:textId="0E274392" w:rsidR="00B41E23" w:rsidRPr="002B65F7" w:rsidRDefault="005816E3" w:rsidP="00720113">
      <w:pPr>
        <w:widowControl/>
      </w:pPr>
      <w:r w:rsidRPr="002B65F7">
        <w:t>WEZENLA</w:t>
      </w:r>
      <w:r w:rsidR="00C31740" w:rsidRPr="002B65F7">
        <w:t xml:space="preserve"> 130</w:t>
      </w:r>
      <w:r w:rsidR="0076560E" w:rsidRPr="002B65F7">
        <w:t> </w:t>
      </w:r>
      <w:r w:rsidR="00C31740" w:rsidRPr="002B65F7">
        <w:t>mg solution à diluer pour perfusion</w:t>
      </w:r>
    </w:p>
    <w:p w14:paraId="03B58AC7" w14:textId="38CE23D1" w:rsidR="00092F83" w:rsidRPr="002B65F7" w:rsidRDefault="0071390F" w:rsidP="00720113">
      <w:pPr>
        <w:widowControl/>
      </w:pPr>
      <w:r w:rsidRPr="002B65F7">
        <w:t>ustekinumab</w:t>
      </w:r>
    </w:p>
    <w:p w14:paraId="03B58AC8" w14:textId="77777777" w:rsidR="00092F83" w:rsidRPr="002B65F7" w:rsidRDefault="00092F83" w:rsidP="00720113">
      <w:pPr>
        <w:widowControl/>
      </w:pPr>
    </w:p>
    <w:p w14:paraId="03B58AC9" w14:textId="61F84B41" w:rsidR="00092F83" w:rsidRPr="002B65F7" w:rsidRDefault="00092F83" w:rsidP="00720113">
      <w:pPr>
        <w:widowControl/>
      </w:pPr>
    </w:p>
    <w:p w14:paraId="2237F0A7"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rFonts w:eastAsia="TimesNewRoman,Bold"/>
          <w:b/>
          <w:bCs/>
        </w:rPr>
        <w:t>2.</w:t>
      </w:r>
      <w:r w:rsidRPr="002B65F7">
        <w:rPr>
          <w:rFonts w:eastAsia="TimesNewRoman,Bold"/>
          <w:b/>
          <w:bCs/>
        </w:rPr>
        <w:tab/>
        <w:t>COMPOSITION EN SUBSTANCE(S) ACTIVE(S)</w:t>
      </w:r>
    </w:p>
    <w:p w14:paraId="03B58ACA" w14:textId="77777777" w:rsidR="00092F83" w:rsidRPr="002B65F7" w:rsidRDefault="00092F83" w:rsidP="00720113">
      <w:pPr>
        <w:keepNext/>
        <w:widowControl/>
      </w:pPr>
    </w:p>
    <w:p w14:paraId="03B58ACB" w14:textId="0EFC3E78" w:rsidR="00092F83" w:rsidRPr="002B65F7" w:rsidRDefault="00C31740" w:rsidP="00720113">
      <w:pPr>
        <w:widowControl/>
      </w:pPr>
      <w:r w:rsidRPr="002B65F7">
        <w:t>Chaque</w:t>
      </w:r>
      <w:r w:rsidRPr="002B65F7">
        <w:rPr>
          <w:spacing w:val="-6"/>
        </w:rPr>
        <w:t xml:space="preserve"> </w:t>
      </w:r>
      <w:r w:rsidRPr="002B65F7">
        <w:t>flacon</w:t>
      </w:r>
      <w:r w:rsidRPr="002B65F7">
        <w:rPr>
          <w:spacing w:val="-6"/>
        </w:rPr>
        <w:t xml:space="preserve"> </w:t>
      </w:r>
      <w:r w:rsidRPr="002B65F7">
        <w:t>contient</w:t>
      </w:r>
      <w:r w:rsidRPr="002B65F7">
        <w:rPr>
          <w:spacing w:val="-6"/>
        </w:rPr>
        <w:t xml:space="preserve"> </w:t>
      </w:r>
      <w:r w:rsidRPr="002B65F7">
        <w:t>130</w:t>
      </w:r>
      <w:r w:rsidR="00801DFE" w:rsidRPr="002B65F7">
        <w:rPr>
          <w:spacing w:val="-8"/>
        </w:rPr>
        <w:t> </w:t>
      </w:r>
      <w:r w:rsidRPr="002B65F7">
        <w:t>mg</w:t>
      </w:r>
      <w:r w:rsidRPr="002B65F7">
        <w:rPr>
          <w:spacing w:val="-7"/>
        </w:rPr>
        <w:t xml:space="preserve"> </w:t>
      </w:r>
      <w:r w:rsidRPr="002B65F7">
        <w:t>d’</w:t>
      </w:r>
      <w:r w:rsidR="0071390F" w:rsidRPr="002B65F7">
        <w:t>ustekinumab</w:t>
      </w:r>
      <w:r w:rsidRPr="002B65F7">
        <w:rPr>
          <w:spacing w:val="-5"/>
        </w:rPr>
        <w:t xml:space="preserve"> </w:t>
      </w:r>
      <w:r w:rsidRPr="002B65F7">
        <w:t>dans</w:t>
      </w:r>
      <w:r w:rsidRPr="002B65F7">
        <w:rPr>
          <w:spacing w:val="-6"/>
        </w:rPr>
        <w:t xml:space="preserve"> </w:t>
      </w:r>
      <w:r w:rsidRPr="002B65F7">
        <w:t>26</w:t>
      </w:r>
      <w:r w:rsidR="00801DFE" w:rsidRPr="002B65F7">
        <w:rPr>
          <w:spacing w:val="-7"/>
        </w:rPr>
        <w:t> </w:t>
      </w:r>
      <w:r w:rsidRPr="002B65F7">
        <w:rPr>
          <w:spacing w:val="-5"/>
        </w:rPr>
        <w:t>mL.</w:t>
      </w:r>
    </w:p>
    <w:p w14:paraId="03B58ACC" w14:textId="77777777" w:rsidR="00092F83" w:rsidRPr="002B65F7" w:rsidRDefault="00092F83" w:rsidP="00720113">
      <w:pPr>
        <w:widowControl/>
      </w:pPr>
    </w:p>
    <w:p w14:paraId="03B58ACD" w14:textId="2A20B059" w:rsidR="00092F83" w:rsidRPr="002B65F7" w:rsidRDefault="00092F83" w:rsidP="00720113">
      <w:pPr>
        <w:widowControl/>
      </w:pPr>
    </w:p>
    <w:p w14:paraId="23250840"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rFonts w:eastAsia="TimesNewRoman,Bold"/>
          <w:b/>
          <w:bCs/>
        </w:rPr>
        <w:t>3.</w:t>
      </w:r>
      <w:r w:rsidRPr="002B65F7">
        <w:rPr>
          <w:rFonts w:eastAsia="TimesNewRoman,Bold"/>
          <w:b/>
          <w:bCs/>
        </w:rPr>
        <w:tab/>
        <w:t>LISTE DES EXCIPIENTS</w:t>
      </w:r>
    </w:p>
    <w:p w14:paraId="03B58ACE" w14:textId="77777777" w:rsidR="00092F83" w:rsidRPr="002B65F7" w:rsidRDefault="00092F83" w:rsidP="00720113">
      <w:pPr>
        <w:keepNext/>
        <w:widowControl/>
      </w:pPr>
    </w:p>
    <w:p w14:paraId="03B58ACF" w14:textId="0C6D6B1C" w:rsidR="00092F83" w:rsidRPr="002B65F7" w:rsidRDefault="00C31740" w:rsidP="00720113">
      <w:pPr>
        <w:widowControl/>
      </w:pPr>
      <w:r w:rsidRPr="002B65F7">
        <w:t>EDTA sel disodique dihydraté, L-histidine, chlorhydrate monohydraté de L-histidine, L-méthionine, polysorbate</w:t>
      </w:r>
      <w:r w:rsidR="00112127" w:rsidRPr="002B65F7">
        <w:t> </w:t>
      </w:r>
      <w:r w:rsidRPr="002B65F7">
        <w:t>80</w:t>
      </w:r>
      <w:r w:rsidR="00112127">
        <w:t xml:space="preserve"> (E</w:t>
      </w:r>
      <w:r w:rsidR="00112127" w:rsidRPr="002B65F7">
        <w:t> </w:t>
      </w:r>
      <w:r w:rsidR="00112127">
        <w:t>433)</w:t>
      </w:r>
      <w:r w:rsidRPr="002B65F7">
        <w:t xml:space="preserve">, saccharose, </w:t>
      </w:r>
      <w:r w:rsidR="005816E3" w:rsidRPr="002B65F7">
        <w:t xml:space="preserve">hydroxyde de sodium (pour ajuster le pH), </w:t>
      </w:r>
      <w:r w:rsidRPr="002B65F7">
        <w:t>eau pour préparations injectables</w:t>
      </w:r>
      <w:r w:rsidR="005816E3" w:rsidRPr="002B65F7">
        <w:t>.</w:t>
      </w:r>
    </w:p>
    <w:p w14:paraId="03B58AD0" w14:textId="77777777" w:rsidR="00092F83" w:rsidRPr="002B65F7" w:rsidRDefault="00092F83" w:rsidP="00720113">
      <w:pPr>
        <w:widowControl/>
      </w:pPr>
    </w:p>
    <w:p w14:paraId="03B58AD1" w14:textId="04E33E69" w:rsidR="00092F83" w:rsidRPr="002B65F7" w:rsidRDefault="00092F83" w:rsidP="00720113">
      <w:pPr>
        <w:widowControl/>
      </w:pPr>
    </w:p>
    <w:p w14:paraId="23315C91"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4.</w:t>
      </w:r>
      <w:r w:rsidRPr="002B65F7">
        <w:rPr>
          <w:b/>
          <w:bCs/>
        </w:rPr>
        <w:tab/>
        <w:t>FORME PHARMACEUTIQUE ET CONTENU</w:t>
      </w:r>
    </w:p>
    <w:p w14:paraId="03B58AD2" w14:textId="77777777" w:rsidR="00092F83" w:rsidRPr="002B65F7" w:rsidRDefault="00092F83" w:rsidP="00720113">
      <w:pPr>
        <w:keepNext/>
        <w:widowControl/>
      </w:pPr>
    </w:p>
    <w:p w14:paraId="6388F4B0" w14:textId="77777777" w:rsidR="00B41E23" w:rsidRPr="002B65F7" w:rsidRDefault="00C31740" w:rsidP="00720113">
      <w:pPr>
        <w:widowControl/>
      </w:pPr>
      <w:r>
        <w:rPr>
          <w:highlight w:val="lightGray"/>
        </w:rPr>
        <w:t>Solution</w:t>
      </w:r>
      <w:r>
        <w:rPr>
          <w:spacing w:val="-8"/>
          <w:highlight w:val="lightGray"/>
        </w:rPr>
        <w:t xml:space="preserve"> </w:t>
      </w:r>
      <w:r>
        <w:rPr>
          <w:highlight w:val="lightGray"/>
        </w:rPr>
        <w:t>à</w:t>
      </w:r>
      <w:r>
        <w:rPr>
          <w:spacing w:val="-8"/>
          <w:highlight w:val="lightGray"/>
        </w:rPr>
        <w:t xml:space="preserve"> </w:t>
      </w:r>
      <w:r>
        <w:rPr>
          <w:highlight w:val="lightGray"/>
        </w:rPr>
        <w:t>diluer</w:t>
      </w:r>
      <w:r>
        <w:rPr>
          <w:spacing w:val="-8"/>
          <w:highlight w:val="lightGray"/>
        </w:rPr>
        <w:t xml:space="preserve"> </w:t>
      </w:r>
      <w:r>
        <w:rPr>
          <w:highlight w:val="lightGray"/>
        </w:rPr>
        <w:t>pour</w:t>
      </w:r>
      <w:r>
        <w:rPr>
          <w:spacing w:val="-8"/>
          <w:highlight w:val="lightGray"/>
        </w:rPr>
        <w:t xml:space="preserve"> </w:t>
      </w:r>
      <w:r>
        <w:rPr>
          <w:highlight w:val="lightGray"/>
        </w:rPr>
        <w:t>perfusion</w:t>
      </w:r>
    </w:p>
    <w:p w14:paraId="03B58AD4" w14:textId="15A01FE7" w:rsidR="00092F83" w:rsidRPr="002B65F7" w:rsidRDefault="00C31740" w:rsidP="00720113">
      <w:pPr>
        <w:widowControl/>
      </w:pPr>
      <w:r w:rsidRPr="002B65F7">
        <w:t>1</w:t>
      </w:r>
      <w:r w:rsidR="00461B11" w:rsidRPr="002B65F7">
        <w:t> </w:t>
      </w:r>
      <w:r w:rsidRPr="002B65F7">
        <w:rPr>
          <w:spacing w:val="-2"/>
        </w:rPr>
        <w:t>flacon</w:t>
      </w:r>
    </w:p>
    <w:p w14:paraId="03B58AD5" w14:textId="77777777" w:rsidR="00092F83" w:rsidRPr="002B65F7" w:rsidRDefault="00092F83" w:rsidP="00720113">
      <w:pPr>
        <w:widowControl/>
      </w:pPr>
    </w:p>
    <w:p w14:paraId="03B58AD6" w14:textId="2D877D51" w:rsidR="00092F83" w:rsidRPr="002B65F7" w:rsidRDefault="00092F83" w:rsidP="00720113">
      <w:pPr>
        <w:widowControl/>
      </w:pPr>
    </w:p>
    <w:p w14:paraId="0FF37B39"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2B65F7">
        <w:rPr>
          <w:b/>
          <w:spacing w:val="-5"/>
        </w:rPr>
        <w:t>5.</w:t>
      </w:r>
      <w:r w:rsidRPr="002B65F7">
        <w:rPr>
          <w:b/>
        </w:rPr>
        <w:tab/>
      </w:r>
      <w:r w:rsidRPr="002B65F7">
        <w:rPr>
          <w:b/>
          <w:bCs/>
        </w:rPr>
        <w:t>MODE</w:t>
      </w:r>
      <w:r w:rsidRPr="002B65F7">
        <w:rPr>
          <w:b/>
          <w:spacing w:val="-5"/>
        </w:rPr>
        <w:t xml:space="preserve"> </w:t>
      </w:r>
      <w:r w:rsidRPr="002B65F7">
        <w:rPr>
          <w:b/>
        </w:rPr>
        <w:t>ET</w:t>
      </w:r>
      <w:r w:rsidRPr="002B65F7">
        <w:rPr>
          <w:b/>
          <w:spacing w:val="-4"/>
        </w:rPr>
        <w:t xml:space="preserve"> </w:t>
      </w:r>
      <w:r w:rsidRPr="002B65F7">
        <w:rPr>
          <w:b/>
        </w:rPr>
        <w:t>VOIE(S)</w:t>
      </w:r>
      <w:r w:rsidRPr="002B65F7">
        <w:rPr>
          <w:b/>
          <w:spacing w:val="-4"/>
        </w:rPr>
        <w:t xml:space="preserve"> </w:t>
      </w:r>
      <w:r w:rsidRPr="002B65F7">
        <w:rPr>
          <w:b/>
          <w:spacing w:val="-2"/>
        </w:rPr>
        <w:t>D’ADMINISTRATION</w:t>
      </w:r>
    </w:p>
    <w:p w14:paraId="03B58AD7" w14:textId="77777777" w:rsidR="00092F83" w:rsidRPr="002B65F7" w:rsidRDefault="00092F83" w:rsidP="00720113">
      <w:pPr>
        <w:keepNext/>
        <w:widowControl/>
      </w:pPr>
    </w:p>
    <w:p w14:paraId="03B58AD8" w14:textId="77777777" w:rsidR="00092F83" w:rsidRPr="002B65F7" w:rsidRDefault="00C31740" w:rsidP="00720113">
      <w:pPr>
        <w:widowControl/>
      </w:pPr>
      <w:r w:rsidRPr="002B65F7">
        <w:t>Ne</w:t>
      </w:r>
      <w:r w:rsidRPr="002B65F7">
        <w:rPr>
          <w:spacing w:val="-2"/>
        </w:rPr>
        <w:t xml:space="preserve"> </w:t>
      </w:r>
      <w:r w:rsidRPr="002B65F7">
        <w:t>pas</w:t>
      </w:r>
      <w:r w:rsidRPr="002B65F7">
        <w:rPr>
          <w:spacing w:val="-1"/>
        </w:rPr>
        <w:t xml:space="preserve"> </w:t>
      </w:r>
      <w:r w:rsidRPr="002B65F7">
        <w:rPr>
          <w:spacing w:val="-2"/>
        </w:rPr>
        <w:t>agiter.</w:t>
      </w:r>
    </w:p>
    <w:p w14:paraId="56AB1F45" w14:textId="77777777" w:rsidR="00B41E23" w:rsidRPr="002B65F7" w:rsidRDefault="00C31740" w:rsidP="00720113">
      <w:pPr>
        <w:widowControl/>
      </w:pPr>
      <w:r w:rsidRPr="002B65F7">
        <w:t>Lire</w:t>
      </w:r>
      <w:r w:rsidRPr="002B65F7">
        <w:rPr>
          <w:spacing w:val="-8"/>
        </w:rPr>
        <w:t xml:space="preserve"> </w:t>
      </w:r>
      <w:r w:rsidRPr="002B65F7">
        <w:t>la</w:t>
      </w:r>
      <w:r w:rsidRPr="002B65F7">
        <w:rPr>
          <w:spacing w:val="-8"/>
        </w:rPr>
        <w:t xml:space="preserve"> </w:t>
      </w:r>
      <w:r w:rsidRPr="002B65F7">
        <w:t>notice</w:t>
      </w:r>
      <w:r w:rsidRPr="002B65F7">
        <w:rPr>
          <w:spacing w:val="-8"/>
        </w:rPr>
        <w:t xml:space="preserve"> </w:t>
      </w:r>
      <w:r w:rsidRPr="002B65F7">
        <w:t>avant</w:t>
      </w:r>
      <w:r w:rsidRPr="002B65F7">
        <w:rPr>
          <w:spacing w:val="-8"/>
        </w:rPr>
        <w:t xml:space="preserve"> </w:t>
      </w:r>
      <w:r w:rsidRPr="002B65F7">
        <w:t>utilisation.</w:t>
      </w:r>
    </w:p>
    <w:p w14:paraId="03B58AD9" w14:textId="05C7A254" w:rsidR="00092F83" w:rsidRPr="002B65F7" w:rsidRDefault="00C31740" w:rsidP="00720113">
      <w:pPr>
        <w:widowControl/>
      </w:pPr>
      <w:r w:rsidRPr="002B65F7">
        <w:t>A usage unique seulement.</w:t>
      </w:r>
    </w:p>
    <w:p w14:paraId="03B58ADA" w14:textId="34A0EA7E" w:rsidR="00092F83" w:rsidRPr="002B65F7" w:rsidRDefault="005816E3" w:rsidP="00720113">
      <w:pPr>
        <w:widowControl/>
      </w:pPr>
      <w:r w:rsidRPr="002B65F7">
        <w:t>Par v</w:t>
      </w:r>
      <w:r w:rsidR="00C31740" w:rsidRPr="002B65F7">
        <w:t>oie</w:t>
      </w:r>
      <w:r w:rsidR="00C31740" w:rsidRPr="002B65F7">
        <w:rPr>
          <w:spacing w:val="-8"/>
        </w:rPr>
        <w:t xml:space="preserve"> </w:t>
      </w:r>
      <w:r w:rsidR="00C31740" w:rsidRPr="002B65F7">
        <w:t>intraveineuse</w:t>
      </w:r>
      <w:r w:rsidR="00C31740" w:rsidRPr="002B65F7">
        <w:rPr>
          <w:spacing w:val="-7"/>
        </w:rPr>
        <w:t xml:space="preserve"> </w:t>
      </w:r>
      <w:r w:rsidR="00C31740" w:rsidRPr="002B65F7">
        <w:t>après</w:t>
      </w:r>
      <w:r w:rsidR="00C31740" w:rsidRPr="002B65F7">
        <w:rPr>
          <w:spacing w:val="-7"/>
        </w:rPr>
        <w:t xml:space="preserve"> </w:t>
      </w:r>
      <w:r w:rsidR="00C31740" w:rsidRPr="002B65F7">
        <w:rPr>
          <w:spacing w:val="-2"/>
        </w:rPr>
        <w:t>dilution.</w:t>
      </w:r>
    </w:p>
    <w:p w14:paraId="03B58ADB" w14:textId="77777777" w:rsidR="00092F83" w:rsidRPr="002B65F7" w:rsidRDefault="00092F83" w:rsidP="00720113">
      <w:pPr>
        <w:widowControl/>
      </w:pPr>
    </w:p>
    <w:p w14:paraId="03B58ADC" w14:textId="19369FA2" w:rsidR="00092F83" w:rsidRPr="002B65F7" w:rsidRDefault="00092F83" w:rsidP="00720113">
      <w:pPr>
        <w:widowControl/>
      </w:pPr>
    </w:p>
    <w:p w14:paraId="0D9608B8"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2B65F7">
        <w:rPr>
          <w:rFonts w:eastAsia="TimesNewRoman,Bold"/>
          <w:b/>
          <w:bCs/>
        </w:rPr>
        <w:t>6.</w:t>
      </w:r>
      <w:r w:rsidRPr="002B65F7">
        <w:rPr>
          <w:rFonts w:eastAsia="TimesNewRoman,Bold"/>
          <w:b/>
          <w:bCs/>
        </w:rPr>
        <w:tab/>
      </w:r>
      <w:r w:rsidRPr="002B65F7">
        <w:rPr>
          <w:b/>
          <w:bCs/>
        </w:rPr>
        <w:t>MISE</w:t>
      </w:r>
      <w:r w:rsidRPr="002B65F7">
        <w:rPr>
          <w:rFonts w:eastAsia="TimesNewRoman,Bold"/>
          <w:b/>
          <w:bCs/>
        </w:rPr>
        <w:t xml:space="preserve"> EN GARDE SPÉCIALE INDIQUANT QUE LE MÉDICAMENT DOIT ÊTRE CONSERVÉ HORS DE VUE ET DE PORTÉE DES ENFANTS</w:t>
      </w:r>
    </w:p>
    <w:p w14:paraId="03B58ADD" w14:textId="77777777" w:rsidR="00092F83" w:rsidRPr="002B65F7" w:rsidRDefault="00092F83" w:rsidP="00720113">
      <w:pPr>
        <w:keepNext/>
        <w:widowControl/>
      </w:pPr>
    </w:p>
    <w:p w14:paraId="03B58ADE" w14:textId="77777777" w:rsidR="00092F83" w:rsidRPr="002B65F7" w:rsidRDefault="00C31740" w:rsidP="00720113">
      <w:pPr>
        <w:widowControl/>
      </w:pPr>
      <w:r w:rsidRPr="002B65F7">
        <w:t>Tenir</w:t>
      </w:r>
      <w:r w:rsidRPr="002B65F7">
        <w:rPr>
          <w:spacing w:val="-4"/>
        </w:rPr>
        <w:t xml:space="preserve"> </w:t>
      </w:r>
      <w:r w:rsidRPr="002B65F7">
        <w:t>hors</w:t>
      </w:r>
      <w:r w:rsidRPr="002B65F7">
        <w:rPr>
          <w:spacing w:val="-3"/>
        </w:rPr>
        <w:t xml:space="preserve"> </w:t>
      </w:r>
      <w:r w:rsidRPr="002B65F7">
        <w:t>de</w:t>
      </w:r>
      <w:r w:rsidRPr="002B65F7">
        <w:rPr>
          <w:spacing w:val="-3"/>
        </w:rPr>
        <w:t xml:space="preserve"> </w:t>
      </w:r>
      <w:r w:rsidRPr="002B65F7">
        <w:t>la</w:t>
      </w:r>
      <w:r w:rsidRPr="002B65F7">
        <w:rPr>
          <w:spacing w:val="-3"/>
        </w:rPr>
        <w:t xml:space="preserve"> </w:t>
      </w:r>
      <w:r w:rsidRPr="002B65F7">
        <w:t>vue</w:t>
      </w:r>
      <w:r w:rsidRPr="002B65F7">
        <w:rPr>
          <w:spacing w:val="-3"/>
        </w:rPr>
        <w:t xml:space="preserve"> </w:t>
      </w:r>
      <w:r w:rsidRPr="002B65F7">
        <w:t>et</w:t>
      </w:r>
      <w:r w:rsidRPr="002B65F7">
        <w:rPr>
          <w:spacing w:val="-3"/>
        </w:rPr>
        <w:t xml:space="preserve"> </w:t>
      </w:r>
      <w:r w:rsidRPr="002B65F7">
        <w:t>de</w:t>
      </w:r>
      <w:r w:rsidRPr="002B65F7">
        <w:rPr>
          <w:spacing w:val="-3"/>
        </w:rPr>
        <w:t xml:space="preserve"> </w:t>
      </w:r>
      <w:r w:rsidRPr="002B65F7">
        <w:t>la</w:t>
      </w:r>
      <w:r w:rsidRPr="002B65F7">
        <w:rPr>
          <w:spacing w:val="-3"/>
        </w:rPr>
        <w:t xml:space="preserve"> </w:t>
      </w:r>
      <w:r w:rsidRPr="002B65F7">
        <w:t>portée</w:t>
      </w:r>
      <w:r w:rsidRPr="002B65F7">
        <w:rPr>
          <w:spacing w:val="-3"/>
        </w:rPr>
        <w:t xml:space="preserve"> </w:t>
      </w:r>
      <w:r w:rsidRPr="002B65F7">
        <w:t>des</w:t>
      </w:r>
      <w:r w:rsidRPr="002B65F7">
        <w:rPr>
          <w:spacing w:val="-3"/>
        </w:rPr>
        <w:t xml:space="preserve"> </w:t>
      </w:r>
      <w:r w:rsidRPr="002B65F7">
        <w:rPr>
          <w:spacing w:val="-2"/>
        </w:rPr>
        <w:t>enfants.</w:t>
      </w:r>
    </w:p>
    <w:p w14:paraId="03B58ADF" w14:textId="77777777" w:rsidR="00092F83" w:rsidRPr="002B65F7" w:rsidRDefault="00092F83" w:rsidP="00720113">
      <w:pPr>
        <w:widowControl/>
      </w:pPr>
    </w:p>
    <w:p w14:paraId="03B58AE0" w14:textId="05BDF7AA" w:rsidR="00092F83" w:rsidRPr="002B65F7" w:rsidRDefault="00092F83" w:rsidP="00720113">
      <w:pPr>
        <w:widowControl/>
      </w:pPr>
    </w:p>
    <w:p w14:paraId="379E7486"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spacing w:val="-5"/>
        </w:rPr>
        <w:t>7.</w:t>
      </w:r>
      <w:r w:rsidRPr="002B65F7">
        <w:rPr>
          <w:b/>
          <w:bCs/>
        </w:rPr>
        <w:tab/>
        <w:t>AUTRE(S)</w:t>
      </w:r>
      <w:r w:rsidRPr="002B65F7">
        <w:rPr>
          <w:b/>
          <w:bCs/>
          <w:spacing w:val="-6"/>
        </w:rPr>
        <w:t xml:space="preserve"> </w:t>
      </w:r>
      <w:r w:rsidRPr="002B65F7">
        <w:rPr>
          <w:b/>
          <w:bCs/>
        </w:rPr>
        <w:t>MISE(S)</w:t>
      </w:r>
      <w:r w:rsidRPr="002B65F7">
        <w:rPr>
          <w:b/>
          <w:bCs/>
          <w:spacing w:val="-6"/>
        </w:rPr>
        <w:t xml:space="preserve"> </w:t>
      </w:r>
      <w:r w:rsidRPr="002B65F7">
        <w:rPr>
          <w:b/>
          <w:bCs/>
        </w:rPr>
        <w:t>EN</w:t>
      </w:r>
      <w:r w:rsidRPr="002B65F7">
        <w:rPr>
          <w:b/>
          <w:bCs/>
          <w:spacing w:val="-6"/>
        </w:rPr>
        <w:t xml:space="preserve"> </w:t>
      </w:r>
      <w:r w:rsidRPr="002B65F7">
        <w:rPr>
          <w:b/>
          <w:bCs/>
        </w:rPr>
        <w:t>GARDE</w:t>
      </w:r>
      <w:r w:rsidRPr="002B65F7">
        <w:rPr>
          <w:b/>
          <w:bCs/>
          <w:spacing w:val="-6"/>
        </w:rPr>
        <w:t xml:space="preserve"> </w:t>
      </w:r>
      <w:r w:rsidRPr="002B65F7">
        <w:rPr>
          <w:b/>
          <w:bCs/>
        </w:rPr>
        <w:t>SPÉCIALE(S),</w:t>
      </w:r>
      <w:r w:rsidRPr="002B65F7">
        <w:rPr>
          <w:b/>
          <w:bCs/>
          <w:spacing w:val="-6"/>
        </w:rPr>
        <w:t xml:space="preserve"> </w:t>
      </w:r>
      <w:r w:rsidRPr="002B65F7">
        <w:rPr>
          <w:b/>
          <w:bCs/>
        </w:rPr>
        <w:t>SI</w:t>
      </w:r>
      <w:r w:rsidRPr="002B65F7">
        <w:rPr>
          <w:b/>
          <w:bCs/>
          <w:spacing w:val="-6"/>
        </w:rPr>
        <w:t xml:space="preserve"> </w:t>
      </w:r>
      <w:r w:rsidRPr="002B65F7">
        <w:rPr>
          <w:b/>
          <w:bCs/>
          <w:spacing w:val="-2"/>
        </w:rPr>
        <w:t>NÉCESSAIRE</w:t>
      </w:r>
    </w:p>
    <w:p w14:paraId="03B58AE1" w14:textId="77777777" w:rsidR="00092F83" w:rsidRPr="002B65F7" w:rsidRDefault="00092F83" w:rsidP="00720113">
      <w:pPr>
        <w:keepNext/>
        <w:widowControl/>
      </w:pPr>
    </w:p>
    <w:p w14:paraId="03B58AE3" w14:textId="4830FEDF" w:rsidR="00092F83" w:rsidRPr="002B65F7" w:rsidRDefault="00092F83" w:rsidP="00720113">
      <w:pPr>
        <w:widowControl/>
      </w:pPr>
    </w:p>
    <w:p w14:paraId="3A20D813"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spacing w:val="-5"/>
        </w:rPr>
        <w:t>8.</w:t>
      </w:r>
      <w:r w:rsidRPr="002B65F7">
        <w:rPr>
          <w:b/>
          <w:bCs/>
        </w:rPr>
        <w:tab/>
        <w:t>DATE</w:t>
      </w:r>
      <w:r w:rsidRPr="002B65F7">
        <w:rPr>
          <w:b/>
          <w:bCs/>
          <w:spacing w:val="-3"/>
        </w:rPr>
        <w:t xml:space="preserve"> </w:t>
      </w:r>
      <w:r w:rsidRPr="002B65F7">
        <w:rPr>
          <w:b/>
          <w:bCs/>
        </w:rPr>
        <w:t>DE</w:t>
      </w:r>
      <w:r w:rsidRPr="002B65F7">
        <w:rPr>
          <w:b/>
          <w:bCs/>
          <w:spacing w:val="-3"/>
        </w:rPr>
        <w:t xml:space="preserve"> </w:t>
      </w:r>
      <w:r w:rsidRPr="002B65F7">
        <w:rPr>
          <w:b/>
          <w:bCs/>
        </w:rPr>
        <w:t>PÉREMPTION</w:t>
      </w:r>
    </w:p>
    <w:p w14:paraId="03B58AE4" w14:textId="77777777" w:rsidR="00092F83" w:rsidRPr="002B65F7" w:rsidRDefault="00092F83" w:rsidP="00720113">
      <w:pPr>
        <w:keepNext/>
        <w:widowControl/>
      </w:pPr>
    </w:p>
    <w:p w14:paraId="03B58AE5" w14:textId="77777777" w:rsidR="00092F83" w:rsidRPr="002B65F7" w:rsidRDefault="00C31740" w:rsidP="00720113">
      <w:pPr>
        <w:widowControl/>
      </w:pPr>
      <w:r w:rsidRPr="002B65F7">
        <w:rPr>
          <w:spacing w:val="-5"/>
        </w:rPr>
        <w:t>EXP</w:t>
      </w:r>
    </w:p>
    <w:p w14:paraId="2CCAA7B0" w14:textId="77777777" w:rsidR="00092F83" w:rsidRPr="002B65F7" w:rsidRDefault="00092F83" w:rsidP="00720113">
      <w:pPr>
        <w:widowControl/>
      </w:pPr>
    </w:p>
    <w:p w14:paraId="512DB1F0" w14:textId="77777777" w:rsidR="002913CC" w:rsidRPr="002B65F7" w:rsidRDefault="002913CC" w:rsidP="00720113">
      <w:pPr>
        <w:widowControl/>
      </w:pPr>
    </w:p>
    <w:p w14:paraId="0677FEA0"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2B65F7">
        <w:rPr>
          <w:b/>
          <w:spacing w:val="-5"/>
        </w:rPr>
        <w:lastRenderedPageBreak/>
        <w:t>9.</w:t>
      </w:r>
      <w:r w:rsidRPr="002B65F7">
        <w:rPr>
          <w:b/>
        </w:rPr>
        <w:tab/>
      </w:r>
      <w:r w:rsidRPr="002B65F7">
        <w:rPr>
          <w:b/>
          <w:bCs/>
        </w:rPr>
        <w:t>PRÉCAUTIONS</w:t>
      </w:r>
      <w:r w:rsidRPr="002B65F7">
        <w:rPr>
          <w:b/>
          <w:spacing w:val="-14"/>
        </w:rPr>
        <w:t xml:space="preserve"> </w:t>
      </w:r>
      <w:r w:rsidRPr="002B65F7">
        <w:rPr>
          <w:b/>
        </w:rPr>
        <w:t>PARTICULIÈRES</w:t>
      </w:r>
      <w:r w:rsidRPr="002B65F7">
        <w:rPr>
          <w:b/>
          <w:spacing w:val="-10"/>
        </w:rPr>
        <w:t xml:space="preserve"> </w:t>
      </w:r>
      <w:r w:rsidRPr="002B65F7">
        <w:rPr>
          <w:b/>
        </w:rPr>
        <w:t>DE</w:t>
      </w:r>
      <w:r w:rsidRPr="002B65F7">
        <w:rPr>
          <w:b/>
          <w:spacing w:val="-7"/>
        </w:rPr>
        <w:t xml:space="preserve"> </w:t>
      </w:r>
      <w:r w:rsidRPr="002B65F7">
        <w:rPr>
          <w:b/>
          <w:spacing w:val="-2"/>
        </w:rPr>
        <w:t>CONSERVATION</w:t>
      </w:r>
    </w:p>
    <w:p w14:paraId="03B58AE7" w14:textId="0E29D0A8" w:rsidR="00092F83" w:rsidRPr="002B65F7" w:rsidRDefault="00092F83" w:rsidP="00720113">
      <w:pPr>
        <w:keepNext/>
        <w:keepLines/>
        <w:widowControl/>
      </w:pPr>
    </w:p>
    <w:p w14:paraId="6AB8A28F" w14:textId="77777777" w:rsidR="00B41E23" w:rsidRPr="002B65F7" w:rsidRDefault="00C31740" w:rsidP="00720113">
      <w:pPr>
        <w:keepNext/>
        <w:keepLines/>
        <w:widowControl/>
      </w:pPr>
      <w:r w:rsidRPr="002B65F7">
        <w:t>A</w:t>
      </w:r>
      <w:r w:rsidRPr="002B65F7">
        <w:rPr>
          <w:spacing w:val="-11"/>
        </w:rPr>
        <w:t xml:space="preserve"> </w:t>
      </w:r>
      <w:r w:rsidRPr="002B65F7">
        <w:t>conserver</w:t>
      </w:r>
      <w:r w:rsidRPr="002B65F7">
        <w:rPr>
          <w:spacing w:val="-11"/>
        </w:rPr>
        <w:t xml:space="preserve"> </w:t>
      </w:r>
      <w:r w:rsidRPr="002B65F7">
        <w:t>au</w:t>
      </w:r>
      <w:r w:rsidRPr="002B65F7">
        <w:rPr>
          <w:spacing w:val="-11"/>
        </w:rPr>
        <w:t xml:space="preserve"> </w:t>
      </w:r>
      <w:r w:rsidRPr="002B65F7">
        <w:t>réfrigérateur.</w:t>
      </w:r>
    </w:p>
    <w:p w14:paraId="03B58AE8" w14:textId="7E35A2EF" w:rsidR="00092F83" w:rsidRPr="002B65F7" w:rsidRDefault="00C31740" w:rsidP="00720113">
      <w:pPr>
        <w:keepNext/>
        <w:keepLines/>
        <w:widowControl/>
      </w:pPr>
      <w:r w:rsidRPr="002B65F7">
        <w:t>Ne pas congeler.</w:t>
      </w:r>
    </w:p>
    <w:p w14:paraId="03B58AE9" w14:textId="77777777" w:rsidR="00092F83" w:rsidRPr="002B65F7" w:rsidRDefault="00C31740" w:rsidP="00720113">
      <w:pPr>
        <w:keepNext/>
        <w:keepLines/>
        <w:widowControl/>
      </w:pPr>
      <w:r w:rsidRPr="002B65F7">
        <w:t>Conserver</w:t>
      </w:r>
      <w:r w:rsidRPr="002B65F7">
        <w:rPr>
          <w:spacing w:val="-6"/>
        </w:rPr>
        <w:t xml:space="preserve"> </w:t>
      </w:r>
      <w:r w:rsidRPr="002B65F7">
        <w:t>le</w:t>
      </w:r>
      <w:r w:rsidRPr="002B65F7">
        <w:rPr>
          <w:spacing w:val="-5"/>
        </w:rPr>
        <w:t xml:space="preserve"> </w:t>
      </w:r>
      <w:r w:rsidRPr="002B65F7">
        <w:t>flacon</w:t>
      </w:r>
      <w:r w:rsidRPr="002B65F7">
        <w:rPr>
          <w:spacing w:val="-5"/>
        </w:rPr>
        <w:t xml:space="preserve"> </w:t>
      </w:r>
      <w:r w:rsidRPr="002B65F7">
        <w:t>dans</w:t>
      </w:r>
      <w:r w:rsidRPr="002B65F7">
        <w:rPr>
          <w:spacing w:val="-5"/>
        </w:rPr>
        <w:t xml:space="preserve"> </w:t>
      </w:r>
      <w:r w:rsidRPr="002B65F7">
        <w:t>l’emballage</w:t>
      </w:r>
      <w:r w:rsidRPr="002B65F7">
        <w:rPr>
          <w:spacing w:val="-5"/>
        </w:rPr>
        <w:t xml:space="preserve"> </w:t>
      </w:r>
      <w:r w:rsidRPr="002B65F7">
        <w:t>extérieur</w:t>
      </w:r>
      <w:r w:rsidRPr="002B65F7">
        <w:rPr>
          <w:spacing w:val="-6"/>
        </w:rPr>
        <w:t xml:space="preserve"> </w:t>
      </w:r>
      <w:r w:rsidRPr="002B65F7">
        <w:t>à</w:t>
      </w:r>
      <w:r w:rsidRPr="002B65F7">
        <w:rPr>
          <w:spacing w:val="-5"/>
        </w:rPr>
        <w:t xml:space="preserve"> </w:t>
      </w:r>
      <w:r w:rsidRPr="002B65F7">
        <w:t>l’abri</w:t>
      </w:r>
      <w:r w:rsidRPr="002B65F7">
        <w:rPr>
          <w:spacing w:val="-5"/>
        </w:rPr>
        <w:t xml:space="preserve"> </w:t>
      </w:r>
      <w:r w:rsidRPr="002B65F7">
        <w:t>de</w:t>
      </w:r>
      <w:r w:rsidRPr="002B65F7">
        <w:rPr>
          <w:spacing w:val="-5"/>
        </w:rPr>
        <w:t xml:space="preserve"> </w:t>
      </w:r>
      <w:r w:rsidRPr="002B65F7">
        <w:t>la</w:t>
      </w:r>
      <w:r w:rsidRPr="002B65F7">
        <w:rPr>
          <w:spacing w:val="-5"/>
        </w:rPr>
        <w:t xml:space="preserve"> </w:t>
      </w:r>
      <w:r w:rsidRPr="002B65F7">
        <w:rPr>
          <w:spacing w:val="-2"/>
        </w:rPr>
        <w:t>lumière.</w:t>
      </w:r>
    </w:p>
    <w:p w14:paraId="03B58AEA" w14:textId="77777777" w:rsidR="00092F83" w:rsidRPr="002B65F7" w:rsidRDefault="00092F83" w:rsidP="00720113">
      <w:pPr>
        <w:widowControl/>
      </w:pPr>
    </w:p>
    <w:p w14:paraId="03B58AEB" w14:textId="3A4629D5" w:rsidR="00092F83" w:rsidRPr="002B65F7" w:rsidRDefault="00092F83" w:rsidP="00720113">
      <w:pPr>
        <w:widowControl/>
      </w:pPr>
    </w:p>
    <w:p w14:paraId="26089228"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10.</w:t>
      </w:r>
      <w:r w:rsidRPr="002B65F7">
        <w:rPr>
          <w:b/>
          <w:bCs/>
        </w:rPr>
        <w:tab/>
        <w:t>PRÉCAUTIONS PARTICULIÈRES D’ÉLIMINATION DES MÉDICAMENTS NON UTILISÉS OU DES DÉCHETS PROVENANT DE CES MÉDICAMENTS S’IL Y A LIEU</w:t>
      </w:r>
    </w:p>
    <w:p w14:paraId="03B58AEC" w14:textId="77777777" w:rsidR="00092F83" w:rsidRPr="002B65F7" w:rsidRDefault="00092F83" w:rsidP="00720113">
      <w:pPr>
        <w:pStyle w:val="BodyText"/>
        <w:keepNext/>
        <w:widowControl/>
      </w:pPr>
    </w:p>
    <w:p w14:paraId="03B58AED" w14:textId="77777777" w:rsidR="00092F83" w:rsidRPr="002B65F7" w:rsidRDefault="00092F83" w:rsidP="00720113">
      <w:pPr>
        <w:pStyle w:val="BodyText"/>
        <w:widowControl/>
      </w:pPr>
    </w:p>
    <w:p w14:paraId="10EAEA90"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11.</w:t>
      </w:r>
      <w:r w:rsidRPr="002B65F7">
        <w:rPr>
          <w:b/>
          <w:bCs/>
        </w:rPr>
        <w:tab/>
        <w:t>NOM ET ADRESSE DU TITULAIRE DE L’AUTORISATION DE MISE SUR LE MARCHÉ</w:t>
      </w:r>
    </w:p>
    <w:p w14:paraId="03B58AEE" w14:textId="57BEAFC1" w:rsidR="00092F83" w:rsidRPr="002B65F7" w:rsidRDefault="00092F83" w:rsidP="00720113">
      <w:pPr>
        <w:keepNext/>
        <w:widowControl/>
      </w:pPr>
    </w:p>
    <w:p w14:paraId="5C076EE6" w14:textId="77777777" w:rsidR="005816E3" w:rsidRPr="002B65F7" w:rsidRDefault="005816E3" w:rsidP="00720113">
      <w:pPr>
        <w:rPr>
          <w:lang w:val="en-GB"/>
        </w:rPr>
      </w:pPr>
      <w:r w:rsidRPr="002B65F7">
        <w:rPr>
          <w:lang w:val="en-GB"/>
        </w:rPr>
        <w:t>Amgen Technology (Ireland) UC,</w:t>
      </w:r>
    </w:p>
    <w:p w14:paraId="243661D8" w14:textId="77777777" w:rsidR="005816E3" w:rsidRPr="002B65F7" w:rsidRDefault="005816E3" w:rsidP="00720113">
      <w:pPr>
        <w:rPr>
          <w:lang w:val="en-GB"/>
        </w:rPr>
      </w:pPr>
      <w:r w:rsidRPr="002B65F7">
        <w:rPr>
          <w:lang w:val="en-GB"/>
        </w:rPr>
        <w:t>Pottery Road,</w:t>
      </w:r>
    </w:p>
    <w:p w14:paraId="555471B6" w14:textId="77777777" w:rsidR="005816E3" w:rsidRPr="002B65F7" w:rsidRDefault="005816E3" w:rsidP="00720113">
      <w:r w:rsidRPr="002B65F7">
        <w:t>Dun Laoghaire,</w:t>
      </w:r>
    </w:p>
    <w:p w14:paraId="239B2F95" w14:textId="77777777" w:rsidR="005816E3" w:rsidRPr="002B65F7" w:rsidRDefault="005816E3" w:rsidP="00720113">
      <w:r w:rsidRPr="002B65F7">
        <w:t>Co Dublin,</w:t>
      </w:r>
    </w:p>
    <w:p w14:paraId="137D2027" w14:textId="27F7340E" w:rsidR="005816E3" w:rsidRPr="002B65F7" w:rsidRDefault="005816E3" w:rsidP="00720113">
      <w:r w:rsidRPr="002B65F7">
        <w:t>Irlande</w:t>
      </w:r>
    </w:p>
    <w:p w14:paraId="03B58AF1" w14:textId="094F4D32" w:rsidR="00092F83" w:rsidRPr="002B65F7" w:rsidRDefault="00092F83" w:rsidP="00720113">
      <w:pPr>
        <w:widowControl/>
      </w:pPr>
    </w:p>
    <w:p w14:paraId="03B58AF2" w14:textId="77777777" w:rsidR="00092F83" w:rsidRPr="002B65F7" w:rsidRDefault="00092F83" w:rsidP="00720113">
      <w:pPr>
        <w:widowControl/>
      </w:pPr>
    </w:p>
    <w:p w14:paraId="40FA1AEB"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spacing w:val="-5"/>
        </w:rPr>
        <w:t>12.</w:t>
      </w:r>
      <w:r w:rsidRPr="002B65F7">
        <w:rPr>
          <w:b/>
          <w:bCs/>
        </w:rPr>
        <w:tab/>
        <w:t>NUMÉRO(S)</w:t>
      </w:r>
      <w:r w:rsidRPr="002B65F7">
        <w:rPr>
          <w:b/>
          <w:bCs/>
          <w:spacing w:val="-6"/>
        </w:rPr>
        <w:t xml:space="preserve"> </w:t>
      </w:r>
      <w:r w:rsidRPr="002B65F7">
        <w:rPr>
          <w:b/>
          <w:bCs/>
        </w:rPr>
        <w:t>D’AUTORISATION</w:t>
      </w:r>
      <w:r w:rsidRPr="002B65F7">
        <w:rPr>
          <w:b/>
          <w:bCs/>
          <w:spacing w:val="-6"/>
        </w:rPr>
        <w:t xml:space="preserve"> </w:t>
      </w:r>
      <w:r w:rsidRPr="002B65F7">
        <w:rPr>
          <w:b/>
          <w:bCs/>
        </w:rPr>
        <w:t>DE</w:t>
      </w:r>
      <w:r w:rsidRPr="002B65F7">
        <w:rPr>
          <w:b/>
          <w:bCs/>
          <w:spacing w:val="-5"/>
        </w:rPr>
        <w:t xml:space="preserve"> </w:t>
      </w:r>
      <w:r w:rsidRPr="002B65F7">
        <w:rPr>
          <w:b/>
          <w:bCs/>
        </w:rPr>
        <w:t>MISE</w:t>
      </w:r>
      <w:r w:rsidRPr="002B65F7">
        <w:rPr>
          <w:b/>
          <w:bCs/>
          <w:spacing w:val="-6"/>
        </w:rPr>
        <w:t xml:space="preserve"> </w:t>
      </w:r>
      <w:r w:rsidRPr="002B65F7">
        <w:rPr>
          <w:b/>
          <w:bCs/>
        </w:rPr>
        <w:t>SUR</w:t>
      </w:r>
      <w:r w:rsidRPr="002B65F7">
        <w:rPr>
          <w:b/>
          <w:bCs/>
          <w:spacing w:val="-6"/>
        </w:rPr>
        <w:t xml:space="preserve"> </w:t>
      </w:r>
      <w:r w:rsidRPr="002B65F7">
        <w:rPr>
          <w:b/>
          <w:bCs/>
        </w:rPr>
        <w:t>LE</w:t>
      </w:r>
      <w:r w:rsidRPr="002B65F7">
        <w:rPr>
          <w:b/>
          <w:bCs/>
          <w:spacing w:val="-5"/>
        </w:rPr>
        <w:t xml:space="preserve"> </w:t>
      </w:r>
      <w:r w:rsidRPr="002B65F7">
        <w:rPr>
          <w:b/>
          <w:bCs/>
          <w:spacing w:val="-2"/>
        </w:rPr>
        <w:t>MARCHÉ</w:t>
      </w:r>
    </w:p>
    <w:p w14:paraId="03B58AF4" w14:textId="77777777" w:rsidR="00092F83" w:rsidRPr="002B65F7" w:rsidRDefault="00092F83" w:rsidP="00720113">
      <w:pPr>
        <w:keepNext/>
        <w:widowControl/>
      </w:pPr>
    </w:p>
    <w:p w14:paraId="2EEEA46A" w14:textId="545A194C" w:rsidR="005816E3" w:rsidRPr="002B65F7" w:rsidRDefault="005816E3" w:rsidP="00720113">
      <w:r w:rsidRPr="002B65F7">
        <w:t>EU/1/</w:t>
      </w:r>
      <w:r w:rsidR="008C77CD" w:rsidRPr="002B65F7">
        <w:t>24</w:t>
      </w:r>
      <w:r w:rsidRPr="002B65F7">
        <w:t>/</w:t>
      </w:r>
      <w:r w:rsidR="008C77CD" w:rsidRPr="002B65F7">
        <w:t>1823</w:t>
      </w:r>
      <w:r w:rsidRPr="002B65F7">
        <w:rPr>
          <w:spacing w:val="1"/>
        </w:rPr>
        <w:t>/</w:t>
      </w:r>
      <w:r w:rsidR="008C77CD" w:rsidRPr="002B65F7">
        <w:t>004</w:t>
      </w:r>
    </w:p>
    <w:p w14:paraId="03B58AF6" w14:textId="77777777" w:rsidR="00092F83" w:rsidRPr="002B65F7" w:rsidRDefault="00092F83" w:rsidP="00720113">
      <w:pPr>
        <w:widowControl/>
      </w:pPr>
    </w:p>
    <w:p w14:paraId="03B58AF7" w14:textId="3C3E5F6B" w:rsidR="00092F83" w:rsidRPr="002B65F7" w:rsidRDefault="00092F83" w:rsidP="00720113">
      <w:pPr>
        <w:widowControl/>
      </w:pPr>
    </w:p>
    <w:p w14:paraId="148C0F90"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13.</w:t>
      </w:r>
      <w:r w:rsidRPr="002B65F7">
        <w:rPr>
          <w:b/>
          <w:bCs/>
        </w:rPr>
        <w:tab/>
        <w:t>NUMÉRO DU LOT</w:t>
      </w:r>
    </w:p>
    <w:p w14:paraId="03B58AF8" w14:textId="77777777" w:rsidR="00092F83" w:rsidRPr="002B65F7" w:rsidRDefault="00092F83" w:rsidP="00720113">
      <w:pPr>
        <w:keepNext/>
        <w:widowControl/>
      </w:pPr>
    </w:p>
    <w:p w14:paraId="03B58AF9" w14:textId="77777777" w:rsidR="00092F83" w:rsidRPr="002B65F7" w:rsidRDefault="00C31740" w:rsidP="00720113">
      <w:pPr>
        <w:widowControl/>
      </w:pPr>
      <w:r w:rsidRPr="002B65F7">
        <w:rPr>
          <w:spacing w:val="-5"/>
        </w:rPr>
        <w:t>Lot</w:t>
      </w:r>
    </w:p>
    <w:p w14:paraId="03B58AFA" w14:textId="77777777" w:rsidR="00092F83" w:rsidRPr="002B65F7" w:rsidRDefault="00092F83" w:rsidP="00720113">
      <w:pPr>
        <w:widowControl/>
      </w:pPr>
    </w:p>
    <w:p w14:paraId="03B58AFB" w14:textId="44796483" w:rsidR="00092F83" w:rsidRPr="002B65F7" w:rsidRDefault="00092F83" w:rsidP="00720113">
      <w:pPr>
        <w:widowControl/>
      </w:pPr>
    </w:p>
    <w:p w14:paraId="3A5AFA59"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14.</w:t>
      </w:r>
      <w:r w:rsidRPr="002B65F7">
        <w:rPr>
          <w:b/>
          <w:bCs/>
        </w:rPr>
        <w:tab/>
        <w:t>CONDITIONS DE PRESCRIPTION ET DE DÉLIVRANCE</w:t>
      </w:r>
    </w:p>
    <w:p w14:paraId="03B58AFC" w14:textId="77777777" w:rsidR="00092F83" w:rsidRPr="002B65F7" w:rsidRDefault="00092F83" w:rsidP="00720113">
      <w:pPr>
        <w:pStyle w:val="BodyText"/>
        <w:keepNext/>
        <w:widowControl/>
      </w:pPr>
    </w:p>
    <w:p w14:paraId="03B58AFE" w14:textId="0E813099" w:rsidR="00092F83" w:rsidRPr="002B65F7" w:rsidRDefault="00092F83" w:rsidP="00720113">
      <w:pPr>
        <w:pStyle w:val="BodyText"/>
        <w:widowControl/>
      </w:pPr>
    </w:p>
    <w:p w14:paraId="58BA2A7F"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2B65F7">
        <w:rPr>
          <w:b/>
          <w:spacing w:val="-5"/>
        </w:rPr>
        <w:t>15.</w:t>
      </w:r>
      <w:r w:rsidRPr="002B65F7">
        <w:rPr>
          <w:b/>
        </w:rPr>
        <w:tab/>
      </w:r>
      <w:r w:rsidRPr="002B65F7">
        <w:rPr>
          <w:b/>
          <w:bCs/>
        </w:rPr>
        <w:t>INDICATIONS</w:t>
      </w:r>
      <w:r w:rsidRPr="002B65F7">
        <w:rPr>
          <w:b/>
          <w:spacing w:val="-11"/>
        </w:rPr>
        <w:t xml:space="preserve"> </w:t>
      </w:r>
      <w:r w:rsidRPr="002B65F7">
        <w:rPr>
          <w:b/>
          <w:spacing w:val="-2"/>
        </w:rPr>
        <w:t>D’UTILISATION</w:t>
      </w:r>
    </w:p>
    <w:p w14:paraId="03B58AFF" w14:textId="77777777" w:rsidR="00092F83" w:rsidRPr="002B65F7" w:rsidRDefault="00092F83" w:rsidP="00720113">
      <w:pPr>
        <w:keepNext/>
        <w:widowControl/>
      </w:pPr>
    </w:p>
    <w:p w14:paraId="03B58B00" w14:textId="77777777" w:rsidR="00092F83" w:rsidRPr="002B65F7" w:rsidRDefault="00092F83" w:rsidP="00720113">
      <w:pPr>
        <w:widowControl/>
      </w:pPr>
    </w:p>
    <w:p w14:paraId="18E66783"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2B65F7">
        <w:rPr>
          <w:b/>
          <w:spacing w:val="-5"/>
        </w:rPr>
        <w:t>16.</w:t>
      </w:r>
      <w:r w:rsidRPr="002B65F7">
        <w:rPr>
          <w:b/>
        </w:rPr>
        <w:tab/>
      </w:r>
      <w:r w:rsidRPr="002B65F7">
        <w:rPr>
          <w:b/>
          <w:bCs/>
        </w:rPr>
        <w:t>INFORMATIONS</w:t>
      </w:r>
      <w:r w:rsidRPr="002B65F7">
        <w:rPr>
          <w:b/>
          <w:spacing w:val="-9"/>
        </w:rPr>
        <w:t xml:space="preserve"> </w:t>
      </w:r>
      <w:r w:rsidRPr="002B65F7">
        <w:rPr>
          <w:b/>
        </w:rPr>
        <w:t>EN</w:t>
      </w:r>
      <w:r w:rsidRPr="002B65F7">
        <w:rPr>
          <w:b/>
          <w:spacing w:val="-7"/>
        </w:rPr>
        <w:t xml:space="preserve"> </w:t>
      </w:r>
      <w:r w:rsidRPr="002B65F7">
        <w:rPr>
          <w:b/>
          <w:spacing w:val="-2"/>
        </w:rPr>
        <w:t>BRAILLE</w:t>
      </w:r>
    </w:p>
    <w:p w14:paraId="03B58B01" w14:textId="7048F145" w:rsidR="00092F83" w:rsidRPr="002B65F7" w:rsidRDefault="00092F83" w:rsidP="00720113">
      <w:pPr>
        <w:keepNext/>
        <w:widowControl/>
      </w:pPr>
    </w:p>
    <w:p w14:paraId="03B58B03" w14:textId="77777777" w:rsidR="00092F83" w:rsidRPr="002B65F7" w:rsidRDefault="00C31740" w:rsidP="00720113">
      <w:pPr>
        <w:widowControl/>
      </w:pPr>
      <w:r>
        <w:rPr>
          <w:color w:val="000000"/>
          <w:highlight w:val="lightGray"/>
        </w:rPr>
        <w:t>Justification</w:t>
      </w:r>
      <w:r>
        <w:rPr>
          <w:color w:val="000000"/>
          <w:spacing w:val="-6"/>
          <w:highlight w:val="lightGray"/>
        </w:rPr>
        <w:t xml:space="preserve"> </w:t>
      </w:r>
      <w:r>
        <w:rPr>
          <w:color w:val="000000"/>
          <w:highlight w:val="lightGray"/>
        </w:rPr>
        <w:t>de</w:t>
      </w:r>
      <w:r>
        <w:rPr>
          <w:color w:val="000000"/>
          <w:spacing w:val="-6"/>
          <w:highlight w:val="lightGray"/>
        </w:rPr>
        <w:t xml:space="preserve"> </w:t>
      </w:r>
      <w:r>
        <w:rPr>
          <w:color w:val="000000"/>
          <w:highlight w:val="lightGray"/>
        </w:rPr>
        <w:t>ne</w:t>
      </w:r>
      <w:r>
        <w:rPr>
          <w:color w:val="000000"/>
          <w:spacing w:val="-6"/>
          <w:highlight w:val="lightGray"/>
        </w:rPr>
        <w:t xml:space="preserve"> </w:t>
      </w:r>
      <w:r>
        <w:rPr>
          <w:color w:val="000000"/>
          <w:highlight w:val="lightGray"/>
        </w:rPr>
        <w:t>pas</w:t>
      </w:r>
      <w:r>
        <w:rPr>
          <w:color w:val="000000"/>
          <w:spacing w:val="-6"/>
          <w:highlight w:val="lightGray"/>
        </w:rPr>
        <w:t xml:space="preserve"> </w:t>
      </w:r>
      <w:r>
        <w:rPr>
          <w:color w:val="000000"/>
          <w:highlight w:val="lightGray"/>
        </w:rPr>
        <w:t>inclure</w:t>
      </w:r>
      <w:r>
        <w:rPr>
          <w:color w:val="000000"/>
          <w:spacing w:val="-6"/>
          <w:highlight w:val="lightGray"/>
        </w:rPr>
        <w:t xml:space="preserve"> </w:t>
      </w:r>
      <w:r>
        <w:rPr>
          <w:color w:val="000000"/>
          <w:highlight w:val="lightGray"/>
        </w:rPr>
        <w:t>l’information</w:t>
      </w:r>
      <w:r>
        <w:rPr>
          <w:color w:val="000000"/>
          <w:spacing w:val="-6"/>
          <w:highlight w:val="lightGray"/>
        </w:rPr>
        <w:t xml:space="preserve"> </w:t>
      </w:r>
      <w:r>
        <w:rPr>
          <w:color w:val="000000"/>
          <w:highlight w:val="lightGray"/>
        </w:rPr>
        <w:t>en</w:t>
      </w:r>
      <w:r>
        <w:rPr>
          <w:color w:val="000000"/>
          <w:spacing w:val="-6"/>
          <w:highlight w:val="lightGray"/>
        </w:rPr>
        <w:t xml:space="preserve"> </w:t>
      </w:r>
      <w:r>
        <w:rPr>
          <w:color w:val="000000"/>
          <w:highlight w:val="lightGray"/>
        </w:rPr>
        <w:t>Braille</w:t>
      </w:r>
      <w:r>
        <w:rPr>
          <w:color w:val="000000"/>
          <w:spacing w:val="-6"/>
          <w:highlight w:val="lightGray"/>
        </w:rPr>
        <w:t xml:space="preserve"> </w:t>
      </w:r>
      <w:r>
        <w:rPr>
          <w:color w:val="000000"/>
          <w:spacing w:val="-2"/>
          <w:highlight w:val="lightGray"/>
        </w:rPr>
        <w:t>acceptée.</w:t>
      </w:r>
    </w:p>
    <w:p w14:paraId="03B58B04" w14:textId="77777777" w:rsidR="00092F83" w:rsidRPr="002B65F7" w:rsidRDefault="00092F83" w:rsidP="00720113">
      <w:pPr>
        <w:widowControl/>
      </w:pPr>
    </w:p>
    <w:p w14:paraId="14F76F60" w14:textId="77777777" w:rsidR="000F418D" w:rsidRPr="002B65F7" w:rsidRDefault="000F418D" w:rsidP="00720113">
      <w:pPr>
        <w:widowControl/>
      </w:pPr>
    </w:p>
    <w:p w14:paraId="5DCF5376"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17.</w:t>
      </w:r>
      <w:r w:rsidRPr="002B65F7">
        <w:rPr>
          <w:b/>
          <w:bCs/>
        </w:rPr>
        <w:tab/>
        <w:t>IDENTIFIANT UNIQUE - CODE-BARRES 2D</w:t>
      </w:r>
    </w:p>
    <w:p w14:paraId="03B58B06" w14:textId="77777777" w:rsidR="00092F83" w:rsidRPr="002B65F7" w:rsidRDefault="00092F83" w:rsidP="00720113">
      <w:pPr>
        <w:keepNext/>
        <w:widowControl/>
      </w:pPr>
    </w:p>
    <w:p w14:paraId="03B58B07" w14:textId="77777777" w:rsidR="00092F83" w:rsidRPr="002B65F7" w:rsidRDefault="00C31740" w:rsidP="00720113">
      <w:pPr>
        <w:widowControl/>
      </w:pPr>
      <w:r>
        <w:rPr>
          <w:color w:val="000000"/>
          <w:highlight w:val="lightGray"/>
        </w:rPr>
        <w:t>code-barres</w:t>
      </w:r>
      <w:r>
        <w:rPr>
          <w:color w:val="000000"/>
          <w:spacing w:val="-8"/>
          <w:highlight w:val="lightGray"/>
        </w:rPr>
        <w:t xml:space="preserve"> </w:t>
      </w:r>
      <w:r>
        <w:rPr>
          <w:color w:val="000000"/>
          <w:highlight w:val="lightGray"/>
        </w:rPr>
        <w:t>2D</w:t>
      </w:r>
      <w:r>
        <w:rPr>
          <w:color w:val="000000"/>
          <w:spacing w:val="-8"/>
          <w:highlight w:val="lightGray"/>
        </w:rPr>
        <w:t xml:space="preserve"> </w:t>
      </w:r>
      <w:r>
        <w:rPr>
          <w:color w:val="000000"/>
          <w:highlight w:val="lightGray"/>
        </w:rPr>
        <w:t>portant</w:t>
      </w:r>
      <w:r>
        <w:rPr>
          <w:color w:val="000000"/>
          <w:spacing w:val="-7"/>
          <w:highlight w:val="lightGray"/>
        </w:rPr>
        <w:t xml:space="preserve"> </w:t>
      </w:r>
      <w:r>
        <w:rPr>
          <w:color w:val="000000"/>
          <w:highlight w:val="lightGray"/>
        </w:rPr>
        <w:t>l'identifiant</w:t>
      </w:r>
      <w:r>
        <w:rPr>
          <w:color w:val="000000"/>
          <w:spacing w:val="-7"/>
          <w:highlight w:val="lightGray"/>
        </w:rPr>
        <w:t xml:space="preserve"> </w:t>
      </w:r>
      <w:r>
        <w:rPr>
          <w:color w:val="000000"/>
          <w:highlight w:val="lightGray"/>
        </w:rPr>
        <w:t>unique</w:t>
      </w:r>
      <w:r>
        <w:rPr>
          <w:color w:val="000000"/>
          <w:spacing w:val="-7"/>
          <w:highlight w:val="lightGray"/>
        </w:rPr>
        <w:t xml:space="preserve"> </w:t>
      </w:r>
      <w:r>
        <w:rPr>
          <w:color w:val="000000"/>
          <w:spacing w:val="-2"/>
          <w:highlight w:val="lightGray"/>
        </w:rPr>
        <w:t>inclus.</w:t>
      </w:r>
    </w:p>
    <w:p w14:paraId="03B58B08" w14:textId="77777777" w:rsidR="00092F83" w:rsidRPr="002B65F7" w:rsidRDefault="00092F83" w:rsidP="00720113">
      <w:pPr>
        <w:widowControl/>
      </w:pPr>
    </w:p>
    <w:p w14:paraId="03B58B09" w14:textId="5772E8FA" w:rsidR="00092F83" w:rsidRPr="002B65F7" w:rsidRDefault="00092F83" w:rsidP="00720113">
      <w:pPr>
        <w:widowControl/>
      </w:pPr>
    </w:p>
    <w:p w14:paraId="1C598FF9" w14:textId="77777777" w:rsidR="00720113" w:rsidRPr="002B65F7" w:rsidRDefault="00720113" w:rsidP="00720113">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2B65F7">
        <w:rPr>
          <w:b/>
          <w:spacing w:val="-5"/>
        </w:rPr>
        <w:t>18.</w:t>
      </w:r>
      <w:r w:rsidRPr="002B65F7">
        <w:rPr>
          <w:b/>
        </w:rPr>
        <w:tab/>
      </w:r>
      <w:r w:rsidRPr="002B65F7">
        <w:rPr>
          <w:b/>
          <w:bCs/>
        </w:rPr>
        <w:t>IDENTIFIANT</w:t>
      </w:r>
      <w:r w:rsidRPr="002B65F7">
        <w:rPr>
          <w:b/>
          <w:spacing w:val="-8"/>
        </w:rPr>
        <w:t xml:space="preserve"> </w:t>
      </w:r>
      <w:r w:rsidRPr="002B65F7">
        <w:rPr>
          <w:b/>
        </w:rPr>
        <w:t>UNIQUE</w:t>
      </w:r>
      <w:r w:rsidRPr="002B65F7">
        <w:rPr>
          <w:b/>
          <w:spacing w:val="-6"/>
        </w:rPr>
        <w:t xml:space="preserve"> </w:t>
      </w:r>
      <w:r w:rsidRPr="002B65F7">
        <w:rPr>
          <w:b/>
        </w:rPr>
        <w:t>-</w:t>
      </w:r>
      <w:r w:rsidRPr="002B65F7">
        <w:rPr>
          <w:b/>
          <w:spacing w:val="-3"/>
        </w:rPr>
        <w:t xml:space="preserve"> </w:t>
      </w:r>
      <w:r w:rsidRPr="002B65F7">
        <w:rPr>
          <w:b/>
        </w:rPr>
        <w:t>DONNÉES</w:t>
      </w:r>
      <w:r w:rsidRPr="002B65F7">
        <w:rPr>
          <w:b/>
          <w:spacing w:val="-6"/>
        </w:rPr>
        <w:t xml:space="preserve"> </w:t>
      </w:r>
      <w:r w:rsidRPr="002B65F7">
        <w:rPr>
          <w:b/>
        </w:rPr>
        <w:t>LISIBLES</w:t>
      </w:r>
      <w:r w:rsidRPr="002B65F7">
        <w:rPr>
          <w:b/>
          <w:spacing w:val="-5"/>
        </w:rPr>
        <w:t xml:space="preserve"> </w:t>
      </w:r>
      <w:r w:rsidRPr="002B65F7">
        <w:rPr>
          <w:b/>
        </w:rPr>
        <w:t>PAR</w:t>
      </w:r>
      <w:r w:rsidRPr="002B65F7">
        <w:rPr>
          <w:b/>
          <w:spacing w:val="-6"/>
        </w:rPr>
        <w:t xml:space="preserve"> </w:t>
      </w:r>
      <w:r w:rsidRPr="002B65F7">
        <w:rPr>
          <w:b/>
        </w:rPr>
        <w:t>LES</w:t>
      </w:r>
      <w:r w:rsidRPr="002B65F7">
        <w:rPr>
          <w:b/>
          <w:spacing w:val="-5"/>
        </w:rPr>
        <w:t xml:space="preserve"> </w:t>
      </w:r>
      <w:r w:rsidRPr="002B65F7">
        <w:rPr>
          <w:b/>
          <w:spacing w:val="-2"/>
        </w:rPr>
        <w:t>HUMAINS</w:t>
      </w:r>
    </w:p>
    <w:p w14:paraId="03B58B0A" w14:textId="77777777" w:rsidR="00092F83" w:rsidRPr="002B65F7" w:rsidRDefault="00092F83" w:rsidP="00720113">
      <w:pPr>
        <w:keepNext/>
        <w:widowControl/>
      </w:pPr>
    </w:p>
    <w:p w14:paraId="06842EFA" w14:textId="26FC176C" w:rsidR="00B41E23" w:rsidRPr="002B65F7" w:rsidRDefault="00C31740" w:rsidP="00720113">
      <w:pPr>
        <w:widowControl/>
      </w:pPr>
      <w:r w:rsidRPr="002B65F7">
        <w:t xml:space="preserve">PC </w:t>
      </w:r>
    </w:p>
    <w:p w14:paraId="168FE287" w14:textId="301B5F94" w:rsidR="00B41E23" w:rsidRPr="002B65F7" w:rsidRDefault="00C31740" w:rsidP="00720113">
      <w:pPr>
        <w:widowControl/>
      </w:pPr>
      <w:r w:rsidRPr="002B65F7">
        <w:t xml:space="preserve">SN </w:t>
      </w:r>
    </w:p>
    <w:p w14:paraId="03B58B0B" w14:textId="252E8656" w:rsidR="00092F83" w:rsidRPr="002B65F7" w:rsidRDefault="00C31740" w:rsidP="00720113">
      <w:pPr>
        <w:widowControl/>
      </w:pPr>
      <w:r>
        <w:rPr>
          <w:highlight w:val="lightGray"/>
        </w:rPr>
        <w:t>NN</w:t>
      </w:r>
      <w:r w:rsidRPr="002B65F7">
        <w:t xml:space="preserve"> </w:t>
      </w:r>
    </w:p>
    <w:p w14:paraId="7002A0A6" w14:textId="31850409" w:rsidR="007A1EC3" w:rsidRPr="002B65F7" w:rsidRDefault="000F418D" w:rsidP="004B12BC">
      <w:pPr>
        <w:keepNext/>
        <w:widowControl/>
        <w:pBdr>
          <w:top w:val="single" w:sz="4" w:space="1" w:color="auto"/>
          <w:left w:val="single" w:sz="4" w:space="4" w:color="auto"/>
          <w:bottom w:val="single" w:sz="4" w:space="1" w:color="auto"/>
          <w:right w:val="single" w:sz="4" w:space="4" w:color="auto"/>
        </w:pBdr>
        <w:rPr>
          <w:b/>
          <w:bCs/>
        </w:rPr>
      </w:pPr>
      <w:r w:rsidRPr="002B65F7">
        <w:br w:type="page"/>
      </w:r>
      <w:r w:rsidR="007A1EC3" w:rsidRPr="002B65F7">
        <w:rPr>
          <w:b/>
          <w:bCs/>
        </w:rPr>
        <w:lastRenderedPageBreak/>
        <w:t>MENTIONS MINIMALES DEVANT FIGURER SUR LES PETITS CONDITIONNEMENTS PRIMAIRES</w:t>
      </w:r>
    </w:p>
    <w:p w14:paraId="2FD9EF93"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bCs/>
        </w:rPr>
      </w:pPr>
    </w:p>
    <w:p w14:paraId="56C8AA33" w14:textId="524CFB38"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rPr>
      </w:pPr>
      <w:r w:rsidRPr="002B65F7">
        <w:rPr>
          <w:b/>
          <w:bCs/>
        </w:rPr>
        <w:t>ETIQUETTE FLACON</w:t>
      </w:r>
    </w:p>
    <w:p w14:paraId="13FFC7D0" w14:textId="77777777" w:rsidR="00092F83" w:rsidRPr="002B65F7" w:rsidRDefault="00092F83" w:rsidP="007A1EC3">
      <w:pPr>
        <w:keepNext/>
        <w:widowControl/>
      </w:pPr>
    </w:p>
    <w:p w14:paraId="03B58B0E" w14:textId="4B4F7AEC" w:rsidR="00092F83" w:rsidRPr="002B65F7" w:rsidRDefault="00092F83" w:rsidP="007A1EC3">
      <w:pPr>
        <w:widowControl/>
      </w:pPr>
    </w:p>
    <w:p w14:paraId="5F19919A"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spacing w:val="-5"/>
        </w:rPr>
        <w:t>1.</w:t>
      </w:r>
      <w:r w:rsidRPr="002B65F7">
        <w:rPr>
          <w:b/>
          <w:bCs/>
        </w:rPr>
        <w:tab/>
        <w:t>DÉNOMINATION</w:t>
      </w:r>
      <w:r w:rsidRPr="002B65F7">
        <w:rPr>
          <w:b/>
          <w:bCs/>
          <w:spacing w:val="-9"/>
        </w:rPr>
        <w:t xml:space="preserve"> </w:t>
      </w:r>
      <w:r w:rsidRPr="002B65F7">
        <w:rPr>
          <w:b/>
          <w:bCs/>
        </w:rPr>
        <w:t>DU</w:t>
      </w:r>
      <w:r w:rsidRPr="002B65F7">
        <w:rPr>
          <w:b/>
          <w:bCs/>
          <w:spacing w:val="-7"/>
        </w:rPr>
        <w:t xml:space="preserve"> </w:t>
      </w:r>
      <w:r w:rsidRPr="002B65F7">
        <w:rPr>
          <w:b/>
          <w:bCs/>
        </w:rPr>
        <w:t>MÉDICAMENT</w:t>
      </w:r>
      <w:r w:rsidRPr="002B65F7">
        <w:rPr>
          <w:b/>
          <w:bCs/>
          <w:spacing w:val="-5"/>
        </w:rPr>
        <w:t xml:space="preserve"> </w:t>
      </w:r>
      <w:r w:rsidRPr="002B65F7">
        <w:rPr>
          <w:b/>
          <w:bCs/>
        </w:rPr>
        <w:t>ET</w:t>
      </w:r>
      <w:r w:rsidRPr="002B65F7">
        <w:rPr>
          <w:b/>
          <w:bCs/>
          <w:spacing w:val="-7"/>
        </w:rPr>
        <w:t xml:space="preserve"> </w:t>
      </w:r>
      <w:r w:rsidRPr="002B65F7">
        <w:rPr>
          <w:b/>
          <w:bCs/>
        </w:rPr>
        <w:t>VOIE(S)</w:t>
      </w:r>
      <w:r w:rsidRPr="002B65F7">
        <w:rPr>
          <w:b/>
          <w:bCs/>
          <w:spacing w:val="-6"/>
        </w:rPr>
        <w:t xml:space="preserve"> </w:t>
      </w:r>
      <w:r w:rsidRPr="002B65F7">
        <w:rPr>
          <w:b/>
          <w:bCs/>
          <w:spacing w:val="-2"/>
        </w:rPr>
        <w:t>D’ADMINISTRATION</w:t>
      </w:r>
    </w:p>
    <w:p w14:paraId="03B58B0F" w14:textId="77777777" w:rsidR="00092F83" w:rsidRPr="002B65F7" w:rsidRDefault="00092F83" w:rsidP="007A1EC3">
      <w:pPr>
        <w:keepNext/>
        <w:widowControl/>
      </w:pPr>
    </w:p>
    <w:p w14:paraId="56BBA34E" w14:textId="532105D7" w:rsidR="00B41E23" w:rsidRPr="002B65F7" w:rsidRDefault="005816E3" w:rsidP="007A1EC3">
      <w:pPr>
        <w:widowControl/>
      </w:pPr>
      <w:r w:rsidRPr="002B65F7">
        <w:t>WEZENLA</w:t>
      </w:r>
      <w:r w:rsidR="00C31740" w:rsidRPr="002B65F7">
        <w:rPr>
          <w:spacing w:val="-5"/>
        </w:rPr>
        <w:t xml:space="preserve"> </w:t>
      </w:r>
      <w:r w:rsidR="00C31740" w:rsidRPr="002B65F7">
        <w:t>130</w:t>
      </w:r>
      <w:r w:rsidR="001C229A" w:rsidRPr="002B65F7">
        <w:rPr>
          <w:spacing w:val="-4"/>
        </w:rPr>
        <w:t> </w:t>
      </w:r>
      <w:r w:rsidR="00C31740" w:rsidRPr="002B65F7">
        <w:t>mg</w:t>
      </w:r>
      <w:r w:rsidR="00C31740" w:rsidRPr="002B65F7">
        <w:rPr>
          <w:spacing w:val="-5"/>
        </w:rPr>
        <w:t xml:space="preserve"> </w:t>
      </w:r>
      <w:r w:rsidR="00C31740" w:rsidRPr="002B65F7">
        <w:t>solution</w:t>
      </w:r>
      <w:r w:rsidR="00C31740" w:rsidRPr="002B65F7">
        <w:rPr>
          <w:spacing w:val="-5"/>
        </w:rPr>
        <w:t xml:space="preserve"> </w:t>
      </w:r>
      <w:r w:rsidR="00C31740" w:rsidRPr="002B65F7">
        <w:t>à</w:t>
      </w:r>
      <w:r w:rsidR="00C31740" w:rsidRPr="002B65F7">
        <w:rPr>
          <w:spacing w:val="-5"/>
        </w:rPr>
        <w:t xml:space="preserve"> </w:t>
      </w:r>
      <w:r w:rsidR="00C31740" w:rsidRPr="002B65F7">
        <w:t>diluer</w:t>
      </w:r>
      <w:r w:rsidR="00C31740" w:rsidRPr="002B65F7">
        <w:rPr>
          <w:spacing w:val="-5"/>
        </w:rPr>
        <w:t xml:space="preserve"> </w:t>
      </w:r>
      <w:r w:rsidR="00C31740" w:rsidRPr="002B65F7">
        <w:t>pour</w:t>
      </w:r>
      <w:r w:rsidR="00C31740" w:rsidRPr="002B65F7">
        <w:rPr>
          <w:spacing w:val="-5"/>
        </w:rPr>
        <w:t xml:space="preserve"> </w:t>
      </w:r>
      <w:r w:rsidR="00C31740" w:rsidRPr="002B65F7">
        <w:t>perfusion</w:t>
      </w:r>
    </w:p>
    <w:p w14:paraId="03B58B10" w14:textId="17303725" w:rsidR="00092F83" w:rsidRPr="002B65F7" w:rsidRDefault="0071390F" w:rsidP="007A1EC3">
      <w:pPr>
        <w:widowControl/>
      </w:pPr>
      <w:r w:rsidRPr="002B65F7">
        <w:rPr>
          <w:spacing w:val="-2"/>
        </w:rPr>
        <w:t>ustekinumab</w:t>
      </w:r>
    </w:p>
    <w:p w14:paraId="03B58B11" w14:textId="77777777" w:rsidR="00092F83" w:rsidRPr="002B65F7" w:rsidRDefault="00092F83" w:rsidP="007A1EC3">
      <w:pPr>
        <w:widowControl/>
      </w:pPr>
    </w:p>
    <w:p w14:paraId="03B58B12" w14:textId="14A4FA40" w:rsidR="00092F83" w:rsidRPr="002B65F7" w:rsidRDefault="00092F83" w:rsidP="007A1EC3">
      <w:pPr>
        <w:widowControl/>
      </w:pPr>
    </w:p>
    <w:p w14:paraId="1CE8993D"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2.</w:t>
      </w:r>
      <w:r w:rsidRPr="002B65F7">
        <w:rPr>
          <w:b/>
          <w:bCs/>
        </w:rPr>
        <w:tab/>
        <w:t>MODE D’ADMINISTRATION</w:t>
      </w:r>
    </w:p>
    <w:p w14:paraId="03B58B13" w14:textId="77777777" w:rsidR="00092F83" w:rsidRPr="002B65F7" w:rsidRDefault="00092F83" w:rsidP="007A1EC3">
      <w:pPr>
        <w:keepNext/>
        <w:widowControl/>
      </w:pPr>
    </w:p>
    <w:p w14:paraId="21729831" w14:textId="77777777" w:rsidR="00B41E23" w:rsidRPr="002B65F7" w:rsidRDefault="00C31740" w:rsidP="007A1EC3">
      <w:pPr>
        <w:widowControl/>
      </w:pPr>
      <w:r w:rsidRPr="002B65F7">
        <w:t>Pour</w:t>
      </w:r>
      <w:r w:rsidRPr="002B65F7">
        <w:rPr>
          <w:spacing w:val="-9"/>
        </w:rPr>
        <w:t xml:space="preserve"> </w:t>
      </w:r>
      <w:r w:rsidRPr="002B65F7">
        <w:t>administration</w:t>
      </w:r>
      <w:r w:rsidRPr="002B65F7">
        <w:rPr>
          <w:spacing w:val="-9"/>
        </w:rPr>
        <w:t xml:space="preserve"> </w:t>
      </w:r>
      <w:r w:rsidRPr="002B65F7">
        <w:t>IV</w:t>
      </w:r>
      <w:r w:rsidRPr="002B65F7">
        <w:rPr>
          <w:spacing w:val="-9"/>
        </w:rPr>
        <w:t xml:space="preserve"> </w:t>
      </w:r>
      <w:r w:rsidRPr="002B65F7">
        <w:t>après</w:t>
      </w:r>
      <w:r w:rsidRPr="002B65F7">
        <w:rPr>
          <w:spacing w:val="-9"/>
        </w:rPr>
        <w:t xml:space="preserve"> </w:t>
      </w:r>
      <w:r w:rsidRPr="002B65F7">
        <w:t>dilution.</w:t>
      </w:r>
    </w:p>
    <w:p w14:paraId="03B58B14" w14:textId="2596B38B" w:rsidR="00092F83" w:rsidRPr="002B65F7" w:rsidRDefault="00C31740" w:rsidP="007A1EC3">
      <w:pPr>
        <w:widowControl/>
      </w:pPr>
      <w:r w:rsidRPr="002B65F7">
        <w:t>Ne pas agiter.</w:t>
      </w:r>
    </w:p>
    <w:p w14:paraId="03B58B15" w14:textId="77777777" w:rsidR="00092F83" w:rsidRPr="002B65F7" w:rsidRDefault="00092F83" w:rsidP="007A1EC3">
      <w:pPr>
        <w:widowControl/>
      </w:pPr>
    </w:p>
    <w:p w14:paraId="03B58B16" w14:textId="5E2CEE7E" w:rsidR="00092F83" w:rsidRPr="002B65F7" w:rsidRDefault="00092F83" w:rsidP="007A1EC3">
      <w:pPr>
        <w:pStyle w:val="BodyText"/>
        <w:widowControl/>
      </w:pPr>
    </w:p>
    <w:p w14:paraId="584826ED"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3.</w:t>
      </w:r>
      <w:r w:rsidRPr="002B65F7">
        <w:rPr>
          <w:b/>
          <w:bCs/>
        </w:rPr>
        <w:tab/>
        <w:t>DATE DE PÉREMPTION</w:t>
      </w:r>
    </w:p>
    <w:p w14:paraId="03B58B17" w14:textId="77777777" w:rsidR="00092F83" w:rsidRPr="002B65F7" w:rsidRDefault="00092F83" w:rsidP="007A1EC3">
      <w:pPr>
        <w:keepNext/>
        <w:widowControl/>
      </w:pPr>
    </w:p>
    <w:p w14:paraId="03B58B18" w14:textId="77777777" w:rsidR="00092F83" w:rsidRPr="002B65F7" w:rsidRDefault="00C31740" w:rsidP="007A1EC3">
      <w:pPr>
        <w:widowControl/>
      </w:pPr>
      <w:r w:rsidRPr="002B65F7">
        <w:rPr>
          <w:spacing w:val="-5"/>
        </w:rPr>
        <w:t>EXP</w:t>
      </w:r>
    </w:p>
    <w:p w14:paraId="03B58B19" w14:textId="77777777" w:rsidR="00092F83" w:rsidRPr="002B65F7" w:rsidRDefault="00092F83" w:rsidP="007A1EC3">
      <w:pPr>
        <w:widowControl/>
      </w:pPr>
    </w:p>
    <w:p w14:paraId="03B58B1A" w14:textId="3619E025" w:rsidR="00092F83" w:rsidRPr="002B65F7" w:rsidRDefault="00092F83" w:rsidP="007A1EC3">
      <w:pPr>
        <w:widowControl/>
      </w:pPr>
    </w:p>
    <w:p w14:paraId="2030F4DB"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4.</w:t>
      </w:r>
      <w:r w:rsidRPr="002B65F7">
        <w:rPr>
          <w:b/>
          <w:bCs/>
        </w:rPr>
        <w:tab/>
        <w:t>NUMÉRO DU LOT</w:t>
      </w:r>
    </w:p>
    <w:p w14:paraId="03B58B1B" w14:textId="77777777" w:rsidR="00092F83" w:rsidRPr="002B65F7" w:rsidRDefault="00092F83" w:rsidP="007A1EC3">
      <w:pPr>
        <w:pStyle w:val="BodyText"/>
        <w:keepNext/>
        <w:widowControl/>
      </w:pPr>
    </w:p>
    <w:p w14:paraId="03B58B1C" w14:textId="77777777" w:rsidR="00092F83" w:rsidRPr="002B65F7" w:rsidRDefault="00C31740" w:rsidP="007A1EC3">
      <w:pPr>
        <w:widowControl/>
      </w:pPr>
      <w:r w:rsidRPr="002B65F7">
        <w:t>Lot</w:t>
      </w:r>
    </w:p>
    <w:p w14:paraId="03B58B1D" w14:textId="77777777" w:rsidR="00092F83" w:rsidRDefault="00092F83" w:rsidP="007A1EC3">
      <w:pPr>
        <w:widowControl/>
      </w:pPr>
    </w:p>
    <w:p w14:paraId="2D4E28FF" w14:textId="77777777" w:rsidR="00967DE3" w:rsidRPr="002B65F7" w:rsidRDefault="00967DE3" w:rsidP="007A1EC3">
      <w:pPr>
        <w:widowControl/>
      </w:pPr>
    </w:p>
    <w:p w14:paraId="48409A7F"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5.</w:t>
      </w:r>
      <w:r w:rsidRPr="002B65F7">
        <w:rPr>
          <w:b/>
          <w:bCs/>
        </w:rPr>
        <w:tab/>
        <w:t>CONTENU EN POIDS, VOLUME OU UNITÉ</w:t>
      </w:r>
    </w:p>
    <w:p w14:paraId="03B58B1F" w14:textId="77777777" w:rsidR="00092F83" w:rsidRPr="002B65F7" w:rsidRDefault="00092F83" w:rsidP="007A1EC3">
      <w:pPr>
        <w:widowControl/>
      </w:pPr>
    </w:p>
    <w:p w14:paraId="03B58B20" w14:textId="75FB2D41" w:rsidR="00092F83" w:rsidRPr="002B65F7" w:rsidRDefault="00C31740" w:rsidP="007A1EC3">
      <w:pPr>
        <w:widowControl/>
      </w:pPr>
      <w:r w:rsidRPr="002B65F7">
        <w:t>130</w:t>
      </w:r>
      <w:r w:rsidR="00C06F30" w:rsidRPr="002B65F7">
        <w:rPr>
          <w:spacing w:val="-2"/>
        </w:rPr>
        <w:t> </w:t>
      </w:r>
      <w:r w:rsidRPr="002B65F7">
        <w:t>mg/26</w:t>
      </w:r>
      <w:r w:rsidR="00C06F30" w:rsidRPr="002B65F7">
        <w:rPr>
          <w:spacing w:val="-2"/>
        </w:rPr>
        <w:t> </w:t>
      </w:r>
      <w:r w:rsidRPr="002B65F7">
        <w:rPr>
          <w:spacing w:val="-5"/>
        </w:rPr>
        <w:t>mL</w:t>
      </w:r>
    </w:p>
    <w:p w14:paraId="03B58B21" w14:textId="77777777" w:rsidR="00092F83" w:rsidRPr="002B65F7" w:rsidRDefault="00092F83" w:rsidP="007A1EC3">
      <w:pPr>
        <w:widowControl/>
      </w:pPr>
    </w:p>
    <w:p w14:paraId="1DE404DE" w14:textId="77777777" w:rsidR="00C06F30" w:rsidRPr="002B65F7" w:rsidRDefault="00C06F30" w:rsidP="007A1EC3">
      <w:pPr>
        <w:widowControl/>
      </w:pPr>
    </w:p>
    <w:p w14:paraId="4388BED1"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6.</w:t>
      </w:r>
      <w:r w:rsidRPr="002B65F7">
        <w:rPr>
          <w:b/>
          <w:bCs/>
        </w:rPr>
        <w:tab/>
        <w:t>AUTRE</w:t>
      </w:r>
    </w:p>
    <w:p w14:paraId="27EB0CE0" w14:textId="77777777" w:rsidR="00C06F30" w:rsidRPr="002B65F7" w:rsidRDefault="00C06F30" w:rsidP="007A1EC3">
      <w:pPr>
        <w:pStyle w:val="BodyText"/>
        <w:keepNext/>
        <w:widowControl/>
      </w:pPr>
    </w:p>
    <w:p w14:paraId="03B58B22" w14:textId="3246465C" w:rsidR="00092F83" w:rsidRPr="002B65F7" w:rsidRDefault="00092F83" w:rsidP="007A1EC3">
      <w:pPr>
        <w:pStyle w:val="BodyText"/>
        <w:widowControl/>
      </w:pPr>
    </w:p>
    <w:p w14:paraId="48F212CE" w14:textId="7777AADC" w:rsidR="007A1EC3" w:rsidRPr="002B65F7" w:rsidRDefault="00C06F30" w:rsidP="004B12BC">
      <w:pPr>
        <w:keepNext/>
        <w:widowControl/>
        <w:pBdr>
          <w:top w:val="single" w:sz="4" w:space="1" w:color="auto"/>
          <w:left w:val="single" w:sz="4" w:space="4" w:color="auto"/>
          <w:bottom w:val="single" w:sz="4" w:space="1" w:color="auto"/>
          <w:right w:val="single" w:sz="4" w:space="4" w:color="auto"/>
        </w:pBdr>
        <w:rPr>
          <w:b/>
          <w:bCs/>
        </w:rPr>
      </w:pPr>
      <w:r w:rsidRPr="002B65F7">
        <w:br w:type="page"/>
      </w:r>
      <w:r w:rsidR="007A1EC3" w:rsidRPr="002B65F7">
        <w:rPr>
          <w:b/>
          <w:bCs/>
        </w:rPr>
        <w:lastRenderedPageBreak/>
        <w:t>MENTIONS</w:t>
      </w:r>
      <w:r w:rsidR="007A1EC3" w:rsidRPr="002B65F7">
        <w:rPr>
          <w:b/>
          <w:bCs/>
          <w:spacing w:val="-7"/>
        </w:rPr>
        <w:t xml:space="preserve"> </w:t>
      </w:r>
      <w:r w:rsidR="007A1EC3" w:rsidRPr="002B65F7">
        <w:rPr>
          <w:b/>
          <w:bCs/>
        </w:rPr>
        <w:t>DEVANT</w:t>
      </w:r>
      <w:r w:rsidR="007A1EC3" w:rsidRPr="002B65F7">
        <w:rPr>
          <w:b/>
          <w:bCs/>
          <w:spacing w:val="-7"/>
        </w:rPr>
        <w:t xml:space="preserve"> </w:t>
      </w:r>
      <w:r w:rsidR="007A1EC3" w:rsidRPr="002B65F7">
        <w:rPr>
          <w:b/>
          <w:bCs/>
        </w:rPr>
        <w:t>FIGURER</w:t>
      </w:r>
      <w:r w:rsidR="007A1EC3" w:rsidRPr="002B65F7">
        <w:rPr>
          <w:b/>
          <w:bCs/>
          <w:spacing w:val="-7"/>
        </w:rPr>
        <w:t xml:space="preserve"> </w:t>
      </w:r>
      <w:r w:rsidR="007A1EC3" w:rsidRPr="002B65F7">
        <w:rPr>
          <w:b/>
          <w:bCs/>
        </w:rPr>
        <w:t>SUR</w:t>
      </w:r>
      <w:r w:rsidR="007A1EC3" w:rsidRPr="002B65F7">
        <w:rPr>
          <w:b/>
          <w:bCs/>
          <w:spacing w:val="-7"/>
        </w:rPr>
        <w:t xml:space="preserve"> </w:t>
      </w:r>
      <w:r w:rsidR="007A1EC3" w:rsidRPr="002B65F7">
        <w:rPr>
          <w:b/>
          <w:bCs/>
        </w:rPr>
        <w:t>L’EMBALLAGE</w:t>
      </w:r>
      <w:r w:rsidR="007A1EC3" w:rsidRPr="002B65F7">
        <w:rPr>
          <w:b/>
          <w:bCs/>
          <w:spacing w:val="-7"/>
        </w:rPr>
        <w:t xml:space="preserve"> </w:t>
      </w:r>
      <w:r w:rsidR="007A1EC3" w:rsidRPr="002B65F7">
        <w:rPr>
          <w:b/>
          <w:bCs/>
          <w:spacing w:val="-2"/>
        </w:rPr>
        <w:t>EXTÉRIEUR</w:t>
      </w:r>
    </w:p>
    <w:p w14:paraId="09C85017"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bCs/>
        </w:rPr>
      </w:pPr>
    </w:p>
    <w:p w14:paraId="64B5415E" w14:textId="1184BB74"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bCs/>
        </w:rPr>
      </w:pPr>
      <w:r w:rsidRPr="002B65F7">
        <w:rPr>
          <w:b/>
          <w:bCs/>
        </w:rPr>
        <w:t>CARTON</w:t>
      </w:r>
      <w:r w:rsidRPr="002B65F7">
        <w:rPr>
          <w:b/>
          <w:bCs/>
          <w:spacing w:val="-5"/>
        </w:rPr>
        <w:t xml:space="preserve"> EXTÉRIEUR </w:t>
      </w:r>
      <w:r w:rsidRPr="002B65F7">
        <w:rPr>
          <w:b/>
          <w:bCs/>
        </w:rPr>
        <w:t>FLACON</w:t>
      </w:r>
    </w:p>
    <w:p w14:paraId="26F66972" w14:textId="77777777" w:rsidR="00092F83" w:rsidRPr="002B65F7" w:rsidRDefault="00092F83" w:rsidP="007A1EC3">
      <w:pPr>
        <w:keepNext/>
        <w:widowControl/>
      </w:pPr>
    </w:p>
    <w:p w14:paraId="03B58B25" w14:textId="534AE239" w:rsidR="00092F83" w:rsidRPr="002B65F7" w:rsidRDefault="00092F83" w:rsidP="007A1EC3">
      <w:pPr>
        <w:widowControl/>
      </w:pPr>
    </w:p>
    <w:p w14:paraId="2A8DD2C3"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w:t>
      </w:r>
      <w:r w:rsidRPr="002B65F7">
        <w:rPr>
          <w:b/>
          <w:bCs/>
        </w:rPr>
        <w:tab/>
        <w:t>DÉNOMINATION DU MÉDICAMENT</w:t>
      </w:r>
    </w:p>
    <w:p w14:paraId="03B58B26" w14:textId="77777777" w:rsidR="00092F83" w:rsidRPr="002B65F7" w:rsidRDefault="00092F83" w:rsidP="007A1EC3">
      <w:pPr>
        <w:keepNext/>
        <w:widowControl/>
      </w:pPr>
    </w:p>
    <w:p w14:paraId="6948B15E" w14:textId="32C623EF" w:rsidR="00B41E23" w:rsidRPr="002B65F7" w:rsidRDefault="005816E3" w:rsidP="007A1EC3">
      <w:pPr>
        <w:widowControl/>
      </w:pPr>
      <w:r w:rsidRPr="002B65F7">
        <w:t>WEZENLA</w:t>
      </w:r>
      <w:r w:rsidR="00C31740" w:rsidRPr="002B65F7">
        <w:rPr>
          <w:spacing w:val="-9"/>
        </w:rPr>
        <w:t xml:space="preserve"> </w:t>
      </w:r>
      <w:r w:rsidR="00C31740" w:rsidRPr="002B65F7">
        <w:t>45</w:t>
      </w:r>
      <w:r w:rsidR="008879F9" w:rsidRPr="002B65F7">
        <w:rPr>
          <w:spacing w:val="-8"/>
        </w:rPr>
        <w:t> </w:t>
      </w:r>
      <w:r w:rsidR="00C31740" w:rsidRPr="002B65F7">
        <w:t>mg</w:t>
      </w:r>
      <w:r w:rsidR="00C31740" w:rsidRPr="002B65F7">
        <w:rPr>
          <w:spacing w:val="-9"/>
        </w:rPr>
        <w:t xml:space="preserve"> </w:t>
      </w:r>
      <w:r w:rsidR="00C31740" w:rsidRPr="002B65F7">
        <w:t>solution</w:t>
      </w:r>
      <w:r w:rsidR="00C31740" w:rsidRPr="002B65F7">
        <w:rPr>
          <w:spacing w:val="-9"/>
        </w:rPr>
        <w:t xml:space="preserve"> </w:t>
      </w:r>
      <w:r w:rsidR="00C31740" w:rsidRPr="002B65F7">
        <w:t>injectable</w:t>
      </w:r>
    </w:p>
    <w:p w14:paraId="03B58B27" w14:textId="123B6706" w:rsidR="00092F83" w:rsidRPr="002B65F7" w:rsidRDefault="0071390F" w:rsidP="007A1EC3">
      <w:pPr>
        <w:widowControl/>
      </w:pPr>
      <w:r w:rsidRPr="002B65F7">
        <w:rPr>
          <w:spacing w:val="-2"/>
        </w:rPr>
        <w:t>ustekinumab</w:t>
      </w:r>
    </w:p>
    <w:p w14:paraId="03B58B28" w14:textId="77777777" w:rsidR="00092F83" w:rsidRPr="002B65F7" w:rsidRDefault="00092F83" w:rsidP="007A1EC3">
      <w:pPr>
        <w:widowControl/>
      </w:pPr>
    </w:p>
    <w:p w14:paraId="03B58B29" w14:textId="27914E06" w:rsidR="00092F83" w:rsidRPr="002B65F7" w:rsidRDefault="00092F83" w:rsidP="007A1EC3">
      <w:pPr>
        <w:widowControl/>
      </w:pPr>
    </w:p>
    <w:p w14:paraId="4C805BB4"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2.</w:t>
      </w:r>
      <w:r w:rsidRPr="002B65F7">
        <w:rPr>
          <w:b/>
          <w:bCs/>
        </w:rPr>
        <w:tab/>
        <w:t>COMPOSITION EN SUBSTANCE(S) ACTIVE(S)</w:t>
      </w:r>
    </w:p>
    <w:p w14:paraId="03B58B2A" w14:textId="77777777" w:rsidR="00092F83" w:rsidRPr="002B65F7" w:rsidRDefault="00092F83" w:rsidP="007A1EC3">
      <w:pPr>
        <w:keepNext/>
        <w:widowControl/>
      </w:pPr>
    </w:p>
    <w:p w14:paraId="03B58B2B" w14:textId="0F2D1831" w:rsidR="00092F83" w:rsidRPr="002B65F7" w:rsidRDefault="00C31740" w:rsidP="007A1EC3">
      <w:pPr>
        <w:widowControl/>
      </w:pPr>
      <w:r w:rsidRPr="002B65F7">
        <w:t>Chaque</w:t>
      </w:r>
      <w:r w:rsidRPr="002B65F7">
        <w:rPr>
          <w:spacing w:val="-8"/>
        </w:rPr>
        <w:t xml:space="preserve"> </w:t>
      </w:r>
      <w:r w:rsidRPr="002B65F7">
        <w:t>flacon</w:t>
      </w:r>
      <w:r w:rsidRPr="002B65F7">
        <w:rPr>
          <w:spacing w:val="-6"/>
        </w:rPr>
        <w:t xml:space="preserve"> </w:t>
      </w:r>
      <w:r w:rsidRPr="002B65F7">
        <w:t>contient</w:t>
      </w:r>
      <w:r w:rsidRPr="002B65F7">
        <w:rPr>
          <w:spacing w:val="-5"/>
        </w:rPr>
        <w:t xml:space="preserve"> </w:t>
      </w:r>
      <w:r w:rsidRPr="002B65F7">
        <w:t>45</w:t>
      </w:r>
      <w:r w:rsidR="00C05616" w:rsidRPr="002B65F7">
        <w:rPr>
          <w:spacing w:val="-7"/>
        </w:rPr>
        <w:t> </w:t>
      </w:r>
      <w:r w:rsidRPr="002B65F7">
        <w:t>mg</w:t>
      </w:r>
      <w:r w:rsidRPr="002B65F7">
        <w:rPr>
          <w:spacing w:val="-6"/>
        </w:rPr>
        <w:t xml:space="preserve"> </w:t>
      </w:r>
      <w:r w:rsidRPr="002B65F7">
        <w:t>d’</w:t>
      </w:r>
      <w:r w:rsidR="0071390F" w:rsidRPr="002B65F7">
        <w:t>ustekinumab</w:t>
      </w:r>
      <w:r w:rsidRPr="002B65F7">
        <w:rPr>
          <w:spacing w:val="-6"/>
        </w:rPr>
        <w:t xml:space="preserve"> </w:t>
      </w:r>
      <w:r w:rsidRPr="002B65F7">
        <w:t>dans</w:t>
      </w:r>
      <w:r w:rsidRPr="002B65F7">
        <w:rPr>
          <w:spacing w:val="-5"/>
        </w:rPr>
        <w:t xml:space="preserve"> </w:t>
      </w:r>
      <w:r w:rsidRPr="002B65F7">
        <w:t>0,5</w:t>
      </w:r>
      <w:r w:rsidR="00C05616" w:rsidRPr="002B65F7">
        <w:rPr>
          <w:spacing w:val="-7"/>
        </w:rPr>
        <w:t> </w:t>
      </w:r>
      <w:r w:rsidRPr="002B65F7">
        <w:rPr>
          <w:spacing w:val="-5"/>
        </w:rPr>
        <w:t>mL.</w:t>
      </w:r>
    </w:p>
    <w:p w14:paraId="03B58B2C" w14:textId="77777777" w:rsidR="00092F83" w:rsidRPr="002B65F7" w:rsidRDefault="00092F83" w:rsidP="007A1EC3">
      <w:pPr>
        <w:widowControl/>
      </w:pPr>
    </w:p>
    <w:p w14:paraId="03B58B2D" w14:textId="035C1E71" w:rsidR="00092F83" w:rsidRPr="002B65F7" w:rsidRDefault="00092F83" w:rsidP="007A1EC3">
      <w:pPr>
        <w:widowControl/>
      </w:pPr>
    </w:p>
    <w:p w14:paraId="39BEAD05"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spacing w:val="-5"/>
        </w:rPr>
        <w:t>3.</w:t>
      </w:r>
      <w:r w:rsidRPr="002B65F7">
        <w:rPr>
          <w:b/>
          <w:bCs/>
        </w:rPr>
        <w:tab/>
        <w:t>LISTE</w:t>
      </w:r>
      <w:r w:rsidRPr="002B65F7">
        <w:rPr>
          <w:b/>
          <w:bCs/>
          <w:spacing w:val="-4"/>
        </w:rPr>
        <w:t xml:space="preserve"> </w:t>
      </w:r>
      <w:r w:rsidRPr="002B65F7">
        <w:rPr>
          <w:b/>
          <w:bCs/>
        </w:rPr>
        <w:t>DES</w:t>
      </w:r>
      <w:r w:rsidRPr="002B65F7">
        <w:rPr>
          <w:b/>
          <w:bCs/>
          <w:spacing w:val="-4"/>
        </w:rPr>
        <w:t xml:space="preserve"> </w:t>
      </w:r>
      <w:r w:rsidRPr="002B65F7">
        <w:rPr>
          <w:b/>
          <w:bCs/>
          <w:spacing w:val="-2"/>
        </w:rPr>
        <w:t>EXCIPIENTS</w:t>
      </w:r>
    </w:p>
    <w:p w14:paraId="03B58B2E" w14:textId="77777777" w:rsidR="00092F83" w:rsidRPr="002B65F7" w:rsidRDefault="00092F83" w:rsidP="007A1EC3">
      <w:pPr>
        <w:keepNext/>
        <w:widowControl/>
      </w:pPr>
    </w:p>
    <w:p w14:paraId="03B58B2F" w14:textId="5CB2D49B" w:rsidR="00092F83" w:rsidRPr="002B65F7" w:rsidRDefault="00C31740" w:rsidP="007A1EC3">
      <w:pPr>
        <w:widowControl/>
      </w:pPr>
      <w:r w:rsidRPr="002B65F7">
        <w:t>Saccharose,</w:t>
      </w:r>
      <w:r w:rsidRPr="002B65F7">
        <w:rPr>
          <w:spacing w:val="-4"/>
        </w:rPr>
        <w:t xml:space="preserve"> </w:t>
      </w:r>
      <w:r w:rsidRPr="002B65F7">
        <w:t>L-histidine,</w:t>
      </w:r>
      <w:r w:rsidRPr="002B65F7">
        <w:rPr>
          <w:spacing w:val="-4"/>
        </w:rPr>
        <w:t xml:space="preserve"> </w:t>
      </w:r>
      <w:r w:rsidRPr="002B65F7">
        <w:t>chlorhydrate</w:t>
      </w:r>
      <w:r w:rsidRPr="002B65F7">
        <w:rPr>
          <w:spacing w:val="-4"/>
        </w:rPr>
        <w:t xml:space="preserve"> </w:t>
      </w:r>
      <w:r w:rsidRPr="002B65F7">
        <w:t>monohydraté</w:t>
      </w:r>
      <w:r w:rsidRPr="002B65F7">
        <w:rPr>
          <w:spacing w:val="-4"/>
        </w:rPr>
        <w:t xml:space="preserve"> </w:t>
      </w:r>
      <w:r w:rsidRPr="002B65F7">
        <w:t>de</w:t>
      </w:r>
      <w:r w:rsidRPr="002B65F7">
        <w:rPr>
          <w:spacing w:val="-4"/>
        </w:rPr>
        <w:t xml:space="preserve"> </w:t>
      </w:r>
      <w:r w:rsidRPr="002B65F7">
        <w:t>L-histidine,</w:t>
      </w:r>
      <w:r w:rsidRPr="002B65F7">
        <w:rPr>
          <w:spacing w:val="-4"/>
        </w:rPr>
        <w:t xml:space="preserve"> </w:t>
      </w:r>
      <w:r w:rsidRPr="002B65F7">
        <w:t>polysorbate</w:t>
      </w:r>
      <w:r w:rsidR="00112127" w:rsidRPr="002B65F7">
        <w:t> </w:t>
      </w:r>
      <w:r w:rsidRPr="002B65F7">
        <w:t>80</w:t>
      </w:r>
      <w:r w:rsidR="00112127">
        <w:t xml:space="preserve"> (E</w:t>
      </w:r>
      <w:r w:rsidR="00112127" w:rsidRPr="002B65F7">
        <w:t> </w:t>
      </w:r>
      <w:r w:rsidR="00112127">
        <w:t>433)</w:t>
      </w:r>
      <w:r w:rsidRPr="002B65F7">
        <w:t>, eau pour préparations injectables.</w:t>
      </w:r>
    </w:p>
    <w:p w14:paraId="03B58B30" w14:textId="77777777" w:rsidR="00092F83" w:rsidRPr="002B65F7" w:rsidRDefault="00092F83" w:rsidP="007A1EC3">
      <w:pPr>
        <w:widowControl/>
      </w:pPr>
    </w:p>
    <w:p w14:paraId="03B58B31" w14:textId="7DCDB449" w:rsidR="00092F83" w:rsidRPr="002B65F7" w:rsidRDefault="00092F83" w:rsidP="007A1EC3">
      <w:pPr>
        <w:widowControl/>
      </w:pPr>
    </w:p>
    <w:p w14:paraId="188FC683"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spacing w:val="-5"/>
        </w:rPr>
        <w:t>4.</w:t>
      </w:r>
      <w:r w:rsidRPr="002B65F7">
        <w:rPr>
          <w:b/>
          <w:bCs/>
        </w:rPr>
        <w:tab/>
        <w:t>FORME</w:t>
      </w:r>
      <w:r w:rsidRPr="002B65F7">
        <w:rPr>
          <w:b/>
          <w:bCs/>
          <w:spacing w:val="-7"/>
        </w:rPr>
        <w:t xml:space="preserve"> </w:t>
      </w:r>
      <w:r w:rsidRPr="002B65F7">
        <w:rPr>
          <w:b/>
          <w:bCs/>
        </w:rPr>
        <w:t>PHARMACEUTIQUE</w:t>
      </w:r>
      <w:r w:rsidRPr="002B65F7">
        <w:rPr>
          <w:b/>
          <w:bCs/>
          <w:spacing w:val="-7"/>
        </w:rPr>
        <w:t xml:space="preserve"> </w:t>
      </w:r>
      <w:r w:rsidRPr="002B65F7">
        <w:rPr>
          <w:b/>
          <w:bCs/>
        </w:rPr>
        <w:t>ET</w:t>
      </w:r>
      <w:r w:rsidRPr="002B65F7">
        <w:rPr>
          <w:b/>
          <w:bCs/>
          <w:spacing w:val="-7"/>
        </w:rPr>
        <w:t xml:space="preserve"> </w:t>
      </w:r>
      <w:r w:rsidRPr="002B65F7">
        <w:rPr>
          <w:b/>
          <w:bCs/>
          <w:spacing w:val="-2"/>
        </w:rPr>
        <w:t>CONTENU</w:t>
      </w:r>
    </w:p>
    <w:p w14:paraId="03B58B32" w14:textId="77777777" w:rsidR="00092F83" w:rsidRPr="002B65F7" w:rsidRDefault="00092F83" w:rsidP="007A1EC3">
      <w:pPr>
        <w:keepNext/>
        <w:widowControl/>
      </w:pPr>
    </w:p>
    <w:p w14:paraId="2FEC3028" w14:textId="77777777" w:rsidR="00B41E23" w:rsidRPr="002B65F7" w:rsidRDefault="00C31740" w:rsidP="007A1EC3">
      <w:pPr>
        <w:widowControl/>
      </w:pPr>
      <w:r>
        <w:rPr>
          <w:highlight w:val="lightGray"/>
        </w:rPr>
        <w:t>Solution</w:t>
      </w:r>
      <w:r>
        <w:rPr>
          <w:spacing w:val="-14"/>
          <w:highlight w:val="lightGray"/>
        </w:rPr>
        <w:t xml:space="preserve"> </w:t>
      </w:r>
      <w:r>
        <w:rPr>
          <w:highlight w:val="lightGray"/>
        </w:rPr>
        <w:t>injectable</w:t>
      </w:r>
    </w:p>
    <w:p w14:paraId="03B58B34" w14:textId="15535121" w:rsidR="00092F83" w:rsidRPr="002B65F7" w:rsidRDefault="00C31740" w:rsidP="007A1EC3">
      <w:pPr>
        <w:widowControl/>
      </w:pPr>
      <w:r w:rsidRPr="002B65F7">
        <w:t>1</w:t>
      </w:r>
      <w:r w:rsidR="003B11E2" w:rsidRPr="002B65F7">
        <w:t> </w:t>
      </w:r>
      <w:r w:rsidRPr="002B65F7">
        <w:rPr>
          <w:spacing w:val="-2"/>
        </w:rPr>
        <w:t>flacon</w:t>
      </w:r>
    </w:p>
    <w:p w14:paraId="03B58B35" w14:textId="77777777" w:rsidR="00092F83" w:rsidRPr="002B65F7" w:rsidRDefault="00092F83" w:rsidP="007A1EC3">
      <w:pPr>
        <w:widowControl/>
      </w:pPr>
    </w:p>
    <w:p w14:paraId="03B58B36" w14:textId="051FB280" w:rsidR="00092F83" w:rsidRPr="002B65F7" w:rsidRDefault="00092F83" w:rsidP="007A1EC3">
      <w:pPr>
        <w:widowControl/>
      </w:pPr>
    </w:p>
    <w:p w14:paraId="000EB1A6"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5.</w:t>
      </w:r>
      <w:r w:rsidRPr="002B65F7">
        <w:rPr>
          <w:b/>
          <w:bCs/>
        </w:rPr>
        <w:tab/>
        <w:t>MODE ET VOIE(S) D’ADMINISTRATION</w:t>
      </w:r>
    </w:p>
    <w:p w14:paraId="03B58B37" w14:textId="77777777" w:rsidR="00092F83" w:rsidRPr="002B65F7" w:rsidRDefault="00092F83" w:rsidP="007A1EC3">
      <w:pPr>
        <w:pStyle w:val="BodyText"/>
        <w:keepNext/>
        <w:widowControl/>
      </w:pPr>
    </w:p>
    <w:p w14:paraId="03B58B38" w14:textId="77777777" w:rsidR="00092F83" w:rsidRPr="002B65F7" w:rsidRDefault="00C31740" w:rsidP="007A1EC3">
      <w:pPr>
        <w:widowControl/>
      </w:pPr>
      <w:r w:rsidRPr="002B65F7">
        <w:t>Ne pas</w:t>
      </w:r>
      <w:r w:rsidRPr="002B65F7">
        <w:rPr>
          <w:spacing w:val="-1"/>
        </w:rPr>
        <w:t xml:space="preserve"> </w:t>
      </w:r>
      <w:r w:rsidRPr="002B65F7">
        <w:t>agiter.</w:t>
      </w:r>
    </w:p>
    <w:p w14:paraId="03B58B39" w14:textId="316E877D" w:rsidR="00092F83" w:rsidRPr="002B65F7" w:rsidRDefault="005816E3" w:rsidP="007A1EC3">
      <w:pPr>
        <w:widowControl/>
      </w:pPr>
      <w:r w:rsidRPr="002B65F7">
        <w:t>Par v</w:t>
      </w:r>
      <w:r w:rsidR="00C31740" w:rsidRPr="002B65F7">
        <w:t>oie</w:t>
      </w:r>
      <w:r w:rsidR="00C31740" w:rsidRPr="002B65F7">
        <w:rPr>
          <w:spacing w:val="2"/>
        </w:rPr>
        <w:t xml:space="preserve"> </w:t>
      </w:r>
      <w:r w:rsidR="00C31740" w:rsidRPr="002B65F7">
        <w:t>sous-cutanée.</w:t>
      </w:r>
    </w:p>
    <w:p w14:paraId="03B58B3A" w14:textId="77777777" w:rsidR="00092F83" w:rsidRPr="002B65F7" w:rsidRDefault="00C31740" w:rsidP="007A1EC3">
      <w:pPr>
        <w:widowControl/>
      </w:pPr>
      <w:r w:rsidRPr="002B65F7">
        <w:t>Lire</w:t>
      </w:r>
      <w:r w:rsidRPr="002B65F7">
        <w:rPr>
          <w:spacing w:val="-5"/>
        </w:rPr>
        <w:t xml:space="preserve"> </w:t>
      </w:r>
      <w:r w:rsidRPr="002B65F7">
        <w:t>la</w:t>
      </w:r>
      <w:r w:rsidRPr="002B65F7">
        <w:rPr>
          <w:spacing w:val="-4"/>
        </w:rPr>
        <w:t xml:space="preserve"> </w:t>
      </w:r>
      <w:r w:rsidRPr="002B65F7">
        <w:t>notice</w:t>
      </w:r>
      <w:r w:rsidRPr="002B65F7">
        <w:rPr>
          <w:spacing w:val="-4"/>
        </w:rPr>
        <w:t xml:space="preserve"> </w:t>
      </w:r>
      <w:r w:rsidRPr="002B65F7">
        <w:t>avant</w:t>
      </w:r>
      <w:r w:rsidRPr="002B65F7">
        <w:rPr>
          <w:spacing w:val="-4"/>
        </w:rPr>
        <w:t xml:space="preserve"> </w:t>
      </w:r>
      <w:r w:rsidRPr="002B65F7">
        <w:t>utilisation.</w:t>
      </w:r>
    </w:p>
    <w:p w14:paraId="03B58B3B" w14:textId="77777777" w:rsidR="00092F83" w:rsidRPr="002B65F7" w:rsidRDefault="00092F83" w:rsidP="007A1EC3">
      <w:pPr>
        <w:widowControl/>
      </w:pPr>
    </w:p>
    <w:p w14:paraId="20118E24" w14:textId="77777777" w:rsidR="00CE7601" w:rsidRPr="002B65F7" w:rsidRDefault="00CE7601" w:rsidP="007A1EC3">
      <w:pPr>
        <w:widowControl/>
      </w:pPr>
    </w:p>
    <w:p w14:paraId="654A3A7E"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rFonts w:eastAsia="TimesNewRoman,Bold"/>
          <w:b/>
          <w:bCs/>
        </w:rPr>
        <w:t>6.</w:t>
      </w:r>
      <w:r w:rsidRPr="002B65F7">
        <w:rPr>
          <w:rFonts w:eastAsia="TimesNewRoman,Bold"/>
          <w:b/>
          <w:bCs/>
        </w:rPr>
        <w:tab/>
        <w:t>MISE EN GARDE SPÉCIALE INDIQUANT QUE LE MÉDICAMENT DOIT ÊTRE CONSERVÉ HORS DE VUE ET DE PORTÉE DES ENFANTS</w:t>
      </w:r>
    </w:p>
    <w:p w14:paraId="03B58B3C" w14:textId="39CD60FE" w:rsidR="00092F83" w:rsidRPr="002B65F7" w:rsidRDefault="00092F83" w:rsidP="007A1EC3">
      <w:pPr>
        <w:keepNext/>
        <w:widowControl/>
      </w:pPr>
    </w:p>
    <w:p w14:paraId="03B58B3D" w14:textId="77777777" w:rsidR="00092F83" w:rsidRPr="002B65F7" w:rsidRDefault="00C31740" w:rsidP="007A1EC3">
      <w:pPr>
        <w:widowControl/>
      </w:pPr>
      <w:r w:rsidRPr="002B65F7">
        <w:t>Tenir</w:t>
      </w:r>
      <w:r w:rsidRPr="002B65F7">
        <w:rPr>
          <w:spacing w:val="-3"/>
        </w:rPr>
        <w:t xml:space="preserve"> </w:t>
      </w:r>
      <w:r w:rsidRPr="002B65F7">
        <w:t>hors</w:t>
      </w:r>
      <w:r w:rsidRPr="002B65F7">
        <w:rPr>
          <w:spacing w:val="-3"/>
        </w:rPr>
        <w:t xml:space="preserve"> </w:t>
      </w:r>
      <w:r w:rsidRPr="002B65F7">
        <w:t>de</w:t>
      </w:r>
      <w:r w:rsidRPr="002B65F7">
        <w:rPr>
          <w:spacing w:val="-3"/>
        </w:rPr>
        <w:t xml:space="preserve"> </w:t>
      </w:r>
      <w:r w:rsidRPr="002B65F7">
        <w:t>la</w:t>
      </w:r>
      <w:r w:rsidRPr="002B65F7">
        <w:rPr>
          <w:spacing w:val="-3"/>
        </w:rPr>
        <w:t xml:space="preserve"> </w:t>
      </w:r>
      <w:r w:rsidRPr="002B65F7">
        <w:t>vue</w:t>
      </w:r>
      <w:r w:rsidRPr="002B65F7">
        <w:rPr>
          <w:spacing w:val="-3"/>
        </w:rPr>
        <w:t xml:space="preserve"> </w:t>
      </w:r>
      <w:r w:rsidRPr="002B65F7">
        <w:t>et</w:t>
      </w:r>
      <w:r w:rsidRPr="002B65F7">
        <w:rPr>
          <w:spacing w:val="-3"/>
        </w:rPr>
        <w:t xml:space="preserve"> </w:t>
      </w:r>
      <w:r w:rsidRPr="002B65F7">
        <w:t>de</w:t>
      </w:r>
      <w:r w:rsidRPr="002B65F7">
        <w:rPr>
          <w:spacing w:val="-3"/>
        </w:rPr>
        <w:t xml:space="preserve"> </w:t>
      </w:r>
      <w:r w:rsidRPr="002B65F7">
        <w:t>la</w:t>
      </w:r>
      <w:r w:rsidRPr="002B65F7">
        <w:rPr>
          <w:spacing w:val="-3"/>
        </w:rPr>
        <w:t xml:space="preserve"> </w:t>
      </w:r>
      <w:r w:rsidRPr="002B65F7">
        <w:t>portée</w:t>
      </w:r>
      <w:r w:rsidRPr="002B65F7">
        <w:rPr>
          <w:spacing w:val="-3"/>
        </w:rPr>
        <w:t xml:space="preserve"> </w:t>
      </w:r>
      <w:r w:rsidRPr="002B65F7">
        <w:t>des</w:t>
      </w:r>
      <w:r w:rsidRPr="002B65F7">
        <w:rPr>
          <w:spacing w:val="-2"/>
        </w:rPr>
        <w:t xml:space="preserve"> enfants.</w:t>
      </w:r>
    </w:p>
    <w:p w14:paraId="03B58B3E" w14:textId="77777777" w:rsidR="00092F83" w:rsidRPr="002B65F7" w:rsidRDefault="00092F83" w:rsidP="007A1EC3">
      <w:pPr>
        <w:widowControl/>
      </w:pPr>
    </w:p>
    <w:p w14:paraId="03B58B3F" w14:textId="01777B24" w:rsidR="00092F83" w:rsidRPr="002B65F7" w:rsidRDefault="00092F83" w:rsidP="007A1EC3">
      <w:pPr>
        <w:widowControl/>
      </w:pPr>
    </w:p>
    <w:p w14:paraId="4E268F06"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7.</w:t>
      </w:r>
      <w:r w:rsidRPr="002B65F7">
        <w:rPr>
          <w:b/>
          <w:bCs/>
        </w:rPr>
        <w:tab/>
        <w:t>AUTRE(S) MISE(S) EN GARDE SPÉCIALE(S), SI NÉCESSAIRE</w:t>
      </w:r>
    </w:p>
    <w:p w14:paraId="03B58B40" w14:textId="77777777" w:rsidR="00092F83" w:rsidRPr="002B65F7" w:rsidRDefault="00092F83" w:rsidP="007A1EC3">
      <w:pPr>
        <w:pStyle w:val="BodyText"/>
        <w:keepNext/>
        <w:widowControl/>
      </w:pPr>
    </w:p>
    <w:p w14:paraId="03B58B42" w14:textId="5C5C9320" w:rsidR="00092F83" w:rsidRPr="002B65F7" w:rsidRDefault="00092F83" w:rsidP="007A1EC3">
      <w:pPr>
        <w:widowControl/>
      </w:pPr>
    </w:p>
    <w:p w14:paraId="56199759"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2B65F7">
        <w:rPr>
          <w:b/>
          <w:spacing w:val="-5"/>
        </w:rPr>
        <w:t>8.</w:t>
      </w:r>
      <w:r w:rsidRPr="002B65F7">
        <w:rPr>
          <w:b/>
        </w:rPr>
        <w:tab/>
      </w:r>
      <w:r w:rsidRPr="002B65F7">
        <w:rPr>
          <w:b/>
          <w:bCs/>
        </w:rPr>
        <w:t>DATE</w:t>
      </w:r>
      <w:r w:rsidRPr="002B65F7">
        <w:rPr>
          <w:b/>
          <w:spacing w:val="-4"/>
        </w:rPr>
        <w:t xml:space="preserve"> </w:t>
      </w:r>
      <w:r w:rsidRPr="002B65F7">
        <w:rPr>
          <w:b/>
        </w:rPr>
        <w:t>DE</w:t>
      </w:r>
      <w:r w:rsidRPr="002B65F7">
        <w:rPr>
          <w:b/>
          <w:spacing w:val="-4"/>
        </w:rPr>
        <w:t xml:space="preserve"> </w:t>
      </w:r>
      <w:r w:rsidRPr="002B65F7">
        <w:rPr>
          <w:b/>
          <w:spacing w:val="-2"/>
        </w:rPr>
        <w:t>PÉREMPTION</w:t>
      </w:r>
    </w:p>
    <w:p w14:paraId="03B58B43" w14:textId="77777777" w:rsidR="00092F83" w:rsidRPr="002B65F7" w:rsidRDefault="00092F83" w:rsidP="007A1EC3">
      <w:pPr>
        <w:keepNext/>
        <w:widowControl/>
      </w:pPr>
    </w:p>
    <w:p w14:paraId="03B58B44" w14:textId="77777777" w:rsidR="00092F83" w:rsidRPr="002B65F7" w:rsidRDefault="00C31740" w:rsidP="007A1EC3">
      <w:pPr>
        <w:widowControl/>
      </w:pPr>
      <w:r w:rsidRPr="002B65F7">
        <w:rPr>
          <w:spacing w:val="-5"/>
        </w:rPr>
        <w:t>EXP</w:t>
      </w:r>
    </w:p>
    <w:p w14:paraId="03B58B45" w14:textId="77777777" w:rsidR="00092F83" w:rsidRPr="002B65F7" w:rsidRDefault="00092F83" w:rsidP="007A1EC3">
      <w:pPr>
        <w:widowControl/>
      </w:pPr>
    </w:p>
    <w:p w14:paraId="03B58B46" w14:textId="2578F817" w:rsidR="00092F83" w:rsidRPr="002B65F7" w:rsidRDefault="00092F83" w:rsidP="007A1EC3">
      <w:pPr>
        <w:pStyle w:val="BodyText"/>
        <w:widowControl/>
      </w:pPr>
    </w:p>
    <w:p w14:paraId="311F5E2F" w14:textId="77777777" w:rsidR="007A1EC3" w:rsidRPr="002B65F7" w:rsidRDefault="007A1EC3" w:rsidP="00C20DD1">
      <w:pPr>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9.</w:t>
      </w:r>
      <w:r w:rsidRPr="002B65F7">
        <w:rPr>
          <w:b/>
          <w:bCs/>
        </w:rPr>
        <w:tab/>
        <w:t>PRÉCAUTIONS PARTICULIÈRES DE CONSERVATION</w:t>
      </w:r>
    </w:p>
    <w:p w14:paraId="03B58B47" w14:textId="77777777" w:rsidR="00092F83" w:rsidRPr="002B65F7" w:rsidRDefault="00092F83" w:rsidP="00C20DD1">
      <w:pPr>
        <w:widowControl/>
      </w:pPr>
    </w:p>
    <w:p w14:paraId="2FC4D88E" w14:textId="77777777" w:rsidR="00B41E23" w:rsidRPr="002B65F7" w:rsidRDefault="00C31740" w:rsidP="00C20DD1">
      <w:pPr>
        <w:widowControl/>
      </w:pPr>
      <w:r w:rsidRPr="002B65F7">
        <w:t>A</w:t>
      </w:r>
      <w:r w:rsidRPr="002B65F7">
        <w:rPr>
          <w:spacing w:val="-11"/>
        </w:rPr>
        <w:t xml:space="preserve"> </w:t>
      </w:r>
      <w:r w:rsidRPr="002B65F7">
        <w:t>conserver</w:t>
      </w:r>
      <w:r w:rsidRPr="002B65F7">
        <w:rPr>
          <w:spacing w:val="-11"/>
        </w:rPr>
        <w:t xml:space="preserve"> </w:t>
      </w:r>
      <w:r w:rsidRPr="002B65F7">
        <w:t>au</w:t>
      </w:r>
      <w:r w:rsidRPr="002B65F7">
        <w:rPr>
          <w:spacing w:val="-11"/>
        </w:rPr>
        <w:t xml:space="preserve"> </w:t>
      </w:r>
      <w:r w:rsidRPr="002B65F7">
        <w:t>réfrigérateur.</w:t>
      </w:r>
    </w:p>
    <w:p w14:paraId="03B58B48" w14:textId="6A4D3A5C" w:rsidR="00092F83" w:rsidRPr="002B65F7" w:rsidRDefault="00C31740" w:rsidP="00C20DD1">
      <w:pPr>
        <w:widowControl/>
      </w:pPr>
      <w:r w:rsidRPr="002B65F7">
        <w:t>Ne pas congeler.</w:t>
      </w:r>
    </w:p>
    <w:p w14:paraId="03B58B4A" w14:textId="77777777" w:rsidR="00092F83" w:rsidRPr="002B65F7" w:rsidRDefault="00C31740" w:rsidP="00C20DD1">
      <w:pPr>
        <w:widowControl/>
      </w:pPr>
      <w:r w:rsidRPr="002B65F7">
        <w:t>Conserver</w:t>
      </w:r>
      <w:r w:rsidRPr="002B65F7">
        <w:rPr>
          <w:spacing w:val="-8"/>
        </w:rPr>
        <w:t xml:space="preserve"> </w:t>
      </w:r>
      <w:r w:rsidRPr="002B65F7">
        <w:t>le</w:t>
      </w:r>
      <w:r w:rsidRPr="002B65F7">
        <w:rPr>
          <w:spacing w:val="-5"/>
        </w:rPr>
        <w:t xml:space="preserve"> </w:t>
      </w:r>
      <w:r w:rsidRPr="002B65F7">
        <w:t>flacon</w:t>
      </w:r>
      <w:r w:rsidRPr="002B65F7">
        <w:rPr>
          <w:spacing w:val="-5"/>
        </w:rPr>
        <w:t xml:space="preserve"> </w:t>
      </w:r>
      <w:r w:rsidRPr="002B65F7">
        <w:t>dans</w:t>
      </w:r>
      <w:r w:rsidRPr="002B65F7">
        <w:rPr>
          <w:spacing w:val="-7"/>
        </w:rPr>
        <w:t xml:space="preserve"> </w:t>
      </w:r>
      <w:r w:rsidRPr="002B65F7">
        <w:t>l’emballage</w:t>
      </w:r>
      <w:r w:rsidRPr="002B65F7">
        <w:rPr>
          <w:spacing w:val="-5"/>
        </w:rPr>
        <w:t xml:space="preserve"> </w:t>
      </w:r>
      <w:r w:rsidRPr="002B65F7">
        <w:t>extérieur</w:t>
      </w:r>
      <w:r w:rsidRPr="002B65F7">
        <w:rPr>
          <w:spacing w:val="-6"/>
        </w:rPr>
        <w:t xml:space="preserve"> </w:t>
      </w:r>
      <w:r w:rsidRPr="002B65F7">
        <w:t>à</w:t>
      </w:r>
      <w:r w:rsidRPr="002B65F7">
        <w:rPr>
          <w:spacing w:val="-5"/>
        </w:rPr>
        <w:t xml:space="preserve"> </w:t>
      </w:r>
      <w:r w:rsidRPr="002B65F7">
        <w:t>l’abri</w:t>
      </w:r>
      <w:r w:rsidRPr="002B65F7">
        <w:rPr>
          <w:spacing w:val="-5"/>
        </w:rPr>
        <w:t xml:space="preserve"> </w:t>
      </w:r>
      <w:r w:rsidRPr="002B65F7">
        <w:t>de</w:t>
      </w:r>
      <w:r w:rsidRPr="002B65F7">
        <w:rPr>
          <w:spacing w:val="-5"/>
        </w:rPr>
        <w:t xml:space="preserve"> </w:t>
      </w:r>
      <w:r w:rsidRPr="002B65F7">
        <w:t>la</w:t>
      </w:r>
      <w:r w:rsidRPr="002B65F7">
        <w:rPr>
          <w:spacing w:val="-5"/>
        </w:rPr>
        <w:t xml:space="preserve"> </w:t>
      </w:r>
      <w:r w:rsidRPr="002B65F7">
        <w:rPr>
          <w:spacing w:val="-2"/>
        </w:rPr>
        <w:t>lumière.</w:t>
      </w:r>
    </w:p>
    <w:p w14:paraId="03B58B4B" w14:textId="77777777" w:rsidR="00092F83" w:rsidRPr="002B65F7" w:rsidRDefault="00092F83" w:rsidP="007A1EC3">
      <w:pPr>
        <w:keepNext/>
        <w:widowControl/>
      </w:pPr>
    </w:p>
    <w:p w14:paraId="03B58B4C" w14:textId="06BB4079" w:rsidR="00092F83" w:rsidRPr="002B65F7" w:rsidRDefault="00092F83" w:rsidP="007A1EC3">
      <w:pPr>
        <w:keepNext/>
        <w:widowControl/>
      </w:pPr>
    </w:p>
    <w:p w14:paraId="7C6BE210"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2B65F7">
        <w:rPr>
          <w:b/>
          <w:spacing w:val="-4"/>
        </w:rPr>
        <w:t>10.</w:t>
      </w:r>
      <w:r w:rsidRPr="002B65F7">
        <w:rPr>
          <w:b/>
        </w:rPr>
        <w:tab/>
        <w:t xml:space="preserve">PRÉCAUTIONS PARTICULIÈRES D’ÉLIMINATION DES MÉDICAMENTS NON </w:t>
      </w:r>
      <w:r w:rsidRPr="002B65F7">
        <w:rPr>
          <w:b/>
          <w:bCs/>
        </w:rPr>
        <w:t>UTILISÉS</w:t>
      </w:r>
      <w:r w:rsidRPr="002B65F7">
        <w:rPr>
          <w:b/>
        </w:rPr>
        <w:t xml:space="preserve"> OU DES DÉCHETS PROVENANT DE CES MÉDICAMENTS S’IL Y A LIEU</w:t>
      </w:r>
    </w:p>
    <w:p w14:paraId="03B58B4D" w14:textId="77777777" w:rsidR="00092F83" w:rsidRPr="002B65F7" w:rsidRDefault="00092F83" w:rsidP="007A1EC3">
      <w:pPr>
        <w:pStyle w:val="BodyText"/>
        <w:keepNext/>
        <w:keepLines/>
        <w:widowControl/>
      </w:pPr>
    </w:p>
    <w:p w14:paraId="03B58B50" w14:textId="41F3D103" w:rsidR="00092F83" w:rsidRPr="002B65F7" w:rsidRDefault="00092F83" w:rsidP="007A1EC3">
      <w:pPr>
        <w:widowControl/>
      </w:pPr>
    </w:p>
    <w:p w14:paraId="7BFCF7BA"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11.</w:t>
      </w:r>
      <w:r w:rsidRPr="002B65F7">
        <w:rPr>
          <w:b/>
          <w:bCs/>
        </w:rPr>
        <w:tab/>
        <w:t>NOM ET ADRESSE DU TITULAIRE DE L’AUTORISATION DE MISE SUR LE MARCHÉ</w:t>
      </w:r>
    </w:p>
    <w:p w14:paraId="1FD87ED8" w14:textId="77777777" w:rsidR="00972B23" w:rsidRPr="002B65F7" w:rsidRDefault="00972B23" w:rsidP="007A1EC3">
      <w:pPr>
        <w:keepNext/>
        <w:widowControl/>
      </w:pPr>
    </w:p>
    <w:p w14:paraId="401BAE01" w14:textId="77777777" w:rsidR="005816E3" w:rsidRPr="002B65F7" w:rsidRDefault="005816E3" w:rsidP="007A1EC3">
      <w:pPr>
        <w:rPr>
          <w:lang w:val="en-GB"/>
        </w:rPr>
      </w:pPr>
      <w:r w:rsidRPr="002B65F7">
        <w:rPr>
          <w:lang w:val="en-GB"/>
        </w:rPr>
        <w:t>Amgen Technology (Ireland) UC,</w:t>
      </w:r>
    </w:p>
    <w:p w14:paraId="00EF2EB7" w14:textId="77777777" w:rsidR="005816E3" w:rsidRPr="002B65F7" w:rsidRDefault="005816E3" w:rsidP="007A1EC3">
      <w:pPr>
        <w:rPr>
          <w:lang w:val="en-GB"/>
        </w:rPr>
      </w:pPr>
      <w:r w:rsidRPr="002B65F7">
        <w:rPr>
          <w:lang w:val="en-GB"/>
        </w:rPr>
        <w:t>Pottery Road,</w:t>
      </w:r>
    </w:p>
    <w:p w14:paraId="72DFC77E" w14:textId="77777777" w:rsidR="005816E3" w:rsidRPr="002B65F7" w:rsidRDefault="005816E3" w:rsidP="007A1EC3">
      <w:r w:rsidRPr="002B65F7">
        <w:t>Dun Laoghaire,</w:t>
      </w:r>
    </w:p>
    <w:p w14:paraId="0DF522A4" w14:textId="77777777" w:rsidR="005816E3" w:rsidRPr="002B65F7" w:rsidRDefault="005816E3" w:rsidP="007A1EC3">
      <w:r w:rsidRPr="002B65F7">
        <w:t>Co Dublin,</w:t>
      </w:r>
    </w:p>
    <w:p w14:paraId="2C90049D" w14:textId="11BFE13B" w:rsidR="005816E3" w:rsidRPr="002B65F7" w:rsidRDefault="005816E3" w:rsidP="007A1EC3">
      <w:pPr>
        <w:keepNext/>
        <w:widowControl/>
      </w:pPr>
      <w:r w:rsidRPr="002B65F7">
        <w:t>Irlande</w:t>
      </w:r>
    </w:p>
    <w:p w14:paraId="03B58B52" w14:textId="70AD1021" w:rsidR="00092F83" w:rsidRPr="002B65F7" w:rsidRDefault="00092F83" w:rsidP="007A1EC3">
      <w:pPr>
        <w:widowControl/>
      </w:pPr>
    </w:p>
    <w:p w14:paraId="03B58B53" w14:textId="77777777" w:rsidR="00092F83" w:rsidRPr="002B65F7" w:rsidRDefault="00092F83" w:rsidP="007A1EC3">
      <w:pPr>
        <w:widowControl/>
      </w:pPr>
    </w:p>
    <w:p w14:paraId="23926DC1"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12.</w:t>
      </w:r>
      <w:r w:rsidRPr="002B65F7">
        <w:rPr>
          <w:b/>
          <w:bCs/>
        </w:rPr>
        <w:tab/>
        <w:t>NUMÉRO(S) D’AUTORISATION DE MISE SUR LE MARCHÉ</w:t>
      </w:r>
    </w:p>
    <w:p w14:paraId="03B58B55" w14:textId="77777777" w:rsidR="00092F83" w:rsidRPr="002B65F7" w:rsidRDefault="00092F83" w:rsidP="007A1EC3">
      <w:pPr>
        <w:keepNext/>
        <w:widowControl/>
      </w:pPr>
    </w:p>
    <w:p w14:paraId="09181B5C" w14:textId="6B5C8FF4" w:rsidR="005816E3" w:rsidRPr="002B65F7" w:rsidRDefault="005816E3" w:rsidP="007A1EC3">
      <w:r w:rsidRPr="002B65F7">
        <w:t>EU/1/</w:t>
      </w:r>
      <w:r w:rsidR="008C77CD" w:rsidRPr="002B65F7">
        <w:t>24</w:t>
      </w:r>
      <w:r w:rsidRPr="002B65F7">
        <w:t>/</w:t>
      </w:r>
      <w:r w:rsidR="008C77CD" w:rsidRPr="002B65F7">
        <w:t>1823</w:t>
      </w:r>
      <w:r w:rsidRPr="002B65F7">
        <w:rPr>
          <w:spacing w:val="1"/>
        </w:rPr>
        <w:t>/</w:t>
      </w:r>
      <w:r w:rsidR="008C77CD" w:rsidRPr="002B65F7">
        <w:t>001</w:t>
      </w:r>
    </w:p>
    <w:p w14:paraId="03B58B57" w14:textId="77777777" w:rsidR="00092F83" w:rsidRPr="002B65F7" w:rsidRDefault="00092F83" w:rsidP="007A1EC3">
      <w:pPr>
        <w:widowControl/>
      </w:pPr>
    </w:p>
    <w:p w14:paraId="03B58B58" w14:textId="4FFE77A5" w:rsidR="00092F83" w:rsidRPr="002B65F7" w:rsidRDefault="00092F83" w:rsidP="007A1EC3">
      <w:pPr>
        <w:widowControl/>
      </w:pPr>
    </w:p>
    <w:p w14:paraId="06284682"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13.</w:t>
      </w:r>
      <w:r w:rsidRPr="002B65F7">
        <w:rPr>
          <w:b/>
          <w:bCs/>
        </w:rPr>
        <w:tab/>
        <w:t>NUMÉRO DU LOT</w:t>
      </w:r>
    </w:p>
    <w:p w14:paraId="03B58B59" w14:textId="77777777" w:rsidR="00092F83" w:rsidRPr="002B65F7" w:rsidRDefault="00092F83" w:rsidP="007A1EC3">
      <w:pPr>
        <w:keepNext/>
        <w:widowControl/>
      </w:pPr>
    </w:p>
    <w:p w14:paraId="03B58B5A" w14:textId="77777777" w:rsidR="00092F83" w:rsidRPr="002B65F7" w:rsidRDefault="00C31740" w:rsidP="007A1EC3">
      <w:pPr>
        <w:widowControl/>
      </w:pPr>
      <w:r w:rsidRPr="002B65F7">
        <w:rPr>
          <w:spacing w:val="-5"/>
        </w:rPr>
        <w:t>Lot</w:t>
      </w:r>
    </w:p>
    <w:p w14:paraId="03B58B5B" w14:textId="77777777" w:rsidR="00092F83" w:rsidRPr="002B65F7" w:rsidRDefault="00092F83" w:rsidP="007A1EC3">
      <w:pPr>
        <w:widowControl/>
      </w:pPr>
    </w:p>
    <w:p w14:paraId="03B58B5C" w14:textId="700572D3" w:rsidR="00092F83" w:rsidRPr="002B65F7" w:rsidRDefault="00092F83" w:rsidP="007A1EC3">
      <w:pPr>
        <w:pStyle w:val="BodyText"/>
        <w:widowControl/>
      </w:pPr>
    </w:p>
    <w:p w14:paraId="049EFF72"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14.</w:t>
      </w:r>
      <w:r w:rsidRPr="002B65F7">
        <w:rPr>
          <w:b/>
          <w:bCs/>
        </w:rPr>
        <w:tab/>
        <w:t>CONDITIONS DE PRESCRIPTION ET DE DÉLIVRANCE</w:t>
      </w:r>
    </w:p>
    <w:p w14:paraId="03B58B5D" w14:textId="77777777" w:rsidR="00092F83" w:rsidRPr="002B65F7" w:rsidRDefault="00092F83" w:rsidP="007A1EC3">
      <w:pPr>
        <w:keepNext/>
        <w:widowControl/>
        <w:rPr>
          <w:b/>
          <w:bCs/>
        </w:rPr>
      </w:pPr>
    </w:p>
    <w:p w14:paraId="03B58B5E" w14:textId="77777777" w:rsidR="00092F83" w:rsidRPr="002B65F7" w:rsidRDefault="00092F83" w:rsidP="007A1EC3">
      <w:pPr>
        <w:pStyle w:val="BodyText"/>
        <w:widowControl/>
      </w:pPr>
    </w:p>
    <w:p w14:paraId="2DE55FEF"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15.</w:t>
      </w:r>
      <w:r w:rsidRPr="002B65F7">
        <w:rPr>
          <w:b/>
          <w:bCs/>
        </w:rPr>
        <w:tab/>
        <w:t>INDICATIONS D’UTILISATION</w:t>
      </w:r>
    </w:p>
    <w:p w14:paraId="03B58B5F" w14:textId="7CCAA3F8" w:rsidR="00092F83" w:rsidRPr="002B65F7" w:rsidRDefault="00092F83" w:rsidP="007A1EC3">
      <w:pPr>
        <w:pStyle w:val="BodyText"/>
        <w:keepNext/>
        <w:widowControl/>
      </w:pPr>
    </w:p>
    <w:p w14:paraId="03B58B63" w14:textId="16EA13D9" w:rsidR="00092F83" w:rsidRPr="002B65F7" w:rsidRDefault="00092F83" w:rsidP="007A1EC3">
      <w:pPr>
        <w:widowControl/>
      </w:pPr>
    </w:p>
    <w:p w14:paraId="33B2D9C9"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2B65F7">
        <w:rPr>
          <w:b/>
          <w:spacing w:val="-5"/>
        </w:rPr>
        <w:t>16.</w:t>
      </w:r>
      <w:r w:rsidRPr="002B65F7">
        <w:rPr>
          <w:b/>
        </w:rPr>
        <w:tab/>
      </w:r>
      <w:r w:rsidRPr="002B65F7">
        <w:rPr>
          <w:b/>
          <w:bCs/>
        </w:rPr>
        <w:t>INFORMATIONS</w:t>
      </w:r>
      <w:r w:rsidRPr="002B65F7">
        <w:rPr>
          <w:b/>
          <w:spacing w:val="-9"/>
        </w:rPr>
        <w:t xml:space="preserve"> </w:t>
      </w:r>
      <w:r w:rsidRPr="002B65F7">
        <w:rPr>
          <w:b/>
        </w:rPr>
        <w:t>EN</w:t>
      </w:r>
      <w:r w:rsidRPr="002B65F7">
        <w:rPr>
          <w:b/>
          <w:spacing w:val="-7"/>
        </w:rPr>
        <w:t xml:space="preserve"> </w:t>
      </w:r>
      <w:r w:rsidRPr="002B65F7">
        <w:rPr>
          <w:b/>
          <w:spacing w:val="-2"/>
        </w:rPr>
        <w:t>BRAILLE</w:t>
      </w:r>
    </w:p>
    <w:p w14:paraId="2F99BDDA" w14:textId="77777777" w:rsidR="00972B23" w:rsidRPr="002B65F7" w:rsidRDefault="00972B23" w:rsidP="007A1EC3">
      <w:pPr>
        <w:keepNext/>
        <w:widowControl/>
      </w:pPr>
    </w:p>
    <w:p w14:paraId="03B58B64" w14:textId="2AFDE0A1" w:rsidR="00092F83" w:rsidRPr="002B65F7" w:rsidRDefault="005816E3" w:rsidP="007A1EC3">
      <w:pPr>
        <w:widowControl/>
      </w:pPr>
      <w:r w:rsidRPr="002B65F7">
        <w:t xml:space="preserve">WEZENLA </w:t>
      </w:r>
      <w:r w:rsidR="00C31740" w:rsidRPr="002B65F7">
        <w:t>45</w:t>
      </w:r>
      <w:r w:rsidR="00972B23" w:rsidRPr="002B65F7">
        <w:rPr>
          <w:spacing w:val="-3"/>
        </w:rPr>
        <w:t> </w:t>
      </w:r>
      <w:r w:rsidR="00C31740" w:rsidRPr="002B65F7">
        <w:rPr>
          <w:spacing w:val="-5"/>
        </w:rPr>
        <w:t>mg</w:t>
      </w:r>
      <w:r w:rsidR="00036696" w:rsidRPr="002B65F7">
        <w:rPr>
          <w:spacing w:val="-5"/>
        </w:rPr>
        <w:t xml:space="preserve"> </w:t>
      </w:r>
      <w:r w:rsidR="00036696" w:rsidRPr="002B65F7">
        <w:t>flacon</w:t>
      </w:r>
    </w:p>
    <w:p w14:paraId="03B58B65" w14:textId="77777777" w:rsidR="00092F83" w:rsidRPr="002B65F7" w:rsidRDefault="00092F83" w:rsidP="007A1EC3">
      <w:pPr>
        <w:widowControl/>
      </w:pPr>
    </w:p>
    <w:p w14:paraId="03B58B66" w14:textId="12CAA742" w:rsidR="00092F83" w:rsidRPr="002B65F7" w:rsidRDefault="00092F83" w:rsidP="007A1EC3">
      <w:pPr>
        <w:pStyle w:val="BodyText"/>
        <w:widowControl/>
      </w:pPr>
    </w:p>
    <w:p w14:paraId="3D846D1A"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2B65F7">
        <w:rPr>
          <w:b/>
          <w:spacing w:val="-5"/>
        </w:rPr>
        <w:t>17.</w:t>
      </w:r>
      <w:r w:rsidRPr="002B65F7">
        <w:rPr>
          <w:b/>
        </w:rPr>
        <w:tab/>
      </w:r>
      <w:r w:rsidRPr="002B65F7">
        <w:rPr>
          <w:b/>
          <w:bCs/>
        </w:rPr>
        <w:t>IDENTIFIANT</w:t>
      </w:r>
      <w:r w:rsidRPr="002B65F7">
        <w:rPr>
          <w:b/>
          <w:spacing w:val="-8"/>
        </w:rPr>
        <w:t xml:space="preserve"> </w:t>
      </w:r>
      <w:r w:rsidRPr="002B65F7">
        <w:rPr>
          <w:b/>
        </w:rPr>
        <w:t>UNIQUE</w:t>
      </w:r>
      <w:r w:rsidRPr="002B65F7">
        <w:rPr>
          <w:b/>
          <w:spacing w:val="-7"/>
        </w:rPr>
        <w:t xml:space="preserve"> </w:t>
      </w:r>
      <w:r w:rsidRPr="002B65F7">
        <w:rPr>
          <w:b/>
        </w:rPr>
        <w:t>-</w:t>
      </w:r>
      <w:r w:rsidRPr="002B65F7">
        <w:rPr>
          <w:b/>
          <w:spacing w:val="-6"/>
        </w:rPr>
        <w:t xml:space="preserve"> </w:t>
      </w:r>
      <w:r w:rsidRPr="002B65F7">
        <w:rPr>
          <w:b/>
        </w:rPr>
        <w:t>CODE-BARRES</w:t>
      </w:r>
      <w:r w:rsidRPr="002B65F7">
        <w:rPr>
          <w:b/>
          <w:spacing w:val="-7"/>
        </w:rPr>
        <w:t xml:space="preserve"> 2D</w:t>
      </w:r>
    </w:p>
    <w:p w14:paraId="03B58B67" w14:textId="77777777" w:rsidR="00092F83" w:rsidRPr="002B65F7" w:rsidRDefault="00092F83" w:rsidP="007A1EC3">
      <w:pPr>
        <w:keepNext/>
        <w:widowControl/>
      </w:pPr>
    </w:p>
    <w:p w14:paraId="03B58B68" w14:textId="77777777" w:rsidR="00092F83" w:rsidRPr="002B65F7" w:rsidRDefault="00C31740" w:rsidP="007A1EC3">
      <w:pPr>
        <w:widowControl/>
      </w:pPr>
      <w:r>
        <w:rPr>
          <w:color w:val="000000"/>
          <w:highlight w:val="lightGray"/>
        </w:rPr>
        <w:t>code-barres</w:t>
      </w:r>
      <w:r>
        <w:rPr>
          <w:color w:val="000000"/>
          <w:spacing w:val="-8"/>
          <w:highlight w:val="lightGray"/>
        </w:rPr>
        <w:t xml:space="preserve"> </w:t>
      </w:r>
      <w:r>
        <w:rPr>
          <w:color w:val="000000"/>
          <w:highlight w:val="lightGray"/>
        </w:rPr>
        <w:t>2D</w:t>
      </w:r>
      <w:r>
        <w:rPr>
          <w:color w:val="000000"/>
          <w:spacing w:val="-8"/>
          <w:highlight w:val="lightGray"/>
        </w:rPr>
        <w:t xml:space="preserve"> </w:t>
      </w:r>
      <w:r>
        <w:rPr>
          <w:color w:val="000000"/>
          <w:highlight w:val="lightGray"/>
        </w:rPr>
        <w:t>portant</w:t>
      </w:r>
      <w:r>
        <w:rPr>
          <w:color w:val="000000"/>
          <w:spacing w:val="-7"/>
          <w:highlight w:val="lightGray"/>
        </w:rPr>
        <w:t xml:space="preserve"> </w:t>
      </w:r>
      <w:r>
        <w:rPr>
          <w:color w:val="000000"/>
          <w:highlight w:val="lightGray"/>
        </w:rPr>
        <w:t>l'identifiant</w:t>
      </w:r>
      <w:r>
        <w:rPr>
          <w:color w:val="000000"/>
          <w:spacing w:val="-8"/>
          <w:highlight w:val="lightGray"/>
        </w:rPr>
        <w:t xml:space="preserve"> </w:t>
      </w:r>
      <w:r>
        <w:rPr>
          <w:color w:val="000000"/>
          <w:highlight w:val="lightGray"/>
        </w:rPr>
        <w:t>unique</w:t>
      </w:r>
      <w:r>
        <w:rPr>
          <w:color w:val="000000"/>
          <w:spacing w:val="-7"/>
          <w:highlight w:val="lightGray"/>
        </w:rPr>
        <w:t xml:space="preserve"> </w:t>
      </w:r>
      <w:r>
        <w:rPr>
          <w:color w:val="000000"/>
          <w:spacing w:val="-2"/>
          <w:highlight w:val="lightGray"/>
        </w:rPr>
        <w:t>inclus.</w:t>
      </w:r>
    </w:p>
    <w:p w14:paraId="03B58B69" w14:textId="77777777" w:rsidR="00092F83" w:rsidRPr="002B65F7" w:rsidRDefault="00092F83" w:rsidP="007A1EC3">
      <w:pPr>
        <w:keepNext/>
        <w:widowControl/>
        <w:tabs>
          <w:tab w:val="left" w:pos="567"/>
        </w:tabs>
        <w:ind w:left="567" w:hanging="567"/>
      </w:pPr>
    </w:p>
    <w:p w14:paraId="03B58B6A" w14:textId="496BAF78" w:rsidR="00092F83" w:rsidRPr="002B65F7" w:rsidRDefault="00092F83" w:rsidP="007A1EC3">
      <w:pPr>
        <w:widowControl/>
      </w:pPr>
    </w:p>
    <w:p w14:paraId="17086EA4"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2B65F7">
        <w:rPr>
          <w:b/>
          <w:spacing w:val="-5"/>
        </w:rPr>
        <w:t>18.</w:t>
      </w:r>
      <w:r w:rsidRPr="002B65F7">
        <w:rPr>
          <w:b/>
        </w:rPr>
        <w:tab/>
      </w:r>
      <w:r w:rsidRPr="002B65F7">
        <w:rPr>
          <w:b/>
          <w:bCs/>
        </w:rPr>
        <w:t>IDENTIFIANT</w:t>
      </w:r>
      <w:r w:rsidRPr="002B65F7">
        <w:rPr>
          <w:b/>
          <w:spacing w:val="-8"/>
        </w:rPr>
        <w:t xml:space="preserve"> </w:t>
      </w:r>
      <w:r w:rsidRPr="002B65F7">
        <w:rPr>
          <w:b/>
        </w:rPr>
        <w:t>UNIQUE</w:t>
      </w:r>
      <w:r w:rsidRPr="002B65F7">
        <w:rPr>
          <w:b/>
          <w:spacing w:val="-6"/>
        </w:rPr>
        <w:t xml:space="preserve"> </w:t>
      </w:r>
      <w:r w:rsidRPr="002B65F7">
        <w:rPr>
          <w:b/>
        </w:rPr>
        <w:t>-</w:t>
      </w:r>
      <w:r w:rsidRPr="002B65F7">
        <w:rPr>
          <w:b/>
          <w:spacing w:val="-3"/>
        </w:rPr>
        <w:t xml:space="preserve"> </w:t>
      </w:r>
      <w:r w:rsidRPr="002B65F7">
        <w:rPr>
          <w:b/>
        </w:rPr>
        <w:t>DONNÉES</w:t>
      </w:r>
      <w:r w:rsidRPr="002B65F7">
        <w:rPr>
          <w:b/>
          <w:spacing w:val="-6"/>
        </w:rPr>
        <w:t xml:space="preserve"> </w:t>
      </w:r>
      <w:r w:rsidRPr="002B65F7">
        <w:rPr>
          <w:b/>
        </w:rPr>
        <w:t>LISIBLES</w:t>
      </w:r>
      <w:r w:rsidRPr="002B65F7">
        <w:rPr>
          <w:b/>
          <w:spacing w:val="-5"/>
        </w:rPr>
        <w:t xml:space="preserve"> </w:t>
      </w:r>
      <w:r w:rsidRPr="002B65F7">
        <w:rPr>
          <w:b/>
        </w:rPr>
        <w:t>PAR</w:t>
      </w:r>
      <w:r w:rsidRPr="002B65F7">
        <w:rPr>
          <w:b/>
          <w:spacing w:val="-6"/>
        </w:rPr>
        <w:t xml:space="preserve"> </w:t>
      </w:r>
      <w:r w:rsidRPr="002B65F7">
        <w:rPr>
          <w:b/>
        </w:rPr>
        <w:t>LES</w:t>
      </w:r>
      <w:r w:rsidRPr="002B65F7">
        <w:rPr>
          <w:b/>
          <w:spacing w:val="-5"/>
        </w:rPr>
        <w:t xml:space="preserve"> </w:t>
      </w:r>
      <w:r w:rsidRPr="002B65F7">
        <w:rPr>
          <w:b/>
          <w:spacing w:val="-2"/>
        </w:rPr>
        <w:t>HUMAINS</w:t>
      </w:r>
    </w:p>
    <w:p w14:paraId="03B58B6B" w14:textId="77777777" w:rsidR="00092F83" w:rsidRPr="002B65F7" w:rsidRDefault="00092F83" w:rsidP="007A1EC3">
      <w:pPr>
        <w:keepNext/>
        <w:widowControl/>
      </w:pPr>
    </w:p>
    <w:p w14:paraId="25D086EA" w14:textId="04E4555B" w:rsidR="00D15E6A" w:rsidRPr="002B65F7" w:rsidRDefault="00C31740" w:rsidP="007A1EC3">
      <w:pPr>
        <w:widowControl/>
      </w:pPr>
      <w:r w:rsidRPr="002B65F7">
        <w:t xml:space="preserve">PC </w:t>
      </w:r>
    </w:p>
    <w:p w14:paraId="317222A0" w14:textId="46AB3BCE" w:rsidR="00D15E6A" w:rsidRPr="002B65F7" w:rsidRDefault="00C31740" w:rsidP="007A1EC3">
      <w:pPr>
        <w:widowControl/>
      </w:pPr>
      <w:r w:rsidRPr="002B65F7">
        <w:t xml:space="preserve">SN </w:t>
      </w:r>
    </w:p>
    <w:p w14:paraId="03B58B6C" w14:textId="32222D12" w:rsidR="00092F83" w:rsidRPr="002B65F7" w:rsidRDefault="00C31740" w:rsidP="007A1EC3">
      <w:pPr>
        <w:widowControl/>
      </w:pPr>
      <w:r>
        <w:rPr>
          <w:highlight w:val="lightGray"/>
        </w:rPr>
        <w:t>NN</w:t>
      </w:r>
      <w:r w:rsidRPr="002B65F7">
        <w:rPr>
          <w:spacing w:val="-2"/>
        </w:rPr>
        <w:t xml:space="preserve"> </w:t>
      </w:r>
    </w:p>
    <w:p w14:paraId="4544CFC4" w14:textId="51A27C17" w:rsidR="007A1EC3" w:rsidRPr="002B65F7" w:rsidRDefault="00D15E6A" w:rsidP="004B12BC">
      <w:pPr>
        <w:keepNext/>
        <w:widowControl/>
        <w:pBdr>
          <w:top w:val="single" w:sz="4" w:space="1" w:color="auto"/>
          <w:left w:val="single" w:sz="4" w:space="4" w:color="auto"/>
          <w:bottom w:val="single" w:sz="4" w:space="1" w:color="auto"/>
          <w:right w:val="single" w:sz="4" w:space="4" w:color="auto"/>
        </w:pBdr>
        <w:rPr>
          <w:b/>
          <w:bCs/>
        </w:rPr>
      </w:pPr>
      <w:r w:rsidRPr="002B65F7">
        <w:br w:type="page"/>
      </w:r>
      <w:r w:rsidR="007A1EC3" w:rsidRPr="002B65F7">
        <w:rPr>
          <w:b/>
          <w:bCs/>
        </w:rPr>
        <w:lastRenderedPageBreak/>
        <w:t>MENTIONS MINIMALES DEVANT FIGURER SUR LES PETITS CONDITIONNEMENTS PRIMAIRES</w:t>
      </w:r>
    </w:p>
    <w:p w14:paraId="7BE36898" w14:textId="77777777" w:rsidR="007A1EC3" w:rsidRPr="002B65F7" w:rsidRDefault="007A1EC3" w:rsidP="007A1EC3">
      <w:pPr>
        <w:widowControl/>
        <w:pBdr>
          <w:top w:val="single" w:sz="4" w:space="1" w:color="auto"/>
          <w:left w:val="single" w:sz="4" w:space="4" w:color="auto"/>
          <w:bottom w:val="single" w:sz="4" w:space="1" w:color="auto"/>
          <w:right w:val="single" w:sz="4" w:space="4" w:color="auto"/>
        </w:pBdr>
        <w:rPr>
          <w:b/>
          <w:bCs/>
        </w:rPr>
      </w:pPr>
    </w:p>
    <w:p w14:paraId="5E30799E" w14:textId="3DB68FB3" w:rsidR="007A1EC3" w:rsidRPr="002B65F7" w:rsidRDefault="007A1EC3" w:rsidP="007A1EC3">
      <w:pPr>
        <w:widowControl/>
        <w:pBdr>
          <w:top w:val="single" w:sz="4" w:space="1" w:color="auto"/>
          <w:left w:val="single" w:sz="4" w:space="4" w:color="auto"/>
          <w:bottom w:val="single" w:sz="4" w:space="1" w:color="auto"/>
          <w:right w:val="single" w:sz="4" w:space="4" w:color="auto"/>
        </w:pBdr>
        <w:rPr>
          <w:b/>
          <w:bCs/>
        </w:rPr>
      </w:pPr>
      <w:r w:rsidRPr="002B65F7">
        <w:rPr>
          <w:b/>
          <w:bCs/>
        </w:rPr>
        <w:t>ÉTIQUETTE DU FLACON</w:t>
      </w:r>
    </w:p>
    <w:p w14:paraId="03B58B6E" w14:textId="74605977" w:rsidR="00092F83" w:rsidRPr="002B65F7" w:rsidRDefault="00092F83" w:rsidP="007A1EC3">
      <w:pPr>
        <w:widowControl/>
      </w:pPr>
    </w:p>
    <w:p w14:paraId="03B58B6F" w14:textId="3125B2A0" w:rsidR="00092F83" w:rsidRPr="002B65F7" w:rsidRDefault="00092F83" w:rsidP="007A1EC3">
      <w:pPr>
        <w:widowControl/>
      </w:pPr>
    </w:p>
    <w:p w14:paraId="359AEBF5"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rPr>
      </w:pPr>
      <w:r w:rsidRPr="002B65F7">
        <w:rPr>
          <w:b/>
          <w:spacing w:val="-5"/>
        </w:rPr>
        <w:t>1.</w:t>
      </w:r>
      <w:r w:rsidRPr="002B65F7">
        <w:rPr>
          <w:b/>
        </w:rPr>
        <w:tab/>
      </w:r>
      <w:r w:rsidRPr="002B65F7">
        <w:rPr>
          <w:b/>
          <w:bCs/>
        </w:rPr>
        <w:t>DÉNOMINATION</w:t>
      </w:r>
      <w:r w:rsidRPr="002B65F7">
        <w:rPr>
          <w:b/>
          <w:spacing w:val="-9"/>
        </w:rPr>
        <w:t xml:space="preserve"> </w:t>
      </w:r>
      <w:r w:rsidRPr="002B65F7">
        <w:rPr>
          <w:b/>
        </w:rPr>
        <w:t>DU</w:t>
      </w:r>
      <w:r w:rsidRPr="002B65F7">
        <w:rPr>
          <w:b/>
          <w:spacing w:val="-7"/>
        </w:rPr>
        <w:t xml:space="preserve"> </w:t>
      </w:r>
      <w:r w:rsidRPr="002B65F7">
        <w:rPr>
          <w:b/>
        </w:rPr>
        <w:t>MÉDICAMENT</w:t>
      </w:r>
      <w:r w:rsidRPr="002B65F7">
        <w:rPr>
          <w:b/>
          <w:spacing w:val="-7"/>
        </w:rPr>
        <w:t xml:space="preserve"> </w:t>
      </w:r>
      <w:r w:rsidRPr="002B65F7">
        <w:rPr>
          <w:b/>
        </w:rPr>
        <w:t>ET</w:t>
      </w:r>
      <w:r w:rsidRPr="002B65F7">
        <w:rPr>
          <w:b/>
          <w:spacing w:val="-7"/>
        </w:rPr>
        <w:t xml:space="preserve"> </w:t>
      </w:r>
      <w:r w:rsidRPr="002B65F7">
        <w:rPr>
          <w:b/>
        </w:rPr>
        <w:t>VOIE(S)</w:t>
      </w:r>
      <w:r w:rsidRPr="002B65F7">
        <w:rPr>
          <w:b/>
          <w:spacing w:val="-7"/>
        </w:rPr>
        <w:t xml:space="preserve"> </w:t>
      </w:r>
      <w:r w:rsidRPr="002B65F7">
        <w:rPr>
          <w:b/>
          <w:spacing w:val="-2"/>
        </w:rPr>
        <w:t>D’ADMINISTRATION</w:t>
      </w:r>
    </w:p>
    <w:p w14:paraId="03B58B70" w14:textId="77777777" w:rsidR="00092F83" w:rsidRPr="002B65F7" w:rsidRDefault="00092F83" w:rsidP="007A1EC3">
      <w:pPr>
        <w:pStyle w:val="BodyText"/>
        <w:keepNext/>
        <w:widowControl/>
      </w:pPr>
    </w:p>
    <w:p w14:paraId="1DBABB18" w14:textId="47EF25FE" w:rsidR="00B41E23" w:rsidRPr="002B65F7" w:rsidRDefault="005816E3" w:rsidP="007A1EC3">
      <w:pPr>
        <w:widowControl/>
      </w:pPr>
      <w:r w:rsidRPr="002B65F7">
        <w:t>WEZENLA</w:t>
      </w:r>
      <w:r w:rsidR="00C31740" w:rsidRPr="002B65F7">
        <w:rPr>
          <w:spacing w:val="-9"/>
        </w:rPr>
        <w:t xml:space="preserve"> </w:t>
      </w:r>
      <w:r w:rsidR="00C31740" w:rsidRPr="002B65F7">
        <w:t>45</w:t>
      </w:r>
      <w:r w:rsidR="008B528F" w:rsidRPr="002B65F7">
        <w:rPr>
          <w:spacing w:val="-8"/>
        </w:rPr>
        <w:t> </w:t>
      </w:r>
      <w:r w:rsidR="00C31740" w:rsidRPr="002B65F7">
        <w:t>mg</w:t>
      </w:r>
      <w:r w:rsidR="00C31740" w:rsidRPr="002B65F7">
        <w:rPr>
          <w:spacing w:val="-9"/>
        </w:rPr>
        <w:t xml:space="preserve"> </w:t>
      </w:r>
      <w:r w:rsidR="00C31740" w:rsidRPr="002B65F7">
        <w:t>solution</w:t>
      </w:r>
      <w:r w:rsidR="00C31740" w:rsidRPr="002B65F7">
        <w:rPr>
          <w:spacing w:val="-9"/>
        </w:rPr>
        <w:t xml:space="preserve"> </w:t>
      </w:r>
      <w:r w:rsidR="00C31740" w:rsidRPr="002B65F7">
        <w:t>injectable</w:t>
      </w:r>
    </w:p>
    <w:p w14:paraId="03B58B71" w14:textId="3D87D614" w:rsidR="00092F83" w:rsidRPr="002B65F7" w:rsidRDefault="0071390F" w:rsidP="007A1EC3">
      <w:pPr>
        <w:widowControl/>
      </w:pPr>
      <w:r w:rsidRPr="002B65F7">
        <w:rPr>
          <w:spacing w:val="-2"/>
        </w:rPr>
        <w:t>ustekinumab</w:t>
      </w:r>
    </w:p>
    <w:p w14:paraId="03B58B72" w14:textId="77777777" w:rsidR="00092F83" w:rsidRPr="002B65F7" w:rsidRDefault="00C31740" w:rsidP="007A1EC3">
      <w:pPr>
        <w:widowControl/>
      </w:pPr>
      <w:r w:rsidRPr="002B65F7">
        <w:rPr>
          <w:spacing w:val="-5"/>
        </w:rPr>
        <w:t>SC</w:t>
      </w:r>
    </w:p>
    <w:p w14:paraId="03B58B73" w14:textId="77777777" w:rsidR="00092F83" w:rsidRPr="002B65F7" w:rsidRDefault="00092F83" w:rsidP="007A1EC3">
      <w:pPr>
        <w:widowControl/>
      </w:pPr>
    </w:p>
    <w:p w14:paraId="03B58B74" w14:textId="08922050" w:rsidR="00092F83" w:rsidRPr="002B65F7" w:rsidRDefault="00092F83" w:rsidP="007A1EC3">
      <w:pPr>
        <w:widowControl/>
      </w:pPr>
    </w:p>
    <w:p w14:paraId="340508E6"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spacing w:val="-5"/>
        </w:rPr>
        <w:t>2.</w:t>
      </w:r>
      <w:r w:rsidRPr="002B65F7">
        <w:rPr>
          <w:b/>
          <w:bCs/>
        </w:rPr>
        <w:tab/>
        <w:t>MODE</w:t>
      </w:r>
      <w:r w:rsidRPr="002B65F7">
        <w:rPr>
          <w:b/>
          <w:bCs/>
          <w:spacing w:val="-4"/>
        </w:rPr>
        <w:t xml:space="preserve"> </w:t>
      </w:r>
      <w:r w:rsidRPr="002B65F7">
        <w:rPr>
          <w:b/>
          <w:bCs/>
        </w:rPr>
        <w:t>D’ADMINISTRATION</w:t>
      </w:r>
    </w:p>
    <w:p w14:paraId="03B58B75" w14:textId="77777777" w:rsidR="00092F83" w:rsidRPr="002B65F7" w:rsidRDefault="00092F83" w:rsidP="007A1EC3">
      <w:pPr>
        <w:pStyle w:val="BodyText"/>
        <w:keepNext/>
        <w:widowControl/>
        <w:rPr>
          <w:b/>
          <w:bCs/>
        </w:rPr>
      </w:pPr>
    </w:p>
    <w:p w14:paraId="03B58B76" w14:textId="77777777" w:rsidR="00092F83" w:rsidRPr="002B65F7" w:rsidRDefault="00092F83" w:rsidP="007A1EC3">
      <w:pPr>
        <w:pStyle w:val="BodyText"/>
        <w:widowControl/>
      </w:pPr>
    </w:p>
    <w:p w14:paraId="55499BFF"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3.</w:t>
      </w:r>
      <w:r w:rsidRPr="002B65F7">
        <w:rPr>
          <w:b/>
          <w:bCs/>
        </w:rPr>
        <w:tab/>
        <w:t>DATE DE PÉREMPTION</w:t>
      </w:r>
    </w:p>
    <w:p w14:paraId="03B58B78" w14:textId="1ADA5E62" w:rsidR="00092F83" w:rsidRPr="002B65F7" w:rsidRDefault="00092F83" w:rsidP="007A1EC3">
      <w:pPr>
        <w:keepNext/>
        <w:widowControl/>
      </w:pPr>
    </w:p>
    <w:p w14:paraId="03B58B79" w14:textId="5C8CE057" w:rsidR="00092F83" w:rsidRPr="002B65F7" w:rsidRDefault="00C31740" w:rsidP="007A1EC3">
      <w:pPr>
        <w:widowControl/>
      </w:pPr>
      <w:r w:rsidRPr="002B65F7">
        <w:t>EXP</w:t>
      </w:r>
    </w:p>
    <w:p w14:paraId="03B58B7A" w14:textId="77777777" w:rsidR="00092F83" w:rsidRPr="002B65F7" w:rsidRDefault="00092F83" w:rsidP="007A1EC3">
      <w:pPr>
        <w:widowControl/>
      </w:pPr>
    </w:p>
    <w:p w14:paraId="03B58B7B" w14:textId="2D2F6F8F" w:rsidR="00092F83" w:rsidRPr="002B65F7" w:rsidRDefault="00092F83" w:rsidP="007A1EC3">
      <w:pPr>
        <w:pStyle w:val="BodyText"/>
        <w:widowControl/>
      </w:pPr>
    </w:p>
    <w:p w14:paraId="35398D96"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4.</w:t>
      </w:r>
      <w:r w:rsidRPr="002B65F7">
        <w:rPr>
          <w:b/>
          <w:bCs/>
        </w:rPr>
        <w:tab/>
        <w:t>NUMÉRO DU LOT</w:t>
      </w:r>
    </w:p>
    <w:p w14:paraId="03B58B7C" w14:textId="77777777" w:rsidR="00092F83" w:rsidRPr="002B65F7" w:rsidRDefault="00092F83" w:rsidP="007A1EC3">
      <w:pPr>
        <w:keepNext/>
        <w:widowControl/>
      </w:pPr>
    </w:p>
    <w:p w14:paraId="03B58B7D" w14:textId="77777777" w:rsidR="00092F83" w:rsidRPr="002B65F7" w:rsidRDefault="00C31740" w:rsidP="007A1EC3">
      <w:pPr>
        <w:widowControl/>
      </w:pPr>
      <w:r w:rsidRPr="002B65F7">
        <w:rPr>
          <w:spacing w:val="-5"/>
        </w:rPr>
        <w:t>Lot</w:t>
      </w:r>
    </w:p>
    <w:p w14:paraId="03B58B7E" w14:textId="77777777" w:rsidR="00092F83" w:rsidRPr="002B65F7" w:rsidRDefault="00092F83" w:rsidP="007A1EC3">
      <w:pPr>
        <w:pStyle w:val="BodyText"/>
        <w:widowControl/>
      </w:pPr>
    </w:p>
    <w:p w14:paraId="2907313D" w14:textId="77777777" w:rsidR="008B528F" w:rsidRPr="002B65F7" w:rsidRDefault="008B528F" w:rsidP="007A1EC3">
      <w:pPr>
        <w:pStyle w:val="BodyText"/>
        <w:widowControl/>
      </w:pPr>
    </w:p>
    <w:p w14:paraId="245CD01A"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5.</w:t>
      </w:r>
      <w:r w:rsidRPr="002B65F7">
        <w:rPr>
          <w:b/>
          <w:bCs/>
        </w:rPr>
        <w:tab/>
        <w:t>CONTENU EN POIDS, VOLUME OU UNITÉ</w:t>
      </w:r>
    </w:p>
    <w:p w14:paraId="03B58B80" w14:textId="77777777" w:rsidR="00092F83" w:rsidRPr="002B65F7" w:rsidRDefault="00092F83" w:rsidP="007A1EC3">
      <w:pPr>
        <w:keepNext/>
        <w:widowControl/>
      </w:pPr>
    </w:p>
    <w:p w14:paraId="03B58B81" w14:textId="140EF407" w:rsidR="00092F83" w:rsidRPr="002B65F7" w:rsidRDefault="00C31740" w:rsidP="007A1EC3">
      <w:pPr>
        <w:widowControl/>
      </w:pPr>
      <w:r w:rsidRPr="002B65F7">
        <w:t>45</w:t>
      </w:r>
      <w:r w:rsidR="008B528F" w:rsidRPr="002B65F7">
        <w:rPr>
          <w:spacing w:val="-3"/>
        </w:rPr>
        <w:t> </w:t>
      </w:r>
      <w:r w:rsidRPr="002B65F7">
        <w:t>mg/0,5</w:t>
      </w:r>
      <w:r w:rsidR="008B528F" w:rsidRPr="002B65F7">
        <w:rPr>
          <w:spacing w:val="-2"/>
        </w:rPr>
        <w:t> </w:t>
      </w:r>
      <w:r w:rsidRPr="002B65F7">
        <w:rPr>
          <w:spacing w:val="-5"/>
        </w:rPr>
        <w:t>mL</w:t>
      </w:r>
    </w:p>
    <w:p w14:paraId="03B58B82" w14:textId="77777777" w:rsidR="00092F83" w:rsidRPr="002B65F7" w:rsidRDefault="00092F83" w:rsidP="007A1EC3">
      <w:pPr>
        <w:widowControl/>
      </w:pPr>
    </w:p>
    <w:p w14:paraId="03B58B83" w14:textId="37BED3F2" w:rsidR="00092F83" w:rsidRPr="002B65F7" w:rsidRDefault="00092F83" w:rsidP="007A1EC3">
      <w:pPr>
        <w:pStyle w:val="BodyText"/>
        <w:widowControl/>
      </w:pPr>
    </w:p>
    <w:p w14:paraId="00AF25F0"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6.</w:t>
      </w:r>
      <w:r w:rsidRPr="002B65F7">
        <w:rPr>
          <w:b/>
          <w:bCs/>
        </w:rPr>
        <w:tab/>
        <w:t>AUTRE</w:t>
      </w:r>
    </w:p>
    <w:p w14:paraId="26855620" w14:textId="77777777" w:rsidR="008B528F" w:rsidRPr="002B65F7" w:rsidRDefault="008B528F" w:rsidP="007A1EC3">
      <w:pPr>
        <w:keepNext/>
        <w:widowControl/>
      </w:pPr>
    </w:p>
    <w:p w14:paraId="6631950D" w14:textId="77777777" w:rsidR="00497068" w:rsidRPr="002B65F7" w:rsidRDefault="00497068" w:rsidP="007A1EC3">
      <w:pPr>
        <w:widowControl/>
      </w:pPr>
    </w:p>
    <w:p w14:paraId="506BEE73" w14:textId="7C457B7A" w:rsidR="007A1EC3" w:rsidRPr="002B65F7" w:rsidRDefault="00497068" w:rsidP="004B12BC">
      <w:pPr>
        <w:keepNext/>
        <w:widowControl/>
        <w:pBdr>
          <w:top w:val="single" w:sz="4" w:space="1" w:color="auto"/>
          <w:left w:val="single" w:sz="4" w:space="4" w:color="auto"/>
          <w:bottom w:val="single" w:sz="4" w:space="1" w:color="auto"/>
          <w:right w:val="single" w:sz="4" w:space="4" w:color="auto"/>
        </w:pBdr>
        <w:rPr>
          <w:b/>
          <w:bCs/>
        </w:rPr>
      </w:pPr>
      <w:r w:rsidRPr="002B65F7">
        <w:br w:type="page"/>
      </w:r>
      <w:r w:rsidR="007A1EC3" w:rsidRPr="002B65F7">
        <w:rPr>
          <w:b/>
          <w:bCs/>
        </w:rPr>
        <w:lastRenderedPageBreak/>
        <w:t>MENTIONS DEVANT FIGURER SUR L’EMBALLAGE EXTÉRIEUR</w:t>
      </w:r>
    </w:p>
    <w:p w14:paraId="57A78CBD"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bCs/>
        </w:rPr>
      </w:pPr>
    </w:p>
    <w:p w14:paraId="51CF1C21" w14:textId="7879B2C6"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bCs/>
        </w:rPr>
      </w:pPr>
      <w:r w:rsidRPr="002B65F7">
        <w:rPr>
          <w:b/>
          <w:bCs/>
        </w:rPr>
        <w:t>CARTON EXTÉRIEUR SERINGUE PRÉREMPLIE</w:t>
      </w:r>
    </w:p>
    <w:p w14:paraId="03B58B85" w14:textId="1B5F705E" w:rsidR="00092F83" w:rsidRPr="002B65F7" w:rsidRDefault="00092F83" w:rsidP="007A1EC3">
      <w:pPr>
        <w:keepNext/>
        <w:widowControl/>
      </w:pPr>
    </w:p>
    <w:p w14:paraId="03B58B86" w14:textId="0DDFE85E" w:rsidR="00092F83" w:rsidRPr="002B65F7" w:rsidRDefault="00092F83" w:rsidP="007A1EC3">
      <w:pPr>
        <w:widowControl/>
      </w:pPr>
    </w:p>
    <w:p w14:paraId="6AC1C4F3"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w:t>
      </w:r>
      <w:r w:rsidRPr="002B65F7">
        <w:rPr>
          <w:b/>
          <w:bCs/>
        </w:rPr>
        <w:tab/>
        <w:t>DÉNOMINATION DU MÉDICAMENT</w:t>
      </w:r>
    </w:p>
    <w:p w14:paraId="03B58B87" w14:textId="77777777" w:rsidR="00092F83" w:rsidRPr="002B65F7" w:rsidRDefault="00092F83" w:rsidP="007A1EC3">
      <w:pPr>
        <w:keepNext/>
        <w:widowControl/>
      </w:pPr>
    </w:p>
    <w:p w14:paraId="045BD7A5" w14:textId="0EA675CB" w:rsidR="00033327" w:rsidRPr="002B65F7" w:rsidRDefault="005816E3" w:rsidP="007A1EC3">
      <w:pPr>
        <w:widowControl/>
      </w:pPr>
      <w:r w:rsidRPr="002B65F7">
        <w:t>WEZENLA</w:t>
      </w:r>
      <w:r w:rsidR="00C31740" w:rsidRPr="002B65F7">
        <w:rPr>
          <w:spacing w:val="-5"/>
        </w:rPr>
        <w:t xml:space="preserve"> </w:t>
      </w:r>
      <w:r w:rsidR="00C31740" w:rsidRPr="002B65F7">
        <w:t>45</w:t>
      </w:r>
      <w:r w:rsidR="00033327" w:rsidRPr="002B65F7">
        <w:rPr>
          <w:spacing w:val="-4"/>
        </w:rPr>
        <w:t> </w:t>
      </w:r>
      <w:r w:rsidR="00C31740" w:rsidRPr="002B65F7">
        <w:t>mg</w:t>
      </w:r>
      <w:r w:rsidR="00C31740" w:rsidRPr="002B65F7">
        <w:rPr>
          <w:spacing w:val="-5"/>
        </w:rPr>
        <w:t xml:space="preserve"> </w:t>
      </w:r>
      <w:r w:rsidR="00C31740" w:rsidRPr="002B65F7">
        <w:t>solution</w:t>
      </w:r>
      <w:r w:rsidR="00C31740" w:rsidRPr="002B65F7">
        <w:rPr>
          <w:spacing w:val="-5"/>
        </w:rPr>
        <w:t xml:space="preserve"> </w:t>
      </w:r>
      <w:r w:rsidR="00C31740" w:rsidRPr="002B65F7">
        <w:t>injectable</w:t>
      </w:r>
      <w:r w:rsidR="00C31740" w:rsidRPr="002B65F7">
        <w:rPr>
          <w:spacing w:val="-5"/>
        </w:rPr>
        <w:t xml:space="preserve"> </w:t>
      </w:r>
      <w:r w:rsidR="00C31740" w:rsidRPr="002B65F7">
        <w:t>en</w:t>
      </w:r>
      <w:r w:rsidR="00C31740" w:rsidRPr="002B65F7">
        <w:rPr>
          <w:spacing w:val="-8"/>
        </w:rPr>
        <w:t xml:space="preserve"> </w:t>
      </w:r>
      <w:r w:rsidR="00C31740" w:rsidRPr="002B65F7">
        <w:t>seringue</w:t>
      </w:r>
      <w:r w:rsidR="00C31740" w:rsidRPr="002B65F7">
        <w:rPr>
          <w:spacing w:val="-5"/>
        </w:rPr>
        <w:t xml:space="preserve"> </w:t>
      </w:r>
      <w:r w:rsidR="00C31740" w:rsidRPr="002B65F7">
        <w:t>préremplie</w:t>
      </w:r>
    </w:p>
    <w:p w14:paraId="03B58B88" w14:textId="32036642" w:rsidR="00092F83" w:rsidRPr="002B65F7" w:rsidRDefault="0071390F" w:rsidP="007A1EC3">
      <w:pPr>
        <w:widowControl/>
      </w:pPr>
      <w:r w:rsidRPr="002B65F7">
        <w:rPr>
          <w:spacing w:val="-2"/>
        </w:rPr>
        <w:t>ustekinumab</w:t>
      </w:r>
    </w:p>
    <w:p w14:paraId="03B58B89" w14:textId="77777777" w:rsidR="00092F83" w:rsidRPr="002B65F7" w:rsidRDefault="00092F83" w:rsidP="007A1EC3">
      <w:pPr>
        <w:widowControl/>
      </w:pPr>
    </w:p>
    <w:p w14:paraId="03B58B8A" w14:textId="45B4F57A" w:rsidR="00092F83" w:rsidRPr="002B65F7" w:rsidRDefault="00092F83" w:rsidP="007A1EC3">
      <w:pPr>
        <w:widowControl/>
      </w:pPr>
    </w:p>
    <w:p w14:paraId="3733F86D"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2.</w:t>
      </w:r>
      <w:r w:rsidRPr="002B65F7">
        <w:rPr>
          <w:b/>
          <w:bCs/>
        </w:rPr>
        <w:tab/>
        <w:t>COMPOSITION EN SUBSTANCE(S) ACTIVE(S)</w:t>
      </w:r>
    </w:p>
    <w:p w14:paraId="03B58B8B" w14:textId="77777777" w:rsidR="00092F83" w:rsidRPr="002B65F7" w:rsidRDefault="00092F83" w:rsidP="007A1EC3">
      <w:pPr>
        <w:keepNext/>
        <w:widowControl/>
      </w:pPr>
    </w:p>
    <w:p w14:paraId="03B58B8C" w14:textId="1A75CAFB" w:rsidR="00092F83" w:rsidRPr="002B65F7" w:rsidRDefault="00C31740" w:rsidP="007A1EC3">
      <w:pPr>
        <w:widowControl/>
      </w:pPr>
      <w:r w:rsidRPr="002B65F7">
        <w:t>Chaque</w:t>
      </w:r>
      <w:r w:rsidRPr="002B65F7">
        <w:rPr>
          <w:spacing w:val="-7"/>
        </w:rPr>
        <w:t xml:space="preserve"> </w:t>
      </w:r>
      <w:r w:rsidRPr="002B65F7">
        <w:t>seringue</w:t>
      </w:r>
      <w:r w:rsidRPr="002B65F7">
        <w:rPr>
          <w:spacing w:val="-6"/>
        </w:rPr>
        <w:t xml:space="preserve"> </w:t>
      </w:r>
      <w:r w:rsidRPr="002B65F7">
        <w:t>préremplie</w:t>
      </w:r>
      <w:r w:rsidRPr="002B65F7">
        <w:rPr>
          <w:spacing w:val="-6"/>
        </w:rPr>
        <w:t xml:space="preserve"> </w:t>
      </w:r>
      <w:r w:rsidRPr="002B65F7">
        <w:t>contient</w:t>
      </w:r>
      <w:r w:rsidRPr="002B65F7">
        <w:rPr>
          <w:spacing w:val="-6"/>
        </w:rPr>
        <w:t xml:space="preserve"> </w:t>
      </w:r>
      <w:r w:rsidRPr="002B65F7">
        <w:t>45</w:t>
      </w:r>
      <w:r w:rsidR="00033327" w:rsidRPr="002B65F7">
        <w:rPr>
          <w:spacing w:val="-8"/>
        </w:rPr>
        <w:t> </w:t>
      </w:r>
      <w:r w:rsidRPr="002B65F7">
        <w:t>mg</w:t>
      </w:r>
      <w:r w:rsidRPr="002B65F7">
        <w:rPr>
          <w:spacing w:val="-6"/>
        </w:rPr>
        <w:t xml:space="preserve"> </w:t>
      </w:r>
      <w:r w:rsidRPr="002B65F7">
        <w:t>d’</w:t>
      </w:r>
      <w:r w:rsidR="0071390F" w:rsidRPr="002B65F7">
        <w:t>ustekinumab</w:t>
      </w:r>
      <w:r w:rsidRPr="002B65F7">
        <w:rPr>
          <w:spacing w:val="-6"/>
        </w:rPr>
        <w:t xml:space="preserve"> </w:t>
      </w:r>
      <w:r w:rsidRPr="002B65F7">
        <w:t>dans</w:t>
      </w:r>
      <w:r w:rsidRPr="002B65F7">
        <w:rPr>
          <w:spacing w:val="-6"/>
        </w:rPr>
        <w:t xml:space="preserve"> </w:t>
      </w:r>
      <w:r w:rsidRPr="002B65F7">
        <w:t>0,5</w:t>
      </w:r>
      <w:r w:rsidR="00033327" w:rsidRPr="002B65F7">
        <w:rPr>
          <w:spacing w:val="-5"/>
        </w:rPr>
        <w:t> </w:t>
      </w:r>
      <w:r w:rsidRPr="002B65F7">
        <w:rPr>
          <w:spacing w:val="-5"/>
        </w:rPr>
        <w:t>mL.</w:t>
      </w:r>
    </w:p>
    <w:p w14:paraId="03B58B8D" w14:textId="77777777" w:rsidR="00092F83" w:rsidRPr="002B65F7" w:rsidRDefault="00092F83" w:rsidP="007A1EC3">
      <w:pPr>
        <w:widowControl/>
      </w:pPr>
    </w:p>
    <w:p w14:paraId="03B58B8E" w14:textId="3B42B02B" w:rsidR="00092F83" w:rsidRPr="002B65F7" w:rsidRDefault="00092F83" w:rsidP="007A1EC3">
      <w:pPr>
        <w:pStyle w:val="BodyText"/>
        <w:widowControl/>
      </w:pPr>
    </w:p>
    <w:p w14:paraId="073AFAEE"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3.</w:t>
      </w:r>
      <w:r w:rsidRPr="002B65F7">
        <w:rPr>
          <w:b/>
          <w:bCs/>
        </w:rPr>
        <w:tab/>
        <w:t>LISTE DES EXCIPIENTS</w:t>
      </w:r>
    </w:p>
    <w:p w14:paraId="03B58B8F" w14:textId="77777777" w:rsidR="00092F83" w:rsidRPr="002B65F7" w:rsidRDefault="00092F83" w:rsidP="007A1EC3">
      <w:pPr>
        <w:keepNext/>
        <w:widowControl/>
      </w:pPr>
    </w:p>
    <w:p w14:paraId="03B58B90" w14:textId="53932A6E" w:rsidR="00092F83" w:rsidRPr="002B65F7" w:rsidRDefault="00C31740" w:rsidP="007A1EC3">
      <w:pPr>
        <w:widowControl/>
      </w:pPr>
      <w:r w:rsidRPr="002B65F7">
        <w:t>Saccharose, L-histidine, chlorhydrate monohydraté de L-histidine, polysorbate</w:t>
      </w:r>
      <w:r w:rsidR="00112127" w:rsidRPr="002B65F7">
        <w:t> </w:t>
      </w:r>
      <w:r w:rsidRPr="002B65F7">
        <w:t>80</w:t>
      </w:r>
      <w:r w:rsidR="00112127">
        <w:t xml:space="preserve"> (E</w:t>
      </w:r>
      <w:r w:rsidR="00112127" w:rsidRPr="002B65F7">
        <w:t> </w:t>
      </w:r>
      <w:r w:rsidR="00112127">
        <w:t>433)</w:t>
      </w:r>
      <w:r w:rsidRPr="002B65F7">
        <w:t>, eau pour préparations injectables.</w:t>
      </w:r>
    </w:p>
    <w:p w14:paraId="03B58B91" w14:textId="77777777" w:rsidR="00092F83" w:rsidRPr="002B65F7" w:rsidRDefault="00092F83" w:rsidP="007A1EC3">
      <w:pPr>
        <w:widowControl/>
      </w:pPr>
    </w:p>
    <w:p w14:paraId="03B58B92" w14:textId="12B50519" w:rsidR="00092F83" w:rsidRPr="002B65F7" w:rsidRDefault="00092F83" w:rsidP="007A1EC3">
      <w:pPr>
        <w:pStyle w:val="BodyText"/>
        <w:widowControl/>
      </w:pPr>
    </w:p>
    <w:p w14:paraId="23E3EC5B"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4.</w:t>
      </w:r>
      <w:r w:rsidRPr="002B65F7">
        <w:rPr>
          <w:b/>
          <w:bCs/>
        </w:rPr>
        <w:tab/>
        <w:t>FORME PHARMACEUTIQUE ET CONTENU</w:t>
      </w:r>
    </w:p>
    <w:p w14:paraId="03B58B93" w14:textId="77777777" w:rsidR="00092F83" w:rsidRPr="002B65F7" w:rsidRDefault="00092F83" w:rsidP="007A1EC3">
      <w:pPr>
        <w:keepNext/>
        <w:widowControl/>
      </w:pPr>
    </w:p>
    <w:p w14:paraId="7EB8C42E" w14:textId="77777777" w:rsidR="00494B79" w:rsidRPr="002B65F7" w:rsidRDefault="00C31740" w:rsidP="007A1EC3">
      <w:pPr>
        <w:widowControl/>
      </w:pPr>
      <w:r>
        <w:rPr>
          <w:highlight w:val="lightGray"/>
        </w:rPr>
        <w:t>Solution</w:t>
      </w:r>
      <w:r>
        <w:rPr>
          <w:spacing w:val="-8"/>
          <w:highlight w:val="lightGray"/>
        </w:rPr>
        <w:t xml:space="preserve"> </w:t>
      </w:r>
      <w:r>
        <w:rPr>
          <w:highlight w:val="lightGray"/>
        </w:rPr>
        <w:t>injectable</w:t>
      </w:r>
      <w:r>
        <w:rPr>
          <w:spacing w:val="-8"/>
          <w:highlight w:val="lightGray"/>
        </w:rPr>
        <w:t xml:space="preserve"> </w:t>
      </w:r>
      <w:r>
        <w:rPr>
          <w:highlight w:val="lightGray"/>
        </w:rPr>
        <w:t>en</w:t>
      </w:r>
      <w:r>
        <w:rPr>
          <w:spacing w:val="-8"/>
          <w:highlight w:val="lightGray"/>
        </w:rPr>
        <w:t xml:space="preserve"> </w:t>
      </w:r>
      <w:r>
        <w:rPr>
          <w:highlight w:val="lightGray"/>
        </w:rPr>
        <w:t>seringue</w:t>
      </w:r>
      <w:r>
        <w:rPr>
          <w:spacing w:val="-8"/>
          <w:highlight w:val="lightGray"/>
        </w:rPr>
        <w:t xml:space="preserve"> </w:t>
      </w:r>
      <w:r>
        <w:rPr>
          <w:highlight w:val="lightGray"/>
        </w:rPr>
        <w:t>préremplie</w:t>
      </w:r>
    </w:p>
    <w:p w14:paraId="03B58B95" w14:textId="77777777" w:rsidR="00092F83" w:rsidRPr="002B65F7" w:rsidRDefault="00C31740" w:rsidP="007A1EC3">
      <w:pPr>
        <w:widowControl/>
      </w:pPr>
      <w:r w:rsidRPr="002B65F7">
        <w:t>1</w:t>
      </w:r>
      <w:r w:rsidRPr="002B65F7">
        <w:rPr>
          <w:spacing w:val="-4"/>
        </w:rPr>
        <w:t xml:space="preserve"> </w:t>
      </w:r>
      <w:r w:rsidRPr="002B65F7">
        <w:t>seringue</w:t>
      </w:r>
      <w:r w:rsidRPr="002B65F7">
        <w:rPr>
          <w:spacing w:val="-4"/>
        </w:rPr>
        <w:t xml:space="preserve"> </w:t>
      </w:r>
      <w:r w:rsidRPr="002B65F7">
        <w:rPr>
          <w:spacing w:val="-2"/>
        </w:rPr>
        <w:t>préremplie</w:t>
      </w:r>
    </w:p>
    <w:p w14:paraId="03B58B96" w14:textId="77777777" w:rsidR="00092F83" w:rsidRPr="002B65F7" w:rsidRDefault="00092F83" w:rsidP="007A1EC3">
      <w:pPr>
        <w:widowControl/>
      </w:pPr>
    </w:p>
    <w:p w14:paraId="03B58B97" w14:textId="050F2B9A" w:rsidR="00092F83" w:rsidRPr="002B65F7" w:rsidRDefault="00092F83" w:rsidP="007A1EC3">
      <w:pPr>
        <w:widowControl/>
      </w:pPr>
    </w:p>
    <w:p w14:paraId="4DF01FB4"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5.</w:t>
      </w:r>
      <w:r w:rsidRPr="002B65F7">
        <w:rPr>
          <w:b/>
          <w:bCs/>
        </w:rPr>
        <w:tab/>
        <w:t>MODE ET VOIE(S) D’ADMINISTRATION</w:t>
      </w:r>
    </w:p>
    <w:p w14:paraId="03B58B98" w14:textId="77777777" w:rsidR="00092F83" w:rsidRPr="002B65F7" w:rsidRDefault="00092F83" w:rsidP="007A1EC3">
      <w:pPr>
        <w:pStyle w:val="BodyText"/>
        <w:keepNext/>
        <w:widowControl/>
      </w:pPr>
    </w:p>
    <w:p w14:paraId="03B58B99" w14:textId="77777777" w:rsidR="00092F83" w:rsidRPr="002B65F7" w:rsidRDefault="00C31740" w:rsidP="007A1EC3">
      <w:pPr>
        <w:widowControl/>
      </w:pPr>
      <w:r w:rsidRPr="002B65F7">
        <w:t>Ne pas</w:t>
      </w:r>
      <w:r w:rsidRPr="002B65F7">
        <w:rPr>
          <w:spacing w:val="-1"/>
        </w:rPr>
        <w:t xml:space="preserve"> </w:t>
      </w:r>
      <w:r w:rsidRPr="002B65F7">
        <w:t>agiter.</w:t>
      </w:r>
    </w:p>
    <w:p w14:paraId="03B58B9A" w14:textId="4FCF9BEC" w:rsidR="00092F83" w:rsidRPr="002B65F7" w:rsidRDefault="009F073E" w:rsidP="007A1EC3">
      <w:pPr>
        <w:widowControl/>
      </w:pPr>
      <w:r>
        <w:t>Par v</w:t>
      </w:r>
      <w:r w:rsidR="00C31740" w:rsidRPr="002B65F7">
        <w:t>oie</w:t>
      </w:r>
      <w:r w:rsidR="00C31740" w:rsidRPr="002B65F7">
        <w:rPr>
          <w:spacing w:val="2"/>
        </w:rPr>
        <w:t xml:space="preserve"> </w:t>
      </w:r>
      <w:r w:rsidR="00C31740" w:rsidRPr="002B65F7">
        <w:t>sous-cutanée.</w:t>
      </w:r>
    </w:p>
    <w:p w14:paraId="03B58B9B" w14:textId="77777777" w:rsidR="00092F83" w:rsidRPr="002B65F7" w:rsidRDefault="00C31740" w:rsidP="007A1EC3">
      <w:pPr>
        <w:widowControl/>
      </w:pPr>
      <w:r w:rsidRPr="002B65F7">
        <w:t>Lire</w:t>
      </w:r>
      <w:r w:rsidRPr="002B65F7">
        <w:rPr>
          <w:spacing w:val="-5"/>
        </w:rPr>
        <w:t xml:space="preserve"> </w:t>
      </w:r>
      <w:r w:rsidRPr="002B65F7">
        <w:t>la</w:t>
      </w:r>
      <w:r w:rsidRPr="002B65F7">
        <w:rPr>
          <w:spacing w:val="-4"/>
        </w:rPr>
        <w:t xml:space="preserve"> </w:t>
      </w:r>
      <w:r w:rsidRPr="002B65F7">
        <w:t>notice</w:t>
      </w:r>
      <w:r w:rsidRPr="002B65F7">
        <w:rPr>
          <w:spacing w:val="-4"/>
        </w:rPr>
        <w:t xml:space="preserve"> </w:t>
      </w:r>
      <w:r w:rsidRPr="002B65F7">
        <w:t>avant</w:t>
      </w:r>
      <w:r w:rsidRPr="002B65F7">
        <w:rPr>
          <w:spacing w:val="-4"/>
        </w:rPr>
        <w:t xml:space="preserve"> </w:t>
      </w:r>
      <w:r w:rsidRPr="002B65F7">
        <w:t>utilisation.</w:t>
      </w:r>
    </w:p>
    <w:p w14:paraId="03B58B9C" w14:textId="77777777" w:rsidR="00092F83" w:rsidRPr="002B65F7" w:rsidRDefault="00092F83" w:rsidP="007A1EC3">
      <w:pPr>
        <w:widowControl/>
      </w:pPr>
    </w:p>
    <w:p w14:paraId="03B58B9D" w14:textId="336574ED" w:rsidR="00092F83" w:rsidRPr="002B65F7" w:rsidRDefault="00092F83" w:rsidP="007A1EC3">
      <w:pPr>
        <w:pStyle w:val="BodyText"/>
        <w:widowControl/>
      </w:pPr>
    </w:p>
    <w:p w14:paraId="193C1DB0"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rFonts w:eastAsia="TimesNewRoman,Bold"/>
          <w:b/>
          <w:bCs/>
        </w:rPr>
        <w:t>6.</w:t>
      </w:r>
      <w:r w:rsidRPr="002B65F7">
        <w:rPr>
          <w:rFonts w:eastAsia="TimesNewRoman,Bold"/>
          <w:b/>
          <w:bCs/>
        </w:rPr>
        <w:tab/>
        <w:t xml:space="preserve">MISE EN GARDE SPÉCIALE INDIQUANT QUE LE MÉDICAMENT DOIT ÊTRE </w:t>
      </w:r>
      <w:r w:rsidRPr="002B65F7">
        <w:rPr>
          <w:b/>
          <w:bCs/>
        </w:rPr>
        <w:t>CONSERVÉ</w:t>
      </w:r>
      <w:r w:rsidRPr="002B65F7">
        <w:rPr>
          <w:rFonts w:eastAsia="TimesNewRoman,Bold"/>
          <w:b/>
          <w:bCs/>
        </w:rPr>
        <w:t xml:space="preserve"> HORS DE VUE ET DE PORTÉE DES ENFANTS</w:t>
      </w:r>
    </w:p>
    <w:p w14:paraId="03B58B9E" w14:textId="77777777" w:rsidR="00092F83" w:rsidRPr="002B65F7" w:rsidRDefault="00092F83" w:rsidP="007A1EC3">
      <w:pPr>
        <w:keepNext/>
        <w:widowControl/>
      </w:pPr>
    </w:p>
    <w:p w14:paraId="03B58B9F" w14:textId="77777777" w:rsidR="00092F83" w:rsidRPr="002B65F7" w:rsidRDefault="00C31740" w:rsidP="007A1EC3">
      <w:pPr>
        <w:widowControl/>
      </w:pPr>
      <w:r w:rsidRPr="002B65F7">
        <w:t>Tenir</w:t>
      </w:r>
      <w:r w:rsidRPr="002B65F7">
        <w:rPr>
          <w:spacing w:val="-4"/>
        </w:rPr>
        <w:t xml:space="preserve"> </w:t>
      </w:r>
      <w:r w:rsidRPr="002B65F7">
        <w:t>hors</w:t>
      </w:r>
      <w:r w:rsidRPr="002B65F7">
        <w:rPr>
          <w:spacing w:val="-3"/>
        </w:rPr>
        <w:t xml:space="preserve"> </w:t>
      </w:r>
      <w:r w:rsidRPr="002B65F7">
        <w:t>de</w:t>
      </w:r>
      <w:r w:rsidRPr="002B65F7">
        <w:rPr>
          <w:spacing w:val="-3"/>
        </w:rPr>
        <w:t xml:space="preserve"> </w:t>
      </w:r>
      <w:r w:rsidRPr="002B65F7">
        <w:t>la</w:t>
      </w:r>
      <w:r w:rsidRPr="002B65F7">
        <w:rPr>
          <w:spacing w:val="-3"/>
        </w:rPr>
        <w:t xml:space="preserve"> </w:t>
      </w:r>
      <w:r w:rsidRPr="002B65F7">
        <w:t>vue</w:t>
      </w:r>
      <w:r w:rsidRPr="002B65F7">
        <w:rPr>
          <w:spacing w:val="-3"/>
        </w:rPr>
        <w:t xml:space="preserve"> </w:t>
      </w:r>
      <w:r w:rsidRPr="002B65F7">
        <w:t>et</w:t>
      </w:r>
      <w:r w:rsidRPr="002B65F7">
        <w:rPr>
          <w:spacing w:val="-3"/>
        </w:rPr>
        <w:t xml:space="preserve"> </w:t>
      </w:r>
      <w:r w:rsidRPr="002B65F7">
        <w:t>de</w:t>
      </w:r>
      <w:r w:rsidRPr="002B65F7">
        <w:rPr>
          <w:spacing w:val="-3"/>
        </w:rPr>
        <w:t xml:space="preserve"> </w:t>
      </w:r>
      <w:r w:rsidRPr="002B65F7">
        <w:t>la</w:t>
      </w:r>
      <w:r w:rsidRPr="002B65F7">
        <w:rPr>
          <w:spacing w:val="-5"/>
        </w:rPr>
        <w:t xml:space="preserve"> </w:t>
      </w:r>
      <w:r w:rsidRPr="002B65F7">
        <w:t>portée</w:t>
      </w:r>
      <w:r w:rsidRPr="002B65F7">
        <w:rPr>
          <w:spacing w:val="-3"/>
        </w:rPr>
        <w:t xml:space="preserve"> </w:t>
      </w:r>
      <w:r w:rsidRPr="002B65F7">
        <w:t>des</w:t>
      </w:r>
      <w:r w:rsidRPr="002B65F7">
        <w:rPr>
          <w:spacing w:val="-3"/>
        </w:rPr>
        <w:t xml:space="preserve"> </w:t>
      </w:r>
      <w:r w:rsidRPr="002B65F7">
        <w:rPr>
          <w:spacing w:val="-2"/>
        </w:rPr>
        <w:t>enfants.</w:t>
      </w:r>
    </w:p>
    <w:p w14:paraId="03B58BA0" w14:textId="77777777" w:rsidR="00092F83" w:rsidRPr="002B65F7" w:rsidRDefault="00092F83" w:rsidP="007A1EC3">
      <w:pPr>
        <w:widowControl/>
      </w:pPr>
    </w:p>
    <w:p w14:paraId="03B58BA1" w14:textId="0A17ECA4" w:rsidR="00092F83" w:rsidRPr="002B65F7" w:rsidRDefault="00092F83" w:rsidP="007A1EC3">
      <w:pPr>
        <w:widowControl/>
      </w:pPr>
    </w:p>
    <w:p w14:paraId="37630F91"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7.</w:t>
      </w:r>
      <w:r w:rsidRPr="002B65F7">
        <w:rPr>
          <w:b/>
          <w:bCs/>
        </w:rPr>
        <w:tab/>
        <w:t>AUTRE(S) MISE(S) EN GARDE SPÉCIALE(S), SI NÉCESSAIRE</w:t>
      </w:r>
    </w:p>
    <w:p w14:paraId="03B58BA2" w14:textId="77777777" w:rsidR="00092F83" w:rsidRPr="002B65F7" w:rsidRDefault="00092F83" w:rsidP="007A1EC3">
      <w:pPr>
        <w:pStyle w:val="BodyText"/>
        <w:keepNext/>
        <w:widowControl/>
      </w:pPr>
    </w:p>
    <w:p w14:paraId="03B58BA3" w14:textId="77777777" w:rsidR="00092F83" w:rsidRPr="002B65F7" w:rsidRDefault="00092F83" w:rsidP="007A1EC3">
      <w:pPr>
        <w:pStyle w:val="BodyText"/>
        <w:widowControl/>
      </w:pPr>
    </w:p>
    <w:p w14:paraId="37E90A9A"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8.</w:t>
      </w:r>
      <w:r w:rsidRPr="002B65F7">
        <w:rPr>
          <w:b/>
          <w:bCs/>
        </w:rPr>
        <w:tab/>
        <w:t>DATE DE PÉREMPTION</w:t>
      </w:r>
    </w:p>
    <w:p w14:paraId="03B58BA4" w14:textId="01D0AAF1" w:rsidR="00092F83" w:rsidRPr="002B65F7" w:rsidRDefault="00092F83" w:rsidP="007A1EC3">
      <w:pPr>
        <w:keepNext/>
        <w:widowControl/>
      </w:pPr>
    </w:p>
    <w:p w14:paraId="03B58BA6" w14:textId="77777777" w:rsidR="00092F83" w:rsidRPr="002B65F7" w:rsidRDefault="00C31740" w:rsidP="007A1EC3">
      <w:pPr>
        <w:widowControl/>
      </w:pPr>
      <w:r w:rsidRPr="002B65F7">
        <w:rPr>
          <w:spacing w:val="-5"/>
        </w:rPr>
        <w:t>EXP</w:t>
      </w:r>
    </w:p>
    <w:p w14:paraId="15399276" w14:textId="77777777" w:rsidR="00092F83" w:rsidRPr="002B65F7" w:rsidRDefault="00092F83" w:rsidP="007A1EC3">
      <w:pPr>
        <w:widowControl/>
      </w:pPr>
    </w:p>
    <w:p w14:paraId="15481BC9" w14:textId="77777777" w:rsidR="00535895" w:rsidRPr="002B65F7" w:rsidRDefault="00535895" w:rsidP="007A1EC3">
      <w:pPr>
        <w:widowControl/>
      </w:pPr>
    </w:p>
    <w:p w14:paraId="3150AF95" w14:textId="77777777" w:rsidR="007A1EC3" w:rsidRPr="002B65F7" w:rsidRDefault="007A1EC3" w:rsidP="00C20DD1">
      <w:pPr>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9.</w:t>
      </w:r>
      <w:r w:rsidRPr="002B65F7">
        <w:rPr>
          <w:b/>
          <w:bCs/>
        </w:rPr>
        <w:tab/>
        <w:t>PRÉCAUTIONS PARTICULIÈRES DE CONSERVATION</w:t>
      </w:r>
    </w:p>
    <w:p w14:paraId="03B58BA9" w14:textId="2653DDF6" w:rsidR="00092F83" w:rsidRPr="002B65F7" w:rsidRDefault="00092F83" w:rsidP="00C20DD1">
      <w:pPr>
        <w:widowControl/>
      </w:pPr>
    </w:p>
    <w:p w14:paraId="40EEDEAC" w14:textId="77777777" w:rsidR="00535895" w:rsidRPr="002B65F7" w:rsidRDefault="00C31740" w:rsidP="00C20DD1">
      <w:pPr>
        <w:widowControl/>
      </w:pPr>
      <w:r w:rsidRPr="002B65F7">
        <w:t>A conserver au réfrigérateur.</w:t>
      </w:r>
    </w:p>
    <w:p w14:paraId="03B58BAA" w14:textId="7D97BB06" w:rsidR="00092F83" w:rsidRPr="002B65F7" w:rsidRDefault="00C31740" w:rsidP="00C20DD1">
      <w:pPr>
        <w:widowControl/>
      </w:pPr>
      <w:r w:rsidRPr="002B65F7">
        <w:t>Ne pas congeler.</w:t>
      </w:r>
    </w:p>
    <w:p w14:paraId="03B58BAB" w14:textId="77777777" w:rsidR="00092F83" w:rsidRPr="002B65F7" w:rsidRDefault="00C31740" w:rsidP="00C20DD1">
      <w:pPr>
        <w:widowControl/>
      </w:pPr>
      <w:r w:rsidRPr="002B65F7">
        <w:t>Conserver la seringue préremplie dans l’emballage extérieur à l’abri de la lumière.</w:t>
      </w:r>
    </w:p>
    <w:p w14:paraId="03B58BAD" w14:textId="77777777" w:rsidR="00092F83" w:rsidRPr="002B65F7" w:rsidRDefault="00092F83" w:rsidP="004B12BC">
      <w:pPr>
        <w:pStyle w:val="BodyText"/>
        <w:keepLines/>
        <w:widowControl/>
      </w:pPr>
    </w:p>
    <w:p w14:paraId="03B58BAE" w14:textId="66C9678A" w:rsidR="00092F83" w:rsidRPr="002B65F7" w:rsidRDefault="00092F83" w:rsidP="004B12BC">
      <w:pPr>
        <w:pStyle w:val="BodyText"/>
        <w:keepLines/>
        <w:widowControl/>
      </w:pPr>
    </w:p>
    <w:p w14:paraId="26208939"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10.</w:t>
      </w:r>
      <w:r w:rsidRPr="002B65F7">
        <w:rPr>
          <w:b/>
          <w:bCs/>
        </w:rPr>
        <w:tab/>
        <w:t>PRÉCAUTIONS PARTICULIÈRES D’ELIMINATION DES MÉDICAMENTS NON UTILISÉS OU DES DÉCHETS PROVENANT DE CES MÉDICAMENTS S’IL Y A LIEU</w:t>
      </w:r>
    </w:p>
    <w:p w14:paraId="03B58BAF" w14:textId="77777777" w:rsidR="00092F83" w:rsidRPr="002B65F7" w:rsidRDefault="00092F83" w:rsidP="007A1EC3">
      <w:pPr>
        <w:keepNext/>
        <w:widowControl/>
      </w:pPr>
    </w:p>
    <w:p w14:paraId="03B58BB0" w14:textId="77777777" w:rsidR="00092F83" w:rsidRPr="002B65F7" w:rsidRDefault="00092F83" w:rsidP="007A1EC3">
      <w:pPr>
        <w:widowControl/>
      </w:pPr>
    </w:p>
    <w:p w14:paraId="436CCF27"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11.</w:t>
      </w:r>
      <w:r w:rsidRPr="002B65F7">
        <w:rPr>
          <w:b/>
          <w:bCs/>
        </w:rPr>
        <w:tab/>
        <w:t>NOM ET ADRESSE DU TITULAIRE DE L’AUTORISATION DE MISE SUR LE MARCHÉ</w:t>
      </w:r>
    </w:p>
    <w:p w14:paraId="03B58BB1" w14:textId="12EFCDC0" w:rsidR="00092F83" w:rsidRPr="002B65F7" w:rsidRDefault="00092F83" w:rsidP="007A1EC3">
      <w:pPr>
        <w:keepNext/>
        <w:widowControl/>
      </w:pPr>
    </w:p>
    <w:p w14:paraId="06854442" w14:textId="77777777" w:rsidR="005816E3" w:rsidRPr="002B65F7" w:rsidRDefault="005816E3" w:rsidP="007A1EC3">
      <w:pPr>
        <w:rPr>
          <w:lang w:val="en-GB"/>
        </w:rPr>
      </w:pPr>
      <w:r w:rsidRPr="002B65F7">
        <w:rPr>
          <w:lang w:val="en-GB"/>
        </w:rPr>
        <w:t>Amgen Technology (Ireland) UC,</w:t>
      </w:r>
    </w:p>
    <w:p w14:paraId="41985D5D" w14:textId="77777777" w:rsidR="005816E3" w:rsidRPr="002B65F7" w:rsidRDefault="005816E3" w:rsidP="007A1EC3">
      <w:pPr>
        <w:rPr>
          <w:lang w:val="en-GB"/>
        </w:rPr>
      </w:pPr>
      <w:r w:rsidRPr="002B65F7">
        <w:rPr>
          <w:lang w:val="en-GB"/>
        </w:rPr>
        <w:t>Pottery Road,</w:t>
      </w:r>
    </w:p>
    <w:p w14:paraId="0D428247" w14:textId="77777777" w:rsidR="005816E3" w:rsidRPr="002B65F7" w:rsidRDefault="005816E3" w:rsidP="007A1EC3">
      <w:r w:rsidRPr="002B65F7">
        <w:t>Dun Laoghaire,</w:t>
      </w:r>
    </w:p>
    <w:p w14:paraId="4B8CA80C" w14:textId="77777777" w:rsidR="005816E3" w:rsidRPr="002B65F7" w:rsidRDefault="005816E3" w:rsidP="007A1EC3">
      <w:r w:rsidRPr="002B65F7">
        <w:t>Co Dublin,</w:t>
      </w:r>
    </w:p>
    <w:p w14:paraId="6E17AE6C" w14:textId="5D5668DA" w:rsidR="005816E3" w:rsidRPr="002B65F7" w:rsidRDefault="005816E3" w:rsidP="007A1EC3">
      <w:r w:rsidRPr="002B65F7">
        <w:t>Irlande</w:t>
      </w:r>
    </w:p>
    <w:p w14:paraId="03B58BB5" w14:textId="77777777" w:rsidR="00092F83" w:rsidRPr="002B65F7" w:rsidRDefault="00092F83" w:rsidP="007A1EC3">
      <w:pPr>
        <w:pStyle w:val="BodyText"/>
        <w:widowControl/>
      </w:pPr>
    </w:p>
    <w:p w14:paraId="03B58BB6" w14:textId="26023594" w:rsidR="00092F83" w:rsidRPr="002B65F7" w:rsidRDefault="00092F83" w:rsidP="007A1EC3">
      <w:pPr>
        <w:pStyle w:val="BodyText"/>
        <w:widowControl/>
      </w:pPr>
    </w:p>
    <w:p w14:paraId="20BAF942"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12.</w:t>
      </w:r>
      <w:r w:rsidRPr="002B65F7">
        <w:rPr>
          <w:b/>
          <w:bCs/>
        </w:rPr>
        <w:tab/>
        <w:t>NUMÉRO(S) D’AUTORISATION DE MISE SUR LE MARCHÉ</w:t>
      </w:r>
    </w:p>
    <w:p w14:paraId="03B58BB7" w14:textId="77777777" w:rsidR="00092F83" w:rsidRPr="002B65F7" w:rsidRDefault="00092F83" w:rsidP="007A1EC3">
      <w:pPr>
        <w:keepNext/>
        <w:widowControl/>
      </w:pPr>
    </w:p>
    <w:p w14:paraId="065E0AD2" w14:textId="2A16A6E5" w:rsidR="005816E3" w:rsidRPr="002B65F7" w:rsidRDefault="005816E3" w:rsidP="007A1EC3">
      <w:r w:rsidRPr="002B65F7">
        <w:t>EU/1/</w:t>
      </w:r>
      <w:r w:rsidR="006C6BA5" w:rsidRPr="002B65F7">
        <w:t>24</w:t>
      </w:r>
      <w:r w:rsidRPr="002B65F7">
        <w:t>/</w:t>
      </w:r>
      <w:r w:rsidR="006C6BA5" w:rsidRPr="002B65F7">
        <w:t>1823</w:t>
      </w:r>
      <w:r w:rsidRPr="002B65F7">
        <w:rPr>
          <w:spacing w:val="1"/>
        </w:rPr>
        <w:t>/</w:t>
      </w:r>
      <w:r w:rsidR="006C6BA5" w:rsidRPr="002B65F7">
        <w:t>002</w:t>
      </w:r>
    </w:p>
    <w:p w14:paraId="03B58BB9" w14:textId="77777777" w:rsidR="00092F83" w:rsidRPr="002B65F7" w:rsidRDefault="00092F83" w:rsidP="007A1EC3">
      <w:pPr>
        <w:widowControl/>
      </w:pPr>
    </w:p>
    <w:p w14:paraId="03B58BBA" w14:textId="4E9C2C23" w:rsidR="00092F83" w:rsidRPr="002B65F7" w:rsidRDefault="00092F83" w:rsidP="007A1EC3">
      <w:pPr>
        <w:pStyle w:val="BodyText"/>
        <w:widowControl/>
      </w:pPr>
    </w:p>
    <w:p w14:paraId="714B6939"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13.</w:t>
      </w:r>
      <w:r w:rsidRPr="002B65F7">
        <w:rPr>
          <w:b/>
          <w:bCs/>
        </w:rPr>
        <w:tab/>
        <w:t>NUMÉRO DU LOT</w:t>
      </w:r>
    </w:p>
    <w:p w14:paraId="03B58BBB" w14:textId="77777777" w:rsidR="00092F83" w:rsidRPr="002B65F7" w:rsidRDefault="00092F83" w:rsidP="007A1EC3">
      <w:pPr>
        <w:keepNext/>
        <w:widowControl/>
      </w:pPr>
    </w:p>
    <w:p w14:paraId="03B58BBC" w14:textId="77777777" w:rsidR="00092F83" w:rsidRPr="002B65F7" w:rsidRDefault="00C31740" w:rsidP="007A1EC3">
      <w:pPr>
        <w:widowControl/>
      </w:pPr>
      <w:r w:rsidRPr="002B65F7">
        <w:rPr>
          <w:spacing w:val="-5"/>
        </w:rPr>
        <w:t>Lot</w:t>
      </w:r>
    </w:p>
    <w:p w14:paraId="03B58BBD" w14:textId="77777777" w:rsidR="00092F83" w:rsidRPr="002B65F7" w:rsidRDefault="00092F83" w:rsidP="007A1EC3">
      <w:pPr>
        <w:widowControl/>
      </w:pPr>
    </w:p>
    <w:p w14:paraId="03B58BBE" w14:textId="3DD4F020" w:rsidR="00092F83" w:rsidRPr="002B65F7" w:rsidRDefault="00092F83" w:rsidP="007A1EC3">
      <w:pPr>
        <w:widowControl/>
      </w:pPr>
    </w:p>
    <w:p w14:paraId="4A660057"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14.</w:t>
      </w:r>
      <w:r w:rsidRPr="002B65F7">
        <w:rPr>
          <w:b/>
          <w:bCs/>
        </w:rPr>
        <w:tab/>
        <w:t>CONDITIONS DE PRESCRIPTION ET DE DÉLIVRANCE</w:t>
      </w:r>
    </w:p>
    <w:p w14:paraId="03B58BBF" w14:textId="77777777" w:rsidR="00092F83" w:rsidRPr="002B65F7" w:rsidRDefault="00092F83" w:rsidP="007A1EC3">
      <w:pPr>
        <w:pStyle w:val="BodyText"/>
        <w:keepNext/>
        <w:widowControl/>
      </w:pPr>
    </w:p>
    <w:p w14:paraId="03B58BC0" w14:textId="77777777" w:rsidR="00092F83" w:rsidRPr="002B65F7" w:rsidRDefault="00092F83" w:rsidP="007A1EC3">
      <w:pPr>
        <w:pStyle w:val="BodyText"/>
        <w:widowControl/>
      </w:pPr>
    </w:p>
    <w:p w14:paraId="2DF19875"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15.</w:t>
      </w:r>
      <w:r w:rsidRPr="002B65F7">
        <w:rPr>
          <w:b/>
          <w:bCs/>
        </w:rPr>
        <w:tab/>
        <w:t>INDICATIONS D’UTILISATION</w:t>
      </w:r>
    </w:p>
    <w:p w14:paraId="03B58BC1" w14:textId="43688C42" w:rsidR="00092F83" w:rsidRPr="002B65F7" w:rsidRDefault="00092F83" w:rsidP="007A1EC3">
      <w:pPr>
        <w:keepNext/>
        <w:widowControl/>
      </w:pPr>
    </w:p>
    <w:p w14:paraId="03B58BC2" w14:textId="77777777" w:rsidR="00092F83" w:rsidRPr="002B65F7" w:rsidRDefault="00092F83" w:rsidP="007A1EC3">
      <w:pPr>
        <w:pStyle w:val="BodyText"/>
        <w:widowControl/>
      </w:pPr>
    </w:p>
    <w:p w14:paraId="06EEA77D"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16.</w:t>
      </w:r>
      <w:r w:rsidRPr="002B65F7">
        <w:rPr>
          <w:b/>
          <w:bCs/>
        </w:rPr>
        <w:tab/>
        <w:t>INFORMATIONS EN BRAILLE</w:t>
      </w:r>
    </w:p>
    <w:p w14:paraId="03B58BC5" w14:textId="77777777" w:rsidR="00092F83" w:rsidRPr="002B65F7" w:rsidRDefault="00092F83" w:rsidP="007A1EC3">
      <w:pPr>
        <w:keepNext/>
        <w:widowControl/>
      </w:pPr>
    </w:p>
    <w:p w14:paraId="03B58BC6" w14:textId="23DA6749" w:rsidR="00092F83" w:rsidRPr="002B65F7" w:rsidRDefault="005816E3" w:rsidP="007A1EC3">
      <w:pPr>
        <w:widowControl/>
      </w:pPr>
      <w:r w:rsidRPr="002B65F7">
        <w:t>WEZENLA</w:t>
      </w:r>
      <w:r w:rsidR="00C31740" w:rsidRPr="002B65F7">
        <w:rPr>
          <w:spacing w:val="-5"/>
        </w:rPr>
        <w:t xml:space="preserve"> </w:t>
      </w:r>
      <w:r w:rsidR="00C31740" w:rsidRPr="002B65F7">
        <w:t>45</w:t>
      </w:r>
      <w:r w:rsidR="00261BB0" w:rsidRPr="002B65F7">
        <w:rPr>
          <w:spacing w:val="-3"/>
        </w:rPr>
        <w:t> </w:t>
      </w:r>
      <w:r w:rsidR="00C31740" w:rsidRPr="002B65F7">
        <w:rPr>
          <w:spacing w:val="-5"/>
        </w:rPr>
        <w:t>mg</w:t>
      </w:r>
      <w:r w:rsidR="002D09FD" w:rsidRPr="002B65F7">
        <w:rPr>
          <w:spacing w:val="-5"/>
        </w:rPr>
        <w:t xml:space="preserve"> </w:t>
      </w:r>
      <w:r w:rsidR="002D09FD" w:rsidRPr="002B65F7">
        <w:t>seringue</w:t>
      </w:r>
    </w:p>
    <w:p w14:paraId="03B58BC7" w14:textId="77777777" w:rsidR="00092F83" w:rsidRPr="002B65F7" w:rsidRDefault="00092F83" w:rsidP="007A1EC3">
      <w:pPr>
        <w:pStyle w:val="BodyText"/>
        <w:widowControl/>
      </w:pPr>
    </w:p>
    <w:p w14:paraId="03B58BC8" w14:textId="13DFFFD7" w:rsidR="00092F83" w:rsidRPr="002B65F7" w:rsidRDefault="00092F83" w:rsidP="007A1EC3">
      <w:pPr>
        <w:widowControl/>
      </w:pPr>
    </w:p>
    <w:p w14:paraId="075F2B0C"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17.</w:t>
      </w:r>
      <w:r w:rsidRPr="002B65F7">
        <w:rPr>
          <w:b/>
          <w:bCs/>
        </w:rPr>
        <w:tab/>
        <w:t>IDENTIFIANT UNIQUE - CODE-BARRES 2D</w:t>
      </w:r>
    </w:p>
    <w:p w14:paraId="03B58BC9" w14:textId="77777777" w:rsidR="00092F83" w:rsidRPr="002B65F7" w:rsidRDefault="00092F83" w:rsidP="007A1EC3">
      <w:pPr>
        <w:keepNext/>
        <w:widowControl/>
      </w:pPr>
    </w:p>
    <w:p w14:paraId="03B58BCA" w14:textId="77777777" w:rsidR="00092F83" w:rsidRPr="002B65F7" w:rsidRDefault="00C31740" w:rsidP="007A1EC3">
      <w:pPr>
        <w:widowControl/>
      </w:pPr>
      <w:r>
        <w:rPr>
          <w:highlight w:val="lightGray"/>
        </w:rPr>
        <w:t>code-barres 2D portant l'identifiant unique inclus.</w:t>
      </w:r>
    </w:p>
    <w:p w14:paraId="7CD99AB1" w14:textId="77777777" w:rsidR="00092F83" w:rsidRPr="002B65F7" w:rsidRDefault="00092F83" w:rsidP="007A1EC3">
      <w:pPr>
        <w:widowControl/>
      </w:pPr>
    </w:p>
    <w:p w14:paraId="6919E820" w14:textId="77777777" w:rsidR="00261BB0" w:rsidRPr="002B65F7" w:rsidRDefault="00261BB0" w:rsidP="007A1EC3">
      <w:pPr>
        <w:widowControl/>
      </w:pPr>
    </w:p>
    <w:p w14:paraId="073693E2"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18.</w:t>
      </w:r>
      <w:r w:rsidRPr="002B65F7">
        <w:rPr>
          <w:b/>
          <w:bCs/>
        </w:rPr>
        <w:tab/>
        <w:t>IDENTIFIANT UNIQUE - DONNÉES LISIBLES PAR LES HUMAINS</w:t>
      </w:r>
    </w:p>
    <w:p w14:paraId="03B58BCC" w14:textId="655C8496" w:rsidR="00092F83" w:rsidRPr="002B65F7" w:rsidRDefault="00092F83" w:rsidP="007A1EC3">
      <w:pPr>
        <w:keepNext/>
        <w:widowControl/>
      </w:pPr>
    </w:p>
    <w:p w14:paraId="64EE2636" w14:textId="6427E035" w:rsidR="00261BB0" w:rsidRPr="002B65F7" w:rsidRDefault="00C31740" w:rsidP="007A1EC3">
      <w:pPr>
        <w:widowControl/>
      </w:pPr>
      <w:r w:rsidRPr="002B65F7">
        <w:t xml:space="preserve">PC </w:t>
      </w:r>
    </w:p>
    <w:p w14:paraId="1D9524C0" w14:textId="68D134D5" w:rsidR="00261BB0" w:rsidRPr="002B65F7" w:rsidRDefault="00C31740" w:rsidP="007A1EC3">
      <w:pPr>
        <w:widowControl/>
      </w:pPr>
      <w:r w:rsidRPr="002B65F7">
        <w:t xml:space="preserve">SN </w:t>
      </w:r>
    </w:p>
    <w:p w14:paraId="03B58BCD" w14:textId="3CE4B894" w:rsidR="00092F83" w:rsidRPr="002B65F7" w:rsidRDefault="00C31740" w:rsidP="007A1EC3">
      <w:pPr>
        <w:widowControl/>
      </w:pPr>
      <w:r>
        <w:rPr>
          <w:highlight w:val="lightGray"/>
        </w:rPr>
        <w:t>NN</w:t>
      </w:r>
      <w:r w:rsidRPr="002B65F7">
        <w:rPr>
          <w:spacing w:val="-2"/>
        </w:rPr>
        <w:t xml:space="preserve"> </w:t>
      </w:r>
    </w:p>
    <w:p w14:paraId="48C1F25A" w14:textId="62C53BC4" w:rsidR="005816E3" w:rsidRPr="002B65F7" w:rsidRDefault="007129D2" w:rsidP="004B12BC">
      <w:pPr>
        <w:keepNext/>
        <w:widowControl/>
        <w:pBdr>
          <w:top w:val="single" w:sz="4" w:space="1" w:color="auto"/>
          <w:left w:val="single" w:sz="4" w:space="4" w:color="auto"/>
          <w:bottom w:val="single" w:sz="4" w:space="1" w:color="auto"/>
          <w:right w:val="single" w:sz="4" w:space="4" w:color="auto"/>
        </w:pBdr>
        <w:rPr>
          <w:b/>
          <w:noProof/>
        </w:rPr>
      </w:pPr>
      <w:r w:rsidRPr="002B65F7">
        <w:br w:type="page"/>
      </w:r>
      <w:r w:rsidR="005816E3" w:rsidRPr="002B65F7">
        <w:rPr>
          <w:b/>
          <w:bCs/>
        </w:rPr>
        <w:lastRenderedPageBreak/>
        <w:t xml:space="preserve">MENTIONS MINIMALES DEVANT FIGURER </w:t>
      </w:r>
      <w:r w:rsidR="00397416" w:rsidRPr="002B65F7">
        <w:rPr>
          <w:b/>
          <w:noProof/>
        </w:rPr>
        <w:t>SUR LES PLAQUETTES OU LES FILMS THERMOSOUDÉS</w:t>
      </w:r>
    </w:p>
    <w:p w14:paraId="537B4D1F" w14:textId="77777777" w:rsidR="005816E3" w:rsidRPr="002B65F7" w:rsidRDefault="005816E3" w:rsidP="005816E3">
      <w:pPr>
        <w:pBdr>
          <w:top w:val="single" w:sz="4" w:space="1" w:color="auto"/>
          <w:left w:val="single" w:sz="4" w:space="4" w:color="auto"/>
          <w:bottom w:val="single" w:sz="4" w:space="1" w:color="auto"/>
          <w:right w:val="single" w:sz="4" w:space="4" w:color="auto"/>
        </w:pBdr>
        <w:rPr>
          <w:b/>
          <w:noProof/>
        </w:rPr>
      </w:pPr>
    </w:p>
    <w:p w14:paraId="3C4A83B7" w14:textId="41F99B54" w:rsidR="005816E3" w:rsidRPr="002B65F7" w:rsidRDefault="00397416" w:rsidP="005816E3">
      <w:pPr>
        <w:pBdr>
          <w:top w:val="single" w:sz="4" w:space="1" w:color="auto"/>
          <w:left w:val="single" w:sz="4" w:space="4" w:color="auto"/>
          <w:bottom w:val="single" w:sz="4" w:space="1" w:color="auto"/>
          <w:right w:val="single" w:sz="4" w:space="4" w:color="auto"/>
        </w:pBdr>
        <w:rPr>
          <w:b/>
          <w:noProof/>
        </w:rPr>
      </w:pPr>
      <w:r w:rsidRPr="002B65F7">
        <w:rPr>
          <w:b/>
        </w:rPr>
        <w:t xml:space="preserve">SERINGUE PRÉREMPLIE SOUS </w:t>
      </w:r>
      <w:r w:rsidR="002D09FD" w:rsidRPr="002B65F7">
        <w:rPr>
          <w:b/>
        </w:rPr>
        <w:t>PLAQUETTE THERMOSOUD</w:t>
      </w:r>
      <w:r w:rsidR="002D09FD" w:rsidRPr="002B65F7">
        <w:rPr>
          <w:b/>
          <w:noProof/>
        </w:rPr>
        <w:t>É</w:t>
      </w:r>
      <w:r w:rsidR="002D09FD" w:rsidRPr="002B65F7">
        <w:rPr>
          <w:b/>
        </w:rPr>
        <w:t>E</w:t>
      </w:r>
    </w:p>
    <w:p w14:paraId="11ABDB13" w14:textId="77777777" w:rsidR="005816E3" w:rsidRPr="002B65F7" w:rsidRDefault="005816E3" w:rsidP="005816E3">
      <w:pPr>
        <w:rPr>
          <w:noProof/>
        </w:rPr>
      </w:pPr>
    </w:p>
    <w:p w14:paraId="09002858" w14:textId="77777777" w:rsidR="005816E3" w:rsidRPr="002B65F7" w:rsidRDefault="005816E3" w:rsidP="005816E3">
      <w:pPr>
        <w:rPr>
          <w:noProof/>
        </w:rPr>
      </w:pPr>
    </w:p>
    <w:p w14:paraId="66187389" w14:textId="55DC282A" w:rsidR="005816E3" w:rsidRPr="002B65F7" w:rsidRDefault="005816E3" w:rsidP="00EE176F">
      <w:pPr>
        <w:pBdr>
          <w:top w:val="single" w:sz="4" w:space="1" w:color="auto"/>
          <w:left w:val="single" w:sz="4" w:space="4" w:color="auto"/>
          <w:bottom w:val="single" w:sz="4" w:space="1" w:color="auto"/>
          <w:right w:val="single" w:sz="4" w:space="4" w:color="auto"/>
        </w:pBdr>
        <w:ind w:left="567" w:hanging="567"/>
        <w:outlineLvl w:val="0"/>
        <w:rPr>
          <w:b/>
          <w:noProof/>
        </w:rPr>
      </w:pPr>
      <w:r w:rsidRPr="002B65F7">
        <w:rPr>
          <w:b/>
          <w:noProof/>
        </w:rPr>
        <w:t>1.</w:t>
      </w:r>
      <w:r w:rsidRPr="002B65F7">
        <w:rPr>
          <w:b/>
          <w:noProof/>
        </w:rPr>
        <w:tab/>
      </w:r>
      <w:r w:rsidR="00397416" w:rsidRPr="002B65F7">
        <w:rPr>
          <w:b/>
          <w:bCs/>
        </w:rPr>
        <w:t>DÉNOMINATION DU MÉDICAMENT</w:t>
      </w:r>
    </w:p>
    <w:p w14:paraId="5315381E" w14:textId="77777777" w:rsidR="005816E3" w:rsidRPr="002B65F7" w:rsidRDefault="005816E3" w:rsidP="005816E3">
      <w:pPr>
        <w:rPr>
          <w:i/>
          <w:noProof/>
        </w:rPr>
      </w:pPr>
    </w:p>
    <w:p w14:paraId="7016BF92" w14:textId="37631A2F" w:rsidR="005816E3" w:rsidRPr="002B65F7" w:rsidRDefault="005816E3" w:rsidP="005816E3">
      <w:r w:rsidRPr="002B65F7">
        <w:t>WEZENLA 45 mg inject</w:t>
      </w:r>
      <w:r w:rsidR="00397416" w:rsidRPr="002B65F7">
        <w:t>able</w:t>
      </w:r>
    </w:p>
    <w:p w14:paraId="33C03ABA" w14:textId="73A3AB05" w:rsidR="005816E3" w:rsidRPr="002B65F7" w:rsidRDefault="0071390F" w:rsidP="005816E3">
      <w:r w:rsidRPr="002B65F7">
        <w:t>ustekinumab</w:t>
      </w:r>
    </w:p>
    <w:p w14:paraId="7099C09E" w14:textId="77777777" w:rsidR="005816E3" w:rsidRPr="002B65F7" w:rsidRDefault="005816E3" w:rsidP="005816E3"/>
    <w:p w14:paraId="557F5F70" w14:textId="77777777" w:rsidR="005816E3" w:rsidRPr="002B65F7" w:rsidRDefault="005816E3" w:rsidP="005816E3"/>
    <w:p w14:paraId="127D3736" w14:textId="2B26F883" w:rsidR="005816E3" w:rsidRPr="002B65F7" w:rsidRDefault="005816E3" w:rsidP="00EE176F">
      <w:pPr>
        <w:pBdr>
          <w:top w:val="single" w:sz="4" w:space="1" w:color="auto"/>
          <w:left w:val="single" w:sz="4" w:space="4" w:color="auto"/>
          <w:bottom w:val="single" w:sz="4" w:space="1" w:color="auto"/>
          <w:right w:val="single" w:sz="4" w:space="4" w:color="auto"/>
        </w:pBdr>
        <w:ind w:left="567" w:hanging="567"/>
        <w:outlineLvl w:val="0"/>
        <w:rPr>
          <w:b/>
        </w:rPr>
      </w:pPr>
      <w:r w:rsidRPr="002B65F7">
        <w:rPr>
          <w:b/>
        </w:rPr>
        <w:t>2.</w:t>
      </w:r>
      <w:r w:rsidRPr="002B65F7">
        <w:rPr>
          <w:b/>
        </w:rPr>
        <w:tab/>
      </w:r>
      <w:r w:rsidR="00397416" w:rsidRPr="002B65F7">
        <w:rPr>
          <w:b/>
          <w:bCs/>
        </w:rPr>
        <w:t>NOM DU TITULAIRE DE L’AUTORISATION DE MISE SUR LE MARCHÉ</w:t>
      </w:r>
    </w:p>
    <w:p w14:paraId="68BBDF31" w14:textId="77777777" w:rsidR="005816E3" w:rsidRPr="002B65F7" w:rsidRDefault="005816E3" w:rsidP="005816E3">
      <w:pPr>
        <w:rPr>
          <w:noProof/>
        </w:rPr>
      </w:pPr>
    </w:p>
    <w:p w14:paraId="0A6E4D12" w14:textId="77777777" w:rsidR="005816E3" w:rsidRPr="002B65F7" w:rsidRDefault="005816E3" w:rsidP="005816E3">
      <w:pPr>
        <w:rPr>
          <w:noProof/>
        </w:rPr>
      </w:pPr>
      <w:r w:rsidRPr="002B65F7">
        <w:t>Amgen</w:t>
      </w:r>
    </w:p>
    <w:p w14:paraId="448F5F17" w14:textId="77777777" w:rsidR="005816E3" w:rsidRPr="002B65F7" w:rsidRDefault="005816E3" w:rsidP="005816E3">
      <w:pPr>
        <w:rPr>
          <w:noProof/>
        </w:rPr>
      </w:pPr>
    </w:p>
    <w:p w14:paraId="4B3FCDFF" w14:textId="77777777" w:rsidR="005816E3" w:rsidRPr="002B65F7" w:rsidRDefault="005816E3" w:rsidP="005816E3">
      <w:pPr>
        <w:rPr>
          <w:noProof/>
        </w:rPr>
      </w:pPr>
    </w:p>
    <w:p w14:paraId="69CE84E7" w14:textId="410C8918" w:rsidR="005816E3" w:rsidRPr="002B65F7" w:rsidRDefault="005816E3" w:rsidP="00EE176F">
      <w:pPr>
        <w:pBdr>
          <w:top w:val="single" w:sz="4" w:space="1" w:color="auto"/>
          <w:left w:val="single" w:sz="4" w:space="4" w:color="auto"/>
          <w:bottom w:val="single" w:sz="4" w:space="2" w:color="auto"/>
          <w:right w:val="single" w:sz="4" w:space="4" w:color="auto"/>
        </w:pBdr>
        <w:ind w:left="567" w:hanging="567"/>
        <w:outlineLvl w:val="0"/>
        <w:rPr>
          <w:b/>
          <w:noProof/>
        </w:rPr>
      </w:pPr>
      <w:r w:rsidRPr="002B65F7">
        <w:rPr>
          <w:b/>
          <w:noProof/>
        </w:rPr>
        <w:t>3.</w:t>
      </w:r>
      <w:r w:rsidRPr="002B65F7">
        <w:rPr>
          <w:b/>
          <w:noProof/>
        </w:rPr>
        <w:tab/>
        <w:t>DATE</w:t>
      </w:r>
      <w:r w:rsidR="00397416" w:rsidRPr="002B65F7">
        <w:rPr>
          <w:b/>
          <w:noProof/>
        </w:rPr>
        <w:t xml:space="preserve"> DE PÉREMPTION</w:t>
      </w:r>
    </w:p>
    <w:p w14:paraId="32CD86E2" w14:textId="77777777" w:rsidR="005816E3" w:rsidRPr="002B65F7" w:rsidRDefault="005816E3" w:rsidP="005816E3">
      <w:pPr>
        <w:rPr>
          <w:noProof/>
        </w:rPr>
      </w:pPr>
    </w:p>
    <w:p w14:paraId="11BC5456" w14:textId="77777777" w:rsidR="005816E3" w:rsidRPr="002B65F7" w:rsidRDefault="005816E3" w:rsidP="005816E3">
      <w:pPr>
        <w:rPr>
          <w:noProof/>
        </w:rPr>
      </w:pPr>
      <w:r w:rsidRPr="002B65F7">
        <w:rPr>
          <w:noProof/>
        </w:rPr>
        <w:t>EXP</w:t>
      </w:r>
    </w:p>
    <w:p w14:paraId="00FC1E9E" w14:textId="77777777" w:rsidR="005816E3" w:rsidRPr="002B65F7" w:rsidRDefault="005816E3" w:rsidP="005816E3">
      <w:pPr>
        <w:rPr>
          <w:noProof/>
        </w:rPr>
      </w:pPr>
    </w:p>
    <w:p w14:paraId="632F4FCA" w14:textId="77777777" w:rsidR="005816E3" w:rsidRPr="002B65F7" w:rsidRDefault="005816E3" w:rsidP="005816E3">
      <w:pPr>
        <w:rPr>
          <w:noProof/>
        </w:rPr>
      </w:pPr>
    </w:p>
    <w:p w14:paraId="2914E1A9" w14:textId="3C3D2E38" w:rsidR="005816E3" w:rsidRPr="002B65F7" w:rsidRDefault="005816E3" w:rsidP="00EE176F">
      <w:pPr>
        <w:pBdr>
          <w:top w:val="single" w:sz="4" w:space="1" w:color="auto"/>
          <w:left w:val="single" w:sz="4" w:space="4" w:color="auto"/>
          <w:bottom w:val="single" w:sz="4" w:space="1" w:color="auto"/>
          <w:right w:val="single" w:sz="4" w:space="4" w:color="auto"/>
        </w:pBdr>
        <w:ind w:left="567" w:hanging="567"/>
        <w:outlineLvl w:val="0"/>
        <w:rPr>
          <w:b/>
          <w:noProof/>
        </w:rPr>
      </w:pPr>
      <w:r w:rsidRPr="002B65F7">
        <w:rPr>
          <w:b/>
          <w:noProof/>
        </w:rPr>
        <w:t>4.</w:t>
      </w:r>
      <w:r w:rsidRPr="002B65F7">
        <w:rPr>
          <w:b/>
          <w:noProof/>
        </w:rPr>
        <w:tab/>
      </w:r>
      <w:r w:rsidR="00397416" w:rsidRPr="002B65F7">
        <w:rPr>
          <w:b/>
          <w:noProof/>
        </w:rPr>
        <w:t>NUMÉRO DU LOT&lt;, CODES DON ET PRODUIT&gt;</w:t>
      </w:r>
    </w:p>
    <w:p w14:paraId="2121D734" w14:textId="77777777" w:rsidR="005816E3" w:rsidRPr="002B65F7" w:rsidRDefault="005816E3" w:rsidP="005816E3">
      <w:pPr>
        <w:rPr>
          <w:noProof/>
        </w:rPr>
      </w:pPr>
    </w:p>
    <w:p w14:paraId="2A49B252" w14:textId="77777777" w:rsidR="005816E3" w:rsidRPr="002B65F7" w:rsidRDefault="005816E3" w:rsidP="005816E3">
      <w:pPr>
        <w:rPr>
          <w:noProof/>
        </w:rPr>
      </w:pPr>
      <w:r w:rsidRPr="002B65F7">
        <w:rPr>
          <w:noProof/>
        </w:rPr>
        <w:t>Lot</w:t>
      </w:r>
    </w:p>
    <w:p w14:paraId="684AB1C1" w14:textId="77777777" w:rsidR="005816E3" w:rsidRPr="002B65F7" w:rsidRDefault="005816E3" w:rsidP="005816E3">
      <w:pPr>
        <w:rPr>
          <w:noProof/>
        </w:rPr>
      </w:pPr>
    </w:p>
    <w:p w14:paraId="14921B46" w14:textId="77777777" w:rsidR="005816E3" w:rsidRPr="002B65F7" w:rsidRDefault="005816E3" w:rsidP="005816E3">
      <w:pPr>
        <w:rPr>
          <w:noProof/>
        </w:rPr>
      </w:pPr>
    </w:p>
    <w:p w14:paraId="442CFDF5" w14:textId="33A9185E" w:rsidR="005816E3" w:rsidRPr="002B65F7" w:rsidRDefault="005816E3" w:rsidP="00EE176F">
      <w:pPr>
        <w:pBdr>
          <w:top w:val="single" w:sz="4" w:space="1" w:color="auto"/>
          <w:left w:val="single" w:sz="4" w:space="4" w:color="auto"/>
          <w:bottom w:val="single" w:sz="4" w:space="1" w:color="auto"/>
          <w:right w:val="single" w:sz="4" w:space="4" w:color="auto"/>
        </w:pBdr>
        <w:ind w:left="567" w:hanging="567"/>
        <w:outlineLvl w:val="0"/>
        <w:rPr>
          <w:b/>
          <w:noProof/>
        </w:rPr>
      </w:pPr>
      <w:r w:rsidRPr="002B65F7">
        <w:rPr>
          <w:b/>
          <w:noProof/>
        </w:rPr>
        <w:t>5.</w:t>
      </w:r>
      <w:r w:rsidRPr="002B65F7">
        <w:rPr>
          <w:b/>
          <w:noProof/>
        </w:rPr>
        <w:tab/>
      </w:r>
      <w:r w:rsidR="00397416" w:rsidRPr="002B65F7">
        <w:rPr>
          <w:b/>
          <w:noProof/>
        </w:rPr>
        <w:t>AUTRE</w:t>
      </w:r>
    </w:p>
    <w:p w14:paraId="0D177C52" w14:textId="77777777" w:rsidR="005816E3" w:rsidRPr="002B65F7" w:rsidRDefault="005816E3" w:rsidP="005816E3">
      <w:pPr>
        <w:rPr>
          <w:noProof/>
        </w:rPr>
      </w:pPr>
    </w:p>
    <w:p w14:paraId="590900DF" w14:textId="52594DCB" w:rsidR="005816E3" w:rsidRPr="002B65F7" w:rsidRDefault="00A2167E" w:rsidP="005816E3">
      <w:pPr>
        <w:rPr>
          <w:noProof/>
          <w:lang w:val="en-GB"/>
        </w:rPr>
      </w:pPr>
      <w:r>
        <w:rPr>
          <w:noProof/>
          <w:lang w:val="en-US" w:eastAsia="zh-CN"/>
        </w:rPr>
        <w:drawing>
          <wp:inline distT="0" distB="0" distL="0" distR="0" wp14:anchorId="7913EDAB" wp14:editId="66833370">
            <wp:extent cx="914400" cy="914400"/>
            <wp:effectExtent l="0" t="0" r="0" b="0"/>
            <wp:docPr id="4" name="Picture 64" descr="Une image contenant croquis, lign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Une image contenant croquis, ligne, conception&#10;&#10;Description générée automatiqueme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4873847" w14:textId="6FA4F1CE" w:rsidR="007A1EC3" w:rsidRPr="002B65F7" w:rsidRDefault="005816E3" w:rsidP="004B12BC">
      <w:pPr>
        <w:keepNext/>
        <w:widowControl/>
        <w:pBdr>
          <w:top w:val="single" w:sz="4" w:space="1" w:color="auto"/>
          <w:left w:val="single" w:sz="4" w:space="4" w:color="auto"/>
          <w:bottom w:val="single" w:sz="4" w:space="1" w:color="auto"/>
          <w:right w:val="single" w:sz="4" w:space="4" w:color="auto"/>
        </w:pBdr>
        <w:rPr>
          <w:b/>
          <w:bCs/>
        </w:rPr>
      </w:pPr>
      <w:r w:rsidRPr="002B65F7">
        <w:br w:type="page"/>
      </w:r>
      <w:r w:rsidR="007A1EC3" w:rsidRPr="002B65F7">
        <w:rPr>
          <w:b/>
          <w:bCs/>
        </w:rPr>
        <w:lastRenderedPageBreak/>
        <w:t>MENTIONS MINIMALES DEVANT FIGURER SUR LES PETITS CONDITIONNEMENTS PRIMAIRES</w:t>
      </w:r>
    </w:p>
    <w:p w14:paraId="4286CC1E"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bCs/>
        </w:rPr>
      </w:pPr>
    </w:p>
    <w:p w14:paraId="485169F3" w14:textId="29DF9BCA"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bCs/>
        </w:rPr>
      </w:pPr>
      <w:r w:rsidRPr="002B65F7">
        <w:rPr>
          <w:b/>
          <w:bCs/>
        </w:rPr>
        <w:t>ÉTIQUETTE SERINGUE PRÉREMPLIE</w:t>
      </w:r>
    </w:p>
    <w:p w14:paraId="10A706AB" w14:textId="77777777" w:rsidR="00092F83" w:rsidRPr="002B65F7" w:rsidRDefault="00092F83" w:rsidP="007A1EC3">
      <w:pPr>
        <w:keepNext/>
        <w:widowControl/>
      </w:pPr>
    </w:p>
    <w:p w14:paraId="03B58BCF" w14:textId="7B3AE632" w:rsidR="00092F83" w:rsidRPr="002B65F7" w:rsidRDefault="00092F83" w:rsidP="007A1EC3">
      <w:pPr>
        <w:widowControl/>
      </w:pPr>
    </w:p>
    <w:p w14:paraId="6F879948"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w:t>
      </w:r>
      <w:r w:rsidRPr="002B65F7">
        <w:rPr>
          <w:b/>
          <w:bCs/>
        </w:rPr>
        <w:tab/>
        <w:t>DÉNOMINATION DU MÉDICAMENT ET VOIE(S) D’ADMINISTRATION</w:t>
      </w:r>
    </w:p>
    <w:p w14:paraId="03B58BD0" w14:textId="3F944E5A" w:rsidR="00092F83" w:rsidRPr="002B65F7" w:rsidRDefault="00092F83" w:rsidP="007A1EC3">
      <w:pPr>
        <w:keepNext/>
        <w:widowControl/>
      </w:pPr>
    </w:p>
    <w:p w14:paraId="4F2FC719" w14:textId="794E29EA" w:rsidR="00B41E23" w:rsidRPr="002B65F7" w:rsidRDefault="00397416" w:rsidP="007A1EC3">
      <w:pPr>
        <w:widowControl/>
      </w:pPr>
      <w:r w:rsidRPr="002B65F7">
        <w:t>WEZENLA</w:t>
      </w:r>
      <w:r w:rsidR="00C31740" w:rsidRPr="002B65F7">
        <w:rPr>
          <w:spacing w:val="-11"/>
        </w:rPr>
        <w:t xml:space="preserve"> </w:t>
      </w:r>
      <w:r w:rsidR="00C31740" w:rsidRPr="002B65F7">
        <w:t>45</w:t>
      </w:r>
      <w:r w:rsidR="00FF29BA" w:rsidRPr="002B65F7">
        <w:rPr>
          <w:spacing w:val="-10"/>
        </w:rPr>
        <w:t> </w:t>
      </w:r>
      <w:r w:rsidR="00C31740" w:rsidRPr="002B65F7">
        <w:t>mg</w:t>
      </w:r>
      <w:r w:rsidR="00C31740" w:rsidRPr="002B65F7">
        <w:rPr>
          <w:spacing w:val="-11"/>
        </w:rPr>
        <w:t xml:space="preserve"> </w:t>
      </w:r>
      <w:r w:rsidR="00C31740" w:rsidRPr="002B65F7">
        <w:t>injectable</w:t>
      </w:r>
    </w:p>
    <w:p w14:paraId="03B58BD2" w14:textId="131C475A" w:rsidR="00092F83" w:rsidRPr="002B65F7" w:rsidRDefault="0071390F" w:rsidP="007A1EC3">
      <w:pPr>
        <w:widowControl/>
      </w:pPr>
      <w:r w:rsidRPr="002B65F7">
        <w:rPr>
          <w:spacing w:val="-2"/>
        </w:rPr>
        <w:t>ustekinumab</w:t>
      </w:r>
    </w:p>
    <w:p w14:paraId="03B58BD3" w14:textId="77777777" w:rsidR="00092F83" w:rsidRPr="002B65F7" w:rsidRDefault="00C31740" w:rsidP="007A1EC3">
      <w:pPr>
        <w:widowControl/>
      </w:pPr>
      <w:r w:rsidRPr="002B65F7">
        <w:rPr>
          <w:spacing w:val="-5"/>
        </w:rPr>
        <w:t>SC</w:t>
      </w:r>
    </w:p>
    <w:p w14:paraId="03B58BD4" w14:textId="77777777" w:rsidR="00092F83" w:rsidRPr="002B65F7" w:rsidRDefault="00092F83" w:rsidP="007A1EC3">
      <w:pPr>
        <w:pStyle w:val="BodyText"/>
        <w:widowControl/>
      </w:pPr>
    </w:p>
    <w:p w14:paraId="03B58BD5" w14:textId="0349DE5E" w:rsidR="00092F83" w:rsidRPr="002B65F7" w:rsidRDefault="00092F83" w:rsidP="007A1EC3">
      <w:pPr>
        <w:widowControl/>
      </w:pPr>
    </w:p>
    <w:p w14:paraId="607924B4"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2.</w:t>
      </w:r>
      <w:r w:rsidRPr="002B65F7">
        <w:rPr>
          <w:b/>
          <w:bCs/>
        </w:rPr>
        <w:tab/>
        <w:t>MODE D’ADMINISTRATION</w:t>
      </w:r>
    </w:p>
    <w:p w14:paraId="03B58BD6" w14:textId="77777777" w:rsidR="00092F83" w:rsidRPr="002B65F7" w:rsidRDefault="00092F83" w:rsidP="007A1EC3">
      <w:pPr>
        <w:pStyle w:val="BodyText"/>
        <w:keepNext/>
        <w:widowControl/>
      </w:pPr>
    </w:p>
    <w:p w14:paraId="03B58BD7" w14:textId="77777777" w:rsidR="00092F83" w:rsidRPr="002B65F7" w:rsidRDefault="00092F83" w:rsidP="007A1EC3">
      <w:pPr>
        <w:pStyle w:val="BodyText"/>
        <w:widowControl/>
      </w:pPr>
    </w:p>
    <w:p w14:paraId="217AE40F"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3.</w:t>
      </w:r>
      <w:r w:rsidRPr="002B65F7">
        <w:rPr>
          <w:b/>
          <w:bCs/>
        </w:rPr>
        <w:tab/>
        <w:t>DATE DE PÉREMPTION</w:t>
      </w:r>
    </w:p>
    <w:p w14:paraId="03B58BD8" w14:textId="365EE108" w:rsidR="00092F83" w:rsidRPr="002B65F7" w:rsidRDefault="00092F83" w:rsidP="007A1EC3">
      <w:pPr>
        <w:keepNext/>
        <w:widowControl/>
      </w:pPr>
    </w:p>
    <w:p w14:paraId="03B58BDA" w14:textId="77777777" w:rsidR="00092F83" w:rsidRPr="002B65F7" w:rsidRDefault="00C31740" w:rsidP="007A1EC3">
      <w:pPr>
        <w:widowControl/>
      </w:pPr>
      <w:r w:rsidRPr="002B65F7">
        <w:t>EXP</w:t>
      </w:r>
    </w:p>
    <w:p w14:paraId="03B58BDB" w14:textId="77777777" w:rsidR="00092F83" w:rsidRPr="002B65F7" w:rsidRDefault="00092F83" w:rsidP="007A1EC3">
      <w:pPr>
        <w:widowControl/>
      </w:pPr>
    </w:p>
    <w:p w14:paraId="03B58BDC" w14:textId="309734F8" w:rsidR="00092F83" w:rsidRPr="002B65F7" w:rsidRDefault="00092F83" w:rsidP="007A1EC3">
      <w:pPr>
        <w:widowControl/>
      </w:pPr>
    </w:p>
    <w:p w14:paraId="262DE17E"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4.</w:t>
      </w:r>
      <w:r w:rsidRPr="002B65F7">
        <w:rPr>
          <w:b/>
          <w:bCs/>
        </w:rPr>
        <w:tab/>
        <w:t>NUMÉRO DU LOT</w:t>
      </w:r>
    </w:p>
    <w:p w14:paraId="03B58BDD" w14:textId="77777777" w:rsidR="00092F83" w:rsidRPr="002B65F7" w:rsidRDefault="00092F83" w:rsidP="007A1EC3">
      <w:pPr>
        <w:keepNext/>
        <w:widowControl/>
      </w:pPr>
    </w:p>
    <w:p w14:paraId="03B58BDE" w14:textId="77777777" w:rsidR="00092F83" w:rsidRPr="002B65F7" w:rsidRDefault="00C31740" w:rsidP="007A1EC3">
      <w:pPr>
        <w:widowControl/>
      </w:pPr>
      <w:r w:rsidRPr="002B65F7">
        <w:rPr>
          <w:spacing w:val="-5"/>
        </w:rPr>
        <w:t>Lot</w:t>
      </w:r>
    </w:p>
    <w:p w14:paraId="03B58BDF" w14:textId="77777777" w:rsidR="00092F83" w:rsidRPr="002B65F7" w:rsidRDefault="00092F83" w:rsidP="007A1EC3">
      <w:pPr>
        <w:widowControl/>
      </w:pPr>
    </w:p>
    <w:p w14:paraId="03B58BE0" w14:textId="0D5B29DE" w:rsidR="00092F83" w:rsidRPr="002B65F7" w:rsidRDefault="00092F83" w:rsidP="007A1EC3">
      <w:pPr>
        <w:widowControl/>
      </w:pPr>
    </w:p>
    <w:p w14:paraId="35648687"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5.</w:t>
      </w:r>
      <w:r w:rsidRPr="002B65F7">
        <w:rPr>
          <w:b/>
          <w:bCs/>
        </w:rPr>
        <w:tab/>
        <w:t>CONTENU EN POIDS, VOLUME OU UNITÉ</w:t>
      </w:r>
    </w:p>
    <w:p w14:paraId="03B58BE1" w14:textId="77777777" w:rsidR="00092F83" w:rsidRPr="002B65F7" w:rsidRDefault="00092F83" w:rsidP="007A1EC3">
      <w:pPr>
        <w:keepNext/>
        <w:widowControl/>
      </w:pPr>
    </w:p>
    <w:p w14:paraId="03B58BE2" w14:textId="683FACA2" w:rsidR="00092F83" w:rsidRPr="002B65F7" w:rsidRDefault="00C31740" w:rsidP="007A1EC3">
      <w:pPr>
        <w:widowControl/>
      </w:pPr>
      <w:r w:rsidRPr="002B65F7">
        <w:t>45</w:t>
      </w:r>
      <w:r w:rsidR="00BA506D" w:rsidRPr="002B65F7">
        <w:rPr>
          <w:spacing w:val="-3"/>
        </w:rPr>
        <w:t> </w:t>
      </w:r>
      <w:r w:rsidRPr="002B65F7">
        <w:t>mg/0,5</w:t>
      </w:r>
      <w:r w:rsidR="00BA506D" w:rsidRPr="002B65F7">
        <w:rPr>
          <w:spacing w:val="-2"/>
        </w:rPr>
        <w:t> </w:t>
      </w:r>
      <w:r w:rsidRPr="002B65F7">
        <w:rPr>
          <w:spacing w:val="-5"/>
        </w:rPr>
        <w:t>mL</w:t>
      </w:r>
    </w:p>
    <w:p w14:paraId="03B58BE3" w14:textId="77777777" w:rsidR="00092F83" w:rsidRPr="002B65F7" w:rsidRDefault="00092F83" w:rsidP="007A1EC3">
      <w:pPr>
        <w:widowControl/>
      </w:pPr>
    </w:p>
    <w:p w14:paraId="5475BF71" w14:textId="77777777" w:rsidR="009A461C" w:rsidRPr="002B65F7" w:rsidRDefault="009A461C" w:rsidP="007A1EC3">
      <w:pPr>
        <w:widowControl/>
      </w:pPr>
    </w:p>
    <w:p w14:paraId="7034FD4D"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6.</w:t>
      </w:r>
      <w:r w:rsidRPr="002B65F7">
        <w:rPr>
          <w:b/>
          <w:bCs/>
        </w:rPr>
        <w:tab/>
        <w:t>AUTRE</w:t>
      </w:r>
    </w:p>
    <w:p w14:paraId="234B774A" w14:textId="77777777" w:rsidR="009A461C" w:rsidRPr="002B65F7" w:rsidRDefault="009A461C" w:rsidP="007A1EC3">
      <w:pPr>
        <w:keepNext/>
        <w:widowControl/>
      </w:pPr>
    </w:p>
    <w:p w14:paraId="03B58BE4" w14:textId="3A423EFF" w:rsidR="00092F83" w:rsidRPr="002B65F7" w:rsidRDefault="00092F83" w:rsidP="007A1EC3">
      <w:pPr>
        <w:pStyle w:val="BodyText"/>
        <w:widowControl/>
      </w:pPr>
    </w:p>
    <w:p w14:paraId="556A1254" w14:textId="2732D1AB" w:rsidR="007A1EC3" w:rsidRPr="002B65F7" w:rsidRDefault="009A461C" w:rsidP="004B12BC">
      <w:pPr>
        <w:keepNext/>
        <w:widowControl/>
        <w:pBdr>
          <w:top w:val="single" w:sz="4" w:space="1" w:color="auto"/>
          <w:left w:val="single" w:sz="4" w:space="4" w:color="auto"/>
          <w:bottom w:val="single" w:sz="4" w:space="1" w:color="auto"/>
          <w:right w:val="single" w:sz="4" w:space="4" w:color="auto"/>
        </w:pBdr>
        <w:rPr>
          <w:b/>
          <w:bCs/>
        </w:rPr>
      </w:pPr>
      <w:r w:rsidRPr="002B65F7">
        <w:br w:type="page"/>
      </w:r>
      <w:r w:rsidR="007A1EC3" w:rsidRPr="002B65F7">
        <w:rPr>
          <w:b/>
          <w:bCs/>
        </w:rPr>
        <w:lastRenderedPageBreak/>
        <w:t>MENTIONS DEVANT FIGURER SUR L’EMBALLAGE EXTÉRIEUR</w:t>
      </w:r>
    </w:p>
    <w:p w14:paraId="614DFF99"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bCs/>
        </w:rPr>
      </w:pPr>
    </w:p>
    <w:p w14:paraId="08537DAE" w14:textId="24A89560"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bCs/>
        </w:rPr>
      </w:pPr>
      <w:r w:rsidRPr="002B65F7">
        <w:rPr>
          <w:b/>
          <w:bCs/>
        </w:rPr>
        <w:t>CARTON SERINGUE PRÉREMPLIE</w:t>
      </w:r>
    </w:p>
    <w:p w14:paraId="0964466B" w14:textId="77777777" w:rsidR="00092F83" w:rsidRPr="002B65F7" w:rsidRDefault="00092F83" w:rsidP="007A1EC3">
      <w:pPr>
        <w:keepNext/>
        <w:widowControl/>
      </w:pPr>
    </w:p>
    <w:p w14:paraId="03B58BE6" w14:textId="0E49210B" w:rsidR="00092F83" w:rsidRPr="002B65F7" w:rsidRDefault="00092F83" w:rsidP="007A1EC3">
      <w:pPr>
        <w:widowControl/>
      </w:pPr>
    </w:p>
    <w:p w14:paraId="338ACFB7"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w:t>
      </w:r>
      <w:r w:rsidRPr="002B65F7">
        <w:rPr>
          <w:b/>
          <w:bCs/>
        </w:rPr>
        <w:tab/>
        <w:t>DÉNOMINATION DU MÉDICAMENT</w:t>
      </w:r>
    </w:p>
    <w:p w14:paraId="03B58BE7" w14:textId="2A2C7696" w:rsidR="00092F83" w:rsidRPr="002B65F7" w:rsidRDefault="00092F83" w:rsidP="007A1EC3">
      <w:pPr>
        <w:keepNext/>
        <w:widowControl/>
      </w:pPr>
    </w:p>
    <w:p w14:paraId="03B58BE8" w14:textId="77777777" w:rsidR="00092F83" w:rsidRPr="002B65F7" w:rsidRDefault="00092F83" w:rsidP="007A1EC3">
      <w:pPr>
        <w:widowControl/>
      </w:pPr>
    </w:p>
    <w:p w14:paraId="1EB1B61B" w14:textId="64F4ADF3" w:rsidR="00B41E23" w:rsidRPr="002B65F7" w:rsidRDefault="00397416" w:rsidP="007A1EC3">
      <w:pPr>
        <w:widowControl/>
      </w:pPr>
      <w:r w:rsidRPr="002B65F7">
        <w:t>WEZENLA</w:t>
      </w:r>
      <w:r w:rsidR="00C31740" w:rsidRPr="002B65F7">
        <w:rPr>
          <w:spacing w:val="-6"/>
        </w:rPr>
        <w:t xml:space="preserve"> </w:t>
      </w:r>
      <w:r w:rsidR="00C31740" w:rsidRPr="002B65F7">
        <w:t>90</w:t>
      </w:r>
      <w:r w:rsidR="00792278" w:rsidRPr="002B65F7">
        <w:rPr>
          <w:spacing w:val="-5"/>
        </w:rPr>
        <w:t> </w:t>
      </w:r>
      <w:r w:rsidR="00C31740" w:rsidRPr="002B65F7">
        <w:t>mg</w:t>
      </w:r>
      <w:r w:rsidR="00C31740" w:rsidRPr="002B65F7">
        <w:rPr>
          <w:spacing w:val="-6"/>
        </w:rPr>
        <w:t xml:space="preserve"> </w:t>
      </w:r>
      <w:r w:rsidR="00C31740" w:rsidRPr="002B65F7">
        <w:t>solution</w:t>
      </w:r>
      <w:r w:rsidR="00C31740" w:rsidRPr="002B65F7">
        <w:rPr>
          <w:spacing w:val="-6"/>
        </w:rPr>
        <w:t xml:space="preserve"> </w:t>
      </w:r>
      <w:r w:rsidR="00C31740" w:rsidRPr="002B65F7">
        <w:t>injectable</w:t>
      </w:r>
      <w:r w:rsidR="00C31740" w:rsidRPr="002B65F7">
        <w:rPr>
          <w:spacing w:val="-6"/>
        </w:rPr>
        <w:t xml:space="preserve"> </w:t>
      </w:r>
      <w:r w:rsidR="00C31740" w:rsidRPr="002B65F7">
        <w:t>en</w:t>
      </w:r>
      <w:r w:rsidR="00C31740" w:rsidRPr="002B65F7">
        <w:rPr>
          <w:spacing w:val="-6"/>
        </w:rPr>
        <w:t xml:space="preserve"> </w:t>
      </w:r>
      <w:r w:rsidR="00C31740" w:rsidRPr="002B65F7">
        <w:t>seringue</w:t>
      </w:r>
      <w:r w:rsidR="00C31740" w:rsidRPr="002B65F7">
        <w:rPr>
          <w:spacing w:val="-6"/>
        </w:rPr>
        <w:t xml:space="preserve"> </w:t>
      </w:r>
      <w:r w:rsidR="00C31740" w:rsidRPr="002B65F7">
        <w:t>préremplie</w:t>
      </w:r>
    </w:p>
    <w:p w14:paraId="03B58BE9" w14:textId="42B7AEE9" w:rsidR="00092F83" w:rsidRPr="002B65F7" w:rsidRDefault="0071390F" w:rsidP="007A1EC3">
      <w:pPr>
        <w:widowControl/>
      </w:pPr>
      <w:r w:rsidRPr="002B65F7">
        <w:rPr>
          <w:spacing w:val="-2"/>
        </w:rPr>
        <w:t>ustekinumab</w:t>
      </w:r>
    </w:p>
    <w:p w14:paraId="03B58BEA" w14:textId="77777777" w:rsidR="00092F83" w:rsidRPr="002B65F7" w:rsidRDefault="00092F83" w:rsidP="007A1EC3">
      <w:pPr>
        <w:pStyle w:val="BodyText"/>
        <w:widowControl/>
      </w:pPr>
    </w:p>
    <w:p w14:paraId="03B58BEB" w14:textId="66EDD11E" w:rsidR="00092F83" w:rsidRPr="002B65F7" w:rsidRDefault="00092F83" w:rsidP="007A1EC3">
      <w:pPr>
        <w:pStyle w:val="BodyText"/>
        <w:widowControl/>
      </w:pPr>
    </w:p>
    <w:p w14:paraId="5C89C664"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2.</w:t>
      </w:r>
      <w:r w:rsidRPr="002B65F7">
        <w:rPr>
          <w:b/>
          <w:bCs/>
        </w:rPr>
        <w:tab/>
        <w:t>COMPOSITION EN SUBSTANCE(S) ACTIVE(S)</w:t>
      </w:r>
    </w:p>
    <w:p w14:paraId="03B58BEC" w14:textId="77777777" w:rsidR="00092F83" w:rsidRPr="002B65F7" w:rsidRDefault="00092F83" w:rsidP="007A1EC3">
      <w:pPr>
        <w:keepNext/>
        <w:widowControl/>
      </w:pPr>
    </w:p>
    <w:p w14:paraId="03B58BED" w14:textId="13F40A1C" w:rsidR="00092F83" w:rsidRPr="002B65F7" w:rsidRDefault="00C31740" w:rsidP="007A1EC3">
      <w:pPr>
        <w:widowControl/>
      </w:pPr>
      <w:r w:rsidRPr="002B65F7">
        <w:t>Chaque</w:t>
      </w:r>
      <w:r w:rsidRPr="002B65F7">
        <w:rPr>
          <w:spacing w:val="-6"/>
        </w:rPr>
        <w:t xml:space="preserve"> </w:t>
      </w:r>
      <w:r w:rsidRPr="002B65F7">
        <w:t>seringue</w:t>
      </w:r>
      <w:r w:rsidRPr="002B65F7">
        <w:rPr>
          <w:spacing w:val="-6"/>
        </w:rPr>
        <w:t xml:space="preserve"> </w:t>
      </w:r>
      <w:r w:rsidRPr="002B65F7">
        <w:t>préremplie</w:t>
      </w:r>
      <w:r w:rsidRPr="002B65F7">
        <w:rPr>
          <w:spacing w:val="-6"/>
        </w:rPr>
        <w:t xml:space="preserve"> </w:t>
      </w:r>
      <w:r w:rsidRPr="002B65F7">
        <w:t>contient</w:t>
      </w:r>
      <w:r w:rsidRPr="002B65F7">
        <w:rPr>
          <w:spacing w:val="-6"/>
        </w:rPr>
        <w:t xml:space="preserve"> </w:t>
      </w:r>
      <w:r w:rsidRPr="002B65F7">
        <w:t>90</w:t>
      </w:r>
      <w:r w:rsidR="00185446" w:rsidRPr="002B65F7">
        <w:rPr>
          <w:spacing w:val="-7"/>
        </w:rPr>
        <w:t> </w:t>
      </w:r>
      <w:r w:rsidRPr="002B65F7">
        <w:t>mg</w:t>
      </w:r>
      <w:r w:rsidRPr="002B65F7">
        <w:rPr>
          <w:spacing w:val="-6"/>
        </w:rPr>
        <w:t xml:space="preserve"> </w:t>
      </w:r>
      <w:r w:rsidRPr="002B65F7">
        <w:t>d’</w:t>
      </w:r>
      <w:r w:rsidR="0071390F" w:rsidRPr="002B65F7">
        <w:t>ustekinumab</w:t>
      </w:r>
      <w:r w:rsidRPr="002B65F7">
        <w:rPr>
          <w:spacing w:val="-6"/>
        </w:rPr>
        <w:t xml:space="preserve"> </w:t>
      </w:r>
      <w:r w:rsidRPr="002B65F7">
        <w:t>dans</w:t>
      </w:r>
      <w:r w:rsidRPr="002B65F7">
        <w:rPr>
          <w:spacing w:val="-6"/>
        </w:rPr>
        <w:t xml:space="preserve"> </w:t>
      </w:r>
      <w:r w:rsidRPr="002B65F7">
        <w:t>1</w:t>
      </w:r>
      <w:r w:rsidR="00185446" w:rsidRPr="002B65F7">
        <w:t> </w:t>
      </w:r>
      <w:r w:rsidRPr="002B65F7">
        <w:t>mL</w:t>
      </w:r>
      <w:r w:rsidRPr="002B65F7">
        <w:rPr>
          <w:spacing w:val="-5"/>
        </w:rPr>
        <w:t>.</w:t>
      </w:r>
    </w:p>
    <w:p w14:paraId="03B58BEE" w14:textId="77777777" w:rsidR="00092F83" w:rsidRPr="002B65F7" w:rsidRDefault="00092F83" w:rsidP="007A1EC3">
      <w:pPr>
        <w:widowControl/>
      </w:pPr>
    </w:p>
    <w:p w14:paraId="03B58BEF" w14:textId="5B6642EB" w:rsidR="00092F83" w:rsidRPr="002B65F7" w:rsidRDefault="00092F83" w:rsidP="007A1EC3">
      <w:pPr>
        <w:widowControl/>
      </w:pPr>
    </w:p>
    <w:p w14:paraId="4F4C816E"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3.</w:t>
      </w:r>
      <w:r w:rsidRPr="002B65F7">
        <w:rPr>
          <w:b/>
          <w:bCs/>
        </w:rPr>
        <w:tab/>
        <w:t>LISTE DES EXCIPIENTS</w:t>
      </w:r>
    </w:p>
    <w:p w14:paraId="03B58BF0" w14:textId="77777777" w:rsidR="00092F83" w:rsidRPr="002B65F7" w:rsidRDefault="00092F83" w:rsidP="007A1EC3">
      <w:pPr>
        <w:keepNext/>
        <w:widowControl/>
      </w:pPr>
    </w:p>
    <w:p w14:paraId="03B58BF1" w14:textId="6A9D7E08" w:rsidR="00092F83" w:rsidRPr="002B65F7" w:rsidRDefault="00C31740" w:rsidP="007A1EC3">
      <w:pPr>
        <w:widowControl/>
      </w:pPr>
      <w:r w:rsidRPr="002B65F7">
        <w:t>Saccharose,</w:t>
      </w:r>
      <w:r w:rsidRPr="002B65F7">
        <w:rPr>
          <w:spacing w:val="-4"/>
        </w:rPr>
        <w:t xml:space="preserve"> </w:t>
      </w:r>
      <w:r w:rsidRPr="002B65F7">
        <w:t>L-histidine,</w:t>
      </w:r>
      <w:r w:rsidRPr="002B65F7">
        <w:rPr>
          <w:spacing w:val="-4"/>
        </w:rPr>
        <w:t xml:space="preserve"> </w:t>
      </w:r>
      <w:r w:rsidRPr="002B65F7">
        <w:t>chlorhydrate</w:t>
      </w:r>
      <w:r w:rsidRPr="002B65F7">
        <w:rPr>
          <w:spacing w:val="-4"/>
        </w:rPr>
        <w:t xml:space="preserve"> </w:t>
      </w:r>
      <w:r w:rsidRPr="002B65F7">
        <w:t>monohydraté</w:t>
      </w:r>
      <w:r w:rsidRPr="002B65F7">
        <w:rPr>
          <w:spacing w:val="-4"/>
        </w:rPr>
        <w:t xml:space="preserve"> </w:t>
      </w:r>
      <w:r w:rsidRPr="002B65F7">
        <w:t>de</w:t>
      </w:r>
      <w:r w:rsidRPr="002B65F7">
        <w:rPr>
          <w:spacing w:val="-4"/>
        </w:rPr>
        <w:t xml:space="preserve"> </w:t>
      </w:r>
      <w:r w:rsidRPr="002B65F7">
        <w:t>L-histidine,</w:t>
      </w:r>
      <w:r w:rsidRPr="002B65F7">
        <w:rPr>
          <w:spacing w:val="-4"/>
        </w:rPr>
        <w:t xml:space="preserve"> </w:t>
      </w:r>
      <w:r w:rsidRPr="002B65F7">
        <w:t>polysorbate</w:t>
      </w:r>
      <w:r w:rsidR="00112127" w:rsidRPr="002B65F7">
        <w:t> </w:t>
      </w:r>
      <w:r w:rsidRPr="002B65F7">
        <w:t>80</w:t>
      </w:r>
      <w:r w:rsidR="00112127">
        <w:t xml:space="preserve"> (E</w:t>
      </w:r>
      <w:r w:rsidR="00112127" w:rsidRPr="002B65F7">
        <w:t> </w:t>
      </w:r>
      <w:r w:rsidR="00112127">
        <w:t>433)</w:t>
      </w:r>
      <w:r w:rsidRPr="002B65F7">
        <w:t>, eau pour préparations injectables.</w:t>
      </w:r>
    </w:p>
    <w:p w14:paraId="03B58BF2" w14:textId="77777777" w:rsidR="00092F83" w:rsidRPr="002B65F7" w:rsidRDefault="00092F83" w:rsidP="007A1EC3">
      <w:pPr>
        <w:widowControl/>
      </w:pPr>
    </w:p>
    <w:p w14:paraId="03B58BF3" w14:textId="1B192060" w:rsidR="00092F83" w:rsidRPr="002B65F7" w:rsidRDefault="00092F83" w:rsidP="007A1EC3">
      <w:pPr>
        <w:pStyle w:val="BodyText"/>
        <w:widowControl/>
      </w:pPr>
    </w:p>
    <w:p w14:paraId="16D9CAF6"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4.</w:t>
      </w:r>
      <w:r w:rsidRPr="002B65F7">
        <w:rPr>
          <w:b/>
          <w:bCs/>
        </w:rPr>
        <w:tab/>
        <w:t>FORME PHARMACEUTIQUE ET CONTENU</w:t>
      </w:r>
    </w:p>
    <w:p w14:paraId="03B58BF4" w14:textId="77777777" w:rsidR="00092F83" w:rsidRPr="002B65F7" w:rsidRDefault="00092F83" w:rsidP="007A1EC3">
      <w:pPr>
        <w:keepNext/>
        <w:widowControl/>
      </w:pPr>
    </w:p>
    <w:p w14:paraId="4BC89CD8" w14:textId="77777777" w:rsidR="00B41E23" w:rsidRPr="002B65F7" w:rsidRDefault="00C31740" w:rsidP="007A1EC3">
      <w:pPr>
        <w:widowControl/>
      </w:pPr>
      <w:r>
        <w:rPr>
          <w:highlight w:val="lightGray"/>
        </w:rPr>
        <w:t>Solution</w:t>
      </w:r>
      <w:r>
        <w:rPr>
          <w:spacing w:val="-8"/>
          <w:highlight w:val="lightGray"/>
        </w:rPr>
        <w:t xml:space="preserve"> </w:t>
      </w:r>
      <w:r>
        <w:rPr>
          <w:highlight w:val="lightGray"/>
        </w:rPr>
        <w:t>injectable</w:t>
      </w:r>
      <w:r>
        <w:rPr>
          <w:spacing w:val="-8"/>
          <w:highlight w:val="lightGray"/>
        </w:rPr>
        <w:t xml:space="preserve"> </w:t>
      </w:r>
      <w:r>
        <w:rPr>
          <w:highlight w:val="lightGray"/>
        </w:rPr>
        <w:t>en</w:t>
      </w:r>
      <w:r>
        <w:rPr>
          <w:spacing w:val="-8"/>
          <w:highlight w:val="lightGray"/>
        </w:rPr>
        <w:t xml:space="preserve"> </w:t>
      </w:r>
      <w:r>
        <w:rPr>
          <w:highlight w:val="lightGray"/>
        </w:rPr>
        <w:t>seringue</w:t>
      </w:r>
      <w:r>
        <w:rPr>
          <w:spacing w:val="-8"/>
          <w:highlight w:val="lightGray"/>
        </w:rPr>
        <w:t xml:space="preserve"> </w:t>
      </w:r>
      <w:r>
        <w:rPr>
          <w:highlight w:val="lightGray"/>
        </w:rPr>
        <w:t>préremplie</w:t>
      </w:r>
    </w:p>
    <w:p w14:paraId="03B58BF6" w14:textId="3FEDF491" w:rsidR="00092F83" w:rsidRPr="002B65F7" w:rsidRDefault="00C31740" w:rsidP="007A1EC3">
      <w:pPr>
        <w:widowControl/>
      </w:pPr>
      <w:r w:rsidRPr="002B65F7">
        <w:t>1</w:t>
      </w:r>
      <w:r w:rsidR="004B1FC4" w:rsidRPr="002B65F7">
        <w:rPr>
          <w:spacing w:val="-4"/>
        </w:rPr>
        <w:t> </w:t>
      </w:r>
      <w:r w:rsidRPr="002B65F7">
        <w:t>seringue</w:t>
      </w:r>
      <w:r w:rsidRPr="002B65F7">
        <w:rPr>
          <w:spacing w:val="-4"/>
        </w:rPr>
        <w:t xml:space="preserve"> </w:t>
      </w:r>
      <w:r w:rsidRPr="002B65F7">
        <w:rPr>
          <w:spacing w:val="-2"/>
        </w:rPr>
        <w:t>préremplie</w:t>
      </w:r>
    </w:p>
    <w:p w14:paraId="03B58BF7" w14:textId="77777777" w:rsidR="00092F83" w:rsidRPr="002B65F7" w:rsidRDefault="00092F83" w:rsidP="007A1EC3">
      <w:pPr>
        <w:widowControl/>
      </w:pPr>
    </w:p>
    <w:p w14:paraId="03B58BF8" w14:textId="5ED8A9AE" w:rsidR="00092F83" w:rsidRPr="002B65F7" w:rsidRDefault="00092F83" w:rsidP="007A1EC3">
      <w:pPr>
        <w:widowControl/>
      </w:pPr>
    </w:p>
    <w:p w14:paraId="1825DD7E"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5.</w:t>
      </w:r>
      <w:r w:rsidRPr="002B65F7">
        <w:rPr>
          <w:b/>
          <w:bCs/>
        </w:rPr>
        <w:tab/>
        <w:t>MODE ET VOIE(S) D’ADMINISTRATION</w:t>
      </w:r>
    </w:p>
    <w:p w14:paraId="03B58BF9" w14:textId="77777777" w:rsidR="00092F83" w:rsidRPr="002B65F7" w:rsidRDefault="00092F83" w:rsidP="007A1EC3">
      <w:pPr>
        <w:keepNext/>
        <w:widowControl/>
      </w:pPr>
    </w:p>
    <w:p w14:paraId="03B58BFA" w14:textId="77777777" w:rsidR="00092F83" w:rsidRPr="002B65F7" w:rsidRDefault="00C31740" w:rsidP="007A1EC3">
      <w:pPr>
        <w:widowControl/>
      </w:pPr>
      <w:r w:rsidRPr="002B65F7">
        <w:t>Ne</w:t>
      </w:r>
      <w:r w:rsidRPr="002B65F7">
        <w:rPr>
          <w:spacing w:val="-2"/>
        </w:rPr>
        <w:t xml:space="preserve"> </w:t>
      </w:r>
      <w:r w:rsidRPr="002B65F7">
        <w:t>pas</w:t>
      </w:r>
      <w:r w:rsidRPr="002B65F7">
        <w:rPr>
          <w:spacing w:val="-1"/>
        </w:rPr>
        <w:t xml:space="preserve"> </w:t>
      </w:r>
      <w:r w:rsidRPr="002B65F7">
        <w:rPr>
          <w:spacing w:val="-2"/>
        </w:rPr>
        <w:t>agiter.</w:t>
      </w:r>
    </w:p>
    <w:p w14:paraId="03B58BFB" w14:textId="71BC520B" w:rsidR="00092F83" w:rsidRPr="002B65F7" w:rsidRDefault="00397416" w:rsidP="007A1EC3">
      <w:pPr>
        <w:widowControl/>
      </w:pPr>
      <w:r w:rsidRPr="002B65F7">
        <w:rPr>
          <w:spacing w:val="-2"/>
        </w:rPr>
        <w:t>Par v</w:t>
      </w:r>
      <w:r w:rsidR="00C31740" w:rsidRPr="002B65F7">
        <w:rPr>
          <w:spacing w:val="-2"/>
        </w:rPr>
        <w:t>oie</w:t>
      </w:r>
      <w:r w:rsidR="00C31740" w:rsidRPr="002B65F7">
        <w:rPr>
          <w:spacing w:val="2"/>
        </w:rPr>
        <w:t xml:space="preserve"> </w:t>
      </w:r>
      <w:r w:rsidR="00C31740" w:rsidRPr="002B65F7">
        <w:rPr>
          <w:spacing w:val="-2"/>
        </w:rPr>
        <w:t>sous-cutanée.</w:t>
      </w:r>
    </w:p>
    <w:p w14:paraId="03B58BFC" w14:textId="77777777" w:rsidR="00092F83" w:rsidRPr="002B65F7" w:rsidRDefault="00C31740" w:rsidP="007A1EC3">
      <w:pPr>
        <w:widowControl/>
      </w:pPr>
      <w:r w:rsidRPr="002B65F7">
        <w:t>Lire</w:t>
      </w:r>
      <w:r w:rsidRPr="002B65F7">
        <w:rPr>
          <w:spacing w:val="-5"/>
        </w:rPr>
        <w:t xml:space="preserve"> </w:t>
      </w:r>
      <w:r w:rsidRPr="002B65F7">
        <w:t>la</w:t>
      </w:r>
      <w:r w:rsidRPr="002B65F7">
        <w:rPr>
          <w:spacing w:val="-4"/>
        </w:rPr>
        <w:t xml:space="preserve"> </w:t>
      </w:r>
      <w:r w:rsidRPr="002B65F7">
        <w:t>notice</w:t>
      </w:r>
      <w:r w:rsidRPr="002B65F7">
        <w:rPr>
          <w:spacing w:val="-4"/>
        </w:rPr>
        <w:t xml:space="preserve"> </w:t>
      </w:r>
      <w:r w:rsidRPr="002B65F7">
        <w:t>avant</w:t>
      </w:r>
      <w:r w:rsidRPr="002B65F7">
        <w:rPr>
          <w:spacing w:val="-4"/>
        </w:rPr>
        <w:t xml:space="preserve"> </w:t>
      </w:r>
      <w:r w:rsidRPr="002B65F7">
        <w:rPr>
          <w:spacing w:val="-2"/>
        </w:rPr>
        <w:t>utilisation.</w:t>
      </w:r>
    </w:p>
    <w:p w14:paraId="03B58BFD" w14:textId="77777777" w:rsidR="00092F83" w:rsidRPr="002B65F7" w:rsidRDefault="00092F83" w:rsidP="007A1EC3">
      <w:pPr>
        <w:widowControl/>
      </w:pPr>
    </w:p>
    <w:p w14:paraId="03B58BFE" w14:textId="363B0821" w:rsidR="00092F83" w:rsidRPr="002B65F7" w:rsidRDefault="00092F83" w:rsidP="007A1EC3">
      <w:pPr>
        <w:widowControl/>
      </w:pPr>
    </w:p>
    <w:p w14:paraId="3BF93DC3"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2B65F7">
        <w:rPr>
          <w:rFonts w:eastAsia="TimesNewRoman,Bold"/>
          <w:b/>
          <w:bCs/>
        </w:rPr>
        <w:t>6.</w:t>
      </w:r>
      <w:r w:rsidRPr="002B65F7">
        <w:rPr>
          <w:rFonts w:eastAsia="TimesNewRoman,Bold"/>
          <w:b/>
          <w:bCs/>
        </w:rPr>
        <w:tab/>
        <w:t xml:space="preserve">MISE EN GARDE </w:t>
      </w:r>
      <w:r w:rsidRPr="002B65F7">
        <w:rPr>
          <w:b/>
          <w:bCs/>
        </w:rPr>
        <w:t>SPÉCIALE</w:t>
      </w:r>
      <w:r w:rsidRPr="002B65F7">
        <w:rPr>
          <w:rFonts w:eastAsia="TimesNewRoman,Bold"/>
          <w:b/>
          <w:bCs/>
        </w:rPr>
        <w:t xml:space="preserve"> INDIQUANT QUE LE MÉDICAMENT DOIT ÊTRE CONSERVÉ HORS DE VUE ET DE PORTÉE DES ENFANTS</w:t>
      </w:r>
    </w:p>
    <w:p w14:paraId="03B58BFF" w14:textId="77777777" w:rsidR="00092F83" w:rsidRPr="002B65F7" w:rsidRDefault="00092F83" w:rsidP="007A1EC3">
      <w:pPr>
        <w:keepNext/>
        <w:widowControl/>
      </w:pPr>
    </w:p>
    <w:p w14:paraId="03B58C00" w14:textId="77777777" w:rsidR="00092F83" w:rsidRPr="002B65F7" w:rsidRDefault="00C31740" w:rsidP="007A1EC3">
      <w:pPr>
        <w:widowControl/>
      </w:pPr>
      <w:r w:rsidRPr="002B65F7">
        <w:t>Tenir</w:t>
      </w:r>
      <w:r w:rsidRPr="002B65F7">
        <w:rPr>
          <w:spacing w:val="-4"/>
        </w:rPr>
        <w:t xml:space="preserve"> </w:t>
      </w:r>
      <w:r w:rsidRPr="002B65F7">
        <w:t>hors</w:t>
      </w:r>
      <w:r w:rsidRPr="002B65F7">
        <w:rPr>
          <w:spacing w:val="-3"/>
        </w:rPr>
        <w:t xml:space="preserve"> </w:t>
      </w:r>
      <w:r w:rsidRPr="002B65F7">
        <w:t>de</w:t>
      </w:r>
      <w:r w:rsidRPr="002B65F7">
        <w:rPr>
          <w:spacing w:val="-3"/>
        </w:rPr>
        <w:t xml:space="preserve"> </w:t>
      </w:r>
      <w:r w:rsidRPr="002B65F7">
        <w:t>la</w:t>
      </w:r>
      <w:r w:rsidRPr="002B65F7">
        <w:rPr>
          <w:spacing w:val="-3"/>
        </w:rPr>
        <w:t xml:space="preserve"> </w:t>
      </w:r>
      <w:r w:rsidRPr="002B65F7">
        <w:t>vue</w:t>
      </w:r>
      <w:r w:rsidRPr="002B65F7">
        <w:rPr>
          <w:spacing w:val="-3"/>
        </w:rPr>
        <w:t xml:space="preserve"> </w:t>
      </w:r>
      <w:r w:rsidRPr="002B65F7">
        <w:t>et</w:t>
      </w:r>
      <w:r w:rsidRPr="002B65F7">
        <w:rPr>
          <w:spacing w:val="-3"/>
        </w:rPr>
        <w:t xml:space="preserve"> </w:t>
      </w:r>
      <w:r w:rsidRPr="002B65F7">
        <w:t>de</w:t>
      </w:r>
      <w:r w:rsidRPr="002B65F7">
        <w:rPr>
          <w:spacing w:val="-3"/>
        </w:rPr>
        <w:t xml:space="preserve"> </w:t>
      </w:r>
      <w:r w:rsidRPr="002B65F7">
        <w:t>la</w:t>
      </w:r>
      <w:r w:rsidRPr="002B65F7">
        <w:rPr>
          <w:spacing w:val="-3"/>
        </w:rPr>
        <w:t xml:space="preserve"> </w:t>
      </w:r>
      <w:r w:rsidRPr="002B65F7">
        <w:t>portée</w:t>
      </w:r>
      <w:r w:rsidRPr="002B65F7">
        <w:rPr>
          <w:spacing w:val="-3"/>
        </w:rPr>
        <w:t xml:space="preserve"> </w:t>
      </w:r>
      <w:r w:rsidRPr="002B65F7">
        <w:t>des</w:t>
      </w:r>
      <w:r w:rsidRPr="002B65F7">
        <w:rPr>
          <w:spacing w:val="-3"/>
        </w:rPr>
        <w:t xml:space="preserve"> </w:t>
      </w:r>
      <w:r w:rsidRPr="002B65F7">
        <w:rPr>
          <w:spacing w:val="-2"/>
        </w:rPr>
        <w:t>enfants.</w:t>
      </w:r>
    </w:p>
    <w:p w14:paraId="03B58C01" w14:textId="77777777" w:rsidR="00092F83" w:rsidRPr="002B65F7" w:rsidRDefault="00092F83" w:rsidP="007A1EC3">
      <w:pPr>
        <w:widowControl/>
      </w:pPr>
    </w:p>
    <w:p w14:paraId="03B58C02" w14:textId="18510FAE" w:rsidR="00092F83" w:rsidRPr="002B65F7" w:rsidRDefault="00092F83" w:rsidP="007A1EC3">
      <w:pPr>
        <w:widowControl/>
      </w:pPr>
    </w:p>
    <w:p w14:paraId="34E10A5C"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7.</w:t>
      </w:r>
      <w:r w:rsidRPr="002B65F7">
        <w:rPr>
          <w:b/>
          <w:bCs/>
        </w:rPr>
        <w:tab/>
        <w:t>AUTRE(S) MISE(S) EN GARDE SPÉCIALE(S), SI NÉCESSAIRE</w:t>
      </w:r>
    </w:p>
    <w:p w14:paraId="03B58C03" w14:textId="77777777" w:rsidR="00092F83" w:rsidRPr="002B65F7" w:rsidRDefault="00092F83" w:rsidP="007A1EC3">
      <w:pPr>
        <w:keepNext/>
        <w:widowControl/>
      </w:pPr>
    </w:p>
    <w:p w14:paraId="03B58C04" w14:textId="77777777" w:rsidR="00092F83" w:rsidRPr="002B65F7" w:rsidRDefault="00092F83" w:rsidP="007A1EC3">
      <w:pPr>
        <w:widowControl/>
      </w:pPr>
    </w:p>
    <w:p w14:paraId="602CF06C"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8.</w:t>
      </w:r>
      <w:r w:rsidRPr="002B65F7">
        <w:rPr>
          <w:b/>
          <w:bCs/>
        </w:rPr>
        <w:tab/>
        <w:t>DATE DE PÉREMPTION</w:t>
      </w:r>
    </w:p>
    <w:p w14:paraId="03B58C05" w14:textId="53953105" w:rsidR="00092F83" w:rsidRPr="002B65F7" w:rsidRDefault="00092F83" w:rsidP="007A1EC3">
      <w:pPr>
        <w:keepNext/>
        <w:widowControl/>
      </w:pPr>
    </w:p>
    <w:p w14:paraId="03B58C07" w14:textId="77777777" w:rsidR="00092F83" w:rsidRPr="002B65F7" w:rsidRDefault="00C31740" w:rsidP="007A1EC3">
      <w:pPr>
        <w:widowControl/>
      </w:pPr>
      <w:r w:rsidRPr="002B65F7">
        <w:t>EXP</w:t>
      </w:r>
    </w:p>
    <w:p w14:paraId="2715991C" w14:textId="77777777" w:rsidR="00092F83" w:rsidRPr="002B65F7" w:rsidRDefault="00092F83" w:rsidP="007A1EC3">
      <w:pPr>
        <w:widowControl/>
      </w:pPr>
    </w:p>
    <w:p w14:paraId="3EAC1BE3" w14:textId="77777777" w:rsidR="00242E74" w:rsidRPr="002B65F7" w:rsidRDefault="00242E74" w:rsidP="007A1EC3">
      <w:pPr>
        <w:widowControl/>
      </w:pPr>
    </w:p>
    <w:p w14:paraId="570D64DA" w14:textId="77777777" w:rsidR="007A1EC3" w:rsidRPr="002B65F7" w:rsidRDefault="007A1EC3" w:rsidP="00B85020">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lastRenderedPageBreak/>
        <w:t>9.</w:t>
      </w:r>
      <w:r w:rsidRPr="002B65F7">
        <w:rPr>
          <w:b/>
          <w:bCs/>
        </w:rPr>
        <w:tab/>
        <w:t>PRÉCAUTIONS PARTICULIÈRES DE CONSERVATION</w:t>
      </w:r>
    </w:p>
    <w:p w14:paraId="03B58C0A" w14:textId="72F1B3D9" w:rsidR="00092F83" w:rsidRPr="002B65F7" w:rsidRDefault="00092F83" w:rsidP="00B85020">
      <w:pPr>
        <w:keepNext/>
        <w:widowControl/>
      </w:pPr>
    </w:p>
    <w:p w14:paraId="4AB6425A" w14:textId="77777777" w:rsidR="00242E74" w:rsidRPr="002B65F7" w:rsidRDefault="00C31740" w:rsidP="00B85020">
      <w:pPr>
        <w:keepNext/>
        <w:widowControl/>
      </w:pPr>
      <w:r w:rsidRPr="002B65F7">
        <w:t>A conserver au réfrigérateur.</w:t>
      </w:r>
    </w:p>
    <w:p w14:paraId="03B58C0B" w14:textId="499DEDBD" w:rsidR="00092F83" w:rsidRPr="002B65F7" w:rsidRDefault="00C31740" w:rsidP="00B85020">
      <w:pPr>
        <w:keepNext/>
        <w:widowControl/>
      </w:pPr>
      <w:r w:rsidRPr="002B65F7">
        <w:t>Ne pas congeler.</w:t>
      </w:r>
    </w:p>
    <w:p w14:paraId="03B58C0C" w14:textId="77777777" w:rsidR="00092F83" w:rsidRPr="002B65F7" w:rsidRDefault="00C31740" w:rsidP="00B85020">
      <w:pPr>
        <w:keepNext/>
        <w:widowControl/>
      </w:pPr>
      <w:r w:rsidRPr="002B65F7">
        <w:t>Conserver la seringue préremplie dans l’emballage extérieur à l’abri de la lumière.</w:t>
      </w:r>
    </w:p>
    <w:p w14:paraId="03B58C0E" w14:textId="77777777" w:rsidR="00092F83" w:rsidRPr="002B65F7" w:rsidRDefault="00092F83" w:rsidP="007A1EC3">
      <w:pPr>
        <w:pStyle w:val="BodyText"/>
        <w:widowControl/>
      </w:pPr>
    </w:p>
    <w:p w14:paraId="03B58C0F" w14:textId="459F90D0" w:rsidR="00092F83" w:rsidRPr="002B65F7" w:rsidRDefault="00092F83" w:rsidP="007A1EC3">
      <w:pPr>
        <w:pStyle w:val="BodyText"/>
        <w:widowControl/>
      </w:pPr>
    </w:p>
    <w:p w14:paraId="1535B904"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10.</w:t>
      </w:r>
      <w:r w:rsidRPr="002B65F7">
        <w:rPr>
          <w:b/>
          <w:bCs/>
        </w:rPr>
        <w:tab/>
        <w:t>PRÉCAUTIONS PARTICULIÈRES D’ÉLIMINATION DES MÉDICAMENTS NON UTILISÉS OU DES DÉCHETS PROVENANT DE CES MÉDICAMENTS S’IL Y A LIEU</w:t>
      </w:r>
    </w:p>
    <w:p w14:paraId="03B58C10" w14:textId="77777777" w:rsidR="00092F83" w:rsidRPr="002B65F7" w:rsidRDefault="00092F83" w:rsidP="007A1EC3">
      <w:pPr>
        <w:keepNext/>
        <w:widowControl/>
      </w:pPr>
    </w:p>
    <w:p w14:paraId="03B58C11" w14:textId="77777777" w:rsidR="00092F83" w:rsidRPr="002B65F7" w:rsidRDefault="00092F83" w:rsidP="007A1EC3">
      <w:pPr>
        <w:widowControl/>
      </w:pPr>
    </w:p>
    <w:p w14:paraId="3CAB8CE8"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11.</w:t>
      </w:r>
      <w:r w:rsidRPr="002B65F7">
        <w:rPr>
          <w:b/>
          <w:bCs/>
        </w:rPr>
        <w:tab/>
        <w:t>NOM ET ADRESSE DU TITULAIRE DE L’AUTORISATION DE MISE SUR LE MARCHÉ</w:t>
      </w:r>
    </w:p>
    <w:p w14:paraId="03B58C12" w14:textId="1CEB7A35" w:rsidR="00092F83" w:rsidRPr="002B65F7" w:rsidRDefault="00092F83" w:rsidP="007A1EC3">
      <w:pPr>
        <w:keepNext/>
        <w:widowControl/>
      </w:pPr>
    </w:p>
    <w:p w14:paraId="45F50EF0" w14:textId="77777777" w:rsidR="00397416" w:rsidRPr="002B65F7" w:rsidRDefault="00397416" w:rsidP="007A1EC3">
      <w:pPr>
        <w:rPr>
          <w:lang w:val="en-GB"/>
        </w:rPr>
      </w:pPr>
      <w:r w:rsidRPr="002B65F7">
        <w:rPr>
          <w:lang w:val="en-GB"/>
        </w:rPr>
        <w:t>Amgen Technology (Ireland) UC,</w:t>
      </w:r>
    </w:p>
    <w:p w14:paraId="654AF51C" w14:textId="77777777" w:rsidR="00397416" w:rsidRPr="002B65F7" w:rsidRDefault="00397416" w:rsidP="007A1EC3">
      <w:pPr>
        <w:rPr>
          <w:lang w:val="en-GB"/>
        </w:rPr>
      </w:pPr>
      <w:r w:rsidRPr="002B65F7">
        <w:rPr>
          <w:lang w:val="en-GB"/>
        </w:rPr>
        <w:t>Pottery Road,</w:t>
      </w:r>
    </w:p>
    <w:p w14:paraId="07AA30E8" w14:textId="77777777" w:rsidR="00397416" w:rsidRPr="002B65F7" w:rsidRDefault="00397416" w:rsidP="007A1EC3">
      <w:r w:rsidRPr="002B65F7">
        <w:t>Dun Laoghaire,</w:t>
      </w:r>
    </w:p>
    <w:p w14:paraId="2722DFD1" w14:textId="77777777" w:rsidR="00397416" w:rsidRPr="002B65F7" w:rsidRDefault="00397416" w:rsidP="007A1EC3">
      <w:r w:rsidRPr="002B65F7">
        <w:t>Co Dublin,</w:t>
      </w:r>
    </w:p>
    <w:p w14:paraId="7FF11CDA" w14:textId="69303D04" w:rsidR="00397416" w:rsidRPr="002B65F7" w:rsidRDefault="00397416" w:rsidP="007A1EC3">
      <w:r w:rsidRPr="002B65F7">
        <w:t>Irlande</w:t>
      </w:r>
    </w:p>
    <w:p w14:paraId="03B58C16" w14:textId="77777777" w:rsidR="00092F83" w:rsidRPr="002B65F7" w:rsidRDefault="00092F83" w:rsidP="007A1EC3">
      <w:pPr>
        <w:widowControl/>
      </w:pPr>
    </w:p>
    <w:p w14:paraId="03B58C17" w14:textId="3B19D6CA" w:rsidR="00092F83" w:rsidRPr="002B65F7" w:rsidRDefault="00092F83" w:rsidP="007A1EC3">
      <w:pPr>
        <w:widowControl/>
      </w:pPr>
    </w:p>
    <w:p w14:paraId="61E27830"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12.</w:t>
      </w:r>
      <w:r w:rsidRPr="002B65F7">
        <w:rPr>
          <w:b/>
          <w:bCs/>
        </w:rPr>
        <w:tab/>
        <w:t>NUMÉRO(S) D’AUTORISATION DE MISE SUR LE MARCHÉ</w:t>
      </w:r>
    </w:p>
    <w:p w14:paraId="03B58C18" w14:textId="77777777" w:rsidR="00092F83" w:rsidRPr="002B65F7" w:rsidRDefault="00092F83" w:rsidP="007A1EC3">
      <w:pPr>
        <w:keepNext/>
        <w:widowControl/>
      </w:pPr>
    </w:p>
    <w:p w14:paraId="4EE775A7" w14:textId="56708374" w:rsidR="00397416" w:rsidRPr="002B65F7" w:rsidRDefault="00397416" w:rsidP="007A1EC3">
      <w:r w:rsidRPr="002B65F7">
        <w:t>EU/1/</w:t>
      </w:r>
      <w:r w:rsidR="006C6BA5" w:rsidRPr="002B65F7">
        <w:t>24</w:t>
      </w:r>
      <w:r w:rsidRPr="002B65F7">
        <w:t>/</w:t>
      </w:r>
      <w:r w:rsidR="006C6BA5" w:rsidRPr="002B65F7">
        <w:t>1823</w:t>
      </w:r>
      <w:r w:rsidRPr="002B65F7">
        <w:rPr>
          <w:spacing w:val="1"/>
        </w:rPr>
        <w:t>/</w:t>
      </w:r>
      <w:r w:rsidR="006C6BA5" w:rsidRPr="002B65F7">
        <w:t>003</w:t>
      </w:r>
    </w:p>
    <w:p w14:paraId="03B58C1A" w14:textId="77777777" w:rsidR="00092F83" w:rsidRPr="002B65F7" w:rsidRDefault="00092F83" w:rsidP="007A1EC3">
      <w:pPr>
        <w:widowControl/>
      </w:pPr>
    </w:p>
    <w:p w14:paraId="76A1F803" w14:textId="77777777" w:rsidR="00447C57" w:rsidRPr="002B65F7" w:rsidRDefault="00447C57" w:rsidP="007A1EC3">
      <w:pPr>
        <w:widowControl/>
      </w:pPr>
    </w:p>
    <w:p w14:paraId="66D5EDF2"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13.</w:t>
      </w:r>
      <w:r w:rsidRPr="002B65F7">
        <w:rPr>
          <w:b/>
          <w:bCs/>
        </w:rPr>
        <w:tab/>
        <w:t>NUMÉRO DU LOT</w:t>
      </w:r>
    </w:p>
    <w:p w14:paraId="03B58C1B" w14:textId="2A5536F3" w:rsidR="00092F83" w:rsidRPr="002B65F7" w:rsidRDefault="00092F83" w:rsidP="007A1EC3">
      <w:pPr>
        <w:keepNext/>
        <w:widowControl/>
      </w:pPr>
    </w:p>
    <w:p w14:paraId="03B58C1D" w14:textId="77777777" w:rsidR="00092F83" w:rsidRPr="002B65F7" w:rsidRDefault="00C31740" w:rsidP="007A1EC3">
      <w:pPr>
        <w:widowControl/>
      </w:pPr>
      <w:r w:rsidRPr="002B65F7">
        <w:rPr>
          <w:spacing w:val="-5"/>
        </w:rPr>
        <w:t>Lot</w:t>
      </w:r>
    </w:p>
    <w:p w14:paraId="03B58C1E" w14:textId="77777777" w:rsidR="00092F83" w:rsidRPr="002B65F7" w:rsidRDefault="00092F83" w:rsidP="007A1EC3">
      <w:pPr>
        <w:widowControl/>
      </w:pPr>
    </w:p>
    <w:p w14:paraId="03B58C1F" w14:textId="559D39DF" w:rsidR="00092F83" w:rsidRPr="002B65F7" w:rsidRDefault="00092F83" w:rsidP="007A1EC3">
      <w:pPr>
        <w:widowControl/>
      </w:pPr>
    </w:p>
    <w:p w14:paraId="5DD1D126"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14.</w:t>
      </w:r>
      <w:r w:rsidRPr="002B65F7">
        <w:rPr>
          <w:b/>
          <w:bCs/>
        </w:rPr>
        <w:tab/>
        <w:t>CONDITIONS DE PRESCRIPTION ET DE DÉLIVRANCE</w:t>
      </w:r>
    </w:p>
    <w:p w14:paraId="03B58C20" w14:textId="77777777" w:rsidR="00092F83" w:rsidRPr="002B65F7" w:rsidRDefault="00092F83" w:rsidP="007A1EC3">
      <w:pPr>
        <w:pStyle w:val="BodyText"/>
        <w:keepNext/>
        <w:widowControl/>
      </w:pPr>
    </w:p>
    <w:p w14:paraId="03B58C21" w14:textId="77777777" w:rsidR="00092F83" w:rsidRPr="002B65F7" w:rsidRDefault="00092F83" w:rsidP="007A1EC3">
      <w:pPr>
        <w:widowControl/>
      </w:pPr>
    </w:p>
    <w:p w14:paraId="3FC3AAEA"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15.</w:t>
      </w:r>
      <w:r w:rsidRPr="002B65F7">
        <w:rPr>
          <w:b/>
          <w:bCs/>
        </w:rPr>
        <w:tab/>
        <w:t>INDICATIONS D’UTILISATION</w:t>
      </w:r>
    </w:p>
    <w:p w14:paraId="03B58C22" w14:textId="61C99FFD" w:rsidR="00092F83" w:rsidRPr="002B65F7" w:rsidRDefault="00092F83" w:rsidP="007A1EC3">
      <w:pPr>
        <w:keepNext/>
        <w:widowControl/>
      </w:pPr>
    </w:p>
    <w:p w14:paraId="03B58C23" w14:textId="77777777" w:rsidR="00092F83" w:rsidRPr="002B65F7" w:rsidRDefault="00092F83" w:rsidP="007A1EC3">
      <w:pPr>
        <w:widowControl/>
      </w:pPr>
    </w:p>
    <w:p w14:paraId="38D484E0"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16.</w:t>
      </w:r>
      <w:r w:rsidRPr="002B65F7">
        <w:rPr>
          <w:b/>
          <w:bCs/>
        </w:rPr>
        <w:tab/>
        <w:t>INFORMATIONS EN BRAILLE</w:t>
      </w:r>
    </w:p>
    <w:p w14:paraId="03B58C24" w14:textId="77777777" w:rsidR="00092F83" w:rsidRPr="002B65F7" w:rsidRDefault="00092F83" w:rsidP="007A1EC3">
      <w:pPr>
        <w:keepNext/>
        <w:widowControl/>
      </w:pPr>
    </w:p>
    <w:p w14:paraId="03B58C27" w14:textId="689F5A07" w:rsidR="00092F83" w:rsidRPr="002B65F7" w:rsidRDefault="00397416" w:rsidP="007A1EC3">
      <w:pPr>
        <w:widowControl/>
      </w:pPr>
      <w:r w:rsidRPr="002B65F7">
        <w:t xml:space="preserve">WEZENLA </w:t>
      </w:r>
      <w:r w:rsidR="00C31740" w:rsidRPr="002B65F7">
        <w:t>90</w:t>
      </w:r>
      <w:r w:rsidR="005F7D16" w:rsidRPr="002B65F7">
        <w:rPr>
          <w:spacing w:val="-3"/>
        </w:rPr>
        <w:t> </w:t>
      </w:r>
      <w:r w:rsidR="00C31740" w:rsidRPr="002B65F7">
        <w:rPr>
          <w:spacing w:val="-5"/>
        </w:rPr>
        <w:t>mg</w:t>
      </w:r>
      <w:r w:rsidR="002D09FD" w:rsidRPr="002B65F7">
        <w:rPr>
          <w:spacing w:val="-5"/>
        </w:rPr>
        <w:t xml:space="preserve"> </w:t>
      </w:r>
      <w:r w:rsidR="002D09FD" w:rsidRPr="002B65F7">
        <w:t>seringue</w:t>
      </w:r>
    </w:p>
    <w:p w14:paraId="03B58C28" w14:textId="77777777" w:rsidR="00092F83" w:rsidRPr="002B65F7" w:rsidRDefault="00092F83" w:rsidP="007A1EC3">
      <w:pPr>
        <w:widowControl/>
      </w:pPr>
    </w:p>
    <w:p w14:paraId="03B58C29" w14:textId="105FA176" w:rsidR="00092F83" w:rsidRPr="002B65F7" w:rsidRDefault="00092F83" w:rsidP="007A1EC3">
      <w:pPr>
        <w:pStyle w:val="BodyText"/>
        <w:widowControl/>
      </w:pPr>
    </w:p>
    <w:p w14:paraId="23F1DDEF"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17.</w:t>
      </w:r>
      <w:r w:rsidRPr="002B65F7">
        <w:rPr>
          <w:b/>
          <w:bCs/>
        </w:rPr>
        <w:tab/>
        <w:t>IDENTIFIANT UNIQUE - CODE-BARRES 2D</w:t>
      </w:r>
    </w:p>
    <w:p w14:paraId="03B58C2A" w14:textId="77777777" w:rsidR="00092F83" w:rsidRPr="002B65F7" w:rsidRDefault="00092F83" w:rsidP="007A1EC3">
      <w:pPr>
        <w:keepNext/>
        <w:widowControl/>
      </w:pPr>
    </w:p>
    <w:p w14:paraId="03B58C2B" w14:textId="77777777" w:rsidR="00092F83" w:rsidRPr="002B65F7" w:rsidRDefault="00C31740" w:rsidP="007A1EC3">
      <w:pPr>
        <w:widowControl/>
      </w:pPr>
      <w:r>
        <w:rPr>
          <w:highlight w:val="lightGray"/>
        </w:rPr>
        <w:t>code-barres 2D portant l'identifiant unique inclus.</w:t>
      </w:r>
    </w:p>
    <w:p w14:paraId="3B53F8CE" w14:textId="77777777" w:rsidR="00092F83" w:rsidRPr="002B65F7" w:rsidRDefault="00092F83" w:rsidP="007A1EC3">
      <w:pPr>
        <w:widowControl/>
      </w:pPr>
    </w:p>
    <w:p w14:paraId="0FBDACC9" w14:textId="77777777" w:rsidR="00F75ED4" w:rsidRPr="002B65F7" w:rsidRDefault="00F75ED4" w:rsidP="007A1EC3">
      <w:pPr>
        <w:widowControl/>
      </w:pPr>
    </w:p>
    <w:p w14:paraId="56001C57"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18.</w:t>
      </w:r>
      <w:r w:rsidRPr="002B65F7">
        <w:rPr>
          <w:b/>
          <w:bCs/>
        </w:rPr>
        <w:tab/>
        <w:t>IDENTIFIANT UNIQUE - DONNÉES LISIBLES PAR LES HUMAINS</w:t>
      </w:r>
    </w:p>
    <w:p w14:paraId="03B58C2D" w14:textId="5D8C54E3" w:rsidR="00092F83" w:rsidRPr="002B65F7" w:rsidRDefault="00092F83" w:rsidP="007A1EC3">
      <w:pPr>
        <w:keepNext/>
        <w:widowControl/>
      </w:pPr>
    </w:p>
    <w:p w14:paraId="43B98544" w14:textId="2D89E081" w:rsidR="00F75ED4" w:rsidRPr="002B65F7" w:rsidRDefault="00C31740" w:rsidP="007A1EC3">
      <w:pPr>
        <w:widowControl/>
      </w:pPr>
      <w:r w:rsidRPr="002B65F7">
        <w:t xml:space="preserve">PC </w:t>
      </w:r>
    </w:p>
    <w:p w14:paraId="2FA98ADE" w14:textId="1D768D6E" w:rsidR="00F75ED4" w:rsidRPr="002B65F7" w:rsidRDefault="00C31740" w:rsidP="007A1EC3">
      <w:pPr>
        <w:widowControl/>
      </w:pPr>
      <w:r w:rsidRPr="002B65F7">
        <w:t xml:space="preserve">SN </w:t>
      </w:r>
    </w:p>
    <w:p w14:paraId="03B58C2E" w14:textId="681C8342" w:rsidR="00092F83" w:rsidRPr="002B65F7" w:rsidRDefault="00C31740" w:rsidP="007A1EC3">
      <w:pPr>
        <w:widowControl/>
      </w:pPr>
      <w:r>
        <w:rPr>
          <w:highlight w:val="lightGray"/>
        </w:rPr>
        <w:t>NN</w:t>
      </w:r>
      <w:r w:rsidRPr="002B65F7">
        <w:t xml:space="preserve"> </w:t>
      </w:r>
    </w:p>
    <w:p w14:paraId="6602BF42" w14:textId="77777777" w:rsidR="00092F83" w:rsidRPr="002B65F7" w:rsidRDefault="00092F83" w:rsidP="007A1EC3">
      <w:pPr>
        <w:widowControl/>
        <w:jc w:val="both"/>
      </w:pPr>
    </w:p>
    <w:p w14:paraId="3972A85A" w14:textId="77777777" w:rsidR="00397416" w:rsidRPr="002B65F7" w:rsidRDefault="00F4038A" w:rsidP="007A1EC3">
      <w:pPr>
        <w:pBdr>
          <w:top w:val="single" w:sz="4" w:space="1" w:color="auto"/>
          <w:left w:val="single" w:sz="4" w:space="4" w:color="auto"/>
          <w:bottom w:val="single" w:sz="4" w:space="1" w:color="auto"/>
          <w:right w:val="single" w:sz="4" w:space="4" w:color="auto"/>
        </w:pBdr>
        <w:tabs>
          <w:tab w:val="left" w:pos="0"/>
        </w:tabs>
        <w:rPr>
          <w:b/>
          <w:noProof/>
        </w:rPr>
      </w:pPr>
      <w:r w:rsidRPr="002B65F7">
        <w:br w:type="page"/>
      </w:r>
      <w:r w:rsidR="00397416" w:rsidRPr="002B65F7">
        <w:rPr>
          <w:b/>
          <w:noProof/>
        </w:rPr>
        <w:lastRenderedPageBreak/>
        <w:t>MENTIONS MINIMALES DEVANT FIGURER SUR LES PLAQUETTES OU LES FILMS THERMOSOUDÉS</w:t>
      </w:r>
    </w:p>
    <w:p w14:paraId="182577AC" w14:textId="7EB15517" w:rsidR="00397416" w:rsidRPr="002B65F7" w:rsidRDefault="00397416" w:rsidP="00397416">
      <w:pPr>
        <w:pBdr>
          <w:top w:val="single" w:sz="4" w:space="1" w:color="auto"/>
          <w:left w:val="single" w:sz="4" w:space="4" w:color="auto"/>
          <w:bottom w:val="single" w:sz="4" w:space="1" w:color="auto"/>
          <w:right w:val="single" w:sz="4" w:space="4" w:color="auto"/>
        </w:pBdr>
        <w:rPr>
          <w:b/>
          <w:noProof/>
        </w:rPr>
      </w:pPr>
    </w:p>
    <w:p w14:paraId="17837ABB" w14:textId="7240106C" w:rsidR="00397416" w:rsidRPr="002B65F7" w:rsidRDefault="00397416" w:rsidP="00397416">
      <w:pPr>
        <w:pBdr>
          <w:top w:val="single" w:sz="4" w:space="1" w:color="auto"/>
          <w:left w:val="single" w:sz="4" w:space="4" w:color="auto"/>
          <w:bottom w:val="single" w:sz="4" w:space="1" w:color="auto"/>
          <w:right w:val="single" w:sz="4" w:space="4" w:color="auto"/>
        </w:pBdr>
        <w:rPr>
          <w:b/>
          <w:noProof/>
        </w:rPr>
      </w:pPr>
      <w:r w:rsidRPr="002B65F7">
        <w:rPr>
          <w:b/>
        </w:rPr>
        <w:t xml:space="preserve">SERINGUE PRÉREMPLIE SOUS </w:t>
      </w:r>
      <w:r w:rsidR="002D09FD" w:rsidRPr="002B65F7">
        <w:rPr>
          <w:b/>
        </w:rPr>
        <w:t>PLAQUETTE THERMOSOUD</w:t>
      </w:r>
      <w:r w:rsidR="002D09FD" w:rsidRPr="002B65F7">
        <w:rPr>
          <w:b/>
          <w:noProof/>
        </w:rPr>
        <w:t>É</w:t>
      </w:r>
      <w:r w:rsidR="002D09FD" w:rsidRPr="002B65F7">
        <w:rPr>
          <w:b/>
        </w:rPr>
        <w:t>E</w:t>
      </w:r>
    </w:p>
    <w:p w14:paraId="2A08039E" w14:textId="77777777" w:rsidR="00397416" w:rsidRPr="002B65F7" w:rsidRDefault="00397416" w:rsidP="00397416">
      <w:pPr>
        <w:rPr>
          <w:noProof/>
        </w:rPr>
      </w:pPr>
    </w:p>
    <w:p w14:paraId="107F9A45" w14:textId="77777777" w:rsidR="00397416" w:rsidRPr="002B65F7" w:rsidRDefault="00397416" w:rsidP="00397416">
      <w:pPr>
        <w:rPr>
          <w:noProof/>
        </w:rPr>
      </w:pPr>
    </w:p>
    <w:p w14:paraId="0A4E02B1" w14:textId="3F5850A5" w:rsidR="00397416" w:rsidRPr="002B65F7" w:rsidRDefault="00397416" w:rsidP="00B85020">
      <w:pPr>
        <w:pBdr>
          <w:top w:val="single" w:sz="4" w:space="1" w:color="auto"/>
          <w:left w:val="single" w:sz="4" w:space="4" w:color="auto"/>
          <w:bottom w:val="single" w:sz="4" w:space="1" w:color="auto"/>
          <w:right w:val="single" w:sz="4" w:space="4" w:color="auto"/>
        </w:pBdr>
        <w:ind w:left="567" w:hanging="567"/>
        <w:outlineLvl w:val="0"/>
        <w:rPr>
          <w:b/>
          <w:noProof/>
        </w:rPr>
      </w:pPr>
      <w:r w:rsidRPr="002B65F7">
        <w:rPr>
          <w:b/>
          <w:noProof/>
        </w:rPr>
        <w:t>1.</w:t>
      </w:r>
      <w:r w:rsidRPr="002B65F7">
        <w:rPr>
          <w:b/>
          <w:noProof/>
        </w:rPr>
        <w:tab/>
        <w:t>DÉNOMINATION DU MÉDICAMENT</w:t>
      </w:r>
    </w:p>
    <w:p w14:paraId="6DC9E790" w14:textId="77777777" w:rsidR="00397416" w:rsidRPr="002B65F7" w:rsidRDefault="00397416" w:rsidP="00397416">
      <w:pPr>
        <w:rPr>
          <w:i/>
          <w:noProof/>
        </w:rPr>
      </w:pPr>
    </w:p>
    <w:p w14:paraId="75C5600B" w14:textId="4EFF9F5E" w:rsidR="00397416" w:rsidRPr="002B65F7" w:rsidRDefault="00397416" w:rsidP="00397416">
      <w:r w:rsidRPr="002B65F7">
        <w:t>WEZENLA 90 mg injectable</w:t>
      </w:r>
    </w:p>
    <w:p w14:paraId="30027305" w14:textId="768E27FF" w:rsidR="00397416" w:rsidRPr="002B65F7" w:rsidRDefault="0071390F" w:rsidP="00397416">
      <w:r w:rsidRPr="002B65F7">
        <w:t>ustekinumab</w:t>
      </w:r>
    </w:p>
    <w:p w14:paraId="69034561" w14:textId="77777777" w:rsidR="00397416" w:rsidRPr="002B65F7" w:rsidRDefault="00397416" w:rsidP="00397416"/>
    <w:p w14:paraId="3D898DC7" w14:textId="77777777" w:rsidR="00397416" w:rsidRPr="002B65F7" w:rsidRDefault="00397416" w:rsidP="00397416"/>
    <w:p w14:paraId="6110E894" w14:textId="4C777379" w:rsidR="00397416" w:rsidRPr="002B65F7" w:rsidRDefault="00397416" w:rsidP="00B85020">
      <w:pPr>
        <w:pBdr>
          <w:top w:val="single" w:sz="4" w:space="1" w:color="auto"/>
          <w:left w:val="single" w:sz="4" w:space="4" w:color="auto"/>
          <w:bottom w:val="single" w:sz="4" w:space="1" w:color="auto"/>
          <w:right w:val="single" w:sz="4" w:space="4" w:color="auto"/>
        </w:pBdr>
        <w:ind w:left="567" w:hanging="567"/>
        <w:outlineLvl w:val="0"/>
        <w:rPr>
          <w:b/>
        </w:rPr>
      </w:pPr>
      <w:r w:rsidRPr="002B65F7">
        <w:rPr>
          <w:b/>
        </w:rPr>
        <w:t>2.</w:t>
      </w:r>
      <w:r w:rsidRPr="002B65F7">
        <w:rPr>
          <w:b/>
        </w:rPr>
        <w:tab/>
        <w:t>NOM DU TITULAIRE DE L’AUTORISATION DE MISE SUR LE MARCHÉ</w:t>
      </w:r>
    </w:p>
    <w:p w14:paraId="60B75513" w14:textId="77777777" w:rsidR="00397416" w:rsidRPr="002B65F7" w:rsidRDefault="00397416" w:rsidP="00397416">
      <w:pPr>
        <w:rPr>
          <w:noProof/>
        </w:rPr>
      </w:pPr>
    </w:p>
    <w:p w14:paraId="74479589" w14:textId="77777777" w:rsidR="00397416" w:rsidRPr="002B65F7" w:rsidRDefault="00397416" w:rsidP="00397416">
      <w:pPr>
        <w:rPr>
          <w:noProof/>
        </w:rPr>
      </w:pPr>
      <w:r w:rsidRPr="002B65F7">
        <w:t>Amgen</w:t>
      </w:r>
    </w:p>
    <w:p w14:paraId="7940AE97" w14:textId="77777777" w:rsidR="00397416" w:rsidRPr="002B65F7" w:rsidRDefault="00397416" w:rsidP="00397416">
      <w:pPr>
        <w:rPr>
          <w:noProof/>
        </w:rPr>
      </w:pPr>
    </w:p>
    <w:p w14:paraId="4176C094" w14:textId="77777777" w:rsidR="00397416" w:rsidRPr="002B65F7" w:rsidRDefault="00397416" w:rsidP="00397416">
      <w:pPr>
        <w:rPr>
          <w:noProof/>
        </w:rPr>
      </w:pPr>
    </w:p>
    <w:p w14:paraId="03C6D2FF" w14:textId="1CF99566" w:rsidR="00397416" w:rsidRPr="002B65F7" w:rsidRDefault="00397416" w:rsidP="00B85020">
      <w:pPr>
        <w:pBdr>
          <w:top w:val="single" w:sz="4" w:space="1" w:color="auto"/>
          <w:left w:val="single" w:sz="4" w:space="4" w:color="auto"/>
          <w:bottom w:val="single" w:sz="4" w:space="2" w:color="auto"/>
          <w:right w:val="single" w:sz="4" w:space="4" w:color="auto"/>
        </w:pBdr>
        <w:ind w:left="567" w:hanging="567"/>
        <w:outlineLvl w:val="0"/>
        <w:rPr>
          <w:b/>
          <w:noProof/>
        </w:rPr>
      </w:pPr>
      <w:r w:rsidRPr="002B65F7">
        <w:rPr>
          <w:b/>
          <w:noProof/>
        </w:rPr>
        <w:t>3.</w:t>
      </w:r>
      <w:r w:rsidRPr="002B65F7">
        <w:rPr>
          <w:b/>
          <w:noProof/>
        </w:rPr>
        <w:tab/>
        <w:t>DATE DE PÉREMPTION</w:t>
      </w:r>
    </w:p>
    <w:p w14:paraId="7D994352" w14:textId="77777777" w:rsidR="00397416" w:rsidRPr="002B65F7" w:rsidRDefault="00397416" w:rsidP="00397416">
      <w:pPr>
        <w:rPr>
          <w:noProof/>
        </w:rPr>
      </w:pPr>
    </w:p>
    <w:p w14:paraId="7BB893F3" w14:textId="77777777" w:rsidR="00397416" w:rsidRPr="002B65F7" w:rsidRDefault="00397416" w:rsidP="00397416">
      <w:pPr>
        <w:rPr>
          <w:noProof/>
        </w:rPr>
      </w:pPr>
      <w:r w:rsidRPr="002B65F7">
        <w:rPr>
          <w:noProof/>
        </w:rPr>
        <w:t>EXP</w:t>
      </w:r>
    </w:p>
    <w:p w14:paraId="7310D885" w14:textId="77777777" w:rsidR="00397416" w:rsidRPr="002B65F7" w:rsidRDefault="00397416" w:rsidP="00397416">
      <w:pPr>
        <w:rPr>
          <w:noProof/>
        </w:rPr>
      </w:pPr>
    </w:p>
    <w:p w14:paraId="684F6146" w14:textId="77777777" w:rsidR="00397416" w:rsidRPr="002B65F7" w:rsidRDefault="00397416" w:rsidP="00397416">
      <w:pPr>
        <w:rPr>
          <w:noProof/>
        </w:rPr>
      </w:pPr>
    </w:p>
    <w:p w14:paraId="4853971E" w14:textId="58330BA5" w:rsidR="00397416" w:rsidRPr="002B65F7" w:rsidRDefault="00397416" w:rsidP="00B85020">
      <w:pPr>
        <w:pBdr>
          <w:top w:val="single" w:sz="4" w:space="1" w:color="auto"/>
          <w:left w:val="single" w:sz="4" w:space="4" w:color="auto"/>
          <w:bottom w:val="single" w:sz="4" w:space="1" w:color="auto"/>
          <w:right w:val="single" w:sz="4" w:space="4" w:color="auto"/>
        </w:pBdr>
        <w:ind w:left="567" w:hanging="567"/>
        <w:outlineLvl w:val="0"/>
        <w:rPr>
          <w:b/>
          <w:noProof/>
        </w:rPr>
      </w:pPr>
      <w:r w:rsidRPr="002B65F7">
        <w:rPr>
          <w:b/>
          <w:noProof/>
        </w:rPr>
        <w:t>4.</w:t>
      </w:r>
      <w:r w:rsidRPr="002B65F7">
        <w:rPr>
          <w:b/>
          <w:noProof/>
        </w:rPr>
        <w:tab/>
        <w:t>NUMÉRO DU LOT</w:t>
      </w:r>
    </w:p>
    <w:p w14:paraId="49D927D3" w14:textId="77777777" w:rsidR="00397416" w:rsidRPr="002B65F7" w:rsidRDefault="00397416" w:rsidP="00397416">
      <w:pPr>
        <w:rPr>
          <w:noProof/>
        </w:rPr>
      </w:pPr>
    </w:p>
    <w:p w14:paraId="2AD99FE5" w14:textId="77777777" w:rsidR="00397416" w:rsidRPr="002B65F7" w:rsidRDefault="00397416" w:rsidP="00397416">
      <w:pPr>
        <w:rPr>
          <w:noProof/>
        </w:rPr>
      </w:pPr>
      <w:r w:rsidRPr="002B65F7">
        <w:rPr>
          <w:noProof/>
        </w:rPr>
        <w:t>Lot</w:t>
      </w:r>
    </w:p>
    <w:p w14:paraId="79D7F0A6" w14:textId="77777777" w:rsidR="00397416" w:rsidRPr="002B65F7" w:rsidRDefault="00397416" w:rsidP="00397416">
      <w:pPr>
        <w:rPr>
          <w:noProof/>
        </w:rPr>
      </w:pPr>
    </w:p>
    <w:p w14:paraId="6C38160D" w14:textId="77777777" w:rsidR="00397416" w:rsidRPr="002B65F7" w:rsidRDefault="00397416" w:rsidP="00397416">
      <w:pPr>
        <w:rPr>
          <w:noProof/>
        </w:rPr>
      </w:pPr>
    </w:p>
    <w:p w14:paraId="3EB2D367" w14:textId="60D1F1D1" w:rsidR="00397416" w:rsidRPr="002B65F7" w:rsidRDefault="00397416" w:rsidP="00B85020">
      <w:pPr>
        <w:pBdr>
          <w:top w:val="single" w:sz="4" w:space="1" w:color="auto"/>
          <w:left w:val="single" w:sz="4" w:space="4" w:color="auto"/>
          <w:bottom w:val="single" w:sz="4" w:space="1" w:color="auto"/>
          <w:right w:val="single" w:sz="4" w:space="4" w:color="auto"/>
        </w:pBdr>
        <w:ind w:left="567" w:hanging="567"/>
        <w:outlineLvl w:val="0"/>
        <w:rPr>
          <w:b/>
          <w:noProof/>
          <w:lang w:val="en-GB"/>
        </w:rPr>
      </w:pPr>
      <w:r w:rsidRPr="002B65F7">
        <w:rPr>
          <w:b/>
          <w:noProof/>
          <w:lang w:val="en-GB"/>
        </w:rPr>
        <w:t>5.</w:t>
      </w:r>
      <w:r w:rsidRPr="002B65F7">
        <w:rPr>
          <w:b/>
          <w:noProof/>
          <w:lang w:val="en-GB"/>
        </w:rPr>
        <w:tab/>
      </w:r>
      <w:r w:rsidRPr="002B65F7">
        <w:rPr>
          <w:b/>
          <w:noProof/>
        </w:rPr>
        <w:t>AUTRE</w:t>
      </w:r>
    </w:p>
    <w:p w14:paraId="6D64F8CC" w14:textId="77777777" w:rsidR="00397416" w:rsidRPr="002B65F7" w:rsidRDefault="00397416" w:rsidP="00397416">
      <w:pPr>
        <w:rPr>
          <w:noProof/>
          <w:lang w:val="en-GB"/>
        </w:rPr>
      </w:pPr>
    </w:p>
    <w:p w14:paraId="55A996E7" w14:textId="3C636AC3" w:rsidR="00397416" w:rsidRPr="002B65F7" w:rsidRDefault="00A2167E" w:rsidP="00397416">
      <w:pPr>
        <w:rPr>
          <w:noProof/>
          <w:lang w:val="en-GB"/>
        </w:rPr>
      </w:pPr>
      <w:r>
        <w:rPr>
          <w:noProof/>
          <w:lang w:val="en-US" w:eastAsia="zh-CN"/>
        </w:rPr>
        <w:drawing>
          <wp:inline distT="0" distB="0" distL="0" distR="0" wp14:anchorId="3DF8BDC5" wp14:editId="797298F8">
            <wp:extent cx="914400" cy="914400"/>
            <wp:effectExtent l="0" t="0" r="0" b="0"/>
            <wp:docPr id="5" name="Picture 65" descr="Une image contenant croquis, lign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Une image contenant croquis, ligne, conception&#10;&#10;Description générée automatiqueme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6A3C660B" w14:textId="08A9DA10" w:rsidR="007A1EC3" w:rsidRPr="002B65F7" w:rsidRDefault="00397416" w:rsidP="004B12BC">
      <w:pPr>
        <w:keepNext/>
        <w:widowControl/>
        <w:pBdr>
          <w:top w:val="single" w:sz="4" w:space="1" w:color="auto"/>
          <w:left w:val="single" w:sz="4" w:space="4" w:color="auto"/>
          <w:bottom w:val="single" w:sz="4" w:space="1" w:color="auto"/>
          <w:right w:val="single" w:sz="4" w:space="4" w:color="auto"/>
        </w:pBdr>
        <w:rPr>
          <w:b/>
          <w:bCs/>
        </w:rPr>
      </w:pPr>
      <w:r w:rsidRPr="00085FB7">
        <w:br w:type="page"/>
      </w:r>
      <w:r w:rsidR="007A1EC3" w:rsidRPr="002B65F7">
        <w:rPr>
          <w:b/>
          <w:bCs/>
        </w:rPr>
        <w:lastRenderedPageBreak/>
        <w:t>MENTIONS MINIMALES DEVANT FIGURER SUR LES PETITS CONDITIONNEMENTS PRIMAIRES</w:t>
      </w:r>
    </w:p>
    <w:p w14:paraId="2A23928F"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bCs/>
        </w:rPr>
      </w:pPr>
    </w:p>
    <w:p w14:paraId="31BA3445" w14:textId="00069D50" w:rsidR="007A1EC3" w:rsidRPr="002B65F7" w:rsidRDefault="007A1EC3" w:rsidP="007A1EC3">
      <w:pPr>
        <w:keepNext/>
        <w:widowControl/>
        <w:pBdr>
          <w:top w:val="single" w:sz="4" w:space="1" w:color="auto"/>
          <w:left w:val="single" w:sz="4" w:space="4" w:color="auto"/>
          <w:bottom w:val="single" w:sz="4" w:space="1" w:color="auto"/>
          <w:right w:val="single" w:sz="4" w:space="4" w:color="auto"/>
        </w:pBdr>
        <w:rPr>
          <w:b/>
          <w:bCs/>
        </w:rPr>
      </w:pPr>
      <w:r w:rsidRPr="002B65F7">
        <w:rPr>
          <w:b/>
          <w:bCs/>
        </w:rPr>
        <w:t>ÉTIQUETTE SERINGUE PRÉREMPLIE</w:t>
      </w:r>
    </w:p>
    <w:p w14:paraId="63F67CF5" w14:textId="77777777" w:rsidR="00F4038A" w:rsidRPr="002B65F7" w:rsidRDefault="00F4038A" w:rsidP="007A1EC3">
      <w:pPr>
        <w:keepNext/>
        <w:widowControl/>
      </w:pPr>
    </w:p>
    <w:p w14:paraId="03B58C30" w14:textId="68ECCB76" w:rsidR="00092F83" w:rsidRPr="002B65F7" w:rsidRDefault="00092F83" w:rsidP="007A1EC3">
      <w:pPr>
        <w:widowControl/>
      </w:pPr>
    </w:p>
    <w:p w14:paraId="1B276C0D"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w:t>
      </w:r>
      <w:r w:rsidRPr="002B65F7">
        <w:rPr>
          <w:b/>
          <w:bCs/>
        </w:rPr>
        <w:tab/>
        <w:t>DÉNOMINATION DU MÉDICAMENT ET VOIE(S) D’ADMINISTRATION</w:t>
      </w:r>
    </w:p>
    <w:p w14:paraId="03B58C31" w14:textId="727AC8E5" w:rsidR="00092F83" w:rsidRPr="002B65F7" w:rsidRDefault="00092F83" w:rsidP="007A1EC3">
      <w:pPr>
        <w:keepNext/>
        <w:widowControl/>
      </w:pPr>
    </w:p>
    <w:p w14:paraId="11018359" w14:textId="2587C980" w:rsidR="00B41E23" w:rsidRPr="002B65F7" w:rsidRDefault="008D0956" w:rsidP="007A1EC3">
      <w:pPr>
        <w:widowControl/>
      </w:pPr>
      <w:r w:rsidRPr="002B65F7">
        <w:t>WEZENLA</w:t>
      </w:r>
      <w:r w:rsidR="00C31740" w:rsidRPr="002B65F7">
        <w:rPr>
          <w:spacing w:val="-11"/>
        </w:rPr>
        <w:t xml:space="preserve"> </w:t>
      </w:r>
      <w:r w:rsidR="00C31740" w:rsidRPr="002B65F7">
        <w:t>90</w:t>
      </w:r>
      <w:r w:rsidR="00513D67" w:rsidRPr="002B65F7">
        <w:rPr>
          <w:spacing w:val="-10"/>
        </w:rPr>
        <w:t> </w:t>
      </w:r>
      <w:r w:rsidR="00C31740" w:rsidRPr="002B65F7">
        <w:t>mg</w:t>
      </w:r>
      <w:r w:rsidR="00C31740" w:rsidRPr="002B65F7">
        <w:rPr>
          <w:spacing w:val="-11"/>
        </w:rPr>
        <w:t xml:space="preserve"> </w:t>
      </w:r>
      <w:r w:rsidR="00C31740" w:rsidRPr="002B65F7">
        <w:t>injectable</w:t>
      </w:r>
    </w:p>
    <w:p w14:paraId="03B58C33" w14:textId="4C980AE2" w:rsidR="00092F83" w:rsidRPr="002B65F7" w:rsidRDefault="0071390F" w:rsidP="007A1EC3">
      <w:pPr>
        <w:widowControl/>
      </w:pPr>
      <w:r w:rsidRPr="002B65F7">
        <w:rPr>
          <w:spacing w:val="-2"/>
        </w:rPr>
        <w:t>ustekinumab</w:t>
      </w:r>
    </w:p>
    <w:p w14:paraId="03B58C34" w14:textId="77777777" w:rsidR="00092F83" w:rsidRPr="002B65F7" w:rsidRDefault="00C31740" w:rsidP="007A1EC3">
      <w:pPr>
        <w:widowControl/>
      </w:pPr>
      <w:r w:rsidRPr="002B65F7">
        <w:rPr>
          <w:spacing w:val="-5"/>
        </w:rPr>
        <w:t>SC</w:t>
      </w:r>
    </w:p>
    <w:p w14:paraId="03B58C35" w14:textId="77777777" w:rsidR="00092F83" w:rsidRPr="002B65F7" w:rsidRDefault="00092F83" w:rsidP="007A1EC3">
      <w:pPr>
        <w:pStyle w:val="BodyText"/>
        <w:widowControl/>
      </w:pPr>
    </w:p>
    <w:p w14:paraId="03B58C36" w14:textId="30624E93" w:rsidR="00092F83" w:rsidRPr="002B65F7" w:rsidRDefault="00092F83" w:rsidP="007A1EC3">
      <w:pPr>
        <w:widowControl/>
      </w:pPr>
    </w:p>
    <w:p w14:paraId="54AD7EA5"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2.</w:t>
      </w:r>
      <w:r w:rsidRPr="002B65F7">
        <w:rPr>
          <w:b/>
          <w:bCs/>
        </w:rPr>
        <w:tab/>
        <w:t>MODE D’ADMINISTRATION</w:t>
      </w:r>
    </w:p>
    <w:p w14:paraId="03B58C37" w14:textId="77777777" w:rsidR="00092F83" w:rsidRPr="002B65F7" w:rsidRDefault="00092F83" w:rsidP="007A1EC3">
      <w:pPr>
        <w:keepNext/>
        <w:widowControl/>
      </w:pPr>
    </w:p>
    <w:p w14:paraId="03B58C38" w14:textId="77777777" w:rsidR="00092F83" w:rsidRPr="002B65F7" w:rsidRDefault="00092F83" w:rsidP="007A1EC3">
      <w:pPr>
        <w:widowControl/>
      </w:pPr>
    </w:p>
    <w:p w14:paraId="582476E3"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3.</w:t>
      </w:r>
      <w:r w:rsidRPr="002B65F7">
        <w:rPr>
          <w:b/>
          <w:bCs/>
        </w:rPr>
        <w:tab/>
        <w:t>DATE DE PÉREMPTION</w:t>
      </w:r>
    </w:p>
    <w:p w14:paraId="03B58C3A" w14:textId="77777777" w:rsidR="00092F83" w:rsidRPr="002B65F7" w:rsidRDefault="00092F83" w:rsidP="007A1EC3">
      <w:pPr>
        <w:keepNext/>
        <w:widowControl/>
      </w:pPr>
    </w:p>
    <w:p w14:paraId="03B58C3B" w14:textId="77777777" w:rsidR="00092F83" w:rsidRPr="002B65F7" w:rsidRDefault="00C31740" w:rsidP="007A1EC3">
      <w:pPr>
        <w:widowControl/>
      </w:pPr>
      <w:r w:rsidRPr="002B65F7">
        <w:rPr>
          <w:spacing w:val="-5"/>
        </w:rPr>
        <w:t>EXP</w:t>
      </w:r>
    </w:p>
    <w:p w14:paraId="03B58C3C" w14:textId="77777777" w:rsidR="00092F83" w:rsidRDefault="00092F83" w:rsidP="007A1EC3">
      <w:pPr>
        <w:widowControl/>
      </w:pPr>
    </w:p>
    <w:p w14:paraId="033C4B51" w14:textId="77777777" w:rsidR="00C839A1" w:rsidRPr="002B65F7" w:rsidRDefault="00C839A1" w:rsidP="007A1EC3">
      <w:pPr>
        <w:widowControl/>
      </w:pPr>
    </w:p>
    <w:p w14:paraId="00BF2E0D"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4.</w:t>
      </w:r>
      <w:r w:rsidRPr="002B65F7">
        <w:rPr>
          <w:b/>
          <w:bCs/>
        </w:rPr>
        <w:tab/>
        <w:t>NUMÉRO DU LOT</w:t>
      </w:r>
    </w:p>
    <w:p w14:paraId="03B58C3D" w14:textId="4C51E6A6" w:rsidR="00092F83" w:rsidRPr="002B65F7" w:rsidRDefault="00092F83" w:rsidP="007A1EC3">
      <w:pPr>
        <w:keepNext/>
        <w:widowControl/>
      </w:pPr>
    </w:p>
    <w:p w14:paraId="03B58C3F" w14:textId="77777777" w:rsidR="00092F83" w:rsidRPr="002B65F7" w:rsidRDefault="00C31740" w:rsidP="007A1EC3">
      <w:pPr>
        <w:widowControl/>
      </w:pPr>
      <w:r w:rsidRPr="002B65F7">
        <w:rPr>
          <w:spacing w:val="-5"/>
        </w:rPr>
        <w:t>Lot</w:t>
      </w:r>
    </w:p>
    <w:p w14:paraId="03B58C40" w14:textId="77777777" w:rsidR="00092F83" w:rsidRPr="002B65F7" w:rsidRDefault="00092F83" w:rsidP="007A1EC3">
      <w:pPr>
        <w:widowControl/>
      </w:pPr>
    </w:p>
    <w:p w14:paraId="05450284" w14:textId="77777777" w:rsidR="001C0D61" w:rsidRPr="002B65F7" w:rsidRDefault="001C0D61" w:rsidP="007A1EC3">
      <w:pPr>
        <w:widowControl/>
      </w:pPr>
    </w:p>
    <w:p w14:paraId="22246A64"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5.</w:t>
      </w:r>
      <w:r w:rsidRPr="002B65F7">
        <w:rPr>
          <w:b/>
          <w:bCs/>
        </w:rPr>
        <w:tab/>
        <w:t>CONTENU EN POIDS, VOLUME OU UNITÉ</w:t>
      </w:r>
    </w:p>
    <w:p w14:paraId="03B58C41" w14:textId="2FAF0F3F" w:rsidR="00092F83" w:rsidRPr="002B65F7" w:rsidRDefault="00092F83" w:rsidP="007A1EC3">
      <w:pPr>
        <w:keepNext/>
        <w:widowControl/>
      </w:pPr>
    </w:p>
    <w:p w14:paraId="03B58C43" w14:textId="6F573578" w:rsidR="00092F83" w:rsidRPr="002B65F7" w:rsidRDefault="00C31740" w:rsidP="007A1EC3">
      <w:pPr>
        <w:widowControl/>
        <w:rPr>
          <w:spacing w:val="-5"/>
        </w:rPr>
      </w:pPr>
      <w:r w:rsidRPr="002B65F7">
        <w:t>90</w:t>
      </w:r>
      <w:r w:rsidR="001C0D61" w:rsidRPr="002B65F7">
        <w:rPr>
          <w:spacing w:val="-4"/>
        </w:rPr>
        <w:t> </w:t>
      </w:r>
      <w:r w:rsidRPr="002B65F7">
        <w:t>mg/1</w:t>
      </w:r>
      <w:r w:rsidR="00CE1EA9" w:rsidRPr="002B65F7">
        <w:rPr>
          <w:spacing w:val="-1"/>
        </w:rPr>
        <w:t> </w:t>
      </w:r>
      <w:r w:rsidRPr="002B65F7">
        <w:rPr>
          <w:spacing w:val="-5"/>
        </w:rPr>
        <w:t>mL</w:t>
      </w:r>
    </w:p>
    <w:p w14:paraId="1614DD5F" w14:textId="77777777" w:rsidR="001C0D61" w:rsidRPr="002B65F7" w:rsidRDefault="001C0D61" w:rsidP="007A1EC3">
      <w:pPr>
        <w:widowControl/>
      </w:pPr>
    </w:p>
    <w:p w14:paraId="73987F9D" w14:textId="77777777" w:rsidR="001C0D61" w:rsidRPr="002B65F7" w:rsidRDefault="001C0D61" w:rsidP="007A1EC3">
      <w:pPr>
        <w:widowControl/>
      </w:pPr>
    </w:p>
    <w:p w14:paraId="1A18C772" w14:textId="77777777" w:rsidR="007A1EC3" w:rsidRPr="002B65F7" w:rsidRDefault="007A1EC3" w:rsidP="007A1EC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6.</w:t>
      </w:r>
      <w:r w:rsidRPr="002B65F7">
        <w:rPr>
          <w:b/>
          <w:bCs/>
        </w:rPr>
        <w:tab/>
        <w:t>AUTRE</w:t>
      </w:r>
    </w:p>
    <w:p w14:paraId="03B58C44" w14:textId="58250619" w:rsidR="00092F83" w:rsidRPr="002B65F7" w:rsidRDefault="00092F83" w:rsidP="007A1EC3">
      <w:pPr>
        <w:pStyle w:val="BodyText"/>
        <w:keepNext/>
        <w:widowControl/>
      </w:pPr>
    </w:p>
    <w:p w14:paraId="07F012F6" w14:textId="07881E5E" w:rsidR="00540F9C" w:rsidRPr="002B65F7" w:rsidRDefault="001C0D61" w:rsidP="00540F9C">
      <w:pPr>
        <w:keepNext/>
        <w:widowControl/>
        <w:pBdr>
          <w:top w:val="single" w:sz="4" w:space="1" w:color="auto"/>
          <w:left w:val="single" w:sz="4" w:space="4" w:color="auto"/>
          <w:bottom w:val="single" w:sz="4" w:space="1" w:color="auto"/>
          <w:right w:val="single" w:sz="4" w:space="4" w:color="auto"/>
        </w:pBdr>
        <w:rPr>
          <w:b/>
          <w:bCs/>
        </w:rPr>
      </w:pPr>
      <w:r w:rsidRPr="002B65F7">
        <w:br w:type="page"/>
      </w:r>
      <w:r w:rsidR="00540F9C" w:rsidRPr="002B65F7">
        <w:rPr>
          <w:b/>
          <w:bCs/>
        </w:rPr>
        <w:lastRenderedPageBreak/>
        <w:t>MENTIONS DEVANT FIGURER SUR L’EMBALLAGE EXTÉRIEUR</w:t>
      </w:r>
    </w:p>
    <w:p w14:paraId="20142752"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rPr>
          <w:b/>
          <w:bCs/>
        </w:rPr>
      </w:pPr>
    </w:p>
    <w:p w14:paraId="40353C9C"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rPr>
          <w:b/>
          <w:bCs/>
        </w:rPr>
      </w:pPr>
      <w:r w:rsidRPr="002B65F7">
        <w:rPr>
          <w:b/>
          <w:bCs/>
        </w:rPr>
        <w:t>CARTON EXTÉRIEUR STYLO PRÉREMPLI</w:t>
      </w:r>
    </w:p>
    <w:p w14:paraId="5562F743" w14:textId="77777777" w:rsidR="00540F9C" w:rsidRPr="002B65F7" w:rsidRDefault="00540F9C" w:rsidP="00540F9C">
      <w:pPr>
        <w:keepNext/>
        <w:widowControl/>
      </w:pPr>
    </w:p>
    <w:p w14:paraId="50B4AB8B" w14:textId="77777777" w:rsidR="00540F9C" w:rsidRPr="002B65F7" w:rsidRDefault="00540F9C" w:rsidP="00540F9C">
      <w:pPr>
        <w:widowControl/>
      </w:pPr>
    </w:p>
    <w:p w14:paraId="3E25C40B"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w:t>
      </w:r>
      <w:r w:rsidRPr="002B65F7">
        <w:rPr>
          <w:b/>
          <w:bCs/>
        </w:rPr>
        <w:tab/>
        <w:t>DÉNOMINATION DU MÉDICAMENT</w:t>
      </w:r>
    </w:p>
    <w:p w14:paraId="49DEBDF3" w14:textId="77777777" w:rsidR="00540F9C" w:rsidRPr="002B65F7" w:rsidRDefault="00540F9C" w:rsidP="00540F9C">
      <w:pPr>
        <w:keepNext/>
        <w:widowControl/>
      </w:pPr>
    </w:p>
    <w:p w14:paraId="0129F8F6" w14:textId="77777777" w:rsidR="00540F9C" w:rsidRPr="002B65F7" w:rsidRDefault="00540F9C" w:rsidP="00540F9C">
      <w:pPr>
        <w:widowControl/>
      </w:pPr>
      <w:r w:rsidRPr="002B65F7">
        <w:t>WEZENLA</w:t>
      </w:r>
      <w:r w:rsidRPr="002B65F7">
        <w:rPr>
          <w:spacing w:val="-5"/>
        </w:rPr>
        <w:t xml:space="preserve"> </w:t>
      </w:r>
      <w:r w:rsidRPr="002B65F7">
        <w:t>45</w:t>
      </w:r>
      <w:r w:rsidRPr="002B65F7">
        <w:rPr>
          <w:spacing w:val="-4"/>
        </w:rPr>
        <w:t> </w:t>
      </w:r>
      <w:r w:rsidRPr="002B65F7">
        <w:t>mg</w:t>
      </w:r>
      <w:r w:rsidRPr="002B65F7">
        <w:rPr>
          <w:spacing w:val="-5"/>
        </w:rPr>
        <w:t xml:space="preserve"> </w:t>
      </w:r>
      <w:r w:rsidRPr="002B65F7">
        <w:t>solution</w:t>
      </w:r>
      <w:r w:rsidRPr="002B65F7">
        <w:rPr>
          <w:spacing w:val="-5"/>
        </w:rPr>
        <w:t xml:space="preserve"> </w:t>
      </w:r>
      <w:r w:rsidRPr="002B65F7">
        <w:t>injectable</w:t>
      </w:r>
      <w:r w:rsidRPr="002B65F7">
        <w:rPr>
          <w:spacing w:val="-5"/>
        </w:rPr>
        <w:t xml:space="preserve"> </w:t>
      </w:r>
      <w:r w:rsidRPr="002B65F7">
        <w:t>en</w:t>
      </w:r>
      <w:r w:rsidRPr="002B65F7">
        <w:rPr>
          <w:spacing w:val="-8"/>
        </w:rPr>
        <w:t xml:space="preserve"> </w:t>
      </w:r>
      <w:r w:rsidRPr="002B65F7">
        <w:t>stylo</w:t>
      </w:r>
      <w:r w:rsidRPr="002B65F7">
        <w:rPr>
          <w:spacing w:val="-5"/>
        </w:rPr>
        <w:t xml:space="preserve"> </w:t>
      </w:r>
      <w:r w:rsidRPr="002B65F7">
        <w:t>prérempli</w:t>
      </w:r>
    </w:p>
    <w:p w14:paraId="42409523" w14:textId="77777777" w:rsidR="00540F9C" w:rsidRPr="002B65F7" w:rsidRDefault="00540F9C" w:rsidP="00540F9C">
      <w:pPr>
        <w:widowControl/>
      </w:pPr>
      <w:r w:rsidRPr="002B65F7">
        <w:rPr>
          <w:spacing w:val="-2"/>
        </w:rPr>
        <w:t>ustekinumab</w:t>
      </w:r>
    </w:p>
    <w:p w14:paraId="42A63A28" w14:textId="77777777" w:rsidR="00540F9C" w:rsidRPr="002B65F7" w:rsidRDefault="00540F9C" w:rsidP="00540F9C">
      <w:pPr>
        <w:widowControl/>
      </w:pPr>
    </w:p>
    <w:p w14:paraId="7E11D8AF" w14:textId="77777777" w:rsidR="00540F9C" w:rsidRPr="002B65F7" w:rsidRDefault="00540F9C" w:rsidP="00540F9C">
      <w:pPr>
        <w:widowControl/>
      </w:pPr>
    </w:p>
    <w:p w14:paraId="0DB2AEB5"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2.</w:t>
      </w:r>
      <w:r w:rsidRPr="002B65F7">
        <w:rPr>
          <w:b/>
          <w:bCs/>
        </w:rPr>
        <w:tab/>
        <w:t>COMPOSITION EN SUBSTANCE(S) ACTIVE(S)</w:t>
      </w:r>
    </w:p>
    <w:p w14:paraId="1AE5166B" w14:textId="77777777" w:rsidR="00540F9C" w:rsidRPr="002B65F7" w:rsidRDefault="00540F9C" w:rsidP="00540F9C">
      <w:pPr>
        <w:keepNext/>
        <w:widowControl/>
      </w:pPr>
    </w:p>
    <w:p w14:paraId="6199D758" w14:textId="77777777" w:rsidR="00540F9C" w:rsidRPr="002B65F7" w:rsidRDefault="00540F9C" w:rsidP="00540F9C">
      <w:pPr>
        <w:widowControl/>
      </w:pPr>
      <w:r w:rsidRPr="002B65F7">
        <w:t>Chaque</w:t>
      </w:r>
      <w:r w:rsidRPr="002B65F7">
        <w:rPr>
          <w:spacing w:val="-7"/>
        </w:rPr>
        <w:t xml:space="preserve"> </w:t>
      </w:r>
      <w:r w:rsidRPr="002B65F7">
        <w:t>stylo</w:t>
      </w:r>
      <w:r w:rsidRPr="002B65F7">
        <w:rPr>
          <w:spacing w:val="-6"/>
        </w:rPr>
        <w:t xml:space="preserve"> </w:t>
      </w:r>
      <w:r w:rsidRPr="002B65F7">
        <w:t>prérempli</w:t>
      </w:r>
      <w:r w:rsidRPr="002B65F7">
        <w:rPr>
          <w:spacing w:val="-6"/>
        </w:rPr>
        <w:t xml:space="preserve"> </w:t>
      </w:r>
      <w:r w:rsidRPr="002B65F7">
        <w:t>contient</w:t>
      </w:r>
      <w:r w:rsidRPr="002B65F7">
        <w:rPr>
          <w:spacing w:val="-6"/>
        </w:rPr>
        <w:t xml:space="preserve"> </w:t>
      </w:r>
      <w:r w:rsidRPr="002B65F7">
        <w:t>45</w:t>
      </w:r>
      <w:r w:rsidRPr="002B65F7">
        <w:rPr>
          <w:spacing w:val="-8"/>
        </w:rPr>
        <w:t> </w:t>
      </w:r>
      <w:r w:rsidRPr="002B65F7">
        <w:t>mg</w:t>
      </w:r>
      <w:r w:rsidRPr="002B65F7">
        <w:rPr>
          <w:spacing w:val="-6"/>
        </w:rPr>
        <w:t xml:space="preserve"> </w:t>
      </w:r>
      <w:r w:rsidRPr="002B65F7">
        <w:t>d’ustekinumab</w:t>
      </w:r>
      <w:r w:rsidRPr="002B65F7">
        <w:rPr>
          <w:spacing w:val="-6"/>
        </w:rPr>
        <w:t xml:space="preserve"> </w:t>
      </w:r>
      <w:r w:rsidRPr="002B65F7">
        <w:t>dans</w:t>
      </w:r>
      <w:r w:rsidRPr="002B65F7">
        <w:rPr>
          <w:spacing w:val="-6"/>
        </w:rPr>
        <w:t xml:space="preserve"> </w:t>
      </w:r>
      <w:r w:rsidRPr="002B65F7">
        <w:t>0,5</w:t>
      </w:r>
      <w:r w:rsidRPr="002B65F7">
        <w:rPr>
          <w:spacing w:val="-5"/>
        </w:rPr>
        <w:t> mL.</w:t>
      </w:r>
    </w:p>
    <w:p w14:paraId="65E727F4" w14:textId="77777777" w:rsidR="00540F9C" w:rsidRPr="002B65F7" w:rsidRDefault="00540F9C" w:rsidP="00540F9C">
      <w:pPr>
        <w:widowControl/>
      </w:pPr>
    </w:p>
    <w:p w14:paraId="6FF4A570" w14:textId="77777777" w:rsidR="00540F9C" w:rsidRPr="002B65F7" w:rsidRDefault="00540F9C" w:rsidP="00540F9C">
      <w:pPr>
        <w:pStyle w:val="BodyText"/>
        <w:widowControl/>
      </w:pPr>
    </w:p>
    <w:p w14:paraId="177BA5D0"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3.</w:t>
      </w:r>
      <w:r w:rsidRPr="002B65F7">
        <w:rPr>
          <w:b/>
          <w:bCs/>
        </w:rPr>
        <w:tab/>
        <w:t>LISTE DES EXCIPIENTS</w:t>
      </w:r>
    </w:p>
    <w:p w14:paraId="7D94D43B" w14:textId="77777777" w:rsidR="00540F9C" w:rsidRPr="002B65F7" w:rsidRDefault="00540F9C" w:rsidP="00540F9C">
      <w:pPr>
        <w:keepNext/>
        <w:widowControl/>
      </w:pPr>
    </w:p>
    <w:p w14:paraId="519EDA10" w14:textId="36F8D5D1" w:rsidR="00540F9C" w:rsidRPr="002B65F7" w:rsidRDefault="00540F9C" w:rsidP="00540F9C">
      <w:pPr>
        <w:widowControl/>
      </w:pPr>
      <w:r w:rsidRPr="002B65F7">
        <w:t>Saccharose, L-histidine, chlorhydrate monohydraté de L-histidine, polysorbate</w:t>
      </w:r>
      <w:r w:rsidR="00112127" w:rsidRPr="002B65F7">
        <w:t> </w:t>
      </w:r>
      <w:r w:rsidRPr="002B65F7">
        <w:t>80</w:t>
      </w:r>
      <w:r w:rsidR="00112127">
        <w:t xml:space="preserve"> (E</w:t>
      </w:r>
      <w:r w:rsidR="00112127" w:rsidRPr="002B65F7">
        <w:t> </w:t>
      </w:r>
      <w:r w:rsidR="00112127">
        <w:t>433)</w:t>
      </w:r>
      <w:r w:rsidRPr="002B65F7">
        <w:t>, eau pour préparations injectables.</w:t>
      </w:r>
    </w:p>
    <w:p w14:paraId="562070C0" w14:textId="77777777" w:rsidR="00540F9C" w:rsidRPr="002B65F7" w:rsidRDefault="00540F9C" w:rsidP="00540F9C">
      <w:pPr>
        <w:widowControl/>
      </w:pPr>
    </w:p>
    <w:p w14:paraId="359266E5" w14:textId="77777777" w:rsidR="00540F9C" w:rsidRPr="002B65F7" w:rsidRDefault="00540F9C" w:rsidP="00540F9C">
      <w:pPr>
        <w:pStyle w:val="BodyText"/>
        <w:widowControl/>
      </w:pPr>
    </w:p>
    <w:p w14:paraId="4C821D4E"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4.</w:t>
      </w:r>
      <w:r w:rsidRPr="002B65F7">
        <w:rPr>
          <w:b/>
          <w:bCs/>
        </w:rPr>
        <w:tab/>
        <w:t>FORME PHARMACEUTIQUE ET CONTENU</w:t>
      </w:r>
    </w:p>
    <w:p w14:paraId="36AB296E" w14:textId="77777777" w:rsidR="00540F9C" w:rsidRPr="002B65F7" w:rsidRDefault="00540F9C" w:rsidP="00540F9C">
      <w:pPr>
        <w:keepNext/>
        <w:widowControl/>
      </w:pPr>
    </w:p>
    <w:p w14:paraId="5F61309C" w14:textId="77777777" w:rsidR="00540F9C" w:rsidRPr="002B65F7" w:rsidRDefault="00540F9C" w:rsidP="00540F9C">
      <w:pPr>
        <w:widowControl/>
      </w:pPr>
      <w:r>
        <w:rPr>
          <w:highlight w:val="lightGray"/>
        </w:rPr>
        <w:t>Solution</w:t>
      </w:r>
      <w:r>
        <w:rPr>
          <w:spacing w:val="-8"/>
          <w:highlight w:val="lightGray"/>
        </w:rPr>
        <w:t xml:space="preserve"> </w:t>
      </w:r>
      <w:r>
        <w:rPr>
          <w:highlight w:val="lightGray"/>
        </w:rPr>
        <w:t>injectable</w:t>
      </w:r>
      <w:r>
        <w:rPr>
          <w:spacing w:val="-8"/>
          <w:highlight w:val="lightGray"/>
        </w:rPr>
        <w:t xml:space="preserve"> </w:t>
      </w:r>
      <w:r>
        <w:rPr>
          <w:highlight w:val="lightGray"/>
        </w:rPr>
        <w:t>en</w:t>
      </w:r>
      <w:r>
        <w:rPr>
          <w:spacing w:val="-8"/>
          <w:highlight w:val="lightGray"/>
        </w:rPr>
        <w:t xml:space="preserve"> </w:t>
      </w:r>
      <w:r>
        <w:rPr>
          <w:highlight w:val="lightGray"/>
        </w:rPr>
        <w:t>stylo</w:t>
      </w:r>
      <w:r>
        <w:rPr>
          <w:spacing w:val="-8"/>
          <w:highlight w:val="lightGray"/>
        </w:rPr>
        <w:t xml:space="preserve"> </w:t>
      </w:r>
      <w:r>
        <w:rPr>
          <w:highlight w:val="lightGray"/>
        </w:rPr>
        <w:t>prérempli</w:t>
      </w:r>
    </w:p>
    <w:p w14:paraId="2E92ADBC" w14:textId="77777777" w:rsidR="00540F9C" w:rsidRPr="002B65F7" w:rsidRDefault="00540F9C" w:rsidP="00540F9C">
      <w:pPr>
        <w:widowControl/>
      </w:pPr>
      <w:r w:rsidRPr="002B65F7">
        <w:t>1</w:t>
      </w:r>
      <w:r w:rsidRPr="002B65F7">
        <w:rPr>
          <w:spacing w:val="-4"/>
        </w:rPr>
        <w:t xml:space="preserve"> </w:t>
      </w:r>
      <w:r w:rsidRPr="002B65F7">
        <w:t>stylo</w:t>
      </w:r>
      <w:r w:rsidRPr="002B65F7">
        <w:rPr>
          <w:spacing w:val="-4"/>
        </w:rPr>
        <w:t xml:space="preserve"> </w:t>
      </w:r>
      <w:r w:rsidRPr="002B65F7">
        <w:rPr>
          <w:spacing w:val="-2"/>
        </w:rPr>
        <w:t>prérempli (ConfiPen)</w:t>
      </w:r>
    </w:p>
    <w:p w14:paraId="4C1FCFB3" w14:textId="77777777" w:rsidR="00540F9C" w:rsidRPr="002B65F7" w:rsidRDefault="00540F9C" w:rsidP="00540F9C">
      <w:pPr>
        <w:widowControl/>
      </w:pPr>
    </w:p>
    <w:p w14:paraId="7B6FEE06" w14:textId="77777777" w:rsidR="00540F9C" w:rsidRPr="002B65F7" w:rsidRDefault="00540F9C" w:rsidP="00540F9C">
      <w:pPr>
        <w:widowControl/>
      </w:pPr>
    </w:p>
    <w:p w14:paraId="100B60E2"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5.</w:t>
      </w:r>
      <w:r w:rsidRPr="002B65F7">
        <w:rPr>
          <w:b/>
          <w:bCs/>
        </w:rPr>
        <w:tab/>
        <w:t>MODE ET VOIE(S) D’ADMINISTRATION</w:t>
      </w:r>
    </w:p>
    <w:p w14:paraId="1F906597" w14:textId="77777777" w:rsidR="00540F9C" w:rsidRPr="002B65F7" w:rsidRDefault="00540F9C" w:rsidP="00540F9C">
      <w:pPr>
        <w:pStyle w:val="BodyText"/>
        <w:keepNext/>
        <w:widowControl/>
      </w:pPr>
    </w:p>
    <w:p w14:paraId="01962122" w14:textId="77777777" w:rsidR="00540F9C" w:rsidRPr="002B65F7" w:rsidRDefault="00540F9C" w:rsidP="00540F9C">
      <w:pPr>
        <w:widowControl/>
      </w:pPr>
      <w:r w:rsidRPr="002B65F7">
        <w:t>Ne pas</w:t>
      </w:r>
      <w:r w:rsidRPr="002B65F7">
        <w:rPr>
          <w:spacing w:val="-1"/>
        </w:rPr>
        <w:t xml:space="preserve"> </w:t>
      </w:r>
      <w:r w:rsidRPr="002B65F7">
        <w:t>agiter.</w:t>
      </w:r>
    </w:p>
    <w:p w14:paraId="7781CF91" w14:textId="77777777" w:rsidR="00540F9C" w:rsidRPr="002B65F7" w:rsidRDefault="00540F9C" w:rsidP="00540F9C">
      <w:pPr>
        <w:widowControl/>
      </w:pPr>
      <w:r w:rsidRPr="002B65F7">
        <w:t>Voie</w:t>
      </w:r>
      <w:r w:rsidRPr="002B65F7">
        <w:rPr>
          <w:spacing w:val="2"/>
        </w:rPr>
        <w:t xml:space="preserve"> </w:t>
      </w:r>
      <w:r w:rsidRPr="002B65F7">
        <w:t>sous-cutanée.</w:t>
      </w:r>
    </w:p>
    <w:p w14:paraId="4A04F30D" w14:textId="77777777" w:rsidR="00540F9C" w:rsidRPr="002B65F7" w:rsidRDefault="00540F9C" w:rsidP="00540F9C">
      <w:pPr>
        <w:widowControl/>
      </w:pPr>
      <w:r w:rsidRPr="002B65F7">
        <w:t>Lire</w:t>
      </w:r>
      <w:r w:rsidRPr="002B65F7">
        <w:rPr>
          <w:spacing w:val="-5"/>
        </w:rPr>
        <w:t xml:space="preserve"> </w:t>
      </w:r>
      <w:r w:rsidRPr="002B65F7">
        <w:t>la</w:t>
      </w:r>
      <w:r w:rsidRPr="002B65F7">
        <w:rPr>
          <w:spacing w:val="-4"/>
        </w:rPr>
        <w:t xml:space="preserve"> </w:t>
      </w:r>
      <w:r w:rsidRPr="002B65F7">
        <w:t>notice</w:t>
      </w:r>
      <w:r w:rsidRPr="002B65F7">
        <w:rPr>
          <w:spacing w:val="-4"/>
        </w:rPr>
        <w:t xml:space="preserve"> </w:t>
      </w:r>
      <w:r w:rsidRPr="002B65F7">
        <w:t>avant</w:t>
      </w:r>
      <w:r w:rsidRPr="002B65F7">
        <w:rPr>
          <w:spacing w:val="-4"/>
        </w:rPr>
        <w:t xml:space="preserve"> </w:t>
      </w:r>
      <w:r w:rsidRPr="002B65F7">
        <w:t>utilisation.</w:t>
      </w:r>
    </w:p>
    <w:p w14:paraId="3AED0507" w14:textId="77777777" w:rsidR="00540F9C" w:rsidRPr="002B65F7" w:rsidRDefault="00540F9C" w:rsidP="00540F9C">
      <w:pPr>
        <w:widowControl/>
      </w:pPr>
      <w:r w:rsidRPr="002B65F7">
        <w:t>Pousser pour ouvrir.</w:t>
      </w:r>
    </w:p>
    <w:p w14:paraId="31E6A613" w14:textId="77777777" w:rsidR="00540F9C" w:rsidRPr="002B65F7" w:rsidRDefault="00540F9C" w:rsidP="00540F9C">
      <w:pPr>
        <w:widowControl/>
      </w:pPr>
    </w:p>
    <w:p w14:paraId="787DFA25" w14:textId="77777777" w:rsidR="00540F9C" w:rsidRPr="002B65F7" w:rsidRDefault="00540F9C" w:rsidP="00540F9C">
      <w:pPr>
        <w:pStyle w:val="BodyText"/>
        <w:widowControl/>
      </w:pPr>
    </w:p>
    <w:p w14:paraId="13F25614"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rFonts w:eastAsia="TimesNewRoman,Bold"/>
          <w:b/>
          <w:bCs/>
        </w:rPr>
        <w:t>6.</w:t>
      </w:r>
      <w:r w:rsidRPr="002B65F7">
        <w:rPr>
          <w:rFonts w:eastAsia="TimesNewRoman,Bold"/>
          <w:b/>
          <w:bCs/>
        </w:rPr>
        <w:tab/>
        <w:t xml:space="preserve">MISE EN GARDE SPÉCIALE INDIQUANT QUE LE MÉDICAMENT DOIT ÊTRE </w:t>
      </w:r>
      <w:r w:rsidRPr="002B65F7">
        <w:rPr>
          <w:b/>
          <w:bCs/>
        </w:rPr>
        <w:t>CONSERVÉ</w:t>
      </w:r>
      <w:r w:rsidRPr="002B65F7">
        <w:rPr>
          <w:rFonts w:eastAsia="TimesNewRoman,Bold"/>
          <w:b/>
          <w:bCs/>
        </w:rPr>
        <w:t xml:space="preserve"> HORS DE VUE ET DE PORTÉE DES ENFANTS</w:t>
      </w:r>
    </w:p>
    <w:p w14:paraId="52DD01D3" w14:textId="77777777" w:rsidR="00540F9C" w:rsidRPr="002B65F7" w:rsidRDefault="00540F9C" w:rsidP="00540F9C">
      <w:pPr>
        <w:keepNext/>
        <w:widowControl/>
      </w:pPr>
    </w:p>
    <w:p w14:paraId="039BDD37" w14:textId="77777777" w:rsidR="00540F9C" w:rsidRPr="002B65F7" w:rsidRDefault="00540F9C" w:rsidP="00540F9C">
      <w:pPr>
        <w:widowControl/>
      </w:pPr>
      <w:r w:rsidRPr="002B65F7">
        <w:t>Tenir</w:t>
      </w:r>
      <w:r w:rsidRPr="002B65F7">
        <w:rPr>
          <w:spacing w:val="-4"/>
        </w:rPr>
        <w:t xml:space="preserve"> </w:t>
      </w:r>
      <w:r w:rsidRPr="002B65F7">
        <w:t>hors</w:t>
      </w:r>
      <w:r w:rsidRPr="002B65F7">
        <w:rPr>
          <w:spacing w:val="-3"/>
        </w:rPr>
        <w:t xml:space="preserve"> </w:t>
      </w:r>
      <w:r w:rsidRPr="002B65F7">
        <w:t>de</w:t>
      </w:r>
      <w:r w:rsidRPr="002B65F7">
        <w:rPr>
          <w:spacing w:val="-3"/>
        </w:rPr>
        <w:t xml:space="preserve"> </w:t>
      </w:r>
      <w:r w:rsidRPr="002B65F7">
        <w:t>la</w:t>
      </w:r>
      <w:r w:rsidRPr="002B65F7">
        <w:rPr>
          <w:spacing w:val="-3"/>
        </w:rPr>
        <w:t xml:space="preserve"> </w:t>
      </w:r>
      <w:r w:rsidRPr="002B65F7">
        <w:t>vue</w:t>
      </w:r>
      <w:r w:rsidRPr="002B65F7">
        <w:rPr>
          <w:spacing w:val="-3"/>
        </w:rPr>
        <w:t xml:space="preserve"> </w:t>
      </w:r>
      <w:r w:rsidRPr="002B65F7">
        <w:t>et</w:t>
      </w:r>
      <w:r w:rsidRPr="002B65F7">
        <w:rPr>
          <w:spacing w:val="-3"/>
        </w:rPr>
        <w:t xml:space="preserve"> </w:t>
      </w:r>
      <w:r w:rsidRPr="002B65F7">
        <w:t>de</w:t>
      </w:r>
      <w:r w:rsidRPr="002B65F7">
        <w:rPr>
          <w:spacing w:val="-3"/>
        </w:rPr>
        <w:t xml:space="preserve"> </w:t>
      </w:r>
      <w:r w:rsidRPr="002B65F7">
        <w:t>la</w:t>
      </w:r>
      <w:r w:rsidRPr="002B65F7">
        <w:rPr>
          <w:spacing w:val="-5"/>
        </w:rPr>
        <w:t xml:space="preserve"> </w:t>
      </w:r>
      <w:r w:rsidRPr="002B65F7">
        <w:t>portée</w:t>
      </w:r>
      <w:r w:rsidRPr="002B65F7">
        <w:rPr>
          <w:spacing w:val="-3"/>
        </w:rPr>
        <w:t xml:space="preserve"> </w:t>
      </w:r>
      <w:r w:rsidRPr="002B65F7">
        <w:t>des</w:t>
      </w:r>
      <w:r w:rsidRPr="002B65F7">
        <w:rPr>
          <w:spacing w:val="-3"/>
        </w:rPr>
        <w:t xml:space="preserve"> </w:t>
      </w:r>
      <w:r w:rsidRPr="002B65F7">
        <w:rPr>
          <w:spacing w:val="-2"/>
        </w:rPr>
        <w:t>enfants.</w:t>
      </w:r>
    </w:p>
    <w:p w14:paraId="0D822721" w14:textId="77777777" w:rsidR="00540F9C" w:rsidRPr="002B65F7" w:rsidRDefault="00540F9C" w:rsidP="00540F9C">
      <w:pPr>
        <w:widowControl/>
      </w:pPr>
    </w:p>
    <w:p w14:paraId="5523CD8A" w14:textId="77777777" w:rsidR="00540F9C" w:rsidRPr="002B65F7" w:rsidRDefault="00540F9C" w:rsidP="00540F9C">
      <w:pPr>
        <w:widowControl/>
      </w:pPr>
    </w:p>
    <w:p w14:paraId="59911BF2"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7.</w:t>
      </w:r>
      <w:r w:rsidRPr="002B65F7">
        <w:rPr>
          <w:b/>
          <w:bCs/>
        </w:rPr>
        <w:tab/>
        <w:t>AUTRE(S) MISE(S) EN GARDE SPÉCIALE(S), SI NÉCESSAIRE</w:t>
      </w:r>
    </w:p>
    <w:p w14:paraId="2EE9F393" w14:textId="77777777" w:rsidR="00540F9C" w:rsidRPr="002B65F7" w:rsidRDefault="00540F9C" w:rsidP="00540F9C">
      <w:pPr>
        <w:pStyle w:val="BodyText"/>
        <w:keepNext/>
        <w:widowControl/>
      </w:pPr>
    </w:p>
    <w:p w14:paraId="60320E04" w14:textId="77777777" w:rsidR="00540F9C" w:rsidRPr="002B65F7" w:rsidRDefault="00540F9C" w:rsidP="00540F9C">
      <w:pPr>
        <w:pStyle w:val="BodyText"/>
        <w:widowControl/>
      </w:pPr>
    </w:p>
    <w:p w14:paraId="7B509175"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8.</w:t>
      </w:r>
      <w:r w:rsidRPr="002B65F7">
        <w:rPr>
          <w:b/>
          <w:bCs/>
        </w:rPr>
        <w:tab/>
        <w:t>DATE DE PÉREMPTION</w:t>
      </w:r>
    </w:p>
    <w:p w14:paraId="5CE925D2" w14:textId="77777777" w:rsidR="00540F9C" w:rsidRPr="002B65F7" w:rsidRDefault="00540F9C" w:rsidP="00540F9C">
      <w:pPr>
        <w:keepNext/>
        <w:widowControl/>
      </w:pPr>
    </w:p>
    <w:p w14:paraId="775CCDEA" w14:textId="77777777" w:rsidR="00540F9C" w:rsidRPr="002B65F7" w:rsidRDefault="00540F9C" w:rsidP="00540F9C">
      <w:pPr>
        <w:widowControl/>
      </w:pPr>
      <w:r w:rsidRPr="002B65F7">
        <w:rPr>
          <w:spacing w:val="-5"/>
        </w:rPr>
        <w:t>EXP</w:t>
      </w:r>
    </w:p>
    <w:p w14:paraId="3E54880A" w14:textId="77777777" w:rsidR="00540F9C" w:rsidRPr="002B65F7" w:rsidRDefault="00540F9C" w:rsidP="00540F9C">
      <w:pPr>
        <w:widowControl/>
      </w:pPr>
    </w:p>
    <w:p w14:paraId="4BF3AF30" w14:textId="77777777" w:rsidR="00540F9C" w:rsidRPr="002B65F7" w:rsidRDefault="00540F9C" w:rsidP="00540F9C">
      <w:pPr>
        <w:widowControl/>
      </w:pPr>
    </w:p>
    <w:p w14:paraId="5E94B02F"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lastRenderedPageBreak/>
        <w:t>9.</w:t>
      </w:r>
      <w:r w:rsidRPr="002B65F7">
        <w:rPr>
          <w:b/>
          <w:bCs/>
        </w:rPr>
        <w:tab/>
        <w:t>PRÉCAUTIONS PARTICULIÈRES DE CONSERVATION</w:t>
      </w:r>
    </w:p>
    <w:p w14:paraId="0937DC8F" w14:textId="77777777" w:rsidR="00540F9C" w:rsidRPr="002B65F7" w:rsidRDefault="00540F9C" w:rsidP="00540F9C">
      <w:pPr>
        <w:keepNext/>
        <w:widowControl/>
      </w:pPr>
    </w:p>
    <w:p w14:paraId="3F15197D" w14:textId="77777777" w:rsidR="00540F9C" w:rsidRPr="002B65F7" w:rsidRDefault="00540F9C" w:rsidP="00540F9C">
      <w:pPr>
        <w:keepNext/>
        <w:widowControl/>
      </w:pPr>
      <w:r w:rsidRPr="002B65F7">
        <w:t>A conserver au réfrigérateur.</w:t>
      </w:r>
    </w:p>
    <w:p w14:paraId="277FAB73" w14:textId="77777777" w:rsidR="00540F9C" w:rsidRPr="002B65F7" w:rsidRDefault="00540F9C" w:rsidP="00540F9C">
      <w:pPr>
        <w:keepNext/>
        <w:widowControl/>
      </w:pPr>
      <w:r w:rsidRPr="002B65F7">
        <w:t>Ne pas congeler.</w:t>
      </w:r>
    </w:p>
    <w:p w14:paraId="67E128DA" w14:textId="77777777" w:rsidR="00540F9C" w:rsidRPr="002B65F7" w:rsidRDefault="00540F9C" w:rsidP="00540F9C">
      <w:pPr>
        <w:keepNext/>
        <w:widowControl/>
      </w:pPr>
      <w:r w:rsidRPr="002B65F7">
        <w:t>Conserver le stylo prérempli dans l’emballage extérieur à l’abri de la lumière.</w:t>
      </w:r>
    </w:p>
    <w:p w14:paraId="43E91760" w14:textId="77777777" w:rsidR="00540F9C" w:rsidRPr="002B65F7" w:rsidRDefault="00540F9C" w:rsidP="00540F9C">
      <w:pPr>
        <w:pStyle w:val="BodyText"/>
        <w:keepNext/>
        <w:keepLines/>
        <w:widowControl/>
      </w:pPr>
    </w:p>
    <w:p w14:paraId="60329218" w14:textId="77777777" w:rsidR="00540F9C" w:rsidRPr="002B65F7" w:rsidRDefault="00540F9C" w:rsidP="00540F9C">
      <w:pPr>
        <w:pStyle w:val="BodyText"/>
        <w:keepNext/>
        <w:keepLines/>
        <w:widowControl/>
      </w:pPr>
    </w:p>
    <w:p w14:paraId="0F1B82DB"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10.</w:t>
      </w:r>
      <w:r w:rsidRPr="002B65F7">
        <w:rPr>
          <w:b/>
          <w:bCs/>
        </w:rPr>
        <w:tab/>
        <w:t>PRÉCAUTIONS PARTICULIÈRES D’ELIMINATION DES MÉDICAMENTS NON UTILISÉS OU DES DÉCHETS PROVENANT DE CES MÉDICAMENTS S’IL Y A LIEU</w:t>
      </w:r>
    </w:p>
    <w:p w14:paraId="2D77C0C2" w14:textId="77777777" w:rsidR="00540F9C" w:rsidRPr="002B65F7" w:rsidRDefault="00540F9C" w:rsidP="00540F9C">
      <w:pPr>
        <w:keepNext/>
        <w:widowControl/>
      </w:pPr>
    </w:p>
    <w:p w14:paraId="662AAAF7" w14:textId="77777777" w:rsidR="00540F9C" w:rsidRPr="002B65F7" w:rsidRDefault="00540F9C" w:rsidP="00540F9C">
      <w:pPr>
        <w:widowControl/>
      </w:pPr>
    </w:p>
    <w:p w14:paraId="0DEDB36E"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11.</w:t>
      </w:r>
      <w:r w:rsidRPr="002B65F7">
        <w:rPr>
          <w:b/>
          <w:bCs/>
        </w:rPr>
        <w:tab/>
        <w:t>NOM ET ADRESSE DU TITULAIRE DE L’AUTORISATION DE MISE SUR LE MARCHÉ</w:t>
      </w:r>
    </w:p>
    <w:p w14:paraId="73093370" w14:textId="77777777" w:rsidR="00540F9C" w:rsidRPr="002B65F7" w:rsidRDefault="00540F9C" w:rsidP="00540F9C">
      <w:pPr>
        <w:keepNext/>
        <w:widowControl/>
      </w:pPr>
    </w:p>
    <w:p w14:paraId="43073D88" w14:textId="77777777" w:rsidR="00540F9C" w:rsidRPr="002B65F7" w:rsidRDefault="00540F9C" w:rsidP="00540F9C">
      <w:pPr>
        <w:rPr>
          <w:lang w:val="en-GB"/>
        </w:rPr>
      </w:pPr>
      <w:r w:rsidRPr="002B65F7">
        <w:rPr>
          <w:lang w:val="en-GB"/>
        </w:rPr>
        <w:t>Amgen Technology (Ireland) UC,</w:t>
      </w:r>
    </w:p>
    <w:p w14:paraId="07D06F57" w14:textId="77777777" w:rsidR="00540F9C" w:rsidRPr="002B65F7" w:rsidRDefault="00540F9C" w:rsidP="00540F9C">
      <w:pPr>
        <w:rPr>
          <w:lang w:val="en-GB"/>
        </w:rPr>
      </w:pPr>
      <w:r w:rsidRPr="002B65F7">
        <w:rPr>
          <w:lang w:val="en-GB"/>
        </w:rPr>
        <w:t>Pottery Road,</w:t>
      </w:r>
    </w:p>
    <w:p w14:paraId="624C036B" w14:textId="77777777" w:rsidR="00540F9C" w:rsidRPr="002B65F7" w:rsidRDefault="00540F9C" w:rsidP="00540F9C">
      <w:r w:rsidRPr="002B65F7">
        <w:t>Dun Laoghaire,</w:t>
      </w:r>
    </w:p>
    <w:p w14:paraId="192BFD29" w14:textId="77777777" w:rsidR="00540F9C" w:rsidRPr="002B65F7" w:rsidRDefault="00540F9C" w:rsidP="00540F9C">
      <w:r w:rsidRPr="002B65F7">
        <w:t>Co Dublin,</w:t>
      </w:r>
    </w:p>
    <w:p w14:paraId="479BC6D7" w14:textId="77777777" w:rsidR="00540F9C" w:rsidRPr="002B65F7" w:rsidRDefault="00540F9C" w:rsidP="00540F9C">
      <w:r w:rsidRPr="002B65F7">
        <w:t>Irlande</w:t>
      </w:r>
    </w:p>
    <w:p w14:paraId="3E2801BE" w14:textId="77777777" w:rsidR="00540F9C" w:rsidRPr="002B65F7" w:rsidRDefault="00540F9C" w:rsidP="00540F9C">
      <w:pPr>
        <w:pStyle w:val="BodyText"/>
        <w:widowControl/>
      </w:pPr>
    </w:p>
    <w:p w14:paraId="1FD7B57C" w14:textId="77777777" w:rsidR="00540F9C" w:rsidRPr="002B65F7" w:rsidRDefault="00540F9C" w:rsidP="00540F9C">
      <w:pPr>
        <w:pStyle w:val="BodyText"/>
        <w:widowControl/>
      </w:pPr>
    </w:p>
    <w:p w14:paraId="315A1942"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12.</w:t>
      </w:r>
      <w:r w:rsidRPr="002B65F7">
        <w:rPr>
          <w:b/>
          <w:bCs/>
        </w:rPr>
        <w:tab/>
        <w:t>NUMÉRO(S) D’AUTORISATION DE MISE SUR LE MARCHÉ</w:t>
      </w:r>
    </w:p>
    <w:p w14:paraId="6887D031" w14:textId="77777777" w:rsidR="00540F9C" w:rsidRPr="002B65F7" w:rsidRDefault="00540F9C" w:rsidP="00540F9C">
      <w:pPr>
        <w:keepNext/>
        <w:widowControl/>
      </w:pPr>
    </w:p>
    <w:p w14:paraId="3D4AD220" w14:textId="385CD19A" w:rsidR="00540F9C" w:rsidRPr="00B21A43" w:rsidRDefault="00540F9C" w:rsidP="00540F9C">
      <w:r w:rsidRPr="00B21A43">
        <w:t>EU/1/24/1823</w:t>
      </w:r>
      <w:r w:rsidRPr="00B21A43">
        <w:rPr>
          <w:spacing w:val="1"/>
        </w:rPr>
        <w:t>/</w:t>
      </w:r>
      <w:r w:rsidR="00204F7D" w:rsidRPr="00B21A43">
        <w:t>005</w:t>
      </w:r>
    </w:p>
    <w:p w14:paraId="7A6BE5CC" w14:textId="77777777" w:rsidR="00540F9C" w:rsidRPr="00B21A43" w:rsidRDefault="00540F9C" w:rsidP="00540F9C">
      <w:pPr>
        <w:widowControl/>
      </w:pPr>
    </w:p>
    <w:p w14:paraId="185BAA97" w14:textId="77777777" w:rsidR="00540F9C" w:rsidRPr="00B21A43" w:rsidRDefault="00540F9C" w:rsidP="00540F9C">
      <w:pPr>
        <w:pStyle w:val="BodyText"/>
        <w:widowControl/>
      </w:pPr>
    </w:p>
    <w:p w14:paraId="0FAC107D" w14:textId="77777777" w:rsidR="00540F9C" w:rsidRPr="00B21A43"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B21A43">
        <w:rPr>
          <w:b/>
          <w:bCs/>
        </w:rPr>
        <w:t>13.</w:t>
      </w:r>
      <w:r w:rsidRPr="00B21A43">
        <w:rPr>
          <w:b/>
          <w:bCs/>
        </w:rPr>
        <w:tab/>
        <w:t>NUMÉRO DU LOT</w:t>
      </w:r>
    </w:p>
    <w:p w14:paraId="570156A3" w14:textId="77777777" w:rsidR="00540F9C" w:rsidRPr="00B21A43" w:rsidRDefault="00540F9C" w:rsidP="00540F9C">
      <w:pPr>
        <w:keepNext/>
        <w:widowControl/>
      </w:pPr>
    </w:p>
    <w:p w14:paraId="69659323" w14:textId="77777777" w:rsidR="00540F9C" w:rsidRPr="00B21A43" w:rsidRDefault="00540F9C" w:rsidP="00540F9C">
      <w:pPr>
        <w:widowControl/>
      </w:pPr>
      <w:r w:rsidRPr="00B21A43">
        <w:rPr>
          <w:spacing w:val="-5"/>
        </w:rPr>
        <w:t>Lot</w:t>
      </w:r>
    </w:p>
    <w:p w14:paraId="78CAA371" w14:textId="77777777" w:rsidR="00540F9C" w:rsidRPr="00B21A43" w:rsidRDefault="00540F9C" w:rsidP="00540F9C">
      <w:pPr>
        <w:widowControl/>
      </w:pPr>
    </w:p>
    <w:p w14:paraId="10ED1E50" w14:textId="77777777" w:rsidR="00540F9C" w:rsidRPr="00B21A43" w:rsidRDefault="00540F9C" w:rsidP="00540F9C">
      <w:pPr>
        <w:widowControl/>
      </w:pPr>
    </w:p>
    <w:p w14:paraId="73B0AB11"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14.</w:t>
      </w:r>
      <w:r w:rsidRPr="002B65F7">
        <w:rPr>
          <w:b/>
          <w:bCs/>
        </w:rPr>
        <w:tab/>
        <w:t>CONDITIONS DE PRESCRIPTION ET DE DÉLIVRANCE</w:t>
      </w:r>
    </w:p>
    <w:p w14:paraId="5B9F9A5E" w14:textId="77777777" w:rsidR="00540F9C" w:rsidRPr="002B65F7" w:rsidRDefault="00540F9C" w:rsidP="00540F9C">
      <w:pPr>
        <w:pStyle w:val="BodyText"/>
        <w:keepNext/>
        <w:widowControl/>
      </w:pPr>
    </w:p>
    <w:p w14:paraId="14F1F745" w14:textId="77777777" w:rsidR="00540F9C" w:rsidRPr="002B65F7" w:rsidRDefault="00540F9C" w:rsidP="00540F9C">
      <w:pPr>
        <w:pStyle w:val="BodyText"/>
        <w:widowControl/>
      </w:pPr>
    </w:p>
    <w:p w14:paraId="21A7D3DB"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15.</w:t>
      </w:r>
      <w:r w:rsidRPr="002B65F7">
        <w:rPr>
          <w:b/>
          <w:bCs/>
        </w:rPr>
        <w:tab/>
        <w:t>INDICATIONS D’UTILISATION</w:t>
      </w:r>
    </w:p>
    <w:p w14:paraId="3E773E78" w14:textId="77777777" w:rsidR="00540F9C" w:rsidRPr="002B65F7" w:rsidRDefault="00540F9C" w:rsidP="00540F9C">
      <w:pPr>
        <w:keepNext/>
        <w:widowControl/>
      </w:pPr>
    </w:p>
    <w:p w14:paraId="7FA44720" w14:textId="77777777" w:rsidR="00540F9C" w:rsidRPr="002B65F7" w:rsidRDefault="00540F9C" w:rsidP="00540F9C">
      <w:pPr>
        <w:pStyle w:val="BodyText"/>
        <w:widowControl/>
      </w:pPr>
    </w:p>
    <w:p w14:paraId="5C49860B"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16.</w:t>
      </w:r>
      <w:r w:rsidRPr="002B65F7">
        <w:rPr>
          <w:b/>
          <w:bCs/>
        </w:rPr>
        <w:tab/>
        <w:t>INFORMATIONS EN BRAILLE</w:t>
      </w:r>
    </w:p>
    <w:p w14:paraId="0BA831BC" w14:textId="77777777" w:rsidR="00540F9C" w:rsidRPr="002B65F7" w:rsidRDefault="00540F9C" w:rsidP="00540F9C">
      <w:pPr>
        <w:keepNext/>
        <w:widowControl/>
      </w:pPr>
    </w:p>
    <w:p w14:paraId="4E88B5B0" w14:textId="77777777" w:rsidR="00540F9C" w:rsidRPr="002B65F7" w:rsidRDefault="00540F9C" w:rsidP="00540F9C">
      <w:pPr>
        <w:widowControl/>
      </w:pPr>
      <w:r w:rsidRPr="002B65F7">
        <w:t>WEZENLA</w:t>
      </w:r>
      <w:r w:rsidRPr="002B65F7">
        <w:rPr>
          <w:spacing w:val="-5"/>
        </w:rPr>
        <w:t xml:space="preserve"> </w:t>
      </w:r>
      <w:r w:rsidRPr="002B65F7">
        <w:t>45</w:t>
      </w:r>
      <w:r w:rsidRPr="002B65F7">
        <w:rPr>
          <w:spacing w:val="-3"/>
        </w:rPr>
        <w:t> </w:t>
      </w:r>
      <w:r w:rsidRPr="002B65F7">
        <w:rPr>
          <w:spacing w:val="-5"/>
        </w:rPr>
        <w:t xml:space="preserve">mg </w:t>
      </w:r>
      <w:r w:rsidRPr="002B65F7">
        <w:t>stylo</w:t>
      </w:r>
    </w:p>
    <w:p w14:paraId="6DAF0A36" w14:textId="77777777" w:rsidR="00540F9C" w:rsidRPr="002B65F7" w:rsidRDefault="00540F9C" w:rsidP="00540F9C">
      <w:pPr>
        <w:pStyle w:val="BodyText"/>
        <w:widowControl/>
      </w:pPr>
    </w:p>
    <w:p w14:paraId="6F279B52" w14:textId="77777777" w:rsidR="00540F9C" w:rsidRPr="002B65F7" w:rsidRDefault="00540F9C" w:rsidP="00540F9C">
      <w:pPr>
        <w:widowControl/>
      </w:pPr>
    </w:p>
    <w:p w14:paraId="5D7E9398"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17.</w:t>
      </w:r>
      <w:r w:rsidRPr="002B65F7">
        <w:rPr>
          <w:b/>
          <w:bCs/>
        </w:rPr>
        <w:tab/>
        <w:t>IDENTIFIANT UNIQUE - CODE-BARRES 2D</w:t>
      </w:r>
    </w:p>
    <w:p w14:paraId="5BF12355" w14:textId="77777777" w:rsidR="00540F9C" w:rsidRPr="002B65F7" w:rsidRDefault="00540F9C" w:rsidP="00540F9C">
      <w:pPr>
        <w:keepNext/>
        <w:widowControl/>
      </w:pPr>
    </w:p>
    <w:p w14:paraId="4CE54A0C" w14:textId="77777777" w:rsidR="00540F9C" w:rsidRPr="002B65F7" w:rsidRDefault="00540F9C" w:rsidP="00540F9C">
      <w:pPr>
        <w:widowControl/>
      </w:pPr>
      <w:r>
        <w:rPr>
          <w:highlight w:val="lightGray"/>
        </w:rPr>
        <w:t>code-barres 2D portant l'identifiant unique inclus.</w:t>
      </w:r>
    </w:p>
    <w:p w14:paraId="135683DB" w14:textId="77777777" w:rsidR="00540F9C" w:rsidRPr="002B65F7" w:rsidRDefault="00540F9C" w:rsidP="00540F9C">
      <w:pPr>
        <w:widowControl/>
      </w:pPr>
    </w:p>
    <w:p w14:paraId="790D25B2" w14:textId="77777777" w:rsidR="00540F9C" w:rsidRPr="002B65F7" w:rsidRDefault="00540F9C" w:rsidP="00540F9C">
      <w:pPr>
        <w:widowControl/>
      </w:pPr>
    </w:p>
    <w:p w14:paraId="086C2643" w14:textId="77777777" w:rsidR="00540F9C" w:rsidRPr="002B65F7" w:rsidRDefault="00540F9C" w:rsidP="00540F9C">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18.</w:t>
      </w:r>
      <w:r w:rsidRPr="002B65F7">
        <w:rPr>
          <w:b/>
          <w:bCs/>
        </w:rPr>
        <w:tab/>
        <w:t>IDENTIFIANT UNIQUE - DONNÉES LISIBLES PAR LES HUMAINS</w:t>
      </w:r>
    </w:p>
    <w:p w14:paraId="380490E9" w14:textId="77777777" w:rsidR="00540F9C" w:rsidRPr="002B65F7" w:rsidRDefault="00540F9C" w:rsidP="00540F9C">
      <w:pPr>
        <w:keepNext/>
        <w:widowControl/>
      </w:pPr>
    </w:p>
    <w:p w14:paraId="223819CE" w14:textId="77777777" w:rsidR="00540F9C" w:rsidRPr="002B65F7" w:rsidRDefault="00540F9C" w:rsidP="00540F9C">
      <w:pPr>
        <w:widowControl/>
      </w:pPr>
      <w:r w:rsidRPr="002B65F7">
        <w:t xml:space="preserve">PC </w:t>
      </w:r>
    </w:p>
    <w:p w14:paraId="5D42C189" w14:textId="77777777" w:rsidR="00540F9C" w:rsidRPr="002B65F7" w:rsidRDefault="00540F9C" w:rsidP="00540F9C">
      <w:pPr>
        <w:widowControl/>
      </w:pPr>
      <w:r w:rsidRPr="002B65F7">
        <w:t xml:space="preserve">SN </w:t>
      </w:r>
    </w:p>
    <w:p w14:paraId="65078C78" w14:textId="77777777" w:rsidR="00540F9C" w:rsidRPr="002B65F7" w:rsidRDefault="00540F9C" w:rsidP="00540F9C">
      <w:pPr>
        <w:widowControl/>
      </w:pPr>
      <w:r>
        <w:rPr>
          <w:highlight w:val="lightGray"/>
        </w:rPr>
        <w:t>NN</w:t>
      </w:r>
      <w:r w:rsidRPr="002B65F7">
        <w:rPr>
          <w:spacing w:val="-2"/>
        </w:rPr>
        <w:t xml:space="preserve"> </w:t>
      </w:r>
    </w:p>
    <w:p w14:paraId="2C0AEA1F" w14:textId="6DA4C06A" w:rsidR="00784161" w:rsidRPr="002B65F7" w:rsidRDefault="00166AE2" w:rsidP="00784161">
      <w:pPr>
        <w:keepNext/>
        <w:widowControl/>
        <w:pBdr>
          <w:top w:val="single" w:sz="4" w:space="1" w:color="auto"/>
          <w:left w:val="single" w:sz="4" w:space="4" w:color="auto"/>
          <w:bottom w:val="single" w:sz="4" w:space="1" w:color="auto"/>
          <w:right w:val="single" w:sz="4" w:space="4" w:color="auto"/>
        </w:pBdr>
        <w:rPr>
          <w:b/>
          <w:bCs/>
        </w:rPr>
      </w:pPr>
      <w:r w:rsidRPr="002B65F7">
        <w:br w:type="page"/>
      </w:r>
      <w:r w:rsidR="00784161" w:rsidRPr="002B65F7">
        <w:rPr>
          <w:b/>
          <w:bCs/>
        </w:rPr>
        <w:lastRenderedPageBreak/>
        <w:t>MENTIONS MINIMALES DEVANT FIGURER SUR LES PETITS CONDITIONNEMENTS PRIMAIRES</w:t>
      </w:r>
    </w:p>
    <w:p w14:paraId="39C475DD" w14:textId="77777777" w:rsidR="00784161" w:rsidRPr="002B65F7" w:rsidRDefault="00784161" w:rsidP="00784161">
      <w:pPr>
        <w:keepNext/>
        <w:widowControl/>
        <w:pBdr>
          <w:top w:val="single" w:sz="4" w:space="1" w:color="auto"/>
          <w:left w:val="single" w:sz="4" w:space="4" w:color="auto"/>
          <w:bottom w:val="single" w:sz="4" w:space="1" w:color="auto"/>
          <w:right w:val="single" w:sz="4" w:space="4" w:color="auto"/>
        </w:pBdr>
        <w:rPr>
          <w:b/>
          <w:bCs/>
        </w:rPr>
      </w:pPr>
    </w:p>
    <w:p w14:paraId="40EA6784" w14:textId="77777777" w:rsidR="00784161" w:rsidRPr="002B65F7" w:rsidRDefault="00784161" w:rsidP="00784161">
      <w:pPr>
        <w:keepNext/>
        <w:widowControl/>
        <w:pBdr>
          <w:top w:val="single" w:sz="4" w:space="1" w:color="auto"/>
          <w:left w:val="single" w:sz="4" w:space="4" w:color="auto"/>
          <w:bottom w:val="single" w:sz="4" w:space="1" w:color="auto"/>
          <w:right w:val="single" w:sz="4" w:space="4" w:color="auto"/>
        </w:pBdr>
        <w:rPr>
          <w:b/>
          <w:bCs/>
        </w:rPr>
      </w:pPr>
      <w:r w:rsidRPr="002B65F7">
        <w:rPr>
          <w:b/>
          <w:bCs/>
        </w:rPr>
        <w:t>ÉTIQUETTE STYLO PRÉREMPLI</w:t>
      </w:r>
    </w:p>
    <w:p w14:paraId="7B9210AF" w14:textId="77777777" w:rsidR="00784161" w:rsidRPr="002B65F7" w:rsidRDefault="00784161" w:rsidP="00784161">
      <w:pPr>
        <w:keepNext/>
        <w:widowControl/>
      </w:pPr>
    </w:p>
    <w:p w14:paraId="2D9712B2" w14:textId="77777777" w:rsidR="00784161" w:rsidRPr="002B65F7" w:rsidRDefault="00784161" w:rsidP="00784161">
      <w:pPr>
        <w:widowControl/>
      </w:pPr>
    </w:p>
    <w:p w14:paraId="17B4F9BA" w14:textId="77777777" w:rsidR="00784161" w:rsidRPr="002B65F7" w:rsidRDefault="00784161" w:rsidP="00784161">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w:t>
      </w:r>
      <w:r w:rsidRPr="002B65F7">
        <w:rPr>
          <w:b/>
          <w:bCs/>
        </w:rPr>
        <w:tab/>
        <w:t>DÉNOMINATION DU MÉDICAMENT ET VOIE(S) D’ADMINISTRATION</w:t>
      </w:r>
    </w:p>
    <w:p w14:paraId="14DD1DDA" w14:textId="77777777" w:rsidR="00784161" w:rsidRPr="002B65F7" w:rsidRDefault="00784161" w:rsidP="00784161">
      <w:pPr>
        <w:keepNext/>
        <w:widowControl/>
      </w:pPr>
    </w:p>
    <w:p w14:paraId="01CF0067" w14:textId="77777777" w:rsidR="00784161" w:rsidRPr="002B65F7" w:rsidRDefault="00784161" w:rsidP="00784161">
      <w:pPr>
        <w:widowControl/>
      </w:pPr>
      <w:r w:rsidRPr="002B65F7">
        <w:t>WEZENLA</w:t>
      </w:r>
      <w:r w:rsidRPr="002B65F7">
        <w:rPr>
          <w:spacing w:val="-11"/>
        </w:rPr>
        <w:t xml:space="preserve"> </w:t>
      </w:r>
      <w:r w:rsidRPr="002B65F7">
        <w:t>45</w:t>
      </w:r>
      <w:r w:rsidRPr="002B65F7">
        <w:rPr>
          <w:spacing w:val="-10"/>
        </w:rPr>
        <w:t> </w:t>
      </w:r>
      <w:r w:rsidRPr="002B65F7">
        <w:t>mg</w:t>
      </w:r>
      <w:r w:rsidRPr="002B65F7">
        <w:rPr>
          <w:spacing w:val="-11"/>
        </w:rPr>
        <w:t xml:space="preserve"> </w:t>
      </w:r>
      <w:r w:rsidRPr="002B65F7">
        <w:t>injectable</w:t>
      </w:r>
    </w:p>
    <w:p w14:paraId="7D4F187A" w14:textId="77777777" w:rsidR="00784161" w:rsidRPr="002B65F7" w:rsidRDefault="00784161" w:rsidP="00784161">
      <w:pPr>
        <w:widowControl/>
      </w:pPr>
      <w:r w:rsidRPr="002B65F7">
        <w:rPr>
          <w:spacing w:val="-2"/>
        </w:rPr>
        <w:t>ustekinumab</w:t>
      </w:r>
    </w:p>
    <w:p w14:paraId="5E6AEED7" w14:textId="77777777" w:rsidR="00784161" w:rsidRPr="002B65F7" w:rsidRDefault="00784161" w:rsidP="00784161">
      <w:pPr>
        <w:widowControl/>
      </w:pPr>
      <w:r w:rsidRPr="002B65F7">
        <w:rPr>
          <w:spacing w:val="-5"/>
        </w:rPr>
        <w:t>SC</w:t>
      </w:r>
    </w:p>
    <w:p w14:paraId="47599BE0" w14:textId="77777777" w:rsidR="00784161" w:rsidRPr="002B65F7" w:rsidRDefault="00784161" w:rsidP="00784161">
      <w:pPr>
        <w:pStyle w:val="BodyText"/>
        <w:widowControl/>
      </w:pPr>
    </w:p>
    <w:p w14:paraId="53BDBE2F" w14:textId="77777777" w:rsidR="00784161" w:rsidRPr="002B65F7" w:rsidRDefault="00784161" w:rsidP="00784161">
      <w:pPr>
        <w:widowControl/>
      </w:pPr>
    </w:p>
    <w:p w14:paraId="3135FACD" w14:textId="77777777" w:rsidR="00784161" w:rsidRPr="002B65F7" w:rsidRDefault="00784161" w:rsidP="00784161">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2.</w:t>
      </w:r>
      <w:r w:rsidRPr="002B65F7">
        <w:rPr>
          <w:b/>
          <w:bCs/>
        </w:rPr>
        <w:tab/>
        <w:t>MODE D’ADMINISTRATION</w:t>
      </w:r>
    </w:p>
    <w:p w14:paraId="7EE34942" w14:textId="77777777" w:rsidR="00784161" w:rsidRPr="002B65F7" w:rsidRDefault="00784161" w:rsidP="00784161">
      <w:pPr>
        <w:pStyle w:val="BodyText"/>
        <w:keepNext/>
        <w:widowControl/>
      </w:pPr>
    </w:p>
    <w:p w14:paraId="707E716B" w14:textId="77777777" w:rsidR="00784161" w:rsidRPr="002B65F7" w:rsidRDefault="00784161" w:rsidP="00784161">
      <w:pPr>
        <w:pStyle w:val="BodyText"/>
        <w:widowControl/>
      </w:pPr>
    </w:p>
    <w:p w14:paraId="3DD20D3B" w14:textId="77777777" w:rsidR="00784161" w:rsidRPr="002B65F7" w:rsidRDefault="00784161" w:rsidP="00784161">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3.</w:t>
      </w:r>
      <w:r w:rsidRPr="002B65F7">
        <w:rPr>
          <w:b/>
          <w:bCs/>
        </w:rPr>
        <w:tab/>
        <w:t>DATE DE PÉREMPTION</w:t>
      </w:r>
    </w:p>
    <w:p w14:paraId="3E5277E9" w14:textId="77777777" w:rsidR="00784161" w:rsidRPr="002B65F7" w:rsidRDefault="00784161" w:rsidP="00784161">
      <w:pPr>
        <w:keepNext/>
        <w:widowControl/>
      </w:pPr>
    </w:p>
    <w:p w14:paraId="7CCEF990" w14:textId="77777777" w:rsidR="00784161" w:rsidRPr="002B65F7" w:rsidRDefault="00784161" w:rsidP="00784161">
      <w:pPr>
        <w:widowControl/>
      </w:pPr>
      <w:r w:rsidRPr="002B65F7">
        <w:t>EXP</w:t>
      </w:r>
    </w:p>
    <w:p w14:paraId="2B48F3F0" w14:textId="77777777" w:rsidR="00784161" w:rsidRPr="002B65F7" w:rsidRDefault="00784161" w:rsidP="00784161">
      <w:pPr>
        <w:widowControl/>
      </w:pPr>
    </w:p>
    <w:p w14:paraId="28C303F3" w14:textId="77777777" w:rsidR="00784161" w:rsidRPr="002B65F7" w:rsidRDefault="00784161" w:rsidP="00784161">
      <w:pPr>
        <w:widowControl/>
      </w:pPr>
    </w:p>
    <w:p w14:paraId="5C7B38DF" w14:textId="77777777" w:rsidR="00784161" w:rsidRPr="002B65F7" w:rsidRDefault="00784161" w:rsidP="00784161">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4.</w:t>
      </w:r>
      <w:r w:rsidRPr="002B65F7">
        <w:rPr>
          <w:b/>
          <w:bCs/>
        </w:rPr>
        <w:tab/>
        <w:t>NUMÉRO DU LOT</w:t>
      </w:r>
    </w:p>
    <w:p w14:paraId="7E41BAAB" w14:textId="77777777" w:rsidR="00784161" w:rsidRPr="002B65F7" w:rsidRDefault="00784161" w:rsidP="00784161">
      <w:pPr>
        <w:keepNext/>
        <w:widowControl/>
      </w:pPr>
    </w:p>
    <w:p w14:paraId="3AA33565" w14:textId="77777777" w:rsidR="00784161" w:rsidRPr="002B65F7" w:rsidRDefault="00784161" w:rsidP="00784161">
      <w:pPr>
        <w:widowControl/>
      </w:pPr>
      <w:r w:rsidRPr="002B65F7">
        <w:rPr>
          <w:spacing w:val="-5"/>
        </w:rPr>
        <w:t>Lot</w:t>
      </w:r>
    </w:p>
    <w:p w14:paraId="22444686" w14:textId="77777777" w:rsidR="00784161" w:rsidRPr="002B65F7" w:rsidRDefault="00784161" w:rsidP="00784161">
      <w:pPr>
        <w:widowControl/>
      </w:pPr>
    </w:p>
    <w:p w14:paraId="30524C8F" w14:textId="77777777" w:rsidR="00784161" w:rsidRPr="002B65F7" w:rsidRDefault="00784161" w:rsidP="00784161">
      <w:pPr>
        <w:widowControl/>
      </w:pPr>
    </w:p>
    <w:p w14:paraId="604FE788" w14:textId="77777777" w:rsidR="00784161" w:rsidRPr="002B65F7" w:rsidRDefault="00784161" w:rsidP="00784161">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5.</w:t>
      </w:r>
      <w:r w:rsidRPr="002B65F7">
        <w:rPr>
          <w:b/>
          <w:bCs/>
        </w:rPr>
        <w:tab/>
        <w:t>CONTENU EN POIDS, VOLUME OU UNITÉ</w:t>
      </w:r>
    </w:p>
    <w:p w14:paraId="74724796" w14:textId="77777777" w:rsidR="00784161" w:rsidRPr="002B65F7" w:rsidRDefault="00784161" w:rsidP="00784161">
      <w:pPr>
        <w:keepNext/>
        <w:widowControl/>
      </w:pPr>
    </w:p>
    <w:p w14:paraId="5F313702" w14:textId="77777777" w:rsidR="00784161" w:rsidRPr="002B65F7" w:rsidRDefault="00784161" w:rsidP="00784161">
      <w:pPr>
        <w:widowControl/>
      </w:pPr>
      <w:r w:rsidRPr="002B65F7">
        <w:t>45</w:t>
      </w:r>
      <w:r w:rsidRPr="002B65F7">
        <w:rPr>
          <w:spacing w:val="-3"/>
        </w:rPr>
        <w:t> </w:t>
      </w:r>
      <w:r w:rsidRPr="002B65F7">
        <w:t>mg/0,5</w:t>
      </w:r>
      <w:r w:rsidRPr="002B65F7">
        <w:rPr>
          <w:spacing w:val="-2"/>
        </w:rPr>
        <w:t> </w:t>
      </w:r>
      <w:r w:rsidRPr="002B65F7">
        <w:rPr>
          <w:spacing w:val="-5"/>
        </w:rPr>
        <w:t>mL</w:t>
      </w:r>
    </w:p>
    <w:p w14:paraId="7E1828C1" w14:textId="77777777" w:rsidR="00784161" w:rsidRPr="002B65F7" w:rsidRDefault="00784161" w:rsidP="00784161">
      <w:pPr>
        <w:widowControl/>
      </w:pPr>
    </w:p>
    <w:p w14:paraId="7FE07CEE" w14:textId="77777777" w:rsidR="00784161" w:rsidRPr="002B65F7" w:rsidRDefault="00784161" w:rsidP="00784161">
      <w:pPr>
        <w:widowControl/>
      </w:pPr>
    </w:p>
    <w:p w14:paraId="6225AA60" w14:textId="77777777" w:rsidR="00784161" w:rsidRPr="002B65F7" w:rsidRDefault="00784161" w:rsidP="00784161">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6.</w:t>
      </w:r>
      <w:r w:rsidRPr="002B65F7">
        <w:rPr>
          <w:b/>
          <w:bCs/>
        </w:rPr>
        <w:tab/>
        <w:t>AUTRE</w:t>
      </w:r>
    </w:p>
    <w:p w14:paraId="5A05FEB6" w14:textId="77777777" w:rsidR="00784161" w:rsidRPr="002B65F7" w:rsidRDefault="00784161" w:rsidP="00784161">
      <w:pPr>
        <w:keepNext/>
        <w:widowControl/>
      </w:pPr>
    </w:p>
    <w:p w14:paraId="33098427" w14:textId="77777777" w:rsidR="00784161" w:rsidRPr="002B65F7" w:rsidRDefault="00784161" w:rsidP="00784161">
      <w:pPr>
        <w:pStyle w:val="BodyText"/>
        <w:widowControl/>
      </w:pPr>
    </w:p>
    <w:p w14:paraId="7297760F" w14:textId="0F1FA590" w:rsidR="002C5834" w:rsidRPr="002B65F7" w:rsidRDefault="00166AE2" w:rsidP="002C5834">
      <w:pPr>
        <w:keepNext/>
        <w:widowControl/>
        <w:pBdr>
          <w:top w:val="single" w:sz="4" w:space="1" w:color="auto"/>
          <w:left w:val="single" w:sz="4" w:space="4" w:color="auto"/>
          <w:bottom w:val="single" w:sz="4" w:space="1" w:color="auto"/>
          <w:right w:val="single" w:sz="4" w:space="4" w:color="auto"/>
        </w:pBdr>
        <w:rPr>
          <w:b/>
          <w:bCs/>
        </w:rPr>
      </w:pPr>
      <w:r w:rsidRPr="002B65F7">
        <w:br w:type="page"/>
      </w:r>
      <w:r w:rsidR="002C5834" w:rsidRPr="002B65F7">
        <w:rPr>
          <w:b/>
          <w:bCs/>
        </w:rPr>
        <w:lastRenderedPageBreak/>
        <w:t>MENTIONS DEVANT FIGURER SUR L’EMBALLAGE EXTÉRIEUR</w:t>
      </w:r>
    </w:p>
    <w:p w14:paraId="3799036D"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rPr>
          <w:b/>
          <w:bCs/>
        </w:rPr>
      </w:pPr>
    </w:p>
    <w:p w14:paraId="04254EAF"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rPr>
          <w:b/>
          <w:bCs/>
        </w:rPr>
      </w:pPr>
      <w:r w:rsidRPr="002B65F7">
        <w:rPr>
          <w:b/>
          <w:bCs/>
        </w:rPr>
        <w:t>CARTON STYLO PRÉREMPLI</w:t>
      </w:r>
    </w:p>
    <w:p w14:paraId="26483A23" w14:textId="77777777" w:rsidR="002C5834" w:rsidRPr="002B65F7" w:rsidRDefault="002C5834" w:rsidP="002C5834">
      <w:pPr>
        <w:keepNext/>
        <w:widowControl/>
      </w:pPr>
    </w:p>
    <w:p w14:paraId="3BEB0AC9" w14:textId="77777777" w:rsidR="002C5834" w:rsidRPr="002B65F7" w:rsidRDefault="002C5834" w:rsidP="002C5834">
      <w:pPr>
        <w:widowControl/>
      </w:pPr>
    </w:p>
    <w:p w14:paraId="43099218"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w:t>
      </w:r>
      <w:r w:rsidRPr="002B65F7">
        <w:rPr>
          <w:b/>
          <w:bCs/>
        </w:rPr>
        <w:tab/>
        <w:t>DÉNOMINATION DU MÉDICAMENT</w:t>
      </w:r>
    </w:p>
    <w:p w14:paraId="61366AB9" w14:textId="77777777" w:rsidR="002C5834" w:rsidRPr="002B65F7" w:rsidRDefault="002C5834" w:rsidP="002C5834">
      <w:pPr>
        <w:keepNext/>
        <w:widowControl/>
      </w:pPr>
    </w:p>
    <w:p w14:paraId="7FA92A66" w14:textId="77777777" w:rsidR="002C5834" w:rsidRPr="002B65F7" w:rsidRDefault="002C5834" w:rsidP="002C5834">
      <w:pPr>
        <w:widowControl/>
      </w:pPr>
    </w:p>
    <w:p w14:paraId="17CC7A2D" w14:textId="77777777" w:rsidR="002C5834" w:rsidRPr="002B65F7" w:rsidRDefault="002C5834" w:rsidP="002C5834">
      <w:pPr>
        <w:widowControl/>
      </w:pPr>
      <w:r w:rsidRPr="002B65F7">
        <w:t>WEZENLA</w:t>
      </w:r>
      <w:r w:rsidRPr="002B65F7">
        <w:rPr>
          <w:spacing w:val="-6"/>
        </w:rPr>
        <w:t xml:space="preserve"> </w:t>
      </w:r>
      <w:r w:rsidRPr="002B65F7">
        <w:t>90</w:t>
      </w:r>
      <w:r w:rsidRPr="002B65F7">
        <w:rPr>
          <w:spacing w:val="-5"/>
        </w:rPr>
        <w:t> </w:t>
      </w:r>
      <w:r w:rsidRPr="002B65F7">
        <w:t>mg</w:t>
      </w:r>
      <w:r w:rsidRPr="002B65F7">
        <w:rPr>
          <w:spacing w:val="-6"/>
        </w:rPr>
        <w:t xml:space="preserve"> </w:t>
      </w:r>
      <w:r w:rsidRPr="002B65F7">
        <w:t>solution</w:t>
      </w:r>
      <w:r w:rsidRPr="002B65F7">
        <w:rPr>
          <w:spacing w:val="-6"/>
        </w:rPr>
        <w:t xml:space="preserve"> </w:t>
      </w:r>
      <w:r w:rsidRPr="002B65F7">
        <w:t>injectable</w:t>
      </w:r>
      <w:r w:rsidRPr="002B65F7">
        <w:rPr>
          <w:spacing w:val="-6"/>
        </w:rPr>
        <w:t xml:space="preserve"> </w:t>
      </w:r>
      <w:r w:rsidRPr="002B65F7">
        <w:t>en</w:t>
      </w:r>
      <w:r w:rsidRPr="002B65F7">
        <w:rPr>
          <w:spacing w:val="-6"/>
        </w:rPr>
        <w:t xml:space="preserve"> </w:t>
      </w:r>
      <w:r w:rsidRPr="002B65F7">
        <w:t>stylo</w:t>
      </w:r>
      <w:r w:rsidRPr="002B65F7">
        <w:rPr>
          <w:spacing w:val="-6"/>
        </w:rPr>
        <w:t xml:space="preserve"> </w:t>
      </w:r>
      <w:r w:rsidRPr="002B65F7">
        <w:t>prérempli</w:t>
      </w:r>
    </w:p>
    <w:p w14:paraId="1A77D236" w14:textId="77777777" w:rsidR="002C5834" w:rsidRPr="002B65F7" w:rsidRDefault="002C5834" w:rsidP="002C5834">
      <w:pPr>
        <w:widowControl/>
      </w:pPr>
      <w:r w:rsidRPr="002B65F7">
        <w:rPr>
          <w:spacing w:val="-2"/>
        </w:rPr>
        <w:t>ustekinumab</w:t>
      </w:r>
    </w:p>
    <w:p w14:paraId="01C82E7F" w14:textId="77777777" w:rsidR="002C5834" w:rsidRPr="002B65F7" w:rsidRDefault="002C5834" w:rsidP="002C5834">
      <w:pPr>
        <w:pStyle w:val="BodyText"/>
        <w:widowControl/>
      </w:pPr>
    </w:p>
    <w:p w14:paraId="77AC7F8C" w14:textId="77777777" w:rsidR="002C5834" w:rsidRPr="002B65F7" w:rsidRDefault="002C5834" w:rsidP="002C5834">
      <w:pPr>
        <w:pStyle w:val="BodyText"/>
        <w:widowControl/>
      </w:pPr>
    </w:p>
    <w:p w14:paraId="2FA60DA8"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2.</w:t>
      </w:r>
      <w:r w:rsidRPr="002B65F7">
        <w:rPr>
          <w:b/>
          <w:bCs/>
        </w:rPr>
        <w:tab/>
        <w:t>COMPOSITION EN SUBSTANCE(S) ACTIVE(S)</w:t>
      </w:r>
    </w:p>
    <w:p w14:paraId="1066B0E3" w14:textId="77777777" w:rsidR="002C5834" w:rsidRPr="002B65F7" w:rsidRDefault="002C5834" w:rsidP="002C5834">
      <w:pPr>
        <w:keepNext/>
        <w:widowControl/>
      </w:pPr>
    </w:p>
    <w:p w14:paraId="4E9CB98C" w14:textId="77777777" w:rsidR="002C5834" w:rsidRPr="002B65F7" w:rsidRDefault="002C5834" w:rsidP="002C5834">
      <w:pPr>
        <w:widowControl/>
      </w:pPr>
      <w:r w:rsidRPr="002B65F7">
        <w:t>Chaque</w:t>
      </w:r>
      <w:r w:rsidRPr="002B65F7">
        <w:rPr>
          <w:spacing w:val="-6"/>
        </w:rPr>
        <w:t xml:space="preserve"> </w:t>
      </w:r>
      <w:r w:rsidRPr="002B65F7">
        <w:t>stylo</w:t>
      </w:r>
      <w:r w:rsidRPr="002B65F7">
        <w:rPr>
          <w:spacing w:val="-6"/>
        </w:rPr>
        <w:t xml:space="preserve"> </w:t>
      </w:r>
      <w:r w:rsidRPr="002B65F7">
        <w:t>prérempli</w:t>
      </w:r>
      <w:r w:rsidRPr="002B65F7">
        <w:rPr>
          <w:spacing w:val="-6"/>
        </w:rPr>
        <w:t xml:space="preserve"> </w:t>
      </w:r>
      <w:r w:rsidRPr="002B65F7">
        <w:t>contient</w:t>
      </w:r>
      <w:r w:rsidRPr="002B65F7">
        <w:rPr>
          <w:spacing w:val="-6"/>
        </w:rPr>
        <w:t xml:space="preserve"> </w:t>
      </w:r>
      <w:r w:rsidRPr="002B65F7">
        <w:t>90</w:t>
      </w:r>
      <w:r w:rsidRPr="002B65F7">
        <w:rPr>
          <w:spacing w:val="-7"/>
        </w:rPr>
        <w:t> </w:t>
      </w:r>
      <w:r w:rsidRPr="002B65F7">
        <w:t>mg</w:t>
      </w:r>
      <w:r w:rsidRPr="002B65F7">
        <w:rPr>
          <w:spacing w:val="-6"/>
        </w:rPr>
        <w:t xml:space="preserve"> </w:t>
      </w:r>
      <w:r w:rsidRPr="002B65F7">
        <w:t>d’ustekinumab</w:t>
      </w:r>
      <w:r w:rsidRPr="002B65F7">
        <w:rPr>
          <w:spacing w:val="-6"/>
        </w:rPr>
        <w:t xml:space="preserve"> </w:t>
      </w:r>
      <w:r w:rsidRPr="002B65F7">
        <w:t>dans</w:t>
      </w:r>
      <w:r w:rsidRPr="002B65F7">
        <w:rPr>
          <w:spacing w:val="-6"/>
        </w:rPr>
        <w:t xml:space="preserve"> </w:t>
      </w:r>
      <w:r w:rsidRPr="002B65F7">
        <w:t>1 mL</w:t>
      </w:r>
      <w:r w:rsidRPr="002B65F7">
        <w:rPr>
          <w:spacing w:val="-5"/>
        </w:rPr>
        <w:t>.</w:t>
      </w:r>
    </w:p>
    <w:p w14:paraId="6D871BD4" w14:textId="77777777" w:rsidR="002C5834" w:rsidRPr="002B65F7" w:rsidRDefault="002C5834" w:rsidP="002C5834">
      <w:pPr>
        <w:widowControl/>
      </w:pPr>
    </w:p>
    <w:p w14:paraId="73438A66" w14:textId="77777777" w:rsidR="002C5834" w:rsidRPr="002B65F7" w:rsidRDefault="002C5834" w:rsidP="002C5834">
      <w:pPr>
        <w:widowControl/>
      </w:pPr>
    </w:p>
    <w:p w14:paraId="01216AF6"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3.</w:t>
      </w:r>
      <w:r w:rsidRPr="002B65F7">
        <w:rPr>
          <w:b/>
          <w:bCs/>
        </w:rPr>
        <w:tab/>
        <w:t>LISTE DES EXCIPIENTS</w:t>
      </w:r>
    </w:p>
    <w:p w14:paraId="7A11153D" w14:textId="77777777" w:rsidR="002C5834" w:rsidRPr="002B65F7" w:rsidRDefault="002C5834" w:rsidP="002C5834">
      <w:pPr>
        <w:keepNext/>
        <w:widowControl/>
      </w:pPr>
    </w:p>
    <w:p w14:paraId="7C68B600" w14:textId="032F95C3" w:rsidR="002C5834" w:rsidRPr="002B65F7" w:rsidRDefault="002C5834" w:rsidP="002C5834">
      <w:pPr>
        <w:widowControl/>
      </w:pPr>
      <w:r w:rsidRPr="002B65F7">
        <w:t>Saccharose,</w:t>
      </w:r>
      <w:r w:rsidRPr="002B65F7">
        <w:rPr>
          <w:spacing w:val="-4"/>
        </w:rPr>
        <w:t xml:space="preserve"> </w:t>
      </w:r>
      <w:r w:rsidRPr="002B65F7">
        <w:t>L-histidine,</w:t>
      </w:r>
      <w:r w:rsidRPr="002B65F7">
        <w:rPr>
          <w:spacing w:val="-4"/>
        </w:rPr>
        <w:t xml:space="preserve"> </w:t>
      </w:r>
      <w:r w:rsidRPr="002B65F7">
        <w:t>chlorhydrate</w:t>
      </w:r>
      <w:r w:rsidRPr="002B65F7">
        <w:rPr>
          <w:spacing w:val="-4"/>
        </w:rPr>
        <w:t xml:space="preserve"> </w:t>
      </w:r>
      <w:r w:rsidRPr="002B65F7">
        <w:t>monohydraté</w:t>
      </w:r>
      <w:r w:rsidRPr="002B65F7">
        <w:rPr>
          <w:spacing w:val="-4"/>
        </w:rPr>
        <w:t xml:space="preserve"> </w:t>
      </w:r>
      <w:r w:rsidRPr="002B65F7">
        <w:t>de</w:t>
      </w:r>
      <w:r w:rsidRPr="002B65F7">
        <w:rPr>
          <w:spacing w:val="-4"/>
        </w:rPr>
        <w:t xml:space="preserve"> </w:t>
      </w:r>
      <w:r w:rsidRPr="002B65F7">
        <w:t>L-histidine,</w:t>
      </w:r>
      <w:r w:rsidRPr="002B65F7">
        <w:rPr>
          <w:spacing w:val="-4"/>
        </w:rPr>
        <w:t xml:space="preserve"> </w:t>
      </w:r>
      <w:r w:rsidRPr="002B65F7">
        <w:t>polysorbate</w:t>
      </w:r>
      <w:r w:rsidR="00112127" w:rsidRPr="002B65F7">
        <w:t> </w:t>
      </w:r>
      <w:r w:rsidRPr="002B65F7">
        <w:t>80</w:t>
      </w:r>
      <w:r w:rsidR="00112127">
        <w:t xml:space="preserve"> (E</w:t>
      </w:r>
      <w:r w:rsidR="00112127" w:rsidRPr="002B65F7">
        <w:t> </w:t>
      </w:r>
      <w:r w:rsidR="00112127">
        <w:t>433)</w:t>
      </w:r>
      <w:r w:rsidRPr="002B65F7">
        <w:t>, eau pour préparations injectables.</w:t>
      </w:r>
    </w:p>
    <w:p w14:paraId="581B1882" w14:textId="77777777" w:rsidR="002C5834" w:rsidRPr="002B65F7" w:rsidRDefault="002C5834" w:rsidP="002C5834">
      <w:pPr>
        <w:widowControl/>
      </w:pPr>
    </w:p>
    <w:p w14:paraId="22880C78" w14:textId="77777777" w:rsidR="002C5834" w:rsidRPr="002B65F7" w:rsidRDefault="002C5834" w:rsidP="002C5834">
      <w:pPr>
        <w:pStyle w:val="BodyText"/>
        <w:widowControl/>
      </w:pPr>
    </w:p>
    <w:p w14:paraId="585317E2"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4.</w:t>
      </w:r>
      <w:r w:rsidRPr="002B65F7">
        <w:rPr>
          <w:b/>
          <w:bCs/>
        </w:rPr>
        <w:tab/>
        <w:t>FORME PHARMACEUTIQUE ET CONTENU</w:t>
      </w:r>
    </w:p>
    <w:p w14:paraId="06C80D1A" w14:textId="77777777" w:rsidR="002C5834" w:rsidRPr="002B65F7" w:rsidRDefault="002C5834" w:rsidP="002C5834">
      <w:pPr>
        <w:keepNext/>
        <w:widowControl/>
      </w:pPr>
    </w:p>
    <w:p w14:paraId="43AB434F" w14:textId="77777777" w:rsidR="002C5834" w:rsidRPr="002B65F7" w:rsidRDefault="002C5834" w:rsidP="002C5834">
      <w:pPr>
        <w:widowControl/>
      </w:pPr>
      <w:r>
        <w:rPr>
          <w:highlight w:val="lightGray"/>
        </w:rPr>
        <w:t>Solution</w:t>
      </w:r>
      <w:r>
        <w:rPr>
          <w:spacing w:val="-8"/>
          <w:highlight w:val="lightGray"/>
        </w:rPr>
        <w:t xml:space="preserve"> </w:t>
      </w:r>
      <w:r>
        <w:rPr>
          <w:highlight w:val="lightGray"/>
        </w:rPr>
        <w:t>injectable</w:t>
      </w:r>
      <w:r>
        <w:rPr>
          <w:spacing w:val="-8"/>
          <w:highlight w:val="lightGray"/>
        </w:rPr>
        <w:t xml:space="preserve"> </w:t>
      </w:r>
      <w:r>
        <w:rPr>
          <w:highlight w:val="lightGray"/>
        </w:rPr>
        <w:t>en</w:t>
      </w:r>
      <w:r>
        <w:rPr>
          <w:spacing w:val="-8"/>
          <w:highlight w:val="lightGray"/>
        </w:rPr>
        <w:t xml:space="preserve"> </w:t>
      </w:r>
      <w:r>
        <w:rPr>
          <w:highlight w:val="lightGray"/>
        </w:rPr>
        <w:t>stylo</w:t>
      </w:r>
      <w:r>
        <w:rPr>
          <w:spacing w:val="-8"/>
          <w:highlight w:val="lightGray"/>
        </w:rPr>
        <w:t xml:space="preserve"> </w:t>
      </w:r>
      <w:r>
        <w:rPr>
          <w:highlight w:val="lightGray"/>
        </w:rPr>
        <w:t>prérempli</w:t>
      </w:r>
    </w:p>
    <w:p w14:paraId="1C4215A1" w14:textId="77777777" w:rsidR="002C5834" w:rsidRPr="002B65F7" w:rsidRDefault="002C5834" w:rsidP="002C5834">
      <w:pPr>
        <w:widowControl/>
      </w:pPr>
      <w:r w:rsidRPr="002B65F7">
        <w:t>1</w:t>
      </w:r>
      <w:r w:rsidRPr="002B65F7">
        <w:rPr>
          <w:spacing w:val="-4"/>
        </w:rPr>
        <w:t> </w:t>
      </w:r>
      <w:r w:rsidRPr="002B65F7">
        <w:t>stylo</w:t>
      </w:r>
      <w:r w:rsidRPr="002B65F7">
        <w:rPr>
          <w:spacing w:val="-4"/>
        </w:rPr>
        <w:t xml:space="preserve"> </w:t>
      </w:r>
      <w:r w:rsidRPr="002B65F7">
        <w:rPr>
          <w:spacing w:val="-2"/>
        </w:rPr>
        <w:t>prérempli (ConfiPen)</w:t>
      </w:r>
    </w:p>
    <w:p w14:paraId="2E44727E" w14:textId="77777777" w:rsidR="002C5834" w:rsidRPr="002B65F7" w:rsidRDefault="002C5834" w:rsidP="002C5834">
      <w:pPr>
        <w:widowControl/>
      </w:pPr>
    </w:p>
    <w:p w14:paraId="12E91DAC" w14:textId="77777777" w:rsidR="002C5834" w:rsidRPr="002B65F7" w:rsidRDefault="002C5834" w:rsidP="002C5834">
      <w:pPr>
        <w:widowControl/>
      </w:pPr>
    </w:p>
    <w:p w14:paraId="1424176B"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5.</w:t>
      </w:r>
      <w:r w:rsidRPr="002B65F7">
        <w:rPr>
          <w:b/>
          <w:bCs/>
        </w:rPr>
        <w:tab/>
        <w:t>MODE ET VOIE(S) D’ADMINISTRATION</w:t>
      </w:r>
    </w:p>
    <w:p w14:paraId="47A325BC" w14:textId="77777777" w:rsidR="002C5834" w:rsidRPr="002B65F7" w:rsidRDefault="002C5834" w:rsidP="002C5834">
      <w:pPr>
        <w:keepNext/>
        <w:widowControl/>
      </w:pPr>
    </w:p>
    <w:p w14:paraId="58EB6A2C" w14:textId="77777777" w:rsidR="002C5834" w:rsidRPr="002B65F7" w:rsidRDefault="002C5834" w:rsidP="002C5834">
      <w:pPr>
        <w:widowControl/>
      </w:pPr>
      <w:r w:rsidRPr="002B65F7">
        <w:t>Ne</w:t>
      </w:r>
      <w:r w:rsidRPr="002B65F7">
        <w:rPr>
          <w:spacing w:val="-2"/>
        </w:rPr>
        <w:t xml:space="preserve"> </w:t>
      </w:r>
      <w:r w:rsidRPr="002B65F7">
        <w:t>pas</w:t>
      </w:r>
      <w:r w:rsidRPr="002B65F7">
        <w:rPr>
          <w:spacing w:val="-1"/>
        </w:rPr>
        <w:t xml:space="preserve"> </w:t>
      </w:r>
      <w:r w:rsidRPr="002B65F7">
        <w:rPr>
          <w:spacing w:val="-2"/>
        </w:rPr>
        <w:t>agiter.</w:t>
      </w:r>
    </w:p>
    <w:p w14:paraId="5A5501C2" w14:textId="77777777" w:rsidR="002C5834" w:rsidRPr="002B65F7" w:rsidRDefault="002C5834" w:rsidP="002C5834">
      <w:pPr>
        <w:widowControl/>
      </w:pPr>
      <w:r w:rsidRPr="002B65F7">
        <w:rPr>
          <w:spacing w:val="-2"/>
        </w:rPr>
        <w:t>Par voie</w:t>
      </w:r>
      <w:r w:rsidRPr="002B65F7">
        <w:rPr>
          <w:spacing w:val="2"/>
        </w:rPr>
        <w:t xml:space="preserve"> </w:t>
      </w:r>
      <w:r w:rsidRPr="002B65F7">
        <w:rPr>
          <w:spacing w:val="-2"/>
        </w:rPr>
        <w:t>sous-cutanée.</w:t>
      </w:r>
    </w:p>
    <w:p w14:paraId="0A315F46" w14:textId="77777777" w:rsidR="002C5834" w:rsidRPr="002B65F7" w:rsidRDefault="002C5834" w:rsidP="002C5834">
      <w:pPr>
        <w:widowControl/>
        <w:rPr>
          <w:spacing w:val="-2"/>
        </w:rPr>
      </w:pPr>
      <w:r w:rsidRPr="002B65F7">
        <w:t>Lire</w:t>
      </w:r>
      <w:r w:rsidRPr="002B65F7">
        <w:rPr>
          <w:spacing w:val="-5"/>
        </w:rPr>
        <w:t xml:space="preserve"> </w:t>
      </w:r>
      <w:r w:rsidRPr="002B65F7">
        <w:t>la</w:t>
      </w:r>
      <w:r w:rsidRPr="002B65F7">
        <w:rPr>
          <w:spacing w:val="-4"/>
        </w:rPr>
        <w:t xml:space="preserve"> </w:t>
      </w:r>
      <w:r w:rsidRPr="002B65F7">
        <w:t>notice</w:t>
      </w:r>
      <w:r w:rsidRPr="002B65F7">
        <w:rPr>
          <w:spacing w:val="-4"/>
        </w:rPr>
        <w:t xml:space="preserve"> </w:t>
      </w:r>
      <w:r w:rsidRPr="002B65F7">
        <w:t>avant</w:t>
      </w:r>
      <w:r w:rsidRPr="002B65F7">
        <w:rPr>
          <w:spacing w:val="-4"/>
        </w:rPr>
        <w:t xml:space="preserve"> </w:t>
      </w:r>
      <w:r w:rsidRPr="002B65F7">
        <w:rPr>
          <w:spacing w:val="-2"/>
        </w:rPr>
        <w:t>utilisation.</w:t>
      </w:r>
    </w:p>
    <w:p w14:paraId="2320B435" w14:textId="77777777" w:rsidR="002C5834" w:rsidRPr="002B65F7" w:rsidRDefault="002C5834" w:rsidP="002C5834">
      <w:pPr>
        <w:widowControl/>
      </w:pPr>
      <w:r w:rsidRPr="002B65F7">
        <w:rPr>
          <w:spacing w:val="-2"/>
        </w:rPr>
        <w:t>Pousser pour ouvrir.</w:t>
      </w:r>
    </w:p>
    <w:p w14:paraId="38AE1C70" w14:textId="77777777" w:rsidR="002C5834" w:rsidRPr="002B65F7" w:rsidRDefault="002C5834" w:rsidP="002C5834">
      <w:pPr>
        <w:widowControl/>
      </w:pPr>
    </w:p>
    <w:p w14:paraId="0A85BD99" w14:textId="77777777" w:rsidR="002C5834" w:rsidRPr="002B65F7" w:rsidRDefault="002C5834" w:rsidP="002C5834">
      <w:pPr>
        <w:widowControl/>
      </w:pPr>
    </w:p>
    <w:p w14:paraId="47C73FF1"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2B65F7">
        <w:rPr>
          <w:rFonts w:eastAsia="TimesNewRoman,Bold"/>
          <w:b/>
          <w:bCs/>
        </w:rPr>
        <w:t>6.</w:t>
      </w:r>
      <w:r w:rsidRPr="002B65F7">
        <w:rPr>
          <w:rFonts w:eastAsia="TimesNewRoman,Bold"/>
          <w:b/>
          <w:bCs/>
        </w:rPr>
        <w:tab/>
        <w:t xml:space="preserve">MISE EN GARDE </w:t>
      </w:r>
      <w:r w:rsidRPr="002B65F7">
        <w:rPr>
          <w:b/>
          <w:bCs/>
        </w:rPr>
        <w:t>SPÉCIALE</w:t>
      </w:r>
      <w:r w:rsidRPr="002B65F7">
        <w:rPr>
          <w:rFonts w:eastAsia="TimesNewRoman,Bold"/>
          <w:b/>
          <w:bCs/>
        </w:rPr>
        <w:t xml:space="preserve"> INDIQUANT QUE LE MÉDICAMENT DOIT ÊTRE CONSERVÉ HORS DE VUE ET DE PORTÉE DES ENFANTS</w:t>
      </w:r>
    </w:p>
    <w:p w14:paraId="41ECE495" w14:textId="77777777" w:rsidR="002C5834" w:rsidRPr="002B65F7" w:rsidRDefault="002C5834" w:rsidP="002C5834">
      <w:pPr>
        <w:keepNext/>
        <w:widowControl/>
      </w:pPr>
    </w:p>
    <w:p w14:paraId="3809EE6A" w14:textId="77777777" w:rsidR="002C5834" w:rsidRPr="002B65F7" w:rsidRDefault="002C5834" w:rsidP="002C5834">
      <w:pPr>
        <w:widowControl/>
      </w:pPr>
      <w:r w:rsidRPr="002B65F7">
        <w:t>Tenir</w:t>
      </w:r>
      <w:r w:rsidRPr="002B65F7">
        <w:rPr>
          <w:spacing w:val="-4"/>
        </w:rPr>
        <w:t xml:space="preserve"> </w:t>
      </w:r>
      <w:r w:rsidRPr="002B65F7">
        <w:t>hors</w:t>
      </w:r>
      <w:r w:rsidRPr="002B65F7">
        <w:rPr>
          <w:spacing w:val="-3"/>
        </w:rPr>
        <w:t xml:space="preserve"> </w:t>
      </w:r>
      <w:r w:rsidRPr="002B65F7">
        <w:t>de</w:t>
      </w:r>
      <w:r w:rsidRPr="002B65F7">
        <w:rPr>
          <w:spacing w:val="-3"/>
        </w:rPr>
        <w:t xml:space="preserve"> </w:t>
      </w:r>
      <w:r w:rsidRPr="002B65F7">
        <w:t>la</w:t>
      </w:r>
      <w:r w:rsidRPr="002B65F7">
        <w:rPr>
          <w:spacing w:val="-3"/>
        </w:rPr>
        <w:t xml:space="preserve"> </w:t>
      </w:r>
      <w:r w:rsidRPr="002B65F7">
        <w:t>vue</w:t>
      </w:r>
      <w:r w:rsidRPr="002B65F7">
        <w:rPr>
          <w:spacing w:val="-3"/>
        </w:rPr>
        <w:t xml:space="preserve"> </w:t>
      </w:r>
      <w:r w:rsidRPr="002B65F7">
        <w:t>et</w:t>
      </w:r>
      <w:r w:rsidRPr="002B65F7">
        <w:rPr>
          <w:spacing w:val="-3"/>
        </w:rPr>
        <w:t xml:space="preserve"> </w:t>
      </w:r>
      <w:r w:rsidRPr="002B65F7">
        <w:t>de</w:t>
      </w:r>
      <w:r w:rsidRPr="002B65F7">
        <w:rPr>
          <w:spacing w:val="-3"/>
        </w:rPr>
        <w:t xml:space="preserve"> </w:t>
      </w:r>
      <w:r w:rsidRPr="002B65F7">
        <w:t>la</w:t>
      </w:r>
      <w:r w:rsidRPr="002B65F7">
        <w:rPr>
          <w:spacing w:val="-3"/>
        </w:rPr>
        <w:t xml:space="preserve"> </w:t>
      </w:r>
      <w:r w:rsidRPr="002B65F7">
        <w:t>portée</w:t>
      </w:r>
      <w:r w:rsidRPr="002B65F7">
        <w:rPr>
          <w:spacing w:val="-3"/>
        </w:rPr>
        <w:t xml:space="preserve"> </w:t>
      </w:r>
      <w:r w:rsidRPr="002B65F7">
        <w:t>des</w:t>
      </w:r>
      <w:r w:rsidRPr="002B65F7">
        <w:rPr>
          <w:spacing w:val="-3"/>
        </w:rPr>
        <w:t xml:space="preserve"> </w:t>
      </w:r>
      <w:r w:rsidRPr="002B65F7">
        <w:rPr>
          <w:spacing w:val="-2"/>
        </w:rPr>
        <w:t>enfants.</w:t>
      </w:r>
    </w:p>
    <w:p w14:paraId="700C1A84" w14:textId="77777777" w:rsidR="002C5834" w:rsidRPr="002B65F7" w:rsidRDefault="002C5834" w:rsidP="002C5834">
      <w:pPr>
        <w:widowControl/>
      </w:pPr>
    </w:p>
    <w:p w14:paraId="1B623B22" w14:textId="77777777" w:rsidR="002C5834" w:rsidRPr="002B65F7" w:rsidRDefault="002C5834" w:rsidP="002C5834">
      <w:pPr>
        <w:widowControl/>
      </w:pPr>
    </w:p>
    <w:p w14:paraId="22834086"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7.</w:t>
      </w:r>
      <w:r w:rsidRPr="002B65F7">
        <w:rPr>
          <w:b/>
          <w:bCs/>
        </w:rPr>
        <w:tab/>
        <w:t>AUTRE(S) MISE(S) EN GARDE SPÉCIALE(S), SI NÉCESSAIRE</w:t>
      </w:r>
    </w:p>
    <w:p w14:paraId="204F1EDC" w14:textId="77777777" w:rsidR="002C5834" w:rsidRPr="002B65F7" w:rsidRDefault="002C5834" w:rsidP="002C5834">
      <w:pPr>
        <w:keepNext/>
        <w:widowControl/>
      </w:pPr>
    </w:p>
    <w:p w14:paraId="165FB105" w14:textId="77777777" w:rsidR="002C5834" w:rsidRPr="002B65F7" w:rsidRDefault="002C5834" w:rsidP="002C5834">
      <w:pPr>
        <w:widowControl/>
      </w:pPr>
    </w:p>
    <w:p w14:paraId="7016D126"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8.</w:t>
      </w:r>
      <w:r w:rsidRPr="002B65F7">
        <w:rPr>
          <w:b/>
          <w:bCs/>
        </w:rPr>
        <w:tab/>
        <w:t>DATE DE PÉREMPTION</w:t>
      </w:r>
    </w:p>
    <w:p w14:paraId="366291D2" w14:textId="77777777" w:rsidR="002C5834" w:rsidRPr="002B65F7" w:rsidRDefault="002C5834" w:rsidP="002C5834">
      <w:pPr>
        <w:keepNext/>
        <w:widowControl/>
      </w:pPr>
    </w:p>
    <w:p w14:paraId="7E80F83B" w14:textId="77777777" w:rsidR="002C5834" w:rsidRPr="002B65F7" w:rsidRDefault="002C5834" w:rsidP="002C5834">
      <w:pPr>
        <w:widowControl/>
      </w:pPr>
      <w:r w:rsidRPr="002B65F7">
        <w:t>EXP</w:t>
      </w:r>
    </w:p>
    <w:p w14:paraId="34BFF28F" w14:textId="77777777" w:rsidR="002C5834" w:rsidRPr="002B65F7" w:rsidRDefault="002C5834" w:rsidP="002C5834">
      <w:pPr>
        <w:widowControl/>
      </w:pPr>
    </w:p>
    <w:p w14:paraId="42C92CFE" w14:textId="77777777" w:rsidR="002C5834" w:rsidRPr="002B65F7" w:rsidRDefault="002C5834" w:rsidP="002C5834">
      <w:pPr>
        <w:widowControl/>
      </w:pPr>
    </w:p>
    <w:p w14:paraId="3ACFEC55"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lastRenderedPageBreak/>
        <w:t>9.</w:t>
      </w:r>
      <w:r w:rsidRPr="002B65F7">
        <w:rPr>
          <w:b/>
          <w:bCs/>
        </w:rPr>
        <w:tab/>
        <w:t>PRÉCAUTIONS PARTICULIÈRES DE CONSERVATION</w:t>
      </w:r>
    </w:p>
    <w:p w14:paraId="55AA4D79" w14:textId="77777777" w:rsidR="002C5834" w:rsidRPr="002B65F7" w:rsidRDefault="002C5834" w:rsidP="002C5834">
      <w:pPr>
        <w:keepNext/>
        <w:widowControl/>
      </w:pPr>
    </w:p>
    <w:p w14:paraId="016AF793" w14:textId="77777777" w:rsidR="002C5834" w:rsidRPr="002B65F7" w:rsidRDefault="002C5834" w:rsidP="002C5834">
      <w:pPr>
        <w:keepNext/>
        <w:widowControl/>
      </w:pPr>
      <w:r w:rsidRPr="002B65F7">
        <w:t>A conserver au réfrigérateur.</w:t>
      </w:r>
    </w:p>
    <w:p w14:paraId="7FA862FE" w14:textId="77777777" w:rsidR="002C5834" w:rsidRPr="002B65F7" w:rsidRDefault="002C5834" w:rsidP="002C5834">
      <w:pPr>
        <w:keepNext/>
        <w:widowControl/>
      </w:pPr>
      <w:r w:rsidRPr="002B65F7">
        <w:t>Ne pas congeler.</w:t>
      </w:r>
    </w:p>
    <w:p w14:paraId="79EAAB00" w14:textId="77777777" w:rsidR="002C5834" w:rsidRPr="002B65F7" w:rsidRDefault="002C5834" w:rsidP="002C5834">
      <w:pPr>
        <w:widowControl/>
      </w:pPr>
      <w:r w:rsidRPr="002B65F7">
        <w:t>Conserver le stylo prérempli dans l’emballage extérieur à l’abri de la lumière.</w:t>
      </w:r>
    </w:p>
    <w:p w14:paraId="3AAF06A0" w14:textId="77777777" w:rsidR="002C5834" w:rsidRPr="002B65F7" w:rsidRDefault="002C5834" w:rsidP="002C5834">
      <w:pPr>
        <w:pStyle w:val="BodyText"/>
        <w:widowControl/>
      </w:pPr>
    </w:p>
    <w:p w14:paraId="679E0A0E" w14:textId="77777777" w:rsidR="002C5834" w:rsidRPr="002B65F7" w:rsidRDefault="002C5834" w:rsidP="002C5834">
      <w:pPr>
        <w:pStyle w:val="BodyText"/>
        <w:widowControl/>
      </w:pPr>
    </w:p>
    <w:p w14:paraId="34F4A470"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10.</w:t>
      </w:r>
      <w:r w:rsidRPr="002B65F7">
        <w:rPr>
          <w:b/>
          <w:bCs/>
        </w:rPr>
        <w:tab/>
        <w:t>PRÉCAUTIONS PARTICULIÈRES D’ÉLIMINATION DES MÉDICAMENTS NON UTILISÉS OU DES DÉCHETS PROVENANT DE CES MÉDICAMENTS S’IL Y A LIEU</w:t>
      </w:r>
    </w:p>
    <w:p w14:paraId="28551F00" w14:textId="77777777" w:rsidR="002C5834" w:rsidRPr="002B65F7" w:rsidRDefault="002C5834" w:rsidP="002C5834">
      <w:pPr>
        <w:keepNext/>
        <w:widowControl/>
      </w:pPr>
    </w:p>
    <w:p w14:paraId="64931352" w14:textId="77777777" w:rsidR="002C5834" w:rsidRPr="002B65F7" w:rsidRDefault="002C5834" w:rsidP="002C5834">
      <w:pPr>
        <w:widowControl/>
      </w:pPr>
    </w:p>
    <w:p w14:paraId="79592633"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11.</w:t>
      </w:r>
      <w:r w:rsidRPr="002B65F7">
        <w:rPr>
          <w:b/>
          <w:bCs/>
        </w:rPr>
        <w:tab/>
        <w:t>NOM ET ADRESSE DU TITULAIRE DE L’AUTORISATION DE MISE SUR LE MARCHÉ</w:t>
      </w:r>
    </w:p>
    <w:p w14:paraId="6C1B6491" w14:textId="77777777" w:rsidR="002C5834" w:rsidRPr="002B65F7" w:rsidRDefault="002C5834" w:rsidP="002C5834">
      <w:pPr>
        <w:keepNext/>
        <w:widowControl/>
      </w:pPr>
    </w:p>
    <w:p w14:paraId="71EDFA32" w14:textId="77777777" w:rsidR="002C5834" w:rsidRPr="002B65F7" w:rsidRDefault="002C5834" w:rsidP="002C5834">
      <w:pPr>
        <w:rPr>
          <w:lang w:val="en-GB"/>
        </w:rPr>
      </w:pPr>
      <w:r w:rsidRPr="002B65F7">
        <w:rPr>
          <w:lang w:val="en-GB"/>
        </w:rPr>
        <w:t>Amgen Technology (Ireland) UC,</w:t>
      </w:r>
    </w:p>
    <w:p w14:paraId="51A4432E" w14:textId="77777777" w:rsidR="002C5834" w:rsidRPr="002B65F7" w:rsidRDefault="002C5834" w:rsidP="002C5834">
      <w:pPr>
        <w:rPr>
          <w:lang w:val="en-GB"/>
        </w:rPr>
      </w:pPr>
      <w:r w:rsidRPr="002B65F7">
        <w:rPr>
          <w:lang w:val="en-GB"/>
        </w:rPr>
        <w:t>Pottery Road,</w:t>
      </w:r>
    </w:p>
    <w:p w14:paraId="25B20EA9" w14:textId="77777777" w:rsidR="002C5834" w:rsidRPr="002B65F7" w:rsidRDefault="002C5834" w:rsidP="002C5834">
      <w:r w:rsidRPr="002B65F7">
        <w:t>Dun Laoghaire,</w:t>
      </w:r>
    </w:p>
    <w:p w14:paraId="3AE91FCB" w14:textId="77777777" w:rsidR="002C5834" w:rsidRPr="002B65F7" w:rsidRDefault="002C5834" w:rsidP="002C5834">
      <w:r w:rsidRPr="002B65F7">
        <w:t>Co Dublin,</w:t>
      </w:r>
    </w:p>
    <w:p w14:paraId="1C7583A4" w14:textId="77777777" w:rsidR="002C5834" w:rsidRPr="002B65F7" w:rsidRDefault="002C5834" w:rsidP="002C5834">
      <w:r w:rsidRPr="002B65F7">
        <w:t>Irlande</w:t>
      </w:r>
    </w:p>
    <w:p w14:paraId="6347FCB3" w14:textId="77777777" w:rsidR="002C5834" w:rsidRPr="002B65F7" w:rsidRDefault="002C5834" w:rsidP="002C5834">
      <w:pPr>
        <w:widowControl/>
      </w:pPr>
    </w:p>
    <w:p w14:paraId="5BB63BDD" w14:textId="77777777" w:rsidR="002C5834" w:rsidRPr="002B65F7" w:rsidRDefault="002C5834" w:rsidP="002C5834">
      <w:pPr>
        <w:widowControl/>
      </w:pPr>
    </w:p>
    <w:p w14:paraId="79236925"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12.</w:t>
      </w:r>
      <w:r w:rsidRPr="002B65F7">
        <w:rPr>
          <w:b/>
          <w:bCs/>
        </w:rPr>
        <w:tab/>
        <w:t>NUMÉRO(S) D’AUTORISATION DE MISE SUR LE MARCHÉ</w:t>
      </w:r>
    </w:p>
    <w:p w14:paraId="5E85A4CE" w14:textId="77777777" w:rsidR="002C5834" w:rsidRPr="002B65F7" w:rsidRDefault="002C5834" w:rsidP="002C5834">
      <w:pPr>
        <w:keepNext/>
        <w:widowControl/>
      </w:pPr>
    </w:p>
    <w:p w14:paraId="4810501F" w14:textId="548ACA21" w:rsidR="002C5834" w:rsidRPr="00B21A43" w:rsidRDefault="002C5834" w:rsidP="002C5834">
      <w:r w:rsidRPr="00B21A43">
        <w:t>EU/1/24/1823</w:t>
      </w:r>
      <w:r w:rsidRPr="00B21A43">
        <w:rPr>
          <w:spacing w:val="1"/>
        </w:rPr>
        <w:t>/</w:t>
      </w:r>
      <w:r w:rsidR="00204F7D" w:rsidRPr="00B21A43">
        <w:t>006</w:t>
      </w:r>
    </w:p>
    <w:p w14:paraId="34DE9492" w14:textId="77777777" w:rsidR="002C5834" w:rsidRPr="00B21A43" w:rsidRDefault="002C5834" w:rsidP="002C5834">
      <w:pPr>
        <w:widowControl/>
      </w:pPr>
    </w:p>
    <w:p w14:paraId="59F680AD" w14:textId="77777777" w:rsidR="002C5834" w:rsidRPr="00B21A43" w:rsidRDefault="002C5834" w:rsidP="002C5834">
      <w:pPr>
        <w:widowControl/>
      </w:pPr>
    </w:p>
    <w:p w14:paraId="60B34C4E" w14:textId="77777777" w:rsidR="002C5834" w:rsidRPr="00B21A43"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B21A43">
        <w:rPr>
          <w:b/>
          <w:bCs/>
        </w:rPr>
        <w:t>13.</w:t>
      </w:r>
      <w:r w:rsidRPr="00B21A43">
        <w:rPr>
          <w:b/>
          <w:bCs/>
        </w:rPr>
        <w:tab/>
        <w:t>NUMÉRO DU LOT</w:t>
      </w:r>
    </w:p>
    <w:p w14:paraId="598335E9" w14:textId="77777777" w:rsidR="002C5834" w:rsidRPr="00B21A43" w:rsidRDefault="002C5834" w:rsidP="002C5834">
      <w:pPr>
        <w:keepNext/>
        <w:widowControl/>
      </w:pPr>
    </w:p>
    <w:p w14:paraId="19B802DD" w14:textId="77777777" w:rsidR="002C5834" w:rsidRPr="00B21A43" w:rsidRDefault="002C5834" w:rsidP="002C5834">
      <w:pPr>
        <w:widowControl/>
      </w:pPr>
      <w:r w:rsidRPr="00B21A43">
        <w:rPr>
          <w:spacing w:val="-5"/>
        </w:rPr>
        <w:t>Lot</w:t>
      </w:r>
    </w:p>
    <w:p w14:paraId="43529C3F" w14:textId="77777777" w:rsidR="002C5834" w:rsidRPr="00B21A43" w:rsidRDefault="002C5834" w:rsidP="002C5834">
      <w:pPr>
        <w:widowControl/>
      </w:pPr>
    </w:p>
    <w:p w14:paraId="5340ED0F" w14:textId="77777777" w:rsidR="002C5834" w:rsidRPr="00B21A43" w:rsidRDefault="002C5834" w:rsidP="002C5834">
      <w:pPr>
        <w:widowControl/>
      </w:pPr>
    </w:p>
    <w:p w14:paraId="7CD33FEC"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14.</w:t>
      </w:r>
      <w:r w:rsidRPr="002B65F7">
        <w:rPr>
          <w:b/>
          <w:bCs/>
        </w:rPr>
        <w:tab/>
        <w:t>CONDITIONS DE PRESCRIPTION ET DE DÉLIVRANCE</w:t>
      </w:r>
    </w:p>
    <w:p w14:paraId="4F483B04" w14:textId="77777777" w:rsidR="002C5834" w:rsidRPr="002B65F7" w:rsidRDefault="002C5834" w:rsidP="002C5834">
      <w:pPr>
        <w:pStyle w:val="BodyText"/>
        <w:keepNext/>
        <w:widowControl/>
      </w:pPr>
    </w:p>
    <w:p w14:paraId="210CF314" w14:textId="77777777" w:rsidR="002C5834" w:rsidRPr="002B65F7" w:rsidRDefault="002C5834" w:rsidP="002C5834">
      <w:pPr>
        <w:widowControl/>
      </w:pPr>
    </w:p>
    <w:p w14:paraId="08D60BF4"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15.</w:t>
      </w:r>
      <w:r w:rsidRPr="002B65F7">
        <w:rPr>
          <w:b/>
          <w:bCs/>
        </w:rPr>
        <w:tab/>
        <w:t>INDICATIONS D’UTILISATION</w:t>
      </w:r>
    </w:p>
    <w:p w14:paraId="16954046" w14:textId="77777777" w:rsidR="002C5834" w:rsidRPr="002B65F7" w:rsidRDefault="002C5834" w:rsidP="002C5834">
      <w:pPr>
        <w:keepNext/>
        <w:widowControl/>
      </w:pPr>
    </w:p>
    <w:p w14:paraId="76CF6C7B" w14:textId="77777777" w:rsidR="002C5834" w:rsidRPr="002B65F7" w:rsidRDefault="002C5834" w:rsidP="002C5834">
      <w:pPr>
        <w:widowControl/>
      </w:pPr>
    </w:p>
    <w:p w14:paraId="0E81AD96"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16.</w:t>
      </w:r>
      <w:r w:rsidRPr="002B65F7">
        <w:rPr>
          <w:b/>
          <w:bCs/>
        </w:rPr>
        <w:tab/>
        <w:t>INFORMATIONS EN BRAILLE</w:t>
      </w:r>
    </w:p>
    <w:p w14:paraId="1FED138F" w14:textId="77777777" w:rsidR="002C5834" w:rsidRPr="002B65F7" w:rsidRDefault="002C5834" w:rsidP="002C5834">
      <w:pPr>
        <w:keepNext/>
        <w:widowControl/>
      </w:pPr>
    </w:p>
    <w:p w14:paraId="65141409" w14:textId="77777777" w:rsidR="002C5834" w:rsidRPr="002B65F7" w:rsidRDefault="002C5834" w:rsidP="002C5834">
      <w:pPr>
        <w:widowControl/>
      </w:pPr>
      <w:r w:rsidRPr="002B65F7">
        <w:t>WEZENLA</w:t>
      </w:r>
      <w:r w:rsidRPr="002B65F7">
        <w:rPr>
          <w:spacing w:val="-5"/>
        </w:rPr>
        <w:t xml:space="preserve"> </w:t>
      </w:r>
      <w:r w:rsidRPr="002B65F7">
        <w:t>90</w:t>
      </w:r>
      <w:r w:rsidRPr="002B65F7">
        <w:rPr>
          <w:spacing w:val="-3"/>
        </w:rPr>
        <w:t> </w:t>
      </w:r>
      <w:r w:rsidRPr="002B65F7">
        <w:rPr>
          <w:spacing w:val="-5"/>
        </w:rPr>
        <w:t xml:space="preserve">mg </w:t>
      </w:r>
      <w:r w:rsidRPr="002B65F7">
        <w:t>stylo</w:t>
      </w:r>
    </w:p>
    <w:p w14:paraId="4E519B39" w14:textId="77777777" w:rsidR="002C5834" w:rsidRPr="002B65F7" w:rsidRDefault="002C5834" w:rsidP="002C5834">
      <w:pPr>
        <w:widowControl/>
      </w:pPr>
    </w:p>
    <w:p w14:paraId="2BBCC083" w14:textId="77777777" w:rsidR="002C5834" w:rsidRPr="002B65F7" w:rsidRDefault="002C5834" w:rsidP="002C5834">
      <w:pPr>
        <w:pStyle w:val="BodyText"/>
        <w:widowControl/>
      </w:pPr>
    </w:p>
    <w:p w14:paraId="03321D29"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17.</w:t>
      </w:r>
      <w:r w:rsidRPr="002B65F7">
        <w:rPr>
          <w:b/>
          <w:bCs/>
        </w:rPr>
        <w:tab/>
        <w:t>IDENTIFIANT UNIQUE - CODE-BARRES 2D</w:t>
      </w:r>
    </w:p>
    <w:p w14:paraId="349570E2" w14:textId="77777777" w:rsidR="002C5834" w:rsidRPr="002B65F7" w:rsidRDefault="002C5834" w:rsidP="002C5834">
      <w:pPr>
        <w:keepNext/>
        <w:widowControl/>
      </w:pPr>
    </w:p>
    <w:p w14:paraId="6418506A" w14:textId="77777777" w:rsidR="002C5834" w:rsidRPr="002B65F7" w:rsidRDefault="002C5834" w:rsidP="002C5834">
      <w:pPr>
        <w:widowControl/>
      </w:pPr>
      <w:r>
        <w:rPr>
          <w:highlight w:val="lightGray"/>
        </w:rPr>
        <w:t>code-barres 2D portant l'identifiant unique inclus.</w:t>
      </w:r>
    </w:p>
    <w:p w14:paraId="13D1D9D6" w14:textId="77777777" w:rsidR="002C5834" w:rsidRPr="002B65F7" w:rsidRDefault="002C5834" w:rsidP="002C5834">
      <w:pPr>
        <w:widowControl/>
      </w:pPr>
    </w:p>
    <w:p w14:paraId="749EACB9" w14:textId="77777777" w:rsidR="002C5834" w:rsidRPr="002B65F7" w:rsidRDefault="002C5834" w:rsidP="002C5834">
      <w:pPr>
        <w:widowControl/>
      </w:pPr>
    </w:p>
    <w:p w14:paraId="06552813" w14:textId="77777777" w:rsidR="002C5834" w:rsidRPr="002B65F7" w:rsidRDefault="002C5834" w:rsidP="002C5834">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18.</w:t>
      </w:r>
      <w:r w:rsidRPr="002B65F7">
        <w:rPr>
          <w:b/>
          <w:bCs/>
        </w:rPr>
        <w:tab/>
        <w:t>IDENTIFIANT UNIQUE - DONNÉES LISIBLES PAR LES HUMAINS</w:t>
      </w:r>
    </w:p>
    <w:p w14:paraId="0BEF25EA" w14:textId="77777777" w:rsidR="002C5834" w:rsidRPr="002B65F7" w:rsidRDefault="002C5834" w:rsidP="002C5834">
      <w:pPr>
        <w:keepNext/>
        <w:widowControl/>
      </w:pPr>
    </w:p>
    <w:p w14:paraId="708E40A5" w14:textId="77777777" w:rsidR="002C5834" w:rsidRPr="002B65F7" w:rsidRDefault="002C5834" w:rsidP="002C5834">
      <w:pPr>
        <w:widowControl/>
      </w:pPr>
      <w:r w:rsidRPr="002B65F7">
        <w:t xml:space="preserve">PC </w:t>
      </w:r>
    </w:p>
    <w:p w14:paraId="1C52F474" w14:textId="77777777" w:rsidR="002C5834" w:rsidRPr="002B65F7" w:rsidRDefault="002C5834" w:rsidP="002C5834">
      <w:pPr>
        <w:widowControl/>
      </w:pPr>
      <w:r w:rsidRPr="002B65F7">
        <w:t xml:space="preserve">SN </w:t>
      </w:r>
    </w:p>
    <w:p w14:paraId="3578B905" w14:textId="77777777" w:rsidR="002C5834" w:rsidRPr="002B65F7" w:rsidRDefault="002C5834" w:rsidP="002C5834">
      <w:pPr>
        <w:widowControl/>
      </w:pPr>
      <w:r>
        <w:rPr>
          <w:highlight w:val="lightGray"/>
        </w:rPr>
        <w:t>NN</w:t>
      </w:r>
      <w:r w:rsidRPr="002B65F7">
        <w:t xml:space="preserve"> </w:t>
      </w:r>
    </w:p>
    <w:p w14:paraId="735EB51A" w14:textId="77777777" w:rsidR="002C5834" w:rsidRPr="002B65F7" w:rsidRDefault="002C5834" w:rsidP="002C5834">
      <w:pPr>
        <w:widowControl/>
        <w:jc w:val="both"/>
      </w:pPr>
    </w:p>
    <w:p w14:paraId="52742C72" w14:textId="1356A0CE" w:rsidR="00F20AE3" w:rsidRPr="002B65F7" w:rsidRDefault="00166AE2" w:rsidP="00F20AE3">
      <w:pPr>
        <w:keepNext/>
        <w:widowControl/>
        <w:pBdr>
          <w:top w:val="single" w:sz="4" w:space="1" w:color="auto"/>
          <w:left w:val="single" w:sz="4" w:space="4" w:color="auto"/>
          <w:bottom w:val="single" w:sz="4" w:space="1" w:color="auto"/>
          <w:right w:val="single" w:sz="4" w:space="4" w:color="auto"/>
        </w:pBdr>
        <w:rPr>
          <w:b/>
          <w:bCs/>
        </w:rPr>
      </w:pPr>
      <w:r w:rsidRPr="002B65F7">
        <w:br w:type="page"/>
      </w:r>
      <w:r w:rsidR="00F20AE3" w:rsidRPr="002B65F7">
        <w:rPr>
          <w:b/>
          <w:bCs/>
        </w:rPr>
        <w:lastRenderedPageBreak/>
        <w:t>MENTIONS MINIMALES DEVANT FIGURER SUR LES PETITS CONDITIONNEMENTS PRIMAIRES</w:t>
      </w:r>
    </w:p>
    <w:p w14:paraId="4DD9F96B" w14:textId="77777777" w:rsidR="00F20AE3" w:rsidRPr="002B65F7" w:rsidRDefault="00F20AE3" w:rsidP="00F20AE3">
      <w:pPr>
        <w:keepNext/>
        <w:widowControl/>
        <w:pBdr>
          <w:top w:val="single" w:sz="4" w:space="1" w:color="auto"/>
          <w:left w:val="single" w:sz="4" w:space="4" w:color="auto"/>
          <w:bottom w:val="single" w:sz="4" w:space="1" w:color="auto"/>
          <w:right w:val="single" w:sz="4" w:space="4" w:color="auto"/>
        </w:pBdr>
        <w:rPr>
          <w:b/>
          <w:bCs/>
        </w:rPr>
      </w:pPr>
    </w:p>
    <w:p w14:paraId="3E424CD9" w14:textId="77777777" w:rsidR="00F20AE3" w:rsidRPr="002B65F7" w:rsidRDefault="00F20AE3" w:rsidP="00F20AE3">
      <w:pPr>
        <w:keepNext/>
        <w:widowControl/>
        <w:pBdr>
          <w:top w:val="single" w:sz="4" w:space="1" w:color="auto"/>
          <w:left w:val="single" w:sz="4" w:space="4" w:color="auto"/>
          <w:bottom w:val="single" w:sz="4" w:space="1" w:color="auto"/>
          <w:right w:val="single" w:sz="4" w:space="4" w:color="auto"/>
        </w:pBdr>
        <w:rPr>
          <w:b/>
          <w:bCs/>
        </w:rPr>
      </w:pPr>
      <w:r w:rsidRPr="002B65F7">
        <w:rPr>
          <w:b/>
          <w:bCs/>
        </w:rPr>
        <w:t>ÉTIQUETTE STYLO PRÉREMPLI</w:t>
      </w:r>
    </w:p>
    <w:p w14:paraId="108AE58B" w14:textId="77777777" w:rsidR="00F20AE3" w:rsidRPr="002B65F7" w:rsidRDefault="00F20AE3" w:rsidP="00F20AE3">
      <w:pPr>
        <w:keepNext/>
        <w:widowControl/>
      </w:pPr>
    </w:p>
    <w:p w14:paraId="3B94CEA0" w14:textId="77777777" w:rsidR="00F20AE3" w:rsidRPr="002B65F7" w:rsidRDefault="00F20AE3" w:rsidP="00F20AE3">
      <w:pPr>
        <w:widowControl/>
      </w:pPr>
    </w:p>
    <w:p w14:paraId="56C7B4C1" w14:textId="77777777" w:rsidR="00F20AE3" w:rsidRPr="002B65F7" w:rsidRDefault="00F20AE3" w:rsidP="00F20AE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1.</w:t>
      </w:r>
      <w:r w:rsidRPr="002B65F7">
        <w:rPr>
          <w:b/>
          <w:bCs/>
        </w:rPr>
        <w:tab/>
        <w:t>DÉNOMINATION DU MÉDICAMENT ET VOIE(S) D’ADMINISTRATION</w:t>
      </w:r>
    </w:p>
    <w:p w14:paraId="466E27C8" w14:textId="77777777" w:rsidR="00F20AE3" w:rsidRPr="002B65F7" w:rsidRDefault="00F20AE3" w:rsidP="00F20AE3">
      <w:pPr>
        <w:keepNext/>
        <w:widowControl/>
      </w:pPr>
    </w:p>
    <w:p w14:paraId="0AF8EB11" w14:textId="77777777" w:rsidR="00F20AE3" w:rsidRPr="002B65F7" w:rsidRDefault="00F20AE3" w:rsidP="00F20AE3">
      <w:pPr>
        <w:widowControl/>
      </w:pPr>
      <w:r w:rsidRPr="002B65F7">
        <w:t>WEZENLA</w:t>
      </w:r>
      <w:r w:rsidRPr="002B65F7">
        <w:rPr>
          <w:spacing w:val="-11"/>
        </w:rPr>
        <w:t xml:space="preserve"> </w:t>
      </w:r>
      <w:r w:rsidRPr="002B65F7">
        <w:t>90</w:t>
      </w:r>
      <w:r w:rsidRPr="002B65F7">
        <w:rPr>
          <w:spacing w:val="-10"/>
        </w:rPr>
        <w:t> </w:t>
      </w:r>
      <w:r w:rsidRPr="002B65F7">
        <w:t>mg</w:t>
      </w:r>
      <w:r w:rsidRPr="002B65F7">
        <w:rPr>
          <w:spacing w:val="-11"/>
        </w:rPr>
        <w:t xml:space="preserve"> </w:t>
      </w:r>
      <w:r w:rsidRPr="002B65F7">
        <w:t>injectable</w:t>
      </w:r>
    </w:p>
    <w:p w14:paraId="0A5EA2A0" w14:textId="77777777" w:rsidR="00F20AE3" w:rsidRPr="002B65F7" w:rsidRDefault="00F20AE3" w:rsidP="00F20AE3">
      <w:pPr>
        <w:widowControl/>
      </w:pPr>
      <w:r w:rsidRPr="002B65F7">
        <w:rPr>
          <w:spacing w:val="-2"/>
        </w:rPr>
        <w:t>ustekinumab</w:t>
      </w:r>
    </w:p>
    <w:p w14:paraId="6B91977C" w14:textId="77777777" w:rsidR="00F20AE3" w:rsidRPr="002B65F7" w:rsidRDefault="00F20AE3" w:rsidP="00F20AE3">
      <w:pPr>
        <w:widowControl/>
      </w:pPr>
      <w:r w:rsidRPr="002B65F7">
        <w:rPr>
          <w:spacing w:val="-5"/>
        </w:rPr>
        <w:t>SC</w:t>
      </w:r>
    </w:p>
    <w:p w14:paraId="4B6D5533" w14:textId="77777777" w:rsidR="00F20AE3" w:rsidRPr="002B65F7" w:rsidRDefault="00F20AE3" w:rsidP="00F20AE3">
      <w:pPr>
        <w:pStyle w:val="BodyText"/>
        <w:widowControl/>
      </w:pPr>
    </w:p>
    <w:p w14:paraId="3C6A67C2" w14:textId="77777777" w:rsidR="00F20AE3" w:rsidRPr="002B65F7" w:rsidRDefault="00F20AE3" w:rsidP="00F20AE3">
      <w:pPr>
        <w:widowControl/>
      </w:pPr>
    </w:p>
    <w:p w14:paraId="591B5C56" w14:textId="77777777" w:rsidR="00F20AE3" w:rsidRPr="002B65F7" w:rsidRDefault="00F20AE3" w:rsidP="00F20AE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2.</w:t>
      </w:r>
      <w:r w:rsidRPr="002B65F7">
        <w:rPr>
          <w:b/>
          <w:bCs/>
        </w:rPr>
        <w:tab/>
        <w:t>MODE D’ADMINISTRATION</w:t>
      </w:r>
    </w:p>
    <w:p w14:paraId="09B22770" w14:textId="77777777" w:rsidR="00F20AE3" w:rsidRPr="002B65F7" w:rsidRDefault="00F20AE3" w:rsidP="00F20AE3">
      <w:pPr>
        <w:keepNext/>
        <w:widowControl/>
      </w:pPr>
    </w:p>
    <w:p w14:paraId="129F9F26" w14:textId="77777777" w:rsidR="00F20AE3" w:rsidRPr="002B65F7" w:rsidRDefault="00F20AE3" w:rsidP="00F20AE3">
      <w:pPr>
        <w:widowControl/>
      </w:pPr>
    </w:p>
    <w:p w14:paraId="10A935C5" w14:textId="77777777" w:rsidR="00F20AE3" w:rsidRPr="002B65F7" w:rsidRDefault="00F20AE3" w:rsidP="00F20AE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3.</w:t>
      </w:r>
      <w:r w:rsidRPr="002B65F7">
        <w:rPr>
          <w:b/>
          <w:bCs/>
        </w:rPr>
        <w:tab/>
        <w:t>DATE DE PÉREMPTION</w:t>
      </w:r>
    </w:p>
    <w:p w14:paraId="46808C8D" w14:textId="77777777" w:rsidR="00F20AE3" w:rsidRPr="002B65F7" w:rsidRDefault="00F20AE3" w:rsidP="00F20AE3">
      <w:pPr>
        <w:keepNext/>
        <w:widowControl/>
      </w:pPr>
    </w:p>
    <w:p w14:paraId="4C9CC9B9" w14:textId="77777777" w:rsidR="00F20AE3" w:rsidRPr="002B65F7" w:rsidRDefault="00F20AE3" w:rsidP="00F20AE3">
      <w:pPr>
        <w:widowControl/>
      </w:pPr>
      <w:r w:rsidRPr="002B65F7">
        <w:rPr>
          <w:spacing w:val="-5"/>
        </w:rPr>
        <w:t>EXP</w:t>
      </w:r>
    </w:p>
    <w:p w14:paraId="35F3A981" w14:textId="77777777" w:rsidR="00F20AE3" w:rsidRDefault="00F20AE3" w:rsidP="00F20AE3">
      <w:pPr>
        <w:widowControl/>
      </w:pPr>
    </w:p>
    <w:p w14:paraId="23E702DC" w14:textId="77777777" w:rsidR="008D7316" w:rsidRPr="002B65F7" w:rsidRDefault="008D7316" w:rsidP="00F20AE3">
      <w:pPr>
        <w:widowControl/>
      </w:pPr>
    </w:p>
    <w:p w14:paraId="5FBA97E6" w14:textId="77777777" w:rsidR="00F20AE3" w:rsidRPr="002B65F7" w:rsidRDefault="00F20AE3" w:rsidP="00F20AE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4.</w:t>
      </w:r>
      <w:r w:rsidRPr="002B65F7">
        <w:rPr>
          <w:b/>
          <w:bCs/>
        </w:rPr>
        <w:tab/>
        <w:t>NUMÉRO DU LOT</w:t>
      </w:r>
    </w:p>
    <w:p w14:paraId="14622AD3" w14:textId="77777777" w:rsidR="00F20AE3" w:rsidRPr="002B65F7" w:rsidRDefault="00F20AE3" w:rsidP="00F20AE3">
      <w:pPr>
        <w:keepNext/>
        <w:widowControl/>
      </w:pPr>
    </w:p>
    <w:p w14:paraId="15119315" w14:textId="77777777" w:rsidR="00F20AE3" w:rsidRPr="002B65F7" w:rsidRDefault="00F20AE3" w:rsidP="00F20AE3">
      <w:pPr>
        <w:widowControl/>
      </w:pPr>
      <w:r w:rsidRPr="002B65F7">
        <w:rPr>
          <w:spacing w:val="-5"/>
        </w:rPr>
        <w:t>Lot</w:t>
      </w:r>
    </w:p>
    <w:p w14:paraId="5E444978" w14:textId="77777777" w:rsidR="00F20AE3" w:rsidRPr="002B65F7" w:rsidRDefault="00F20AE3" w:rsidP="00F20AE3">
      <w:pPr>
        <w:widowControl/>
      </w:pPr>
    </w:p>
    <w:p w14:paraId="7CC36D50" w14:textId="77777777" w:rsidR="00F20AE3" w:rsidRPr="002B65F7" w:rsidRDefault="00F20AE3" w:rsidP="00F20AE3">
      <w:pPr>
        <w:widowControl/>
      </w:pPr>
    </w:p>
    <w:p w14:paraId="70458567" w14:textId="77777777" w:rsidR="00F20AE3" w:rsidRPr="002B65F7" w:rsidRDefault="00F20AE3" w:rsidP="00F20AE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5.</w:t>
      </w:r>
      <w:r w:rsidRPr="002B65F7">
        <w:rPr>
          <w:b/>
          <w:bCs/>
        </w:rPr>
        <w:tab/>
        <w:t>CONTENU EN POIDS, VOLUME OU UNITÉ</w:t>
      </w:r>
    </w:p>
    <w:p w14:paraId="361BBDA0" w14:textId="77777777" w:rsidR="00F20AE3" w:rsidRPr="002B65F7" w:rsidRDefault="00F20AE3" w:rsidP="00F20AE3">
      <w:pPr>
        <w:keepNext/>
        <w:widowControl/>
      </w:pPr>
    </w:p>
    <w:p w14:paraId="61466AAE" w14:textId="77777777" w:rsidR="00F20AE3" w:rsidRPr="002B65F7" w:rsidRDefault="00F20AE3" w:rsidP="00F20AE3">
      <w:pPr>
        <w:widowControl/>
        <w:rPr>
          <w:spacing w:val="-5"/>
        </w:rPr>
      </w:pPr>
      <w:r w:rsidRPr="002B65F7">
        <w:t>90</w:t>
      </w:r>
      <w:r w:rsidRPr="002B65F7">
        <w:rPr>
          <w:spacing w:val="-4"/>
        </w:rPr>
        <w:t> </w:t>
      </w:r>
      <w:r w:rsidRPr="002B65F7">
        <w:t>mg/1</w:t>
      </w:r>
      <w:r w:rsidRPr="002B65F7">
        <w:rPr>
          <w:spacing w:val="-1"/>
        </w:rPr>
        <w:t> </w:t>
      </w:r>
      <w:r w:rsidRPr="002B65F7">
        <w:rPr>
          <w:spacing w:val="-5"/>
        </w:rPr>
        <w:t>mL</w:t>
      </w:r>
    </w:p>
    <w:p w14:paraId="657780F5" w14:textId="77777777" w:rsidR="00F20AE3" w:rsidRPr="002B65F7" w:rsidRDefault="00F20AE3" w:rsidP="00F20AE3">
      <w:pPr>
        <w:widowControl/>
      </w:pPr>
    </w:p>
    <w:p w14:paraId="349B187D" w14:textId="77777777" w:rsidR="00F20AE3" w:rsidRPr="002B65F7" w:rsidRDefault="00F20AE3" w:rsidP="00F20AE3">
      <w:pPr>
        <w:widowControl/>
      </w:pPr>
    </w:p>
    <w:p w14:paraId="3D0732F3" w14:textId="77777777" w:rsidR="00F20AE3" w:rsidRPr="002B65F7" w:rsidRDefault="00F20AE3" w:rsidP="00F20AE3">
      <w:pPr>
        <w:keepNext/>
        <w:widowControl/>
        <w:pBdr>
          <w:top w:val="single" w:sz="4" w:space="1" w:color="auto"/>
          <w:left w:val="single" w:sz="4" w:space="4" w:color="auto"/>
          <w:bottom w:val="single" w:sz="4" w:space="1" w:color="auto"/>
          <w:right w:val="single" w:sz="4" w:space="4" w:color="auto"/>
        </w:pBdr>
        <w:tabs>
          <w:tab w:val="left" w:pos="567"/>
        </w:tabs>
        <w:ind w:left="567" w:hanging="567"/>
        <w:rPr>
          <w:b/>
          <w:bCs/>
        </w:rPr>
      </w:pPr>
      <w:r w:rsidRPr="002B65F7">
        <w:rPr>
          <w:b/>
          <w:bCs/>
        </w:rPr>
        <w:t>6.</w:t>
      </w:r>
      <w:r w:rsidRPr="002B65F7">
        <w:rPr>
          <w:b/>
          <w:bCs/>
        </w:rPr>
        <w:tab/>
        <w:t>AUTRE</w:t>
      </w:r>
    </w:p>
    <w:p w14:paraId="583A6F50" w14:textId="77777777" w:rsidR="00F20AE3" w:rsidRDefault="00F20AE3" w:rsidP="00F20AE3">
      <w:pPr>
        <w:pStyle w:val="BodyText"/>
        <w:keepNext/>
        <w:widowControl/>
      </w:pPr>
    </w:p>
    <w:p w14:paraId="70420128" w14:textId="54CD4480" w:rsidR="00166AE2" w:rsidRPr="002B65F7" w:rsidRDefault="00166AE2" w:rsidP="00A22ABA">
      <w:pPr>
        <w:pStyle w:val="BodyText"/>
        <w:widowControl/>
        <w:jc w:val="center"/>
      </w:pPr>
      <w:r w:rsidRPr="002B65F7">
        <w:br w:type="page"/>
      </w:r>
    </w:p>
    <w:p w14:paraId="56A555F5" w14:textId="77777777" w:rsidR="00700225" w:rsidRPr="002B65F7" w:rsidRDefault="00700225" w:rsidP="00496255">
      <w:pPr>
        <w:widowControl/>
        <w:jc w:val="center"/>
      </w:pPr>
    </w:p>
    <w:p w14:paraId="34E8C9FB" w14:textId="77777777" w:rsidR="00092F83" w:rsidRPr="002B65F7" w:rsidRDefault="00092F83" w:rsidP="00496255">
      <w:pPr>
        <w:widowControl/>
        <w:jc w:val="center"/>
      </w:pPr>
    </w:p>
    <w:p w14:paraId="03B58D02" w14:textId="0618C205" w:rsidR="00092F83" w:rsidRPr="002B65F7" w:rsidRDefault="00092F83" w:rsidP="00496255">
      <w:pPr>
        <w:widowControl/>
        <w:jc w:val="center"/>
      </w:pPr>
    </w:p>
    <w:p w14:paraId="03B58D03" w14:textId="72F77F3B" w:rsidR="00092F83" w:rsidRPr="002B65F7" w:rsidRDefault="00092F83" w:rsidP="00496255">
      <w:pPr>
        <w:widowControl/>
        <w:jc w:val="center"/>
      </w:pPr>
    </w:p>
    <w:p w14:paraId="03B58D16" w14:textId="77777777" w:rsidR="00092F83" w:rsidRPr="002B65F7" w:rsidRDefault="00092F83" w:rsidP="00496255">
      <w:pPr>
        <w:widowControl/>
        <w:jc w:val="center"/>
      </w:pPr>
    </w:p>
    <w:p w14:paraId="03B58D17" w14:textId="55262043" w:rsidR="00092F83" w:rsidRPr="002B65F7" w:rsidRDefault="00092F83" w:rsidP="00496255">
      <w:pPr>
        <w:widowControl/>
        <w:jc w:val="center"/>
      </w:pPr>
    </w:p>
    <w:p w14:paraId="03B58D19" w14:textId="77777777" w:rsidR="00092F83" w:rsidRPr="002B65F7" w:rsidRDefault="00092F83" w:rsidP="00496255">
      <w:pPr>
        <w:widowControl/>
        <w:jc w:val="center"/>
      </w:pPr>
    </w:p>
    <w:p w14:paraId="03B58D1A" w14:textId="77777777" w:rsidR="00092F83" w:rsidRPr="002B65F7" w:rsidRDefault="00092F83" w:rsidP="00496255">
      <w:pPr>
        <w:widowControl/>
        <w:jc w:val="center"/>
      </w:pPr>
    </w:p>
    <w:p w14:paraId="03B58D1B" w14:textId="77777777" w:rsidR="00092F83" w:rsidRPr="002B65F7" w:rsidRDefault="00092F83" w:rsidP="00496255">
      <w:pPr>
        <w:widowControl/>
        <w:jc w:val="center"/>
      </w:pPr>
    </w:p>
    <w:p w14:paraId="03B58D1C" w14:textId="77777777" w:rsidR="00092F83" w:rsidRPr="002B65F7" w:rsidRDefault="00092F83" w:rsidP="00496255">
      <w:pPr>
        <w:widowControl/>
        <w:jc w:val="center"/>
      </w:pPr>
    </w:p>
    <w:p w14:paraId="03B58D1D" w14:textId="77777777" w:rsidR="00092F83" w:rsidRPr="002B65F7" w:rsidRDefault="00092F83" w:rsidP="00496255">
      <w:pPr>
        <w:widowControl/>
        <w:jc w:val="center"/>
      </w:pPr>
    </w:p>
    <w:p w14:paraId="03B58D1E" w14:textId="77777777" w:rsidR="00092F83" w:rsidRPr="002B65F7" w:rsidRDefault="00092F83" w:rsidP="00496255">
      <w:pPr>
        <w:widowControl/>
        <w:jc w:val="center"/>
      </w:pPr>
    </w:p>
    <w:p w14:paraId="03B58D1F" w14:textId="77777777" w:rsidR="00092F83" w:rsidRPr="002B65F7" w:rsidRDefault="00092F83" w:rsidP="00496255">
      <w:pPr>
        <w:widowControl/>
        <w:jc w:val="center"/>
      </w:pPr>
    </w:p>
    <w:p w14:paraId="03B58D20" w14:textId="77777777" w:rsidR="00092F83" w:rsidRPr="002B65F7" w:rsidRDefault="00092F83" w:rsidP="00496255">
      <w:pPr>
        <w:widowControl/>
        <w:jc w:val="center"/>
      </w:pPr>
    </w:p>
    <w:p w14:paraId="03B58D21" w14:textId="77777777" w:rsidR="00092F83" w:rsidRPr="002B65F7" w:rsidRDefault="00092F83" w:rsidP="00496255">
      <w:pPr>
        <w:widowControl/>
        <w:jc w:val="center"/>
      </w:pPr>
    </w:p>
    <w:p w14:paraId="03B58D22" w14:textId="77777777" w:rsidR="00092F83" w:rsidRPr="002B65F7" w:rsidRDefault="00092F83" w:rsidP="00496255">
      <w:pPr>
        <w:widowControl/>
        <w:jc w:val="center"/>
      </w:pPr>
    </w:p>
    <w:p w14:paraId="03B58D23" w14:textId="77777777" w:rsidR="00092F83" w:rsidRPr="002B65F7" w:rsidRDefault="00092F83" w:rsidP="00496255">
      <w:pPr>
        <w:widowControl/>
        <w:jc w:val="center"/>
      </w:pPr>
    </w:p>
    <w:p w14:paraId="03B58D24" w14:textId="77777777" w:rsidR="00092F83" w:rsidRPr="002B65F7" w:rsidRDefault="00092F83" w:rsidP="00496255">
      <w:pPr>
        <w:widowControl/>
        <w:jc w:val="center"/>
      </w:pPr>
    </w:p>
    <w:p w14:paraId="03B58D26" w14:textId="77777777" w:rsidR="00092F83" w:rsidRPr="002B65F7" w:rsidRDefault="00092F83" w:rsidP="00496255">
      <w:pPr>
        <w:widowControl/>
        <w:jc w:val="center"/>
      </w:pPr>
    </w:p>
    <w:p w14:paraId="03B58D27" w14:textId="77777777" w:rsidR="00092F83" w:rsidRPr="002B65F7" w:rsidRDefault="00092F83" w:rsidP="00496255">
      <w:pPr>
        <w:widowControl/>
        <w:jc w:val="center"/>
      </w:pPr>
    </w:p>
    <w:p w14:paraId="03B58D28" w14:textId="77777777" w:rsidR="00092F83" w:rsidRPr="002B65F7" w:rsidRDefault="00092F83" w:rsidP="00496255">
      <w:pPr>
        <w:widowControl/>
        <w:jc w:val="center"/>
      </w:pPr>
    </w:p>
    <w:p w14:paraId="4FE6DADA" w14:textId="77777777" w:rsidR="00166AE2" w:rsidRDefault="00166AE2" w:rsidP="00496255">
      <w:pPr>
        <w:widowControl/>
        <w:jc w:val="center"/>
      </w:pPr>
    </w:p>
    <w:p w14:paraId="6C9C471C" w14:textId="77777777" w:rsidR="009463AA" w:rsidRPr="002B65F7" w:rsidRDefault="009463AA" w:rsidP="00496255">
      <w:pPr>
        <w:widowControl/>
        <w:jc w:val="center"/>
      </w:pPr>
    </w:p>
    <w:p w14:paraId="03B58D2C" w14:textId="11D11D0D" w:rsidR="00092F83" w:rsidRPr="002B65F7" w:rsidRDefault="00133DB5" w:rsidP="00496255">
      <w:pPr>
        <w:pStyle w:val="TitleA"/>
        <w:widowControl/>
      </w:pPr>
      <w:bookmarkStart w:id="34" w:name="B._NOTICE"/>
      <w:bookmarkEnd w:id="34"/>
      <w:r w:rsidRPr="002B65F7">
        <w:t xml:space="preserve">B. </w:t>
      </w:r>
      <w:r w:rsidR="00C31740" w:rsidRPr="002B65F7">
        <w:t>NOTICE</w:t>
      </w:r>
    </w:p>
    <w:p w14:paraId="03B58D2E" w14:textId="78602621" w:rsidR="00092F83" w:rsidRPr="002B65F7" w:rsidRDefault="00455AEC" w:rsidP="004B12BC">
      <w:pPr>
        <w:widowControl/>
        <w:jc w:val="center"/>
        <w:rPr>
          <w:b/>
          <w:bCs/>
        </w:rPr>
      </w:pPr>
      <w:r w:rsidRPr="002B65F7">
        <w:br w:type="page"/>
      </w:r>
      <w:r w:rsidR="00C31740" w:rsidRPr="002B65F7">
        <w:rPr>
          <w:b/>
          <w:bCs/>
        </w:rPr>
        <w:lastRenderedPageBreak/>
        <w:t>Notice : Information de l’utilisateur</w:t>
      </w:r>
    </w:p>
    <w:p w14:paraId="03B58D2F" w14:textId="77777777" w:rsidR="00092F83" w:rsidRPr="002B65F7" w:rsidRDefault="00092F83" w:rsidP="00496255">
      <w:pPr>
        <w:widowControl/>
        <w:jc w:val="center"/>
        <w:rPr>
          <w:b/>
          <w:bCs/>
        </w:rPr>
      </w:pPr>
    </w:p>
    <w:p w14:paraId="03B58D30" w14:textId="6948DDED" w:rsidR="00092F83" w:rsidRPr="002B65F7" w:rsidRDefault="008D0956" w:rsidP="00496255">
      <w:pPr>
        <w:widowControl/>
        <w:jc w:val="center"/>
        <w:rPr>
          <w:b/>
          <w:bCs/>
        </w:rPr>
      </w:pPr>
      <w:r w:rsidRPr="002B65F7">
        <w:rPr>
          <w:b/>
          <w:bCs/>
        </w:rPr>
        <w:t>WEZENLA</w:t>
      </w:r>
      <w:r w:rsidR="00C31740" w:rsidRPr="002B65F7">
        <w:rPr>
          <w:b/>
          <w:bCs/>
        </w:rPr>
        <w:t xml:space="preserve"> 130</w:t>
      </w:r>
      <w:r w:rsidR="004B1191" w:rsidRPr="002B65F7">
        <w:rPr>
          <w:b/>
          <w:bCs/>
        </w:rPr>
        <w:t> </w:t>
      </w:r>
      <w:r w:rsidR="00C31740" w:rsidRPr="002B65F7">
        <w:rPr>
          <w:b/>
          <w:bCs/>
        </w:rPr>
        <w:t>mg solution à diluer pour perfusion</w:t>
      </w:r>
    </w:p>
    <w:p w14:paraId="03B58D31" w14:textId="38579D9A" w:rsidR="00092F83" w:rsidRPr="002B65F7" w:rsidRDefault="0071390F" w:rsidP="00496255">
      <w:pPr>
        <w:widowControl/>
        <w:jc w:val="center"/>
      </w:pPr>
      <w:r w:rsidRPr="002B65F7">
        <w:t>ustekinumab</w:t>
      </w:r>
    </w:p>
    <w:p w14:paraId="03B58D32" w14:textId="77777777" w:rsidR="00092F83" w:rsidRPr="002B65F7" w:rsidRDefault="00092F83" w:rsidP="00496255">
      <w:pPr>
        <w:widowControl/>
        <w:rPr>
          <w:b/>
          <w:bCs/>
        </w:rPr>
      </w:pPr>
    </w:p>
    <w:p w14:paraId="6F7BFE13" w14:textId="16B54BA8" w:rsidR="001E6E2B" w:rsidRPr="002B65F7" w:rsidRDefault="00A2167E" w:rsidP="00496255">
      <w:pPr>
        <w:widowControl/>
        <w:rPr>
          <w:b/>
          <w:bCs/>
        </w:rPr>
      </w:pPr>
      <w:r>
        <w:rPr>
          <w:noProof/>
          <w:lang w:val="en-US" w:eastAsia="zh-CN"/>
        </w:rPr>
        <w:drawing>
          <wp:inline distT="0" distB="0" distL="0" distR="0" wp14:anchorId="0CE04E2E" wp14:editId="43D9D460">
            <wp:extent cx="187960" cy="187960"/>
            <wp:effectExtent l="0" t="0" r="0" b="0"/>
            <wp:docPr id="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r w:rsidR="001E6E2B" w:rsidRPr="002B65F7">
        <w:t>Ce médicament fait l’objet d’une surveillance supplémentaire</w:t>
      </w:r>
      <w:r w:rsidR="002D09FD" w:rsidRPr="002B65F7">
        <w:t xml:space="preserve"> qui permettra</w:t>
      </w:r>
      <w:r w:rsidR="001E6E2B" w:rsidRPr="002B65F7">
        <w:t xml:space="preserve"> </w:t>
      </w:r>
      <w:r w:rsidR="002D09FD" w:rsidRPr="002B65F7">
        <w:t>l</w:t>
      </w:r>
      <w:r w:rsidR="001E6E2B" w:rsidRPr="002B65F7">
        <w:t>’identifi</w:t>
      </w:r>
      <w:r w:rsidR="002D09FD" w:rsidRPr="002B65F7">
        <w:t>cation</w:t>
      </w:r>
      <w:r w:rsidR="001E6E2B" w:rsidRPr="002B65F7">
        <w:t xml:space="preserve"> rapide de nouvelles informations </w:t>
      </w:r>
      <w:r w:rsidR="002D09FD" w:rsidRPr="002B65F7">
        <w:t>relatives à</w:t>
      </w:r>
      <w:r w:rsidR="001E6E2B" w:rsidRPr="002B65F7">
        <w:t xml:space="preserve"> la sécurité. Vous pouvez y contribuer en signalant tout effet indésirable que vous observe</w:t>
      </w:r>
      <w:r w:rsidR="00B84E34" w:rsidRPr="002B65F7">
        <w:t>z</w:t>
      </w:r>
      <w:r w:rsidR="001E6E2B" w:rsidRPr="002B65F7">
        <w:t xml:space="preserve">. </w:t>
      </w:r>
      <w:r w:rsidR="00B84E34" w:rsidRPr="002B65F7">
        <w:t>Voir en</w:t>
      </w:r>
      <w:r w:rsidR="001E6E2B" w:rsidRPr="002B65F7">
        <w:t xml:space="preserve"> fin de rubrique</w:t>
      </w:r>
      <w:r w:rsidR="00B84E34" w:rsidRPr="002B65F7">
        <w:t> </w:t>
      </w:r>
      <w:r w:rsidR="001E6E2B" w:rsidRPr="002B65F7">
        <w:t xml:space="preserve">4 comment </w:t>
      </w:r>
      <w:r w:rsidR="00B84E34" w:rsidRPr="002B65F7">
        <w:t>déclarer</w:t>
      </w:r>
      <w:r w:rsidR="001E6E2B" w:rsidRPr="002B65F7">
        <w:t xml:space="preserve"> les effets indésirables.</w:t>
      </w:r>
    </w:p>
    <w:p w14:paraId="1CDE01A6" w14:textId="77777777" w:rsidR="001E6E2B" w:rsidRPr="002B65F7" w:rsidRDefault="001E6E2B" w:rsidP="00496255">
      <w:pPr>
        <w:widowControl/>
        <w:rPr>
          <w:b/>
          <w:bCs/>
        </w:rPr>
      </w:pPr>
    </w:p>
    <w:p w14:paraId="03B58D33" w14:textId="288BF90C" w:rsidR="00092F83" w:rsidRPr="002B65F7" w:rsidRDefault="00C31740" w:rsidP="00496255">
      <w:pPr>
        <w:widowControl/>
        <w:rPr>
          <w:b/>
          <w:bCs/>
        </w:rPr>
      </w:pPr>
      <w:r w:rsidRPr="002B65F7">
        <w:rPr>
          <w:b/>
          <w:bCs/>
        </w:rPr>
        <w:t>Veuillez lire attentivement cette notice avant d’utiliser ce médicament car elle contient des informations importantes pour vous.</w:t>
      </w:r>
    </w:p>
    <w:p w14:paraId="03B58D34" w14:textId="77777777" w:rsidR="00092F83" w:rsidRPr="002B65F7" w:rsidRDefault="00092F83" w:rsidP="00496255">
      <w:pPr>
        <w:widowControl/>
        <w:rPr>
          <w:b/>
          <w:bCs/>
        </w:rPr>
      </w:pPr>
    </w:p>
    <w:p w14:paraId="03B58D35" w14:textId="77777777" w:rsidR="00092F83" w:rsidRPr="002B65F7" w:rsidRDefault="00C31740" w:rsidP="00496255">
      <w:pPr>
        <w:keepNext/>
        <w:widowControl/>
        <w:rPr>
          <w:b/>
          <w:bCs/>
        </w:rPr>
      </w:pPr>
      <w:r w:rsidRPr="002B65F7">
        <w:rPr>
          <w:b/>
          <w:bCs/>
        </w:rPr>
        <w:t>Cette notice a été écrite pour la personne prenant le médicament.</w:t>
      </w:r>
    </w:p>
    <w:p w14:paraId="03B58D36" w14:textId="77777777" w:rsidR="00092F83" w:rsidRPr="002B65F7" w:rsidRDefault="00092F83" w:rsidP="00496255">
      <w:pPr>
        <w:keepNext/>
        <w:widowControl/>
        <w:rPr>
          <w:b/>
          <w:bCs/>
        </w:rPr>
      </w:pPr>
    </w:p>
    <w:p w14:paraId="03B58D37" w14:textId="38E90143" w:rsidR="00092F83" w:rsidRPr="002B65F7" w:rsidRDefault="007A1EC3" w:rsidP="00496255">
      <w:pPr>
        <w:keepNext/>
        <w:widowControl/>
        <w:tabs>
          <w:tab w:val="left" w:pos="567"/>
        </w:tabs>
        <w:ind w:left="567" w:hanging="567"/>
      </w:pPr>
      <w:r w:rsidRPr="002B65F7">
        <w:t>-</w:t>
      </w:r>
      <w:r w:rsidR="00062836" w:rsidRPr="002B65F7">
        <w:tab/>
      </w:r>
      <w:r w:rsidR="00C31740" w:rsidRPr="002B65F7">
        <w:t>Gardez cette notice. Vous pourriez avoir besoin de la relire.</w:t>
      </w:r>
    </w:p>
    <w:p w14:paraId="03B58D38" w14:textId="6AED0CE1" w:rsidR="00092F83" w:rsidRPr="002B65F7" w:rsidRDefault="007A1EC3" w:rsidP="00496255">
      <w:pPr>
        <w:keepNext/>
        <w:widowControl/>
        <w:tabs>
          <w:tab w:val="left" w:pos="567"/>
        </w:tabs>
        <w:ind w:left="567" w:hanging="567"/>
      </w:pPr>
      <w:r w:rsidRPr="002B65F7">
        <w:t>-</w:t>
      </w:r>
      <w:r w:rsidR="00062836" w:rsidRPr="002B65F7">
        <w:tab/>
      </w:r>
      <w:r w:rsidR="00C31740" w:rsidRPr="002B65F7">
        <w:t>Si vous avez d’autres questions, interrogez votre médecin ou votre pharmacien.</w:t>
      </w:r>
    </w:p>
    <w:p w14:paraId="03B58D39" w14:textId="6E37ACF2" w:rsidR="00092F83" w:rsidRPr="002B65F7" w:rsidRDefault="007A1EC3" w:rsidP="00496255">
      <w:pPr>
        <w:widowControl/>
        <w:tabs>
          <w:tab w:val="left" w:pos="567"/>
        </w:tabs>
        <w:ind w:left="567" w:hanging="567"/>
      </w:pPr>
      <w:r w:rsidRPr="002B65F7">
        <w:t>-</w:t>
      </w:r>
      <w:r w:rsidR="00062836" w:rsidRPr="002B65F7">
        <w:tab/>
      </w:r>
      <w:r w:rsidR="00C31740" w:rsidRPr="002B65F7">
        <w:t>Si vous ressentez un quelconque effet indésirable, parlez-en à votre médecin ou votre pharmacien. Ceci s’applique aussi à tout effet indésirable qui ne serait pas mentionné dans cette notice. Voir rubrique</w:t>
      </w:r>
      <w:r w:rsidR="003D789E" w:rsidRPr="002B65F7">
        <w:t> </w:t>
      </w:r>
      <w:r w:rsidR="00C31740" w:rsidRPr="002B65F7">
        <w:t>4.</w:t>
      </w:r>
    </w:p>
    <w:p w14:paraId="03B58D3A" w14:textId="77777777" w:rsidR="00092F83" w:rsidRPr="002B65F7" w:rsidRDefault="00092F83" w:rsidP="00496255">
      <w:pPr>
        <w:widowControl/>
      </w:pPr>
    </w:p>
    <w:p w14:paraId="03B58D3B" w14:textId="77777777" w:rsidR="00092F83" w:rsidRPr="002B65F7" w:rsidRDefault="00C31740" w:rsidP="00496255">
      <w:pPr>
        <w:keepNext/>
        <w:widowControl/>
        <w:rPr>
          <w:b/>
          <w:bCs/>
        </w:rPr>
      </w:pPr>
      <w:r w:rsidRPr="002B65F7">
        <w:rPr>
          <w:b/>
          <w:bCs/>
        </w:rPr>
        <w:t>Que contient cette notice ?:</w:t>
      </w:r>
    </w:p>
    <w:p w14:paraId="32E098A7" w14:textId="77777777" w:rsidR="003D3B89" w:rsidRPr="002B65F7" w:rsidRDefault="003D3B89" w:rsidP="00496255">
      <w:pPr>
        <w:keepNext/>
        <w:widowControl/>
      </w:pPr>
    </w:p>
    <w:p w14:paraId="03B58D3C" w14:textId="12FF87BB" w:rsidR="00092F83" w:rsidRPr="002B65F7" w:rsidRDefault="003D3B89" w:rsidP="00496255">
      <w:pPr>
        <w:widowControl/>
        <w:tabs>
          <w:tab w:val="left" w:pos="567"/>
        </w:tabs>
        <w:ind w:left="567" w:hanging="567"/>
      </w:pPr>
      <w:r w:rsidRPr="002B65F7">
        <w:t>1.</w:t>
      </w:r>
      <w:r w:rsidRPr="002B65F7">
        <w:tab/>
      </w:r>
      <w:r w:rsidR="00C31740" w:rsidRPr="002B65F7">
        <w:t xml:space="preserve">Qu’est-ce que </w:t>
      </w:r>
      <w:r w:rsidR="001E6E2B" w:rsidRPr="002B65F7">
        <w:t>WEZENLA</w:t>
      </w:r>
      <w:r w:rsidR="00C31740" w:rsidRPr="002B65F7">
        <w:t xml:space="preserve"> et dans quel cas est-il utilisé</w:t>
      </w:r>
    </w:p>
    <w:p w14:paraId="03B58D3D" w14:textId="4F8717DC" w:rsidR="00092F83" w:rsidRPr="002B65F7" w:rsidRDefault="003D3B89" w:rsidP="00496255">
      <w:pPr>
        <w:widowControl/>
        <w:tabs>
          <w:tab w:val="left" w:pos="567"/>
        </w:tabs>
        <w:ind w:left="567" w:hanging="567"/>
      </w:pPr>
      <w:r w:rsidRPr="002B65F7">
        <w:t>2.</w:t>
      </w:r>
      <w:r w:rsidRPr="002B65F7">
        <w:tab/>
      </w:r>
      <w:r w:rsidR="00C31740" w:rsidRPr="002B65F7">
        <w:t xml:space="preserve">Quelles sont les informations à connaître avant d’utiliser </w:t>
      </w:r>
      <w:r w:rsidR="001E6E2B" w:rsidRPr="002B65F7">
        <w:t>WEZENLA</w:t>
      </w:r>
    </w:p>
    <w:p w14:paraId="03B58D3E" w14:textId="1C431923" w:rsidR="00092F83" w:rsidRPr="002B65F7" w:rsidRDefault="003D3B89" w:rsidP="00496255">
      <w:pPr>
        <w:widowControl/>
        <w:tabs>
          <w:tab w:val="left" w:pos="567"/>
        </w:tabs>
        <w:ind w:left="567" w:hanging="567"/>
      </w:pPr>
      <w:r w:rsidRPr="002B65F7">
        <w:t>3.</w:t>
      </w:r>
      <w:r w:rsidRPr="002B65F7">
        <w:tab/>
      </w:r>
      <w:r w:rsidR="00C31740" w:rsidRPr="002B65F7">
        <w:t xml:space="preserve">Comment sera administré </w:t>
      </w:r>
      <w:r w:rsidR="001E6E2B" w:rsidRPr="002B65F7">
        <w:t>WEZENLA</w:t>
      </w:r>
      <w:r w:rsidR="00C31740" w:rsidRPr="002B65F7">
        <w:t xml:space="preserve"> ?</w:t>
      </w:r>
    </w:p>
    <w:p w14:paraId="03B58D3F" w14:textId="2E6D9765" w:rsidR="00092F83" w:rsidRPr="002B65F7" w:rsidRDefault="003D3B89" w:rsidP="00496255">
      <w:pPr>
        <w:widowControl/>
        <w:tabs>
          <w:tab w:val="left" w:pos="567"/>
        </w:tabs>
        <w:ind w:left="567" w:hanging="567"/>
      </w:pPr>
      <w:r w:rsidRPr="002B65F7">
        <w:t>4.</w:t>
      </w:r>
      <w:r w:rsidRPr="002B65F7">
        <w:tab/>
      </w:r>
      <w:r w:rsidR="00C31740" w:rsidRPr="002B65F7">
        <w:t>Quels sont les effets indésirables éventuels</w:t>
      </w:r>
    </w:p>
    <w:p w14:paraId="03B58D40" w14:textId="7E495635" w:rsidR="00092F83" w:rsidRPr="002B65F7" w:rsidRDefault="003D3B89" w:rsidP="00496255">
      <w:pPr>
        <w:widowControl/>
        <w:tabs>
          <w:tab w:val="left" w:pos="567"/>
        </w:tabs>
        <w:ind w:left="567" w:hanging="567"/>
      </w:pPr>
      <w:r w:rsidRPr="002B65F7">
        <w:t>5.</w:t>
      </w:r>
      <w:r w:rsidRPr="002B65F7">
        <w:tab/>
      </w:r>
      <w:r w:rsidR="00C31740" w:rsidRPr="002B65F7">
        <w:t xml:space="preserve">Comment conserver </w:t>
      </w:r>
      <w:r w:rsidR="001E6E2B" w:rsidRPr="002B65F7">
        <w:t>WEZENLA</w:t>
      </w:r>
    </w:p>
    <w:p w14:paraId="03B58D41" w14:textId="62BA1EC9" w:rsidR="00092F83" w:rsidRPr="002B65F7" w:rsidRDefault="003D3B89" w:rsidP="00496255">
      <w:pPr>
        <w:widowControl/>
        <w:tabs>
          <w:tab w:val="left" w:pos="567"/>
        </w:tabs>
        <w:ind w:left="567" w:hanging="567"/>
      </w:pPr>
      <w:r w:rsidRPr="002B65F7">
        <w:t>6.</w:t>
      </w:r>
      <w:r w:rsidRPr="002B65F7">
        <w:tab/>
      </w:r>
      <w:r w:rsidR="00C31740" w:rsidRPr="002B65F7">
        <w:t>Contenu de l’emballage et autres informations</w:t>
      </w:r>
    </w:p>
    <w:p w14:paraId="03B58D42" w14:textId="77777777" w:rsidR="00092F83" w:rsidRPr="002B65F7" w:rsidRDefault="00092F83" w:rsidP="00496255">
      <w:pPr>
        <w:widowControl/>
      </w:pPr>
    </w:p>
    <w:p w14:paraId="03B58D43" w14:textId="77777777" w:rsidR="00092F83" w:rsidRPr="002B65F7" w:rsidRDefault="00092F83" w:rsidP="00496255">
      <w:pPr>
        <w:widowControl/>
      </w:pPr>
    </w:p>
    <w:p w14:paraId="03B58D44" w14:textId="02B7F715" w:rsidR="00092F83" w:rsidRPr="002B65F7" w:rsidRDefault="00056762" w:rsidP="002B0379">
      <w:pPr>
        <w:keepNext/>
        <w:widowControl/>
        <w:tabs>
          <w:tab w:val="left" w:pos="567"/>
        </w:tabs>
        <w:ind w:left="567" w:hanging="567"/>
        <w:rPr>
          <w:b/>
          <w:bCs/>
        </w:rPr>
      </w:pPr>
      <w:r w:rsidRPr="002B65F7">
        <w:rPr>
          <w:b/>
          <w:bCs/>
        </w:rPr>
        <w:t>1.</w:t>
      </w:r>
      <w:r w:rsidRPr="002B65F7">
        <w:rPr>
          <w:b/>
          <w:bCs/>
        </w:rPr>
        <w:tab/>
      </w:r>
      <w:r w:rsidR="00C31740" w:rsidRPr="002B65F7">
        <w:rPr>
          <w:b/>
          <w:bCs/>
        </w:rPr>
        <w:t xml:space="preserve">Qu’est-ce que </w:t>
      </w:r>
      <w:r w:rsidR="001E6E2B" w:rsidRPr="002B65F7">
        <w:rPr>
          <w:b/>
          <w:bCs/>
        </w:rPr>
        <w:t>WEZENLA</w:t>
      </w:r>
      <w:r w:rsidR="00C31740" w:rsidRPr="002B65F7">
        <w:rPr>
          <w:b/>
          <w:bCs/>
        </w:rPr>
        <w:t xml:space="preserve"> et dans quel cas est-il utilisé ?</w:t>
      </w:r>
    </w:p>
    <w:p w14:paraId="03B58D45" w14:textId="77777777" w:rsidR="00092F83" w:rsidRPr="002B65F7" w:rsidRDefault="00092F83" w:rsidP="00496255">
      <w:pPr>
        <w:keepNext/>
        <w:widowControl/>
      </w:pPr>
    </w:p>
    <w:p w14:paraId="03B58D46" w14:textId="08C02B5F" w:rsidR="00092F83" w:rsidRPr="002B65F7" w:rsidRDefault="00C31740" w:rsidP="00496255">
      <w:pPr>
        <w:keepNext/>
        <w:widowControl/>
        <w:rPr>
          <w:b/>
          <w:bCs/>
        </w:rPr>
      </w:pPr>
      <w:r w:rsidRPr="002B65F7">
        <w:rPr>
          <w:b/>
          <w:bCs/>
        </w:rPr>
        <w:t xml:space="preserve">Qu’est-ce que </w:t>
      </w:r>
      <w:r w:rsidR="001E6E2B" w:rsidRPr="002B65F7">
        <w:rPr>
          <w:b/>
          <w:bCs/>
        </w:rPr>
        <w:t>WEZENLA</w:t>
      </w:r>
    </w:p>
    <w:p w14:paraId="03B58D47" w14:textId="4A02B95B" w:rsidR="00092F83" w:rsidRPr="002B65F7" w:rsidRDefault="001E6E2B" w:rsidP="00496255">
      <w:pPr>
        <w:widowControl/>
      </w:pPr>
      <w:r w:rsidRPr="002B65F7">
        <w:t>WEZENLA</w:t>
      </w:r>
      <w:r w:rsidR="00C31740" w:rsidRPr="002B65F7">
        <w:t xml:space="preserve"> contient une substance active qui s’appelle </w:t>
      </w:r>
      <w:r w:rsidR="0071390F" w:rsidRPr="002B65F7">
        <w:t>ustekinumab</w:t>
      </w:r>
      <w:r w:rsidR="00C31740" w:rsidRPr="002B65F7">
        <w:t>, un anticorps monoclonal. Les anticorps monoclonaux sont des protéines qui reconnaissent et se lient spécifiquement à certaines protéines dans le corps.</w:t>
      </w:r>
    </w:p>
    <w:p w14:paraId="03B58D48" w14:textId="77777777" w:rsidR="00092F83" w:rsidRPr="002B65F7" w:rsidRDefault="00092F83" w:rsidP="00496255">
      <w:pPr>
        <w:widowControl/>
      </w:pPr>
    </w:p>
    <w:p w14:paraId="03B58D49" w14:textId="27DB0F94" w:rsidR="00092F83" w:rsidRPr="002B65F7" w:rsidRDefault="001E6E2B" w:rsidP="00496255">
      <w:pPr>
        <w:widowControl/>
      </w:pPr>
      <w:r w:rsidRPr="002B65F7">
        <w:t>WEZENLA</w:t>
      </w:r>
      <w:r w:rsidR="00C31740" w:rsidRPr="002B65F7">
        <w:t xml:space="preserve"> appartient à un groupe de médicaments appelés « immunosuppresseurs ». Ces médicaments agissent en affaiblissant partiellement le système immunitaire.</w:t>
      </w:r>
    </w:p>
    <w:p w14:paraId="03B58D4A" w14:textId="77777777" w:rsidR="00092F83" w:rsidRPr="002B65F7" w:rsidRDefault="00092F83" w:rsidP="00496255">
      <w:pPr>
        <w:widowControl/>
      </w:pPr>
    </w:p>
    <w:p w14:paraId="03B58D4B" w14:textId="5CFFA040" w:rsidR="00092F83" w:rsidRPr="002B65F7" w:rsidRDefault="00C31740" w:rsidP="00496255">
      <w:pPr>
        <w:keepNext/>
        <w:widowControl/>
        <w:rPr>
          <w:b/>
          <w:bCs/>
        </w:rPr>
      </w:pPr>
      <w:r w:rsidRPr="002B65F7">
        <w:rPr>
          <w:b/>
          <w:bCs/>
        </w:rPr>
        <w:t xml:space="preserve">Dans quel cas </w:t>
      </w:r>
      <w:r w:rsidR="001E6E2B" w:rsidRPr="002B65F7">
        <w:rPr>
          <w:b/>
          <w:bCs/>
        </w:rPr>
        <w:t>WEZENLA</w:t>
      </w:r>
      <w:r w:rsidRPr="002B65F7">
        <w:rPr>
          <w:b/>
          <w:bCs/>
        </w:rPr>
        <w:t xml:space="preserve"> est-il utilisé</w:t>
      </w:r>
    </w:p>
    <w:p w14:paraId="68EC72A5" w14:textId="2C578D46" w:rsidR="00121E94" w:rsidRDefault="001E6E2B" w:rsidP="00496255">
      <w:pPr>
        <w:widowControl/>
      </w:pPr>
      <w:r w:rsidRPr="002B65F7">
        <w:t>WEZENLA</w:t>
      </w:r>
      <w:r w:rsidR="00C31740" w:rsidRPr="002B65F7">
        <w:t xml:space="preserve"> est utilisé dans le traitement </w:t>
      </w:r>
      <w:r w:rsidRPr="002B65F7">
        <w:t>de la m</w:t>
      </w:r>
      <w:r w:rsidR="00C31740" w:rsidRPr="002B65F7">
        <w:t>aladie de Crohn modérée à sévère chez l</w:t>
      </w:r>
      <w:r w:rsidR="002B7BE0">
        <w:t xml:space="preserve">es </w:t>
      </w:r>
      <w:r w:rsidR="00C31740" w:rsidRPr="002B65F7">
        <w:t>adulte</w:t>
      </w:r>
      <w:r w:rsidR="002B7BE0">
        <w:rPr>
          <w:bCs/>
          <w:iCs/>
          <w:noProof/>
          <w:lang w:val="fr-BE" w:eastAsia="nl-BE"/>
        </w:rPr>
        <w:t xml:space="preserve">s </w:t>
      </w:r>
      <w:r w:rsidR="002B7BE0">
        <w:rPr>
          <w:noProof/>
          <w:lang w:eastAsia="nl-BE"/>
        </w:rPr>
        <w:t>et les enfants pesant au moins 40 kg</w:t>
      </w:r>
      <w:r w:rsidRPr="002B65F7">
        <w:t>.</w:t>
      </w:r>
    </w:p>
    <w:p w14:paraId="47813F3F" w14:textId="77777777" w:rsidR="004606CD" w:rsidRPr="002B65F7" w:rsidRDefault="004606CD" w:rsidP="00496255">
      <w:pPr>
        <w:widowControl/>
        <w:rPr>
          <w:b/>
          <w:bCs/>
        </w:rPr>
      </w:pPr>
    </w:p>
    <w:p w14:paraId="03B58D50" w14:textId="694B4A27" w:rsidR="00092F83" w:rsidRPr="002B65F7" w:rsidRDefault="00C31740" w:rsidP="00496255">
      <w:pPr>
        <w:widowControl/>
      </w:pPr>
      <w:r w:rsidRPr="002B65F7">
        <w:t xml:space="preserve">La maladie de Crohn est une maladie inflammatoire des intestins. Si vous êtes atteint de la maladie de Crohn, vous recevrez d’abord d’autres médicaments. Si vous ne répondez pas suffisamment bien à ces médicaments ou que vous y êtes intolérants, </w:t>
      </w:r>
      <w:r w:rsidR="001E6E2B" w:rsidRPr="002B65F7">
        <w:t>WEZENLA</w:t>
      </w:r>
      <w:r w:rsidRPr="002B65F7">
        <w:t xml:space="preserve"> pourra vous être administré afin de réduire les signes et les symptômes de votre maladie.</w:t>
      </w:r>
    </w:p>
    <w:p w14:paraId="03B58D51" w14:textId="77777777" w:rsidR="00092F83" w:rsidRPr="002B65F7" w:rsidRDefault="00092F83" w:rsidP="00496255">
      <w:pPr>
        <w:widowControl/>
      </w:pPr>
    </w:p>
    <w:p w14:paraId="3E6953CF" w14:textId="77777777" w:rsidR="00E12228" w:rsidRPr="002B65F7" w:rsidRDefault="00E12228" w:rsidP="00496255">
      <w:pPr>
        <w:widowControl/>
      </w:pPr>
    </w:p>
    <w:p w14:paraId="03B58D55" w14:textId="4BC43E31" w:rsidR="00092F83" w:rsidRPr="002B65F7" w:rsidRDefault="00E12228" w:rsidP="002B0379">
      <w:pPr>
        <w:keepNext/>
        <w:widowControl/>
        <w:ind w:left="567" w:hanging="567"/>
        <w:rPr>
          <w:b/>
          <w:bCs/>
        </w:rPr>
      </w:pPr>
      <w:r w:rsidRPr="002B65F7">
        <w:rPr>
          <w:b/>
          <w:bCs/>
        </w:rPr>
        <w:t>2.</w:t>
      </w:r>
      <w:r w:rsidRPr="002B65F7">
        <w:rPr>
          <w:b/>
          <w:bCs/>
        </w:rPr>
        <w:tab/>
      </w:r>
      <w:r w:rsidR="00C31740" w:rsidRPr="002B65F7">
        <w:rPr>
          <w:b/>
          <w:bCs/>
        </w:rPr>
        <w:t xml:space="preserve">Quelles sont les informations à connaître avant d’utiliser </w:t>
      </w:r>
      <w:r w:rsidR="001E6E2B" w:rsidRPr="002B65F7">
        <w:rPr>
          <w:b/>
          <w:bCs/>
        </w:rPr>
        <w:t>WEZENLA</w:t>
      </w:r>
      <w:r w:rsidR="00C31740" w:rsidRPr="002B65F7">
        <w:rPr>
          <w:b/>
          <w:bCs/>
        </w:rPr>
        <w:t xml:space="preserve"> ?</w:t>
      </w:r>
    </w:p>
    <w:p w14:paraId="03B58D56" w14:textId="77777777" w:rsidR="00092F83" w:rsidRPr="002B65F7" w:rsidRDefault="00092F83" w:rsidP="00496255">
      <w:pPr>
        <w:keepNext/>
        <w:widowControl/>
      </w:pPr>
    </w:p>
    <w:p w14:paraId="03B58D57" w14:textId="102BF0CF" w:rsidR="00092F83" w:rsidRPr="002B65F7" w:rsidRDefault="00C31740" w:rsidP="00496255">
      <w:pPr>
        <w:keepNext/>
        <w:widowControl/>
        <w:rPr>
          <w:b/>
          <w:bCs/>
        </w:rPr>
      </w:pPr>
      <w:r w:rsidRPr="002B65F7">
        <w:rPr>
          <w:b/>
          <w:bCs/>
        </w:rPr>
        <w:t xml:space="preserve">N’utilisez jamais </w:t>
      </w:r>
      <w:r w:rsidR="001E6E2B" w:rsidRPr="002B65F7">
        <w:rPr>
          <w:b/>
          <w:bCs/>
        </w:rPr>
        <w:t>WEZENLA</w:t>
      </w:r>
    </w:p>
    <w:p w14:paraId="03B58D58" w14:textId="5F4CC9C4" w:rsidR="00092F83" w:rsidRPr="002B65F7" w:rsidRDefault="00C31740" w:rsidP="007A7B22">
      <w:pPr>
        <w:pStyle w:val="ListParagraph"/>
        <w:keepNext/>
        <w:widowControl/>
        <w:numPr>
          <w:ilvl w:val="0"/>
          <w:numId w:val="17"/>
        </w:numPr>
        <w:tabs>
          <w:tab w:val="left" w:pos="567"/>
        </w:tabs>
        <w:ind w:left="567" w:hanging="567"/>
      </w:pPr>
      <w:r w:rsidRPr="002B65F7">
        <w:t>Si vous êtes allergique à l’</w:t>
      </w:r>
      <w:r w:rsidR="0071390F" w:rsidRPr="002B65F7">
        <w:t>ustekinumab</w:t>
      </w:r>
      <w:r w:rsidRPr="002B65F7">
        <w:t xml:space="preserve"> ou à l’un des autres composants contenus dans ce médicament (mentionnés dans la rubrique</w:t>
      </w:r>
      <w:r w:rsidR="001824C2" w:rsidRPr="002B65F7">
        <w:t> </w:t>
      </w:r>
      <w:r w:rsidRPr="002B65F7">
        <w:t>6).</w:t>
      </w:r>
    </w:p>
    <w:p w14:paraId="03B58D59" w14:textId="46DAB6B5" w:rsidR="00092F83" w:rsidRPr="002B65F7" w:rsidRDefault="00C31740" w:rsidP="007A7B22">
      <w:pPr>
        <w:pStyle w:val="ListParagraph"/>
        <w:widowControl/>
        <w:numPr>
          <w:ilvl w:val="0"/>
          <w:numId w:val="17"/>
        </w:numPr>
        <w:tabs>
          <w:tab w:val="left" w:pos="567"/>
        </w:tabs>
        <w:ind w:left="567" w:hanging="567"/>
      </w:pPr>
      <w:r w:rsidRPr="002B65F7">
        <w:t>Si vous avez une infection évolutive que votre médecin considère importante.</w:t>
      </w:r>
    </w:p>
    <w:p w14:paraId="3EB611FF" w14:textId="77777777" w:rsidR="009D05CB" w:rsidRPr="002B65F7" w:rsidRDefault="009D05CB" w:rsidP="00496255">
      <w:pPr>
        <w:widowControl/>
      </w:pPr>
    </w:p>
    <w:p w14:paraId="03B58D5A" w14:textId="5813885B" w:rsidR="00092F83" w:rsidRPr="002B65F7" w:rsidRDefault="00C31740" w:rsidP="00496255">
      <w:pPr>
        <w:widowControl/>
      </w:pPr>
      <w:r w:rsidRPr="002B65F7">
        <w:lastRenderedPageBreak/>
        <w:t>Si</w:t>
      </w:r>
      <w:r w:rsidRPr="002B65F7">
        <w:rPr>
          <w:spacing w:val="-3"/>
        </w:rPr>
        <w:t xml:space="preserve"> </w:t>
      </w:r>
      <w:r w:rsidRPr="002B65F7">
        <w:t>vous</w:t>
      </w:r>
      <w:r w:rsidRPr="002B65F7">
        <w:rPr>
          <w:spacing w:val="-3"/>
        </w:rPr>
        <w:t xml:space="preserve"> </w:t>
      </w:r>
      <w:r w:rsidRPr="002B65F7">
        <w:t>n’êtes</w:t>
      </w:r>
      <w:r w:rsidRPr="002B65F7">
        <w:rPr>
          <w:spacing w:val="-3"/>
        </w:rPr>
        <w:t xml:space="preserve"> </w:t>
      </w:r>
      <w:r w:rsidRPr="002B65F7">
        <w:t>pas</w:t>
      </w:r>
      <w:r w:rsidRPr="002B65F7">
        <w:rPr>
          <w:spacing w:val="-3"/>
        </w:rPr>
        <w:t xml:space="preserve"> </w:t>
      </w:r>
      <w:r w:rsidRPr="002B65F7">
        <w:t>sûr</w:t>
      </w:r>
      <w:r w:rsidRPr="002B65F7">
        <w:rPr>
          <w:spacing w:val="-3"/>
        </w:rPr>
        <w:t xml:space="preserve"> </w:t>
      </w:r>
      <w:r w:rsidRPr="002B65F7">
        <w:t>que</w:t>
      </w:r>
      <w:r w:rsidRPr="002B65F7">
        <w:rPr>
          <w:spacing w:val="-3"/>
        </w:rPr>
        <w:t xml:space="preserve"> </w:t>
      </w:r>
      <w:r w:rsidRPr="002B65F7">
        <w:t>l’une</w:t>
      </w:r>
      <w:r w:rsidRPr="002B65F7">
        <w:rPr>
          <w:spacing w:val="-3"/>
        </w:rPr>
        <w:t xml:space="preserve"> </w:t>
      </w:r>
      <w:r w:rsidRPr="002B65F7">
        <w:t>des</w:t>
      </w:r>
      <w:r w:rsidRPr="002B65F7">
        <w:rPr>
          <w:spacing w:val="-3"/>
        </w:rPr>
        <w:t xml:space="preserve"> </w:t>
      </w:r>
      <w:r w:rsidRPr="002B65F7">
        <w:t>situations</w:t>
      </w:r>
      <w:r w:rsidRPr="002B65F7">
        <w:rPr>
          <w:spacing w:val="-3"/>
        </w:rPr>
        <w:t xml:space="preserve"> </w:t>
      </w:r>
      <w:r w:rsidRPr="002B65F7">
        <w:t>ci-dessus</w:t>
      </w:r>
      <w:r w:rsidRPr="002B65F7">
        <w:rPr>
          <w:spacing w:val="-3"/>
        </w:rPr>
        <w:t xml:space="preserve"> </w:t>
      </w:r>
      <w:r w:rsidRPr="002B65F7">
        <w:t>s’applique</w:t>
      </w:r>
      <w:r w:rsidRPr="002B65F7">
        <w:rPr>
          <w:spacing w:val="-3"/>
        </w:rPr>
        <w:t xml:space="preserve"> </w:t>
      </w:r>
      <w:r w:rsidRPr="002B65F7">
        <w:t>à</w:t>
      </w:r>
      <w:r w:rsidRPr="002B65F7">
        <w:rPr>
          <w:spacing w:val="-3"/>
        </w:rPr>
        <w:t xml:space="preserve"> </w:t>
      </w:r>
      <w:r w:rsidRPr="002B65F7">
        <w:t>vous,</w:t>
      </w:r>
      <w:r w:rsidRPr="002B65F7">
        <w:rPr>
          <w:spacing w:val="-3"/>
        </w:rPr>
        <w:t xml:space="preserve"> </w:t>
      </w:r>
      <w:r w:rsidRPr="002B65F7">
        <w:t>parlez-en</w:t>
      </w:r>
      <w:r w:rsidRPr="002B65F7">
        <w:rPr>
          <w:spacing w:val="-2"/>
        </w:rPr>
        <w:t xml:space="preserve"> </w:t>
      </w:r>
      <w:r w:rsidRPr="002B65F7">
        <w:t>avec</w:t>
      </w:r>
      <w:r w:rsidRPr="002B65F7">
        <w:rPr>
          <w:spacing w:val="-2"/>
        </w:rPr>
        <w:t xml:space="preserve"> </w:t>
      </w:r>
      <w:r w:rsidRPr="002B65F7">
        <w:t xml:space="preserve">votre médecin ou pharmacien avant d’utiliser </w:t>
      </w:r>
      <w:r w:rsidR="001E6E2B" w:rsidRPr="002B65F7">
        <w:t>WEZENLA</w:t>
      </w:r>
      <w:r w:rsidRPr="002B65F7">
        <w:t>.</w:t>
      </w:r>
    </w:p>
    <w:p w14:paraId="4BB574BA" w14:textId="77777777" w:rsidR="009D05CB" w:rsidRPr="002B65F7" w:rsidRDefault="009D05CB" w:rsidP="00496255">
      <w:pPr>
        <w:widowControl/>
      </w:pPr>
    </w:p>
    <w:p w14:paraId="03B58D5B" w14:textId="77777777" w:rsidR="00092F83" w:rsidRPr="002B65F7" w:rsidRDefault="00C31740" w:rsidP="00496255">
      <w:pPr>
        <w:keepNext/>
        <w:widowControl/>
        <w:rPr>
          <w:b/>
          <w:bCs/>
        </w:rPr>
      </w:pPr>
      <w:r w:rsidRPr="002B65F7">
        <w:rPr>
          <w:b/>
          <w:bCs/>
        </w:rPr>
        <w:t>Avertissements et précautions</w:t>
      </w:r>
    </w:p>
    <w:p w14:paraId="03B58D5C" w14:textId="1FF2AD16" w:rsidR="00092F83" w:rsidRPr="002B65F7" w:rsidRDefault="00C31740" w:rsidP="00496255">
      <w:pPr>
        <w:widowControl/>
      </w:pPr>
      <w:r w:rsidRPr="002B65F7">
        <w:t xml:space="preserve">Adressez-vous à votre médecin ou pharmacien avant d’utiliser </w:t>
      </w:r>
      <w:r w:rsidR="001E6E2B" w:rsidRPr="002B65F7">
        <w:t>WEZENLA</w:t>
      </w:r>
      <w:r w:rsidRPr="002B65F7">
        <w:t xml:space="preserve">. Votre médecin va vérifier votre état de santé avant traitement. Assurez-vous d’informer votre médecin de toutes les maladies dont vous souffrez avant traitement. Informez également votre médecin si vous avez été récemment à proximité de quelqu’un qui pourrait avoir la tuberculose. Votre médecin vous examinera et fera un test pour la tuberculose avant que vous ne preniez </w:t>
      </w:r>
      <w:r w:rsidR="001E6E2B" w:rsidRPr="002B65F7">
        <w:t>WEZENLA</w:t>
      </w:r>
      <w:r w:rsidRPr="002B65F7">
        <w:t>. Si votre médecin pense que vous êtes à risque pour la tuberculose, vous pourrez recevoir des médicaments pour la traiter.</w:t>
      </w:r>
    </w:p>
    <w:p w14:paraId="03B58D5D" w14:textId="77777777" w:rsidR="00092F83" w:rsidRPr="002B65F7" w:rsidRDefault="00092F83" w:rsidP="00496255">
      <w:pPr>
        <w:widowControl/>
      </w:pPr>
    </w:p>
    <w:p w14:paraId="03B58D5E" w14:textId="77777777" w:rsidR="00092F83" w:rsidRPr="002B65F7" w:rsidRDefault="00C31740" w:rsidP="00496255">
      <w:pPr>
        <w:keepNext/>
        <w:widowControl/>
        <w:rPr>
          <w:b/>
          <w:bCs/>
        </w:rPr>
      </w:pPr>
      <w:r w:rsidRPr="002B65F7">
        <w:rPr>
          <w:b/>
          <w:bCs/>
        </w:rPr>
        <w:t>Faites attention aux effets indésirables graves :</w:t>
      </w:r>
    </w:p>
    <w:p w14:paraId="03B58D5F" w14:textId="0C7D87CF" w:rsidR="00092F83" w:rsidRPr="002B65F7" w:rsidRDefault="001E6E2B" w:rsidP="00496255">
      <w:pPr>
        <w:widowControl/>
      </w:pPr>
      <w:r w:rsidRPr="002B65F7">
        <w:t>WEZENLA</w:t>
      </w:r>
      <w:r w:rsidR="00C31740" w:rsidRPr="002B65F7">
        <w:t xml:space="preserve"> peut provoquer des effets indésirables graves, incluant des réactions allergiques et des infections. Vous devez faire attention à certains signes de maladie pendant que vous prenez </w:t>
      </w:r>
      <w:r w:rsidRPr="002B65F7">
        <w:t>WEZENLA</w:t>
      </w:r>
      <w:r w:rsidR="00C31740" w:rsidRPr="002B65F7">
        <w:t>. Consultez le paragraphe « Effets indésirables graves » dans la rubrique 4 pour une liste complète de ces effets indésirables.</w:t>
      </w:r>
    </w:p>
    <w:p w14:paraId="2B86127B" w14:textId="77777777" w:rsidR="009D05CB" w:rsidRPr="002B65F7" w:rsidRDefault="009D05CB" w:rsidP="00496255">
      <w:pPr>
        <w:widowControl/>
      </w:pPr>
    </w:p>
    <w:p w14:paraId="03B58D60" w14:textId="2D50217A" w:rsidR="00092F83" w:rsidRPr="002B65F7" w:rsidRDefault="00C31740" w:rsidP="00496255">
      <w:pPr>
        <w:keepNext/>
        <w:widowControl/>
        <w:rPr>
          <w:b/>
          <w:bCs/>
        </w:rPr>
      </w:pPr>
      <w:r w:rsidRPr="002B65F7">
        <w:rPr>
          <w:b/>
          <w:bCs/>
        </w:rPr>
        <w:t xml:space="preserve">Avant d’utiliser </w:t>
      </w:r>
      <w:r w:rsidR="001E6E2B" w:rsidRPr="002B65F7">
        <w:rPr>
          <w:b/>
          <w:bCs/>
        </w:rPr>
        <w:t>WEZENLA</w:t>
      </w:r>
      <w:r w:rsidRPr="002B65F7">
        <w:rPr>
          <w:b/>
          <w:bCs/>
        </w:rPr>
        <w:t>, informez votre médecin :</w:t>
      </w:r>
    </w:p>
    <w:p w14:paraId="03B58D61" w14:textId="6BE6C568" w:rsidR="00092F83" w:rsidRPr="002B65F7" w:rsidRDefault="00C31740" w:rsidP="007A7B22">
      <w:pPr>
        <w:pStyle w:val="ListParagraph"/>
        <w:widowControl/>
        <w:numPr>
          <w:ilvl w:val="0"/>
          <w:numId w:val="18"/>
        </w:numPr>
        <w:tabs>
          <w:tab w:val="left" w:pos="567"/>
        </w:tabs>
        <w:ind w:left="567" w:hanging="567"/>
      </w:pPr>
      <w:r w:rsidRPr="002B65F7">
        <w:rPr>
          <w:b/>
          <w:bCs/>
        </w:rPr>
        <w:t xml:space="preserve">Si vous avez déjà eu une réaction allergique à </w:t>
      </w:r>
      <w:r w:rsidR="001E6E2B" w:rsidRPr="002B65F7">
        <w:rPr>
          <w:b/>
          <w:bCs/>
        </w:rPr>
        <w:t>WEZENLA</w:t>
      </w:r>
      <w:r w:rsidRPr="002B65F7">
        <w:rPr>
          <w:b/>
          <w:bCs/>
        </w:rPr>
        <w:t>.</w:t>
      </w:r>
      <w:r w:rsidRPr="002B65F7">
        <w:t xml:space="preserve"> Si vous n’êtes pas sûr, demandez à votre médecin.</w:t>
      </w:r>
    </w:p>
    <w:p w14:paraId="03B58D62" w14:textId="41EA8A9C" w:rsidR="00092F83" w:rsidRPr="002B65F7" w:rsidRDefault="00C31740" w:rsidP="007A7B22">
      <w:pPr>
        <w:pStyle w:val="ListParagraph"/>
        <w:widowControl/>
        <w:numPr>
          <w:ilvl w:val="0"/>
          <w:numId w:val="18"/>
        </w:numPr>
        <w:tabs>
          <w:tab w:val="left" w:pos="567"/>
        </w:tabs>
        <w:ind w:left="567" w:hanging="567"/>
      </w:pPr>
      <w:r w:rsidRPr="002B65F7">
        <w:rPr>
          <w:b/>
          <w:bCs/>
        </w:rPr>
        <w:t>Si vous avez déjà eu un cancer quel qu’en soit le type</w:t>
      </w:r>
      <w:r w:rsidRPr="002B65F7">
        <w:t xml:space="preserve"> – car les immunosuppresseurs comme </w:t>
      </w:r>
      <w:r w:rsidR="001E6E2B" w:rsidRPr="002B65F7">
        <w:t>WEZENLA</w:t>
      </w:r>
      <w:r w:rsidRPr="002B65F7">
        <w:t xml:space="preserve"> affaiblissent partiellement le système immunitaire. Ceci peut augmenter le risque de cancer.</w:t>
      </w:r>
    </w:p>
    <w:p w14:paraId="03B58D63" w14:textId="1BD5E68B" w:rsidR="00092F83" w:rsidRPr="002B65F7" w:rsidRDefault="00C31740" w:rsidP="007A7B22">
      <w:pPr>
        <w:pStyle w:val="ListParagraph"/>
        <w:widowControl/>
        <w:numPr>
          <w:ilvl w:val="0"/>
          <w:numId w:val="18"/>
        </w:numPr>
        <w:tabs>
          <w:tab w:val="left" w:pos="567"/>
        </w:tabs>
        <w:ind w:left="567" w:hanging="567"/>
      </w:pPr>
      <w:r w:rsidRPr="002B65F7">
        <w:rPr>
          <w:b/>
          <w:bCs/>
        </w:rPr>
        <w:t>Si vous avez été traité pour un psoriasis avec d’autres médicaments biologiques (un médicament produit à partir d’une source biologique et habituellement administré par injection)</w:t>
      </w:r>
      <w:r w:rsidRPr="002B65F7">
        <w:t xml:space="preserve"> – le risque de cancer peut être plus élevé.</w:t>
      </w:r>
    </w:p>
    <w:p w14:paraId="03B58D64" w14:textId="7DA095FE" w:rsidR="00092F83" w:rsidRPr="002B65F7" w:rsidRDefault="00C31740" w:rsidP="007A7B22">
      <w:pPr>
        <w:pStyle w:val="ListParagraph"/>
        <w:widowControl/>
        <w:numPr>
          <w:ilvl w:val="0"/>
          <w:numId w:val="18"/>
        </w:numPr>
        <w:tabs>
          <w:tab w:val="left" w:pos="567"/>
        </w:tabs>
        <w:ind w:left="567" w:hanging="567"/>
        <w:rPr>
          <w:b/>
          <w:bCs/>
        </w:rPr>
      </w:pPr>
      <w:r w:rsidRPr="002B65F7">
        <w:rPr>
          <w:b/>
          <w:bCs/>
        </w:rPr>
        <w:t>Si vous avez ou avez récemment eu une infection ou si vous avez des orifices anormaux au niveau de la peau (fistules).</w:t>
      </w:r>
    </w:p>
    <w:p w14:paraId="03B58D65" w14:textId="263C24D7" w:rsidR="00092F83" w:rsidRPr="002B65F7" w:rsidRDefault="00C31740" w:rsidP="007A7B22">
      <w:pPr>
        <w:pStyle w:val="ListParagraph"/>
        <w:widowControl/>
        <w:numPr>
          <w:ilvl w:val="0"/>
          <w:numId w:val="18"/>
        </w:numPr>
        <w:tabs>
          <w:tab w:val="left" w:pos="567"/>
        </w:tabs>
        <w:ind w:left="567" w:hanging="567"/>
      </w:pPr>
      <w:r w:rsidRPr="002B65F7">
        <w:rPr>
          <w:b/>
          <w:bCs/>
        </w:rPr>
        <w:t>Si vous avez de nouvelles lésions ou des lésions qui évoluent</w:t>
      </w:r>
      <w:r w:rsidRPr="002B65F7">
        <w:t xml:space="preserve"> sur les zones de psoriasis ou sur la peau saine.</w:t>
      </w:r>
    </w:p>
    <w:p w14:paraId="03B58D66" w14:textId="35EE0AC6" w:rsidR="00092F83" w:rsidRPr="002B65F7" w:rsidRDefault="00C31740" w:rsidP="007A7B22">
      <w:pPr>
        <w:pStyle w:val="ListParagraph"/>
        <w:widowControl/>
        <w:numPr>
          <w:ilvl w:val="0"/>
          <w:numId w:val="18"/>
        </w:numPr>
        <w:tabs>
          <w:tab w:val="left" w:pos="567"/>
        </w:tabs>
        <w:ind w:left="567" w:hanging="567"/>
      </w:pPr>
      <w:r w:rsidRPr="002B65F7">
        <w:rPr>
          <w:b/>
          <w:bCs/>
        </w:rPr>
        <w:t>Si vous prenez d’autres traitements pour le psoriasis et/ou le rhumatisme psoriasique</w:t>
      </w:r>
      <w:r w:rsidRPr="002B65F7">
        <w:t xml:space="preserve"> – tel qu’un autre immunosuppresseur ou une photothérapie (quand votre corps est traité avec un type de lumière ultra-violet (UV)). Ces traitements peuvent également affaiblir partiellement le système immunitaire. L’utilisation simultanée de ces traitements avec </w:t>
      </w:r>
      <w:r w:rsidR="001E6E2B" w:rsidRPr="002B65F7">
        <w:t>WEZENLA</w:t>
      </w:r>
      <w:r w:rsidRPr="002B65F7">
        <w:t xml:space="preserve"> n’a pas été étudiée. Cependant, il est possible que cela augmente le risque de maladies liées à un système immunitaire plus faible.</w:t>
      </w:r>
    </w:p>
    <w:p w14:paraId="03B58D67" w14:textId="520A801D" w:rsidR="00092F83" w:rsidRPr="002B65F7" w:rsidRDefault="00C31740" w:rsidP="007A7B22">
      <w:pPr>
        <w:pStyle w:val="ListParagraph"/>
        <w:widowControl/>
        <w:numPr>
          <w:ilvl w:val="0"/>
          <w:numId w:val="18"/>
        </w:numPr>
        <w:tabs>
          <w:tab w:val="left" w:pos="567"/>
        </w:tabs>
        <w:ind w:left="567" w:hanging="567"/>
      </w:pPr>
      <w:r w:rsidRPr="002B65F7">
        <w:rPr>
          <w:b/>
          <w:bCs/>
        </w:rPr>
        <w:t>Si vous recevez ou avez déjà reçu des injections pour traiter les allergies</w:t>
      </w:r>
      <w:r w:rsidRPr="002B65F7">
        <w:t xml:space="preserve"> – on ne sait pas si </w:t>
      </w:r>
      <w:r w:rsidR="001E6E2B" w:rsidRPr="002B65F7">
        <w:t>WEZENLA</w:t>
      </w:r>
      <w:r w:rsidRPr="002B65F7">
        <w:t xml:space="preserve"> peut les affecter.</w:t>
      </w:r>
    </w:p>
    <w:p w14:paraId="03B58D68" w14:textId="305A7D93" w:rsidR="00092F83" w:rsidRPr="002B65F7" w:rsidRDefault="00C31740" w:rsidP="007A7B22">
      <w:pPr>
        <w:pStyle w:val="ListParagraph"/>
        <w:widowControl/>
        <w:numPr>
          <w:ilvl w:val="0"/>
          <w:numId w:val="18"/>
        </w:numPr>
        <w:tabs>
          <w:tab w:val="left" w:pos="567"/>
        </w:tabs>
        <w:ind w:left="567" w:hanging="567"/>
      </w:pPr>
      <w:r w:rsidRPr="002B65F7">
        <w:rPr>
          <w:b/>
          <w:bCs/>
        </w:rPr>
        <w:t>Si vous avez 65</w:t>
      </w:r>
      <w:r w:rsidR="001F2111" w:rsidRPr="002B65F7">
        <w:rPr>
          <w:b/>
          <w:bCs/>
        </w:rPr>
        <w:t> </w:t>
      </w:r>
      <w:r w:rsidRPr="002B65F7">
        <w:rPr>
          <w:b/>
          <w:bCs/>
        </w:rPr>
        <w:t xml:space="preserve">ans ou plus </w:t>
      </w:r>
      <w:r w:rsidRPr="002B65F7">
        <w:t>– vous pouvez être plus sujet aux infections.</w:t>
      </w:r>
    </w:p>
    <w:p w14:paraId="0DAD6ECF" w14:textId="77777777" w:rsidR="001F2111" w:rsidRPr="002B65F7" w:rsidRDefault="001F2111" w:rsidP="00496255">
      <w:pPr>
        <w:widowControl/>
      </w:pPr>
    </w:p>
    <w:p w14:paraId="03B58D69" w14:textId="27628B9C" w:rsidR="00092F83" w:rsidRPr="002B65F7" w:rsidRDefault="00C31740" w:rsidP="00496255">
      <w:pPr>
        <w:widowControl/>
      </w:pPr>
      <w:r w:rsidRPr="002B65F7">
        <w:t xml:space="preserve">Si vous n’êtes pas sûr d’être ou non dans l’une des situations ci-dessus, parlez-en à votre médecin ou à votre pharmacien avant d’utiliser </w:t>
      </w:r>
      <w:r w:rsidR="001E6E2B" w:rsidRPr="002B65F7">
        <w:t>WEZENLA</w:t>
      </w:r>
      <w:r w:rsidRPr="002B65F7">
        <w:t>.</w:t>
      </w:r>
    </w:p>
    <w:p w14:paraId="03B58D6A" w14:textId="77777777" w:rsidR="00092F83" w:rsidRPr="002B65F7" w:rsidRDefault="00092F83" w:rsidP="00496255">
      <w:pPr>
        <w:widowControl/>
      </w:pPr>
    </w:p>
    <w:p w14:paraId="03B58D6B" w14:textId="2A8BB623" w:rsidR="00092F83" w:rsidRPr="002B65F7" w:rsidRDefault="00C31740" w:rsidP="00496255">
      <w:pPr>
        <w:widowControl/>
      </w:pPr>
      <w:r w:rsidRPr="002B65F7">
        <w:t xml:space="preserve">Certains patients ont présenté des réactions de type lupus, notamment un lupus cutané ou un syndrome de type lupus, au cours du traitement par </w:t>
      </w:r>
      <w:r w:rsidR="0071390F" w:rsidRPr="002B65F7">
        <w:t>ustekinumab</w:t>
      </w:r>
      <w:r w:rsidRPr="002B65F7">
        <w:t>. Consultez immédiatement un médecin si vous développez une éruption cutanée rouge, en relief, squameuse, comportant parfois une bordure plus foncée, sur les zones de peau exposées au soleil ou associée à des douleurs articulaires.</w:t>
      </w:r>
    </w:p>
    <w:p w14:paraId="6C3C5E9A" w14:textId="77777777" w:rsidR="001F2111" w:rsidRPr="002B65F7" w:rsidRDefault="001F2111" w:rsidP="00496255">
      <w:pPr>
        <w:widowControl/>
      </w:pPr>
    </w:p>
    <w:p w14:paraId="03B58D6D" w14:textId="77777777" w:rsidR="00092F83" w:rsidRPr="002B65F7" w:rsidRDefault="00C31740" w:rsidP="00496255">
      <w:pPr>
        <w:keepNext/>
        <w:widowControl/>
        <w:rPr>
          <w:b/>
          <w:bCs/>
        </w:rPr>
      </w:pPr>
      <w:r w:rsidRPr="002B65F7">
        <w:rPr>
          <w:b/>
          <w:bCs/>
        </w:rPr>
        <w:t>Crise cardiaque et accident vasculaire cérébral (AVC)</w:t>
      </w:r>
    </w:p>
    <w:p w14:paraId="03B58D6E" w14:textId="26ABC6C2" w:rsidR="00092F83" w:rsidRPr="002B65F7" w:rsidRDefault="00C31740" w:rsidP="00496255">
      <w:pPr>
        <w:widowControl/>
      </w:pPr>
      <w:r w:rsidRPr="002B65F7">
        <w:t xml:space="preserve">Des crises cardiaques et des AVC ont été observés dans une étude chez des patients atteints de psoriasis traités par </w:t>
      </w:r>
      <w:r w:rsidR="0071390F" w:rsidRPr="002B65F7">
        <w:t>ustekinumab</w:t>
      </w:r>
      <w:r w:rsidRPr="002B65F7">
        <w:t>. Votre médecin vérifiera régulièrement vos facteurs de risque de maladie cardiaque et d’AVC afin de s’assurer qu’ils sont traités de manière adéquate. Consultez immédiatement un médecin si vous développez des douleurs thoraciques, une faiblesse ou des sensations anormales d’un côté de votre corps, un affaissement du visage ou des anomalies de la parole ou de la vue.</w:t>
      </w:r>
    </w:p>
    <w:p w14:paraId="03B58D6F" w14:textId="77777777" w:rsidR="00092F83" w:rsidRPr="002B65F7" w:rsidRDefault="00092F83" w:rsidP="00496255">
      <w:pPr>
        <w:widowControl/>
      </w:pPr>
    </w:p>
    <w:p w14:paraId="03B58D70" w14:textId="77777777" w:rsidR="00092F83" w:rsidRPr="002B65F7" w:rsidRDefault="00C31740" w:rsidP="00496255">
      <w:pPr>
        <w:keepNext/>
        <w:widowControl/>
        <w:rPr>
          <w:b/>
          <w:bCs/>
        </w:rPr>
      </w:pPr>
      <w:r w:rsidRPr="002B65F7">
        <w:rPr>
          <w:b/>
          <w:bCs/>
        </w:rPr>
        <w:lastRenderedPageBreak/>
        <w:t>Enfants et adolescents</w:t>
      </w:r>
    </w:p>
    <w:p w14:paraId="03B58D71" w14:textId="3D182611" w:rsidR="00092F83" w:rsidRPr="002B65F7" w:rsidRDefault="001E6E2B" w:rsidP="00496255">
      <w:pPr>
        <w:widowControl/>
      </w:pPr>
      <w:r w:rsidRPr="002B65F7">
        <w:t>WEZENLA</w:t>
      </w:r>
      <w:r w:rsidR="00C31740" w:rsidRPr="002B65F7">
        <w:t xml:space="preserve"> n’est pas recommandé chez les enfants </w:t>
      </w:r>
      <w:r w:rsidR="00196B71">
        <w:rPr>
          <w:noProof/>
          <w:lang w:eastAsia="nl-BE"/>
        </w:rPr>
        <w:t xml:space="preserve">pesant moins de 40 kg atteints de la maladie de Crohn </w:t>
      </w:r>
      <w:r w:rsidR="00C31740" w:rsidRPr="002B65F7">
        <w:t xml:space="preserve">car il n’a pas été étudié dans cette </w:t>
      </w:r>
      <w:r w:rsidR="00FB33DF">
        <w:t>population</w:t>
      </w:r>
      <w:r w:rsidR="00C31740" w:rsidRPr="002B65F7">
        <w:t>.</w:t>
      </w:r>
    </w:p>
    <w:p w14:paraId="5BE6F499" w14:textId="77777777" w:rsidR="00A70AC7" w:rsidRPr="002B65F7" w:rsidRDefault="00A70AC7" w:rsidP="00496255">
      <w:pPr>
        <w:widowControl/>
      </w:pPr>
    </w:p>
    <w:p w14:paraId="03B58D72" w14:textId="30B36E75" w:rsidR="00092F83" w:rsidRPr="002B65F7" w:rsidRDefault="00C31740" w:rsidP="00496255">
      <w:pPr>
        <w:keepNext/>
        <w:widowControl/>
        <w:rPr>
          <w:b/>
          <w:bCs/>
        </w:rPr>
      </w:pPr>
      <w:r w:rsidRPr="002B65F7">
        <w:rPr>
          <w:b/>
          <w:bCs/>
        </w:rPr>
        <w:t xml:space="preserve">Autres médicaments, vaccins et </w:t>
      </w:r>
      <w:r w:rsidR="001E6E2B" w:rsidRPr="002B65F7">
        <w:rPr>
          <w:b/>
          <w:bCs/>
        </w:rPr>
        <w:t>WEZENLA</w:t>
      </w:r>
    </w:p>
    <w:p w14:paraId="03B58D73" w14:textId="77777777" w:rsidR="00092F83" w:rsidRPr="002B65F7" w:rsidRDefault="00C31740" w:rsidP="00496255">
      <w:pPr>
        <w:keepNext/>
        <w:widowControl/>
      </w:pPr>
      <w:r w:rsidRPr="002B65F7">
        <w:t>Informez votre médecin ou pharmacien :</w:t>
      </w:r>
    </w:p>
    <w:p w14:paraId="03B58D74" w14:textId="581CF9F5" w:rsidR="00092F83" w:rsidRPr="002B65F7" w:rsidRDefault="00C31740" w:rsidP="007A7B22">
      <w:pPr>
        <w:pStyle w:val="ListParagraph"/>
        <w:keepNext/>
        <w:widowControl/>
        <w:numPr>
          <w:ilvl w:val="0"/>
          <w:numId w:val="19"/>
        </w:numPr>
        <w:tabs>
          <w:tab w:val="left" w:pos="567"/>
        </w:tabs>
        <w:ind w:left="567" w:hanging="567"/>
      </w:pPr>
      <w:r w:rsidRPr="002B65F7">
        <w:t>Si vous prenez, avez pris récemment ou pourriez prendre tout autre médicament.</w:t>
      </w:r>
    </w:p>
    <w:p w14:paraId="03B58D75" w14:textId="3F6232A8" w:rsidR="00092F83" w:rsidRPr="002B65F7" w:rsidRDefault="00C31740" w:rsidP="007A7B22">
      <w:pPr>
        <w:pStyle w:val="ListParagraph"/>
        <w:keepNext/>
        <w:widowControl/>
        <w:numPr>
          <w:ilvl w:val="0"/>
          <w:numId w:val="19"/>
        </w:numPr>
        <w:tabs>
          <w:tab w:val="left" w:pos="567"/>
        </w:tabs>
        <w:ind w:left="567" w:hanging="567"/>
      </w:pPr>
      <w:r w:rsidRPr="002B65F7">
        <w:t xml:space="preserve">Si vous vous êtes récemment fait ou allez vous faire vacciner. Certains types de vaccins (vaccins vivants) ne doivent pas être administrés pendant l’utilisation de </w:t>
      </w:r>
      <w:r w:rsidR="001E6E2B" w:rsidRPr="002B65F7">
        <w:t>WEZENLA</w:t>
      </w:r>
      <w:r w:rsidRPr="002B65F7">
        <w:t>.</w:t>
      </w:r>
    </w:p>
    <w:p w14:paraId="03B58D76" w14:textId="2CD760D2" w:rsidR="00092F83" w:rsidRPr="002B65F7" w:rsidRDefault="00C31740" w:rsidP="007A7B22">
      <w:pPr>
        <w:pStyle w:val="ListParagraph"/>
        <w:widowControl/>
        <w:numPr>
          <w:ilvl w:val="0"/>
          <w:numId w:val="19"/>
        </w:numPr>
        <w:tabs>
          <w:tab w:val="left" w:pos="567"/>
        </w:tabs>
        <w:ind w:left="567" w:hanging="567"/>
      </w:pPr>
      <w:r w:rsidRPr="002B65F7">
        <w:t xml:space="preserve">Si vous avez reçu </w:t>
      </w:r>
      <w:r w:rsidR="001E6E2B" w:rsidRPr="002B65F7">
        <w:t>WEZENLA</w:t>
      </w:r>
      <w:r w:rsidRPr="002B65F7">
        <w:t xml:space="preserve"> pendant votre grossesse, informez le médecin s’occupant de votre bébé de votre traitement par </w:t>
      </w:r>
      <w:r w:rsidR="001E6E2B" w:rsidRPr="002B65F7">
        <w:t>WEZENLA</w:t>
      </w:r>
      <w:r w:rsidRPr="002B65F7">
        <w:t xml:space="preserve"> avant que votre bébé ne reçoive un vaccin quel qu’il soit, notamment les vaccins vivants, tels que le vaccin BCG (utilisé pour prévenir la tuberculose). Les vaccins vivants ne sont pas recommandés pour votre bébé au cours </w:t>
      </w:r>
      <w:r w:rsidR="00136853" w:rsidRPr="00A70AC7">
        <w:t xml:space="preserve">des </w:t>
      </w:r>
      <w:r w:rsidR="00136853">
        <w:t>douze</w:t>
      </w:r>
      <w:r w:rsidR="00136853" w:rsidRPr="00A70AC7">
        <w:t xml:space="preserve"> premiers </w:t>
      </w:r>
      <w:r w:rsidRPr="002B65F7">
        <w:t xml:space="preserve">mois après la naissance si vous avez reçu </w:t>
      </w:r>
      <w:r w:rsidR="001E6E2B" w:rsidRPr="002B65F7">
        <w:t>WEZENLA</w:t>
      </w:r>
      <w:r w:rsidRPr="002B65F7">
        <w:t xml:space="preserve"> pendant la grossesse, à moins que le médecin de votre bébé ne recommande le contraire.</w:t>
      </w:r>
    </w:p>
    <w:p w14:paraId="4E8D0F4D" w14:textId="77777777" w:rsidR="0022094F" w:rsidRPr="002B65F7" w:rsidRDefault="0022094F" w:rsidP="00496255">
      <w:pPr>
        <w:widowControl/>
      </w:pPr>
    </w:p>
    <w:p w14:paraId="03B58D77" w14:textId="77777777" w:rsidR="00092F83" w:rsidRPr="002B65F7" w:rsidRDefault="00C31740" w:rsidP="00496255">
      <w:pPr>
        <w:keepNext/>
        <w:widowControl/>
        <w:rPr>
          <w:b/>
          <w:bCs/>
        </w:rPr>
      </w:pPr>
      <w:r w:rsidRPr="002B65F7">
        <w:rPr>
          <w:b/>
          <w:bCs/>
        </w:rPr>
        <w:t>Grossesse et allaitement</w:t>
      </w:r>
    </w:p>
    <w:p w14:paraId="50570ED8" w14:textId="77777777" w:rsidR="00136853" w:rsidRDefault="00136853" w:rsidP="00136853">
      <w:pPr>
        <w:pStyle w:val="ListParagraph"/>
        <w:widowControl/>
        <w:numPr>
          <w:ilvl w:val="0"/>
          <w:numId w:val="20"/>
        </w:numPr>
        <w:tabs>
          <w:tab w:val="left" w:pos="567"/>
        </w:tabs>
        <w:ind w:left="567" w:hanging="567"/>
      </w:pPr>
      <w:r w:rsidRPr="00F132E3">
        <w:t>Si vous êtes enceinte, si vous pensez être enceinte ou planifiez une grossesse, demandez conseil à votre médecin avant de prendre ce médicament.</w:t>
      </w:r>
    </w:p>
    <w:p w14:paraId="36E14F5C" w14:textId="77777777" w:rsidR="00136853" w:rsidRDefault="00136853" w:rsidP="00136853">
      <w:pPr>
        <w:pStyle w:val="ListParagraph"/>
        <w:widowControl/>
        <w:numPr>
          <w:ilvl w:val="0"/>
          <w:numId w:val="20"/>
        </w:numPr>
        <w:tabs>
          <w:tab w:val="left" w:pos="567"/>
        </w:tabs>
        <w:ind w:left="567" w:hanging="567"/>
      </w:pPr>
      <w:r>
        <w:t xml:space="preserve">Il n’a pas été observé de risque accru de malformations congénitales chez les bébés exposés à WEZENLA in utero. Cependant, l’expérience clinique avec WEZENLA chez les femmes enceintes est limitée. </w:t>
      </w:r>
      <w:r w:rsidRPr="0022094F">
        <w:t>Il est</w:t>
      </w:r>
      <w:r>
        <w:t xml:space="preserve"> ainsi</w:t>
      </w:r>
      <w:r w:rsidRPr="0022094F">
        <w:t xml:space="preserve"> préférable d’éviter l’utilisation de </w:t>
      </w:r>
      <w:r w:rsidRPr="001E6E2B">
        <w:t>WEZENLA</w:t>
      </w:r>
      <w:r w:rsidRPr="0022094F">
        <w:t xml:space="preserve"> en cas de grossesse. </w:t>
      </w:r>
    </w:p>
    <w:p w14:paraId="7CAE3C8F" w14:textId="77777777" w:rsidR="00136853" w:rsidRPr="0022094F" w:rsidRDefault="00136853" w:rsidP="00136853">
      <w:pPr>
        <w:pStyle w:val="ListParagraph"/>
        <w:widowControl/>
        <w:numPr>
          <w:ilvl w:val="0"/>
          <w:numId w:val="20"/>
        </w:numPr>
        <w:tabs>
          <w:tab w:val="left" w:pos="567"/>
        </w:tabs>
        <w:ind w:left="567" w:hanging="567"/>
      </w:pPr>
      <w:r w:rsidRPr="0022094F">
        <w:t xml:space="preserve">Si vous êtes une femme en âge de procréer, vous devez éviter de tomber enceinte et vous devez prendre une contraception adaptée pendant toute l’utilisation de </w:t>
      </w:r>
      <w:r w:rsidRPr="001E6E2B">
        <w:t>WEZENLA</w:t>
      </w:r>
      <w:r w:rsidRPr="0022094F">
        <w:t xml:space="preserve"> et jusqu’à 15</w:t>
      </w:r>
      <w:r>
        <w:t> </w:t>
      </w:r>
      <w:r w:rsidRPr="0022094F">
        <w:t xml:space="preserve">semaines au moins après le dernier traitement par </w:t>
      </w:r>
      <w:r w:rsidRPr="001E6E2B">
        <w:t>WEZENLA</w:t>
      </w:r>
      <w:r w:rsidRPr="0022094F">
        <w:t>.</w:t>
      </w:r>
    </w:p>
    <w:p w14:paraId="4356265F" w14:textId="77777777" w:rsidR="00136853" w:rsidRPr="0022094F" w:rsidRDefault="00136853" w:rsidP="00136853">
      <w:pPr>
        <w:pStyle w:val="ListParagraph"/>
        <w:widowControl/>
        <w:numPr>
          <w:ilvl w:val="0"/>
          <w:numId w:val="20"/>
        </w:numPr>
        <w:tabs>
          <w:tab w:val="left" w:pos="567"/>
        </w:tabs>
        <w:ind w:left="567" w:hanging="567"/>
      </w:pPr>
      <w:r w:rsidRPr="001E6E2B">
        <w:t>WEZENLA</w:t>
      </w:r>
      <w:r w:rsidRPr="0022094F">
        <w:t xml:space="preserve"> peut traverser la barrière placentaire et passer chez le bébé à naître. Si vous avez reçu </w:t>
      </w:r>
      <w:r w:rsidRPr="001E6E2B">
        <w:t>WEZENLA</w:t>
      </w:r>
      <w:r w:rsidRPr="0022094F">
        <w:t xml:space="preserve"> au cours de votre grossesse, votre bébé peut présenter un risque plus élevé de contracter une infection.</w:t>
      </w:r>
    </w:p>
    <w:p w14:paraId="03B58D7B" w14:textId="5B0ADE0E" w:rsidR="00092F83" w:rsidRPr="002B65F7" w:rsidRDefault="00136853" w:rsidP="00136853">
      <w:pPr>
        <w:pStyle w:val="ListParagraph"/>
        <w:widowControl/>
        <w:numPr>
          <w:ilvl w:val="0"/>
          <w:numId w:val="20"/>
        </w:numPr>
        <w:tabs>
          <w:tab w:val="left" w:pos="567"/>
        </w:tabs>
        <w:ind w:left="567" w:hanging="567"/>
      </w:pPr>
      <w:r w:rsidRPr="0022094F">
        <w:t xml:space="preserve">Si vous avez reçu </w:t>
      </w:r>
      <w:r w:rsidRPr="001E6E2B">
        <w:t>WEZENLA</w:t>
      </w:r>
      <w:r w:rsidRPr="0022094F">
        <w:t xml:space="preserve"> pendant votre grossesse, il est important que vous informiez les médecins et les autres professionnels de santé s’occupant de votre bébé avant qu’il ne re</w:t>
      </w:r>
      <w:r>
        <w:t>ç</w:t>
      </w:r>
      <w:r w:rsidRPr="0022094F">
        <w:t xml:space="preserve">oive un vaccin quel qu’il soit. Les vaccins vivants, tels que le vaccin BCG (utilisé pour prévenir la tuberculose), ne sont pas recommandés pour votre bébé au cours des </w:t>
      </w:r>
      <w:r>
        <w:t>douze</w:t>
      </w:r>
      <w:r w:rsidRPr="0022094F">
        <w:t xml:space="preserve"> premiers mois après la naissance si vous avez reçu </w:t>
      </w:r>
      <w:r w:rsidRPr="001E6E2B">
        <w:t>WEZENLA</w:t>
      </w:r>
      <w:r w:rsidRPr="0022094F">
        <w:t xml:space="preserve"> pendant la grossesse, à moins que le médecin de votre bébé ne recommande le contraire.</w:t>
      </w:r>
    </w:p>
    <w:p w14:paraId="03B58D7C" w14:textId="3A0F2A13" w:rsidR="00092F83" w:rsidRPr="002B65F7" w:rsidRDefault="00C31740" w:rsidP="007A7B22">
      <w:pPr>
        <w:pStyle w:val="ListParagraph"/>
        <w:widowControl/>
        <w:numPr>
          <w:ilvl w:val="0"/>
          <w:numId w:val="20"/>
        </w:numPr>
        <w:tabs>
          <w:tab w:val="left" w:pos="567"/>
        </w:tabs>
        <w:ind w:left="567" w:hanging="567"/>
      </w:pPr>
      <w:r w:rsidRPr="002B65F7">
        <w:t>L’</w:t>
      </w:r>
      <w:r w:rsidR="0071390F" w:rsidRPr="002B65F7">
        <w:t>ustekinumab</w:t>
      </w:r>
      <w:r w:rsidRPr="002B65F7">
        <w:t xml:space="preserve"> peut passer en très faible quantité dans le lait maternel. Si vous allaitez ou pensez allaiter, demandez conseil à votre médecin. Vous devez décider avec lui si vous devez plutôt allaiter ou utiliser </w:t>
      </w:r>
      <w:r w:rsidR="001E6E2B" w:rsidRPr="002B65F7">
        <w:t>WEZENLA</w:t>
      </w:r>
      <w:r w:rsidRPr="002B65F7">
        <w:t>. Ne faites pas les deux.</w:t>
      </w:r>
    </w:p>
    <w:p w14:paraId="57843C17" w14:textId="77777777" w:rsidR="0022094F" w:rsidRPr="002B65F7" w:rsidRDefault="0022094F" w:rsidP="00496255">
      <w:pPr>
        <w:widowControl/>
      </w:pPr>
    </w:p>
    <w:p w14:paraId="03B58D7D" w14:textId="77777777" w:rsidR="00092F83" w:rsidRPr="002B65F7" w:rsidRDefault="00C31740" w:rsidP="00496255">
      <w:pPr>
        <w:keepNext/>
        <w:widowControl/>
        <w:rPr>
          <w:b/>
          <w:bCs/>
        </w:rPr>
      </w:pPr>
      <w:r w:rsidRPr="002B65F7">
        <w:rPr>
          <w:b/>
          <w:bCs/>
        </w:rPr>
        <w:t>Conduite de véhicules et utilisation de machines</w:t>
      </w:r>
    </w:p>
    <w:p w14:paraId="03B58D7E" w14:textId="602F3A2A" w:rsidR="00092F83" w:rsidRPr="002B65F7" w:rsidRDefault="001E6E2B" w:rsidP="00496255">
      <w:pPr>
        <w:widowControl/>
      </w:pPr>
      <w:r w:rsidRPr="002B65F7">
        <w:t>WEZENLA</w:t>
      </w:r>
      <w:r w:rsidR="00C31740" w:rsidRPr="002B65F7">
        <w:t xml:space="preserve"> n’a aucun effet ou qu’un effet négligeable sur l’aptitude à conduire des véhicules et à utiliser des machines.</w:t>
      </w:r>
    </w:p>
    <w:p w14:paraId="03B58D7F" w14:textId="77777777" w:rsidR="00092F83" w:rsidRPr="002B65F7" w:rsidRDefault="00092F83" w:rsidP="00496255">
      <w:pPr>
        <w:widowControl/>
      </w:pPr>
    </w:p>
    <w:p w14:paraId="03B58D80" w14:textId="72104440" w:rsidR="00092F83" w:rsidRPr="002B65F7" w:rsidRDefault="001E6E2B" w:rsidP="00496255">
      <w:pPr>
        <w:keepNext/>
        <w:widowControl/>
        <w:rPr>
          <w:b/>
          <w:bCs/>
        </w:rPr>
      </w:pPr>
      <w:r w:rsidRPr="002B65F7">
        <w:rPr>
          <w:b/>
          <w:bCs/>
        </w:rPr>
        <w:t>WEZENLA</w:t>
      </w:r>
      <w:r w:rsidR="00C31740" w:rsidRPr="002B65F7">
        <w:rPr>
          <w:b/>
          <w:bCs/>
        </w:rPr>
        <w:t xml:space="preserve"> contient du sodium</w:t>
      </w:r>
    </w:p>
    <w:p w14:paraId="03B58D81" w14:textId="3A7D5A63" w:rsidR="00092F83" w:rsidRPr="002B65F7" w:rsidRDefault="001E6E2B" w:rsidP="00496255">
      <w:pPr>
        <w:widowControl/>
      </w:pPr>
      <w:r w:rsidRPr="002B65F7">
        <w:t>WEZENLA</w:t>
      </w:r>
      <w:r w:rsidR="00C31740" w:rsidRPr="002B65F7">
        <w:t xml:space="preserve"> contient moins de 1</w:t>
      </w:r>
      <w:r w:rsidR="005F7D16" w:rsidRPr="002B65F7">
        <w:t> </w:t>
      </w:r>
      <w:r w:rsidR="00C31740" w:rsidRPr="002B65F7">
        <w:t>mmol (23</w:t>
      </w:r>
      <w:r w:rsidR="005F7D16" w:rsidRPr="002B65F7">
        <w:t> </w:t>
      </w:r>
      <w:r w:rsidR="00C31740" w:rsidRPr="002B65F7">
        <w:t>mg) de sodium par dose, c</w:t>
      </w:r>
      <w:r w:rsidR="006C6BA5" w:rsidRPr="002B65F7">
        <w:t>.</w:t>
      </w:r>
      <w:r w:rsidR="00C31740" w:rsidRPr="002B65F7">
        <w:t>-à-d</w:t>
      </w:r>
      <w:r w:rsidR="006C6BA5" w:rsidRPr="002B65F7">
        <w:t>.</w:t>
      </w:r>
      <w:r w:rsidR="00C31740" w:rsidRPr="002B65F7">
        <w:t xml:space="preserve"> </w:t>
      </w:r>
      <w:r w:rsidR="003F37B6">
        <w:t xml:space="preserve">qu’il est </w:t>
      </w:r>
      <w:r w:rsidR="00C31740" w:rsidRPr="002B65F7">
        <w:t xml:space="preserve">essentiellement « sans sodium ». Toutefois, avant que </w:t>
      </w:r>
      <w:r w:rsidRPr="002B65F7">
        <w:t>WEZENLA</w:t>
      </w:r>
      <w:r w:rsidR="00C31740" w:rsidRPr="002B65F7">
        <w:t xml:space="preserve"> vous soit donné, il est mélangé à une solution contenant du sodium. Parlez-en à votre médecin si vous suivez un régime à faible teneur en sel.</w:t>
      </w:r>
    </w:p>
    <w:p w14:paraId="01A62D14" w14:textId="77777777" w:rsidR="00092F83" w:rsidRPr="002B65F7" w:rsidRDefault="00092F83" w:rsidP="00496255">
      <w:pPr>
        <w:widowControl/>
      </w:pPr>
    </w:p>
    <w:p w14:paraId="07CC9F23" w14:textId="3C09535E" w:rsidR="00E76379" w:rsidRPr="00B007D2" w:rsidRDefault="00214D55" w:rsidP="00496255">
      <w:pPr>
        <w:widowControl/>
        <w:rPr>
          <w:b/>
          <w:bCs/>
        </w:rPr>
      </w:pPr>
      <w:r w:rsidRPr="00B007D2">
        <w:rPr>
          <w:b/>
          <w:bCs/>
        </w:rPr>
        <w:t>WEZENLA contient du polysorbate 80</w:t>
      </w:r>
    </w:p>
    <w:p w14:paraId="6649F2DC" w14:textId="5390FD5B" w:rsidR="00214D55" w:rsidRDefault="00214D55" w:rsidP="00496255">
      <w:pPr>
        <w:widowControl/>
      </w:pPr>
      <w:r>
        <w:t>WEZENLA</w:t>
      </w:r>
      <w:r w:rsidRPr="00214D55">
        <w:t xml:space="preserve"> contient 10,</w:t>
      </w:r>
      <w:r w:rsidR="008E49A1">
        <w:t>4</w:t>
      </w:r>
      <w:r w:rsidRPr="002B65F7">
        <w:t> </w:t>
      </w:r>
      <w:r w:rsidRPr="00214D55">
        <w:t>mg de polysorbate</w:t>
      </w:r>
      <w:r w:rsidRPr="002B65F7">
        <w:t> </w:t>
      </w:r>
      <w:r w:rsidRPr="00214D55">
        <w:t>80 (E</w:t>
      </w:r>
      <w:r w:rsidRPr="002B65F7">
        <w:t> </w:t>
      </w:r>
      <w:r w:rsidRPr="00214D55">
        <w:t>433) par dose équivalent à 0,40</w:t>
      </w:r>
      <w:r w:rsidRPr="002B65F7">
        <w:t> </w:t>
      </w:r>
      <w:r w:rsidRPr="00214D55">
        <w:t>mg/mL. Les polysorbates peuvent provoquer des réactions allergiques. Informez votre médecin si vous avez déjà présenté une allergie.</w:t>
      </w:r>
    </w:p>
    <w:p w14:paraId="49E2A1B1" w14:textId="77777777" w:rsidR="00214D55" w:rsidRDefault="00214D55" w:rsidP="00496255">
      <w:pPr>
        <w:widowControl/>
      </w:pPr>
    </w:p>
    <w:p w14:paraId="312EB3F0" w14:textId="77777777" w:rsidR="00540F38" w:rsidRPr="002B65F7" w:rsidRDefault="00540F38" w:rsidP="00496255">
      <w:pPr>
        <w:widowControl/>
      </w:pPr>
    </w:p>
    <w:p w14:paraId="03B58D83" w14:textId="5B056A84" w:rsidR="00092F83" w:rsidRPr="002B65F7" w:rsidRDefault="00E76379" w:rsidP="00496255">
      <w:pPr>
        <w:keepNext/>
        <w:widowControl/>
        <w:tabs>
          <w:tab w:val="left" w:pos="567"/>
        </w:tabs>
        <w:ind w:left="567" w:hanging="567"/>
        <w:rPr>
          <w:b/>
          <w:bCs/>
        </w:rPr>
      </w:pPr>
      <w:r w:rsidRPr="002B65F7">
        <w:rPr>
          <w:b/>
          <w:bCs/>
        </w:rPr>
        <w:lastRenderedPageBreak/>
        <w:t>3.</w:t>
      </w:r>
      <w:r w:rsidRPr="002B65F7">
        <w:rPr>
          <w:b/>
          <w:bCs/>
        </w:rPr>
        <w:tab/>
      </w:r>
      <w:r w:rsidR="00C31740" w:rsidRPr="002B65F7">
        <w:rPr>
          <w:b/>
          <w:bCs/>
        </w:rPr>
        <w:t xml:space="preserve">Comment sera administré </w:t>
      </w:r>
      <w:r w:rsidR="001E6E2B" w:rsidRPr="002B65F7">
        <w:rPr>
          <w:b/>
          <w:bCs/>
        </w:rPr>
        <w:t>WEZENLA</w:t>
      </w:r>
      <w:r w:rsidR="00C31740" w:rsidRPr="002B65F7">
        <w:rPr>
          <w:b/>
          <w:bCs/>
        </w:rPr>
        <w:t xml:space="preserve"> ?</w:t>
      </w:r>
    </w:p>
    <w:p w14:paraId="03B58D84" w14:textId="77777777" w:rsidR="00092F83" w:rsidRPr="002B65F7" w:rsidRDefault="00092F83" w:rsidP="00496255">
      <w:pPr>
        <w:keepNext/>
        <w:widowControl/>
      </w:pPr>
    </w:p>
    <w:p w14:paraId="03B58D85" w14:textId="7809EEEC" w:rsidR="00092F83" w:rsidRPr="002B65F7" w:rsidRDefault="001E6E2B" w:rsidP="00496255">
      <w:pPr>
        <w:widowControl/>
      </w:pPr>
      <w:r w:rsidRPr="002B65F7">
        <w:t>WEZENLA</w:t>
      </w:r>
      <w:r w:rsidR="00C31740" w:rsidRPr="002B65F7">
        <w:t xml:space="preserve"> doit être utilisé sous la responsabilité et la surveillance d’un médecin expérimenté dans le diagnostic et le traitement de la maladie de Crohn.</w:t>
      </w:r>
    </w:p>
    <w:p w14:paraId="03B58D86" w14:textId="77777777" w:rsidR="00092F83" w:rsidRPr="002B65F7" w:rsidRDefault="00092F83" w:rsidP="00496255">
      <w:pPr>
        <w:widowControl/>
      </w:pPr>
    </w:p>
    <w:p w14:paraId="03B58D87" w14:textId="50DE86D4" w:rsidR="00092F83" w:rsidRPr="002B65F7" w:rsidRDefault="001E6E2B" w:rsidP="00496255">
      <w:pPr>
        <w:widowControl/>
      </w:pPr>
      <w:r w:rsidRPr="002B65F7">
        <w:t>WEZENLA</w:t>
      </w:r>
      <w:r w:rsidR="00C31740" w:rsidRPr="002B65F7">
        <w:t xml:space="preserve"> 130</w:t>
      </w:r>
      <w:r w:rsidR="00E76379" w:rsidRPr="002B65F7">
        <w:t> </w:t>
      </w:r>
      <w:r w:rsidR="00C31740" w:rsidRPr="002B65F7">
        <w:t>mg solution à diluer pour perfusion vous sera administré par votre médecin, à l’aide d’une perfusion dans la veine de votre bras (perfusion intraveineuse) sur au moins une heure. Parlez avec votre médecin afin de savoir quand vous recevrez vos injections et quand vous aurez vos rendez-vous de suivi.</w:t>
      </w:r>
    </w:p>
    <w:p w14:paraId="03B58D88" w14:textId="77777777" w:rsidR="00092F83" w:rsidRPr="002B65F7" w:rsidRDefault="00092F83" w:rsidP="00496255">
      <w:pPr>
        <w:widowControl/>
      </w:pPr>
    </w:p>
    <w:p w14:paraId="03B58D89" w14:textId="59E6F177" w:rsidR="00092F83" w:rsidRPr="002B65F7" w:rsidRDefault="00C31740" w:rsidP="00496255">
      <w:pPr>
        <w:keepNext/>
        <w:widowControl/>
        <w:rPr>
          <w:b/>
          <w:bCs/>
        </w:rPr>
      </w:pPr>
      <w:r w:rsidRPr="002B65F7">
        <w:rPr>
          <w:b/>
          <w:bCs/>
        </w:rPr>
        <w:t xml:space="preserve">Quelle quantité de </w:t>
      </w:r>
      <w:r w:rsidR="001E6E2B" w:rsidRPr="002B65F7">
        <w:rPr>
          <w:b/>
          <w:bCs/>
        </w:rPr>
        <w:t>WEZENLA</w:t>
      </w:r>
      <w:r w:rsidRPr="002B65F7">
        <w:rPr>
          <w:b/>
          <w:bCs/>
        </w:rPr>
        <w:t xml:space="preserve"> est administrée</w:t>
      </w:r>
    </w:p>
    <w:p w14:paraId="03B58D8A" w14:textId="6935A749" w:rsidR="00092F83" w:rsidRPr="002B65F7" w:rsidRDefault="00C31740" w:rsidP="00496255">
      <w:pPr>
        <w:widowControl/>
      </w:pPr>
      <w:r w:rsidRPr="002B65F7">
        <w:t xml:space="preserve">Votre médecin déterminera la quantité de </w:t>
      </w:r>
      <w:r w:rsidR="001E6E2B" w:rsidRPr="002B65F7">
        <w:t>WEZENLA</w:t>
      </w:r>
      <w:r w:rsidRPr="002B65F7">
        <w:t xml:space="preserve"> dont vous avez besoin et la durée du traitement.</w:t>
      </w:r>
    </w:p>
    <w:p w14:paraId="03B58D8B" w14:textId="77777777" w:rsidR="00092F83" w:rsidRPr="002B65F7" w:rsidRDefault="00092F83" w:rsidP="00496255">
      <w:pPr>
        <w:widowControl/>
      </w:pPr>
    </w:p>
    <w:p w14:paraId="03B58D8C" w14:textId="5BBDD2F1" w:rsidR="00092F83" w:rsidRPr="002B65F7" w:rsidRDefault="00C31740" w:rsidP="00496255">
      <w:pPr>
        <w:keepNext/>
        <w:widowControl/>
        <w:rPr>
          <w:b/>
          <w:bCs/>
        </w:rPr>
      </w:pPr>
      <w:r w:rsidRPr="002B65F7">
        <w:rPr>
          <w:b/>
          <w:bCs/>
        </w:rPr>
        <w:t>Adultes âgés de 18</w:t>
      </w:r>
      <w:r w:rsidR="000474EF" w:rsidRPr="002B65F7">
        <w:rPr>
          <w:b/>
          <w:bCs/>
        </w:rPr>
        <w:t> </w:t>
      </w:r>
      <w:r w:rsidRPr="002B65F7">
        <w:rPr>
          <w:b/>
          <w:bCs/>
        </w:rPr>
        <w:t>ans et plus</w:t>
      </w:r>
    </w:p>
    <w:p w14:paraId="03B58D8D" w14:textId="74780022" w:rsidR="00092F83" w:rsidRPr="002B65F7" w:rsidRDefault="00C31740" w:rsidP="007A7B22">
      <w:pPr>
        <w:pStyle w:val="ListParagraph"/>
        <w:keepNext/>
        <w:widowControl/>
        <w:numPr>
          <w:ilvl w:val="1"/>
          <w:numId w:val="21"/>
        </w:numPr>
        <w:ind w:left="567" w:hanging="567"/>
      </w:pPr>
      <w:r w:rsidRPr="002B65F7">
        <w:t>Le médecin déterminera la dose de perfusion intraveineuse recommandée pour vous en fonction de votre poids corporel.</w:t>
      </w:r>
    </w:p>
    <w:p w14:paraId="5ED11FB1" w14:textId="77777777" w:rsidR="008509A1" w:rsidRPr="002B65F7" w:rsidRDefault="008509A1" w:rsidP="008509A1">
      <w:pPr>
        <w:keepNext/>
        <w:widowControl/>
      </w:pPr>
    </w:p>
    <w:tbl>
      <w:tblPr>
        <w:tblW w:w="0" w:type="auto"/>
        <w:tblInd w:w="1809" w:type="dxa"/>
        <w:tblLook w:val="04A0" w:firstRow="1" w:lastRow="0" w:firstColumn="1" w:lastColumn="0" w:noHBand="0" w:noVBand="1"/>
      </w:tblPr>
      <w:tblGrid>
        <w:gridCol w:w="2694"/>
        <w:gridCol w:w="3260"/>
      </w:tblGrid>
      <w:tr w:rsidR="009E71E3" w:rsidRPr="002B65F7" w14:paraId="7F789D35" w14:textId="77777777" w:rsidTr="00D05392">
        <w:trPr>
          <w:cantSplit/>
        </w:trPr>
        <w:tc>
          <w:tcPr>
            <w:tcW w:w="2694" w:type="dxa"/>
            <w:tcBorders>
              <w:top w:val="single" w:sz="4" w:space="0" w:color="auto"/>
              <w:left w:val="single" w:sz="4" w:space="0" w:color="auto"/>
              <w:bottom w:val="single" w:sz="4" w:space="0" w:color="auto"/>
            </w:tcBorders>
          </w:tcPr>
          <w:p w14:paraId="221DBBC5" w14:textId="4200692A" w:rsidR="009E71E3" w:rsidRPr="002B65F7" w:rsidRDefault="009978C7" w:rsidP="002B65F7">
            <w:pPr>
              <w:widowControl/>
              <w:jc w:val="center"/>
            </w:pPr>
            <w:r w:rsidRPr="002B65F7">
              <w:rPr>
                <w:rFonts w:eastAsia="TimesNewRoman"/>
              </w:rPr>
              <w:t>Votre poids corporel</w:t>
            </w:r>
          </w:p>
        </w:tc>
        <w:tc>
          <w:tcPr>
            <w:tcW w:w="3260" w:type="dxa"/>
            <w:tcBorders>
              <w:top w:val="single" w:sz="4" w:space="0" w:color="auto"/>
              <w:bottom w:val="single" w:sz="4" w:space="0" w:color="auto"/>
              <w:right w:val="single" w:sz="4" w:space="0" w:color="auto"/>
            </w:tcBorders>
          </w:tcPr>
          <w:p w14:paraId="69B92977" w14:textId="528D7142" w:rsidR="009E71E3" w:rsidRPr="002B65F7" w:rsidRDefault="009978C7" w:rsidP="002B65F7">
            <w:pPr>
              <w:widowControl/>
              <w:jc w:val="center"/>
            </w:pPr>
            <w:r w:rsidRPr="002B65F7">
              <w:rPr>
                <w:rFonts w:eastAsia="TimesNewRoman"/>
              </w:rPr>
              <w:t>Dose</w:t>
            </w:r>
          </w:p>
        </w:tc>
      </w:tr>
      <w:tr w:rsidR="009E71E3" w:rsidRPr="002B65F7" w14:paraId="7C6A68B0" w14:textId="77777777" w:rsidTr="00D05392">
        <w:trPr>
          <w:cantSplit/>
        </w:trPr>
        <w:tc>
          <w:tcPr>
            <w:tcW w:w="2694" w:type="dxa"/>
            <w:tcBorders>
              <w:top w:val="single" w:sz="4" w:space="0" w:color="auto"/>
              <w:left w:val="single" w:sz="4" w:space="0" w:color="auto"/>
            </w:tcBorders>
          </w:tcPr>
          <w:p w14:paraId="5133F86F" w14:textId="463210B7" w:rsidR="009E71E3" w:rsidRPr="002B65F7" w:rsidRDefault="009978C7" w:rsidP="002B65F7">
            <w:pPr>
              <w:widowControl/>
              <w:rPr>
                <w:rFonts w:eastAsia="TimesNewRoman"/>
              </w:rPr>
            </w:pPr>
            <w:r w:rsidRPr="002B65F7">
              <w:rPr>
                <w:rFonts w:eastAsia="TimesNewRoman"/>
              </w:rPr>
              <w:t>≤</w:t>
            </w:r>
            <w:r w:rsidR="000651B5" w:rsidRPr="002B65F7">
              <w:rPr>
                <w:rFonts w:eastAsia="TimesNewRoman"/>
              </w:rPr>
              <w:t> </w:t>
            </w:r>
            <w:r w:rsidRPr="002B65F7">
              <w:rPr>
                <w:rFonts w:eastAsia="TimesNewRoman"/>
              </w:rPr>
              <w:t>55</w:t>
            </w:r>
            <w:r w:rsidR="000651B5" w:rsidRPr="002B65F7">
              <w:rPr>
                <w:rFonts w:eastAsia="TimesNewRoman"/>
              </w:rPr>
              <w:t> </w:t>
            </w:r>
            <w:r w:rsidRPr="002B65F7">
              <w:rPr>
                <w:rFonts w:eastAsia="TimesNewRoman"/>
              </w:rPr>
              <w:t>kg</w:t>
            </w:r>
          </w:p>
        </w:tc>
        <w:tc>
          <w:tcPr>
            <w:tcW w:w="3260" w:type="dxa"/>
            <w:tcBorders>
              <w:top w:val="single" w:sz="4" w:space="0" w:color="auto"/>
              <w:right w:val="single" w:sz="4" w:space="0" w:color="auto"/>
            </w:tcBorders>
          </w:tcPr>
          <w:p w14:paraId="51CE8FAB" w14:textId="77777777" w:rsidR="009E71E3" w:rsidRPr="002B65F7" w:rsidRDefault="009E71E3" w:rsidP="002B65F7">
            <w:pPr>
              <w:widowControl/>
              <w:jc w:val="center"/>
              <w:rPr>
                <w:rFonts w:eastAsia="TimesNewRoman"/>
              </w:rPr>
            </w:pPr>
            <w:r w:rsidRPr="002B65F7">
              <w:rPr>
                <w:rFonts w:eastAsia="TimesNewRoman"/>
              </w:rPr>
              <w:t>260 mg</w:t>
            </w:r>
          </w:p>
        </w:tc>
      </w:tr>
      <w:tr w:rsidR="009E71E3" w:rsidRPr="002B65F7" w14:paraId="042890B9" w14:textId="77777777" w:rsidTr="00D05392">
        <w:trPr>
          <w:cantSplit/>
        </w:trPr>
        <w:tc>
          <w:tcPr>
            <w:tcW w:w="2694" w:type="dxa"/>
            <w:tcBorders>
              <w:left w:val="single" w:sz="4" w:space="0" w:color="auto"/>
            </w:tcBorders>
          </w:tcPr>
          <w:p w14:paraId="193F126A" w14:textId="3C681664" w:rsidR="009E71E3" w:rsidRPr="002B65F7" w:rsidRDefault="000651B5" w:rsidP="002B65F7">
            <w:pPr>
              <w:widowControl/>
              <w:rPr>
                <w:rFonts w:eastAsia="TimesNewRoman"/>
              </w:rPr>
            </w:pPr>
            <w:r w:rsidRPr="002B65F7">
              <w:rPr>
                <w:rFonts w:eastAsia="TimesNewRoman"/>
              </w:rPr>
              <w:t>&gt; 55 kg à ≤ 85 kg</w:t>
            </w:r>
          </w:p>
        </w:tc>
        <w:tc>
          <w:tcPr>
            <w:tcW w:w="3260" w:type="dxa"/>
            <w:tcBorders>
              <w:right w:val="single" w:sz="4" w:space="0" w:color="auto"/>
            </w:tcBorders>
          </w:tcPr>
          <w:p w14:paraId="23B22455" w14:textId="77777777" w:rsidR="009E71E3" w:rsidRPr="002B65F7" w:rsidRDefault="009E71E3" w:rsidP="002B65F7">
            <w:pPr>
              <w:widowControl/>
              <w:jc w:val="center"/>
              <w:rPr>
                <w:rFonts w:eastAsia="TimesNewRoman"/>
              </w:rPr>
            </w:pPr>
            <w:r w:rsidRPr="002B65F7">
              <w:rPr>
                <w:rFonts w:eastAsia="TimesNewRoman"/>
              </w:rPr>
              <w:t>390 mg</w:t>
            </w:r>
          </w:p>
        </w:tc>
      </w:tr>
      <w:tr w:rsidR="009E71E3" w:rsidRPr="002B65F7" w14:paraId="0D8F9AD6" w14:textId="77777777" w:rsidTr="00D05392">
        <w:trPr>
          <w:cantSplit/>
        </w:trPr>
        <w:tc>
          <w:tcPr>
            <w:tcW w:w="2694" w:type="dxa"/>
            <w:tcBorders>
              <w:left w:val="single" w:sz="4" w:space="0" w:color="auto"/>
              <w:bottom w:val="single" w:sz="4" w:space="0" w:color="auto"/>
            </w:tcBorders>
          </w:tcPr>
          <w:p w14:paraId="2344B365" w14:textId="169997C5" w:rsidR="009E71E3" w:rsidRPr="002B65F7" w:rsidRDefault="000651B5" w:rsidP="002B65F7">
            <w:pPr>
              <w:widowControl/>
              <w:rPr>
                <w:rFonts w:eastAsia="TimesNewRoman"/>
              </w:rPr>
            </w:pPr>
            <w:r w:rsidRPr="002B65F7">
              <w:rPr>
                <w:rFonts w:eastAsia="TimesNewRoman"/>
              </w:rPr>
              <w:t>&gt; 85 kg</w:t>
            </w:r>
          </w:p>
        </w:tc>
        <w:tc>
          <w:tcPr>
            <w:tcW w:w="3260" w:type="dxa"/>
            <w:tcBorders>
              <w:bottom w:val="single" w:sz="4" w:space="0" w:color="auto"/>
              <w:right w:val="single" w:sz="4" w:space="0" w:color="auto"/>
            </w:tcBorders>
          </w:tcPr>
          <w:p w14:paraId="1DA2E749" w14:textId="77777777" w:rsidR="009E71E3" w:rsidRPr="002B65F7" w:rsidRDefault="009E71E3" w:rsidP="002B65F7">
            <w:pPr>
              <w:widowControl/>
              <w:jc w:val="center"/>
              <w:rPr>
                <w:rFonts w:eastAsia="TimesNewRoman"/>
              </w:rPr>
            </w:pPr>
            <w:r w:rsidRPr="002B65F7">
              <w:rPr>
                <w:rFonts w:eastAsia="TimesNewRoman"/>
              </w:rPr>
              <w:t>520 mg</w:t>
            </w:r>
          </w:p>
        </w:tc>
      </w:tr>
    </w:tbl>
    <w:p w14:paraId="03B58D8E" w14:textId="7B729CAD" w:rsidR="00092F83" w:rsidRPr="002B65F7" w:rsidRDefault="00092F83" w:rsidP="00496255">
      <w:pPr>
        <w:widowControl/>
      </w:pPr>
    </w:p>
    <w:p w14:paraId="03B58D8F" w14:textId="4E7615F1" w:rsidR="00092F83" w:rsidRPr="002B65F7" w:rsidRDefault="00C31740" w:rsidP="007A7B22">
      <w:pPr>
        <w:pStyle w:val="ListParagraph"/>
        <w:keepNext/>
        <w:widowControl/>
        <w:numPr>
          <w:ilvl w:val="1"/>
          <w:numId w:val="21"/>
        </w:numPr>
        <w:ind w:left="567" w:hanging="567"/>
      </w:pPr>
      <w:r w:rsidRPr="002B65F7">
        <w:t xml:space="preserve">Après la dose initiale intraveineuse, vous recevrez la dose suivante de </w:t>
      </w:r>
      <w:r w:rsidR="001E6E2B" w:rsidRPr="002B65F7">
        <w:t>WEZENLA</w:t>
      </w:r>
      <w:r w:rsidRPr="002B65F7">
        <w:t xml:space="preserve"> 90</w:t>
      </w:r>
      <w:r w:rsidR="0027111A" w:rsidRPr="002B65F7">
        <w:t> </w:t>
      </w:r>
      <w:r w:rsidRPr="002B65F7">
        <w:t>mg par une injection sous votre peau (injection sous-cutanée) 8</w:t>
      </w:r>
      <w:r w:rsidR="0027111A" w:rsidRPr="002B65F7">
        <w:t> </w:t>
      </w:r>
      <w:r w:rsidRPr="002B65F7">
        <w:t>semaines après, puis ensuite toutes les 12</w:t>
      </w:r>
      <w:r w:rsidR="0027111A" w:rsidRPr="002B65F7">
        <w:t> </w:t>
      </w:r>
      <w:r w:rsidRPr="002B65F7">
        <w:t>semaines.</w:t>
      </w:r>
    </w:p>
    <w:p w14:paraId="0EFBFA11" w14:textId="77777777" w:rsidR="00E946CB" w:rsidRDefault="00E946CB" w:rsidP="00E946CB">
      <w:pPr>
        <w:keepNext/>
        <w:rPr>
          <w:b/>
          <w:bCs/>
          <w:noProof/>
        </w:rPr>
      </w:pPr>
      <w:bookmarkStart w:id="35" w:name="_Hlk191650868"/>
    </w:p>
    <w:p w14:paraId="436531D1" w14:textId="24313647" w:rsidR="00E946CB" w:rsidRDefault="00E946CB" w:rsidP="00E946CB">
      <w:pPr>
        <w:keepNext/>
        <w:rPr>
          <w:noProof/>
        </w:rPr>
      </w:pPr>
      <w:r>
        <w:rPr>
          <w:b/>
          <w:bCs/>
          <w:noProof/>
        </w:rPr>
        <w:t>Enfants atteints de la maladie de Crohn pesant au moins 40 kg</w:t>
      </w:r>
    </w:p>
    <w:p w14:paraId="1C34FAA4" w14:textId="77777777" w:rsidR="00E946CB" w:rsidRPr="00E946CB" w:rsidRDefault="00E946CB" w:rsidP="003743BD">
      <w:pPr>
        <w:widowControl/>
        <w:numPr>
          <w:ilvl w:val="0"/>
          <w:numId w:val="81"/>
        </w:numPr>
        <w:tabs>
          <w:tab w:val="left" w:pos="567"/>
        </w:tabs>
        <w:autoSpaceDE/>
        <w:autoSpaceDN/>
        <w:ind w:left="567" w:hanging="567"/>
        <w:rPr>
          <w:noProof/>
        </w:rPr>
      </w:pPr>
      <w:r w:rsidRPr="00E946CB">
        <w:rPr>
          <w:noProof/>
        </w:rPr>
        <w:t>Le médecin déterminera la dose de perfusion intraveineuse recommandée pour vous en fonction de votre poids corporel.</w:t>
      </w:r>
    </w:p>
    <w:p w14:paraId="378025A5" w14:textId="62792840" w:rsidR="00E946CB" w:rsidRPr="003743BD" w:rsidRDefault="00E946CB" w:rsidP="00E946CB">
      <w:pPr>
        <w:rPr>
          <w:rFonts w:eastAsia="SimSun"/>
          <w:szCs w:val="20"/>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35"/>
        <w:gridCol w:w="2100"/>
      </w:tblGrid>
      <w:tr w:rsidR="00E946CB" w14:paraId="77DF4AEF" w14:textId="77777777" w:rsidTr="003743BD">
        <w:trPr>
          <w:cantSplit/>
          <w:jc w:val="center"/>
        </w:trPr>
        <w:tc>
          <w:tcPr>
            <w:tcW w:w="3435" w:type="dxa"/>
            <w:tcBorders>
              <w:top w:val="single" w:sz="6" w:space="0" w:color="auto"/>
              <w:left w:val="single" w:sz="6" w:space="0" w:color="auto"/>
              <w:bottom w:val="single" w:sz="6" w:space="0" w:color="auto"/>
              <w:right w:val="nil"/>
            </w:tcBorders>
            <w:tcMar>
              <w:left w:w="105" w:type="dxa"/>
              <w:right w:w="105" w:type="dxa"/>
            </w:tcMar>
          </w:tcPr>
          <w:p w14:paraId="4A30EA08" w14:textId="77777777" w:rsidR="00E946CB" w:rsidRDefault="00E946CB" w:rsidP="002F173E">
            <w:r>
              <w:t>Votre poids corporel</w:t>
            </w:r>
          </w:p>
        </w:tc>
        <w:tc>
          <w:tcPr>
            <w:tcW w:w="2100" w:type="dxa"/>
            <w:tcBorders>
              <w:top w:val="single" w:sz="6" w:space="0" w:color="auto"/>
              <w:left w:val="nil"/>
              <w:bottom w:val="single" w:sz="6" w:space="0" w:color="auto"/>
              <w:right w:val="single" w:sz="6" w:space="0" w:color="auto"/>
            </w:tcBorders>
            <w:tcMar>
              <w:left w:w="105" w:type="dxa"/>
              <w:right w:w="105" w:type="dxa"/>
            </w:tcMar>
          </w:tcPr>
          <w:p w14:paraId="518F0C7F" w14:textId="77777777" w:rsidR="00E946CB" w:rsidRDefault="00E946CB" w:rsidP="002F173E">
            <w:pPr>
              <w:jc w:val="center"/>
            </w:pPr>
            <w:r>
              <w:t>Dose</w:t>
            </w:r>
          </w:p>
        </w:tc>
      </w:tr>
      <w:tr w:rsidR="00E946CB" w14:paraId="1D97D46F" w14:textId="77777777" w:rsidTr="003743BD">
        <w:trPr>
          <w:cantSplit/>
          <w:jc w:val="center"/>
        </w:trPr>
        <w:tc>
          <w:tcPr>
            <w:tcW w:w="3435" w:type="dxa"/>
            <w:tcBorders>
              <w:top w:val="single" w:sz="6" w:space="0" w:color="auto"/>
              <w:left w:val="single" w:sz="6" w:space="0" w:color="auto"/>
              <w:bottom w:val="nil"/>
              <w:right w:val="nil"/>
            </w:tcBorders>
            <w:tcMar>
              <w:left w:w="105" w:type="dxa"/>
              <w:right w:w="105" w:type="dxa"/>
            </w:tcMar>
          </w:tcPr>
          <w:p w14:paraId="4C4ABB1E" w14:textId="77777777" w:rsidR="00E946CB" w:rsidRDefault="00E946CB" w:rsidP="002F173E">
            <w:r>
              <w:t>≥ 40 à ≤ 55 kg</w:t>
            </w:r>
          </w:p>
        </w:tc>
        <w:tc>
          <w:tcPr>
            <w:tcW w:w="2100" w:type="dxa"/>
            <w:tcBorders>
              <w:top w:val="single" w:sz="6" w:space="0" w:color="auto"/>
              <w:left w:val="nil"/>
              <w:bottom w:val="nil"/>
              <w:right w:val="single" w:sz="6" w:space="0" w:color="auto"/>
            </w:tcBorders>
            <w:tcMar>
              <w:left w:w="105" w:type="dxa"/>
              <w:right w:w="105" w:type="dxa"/>
            </w:tcMar>
          </w:tcPr>
          <w:p w14:paraId="69F95752" w14:textId="77777777" w:rsidR="00E946CB" w:rsidRDefault="00E946CB" w:rsidP="002F173E">
            <w:pPr>
              <w:jc w:val="center"/>
            </w:pPr>
            <w:r>
              <w:t>260 mg</w:t>
            </w:r>
          </w:p>
        </w:tc>
      </w:tr>
      <w:tr w:rsidR="00E946CB" w14:paraId="6183E7BF" w14:textId="77777777" w:rsidTr="003743BD">
        <w:trPr>
          <w:cantSplit/>
          <w:jc w:val="center"/>
        </w:trPr>
        <w:tc>
          <w:tcPr>
            <w:tcW w:w="3435" w:type="dxa"/>
            <w:tcBorders>
              <w:top w:val="nil"/>
              <w:left w:val="single" w:sz="6" w:space="0" w:color="auto"/>
              <w:bottom w:val="nil"/>
              <w:right w:val="nil"/>
            </w:tcBorders>
            <w:tcMar>
              <w:left w:w="105" w:type="dxa"/>
              <w:right w:w="105" w:type="dxa"/>
            </w:tcMar>
          </w:tcPr>
          <w:p w14:paraId="64BD7286" w14:textId="77777777" w:rsidR="00E946CB" w:rsidRDefault="00E946CB" w:rsidP="002F173E">
            <w:r>
              <w:t>&gt; 55 kg à ≤ 85 kg</w:t>
            </w:r>
          </w:p>
        </w:tc>
        <w:tc>
          <w:tcPr>
            <w:tcW w:w="2100" w:type="dxa"/>
            <w:tcBorders>
              <w:top w:val="nil"/>
              <w:left w:val="nil"/>
              <w:bottom w:val="nil"/>
              <w:right w:val="single" w:sz="6" w:space="0" w:color="auto"/>
            </w:tcBorders>
            <w:tcMar>
              <w:left w:w="105" w:type="dxa"/>
              <w:right w:w="105" w:type="dxa"/>
            </w:tcMar>
          </w:tcPr>
          <w:p w14:paraId="52DF7477" w14:textId="77777777" w:rsidR="00E946CB" w:rsidRDefault="00E946CB" w:rsidP="002F173E">
            <w:pPr>
              <w:jc w:val="center"/>
            </w:pPr>
            <w:r>
              <w:t>390 mg</w:t>
            </w:r>
          </w:p>
        </w:tc>
      </w:tr>
      <w:tr w:rsidR="00E946CB" w14:paraId="18C2E2EB" w14:textId="77777777" w:rsidTr="003743BD">
        <w:trPr>
          <w:cantSplit/>
          <w:jc w:val="center"/>
        </w:trPr>
        <w:tc>
          <w:tcPr>
            <w:tcW w:w="3435" w:type="dxa"/>
            <w:tcBorders>
              <w:top w:val="nil"/>
              <w:left w:val="single" w:sz="6" w:space="0" w:color="auto"/>
              <w:bottom w:val="single" w:sz="6" w:space="0" w:color="auto"/>
              <w:right w:val="nil"/>
            </w:tcBorders>
            <w:tcMar>
              <w:left w:w="105" w:type="dxa"/>
              <w:right w:w="105" w:type="dxa"/>
            </w:tcMar>
          </w:tcPr>
          <w:p w14:paraId="1C5E8785" w14:textId="77777777" w:rsidR="00E946CB" w:rsidRDefault="00E946CB" w:rsidP="002F173E">
            <w:r>
              <w:t>&gt; 85 kg</w:t>
            </w:r>
          </w:p>
        </w:tc>
        <w:tc>
          <w:tcPr>
            <w:tcW w:w="2100" w:type="dxa"/>
            <w:tcBorders>
              <w:top w:val="nil"/>
              <w:left w:val="nil"/>
              <w:bottom w:val="single" w:sz="6" w:space="0" w:color="auto"/>
              <w:right w:val="single" w:sz="6" w:space="0" w:color="auto"/>
            </w:tcBorders>
            <w:tcMar>
              <w:left w:w="105" w:type="dxa"/>
              <w:right w:w="105" w:type="dxa"/>
            </w:tcMar>
          </w:tcPr>
          <w:p w14:paraId="7181B9D4" w14:textId="77777777" w:rsidR="00E946CB" w:rsidRDefault="00E946CB" w:rsidP="002F173E">
            <w:pPr>
              <w:jc w:val="center"/>
            </w:pPr>
            <w:r>
              <w:t>520 mg</w:t>
            </w:r>
          </w:p>
        </w:tc>
      </w:tr>
    </w:tbl>
    <w:p w14:paraId="0788103D" w14:textId="77777777" w:rsidR="00E946CB" w:rsidRDefault="00E946CB" w:rsidP="00E946CB">
      <w:pPr>
        <w:rPr>
          <w:noProof/>
        </w:rPr>
      </w:pPr>
    </w:p>
    <w:p w14:paraId="09E3B6DA" w14:textId="5D0A036D" w:rsidR="00E946CB" w:rsidRPr="00E946CB" w:rsidRDefault="00E946CB" w:rsidP="003743BD">
      <w:pPr>
        <w:widowControl/>
        <w:numPr>
          <w:ilvl w:val="0"/>
          <w:numId w:val="81"/>
        </w:numPr>
        <w:tabs>
          <w:tab w:val="left" w:pos="567"/>
        </w:tabs>
        <w:autoSpaceDE/>
        <w:autoSpaceDN/>
        <w:ind w:left="567" w:hanging="567"/>
        <w:rPr>
          <w:noProof/>
        </w:rPr>
      </w:pPr>
      <w:r w:rsidRPr="00E946CB">
        <w:rPr>
          <w:noProof/>
        </w:rPr>
        <w:t xml:space="preserve">Après la dose initiale intraveineuse, vous recevrez la dose suivante de </w:t>
      </w:r>
      <w:r w:rsidR="00DF77F1">
        <w:rPr>
          <w:noProof/>
        </w:rPr>
        <w:t>WEZENLA</w:t>
      </w:r>
      <w:r w:rsidRPr="00E946CB">
        <w:rPr>
          <w:noProof/>
        </w:rPr>
        <w:t xml:space="preserve"> 90 mg par injection sous la peau (injection sous-cutanée) 8 semaines après, puis ensuite toutes les 12 semaines.</w:t>
      </w:r>
    </w:p>
    <w:bookmarkEnd w:id="35"/>
    <w:p w14:paraId="7CCB6908" w14:textId="77777777" w:rsidR="0027111A" w:rsidRPr="002B65F7" w:rsidRDefault="0027111A" w:rsidP="00496255">
      <w:pPr>
        <w:widowControl/>
      </w:pPr>
    </w:p>
    <w:p w14:paraId="03B58D90" w14:textId="357ED237" w:rsidR="00092F83" w:rsidRPr="002B65F7" w:rsidRDefault="00C31740" w:rsidP="00496255">
      <w:pPr>
        <w:keepNext/>
        <w:widowControl/>
        <w:rPr>
          <w:b/>
          <w:bCs/>
        </w:rPr>
      </w:pPr>
      <w:r w:rsidRPr="002B65F7">
        <w:rPr>
          <w:b/>
          <w:bCs/>
        </w:rPr>
        <w:t xml:space="preserve">Comment </w:t>
      </w:r>
      <w:r w:rsidR="001E6E2B" w:rsidRPr="002B65F7">
        <w:rPr>
          <w:b/>
          <w:bCs/>
        </w:rPr>
        <w:t>WEZENLA</w:t>
      </w:r>
      <w:r w:rsidRPr="002B65F7">
        <w:rPr>
          <w:b/>
          <w:bCs/>
        </w:rPr>
        <w:t xml:space="preserve"> est administré</w:t>
      </w:r>
    </w:p>
    <w:p w14:paraId="03B58D91" w14:textId="1C35ABCC" w:rsidR="00092F83" w:rsidRPr="002B65F7" w:rsidRDefault="00C31740" w:rsidP="007A7B22">
      <w:pPr>
        <w:pStyle w:val="ListParagraph"/>
        <w:keepNext/>
        <w:widowControl/>
        <w:numPr>
          <w:ilvl w:val="1"/>
          <w:numId w:val="21"/>
        </w:numPr>
        <w:ind w:left="567" w:hanging="567"/>
      </w:pPr>
      <w:r w:rsidRPr="002B65F7">
        <w:t xml:space="preserve">La première dose de </w:t>
      </w:r>
      <w:r w:rsidR="001E6E2B" w:rsidRPr="002B65F7">
        <w:t>WEZENLA</w:t>
      </w:r>
      <w:r w:rsidRPr="002B65F7">
        <w:t xml:space="preserve"> pour le traitement de la maladie de Crohn est administrée par un médecin, à l’aide d’une perfusion dans la veine du bras (perfusion intraveineuse).</w:t>
      </w:r>
    </w:p>
    <w:p w14:paraId="03B58D92" w14:textId="432201A5" w:rsidR="00092F83" w:rsidRPr="002B65F7" w:rsidRDefault="00C31740" w:rsidP="00496255">
      <w:pPr>
        <w:widowControl/>
      </w:pPr>
      <w:r w:rsidRPr="002B65F7">
        <w:t xml:space="preserve">Parlez à votre médecin de toute question sur l’administration de </w:t>
      </w:r>
      <w:r w:rsidR="001E6E2B" w:rsidRPr="002B65F7">
        <w:t>WEZENLA</w:t>
      </w:r>
      <w:r w:rsidRPr="002B65F7">
        <w:t>.</w:t>
      </w:r>
    </w:p>
    <w:p w14:paraId="509CCEFC" w14:textId="77777777" w:rsidR="00A253B6" w:rsidRPr="002B65F7" w:rsidRDefault="00A253B6" w:rsidP="00496255">
      <w:pPr>
        <w:widowControl/>
      </w:pPr>
    </w:p>
    <w:p w14:paraId="03B58D93" w14:textId="18FC5263" w:rsidR="00092F83" w:rsidRPr="002B65F7" w:rsidRDefault="00C31740" w:rsidP="00496255">
      <w:pPr>
        <w:keepNext/>
        <w:widowControl/>
        <w:rPr>
          <w:b/>
          <w:bCs/>
        </w:rPr>
      </w:pPr>
      <w:r w:rsidRPr="002B65F7">
        <w:rPr>
          <w:b/>
          <w:bCs/>
        </w:rPr>
        <w:t xml:space="preserve">Si vous oubliez d’utiliser </w:t>
      </w:r>
      <w:r w:rsidR="001E6E2B" w:rsidRPr="002B65F7">
        <w:rPr>
          <w:b/>
          <w:bCs/>
        </w:rPr>
        <w:t>WEZENLA</w:t>
      </w:r>
    </w:p>
    <w:p w14:paraId="03B58D94" w14:textId="77777777" w:rsidR="00092F83" w:rsidRPr="002B65F7" w:rsidRDefault="00C31740" w:rsidP="00496255">
      <w:pPr>
        <w:widowControl/>
      </w:pPr>
      <w:r w:rsidRPr="002B65F7">
        <w:t>Si vous oubliez ou manquez le rendez-vous pour l’administration de la dose, contactez votre médecin pour reprogrammer votre rendez-vous.</w:t>
      </w:r>
    </w:p>
    <w:p w14:paraId="58762754" w14:textId="77777777" w:rsidR="00A253B6" w:rsidRPr="002B65F7" w:rsidRDefault="00A253B6" w:rsidP="00496255">
      <w:pPr>
        <w:widowControl/>
      </w:pPr>
    </w:p>
    <w:p w14:paraId="03B58D95" w14:textId="1EECE9CB" w:rsidR="00092F83" w:rsidRPr="002B65F7" w:rsidRDefault="00C31740" w:rsidP="00496255">
      <w:pPr>
        <w:keepNext/>
        <w:widowControl/>
        <w:rPr>
          <w:b/>
          <w:bCs/>
        </w:rPr>
      </w:pPr>
      <w:r w:rsidRPr="002B65F7">
        <w:rPr>
          <w:b/>
          <w:bCs/>
        </w:rPr>
        <w:t xml:space="preserve">Si vous arrêtez d’utiliser </w:t>
      </w:r>
      <w:r w:rsidR="001E6E2B" w:rsidRPr="002B65F7">
        <w:rPr>
          <w:b/>
          <w:bCs/>
        </w:rPr>
        <w:t>WEZENLA</w:t>
      </w:r>
    </w:p>
    <w:p w14:paraId="03B58D96" w14:textId="6B722190" w:rsidR="00092F83" w:rsidRPr="002B65F7" w:rsidRDefault="00C31740" w:rsidP="00496255">
      <w:pPr>
        <w:widowControl/>
      </w:pPr>
      <w:r w:rsidRPr="002B65F7">
        <w:t xml:space="preserve">Il n’est pas dangereux d’arrêter d’utiliser </w:t>
      </w:r>
      <w:r w:rsidR="001E6E2B" w:rsidRPr="002B65F7">
        <w:t>WEZENLA</w:t>
      </w:r>
      <w:r w:rsidRPr="002B65F7">
        <w:t>. Cependant, si vous arrêtez, vos symptômes peuvent revenir.</w:t>
      </w:r>
    </w:p>
    <w:p w14:paraId="03B58D97" w14:textId="77777777" w:rsidR="00092F83" w:rsidRPr="002B65F7" w:rsidRDefault="00092F83" w:rsidP="00496255">
      <w:pPr>
        <w:widowControl/>
      </w:pPr>
    </w:p>
    <w:p w14:paraId="03B58D98" w14:textId="77777777" w:rsidR="00092F83" w:rsidRPr="002B65F7" w:rsidRDefault="00C31740" w:rsidP="00496255">
      <w:pPr>
        <w:widowControl/>
      </w:pPr>
      <w:r w:rsidRPr="002B65F7">
        <w:t>Si vous avez d’autres questions sur l’utilisation de ce médicament, demandez plus d’informations à votre médecin ou à votre pharmacien.</w:t>
      </w:r>
    </w:p>
    <w:p w14:paraId="03B58D99" w14:textId="77777777" w:rsidR="00092F83" w:rsidRPr="002B65F7" w:rsidRDefault="00092F83" w:rsidP="00496255">
      <w:pPr>
        <w:widowControl/>
      </w:pPr>
    </w:p>
    <w:p w14:paraId="1C51BB77" w14:textId="77777777" w:rsidR="00A253B6" w:rsidRPr="002B65F7" w:rsidRDefault="00A253B6" w:rsidP="00496255">
      <w:pPr>
        <w:widowControl/>
        <w:rPr>
          <w:b/>
          <w:bCs/>
        </w:rPr>
      </w:pPr>
    </w:p>
    <w:p w14:paraId="03B58D9A" w14:textId="61C10857" w:rsidR="00092F83" w:rsidRPr="002B65F7" w:rsidRDefault="00A253B6" w:rsidP="00496255">
      <w:pPr>
        <w:keepNext/>
        <w:widowControl/>
        <w:tabs>
          <w:tab w:val="left" w:pos="567"/>
        </w:tabs>
        <w:ind w:left="567" w:hanging="567"/>
        <w:rPr>
          <w:b/>
          <w:bCs/>
        </w:rPr>
      </w:pPr>
      <w:r w:rsidRPr="002B65F7">
        <w:rPr>
          <w:b/>
          <w:bCs/>
        </w:rPr>
        <w:lastRenderedPageBreak/>
        <w:t>4.</w:t>
      </w:r>
      <w:r w:rsidRPr="002B65F7">
        <w:rPr>
          <w:b/>
          <w:bCs/>
        </w:rPr>
        <w:tab/>
      </w:r>
      <w:r w:rsidR="00C31740" w:rsidRPr="002B65F7">
        <w:rPr>
          <w:b/>
          <w:bCs/>
        </w:rPr>
        <w:t>Quels sont les effets indésirables éventuels ?</w:t>
      </w:r>
    </w:p>
    <w:p w14:paraId="03B58D9B" w14:textId="77777777" w:rsidR="00092F83" w:rsidRPr="002B65F7" w:rsidRDefault="00092F83" w:rsidP="00496255">
      <w:pPr>
        <w:keepNext/>
        <w:widowControl/>
      </w:pPr>
    </w:p>
    <w:p w14:paraId="03B58D9C" w14:textId="77777777" w:rsidR="00092F83" w:rsidRPr="002B65F7" w:rsidRDefault="00C31740" w:rsidP="00496255">
      <w:pPr>
        <w:widowControl/>
      </w:pPr>
      <w:r w:rsidRPr="002B65F7">
        <w:t>Comme tous les médicaments, ce médicament peut provoquer des effets indésirables, mais ils ne surviennent pas systématiquement chez tout le monde.</w:t>
      </w:r>
    </w:p>
    <w:p w14:paraId="1B8AC5FA" w14:textId="77777777" w:rsidR="00A253B6" w:rsidRPr="002B65F7" w:rsidRDefault="00A253B6" w:rsidP="00496255">
      <w:pPr>
        <w:widowControl/>
      </w:pPr>
    </w:p>
    <w:p w14:paraId="03B58D9D" w14:textId="77777777" w:rsidR="00092F83" w:rsidRPr="002B65F7" w:rsidRDefault="00C31740" w:rsidP="00496255">
      <w:pPr>
        <w:keepNext/>
        <w:widowControl/>
        <w:rPr>
          <w:b/>
          <w:bCs/>
        </w:rPr>
      </w:pPr>
      <w:r w:rsidRPr="002B65F7">
        <w:rPr>
          <w:b/>
          <w:bCs/>
        </w:rPr>
        <w:t>Effets indésirables graves</w:t>
      </w:r>
    </w:p>
    <w:p w14:paraId="03B58D9E" w14:textId="77777777" w:rsidR="00092F83" w:rsidRPr="002B65F7" w:rsidRDefault="00C31740" w:rsidP="00496255">
      <w:pPr>
        <w:widowControl/>
      </w:pPr>
      <w:r w:rsidRPr="002B65F7">
        <w:t>Certains patients peuvent avoir des effets indésirables graves qui peuvent nécessiter un traitement urgent.</w:t>
      </w:r>
    </w:p>
    <w:p w14:paraId="03B58D9F" w14:textId="77777777" w:rsidR="00092F83" w:rsidRPr="002B65F7" w:rsidRDefault="00092F83" w:rsidP="00496255">
      <w:pPr>
        <w:widowControl/>
      </w:pPr>
    </w:p>
    <w:p w14:paraId="03B58DA0" w14:textId="77777777" w:rsidR="00092F83" w:rsidRPr="002B65F7" w:rsidRDefault="00C31740" w:rsidP="00496255">
      <w:pPr>
        <w:keepNext/>
        <w:widowControl/>
        <w:rPr>
          <w:b/>
          <w:bCs/>
        </w:rPr>
      </w:pPr>
      <w:r w:rsidRPr="002B65F7">
        <w:rPr>
          <w:b/>
          <w:bCs/>
        </w:rPr>
        <w:t>Réactions allergiques – elles peuvent nécessiter un traitement urgent. Informez votre médecin ou cherchez immédiatement une aide médicale d’urgence si vous constatez l’un des signes suivants.</w:t>
      </w:r>
    </w:p>
    <w:p w14:paraId="03B58DA1" w14:textId="1A1E3F05" w:rsidR="00092F83" w:rsidRPr="002B65F7" w:rsidRDefault="00C31740" w:rsidP="007A7B22">
      <w:pPr>
        <w:pStyle w:val="ListParagraph"/>
        <w:keepNext/>
        <w:widowControl/>
        <w:numPr>
          <w:ilvl w:val="1"/>
          <w:numId w:val="21"/>
        </w:numPr>
        <w:ind w:left="567" w:hanging="567"/>
      </w:pPr>
      <w:r w:rsidRPr="002B65F7">
        <w:t xml:space="preserve">Les réactions allergiques graves (« anaphylaxie ») sont rares chez les personnes prenant </w:t>
      </w:r>
      <w:r w:rsidR="00B040FD" w:rsidRPr="002B65F7">
        <w:t>de l’</w:t>
      </w:r>
      <w:r w:rsidR="0071390F" w:rsidRPr="002B65F7">
        <w:t>ustekinumab</w:t>
      </w:r>
      <w:r w:rsidRPr="002B65F7">
        <w:t xml:space="preserve"> (peuvent affecter jusqu’à 1 personne sur 1</w:t>
      </w:r>
      <w:r w:rsidR="00FC3CEC" w:rsidRPr="002B65F7">
        <w:t> </w:t>
      </w:r>
      <w:r w:rsidRPr="002B65F7">
        <w:t>000). Les signes incluent :</w:t>
      </w:r>
    </w:p>
    <w:p w14:paraId="03B58DA2" w14:textId="0F721258" w:rsidR="00092F83" w:rsidRPr="002B65F7" w:rsidRDefault="00195D7E" w:rsidP="00496255">
      <w:pPr>
        <w:widowControl/>
        <w:ind w:left="1134" w:hanging="567"/>
      </w:pPr>
      <w:r w:rsidRPr="002B65F7">
        <w:rPr>
          <w:rFonts w:eastAsia="Courier New"/>
        </w:rPr>
        <w:t>-</w:t>
      </w:r>
      <w:r w:rsidR="00D826CD" w:rsidRPr="002B65F7">
        <w:tab/>
      </w:r>
      <w:r w:rsidR="00C31740" w:rsidRPr="002B65F7">
        <w:t>difficultés à respirer ou à avaler</w:t>
      </w:r>
    </w:p>
    <w:p w14:paraId="03B58DA4" w14:textId="103FA988" w:rsidR="00092F83" w:rsidRPr="002B65F7" w:rsidRDefault="00195D7E" w:rsidP="00496255">
      <w:pPr>
        <w:widowControl/>
        <w:ind w:left="1134" w:hanging="567"/>
      </w:pPr>
      <w:r w:rsidRPr="002B65F7">
        <w:rPr>
          <w:rFonts w:eastAsia="Courier New"/>
        </w:rPr>
        <w:t>-</w:t>
      </w:r>
      <w:r w:rsidR="00D826CD" w:rsidRPr="002B65F7">
        <w:tab/>
      </w:r>
      <w:r w:rsidR="00C31740" w:rsidRPr="002B65F7">
        <w:t>pression sanguine basse, ce qui peut provoquer des vertiges et des légers étourdissements</w:t>
      </w:r>
    </w:p>
    <w:p w14:paraId="03B58DA5" w14:textId="36F19007" w:rsidR="00092F83" w:rsidRPr="002B65F7" w:rsidRDefault="00195D7E" w:rsidP="00496255">
      <w:pPr>
        <w:widowControl/>
        <w:ind w:left="1134" w:hanging="567"/>
      </w:pPr>
      <w:r w:rsidRPr="002B65F7">
        <w:rPr>
          <w:rFonts w:eastAsia="Courier New"/>
        </w:rPr>
        <w:t>-</w:t>
      </w:r>
      <w:r w:rsidR="00374B1A" w:rsidRPr="002B65F7">
        <w:tab/>
      </w:r>
      <w:r w:rsidR="00C31740" w:rsidRPr="002B65F7">
        <w:t>gonflement de la face, des lèvres, de la bouche ou de la gorge.</w:t>
      </w:r>
    </w:p>
    <w:p w14:paraId="03B58DA6" w14:textId="00924B20" w:rsidR="00092F83" w:rsidRPr="002B65F7" w:rsidRDefault="00C31740" w:rsidP="007A7B22">
      <w:pPr>
        <w:pStyle w:val="ListParagraph"/>
        <w:widowControl/>
        <w:numPr>
          <w:ilvl w:val="2"/>
          <w:numId w:val="19"/>
        </w:numPr>
        <w:tabs>
          <w:tab w:val="left" w:pos="567"/>
        </w:tabs>
        <w:ind w:left="567" w:hanging="567"/>
      </w:pPr>
      <w:r w:rsidRPr="002B65F7">
        <w:t>Les signes fréquents d’une réaction allergique incluent éruptions cutanées et urticaire (ils peuvent affecter jusqu’à 1 personne sur 100).</w:t>
      </w:r>
    </w:p>
    <w:p w14:paraId="6AA70727" w14:textId="77777777" w:rsidR="004F7803" w:rsidRPr="002B65F7" w:rsidRDefault="004F7803" w:rsidP="00496255">
      <w:pPr>
        <w:widowControl/>
        <w:rPr>
          <w:b/>
          <w:bCs/>
        </w:rPr>
      </w:pPr>
    </w:p>
    <w:p w14:paraId="03B58DA7" w14:textId="29A5F725" w:rsidR="00092F83" w:rsidRPr="002B65F7" w:rsidRDefault="00C31740" w:rsidP="00496255">
      <w:pPr>
        <w:widowControl/>
        <w:rPr>
          <w:b/>
          <w:bCs/>
        </w:rPr>
      </w:pPr>
      <w:r w:rsidRPr="002B65F7">
        <w:rPr>
          <w:b/>
          <w:bCs/>
        </w:rPr>
        <w:t xml:space="preserve">Réactions liées à la perfusion – Si vous êtes traités pour la maladie de Crohn, la première dose de </w:t>
      </w:r>
      <w:r w:rsidR="00195D7E" w:rsidRPr="002B65F7">
        <w:rPr>
          <w:b/>
          <w:bCs/>
        </w:rPr>
        <w:t>WEZENLA</w:t>
      </w:r>
      <w:r w:rsidRPr="002B65F7">
        <w:rPr>
          <w:b/>
          <w:bCs/>
        </w:rPr>
        <w:t xml:space="preserve"> est administrée à l’aide d’une perfusion dans une veine (perfusion intraveineuse). Certains patients ont présenté de graves réactions allergiques pendant la perfusion.</w:t>
      </w:r>
    </w:p>
    <w:p w14:paraId="03B58DA8" w14:textId="77777777" w:rsidR="00092F83" w:rsidRPr="002B65F7" w:rsidRDefault="00092F83" w:rsidP="00496255">
      <w:pPr>
        <w:widowControl/>
      </w:pPr>
    </w:p>
    <w:p w14:paraId="03B58DA9" w14:textId="59945B40" w:rsidR="00092F83" w:rsidRPr="002B65F7" w:rsidRDefault="00C31740" w:rsidP="00496255">
      <w:pPr>
        <w:widowControl/>
        <w:rPr>
          <w:b/>
          <w:bCs/>
        </w:rPr>
      </w:pPr>
      <w:r w:rsidRPr="002B65F7">
        <w:rPr>
          <w:b/>
          <w:bCs/>
        </w:rPr>
        <w:t xml:space="preserve">Dans de rares cas, des réactions allergiques pulmonaires et une inflammation pulmonaire ont été signalées chez des patients traités par </w:t>
      </w:r>
      <w:r w:rsidR="0071390F" w:rsidRPr="002B65F7">
        <w:rPr>
          <w:b/>
          <w:bCs/>
        </w:rPr>
        <w:t>ustekinumab</w:t>
      </w:r>
      <w:r w:rsidRPr="002B65F7">
        <w:rPr>
          <w:b/>
          <w:bCs/>
        </w:rPr>
        <w:t>. Informez immédiatement votre médecin si vous présentez des symptômes comme la toux, l’essoufflement et la fièvre.</w:t>
      </w:r>
    </w:p>
    <w:p w14:paraId="03B58DAA" w14:textId="77777777" w:rsidR="00092F83" w:rsidRPr="002B65F7" w:rsidRDefault="00092F83" w:rsidP="00496255">
      <w:pPr>
        <w:widowControl/>
      </w:pPr>
    </w:p>
    <w:p w14:paraId="03B58DAB" w14:textId="686509F2" w:rsidR="00092F83" w:rsidRPr="002B65F7" w:rsidRDefault="00C31740" w:rsidP="00496255">
      <w:pPr>
        <w:widowControl/>
      </w:pPr>
      <w:r w:rsidRPr="002B65F7">
        <w:t xml:space="preserve">Si vous avez une réaction allergique grave, votre médecin peut décider que vous ne devez plus utiliser </w:t>
      </w:r>
      <w:r w:rsidR="00195D7E" w:rsidRPr="002B65F7">
        <w:t>WEZENLA</w:t>
      </w:r>
      <w:r w:rsidRPr="002B65F7">
        <w:t>.</w:t>
      </w:r>
    </w:p>
    <w:p w14:paraId="343B64C1" w14:textId="77777777" w:rsidR="00374B1A" w:rsidRPr="002B65F7" w:rsidRDefault="00374B1A" w:rsidP="00496255">
      <w:pPr>
        <w:widowControl/>
      </w:pPr>
    </w:p>
    <w:p w14:paraId="03B58DAC" w14:textId="77777777" w:rsidR="00092F83" w:rsidRPr="002B65F7" w:rsidRDefault="00C31740" w:rsidP="00496255">
      <w:pPr>
        <w:keepNext/>
        <w:widowControl/>
        <w:rPr>
          <w:b/>
          <w:bCs/>
        </w:rPr>
      </w:pPr>
      <w:r w:rsidRPr="002B65F7">
        <w:rPr>
          <w:b/>
          <w:bCs/>
        </w:rPr>
        <w:t>Infections - elles peuvent nécessiter un traitement urgent. Informez votre médecin immédiatement si vous constatez l’un des signes suivants.</w:t>
      </w:r>
    </w:p>
    <w:p w14:paraId="03B58DAD" w14:textId="06C38642" w:rsidR="00092F83" w:rsidRPr="002B65F7" w:rsidRDefault="00C31740" w:rsidP="007A7B22">
      <w:pPr>
        <w:pStyle w:val="ListParagraph"/>
        <w:widowControl/>
        <w:numPr>
          <w:ilvl w:val="0"/>
          <w:numId w:val="22"/>
        </w:numPr>
        <w:ind w:left="567" w:hanging="567"/>
      </w:pPr>
      <w:r w:rsidRPr="002B65F7">
        <w:t>Les infections du nez ou de la gorge et les rhumes sont fréquents (peuvent affecter jusqu’à 1</w:t>
      </w:r>
      <w:r w:rsidR="00E63A58" w:rsidRPr="002B65F7">
        <w:t> </w:t>
      </w:r>
      <w:r w:rsidRPr="002B65F7">
        <w:t>personne sur</w:t>
      </w:r>
      <w:r w:rsidR="00E63A58" w:rsidRPr="002B65F7">
        <w:t> </w:t>
      </w:r>
      <w:r w:rsidRPr="002B65F7">
        <w:t>10)</w:t>
      </w:r>
    </w:p>
    <w:p w14:paraId="03B58DAE" w14:textId="16DD41DD" w:rsidR="00092F83" w:rsidRPr="002B65F7" w:rsidRDefault="00C31740" w:rsidP="007A7B22">
      <w:pPr>
        <w:pStyle w:val="ListParagraph"/>
        <w:widowControl/>
        <w:numPr>
          <w:ilvl w:val="0"/>
          <w:numId w:val="22"/>
        </w:numPr>
        <w:ind w:left="567" w:hanging="567"/>
      </w:pPr>
      <w:r w:rsidRPr="002B65F7">
        <w:t>Les infections thoraciques sont peu fréquentes (peuvent affecter jusqu’à 1</w:t>
      </w:r>
      <w:r w:rsidR="00887873" w:rsidRPr="002B65F7">
        <w:t> </w:t>
      </w:r>
      <w:r w:rsidRPr="002B65F7">
        <w:t>personne sur</w:t>
      </w:r>
      <w:r w:rsidR="00887873" w:rsidRPr="002B65F7">
        <w:t> </w:t>
      </w:r>
      <w:r w:rsidRPr="002B65F7">
        <w:t>100)</w:t>
      </w:r>
    </w:p>
    <w:p w14:paraId="03B58DAF" w14:textId="3A00E708" w:rsidR="00092F83" w:rsidRPr="002B65F7" w:rsidRDefault="00C31740" w:rsidP="007A7B22">
      <w:pPr>
        <w:pStyle w:val="ListParagraph"/>
        <w:widowControl/>
        <w:numPr>
          <w:ilvl w:val="0"/>
          <w:numId w:val="22"/>
        </w:numPr>
        <w:ind w:left="567" w:hanging="567"/>
      </w:pPr>
      <w:r w:rsidRPr="002B65F7">
        <w:t>L’inflammation des tissus sous la peau (« cellulite ») est peu fréquente (peut affecter jusqu’à 1</w:t>
      </w:r>
      <w:r w:rsidR="00887873" w:rsidRPr="002B65F7">
        <w:t> </w:t>
      </w:r>
      <w:r w:rsidRPr="002B65F7">
        <w:t>personne sur</w:t>
      </w:r>
      <w:r w:rsidR="00887873" w:rsidRPr="002B65F7">
        <w:t> </w:t>
      </w:r>
      <w:r w:rsidRPr="002B65F7">
        <w:t>100)</w:t>
      </w:r>
    </w:p>
    <w:p w14:paraId="03B58DB0" w14:textId="01182BF8" w:rsidR="00092F83" w:rsidRPr="002B65F7" w:rsidRDefault="00C31740" w:rsidP="007A7B22">
      <w:pPr>
        <w:pStyle w:val="ListParagraph"/>
        <w:widowControl/>
        <w:numPr>
          <w:ilvl w:val="0"/>
          <w:numId w:val="22"/>
        </w:numPr>
        <w:ind w:left="567" w:hanging="567"/>
      </w:pPr>
      <w:r w:rsidRPr="002B65F7">
        <w:t>Les zona (un type d’éruption cutanée douloureuse avec des cloques) sont peu fréquents (peuvent affecter jusqu’à 1</w:t>
      </w:r>
      <w:r w:rsidR="00887873" w:rsidRPr="002B65F7">
        <w:t> </w:t>
      </w:r>
      <w:r w:rsidRPr="002B65F7">
        <w:t>personne sur</w:t>
      </w:r>
      <w:r w:rsidR="00887873" w:rsidRPr="002B65F7">
        <w:t> </w:t>
      </w:r>
      <w:r w:rsidRPr="002B65F7">
        <w:t>100)</w:t>
      </w:r>
    </w:p>
    <w:p w14:paraId="330F0C21" w14:textId="77777777" w:rsidR="00374B1A" w:rsidRPr="002B65F7" w:rsidRDefault="00374B1A" w:rsidP="00496255">
      <w:pPr>
        <w:widowControl/>
      </w:pPr>
    </w:p>
    <w:p w14:paraId="03B58DB1" w14:textId="01041177" w:rsidR="00092F83" w:rsidRPr="002B65F7" w:rsidRDefault="00195D7E" w:rsidP="00496255">
      <w:pPr>
        <w:widowControl/>
      </w:pPr>
      <w:r w:rsidRPr="002B65F7">
        <w:t>WEZENLA</w:t>
      </w:r>
      <w:r w:rsidR="00C31740" w:rsidRPr="002B65F7">
        <w:t xml:space="preserve"> peut altérer votre capacité à lutter contre les infections. Certaines infections peuvent devenir graves et peuvent comprendre des infections d’origine virale, fongique, bactérienne (notamment la tuberculose), ou parasitaire, y compris des infections survenant principalement chez les personnes présentant un système immunitaire plus faible (infections opportunistes). Des infections opportunistes du cerveau (encéphalite, méningite), des poumons et des yeux ont été rapportées chez des patients recevant un traitement par </w:t>
      </w:r>
      <w:r w:rsidR="0071390F" w:rsidRPr="002B65F7">
        <w:t>ustekinumab</w:t>
      </w:r>
      <w:r w:rsidR="00C31740" w:rsidRPr="002B65F7">
        <w:t>.</w:t>
      </w:r>
    </w:p>
    <w:p w14:paraId="03B58DB2" w14:textId="77777777" w:rsidR="00092F83" w:rsidRPr="002B65F7" w:rsidRDefault="00092F83" w:rsidP="00496255">
      <w:pPr>
        <w:widowControl/>
      </w:pPr>
    </w:p>
    <w:p w14:paraId="03B58DB3" w14:textId="0557348B" w:rsidR="00092F83" w:rsidRPr="002B65F7" w:rsidRDefault="00C31740" w:rsidP="00496255">
      <w:pPr>
        <w:keepNext/>
        <w:widowControl/>
      </w:pPr>
      <w:r w:rsidRPr="002B65F7">
        <w:t xml:space="preserve">Vous devez faire attention aux signes d’infection pendant que vous utilisez </w:t>
      </w:r>
      <w:r w:rsidR="00195D7E" w:rsidRPr="002B65F7">
        <w:t>WEZENLA</w:t>
      </w:r>
      <w:r w:rsidRPr="002B65F7">
        <w:t>. Ceux-ci incluent :</w:t>
      </w:r>
    </w:p>
    <w:p w14:paraId="03B58DB4" w14:textId="7355F9C9" w:rsidR="00092F83" w:rsidRPr="002B65F7" w:rsidRDefault="00C31740" w:rsidP="007A7B22">
      <w:pPr>
        <w:pStyle w:val="ListParagraph"/>
        <w:widowControl/>
        <w:numPr>
          <w:ilvl w:val="0"/>
          <w:numId w:val="22"/>
        </w:numPr>
        <w:ind w:left="567" w:hanging="567"/>
      </w:pPr>
      <w:r w:rsidRPr="002B65F7">
        <w:t>Fièvre, symptômes pseudo-grippaux, sueurs nocturnes, perte de poids</w:t>
      </w:r>
    </w:p>
    <w:p w14:paraId="03B58DB5" w14:textId="54C3BF3E" w:rsidR="00092F83" w:rsidRPr="002B65F7" w:rsidRDefault="00C31740" w:rsidP="007A7B22">
      <w:pPr>
        <w:pStyle w:val="ListParagraph"/>
        <w:widowControl/>
        <w:numPr>
          <w:ilvl w:val="0"/>
          <w:numId w:val="22"/>
        </w:numPr>
        <w:ind w:left="567" w:hanging="567"/>
      </w:pPr>
      <w:r w:rsidRPr="002B65F7">
        <w:t>Sensation de fatigue ou d’essoufflement ; toux qui ne passe pas</w:t>
      </w:r>
    </w:p>
    <w:p w14:paraId="03B58DB6" w14:textId="12057D87" w:rsidR="00092F83" w:rsidRPr="002B65F7" w:rsidRDefault="00C31740" w:rsidP="007A7B22">
      <w:pPr>
        <w:pStyle w:val="ListParagraph"/>
        <w:widowControl/>
        <w:numPr>
          <w:ilvl w:val="0"/>
          <w:numId w:val="22"/>
        </w:numPr>
        <w:ind w:left="567" w:hanging="567"/>
      </w:pPr>
      <w:r w:rsidRPr="002B65F7">
        <w:t>Peau chaude, rouge et douloureuse, ou une éruption cutanée douloureuse avec des cloques</w:t>
      </w:r>
    </w:p>
    <w:p w14:paraId="03B58DB7" w14:textId="5D96A0BC" w:rsidR="00092F83" w:rsidRPr="002B65F7" w:rsidRDefault="00C31740" w:rsidP="007A7B22">
      <w:pPr>
        <w:pStyle w:val="ListParagraph"/>
        <w:widowControl/>
        <w:numPr>
          <w:ilvl w:val="0"/>
          <w:numId w:val="22"/>
        </w:numPr>
        <w:ind w:left="567" w:hanging="567"/>
      </w:pPr>
      <w:r w:rsidRPr="002B65F7">
        <w:t>Sensation de brûlure lorsque vous urinez</w:t>
      </w:r>
    </w:p>
    <w:p w14:paraId="03B58DB8" w14:textId="474F6825" w:rsidR="00092F83" w:rsidRPr="002B65F7" w:rsidRDefault="00C31740" w:rsidP="007A7B22">
      <w:pPr>
        <w:pStyle w:val="ListParagraph"/>
        <w:widowControl/>
        <w:numPr>
          <w:ilvl w:val="0"/>
          <w:numId w:val="22"/>
        </w:numPr>
        <w:ind w:left="567" w:hanging="567"/>
      </w:pPr>
      <w:r w:rsidRPr="002B65F7">
        <w:t>Diarrhées</w:t>
      </w:r>
    </w:p>
    <w:p w14:paraId="03B58DB9" w14:textId="153E06E3" w:rsidR="00092F83" w:rsidRPr="002B65F7" w:rsidRDefault="00C31740" w:rsidP="007A7B22">
      <w:pPr>
        <w:pStyle w:val="ListParagraph"/>
        <w:widowControl/>
        <w:numPr>
          <w:ilvl w:val="0"/>
          <w:numId w:val="22"/>
        </w:numPr>
        <w:ind w:left="567" w:hanging="567"/>
      </w:pPr>
      <w:r w:rsidRPr="002B65F7">
        <w:t>Troubles visuels ou perte de la vue</w:t>
      </w:r>
    </w:p>
    <w:p w14:paraId="03B58DBA" w14:textId="22B1EE89" w:rsidR="00092F83" w:rsidRPr="002B65F7" w:rsidRDefault="00C31740" w:rsidP="007A7B22">
      <w:pPr>
        <w:pStyle w:val="ListParagraph"/>
        <w:widowControl/>
        <w:numPr>
          <w:ilvl w:val="0"/>
          <w:numId w:val="22"/>
        </w:numPr>
        <w:ind w:left="567" w:hanging="567"/>
      </w:pPr>
      <w:r w:rsidRPr="002B65F7">
        <w:t>Maux de tête, raideur de la nuque, sensibilité à la lumière, nausées ou confusion.</w:t>
      </w:r>
    </w:p>
    <w:p w14:paraId="6D50020A" w14:textId="77777777" w:rsidR="00374B1A" w:rsidRPr="002B65F7" w:rsidRDefault="00374B1A" w:rsidP="00496255">
      <w:pPr>
        <w:widowControl/>
      </w:pPr>
    </w:p>
    <w:p w14:paraId="03B58DBB" w14:textId="4FAD7C79" w:rsidR="00092F83" w:rsidRPr="002B65F7" w:rsidRDefault="00C31740" w:rsidP="00496255">
      <w:pPr>
        <w:widowControl/>
      </w:pPr>
      <w:r w:rsidRPr="002B65F7">
        <w:t xml:space="preserve">Informez votre médecin immédiatement si vous constatez l’un de ces signes d’infection. Ils peuvent être des signes d’infections telles que des infections thoraciques, des infections de la peau, un zona ou des infections opportunistes, qui pourraient conduire à des complications graves. Informez votre médecin si vous avez une infection qui ne passe pas ou qui revient. Votre médecin peut décider que vous ne devez plus utiliser </w:t>
      </w:r>
      <w:r w:rsidR="00195D7E" w:rsidRPr="002B65F7">
        <w:t>WEZENLA</w:t>
      </w:r>
      <w:r w:rsidRPr="002B65F7">
        <w:t xml:space="preserve"> jusqu’à ce que l’infection soit partie. Informez également votre médecin si vous avez des coupures ou des plaies ouvertes car elles pourraient s’infecter.</w:t>
      </w:r>
    </w:p>
    <w:p w14:paraId="03B58DBC" w14:textId="77777777" w:rsidR="00092F83" w:rsidRPr="002B65F7" w:rsidRDefault="00092F83" w:rsidP="00496255">
      <w:pPr>
        <w:widowControl/>
      </w:pPr>
    </w:p>
    <w:p w14:paraId="03B58DBD" w14:textId="77777777" w:rsidR="00092F83" w:rsidRPr="002B65F7" w:rsidRDefault="00C31740" w:rsidP="00496255">
      <w:pPr>
        <w:widowControl/>
        <w:rPr>
          <w:b/>
          <w:bCs/>
        </w:rPr>
      </w:pPr>
      <w:r w:rsidRPr="002B65F7">
        <w:rPr>
          <w:b/>
          <w:bCs/>
        </w:rPr>
        <w:t>Desquamation de la peau – l’augmentation de la rougeur et de la desquamation de la peau sur une surface corporelle plus étendue peuvent être des symptômes de psoriasis érythrodermique ou d’érythrodermie, qui sont des atteintes graves de la peau. Vous devez informer immédiatement votre médecin si vous remarquez un de ces signes.</w:t>
      </w:r>
    </w:p>
    <w:p w14:paraId="37871016" w14:textId="77777777" w:rsidR="00374B1A" w:rsidRPr="002B65F7" w:rsidRDefault="00374B1A" w:rsidP="00496255">
      <w:pPr>
        <w:widowControl/>
        <w:rPr>
          <w:b/>
          <w:bCs/>
        </w:rPr>
      </w:pPr>
    </w:p>
    <w:p w14:paraId="03B58DBE" w14:textId="77777777" w:rsidR="00092F83" w:rsidRPr="002B65F7" w:rsidRDefault="00C31740" w:rsidP="004F7803">
      <w:pPr>
        <w:keepNext/>
        <w:widowControl/>
        <w:rPr>
          <w:b/>
          <w:bCs/>
        </w:rPr>
      </w:pPr>
      <w:r w:rsidRPr="002B65F7">
        <w:rPr>
          <w:b/>
          <w:bCs/>
        </w:rPr>
        <w:t>Autres effets indésirables</w:t>
      </w:r>
    </w:p>
    <w:p w14:paraId="472A1056" w14:textId="77777777" w:rsidR="00374B1A" w:rsidRPr="002B65F7" w:rsidRDefault="00374B1A" w:rsidP="004F7803">
      <w:pPr>
        <w:keepNext/>
        <w:widowControl/>
        <w:rPr>
          <w:b/>
          <w:bCs/>
        </w:rPr>
      </w:pPr>
    </w:p>
    <w:p w14:paraId="03B58DC0" w14:textId="4E386C2A" w:rsidR="00092F83" w:rsidRPr="002B65F7" w:rsidRDefault="00C31740" w:rsidP="00496255">
      <w:pPr>
        <w:keepNext/>
        <w:widowControl/>
      </w:pPr>
      <w:r w:rsidRPr="002B65F7">
        <w:rPr>
          <w:b/>
          <w:bCs/>
        </w:rPr>
        <w:t>Effets indésirables fréquents</w:t>
      </w:r>
      <w:r w:rsidRPr="002B65F7">
        <w:t xml:space="preserve"> (peuvent affecter jusqu’à 1</w:t>
      </w:r>
      <w:r w:rsidR="00887873" w:rsidRPr="002B65F7">
        <w:t> </w:t>
      </w:r>
      <w:r w:rsidRPr="002B65F7">
        <w:t>personne sur</w:t>
      </w:r>
      <w:r w:rsidR="00887873" w:rsidRPr="002B65F7">
        <w:t> </w:t>
      </w:r>
      <w:r w:rsidRPr="002B65F7">
        <w:t>10) :</w:t>
      </w:r>
    </w:p>
    <w:p w14:paraId="03B58DC1" w14:textId="067C6BF7" w:rsidR="00092F83" w:rsidRPr="002B65F7" w:rsidRDefault="00C31740" w:rsidP="007A7B22">
      <w:pPr>
        <w:pStyle w:val="ListParagraph"/>
        <w:widowControl/>
        <w:numPr>
          <w:ilvl w:val="0"/>
          <w:numId w:val="23"/>
        </w:numPr>
        <w:tabs>
          <w:tab w:val="left" w:pos="567"/>
        </w:tabs>
        <w:ind w:left="567" w:hanging="567"/>
      </w:pPr>
      <w:r w:rsidRPr="002B65F7">
        <w:t>Diarrhées</w:t>
      </w:r>
    </w:p>
    <w:p w14:paraId="03B58DC2" w14:textId="0A52F287" w:rsidR="00092F83" w:rsidRPr="002B65F7" w:rsidRDefault="00C31740" w:rsidP="007A7B22">
      <w:pPr>
        <w:pStyle w:val="ListParagraph"/>
        <w:widowControl/>
        <w:numPr>
          <w:ilvl w:val="0"/>
          <w:numId w:val="23"/>
        </w:numPr>
        <w:tabs>
          <w:tab w:val="left" w:pos="567"/>
        </w:tabs>
        <w:ind w:left="567" w:hanging="567"/>
      </w:pPr>
      <w:r w:rsidRPr="002B65F7">
        <w:t>Nausées</w:t>
      </w:r>
    </w:p>
    <w:p w14:paraId="03B58DC3" w14:textId="5B5379EA" w:rsidR="00092F83" w:rsidRPr="002B65F7" w:rsidRDefault="00C31740" w:rsidP="007A7B22">
      <w:pPr>
        <w:pStyle w:val="ListParagraph"/>
        <w:widowControl/>
        <w:numPr>
          <w:ilvl w:val="0"/>
          <w:numId w:val="23"/>
        </w:numPr>
        <w:tabs>
          <w:tab w:val="left" w:pos="567"/>
        </w:tabs>
        <w:ind w:left="567" w:hanging="567"/>
      </w:pPr>
      <w:r w:rsidRPr="002B65F7">
        <w:t>Vomissements</w:t>
      </w:r>
    </w:p>
    <w:p w14:paraId="03B58DC4" w14:textId="0B840EB4" w:rsidR="00092F83" w:rsidRPr="002B65F7" w:rsidRDefault="00C31740" w:rsidP="007A7B22">
      <w:pPr>
        <w:pStyle w:val="ListParagraph"/>
        <w:widowControl/>
        <w:numPr>
          <w:ilvl w:val="0"/>
          <w:numId w:val="23"/>
        </w:numPr>
        <w:tabs>
          <w:tab w:val="left" w:pos="567"/>
        </w:tabs>
        <w:ind w:left="567" w:hanging="567"/>
      </w:pPr>
      <w:r w:rsidRPr="002B65F7">
        <w:t>Sensations de fatigue</w:t>
      </w:r>
    </w:p>
    <w:p w14:paraId="03B58DC5" w14:textId="711990A6" w:rsidR="00092F83" w:rsidRPr="002B65F7" w:rsidRDefault="00C31740" w:rsidP="007A7B22">
      <w:pPr>
        <w:pStyle w:val="ListParagraph"/>
        <w:widowControl/>
        <w:numPr>
          <w:ilvl w:val="0"/>
          <w:numId w:val="23"/>
        </w:numPr>
        <w:tabs>
          <w:tab w:val="left" w:pos="567"/>
        </w:tabs>
        <w:ind w:left="567" w:hanging="567"/>
      </w:pPr>
      <w:r w:rsidRPr="002B65F7">
        <w:t>Vertiges</w:t>
      </w:r>
    </w:p>
    <w:p w14:paraId="03B58DC6" w14:textId="39EAB551" w:rsidR="00092F83" w:rsidRPr="002B65F7" w:rsidRDefault="00C31740" w:rsidP="007A7B22">
      <w:pPr>
        <w:pStyle w:val="ListParagraph"/>
        <w:widowControl/>
        <w:numPr>
          <w:ilvl w:val="0"/>
          <w:numId w:val="23"/>
        </w:numPr>
        <w:tabs>
          <w:tab w:val="left" w:pos="567"/>
        </w:tabs>
        <w:ind w:left="567" w:hanging="567"/>
      </w:pPr>
      <w:r w:rsidRPr="002B65F7">
        <w:t>Mal de tête</w:t>
      </w:r>
    </w:p>
    <w:p w14:paraId="03B58DC7" w14:textId="3B4C59C7" w:rsidR="00092F83" w:rsidRPr="002B65F7" w:rsidRDefault="00C31740" w:rsidP="007A7B22">
      <w:pPr>
        <w:pStyle w:val="ListParagraph"/>
        <w:widowControl/>
        <w:numPr>
          <w:ilvl w:val="0"/>
          <w:numId w:val="23"/>
        </w:numPr>
        <w:tabs>
          <w:tab w:val="left" w:pos="567"/>
        </w:tabs>
        <w:ind w:left="567" w:hanging="567"/>
      </w:pPr>
      <w:r w:rsidRPr="002B65F7">
        <w:t>Démangeaisons (« prurit »)</w:t>
      </w:r>
    </w:p>
    <w:p w14:paraId="03B58DC8" w14:textId="0BCB81BE" w:rsidR="00092F83" w:rsidRPr="002B65F7" w:rsidRDefault="00C31740" w:rsidP="007A7B22">
      <w:pPr>
        <w:pStyle w:val="ListParagraph"/>
        <w:widowControl/>
        <w:numPr>
          <w:ilvl w:val="0"/>
          <w:numId w:val="23"/>
        </w:numPr>
        <w:tabs>
          <w:tab w:val="left" w:pos="567"/>
        </w:tabs>
        <w:ind w:left="567" w:hanging="567"/>
      </w:pPr>
      <w:r w:rsidRPr="002B65F7">
        <w:t>Douleurs du dos, des muscles ou des articulations</w:t>
      </w:r>
    </w:p>
    <w:p w14:paraId="03B58DC9" w14:textId="3B30400E" w:rsidR="00092F83" w:rsidRPr="002B65F7" w:rsidRDefault="00C31740" w:rsidP="007A7B22">
      <w:pPr>
        <w:pStyle w:val="ListParagraph"/>
        <w:widowControl/>
        <w:numPr>
          <w:ilvl w:val="0"/>
          <w:numId w:val="23"/>
        </w:numPr>
        <w:tabs>
          <w:tab w:val="left" w:pos="567"/>
        </w:tabs>
        <w:ind w:left="567" w:hanging="567"/>
      </w:pPr>
      <w:r w:rsidRPr="002B65F7">
        <w:t>Mal de gorge</w:t>
      </w:r>
    </w:p>
    <w:p w14:paraId="03B58DCA" w14:textId="1579790F" w:rsidR="00092F83" w:rsidRPr="002B65F7" w:rsidRDefault="00C31740" w:rsidP="007A7B22">
      <w:pPr>
        <w:pStyle w:val="ListParagraph"/>
        <w:widowControl/>
        <w:numPr>
          <w:ilvl w:val="0"/>
          <w:numId w:val="23"/>
        </w:numPr>
        <w:tabs>
          <w:tab w:val="left" w:pos="567"/>
        </w:tabs>
        <w:ind w:left="567" w:hanging="567"/>
      </w:pPr>
      <w:r w:rsidRPr="002B65F7">
        <w:t>Rougeur et douleur au site d’injection</w:t>
      </w:r>
    </w:p>
    <w:p w14:paraId="03B58DCB" w14:textId="076BF809" w:rsidR="00092F83" w:rsidRPr="002B65F7" w:rsidRDefault="00C31740" w:rsidP="007A7B22">
      <w:pPr>
        <w:pStyle w:val="ListParagraph"/>
        <w:widowControl/>
        <w:numPr>
          <w:ilvl w:val="0"/>
          <w:numId w:val="23"/>
        </w:numPr>
        <w:tabs>
          <w:tab w:val="left" w:pos="567"/>
        </w:tabs>
        <w:ind w:left="567" w:hanging="567"/>
      </w:pPr>
      <w:r w:rsidRPr="002B65F7">
        <w:t>Infection des sinus</w:t>
      </w:r>
    </w:p>
    <w:p w14:paraId="51FAD26C" w14:textId="77777777" w:rsidR="000E40C0" w:rsidRPr="002B65F7" w:rsidRDefault="000E40C0" w:rsidP="00496255">
      <w:pPr>
        <w:widowControl/>
      </w:pPr>
    </w:p>
    <w:p w14:paraId="03B58DCC" w14:textId="77777777" w:rsidR="00092F83" w:rsidRPr="002B65F7" w:rsidRDefault="00C31740" w:rsidP="00496255">
      <w:pPr>
        <w:keepNext/>
        <w:widowControl/>
      </w:pPr>
      <w:r w:rsidRPr="002B65F7">
        <w:rPr>
          <w:b/>
          <w:bCs/>
        </w:rPr>
        <w:t>Effets indésirables peu fréquents</w:t>
      </w:r>
      <w:r w:rsidRPr="002B65F7">
        <w:t xml:space="preserve"> (peuvent affecter jusqu’à 1 personne sur 100) :</w:t>
      </w:r>
    </w:p>
    <w:p w14:paraId="03B58DCD" w14:textId="700FB6E4" w:rsidR="00092F83" w:rsidRPr="002B65F7" w:rsidRDefault="00C31740" w:rsidP="007A7B22">
      <w:pPr>
        <w:pStyle w:val="ListParagraph"/>
        <w:widowControl/>
        <w:numPr>
          <w:ilvl w:val="0"/>
          <w:numId w:val="23"/>
        </w:numPr>
        <w:tabs>
          <w:tab w:val="left" w:pos="567"/>
        </w:tabs>
        <w:ind w:left="567" w:hanging="567"/>
      </w:pPr>
      <w:r w:rsidRPr="002B65F7">
        <w:t>Infections dentaires</w:t>
      </w:r>
    </w:p>
    <w:p w14:paraId="03B58DCE" w14:textId="0552D560" w:rsidR="00092F83" w:rsidRPr="002B65F7" w:rsidRDefault="00C31740" w:rsidP="007A7B22">
      <w:pPr>
        <w:pStyle w:val="ListParagraph"/>
        <w:widowControl/>
        <w:numPr>
          <w:ilvl w:val="0"/>
          <w:numId w:val="23"/>
        </w:numPr>
        <w:tabs>
          <w:tab w:val="left" w:pos="567"/>
        </w:tabs>
        <w:ind w:left="567" w:hanging="567"/>
      </w:pPr>
      <w:r w:rsidRPr="002B65F7">
        <w:t>Infection mycotique vaginale</w:t>
      </w:r>
    </w:p>
    <w:p w14:paraId="03B58DCF" w14:textId="73F3B905" w:rsidR="00092F83" w:rsidRPr="002B65F7" w:rsidRDefault="00C31740" w:rsidP="007A7B22">
      <w:pPr>
        <w:pStyle w:val="ListParagraph"/>
        <w:widowControl/>
        <w:numPr>
          <w:ilvl w:val="0"/>
          <w:numId w:val="23"/>
        </w:numPr>
        <w:tabs>
          <w:tab w:val="left" w:pos="567"/>
        </w:tabs>
        <w:ind w:left="567" w:hanging="567"/>
      </w:pPr>
      <w:r w:rsidRPr="002B65F7">
        <w:t>Dépression</w:t>
      </w:r>
    </w:p>
    <w:p w14:paraId="03B58DD0" w14:textId="06989A64" w:rsidR="00092F83" w:rsidRPr="002B65F7" w:rsidRDefault="00C31740" w:rsidP="007A7B22">
      <w:pPr>
        <w:pStyle w:val="ListParagraph"/>
        <w:widowControl/>
        <w:numPr>
          <w:ilvl w:val="0"/>
          <w:numId w:val="23"/>
        </w:numPr>
        <w:tabs>
          <w:tab w:val="left" w:pos="567"/>
        </w:tabs>
        <w:ind w:left="567" w:hanging="567"/>
      </w:pPr>
      <w:r w:rsidRPr="002B65F7">
        <w:t>Nez bouché ou congestionné</w:t>
      </w:r>
    </w:p>
    <w:p w14:paraId="03B58DD1" w14:textId="154E1221" w:rsidR="00092F83" w:rsidRPr="002B65F7" w:rsidRDefault="00C31740" w:rsidP="007A7B22">
      <w:pPr>
        <w:pStyle w:val="ListParagraph"/>
        <w:widowControl/>
        <w:numPr>
          <w:ilvl w:val="0"/>
          <w:numId w:val="23"/>
        </w:numPr>
        <w:tabs>
          <w:tab w:val="left" w:pos="567"/>
        </w:tabs>
        <w:ind w:left="567" w:hanging="567"/>
      </w:pPr>
      <w:r w:rsidRPr="002B65F7">
        <w:t>Saignement, ecchymose (bleu), induration, gonflement et démangeaisons au site d’injection.</w:t>
      </w:r>
    </w:p>
    <w:p w14:paraId="03B58DD2" w14:textId="2C854F9F" w:rsidR="00092F83" w:rsidRPr="002B65F7" w:rsidRDefault="00C31740" w:rsidP="007A7B22">
      <w:pPr>
        <w:pStyle w:val="ListParagraph"/>
        <w:widowControl/>
        <w:numPr>
          <w:ilvl w:val="0"/>
          <w:numId w:val="23"/>
        </w:numPr>
        <w:tabs>
          <w:tab w:val="left" w:pos="567"/>
        </w:tabs>
        <w:ind w:left="567" w:hanging="567"/>
      </w:pPr>
      <w:r w:rsidRPr="002B65F7">
        <w:t>Sensation de faiblesse</w:t>
      </w:r>
    </w:p>
    <w:p w14:paraId="03B58DD4" w14:textId="2A561607" w:rsidR="00092F83" w:rsidRPr="002B65F7" w:rsidRDefault="00C31740" w:rsidP="007A7B22">
      <w:pPr>
        <w:pStyle w:val="ListParagraph"/>
        <w:widowControl/>
        <w:numPr>
          <w:ilvl w:val="0"/>
          <w:numId w:val="23"/>
        </w:numPr>
        <w:tabs>
          <w:tab w:val="left" w:pos="567"/>
        </w:tabs>
        <w:ind w:left="567" w:hanging="567"/>
      </w:pPr>
      <w:r w:rsidRPr="002B65F7">
        <w:t>Paupière tombante et muscles affaissés sur un côté du visage (« paralysie faciale » ou</w:t>
      </w:r>
      <w:r w:rsidR="00162C34" w:rsidRPr="002B65F7">
        <w:t xml:space="preserve"> </w:t>
      </w:r>
      <w:r w:rsidRPr="002B65F7">
        <w:t>« paralysie dite de Bell »), ce qui est généralement temporaire</w:t>
      </w:r>
    </w:p>
    <w:p w14:paraId="03B58DD5" w14:textId="48504290" w:rsidR="00092F83" w:rsidRPr="002B65F7" w:rsidRDefault="00C31740" w:rsidP="007A7B22">
      <w:pPr>
        <w:pStyle w:val="ListParagraph"/>
        <w:widowControl/>
        <w:numPr>
          <w:ilvl w:val="0"/>
          <w:numId w:val="23"/>
        </w:numPr>
        <w:tabs>
          <w:tab w:val="left" w:pos="567"/>
        </w:tabs>
        <w:ind w:left="567" w:hanging="567"/>
      </w:pPr>
      <w:r w:rsidRPr="002B65F7">
        <w:t>Un changement de l’aspect du psoriasis avec rougeur et apparition de petites vésicules jaunes ou blanches, parfois accompagnées de fièvre (psoriasis pustuleux).</w:t>
      </w:r>
    </w:p>
    <w:p w14:paraId="03B58DD6" w14:textId="3D29D5E8" w:rsidR="00092F83" w:rsidRPr="002B65F7" w:rsidRDefault="00C31740" w:rsidP="007A7B22">
      <w:pPr>
        <w:pStyle w:val="ListParagraph"/>
        <w:widowControl/>
        <w:numPr>
          <w:ilvl w:val="0"/>
          <w:numId w:val="23"/>
        </w:numPr>
        <w:tabs>
          <w:tab w:val="left" w:pos="567"/>
        </w:tabs>
        <w:ind w:left="567" w:hanging="567"/>
      </w:pPr>
      <w:r w:rsidRPr="002B65F7">
        <w:t>Peau qui pèle (desquamation de la peau)</w:t>
      </w:r>
    </w:p>
    <w:p w14:paraId="03B58DD7" w14:textId="63B8DC69" w:rsidR="00092F83" w:rsidRPr="002B65F7" w:rsidRDefault="00C31740" w:rsidP="007A7B22">
      <w:pPr>
        <w:pStyle w:val="ListParagraph"/>
        <w:widowControl/>
        <w:numPr>
          <w:ilvl w:val="0"/>
          <w:numId w:val="23"/>
        </w:numPr>
        <w:tabs>
          <w:tab w:val="left" w:pos="567"/>
        </w:tabs>
        <w:ind w:left="567" w:hanging="567"/>
      </w:pPr>
      <w:r w:rsidRPr="002B65F7">
        <w:t>Acné</w:t>
      </w:r>
    </w:p>
    <w:p w14:paraId="0205B01F" w14:textId="77777777" w:rsidR="00162C34" w:rsidRPr="002B65F7" w:rsidRDefault="00162C34" w:rsidP="00496255">
      <w:pPr>
        <w:widowControl/>
      </w:pPr>
    </w:p>
    <w:p w14:paraId="03B58DD8" w14:textId="7EBCDD97" w:rsidR="00092F83" w:rsidRPr="002B65F7" w:rsidRDefault="00C31740" w:rsidP="00496255">
      <w:pPr>
        <w:keepNext/>
        <w:widowControl/>
      </w:pPr>
      <w:r w:rsidRPr="002B65F7">
        <w:rPr>
          <w:b/>
          <w:bCs/>
        </w:rPr>
        <w:t>Effets indésirables rares</w:t>
      </w:r>
      <w:r w:rsidRPr="002B65F7">
        <w:t xml:space="preserve"> (peuvent affecter jusqu’à 1 personne sur 1</w:t>
      </w:r>
      <w:r w:rsidR="00162C34" w:rsidRPr="002B65F7">
        <w:t> </w:t>
      </w:r>
      <w:r w:rsidRPr="002B65F7">
        <w:t>000) :</w:t>
      </w:r>
    </w:p>
    <w:p w14:paraId="03B58DD9" w14:textId="064F3C5A" w:rsidR="00092F83" w:rsidRPr="002B65F7" w:rsidRDefault="00C31740" w:rsidP="007A7B22">
      <w:pPr>
        <w:pStyle w:val="ListParagraph"/>
        <w:keepNext/>
        <w:widowControl/>
        <w:numPr>
          <w:ilvl w:val="0"/>
          <w:numId w:val="23"/>
        </w:numPr>
        <w:tabs>
          <w:tab w:val="left" w:pos="567"/>
        </w:tabs>
        <w:ind w:left="567" w:hanging="567"/>
      </w:pPr>
      <w:r w:rsidRPr="002B65F7">
        <w:t>Rougeur et desquamation de la peau sur une surface corporelle plus étendue, qui peut démanger ou être douloureuse (érythrodermie). Des symptômes semblables se développent parfois dans le cadre de l’évolution naturelle de la maladie (psoriasis érythrodermique).</w:t>
      </w:r>
    </w:p>
    <w:p w14:paraId="03B58DDA" w14:textId="4E130111" w:rsidR="00092F83" w:rsidRPr="002B65F7" w:rsidRDefault="00C31740" w:rsidP="007A7B22">
      <w:pPr>
        <w:pStyle w:val="ListParagraph"/>
        <w:widowControl/>
        <w:numPr>
          <w:ilvl w:val="0"/>
          <w:numId w:val="23"/>
        </w:numPr>
        <w:tabs>
          <w:tab w:val="left" w:pos="567"/>
        </w:tabs>
        <w:ind w:left="567" w:hanging="567"/>
      </w:pPr>
      <w:r w:rsidRPr="002B65F7">
        <w:t>Inflammation des petits vaisseaux sanguins, pouvant entraîner une éruption cutanée accompagnée de petits boutons rouges ou violets, de la fièvre ou des douleurs articulaires (vascularite).</w:t>
      </w:r>
    </w:p>
    <w:p w14:paraId="03B58DDB" w14:textId="77777777" w:rsidR="00092F83" w:rsidRPr="002B65F7" w:rsidRDefault="00092F83" w:rsidP="00496255">
      <w:pPr>
        <w:widowControl/>
      </w:pPr>
    </w:p>
    <w:p w14:paraId="03B58DDC" w14:textId="7D0BDE63" w:rsidR="00092F83" w:rsidRPr="002B65F7" w:rsidRDefault="00C31740" w:rsidP="00496255">
      <w:pPr>
        <w:keepNext/>
        <w:widowControl/>
      </w:pPr>
      <w:r w:rsidRPr="002B65F7">
        <w:rPr>
          <w:b/>
          <w:bCs/>
        </w:rPr>
        <w:t>Effets indésirables très rares</w:t>
      </w:r>
      <w:r w:rsidRPr="002B65F7">
        <w:t xml:space="preserve"> (peuvent affecter jusqu’à 1 personne sur 10</w:t>
      </w:r>
      <w:r w:rsidR="00162C34" w:rsidRPr="002B65F7">
        <w:t> </w:t>
      </w:r>
      <w:r w:rsidRPr="002B65F7">
        <w:t>000) :</w:t>
      </w:r>
    </w:p>
    <w:p w14:paraId="03B58DDD" w14:textId="5D6DB528" w:rsidR="00092F83" w:rsidRPr="002B65F7" w:rsidRDefault="00C31740" w:rsidP="007A7B22">
      <w:pPr>
        <w:pStyle w:val="ListParagraph"/>
        <w:keepNext/>
        <w:widowControl/>
        <w:numPr>
          <w:ilvl w:val="0"/>
          <w:numId w:val="23"/>
        </w:numPr>
        <w:tabs>
          <w:tab w:val="left" w:pos="567"/>
        </w:tabs>
        <w:ind w:left="567" w:hanging="567"/>
      </w:pPr>
      <w:r w:rsidRPr="002B65F7">
        <w:t>Formation de cloques sur la peau, potentiellement accompagnées d’une rougeur, de démangeaisons et de douleurs (pemphigoïde bulleuse).</w:t>
      </w:r>
    </w:p>
    <w:p w14:paraId="03B58DDE" w14:textId="520A3498" w:rsidR="00092F83" w:rsidRPr="002B65F7" w:rsidRDefault="00C31740" w:rsidP="007A7B22">
      <w:pPr>
        <w:pStyle w:val="ListParagraph"/>
        <w:widowControl/>
        <w:numPr>
          <w:ilvl w:val="0"/>
          <w:numId w:val="23"/>
        </w:numPr>
        <w:tabs>
          <w:tab w:val="left" w:pos="567"/>
        </w:tabs>
        <w:ind w:left="567" w:hanging="567"/>
      </w:pPr>
      <w:r w:rsidRPr="002B65F7">
        <w:t>Lupus cutané ou syndrome de type lupus (éruption cutanée rouge, en relief, squameuse sur les zones de peau exposées au soleil, éventuellement associée à des douleurs articulaires).</w:t>
      </w:r>
    </w:p>
    <w:p w14:paraId="5DDFB3C7" w14:textId="77777777" w:rsidR="00162C34" w:rsidRPr="002B65F7" w:rsidRDefault="00162C34" w:rsidP="00496255">
      <w:pPr>
        <w:widowControl/>
      </w:pPr>
    </w:p>
    <w:p w14:paraId="03B58DDF" w14:textId="2B32FB4E" w:rsidR="00092F83" w:rsidRPr="002B65F7" w:rsidRDefault="00C31740" w:rsidP="00496255">
      <w:pPr>
        <w:keepNext/>
        <w:widowControl/>
        <w:rPr>
          <w:b/>
          <w:bCs/>
        </w:rPr>
      </w:pPr>
      <w:r w:rsidRPr="002B65F7">
        <w:rPr>
          <w:b/>
          <w:bCs/>
        </w:rPr>
        <w:lastRenderedPageBreak/>
        <w:t>Déclaration des effets secondaires</w:t>
      </w:r>
    </w:p>
    <w:p w14:paraId="03B58DE0" w14:textId="0D117F97" w:rsidR="00092F83" w:rsidRPr="002B65F7" w:rsidRDefault="00C31740" w:rsidP="00496255">
      <w:pPr>
        <w:widowControl/>
      </w:pPr>
      <w:r w:rsidRPr="002B65F7">
        <w:t xml:space="preserve">Si vous ressentez un quelconque effet indésirable, parlez-en à votre médecin ou votre pharmacien. Ceci s’applique aussi à tout effet indésirable qui ne serait pas mentionné dans cette notice. Vous pouvez également déclarer les effets indésirables directement via </w:t>
      </w:r>
      <w:r>
        <w:rPr>
          <w:highlight w:val="lightGray"/>
        </w:rPr>
        <w:t xml:space="preserve">le système national de déclaration décrit en </w:t>
      </w:r>
      <w:hyperlink r:id="rId20" w:history="1">
        <w:r>
          <w:rPr>
            <w:rStyle w:val="Hyperlink"/>
            <w:highlight w:val="lightGray"/>
          </w:rPr>
          <w:t>Annexe V</w:t>
        </w:r>
      </w:hyperlink>
      <w:r w:rsidRPr="002B65F7">
        <w:t>. En signalant les effets indésirables, vous contribuez à fournir davantage d’informations sur la sécurité du médicament.</w:t>
      </w:r>
    </w:p>
    <w:p w14:paraId="03B58DE1" w14:textId="77777777" w:rsidR="00092F83" w:rsidRPr="002B65F7" w:rsidRDefault="00092F83" w:rsidP="00496255">
      <w:pPr>
        <w:widowControl/>
      </w:pPr>
    </w:p>
    <w:p w14:paraId="3BF86214" w14:textId="77777777" w:rsidR="00162C34" w:rsidRPr="002B65F7" w:rsidRDefault="00162C34" w:rsidP="00496255">
      <w:pPr>
        <w:widowControl/>
      </w:pPr>
    </w:p>
    <w:p w14:paraId="03B58DE2" w14:textId="3728E681" w:rsidR="00092F83" w:rsidRPr="002B65F7" w:rsidRDefault="00162C34" w:rsidP="00D05392">
      <w:pPr>
        <w:keepNext/>
        <w:widowControl/>
        <w:ind w:left="567" w:hanging="567"/>
        <w:rPr>
          <w:b/>
          <w:bCs/>
        </w:rPr>
      </w:pPr>
      <w:r w:rsidRPr="002B65F7">
        <w:rPr>
          <w:b/>
          <w:bCs/>
        </w:rPr>
        <w:t>5.</w:t>
      </w:r>
      <w:r w:rsidRPr="002B65F7">
        <w:rPr>
          <w:b/>
          <w:bCs/>
        </w:rPr>
        <w:tab/>
      </w:r>
      <w:r w:rsidR="00C31740" w:rsidRPr="002B65F7">
        <w:rPr>
          <w:b/>
          <w:bCs/>
        </w:rPr>
        <w:t xml:space="preserve">Comment conserver </w:t>
      </w:r>
      <w:r w:rsidR="00195D7E" w:rsidRPr="002B65F7">
        <w:rPr>
          <w:b/>
          <w:bCs/>
        </w:rPr>
        <w:t>WEZENLA</w:t>
      </w:r>
    </w:p>
    <w:p w14:paraId="03B58DE3" w14:textId="77777777" w:rsidR="00092F83" w:rsidRPr="002B65F7" w:rsidRDefault="00092F83" w:rsidP="00496255">
      <w:pPr>
        <w:keepNext/>
        <w:widowControl/>
      </w:pPr>
    </w:p>
    <w:p w14:paraId="03B58DE4" w14:textId="583DCF8F" w:rsidR="00092F83" w:rsidRPr="002B65F7" w:rsidRDefault="00195D7E" w:rsidP="007A7B22">
      <w:pPr>
        <w:pStyle w:val="ListParagraph"/>
        <w:widowControl/>
        <w:numPr>
          <w:ilvl w:val="0"/>
          <w:numId w:val="24"/>
        </w:numPr>
        <w:tabs>
          <w:tab w:val="left" w:pos="567"/>
        </w:tabs>
        <w:ind w:left="567" w:hanging="567"/>
      </w:pPr>
      <w:r w:rsidRPr="002B65F7">
        <w:t>WEZENLA</w:t>
      </w:r>
      <w:r w:rsidR="00C31740" w:rsidRPr="002B65F7">
        <w:t xml:space="preserve"> 130</w:t>
      </w:r>
      <w:r w:rsidR="00D054BF" w:rsidRPr="002B65F7">
        <w:t> </w:t>
      </w:r>
      <w:r w:rsidR="00C31740" w:rsidRPr="002B65F7">
        <w:t>mg solution à diluer pour perfusion est administré dans un hôpital ou une clinique et les patients ne doivent pas avoir besoin de le stocker ou de le manipuler.</w:t>
      </w:r>
    </w:p>
    <w:p w14:paraId="03B58DE5" w14:textId="7389ADCC" w:rsidR="00092F83" w:rsidRPr="002B65F7" w:rsidRDefault="00C31740" w:rsidP="007A7B22">
      <w:pPr>
        <w:pStyle w:val="ListParagraph"/>
        <w:widowControl/>
        <w:numPr>
          <w:ilvl w:val="0"/>
          <w:numId w:val="24"/>
        </w:numPr>
        <w:tabs>
          <w:tab w:val="left" w:pos="567"/>
        </w:tabs>
        <w:ind w:left="567" w:hanging="567"/>
      </w:pPr>
      <w:r w:rsidRPr="002B65F7">
        <w:t>Tenir ce médicament hors de la vue et de la portée des enfants.</w:t>
      </w:r>
    </w:p>
    <w:p w14:paraId="03B58DE7" w14:textId="20C25426" w:rsidR="00092F83" w:rsidRPr="002B65F7" w:rsidRDefault="00C31740" w:rsidP="007A7B22">
      <w:pPr>
        <w:pStyle w:val="ListParagraph"/>
        <w:widowControl/>
        <w:numPr>
          <w:ilvl w:val="0"/>
          <w:numId w:val="24"/>
        </w:numPr>
        <w:tabs>
          <w:tab w:val="left" w:pos="567"/>
        </w:tabs>
        <w:ind w:left="567" w:hanging="567"/>
      </w:pPr>
      <w:r w:rsidRPr="002B65F7">
        <w:t>A conserver au réfrigérateur (entre 2°C et 8°C). Ne pas congeler.</w:t>
      </w:r>
    </w:p>
    <w:p w14:paraId="03B58DE8" w14:textId="148B9733" w:rsidR="00092F83" w:rsidRPr="002B65F7" w:rsidRDefault="00C31740" w:rsidP="007A7B22">
      <w:pPr>
        <w:pStyle w:val="ListParagraph"/>
        <w:widowControl/>
        <w:numPr>
          <w:ilvl w:val="0"/>
          <w:numId w:val="24"/>
        </w:numPr>
        <w:tabs>
          <w:tab w:val="left" w:pos="567"/>
        </w:tabs>
        <w:ind w:left="567" w:hanging="567"/>
      </w:pPr>
      <w:r w:rsidRPr="002B65F7">
        <w:t>Conserver le flacon dans l’emballage extérieur à l’abri de la lumière.</w:t>
      </w:r>
    </w:p>
    <w:p w14:paraId="03B58DE9" w14:textId="6CDEB6E0" w:rsidR="00092F83" w:rsidRPr="002B65F7" w:rsidRDefault="00C31740" w:rsidP="007A7B22">
      <w:pPr>
        <w:pStyle w:val="ListParagraph"/>
        <w:widowControl/>
        <w:numPr>
          <w:ilvl w:val="0"/>
          <w:numId w:val="24"/>
        </w:numPr>
        <w:tabs>
          <w:tab w:val="left" w:pos="567"/>
        </w:tabs>
        <w:ind w:left="567" w:hanging="567"/>
      </w:pPr>
      <w:r w:rsidRPr="002B65F7">
        <w:t xml:space="preserve">Ne pas agiter les flacons de </w:t>
      </w:r>
      <w:r w:rsidR="00195D7E" w:rsidRPr="002B65F7">
        <w:t>WEZENLA</w:t>
      </w:r>
      <w:r w:rsidRPr="002B65F7">
        <w:t>. Une agitation prolongée et vigoureuse peut endommager le médicament.</w:t>
      </w:r>
    </w:p>
    <w:p w14:paraId="018E0AE0" w14:textId="77777777" w:rsidR="00D054BF" w:rsidRPr="002B65F7" w:rsidRDefault="00D054BF" w:rsidP="00496255">
      <w:pPr>
        <w:widowControl/>
      </w:pPr>
    </w:p>
    <w:p w14:paraId="03B58DEA" w14:textId="77777777" w:rsidR="00092F83" w:rsidRPr="002B65F7" w:rsidRDefault="00C31740" w:rsidP="00BB6F00">
      <w:pPr>
        <w:widowControl/>
        <w:rPr>
          <w:b/>
          <w:bCs/>
        </w:rPr>
      </w:pPr>
      <w:r w:rsidRPr="002B65F7">
        <w:rPr>
          <w:b/>
          <w:bCs/>
        </w:rPr>
        <w:t>N’utilisez pas ce médicament</w:t>
      </w:r>
    </w:p>
    <w:p w14:paraId="03B58DEB" w14:textId="4AFB543D" w:rsidR="00092F83" w:rsidRPr="002B65F7" w:rsidRDefault="00C31740" w:rsidP="00BB6F00">
      <w:pPr>
        <w:pStyle w:val="ListParagraph"/>
        <w:widowControl/>
        <w:numPr>
          <w:ilvl w:val="0"/>
          <w:numId w:val="25"/>
        </w:numPr>
        <w:tabs>
          <w:tab w:val="left" w:pos="567"/>
        </w:tabs>
        <w:ind w:left="567" w:hanging="567"/>
      </w:pPr>
      <w:r w:rsidRPr="002B65F7">
        <w:t>Après la date de péremption indiquée sur l’étiquette et l’emballage après “EXP”. La date de péremption fait référence au dernier jour de ce mois.</w:t>
      </w:r>
    </w:p>
    <w:p w14:paraId="03B58DED" w14:textId="11D5004C" w:rsidR="00092F83" w:rsidRPr="002B65F7" w:rsidRDefault="00C31740" w:rsidP="007A7B22">
      <w:pPr>
        <w:pStyle w:val="ListParagraph"/>
        <w:widowControl/>
        <w:numPr>
          <w:ilvl w:val="0"/>
          <w:numId w:val="25"/>
        </w:numPr>
        <w:tabs>
          <w:tab w:val="left" w:pos="567"/>
        </w:tabs>
        <w:ind w:left="567" w:hanging="567"/>
      </w:pPr>
      <w:r w:rsidRPr="002B65F7">
        <w:t>Si vous remarquez que le liquide est décoloré, laiteux ou si vous voyez des particules étrangères qui flottent (voir rubrique</w:t>
      </w:r>
      <w:r w:rsidR="00D054BF" w:rsidRPr="002B65F7">
        <w:t> </w:t>
      </w:r>
      <w:r w:rsidRPr="002B65F7">
        <w:t xml:space="preserve">6 « Comment se présente </w:t>
      </w:r>
      <w:r w:rsidR="00195D7E" w:rsidRPr="002B65F7">
        <w:t>WEZENLA</w:t>
      </w:r>
      <w:r w:rsidRPr="002B65F7">
        <w:t xml:space="preserve"> et contenu de l’emballage</w:t>
      </w:r>
      <w:r w:rsidR="004E2555" w:rsidRPr="002B65F7">
        <w:t xml:space="preserve"> </w:t>
      </w:r>
      <w:r w:rsidRPr="002B65F7">
        <w:t>extérieur »).</w:t>
      </w:r>
    </w:p>
    <w:p w14:paraId="03B58DEE" w14:textId="5298A03A" w:rsidR="00092F83" w:rsidRPr="002B65F7" w:rsidRDefault="00C31740" w:rsidP="007A7B22">
      <w:pPr>
        <w:pStyle w:val="ListParagraph"/>
        <w:widowControl/>
        <w:numPr>
          <w:ilvl w:val="0"/>
          <w:numId w:val="25"/>
        </w:numPr>
        <w:tabs>
          <w:tab w:val="left" w:pos="567"/>
        </w:tabs>
        <w:ind w:left="567" w:hanging="567"/>
      </w:pPr>
      <w:r w:rsidRPr="002B65F7">
        <w:t>Si vous savez ou pensez que le produit a pu être exposé à des températures extrêmes (telle qu’une congélation ou un réchauffement accidentel).</w:t>
      </w:r>
    </w:p>
    <w:p w14:paraId="03B58DEF" w14:textId="619CB57E" w:rsidR="00092F83" w:rsidRPr="002B65F7" w:rsidRDefault="00C31740" w:rsidP="00BB66E5">
      <w:pPr>
        <w:pStyle w:val="ListParagraph"/>
        <w:keepNext/>
        <w:widowControl/>
        <w:numPr>
          <w:ilvl w:val="0"/>
          <w:numId w:val="25"/>
        </w:numPr>
        <w:tabs>
          <w:tab w:val="left" w:pos="567"/>
        </w:tabs>
        <w:ind w:left="567" w:hanging="567"/>
      </w:pPr>
      <w:r w:rsidRPr="002B65F7">
        <w:t>Si le produit a été vigoureusement agité.</w:t>
      </w:r>
    </w:p>
    <w:p w14:paraId="03B58DF0" w14:textId="0C679B82" w:rsidR="00092F83" w:rsidRPr="002B65F7" w:rsidRDefault="00C31740" w:rsidP="007A7B22">
      <w:pPr>
        <w:pStyle w:val="ListParagraph"/>
        <w:widowControl/>
        <w:numPr>
          <w:ilvl w:val="0"/>
          <w:numId w:val="25"/>
        </w:numPr>
        <w:tabs>
          <w:tab w:val="left" w:pos="567"/>
        </w:tabs>
        <w:ind w:left="567" w:hanging="567"/>
      </w:pPr>
      <w:r w:rsidRPr="002B65F7">
        <w:t>Si le scellage est endommagé.</w:t>
      </w:r>
    </w:p>
    <w:p w14:paraId="71486CDF" w14:textId="77777777" w:rsidR="00D054BF" w:rsidRPr="002B65F7" w:rsidRDefault="00D054BF" w:rsidP="00496255">
      <w:pPr>
        <w:widowControl/>
      </w:pPr>
    </w:p>
    <w:p w14:paraId="03B58DF1" w14:textId="4899CB9A" w:rsidR="00092F83" w:rsidRPr="002B65F7" w:rsidRDefault="00195D7E" w:rsidP="00496255">
      <w:pPr>
        <w:widowControl/>
      </w:pPr>
      <w:r w:rsidRPr="002B65F7">
        <w:t>WEZENLA</w:t>
      </w:r>
      <w:r w:rsidR="00C31740" w:rsidRPr="002B65F7">
        <w:t xml:space="preserve"> est à usage unique. Tout médicament ou solution diluée pour perfusion non utilisé restant dans le flacon et la seringue doit être jeté conformément à la réglementation en vigueur.</w:t>
      </w:r>
    </w:p>
    <w:p w14:paraId="03B58DF2" w14:textId="77777777" w:rsidR="00092F83" w:rsidRPr="002B65F7" w:rsidRDefault="00092F83" w:rsidP="00496255">
      <w:pPr>
        <w:widowControl/>
      </w:pPr>
    </w:p>
    <w:p w14:paraId="5CF6B485" w14:textId="77777777" w:rsidR="00D054BF" w:rsidRPr="002B65F7" w:rsidRDefault="00D054BF" w:rsidP="00496255">
      <w:pPr>
        <w:widowControl/>
      </w:pPr>
    </w:p>
    <w:p w14:paraId="3FCF365F" w14:textId="77777777" w:rsidR="00D054BF" w:rsidRPr="002B65F7" w:rsidRDefault="00D054BF" w:rsidP="00496255">
      <w:pPr>
        <w:keepNext/>
        <w:widowControl/>
        <w:tabs>
          <w:tab w:val="left" w:pos="567"/>
        </w:tabs>
        <w:ind w:left="567" w:hanging="567"/>
        <w:rPr>
          <w:b/>
          <w:bCs/>
        </w:rPr>
      </w:pPr>
      <w:r w:rsidRPr="002B65F7">
        <w:rPr>
          <w:b/>
          <w:bCs/>
        </w:rPr>
        <w:t>6.</w:t>
      </w:r>
      <w:r w:rsidRPr="002B65F7">
        <w:rPr>
          <w:b/>
          <w:bCs/>
        </w:rPr>
        <w:tab/>
      </w:r>
      <w:r w:rsidR="00C31740" w:rsidRPr="002B65F7">
        <w:rPr>
          <w:b/>
          <w:bCs/>
        </w:rPr>
        <w:t>Contenu de l’emballage et autres informations</w:t>
      </w:r>
    </w:p>
    <w:p w14:paraId="59CA1B16" w14:textId="77777777" w:rsidR="00D054BF" w:rsidRPr="002B65F7" w:rsidRDefault="00D054BF" w:rsidP="00496255">
      <w:pPr>
        <w:keepNext/>
        <w:widowControl/>
        <w:rPr>
          <w:b/>
          <w:bCs/>
        </w:rPr>
      </w:pPr>
    </w:p>
    <w:p w14:paraId="03B58DF3" w14:textId="4DD18382" w:rsidR="00092F83" w:rsidRPr="002B65F7" w:rsidRDefault="00C31740" w:rsidP="00496255">
      <w:pPr>
        <w:keepNext/>
        <w:widowControl/>
        <w:rPr>
          <w:b/>
          <w:bCs/>
        </w:rPr>
      </w:pPr>
      <w:r w:rsidRPr="002B65F7">
        <w:rPr>
          <w:b/>
          <w:bCs/>
        </w:rPr>
        <w:t xml:space="preserve">Ce que contient </w:t>
      </w:r>
      <w:r w:rsidR="00195D7E" w:rsidRPr="002B65F7">
        <w:rPr>
          <w:b/>
          <w:bCs/>
        </w:rPr>
        <w:t>WEZENLA</w:t>
      </w:r>
    </w:p>
    <w:p w14:paraId="03B58DF4" w14:textId="2A78E83A" w:rsidR="00092F83" w:rsidRPr="002B65F7" w:rsidRDefault="00C31740" w:rsidP="007A7B22">
      <w:pPr>
        <w:pStyle w:val="ListParagraph"/>
        <w:keepNext/>
        <w:widowControl/>
        <w:numPr>
          <w:ilvl w:val="0"/>
          <w:numId w:val="26"/>
        </w:numPr>
        <w:tabs>
          <w:tab w:val="left" w:pos="567"/>
        </w:tabs>
        <w:ind w:left="567" w:hanging="567"/>
      </w:pPr>
      <w:r w:rsidRPr="002B65F7">
        <w:t>La substance active est l’</w:t>
      </w:r>
      <w:r w:rsidR="0071390F" w:rsidRPr="002B65F7">
        <w:t>ustekinumab</w:t>
      </w:r>
      <w:r w:rsidRPr="002B65F7">
        <w:t>. Chaque flacon contient 130</w:t>
      </w:r>
      <w:r w:rsidR="005F7D16" w:rsidRPr="002B65F7">
        <w:t> </w:t>
      </w:r>
      <w:r w:rsidRPr="002B65F7">
        <w:t>mg d’</w:t>
      </w:r>
      <w:r w:rsidR="0071390F" w:rsidRPr="002B65F7">
        <w:t>ustekinumab</w:t>
      </w:r>
      <w:r w:rsidRPr="002B65F7">
        <w:t xml:space="preserve"> dans 26</w:t>
      </w:r>
      <w:r w:rsidR="00D054BF" w:rsidRPr="002B65F7">
        <w:t> </w:t>
      </w:r>
      <w:r w:rsidRPr="002B65F7">
        <w:t>mL.</w:t>
      </w:r>
    </w:p>
    <w:p w14:paraId="03B58DF5" w14:textId="7C5469A5" w:rsidR="00092F83" w:rsidRPr="002B65F7" w:rsidRDefault="00C31740" w:rsidP="007A7B22">
      <w:pPr>
        <w:pStyle w:val="ListParagraph"/>
        <w:widowControl/>
        <w:numPr>
          <w:ilvl w:val="0"/>
          <w:numId w:val="26"/>
        </w:numPr>
        <w:tabs>
          <w:tab w:val="left" w:pos="567"/>
        </w:tabs>
        <w:ind w:left="567" w:hanging="567"/>
      </w:pPr>
      <w:r w:rsidRPr="002B65F7">
        <w:t>Les autres composants sont : EDTA sel disodique dihydraté, L-histidine, chlorhydrate monohydraté de L-histidine, L-méthionine, polysorbate</w:t>
      </w:r>
      <w:r w:rsidR="00214D55" w:rsidRPr="002B65F7">
        <w:t> </w:t>
      </w:r>
      <w:r w:rsidRPr="002B65F7">
        <w:t>80</w:t>
      </w:r>
      <w:r w:rsidR="00214D55">
        <w:t xml:space="preserve"> (E</w:t>
      </w:r>
      <w:r w:rsidR="00214D55" w:rsidRPr="002B65F7">
        <w:t> </w:t>
      </w:r>
      <w:r w:rsidR="00214D55">
        <w:t>433)</w:t>
      </w:r>
      <w:r w:rsidRPr="002B65F7">
        <w:t>, saccharose</w:t>
      </w:r>
      <w:r w:rsidR="00195D7E" w:rsidRPr="002B65F7">
        <w:t>, hydroxyde de sodium (pour ajuster le pH)</w:t>
      </w:r>
      <w:r w:rsidRPr="002B65F7">
        <w:t xml:space="preserve"> et eau pour préparations injectables.</w:t>
      </w:r>
    </w:p>
    <w:p w14:paraId="6CFEF6E1" w14:textId="77777777" w:rsidR="00D054BF" w:rsidRPr="002B65F7" w:rsidRDefault="00D054BF" w:rsidP="00496255">
      <w:pPr>
        <w:widowControl/>
        <w:ind w:left="567" w:hanging="567"/>
      </w:pPr>
    </w:p>
    <w:p w14:paraId="03B58DF6" w14:textId="343FECBC" w:rsidR="00092F83" w:rsidRPr="002B65F7" w:rsidRDefault="00C31740" w:rsidP="00496255">
      <w:pPr>
        <w:keepNext/>
        <w:widowControl/>
        <w:rPr>
          <w:b/>
          <w:bCs/>
        </w:rPr>
      </w:pPr>
      <w:r w:rsidRPr="002B65F7">
        <w:rPr>
          <w:b/>
          <w:bCs/>
        </w:rPr>
        <w:t xml:space="preserve">Comment se présente </w:t>
      </w:r>
      <w:r w:rsidR="00195D7E" w:rsidRPr="002B65F7">
        <w:rPr>
          <w:b/>
          <w:bCs/>
        </w:rPr>
        <w:t>WEZENLA</w:t>
      </w:r>
      <w:r w:rsidRPr="002B65F7">
        <w:rPr>
          <w:b/>
          <w:bCs/>
        </w:rPr>
        <w:t xml:space="preserve"> et contenu de l’emballage extérieur</w:t>
      </w:r>
    </w:p>
    <w:p w14:paraId="03B58DF7" w14:textId="56FCA85F" w:rsidR="00092F83" w:rsidRPr="002B65F7" w:rsidRDefault="00195D7E" w:rsidP="00496255">
      <w:pPr>
        <w:widowControl/>
      </w:pPr>
      <w:r w:rsidRPr="002B65F7">
        <w:t>WEZENLA</w:t>
      </w:r>
      <w:r w:rsidR="00C31740" w:rsidRPr="002B65F7">
        <w:t xml:space="preserve"> est une solution à diluer pour perfusion limpide</w:t>
      </w:r>
      <w:r w:rsidRPr="002B65F7">
        <w:t xml:space="preserve"> à opalescente</w:t>
      </w:r>
      <w:r w:rsidR="00C31740" w:rsidRPr="002B65F7">
        <w:t>, incolore à jaune clair. Elle est fournie dans un emballage cartonné contenant un flacon unidose en verre de 30</w:t>
      </w:r>
      <w:r w:rsidR="00D054BF" w:rsidRPr="002B65F7">
        <w:t> </w:t>
      </w:r>
      <w:r w:rsidR="00C31740" w:rsidRPr="002B65F7">
        <w:t>mL. Chaque flacon contient 130</w:t>
      </w:r>
      <w:r w:rsidR="00D054BF" w:rsidRPr="002B65F7">
        <w:t> </w:t>
      </w:r>
      <w:r w:rsidR="00C31740" w:rsidRPr="002B65F7">
        <w:t>mg d’</w:t>
      </w:r>
      <w:r w:rsidR="0071390F" w:rsidRPr="002B65F7">
        <w:t>ustekinumab</w:t>
      </w:r>
      <w:r w:rsidR="00C31740" w:rsidRPr="002B65F7">
        <w:t xml:space="preserve"> dans 26</w:t>
      </w:r>
      <w:r w:rsidR="00D054BF" w:rsidRPr="002B65F7">
        <w:t> </w:t>
      </w:r>
      <w:r w:rsidR="00C31740" w:rsidRPr="002B65F7">
        <w:t>mL de solution à diluer pour perfusion.</w:t>
      </w:r>
    </w:p>
    <w:p w14:paraId="49CC13F1" w14:textId="77777777" w:rsidR="00D054BF" w:rsidRPr="002B65F7" w:rsidRDefault="00D054BF" w:rsidP="00496255">
      <w:pPr>
        <w:widowControl/>
        <w:rPr>
          <w:b/>
          <w:bCs/>
        </w:rPr>
      </w:pPr>
    </w:p>
    <w:p w14:paraId="03B58DF8" w14:textId="087F8BBF" w:rsidR="00092F83" w:rsidRPr="00A2167E" w:rsidRDefault="00C31740" w:rsidP="00496255">
      <w:pPr>
        <w:keepNext/>
        <w:widowControl/>
        <w:rPr>
          <w:b/>
          <w:bCs/>
          <w:highlight w:val="lightGray"/>
        </w:rPr>
      </w:pPr>
      <w:r w:rsidRPr="00A2167E">
        <w:rPr>
          <w:b/>
          <w:bCs/>
          <w:highlight w:val="lightGray"/>
        </w:rPr>
        <w:t>Titulaire de l’Autorisation de mise sur le marché</w:t>
      </w:r>
      <w:r w:rsidR="00195D7E" w:rsidRPr="00A2167E">
        <w:rPr>
          <w:b/>
          <w:bCs/>
          <w:highlight w:val="lightGray"/>
        </w:rPr>
        <w:t xml:space="preserve"> et </w:t>
      </w:r>
      <w:r w:rsidR="00F0136A" w:rsidRPr="00A2167E">
        <w:rPr>
          <w:b/>
          <w:bCs/>
          <w:highlight w:val="lightGray"/>
        </w:rPr>
        <w:t>f</w:t>
      </w:r>
      <w:r w:rsidR="00195D7E" w:rsidRPr="00A2167E">
        <w:rPr>
          <w:b/>
          <w:bCs/>
          <w:highlight w:val="lightGray"/>
        </w:rPr>
        <w:t>abricant</w:t>
      </w:r>
    </w:p>
    <w:p w14:paraId="37827640" w14:textId="77777777" w:rsidR="00195D7E" w:rsidRPr="00A2167E" w:rsidRDefault="00195D7E" w:rsidP="00195D7E">
      <w:pPr>
        <w:keepNext/>
        <w:keepLines/>
        <w:rPr>
          <w:highlight w:val="lightGray"/>
          <w:lang w:val="en-GB"/>
        </w:rPr>
      </w:pPr>
      <w:bookmarkStart w:id="36" w:name="_Hlk149141526"/>
      <w:r w:rsidRPr="00A2167E">
        <w:rPr>
          <w:highlight w:val="lightGray"/>
          <w:lang w:val="en-GB"/>
        </w:rPr>
        <w:t>Amgen Technology (Ireland) UC,</w:t>
      </w:r>
    </w:p>
    <w:p w14:paraId="22FF52EA" w14:textId="77777777" w:rsidR="00195D7E" w:rsidRPr="00A2167E" w:rsidRDefault="00195D7E" w:rsidP="00195D7E">
      <w:pPr>
        <w:keepNext/>
        <w:keepLines/>
        <w:rPr>
          <w:highlight w:val="lightGray"/>
          <w:lang w:val="en-GB"/>
        </w:rPr>
      </w:pPr>
      <w:r w:rsidRPr="00A2167E">
        <w:rPr>
          <w:highlight w:val="lightGray"/>
          <w:lang w:val="en-GB"/>
        </w:rPr>
        <w:t>Pottery Road,</w:t>
      </w:r>
    </w:p>
    <w:p w14:paraId="381C906F" w14:textId="77777777" w:rsidR="00195D7E" w:rsidRPr="00A2167E" w:rsidRDefault="00195D7E" w:rsidP="00195D7E">
      <w:pPr>
        <w:keepNext/>
        <w:keepLines/>
        <w:rPr>
          <w:highlight w:val="lightGray"/>
          <w:lang w:val="fr-CA"/>
        </w:rPr>
      </w:pPr>
      <w:r w:rsidRPr="00A2167E">
        <w:rPr>
          <w:highlight w:val="lightGray"/>
          <w:lang w:val="fr-CA"/>
        </w:rPr>
        <w:t>Dun Laoghaire,</w:t>
      </w:r>
    </w:p>
    <w:p w14:paraId="3ADDB95B" w14:textId="77777777" w:rsidR="00195D7E" w:rsidRPr="00A2167E" w:rsidRDefault="00195D7E" w:rsidP="00195D7E">
      <w:pPr>
        <w:keepNext/>
        <w:keepLines/>
        <w:rPr>
          <w:highlight w:val="lightGray"/>
          <w:lang w:val="fr-CA"/>
        </w:rPr>
      </w:pPr>
      <w:r w:rsidRPr="00A2167E">
        <w:rPr>
          <w:highlight w:val="lightGray"/>
          <w:lang w:val="fr-CA"/>
        </w:rPr>
        <w:t>Co Dublin,</w:t>
      </w:r>
    </w:p>
    <w:p w14:paraId="30E9365F" w14:textId="4D768AF0" w:rsidR="00195D7E" w:rsidRPr="00B671F3" w:rsidRDefault="00195D7E" w:rsidP="00195D7E">
      <w:pPr>
        <w:rPr>
          <w:lang w:val="fr-CA"/>
        </w:rPr>
      </w:pPr>
      <w:r w:rsidRPr="00A2167E">
        <w:rPr>
          <w:highlight w:val="lightGray"/>
          <w:lang w:val="fr-CA"/>
        </w:rPr>
        <w:t>Irland</w:t>
      </w:r>
      <w:bookmarkEnd w:id="36"/>
      <w:r w:rsidRPr="00A2167E">
        <w:rPr>
          <w:highlight w:val="lightGray"/>
          <w:lang w:val="fr-CA"/>
        </w:rPr>
        <w:t>e</w:t>
      </w:r>
    </w:p>
    <w:p w14:paraId="7DD7B1A6" w14:textId="77777777" w:rsidR="00195D7E" w:rsidRDefault="00195D7E" w:rsidP="00195D7E">
      <w:pPr>
        <w:keepNext/>
        <w:keepLines/>
        <w:rPr>
          <w:b/>
          <w:bCs/>
          <w:highlight w:val="lightGray"/>
          <w:lang w:val="fr-CA"/>
        </w:rPr>
      </w:pPr>
    </w:p>
    <w:p w14:paraId="56C73706" w14:textId="616A0AA7" w:rsidR="00195D7E" w:rsidRPr="00A2167E" w:rsidRDefault="00195D7E" w:rsidP="001B0B5C">
      <w:pPr>
        <w:keepNext/>
        <w:numPr>
          <w:ilvl w:val="12"/>
          <w:numId w:val="0"/>
        </w:numPr>
        <w:rPr>
          <w:b/>
          <w:color w:val="000000"/>
        </w:rPr>
      </w:pPr>
      <w:bookmarkStart w:id="37" w:name="_Hlk149141580"/>
      <w:r w:rsidRPr="00A2167E">
        <w:rPr>
          <w:b/>
          <w:bCs/>
        </w:rPr>
        <w:t>Titulaire de l’Autorisation de mise sur le marché</w:t>
      </w:r>
    </w:p>
    <w:p w14:paraId="34E3AB25" w14:textId="77777777" w:rsidR="00B85085" w:rsidRPr="00A2167E" w:rsidRDefault="00B85085" w:rsidP="00B85085">
      <w:pPr>
        <w:keepNext/>
        <w:keepLines/>
        <w:rPr>
          <w:lang w:val="en-GB"/>
        </w:rPr>
      </w:pPr>
      <w:r w:rsidRPr="00A2167E">
        <w:rPr>
          <w:lang w:val="en-GB"/>
        </w:rPr>
        <w:t>Amgen Technology (Ireland) UC,</w:t>
      </w:r>
    </w:p>
    <w:p w14:paraId="1D297DEA" w14:textId="77777777" w:rsidR="00B85085" w:rsidRPr="00A2167E" w:rsidRDefault="00B85085" w:rsidP="00B85085">
      <w:pPr>
        <w:keepNext/>
        <w:keepLines/>
        <w:rPr>
          <w:lang w:val="en-GB"/>
        </w:rPr>
      </w:pPr>
      <w:r w:rsidRPr="00A2167E">
        <w:rPr>
          <w:lang w:val="en-GB"/>
        </w:rPr>
        <w:t>Pottery Road,</w:t>
      </w:r>
    </w:p>
    <w:p w14:paraId="5BD03AD2" w14:textId="77777777" w:rsidR="00B85085" w:rsidRPr="00A2167E" w:rsidRDefault="00B85085" w:rsidP="00B85085">
      <w:pPr>
        <w:keepNext/>
        <w:keepLines/>
        <w:rPr>
          <w:lang w:val="fr-CA"/>
        </w:rPr>
      </w:pPr>
      <w:r w:rsidRPr="00A2167E">
        <w:rPr>
          <w:lang w:val="fr-CA"/>
        </w:rPr>
        <w:t>Dun Laoghaire,</w:t>
      </w:r>
    </w:p>
    <w:p w14:paraId="5E6D68B2" w14:textId="77777777" w:rsidR="00B85085" w:rsidRPr="00A2167E" w:rsidRDefault="00B85085" w:rsidP="00B85085">
      <w:pPr>
        <w:keepNext/>
        <w:keepLines/>
        <w:rPr>
          <w:lang w:val="fr-CA"/>
        </w:rPr>
      </w:pPr>
      <w:r w:rsidRPr="00A2167E">
        <w:rPr>
          <w:lang w:val="fr-CA"/>
        </w:rPr>
        <w:t>Co Dublin,</w:t>
      </w:r>
    </w:p>
    <w:p w14:paraId="26566FC6" w14:textId="77777777" w:rsidR="00B85085" w:rsidRDefault="00B85085" w:rsidP="00B85085">
      <w:pPr>
        <w:rPr>
          <w:lang w:val="fr-CA"/>
        </w:rPr>
      </w:pPr>
      <w:r w:rsidRPr="00A2167E">
        <w:rPr>
          <w:lang w:val="fr-CA"/>
        </w:rPr>
        <w:t>Irlande</w:t>
      </w:r>
    </w:p>
    <w:p w14:paraId="541D6717" w14:textId="77777777" w:rsidR="00E15234" w:rsidRDefault="00E15234" w:rsidP="00B85085">
      <w:pPr>
        <w:rPr>
          <w:lang w:val="fr-CA"/>
        </w:rPr>
      </w:pPr>
    </w:p>
    <w:p w14:paraId="1DDBB9C3" w14:textId="77777777" w:rsidR="00E15234" w:rsidRPr="00052720" w:rsidRDefault="00E15234" w:rsidP="00E15234">
      <w:pPr>
        <w:keepNext/>
        <w:widowControl/>
        <w:rPr>
          <w:b/>
          <w:bCs/>
        </w:rPr>
      </w:pPr>
      <w:r w:rsidRPr="00052720">
        <w:rPr>
          <w:b/>
          <w:bCs/>
        </w:rPr>
        <w:t>Fabricant</w:t>
      </w:r>
    </w:p>
    <w:p w14:paraId="11723C5E" w14:textId="77777777" w:rsidR="00E15234" w:rsidRPr="005004AE" w:rsidRDefault="00E15234" w:rsidP="00E15234">
      <w:pPr>
        <w:keepNext/>
        <w:numPr>
          <w:ilvl w:val="12"/>
          <w:numId w:val="0"/>
        </w:numPr>
        <w:rPr>
          <w:lang w:val="da-DK"/>
        </w:rPr>
      </w:pPr>
      <w:r w:rsidRPr="005004AE">
        <w:rPr>
          <w:lang w:val="da-DK"/>
        </w:rPr>
        <w:t xml:space="preserve">Amgen Europe B.V., </w:t>
      </w:r>
    </w:p>
    <w:p w14:paraId="6682A369" w14:textId="77777777" w:rsidR="00E15234" w:rsidRPr="005004AE" w:rsidRDefault="00E15234" w:rsidP="00E15234">
      <w:pPr>
        <w:keepNext/>
        <w:numPr>
          <w:ilvl w:val="12"/>
          <w:numId w:val="0"/>
        </w:numPr>
        <w:rPr>
          <w:lang w:val="da-DK"/>
        </w:rPr>
      </w:pPr>
      <w:r w:rsidRPr="005004AE">
        <w:rPr>
          <w:lang w:val="da-DK"/>
        </w:rPr>
        <w:t xml:space="preserve">Minervum 7061, </w:t>
      </w:r>
    </w:p>
    <w:p w14:paraId="3CC3D500" w14:textId="77777777" w:rsidR="00E15234" w:rsidRPr="005004AE" w:rsidRDefault="00E15234" w:rsidP="00E15234">
      <w:pPr>
        <w:keepNext/>
        <w:numPr>
          <w:ilvl w:val="12"/>
          <w:numId w:val="0"/>
        </w:numPr>
        <w:rPr>
          <w:lang w:val="da-DK"/>
        </w:rPr>
      </w:pPr>
      <w:r w:rsidRPr="005004AE">
        <w:rPr>
          <w:lang w:val="da-DK"/>
        </w:rPr>
        <w:t xml:space="preserve">4817 ZK Breda, </w:t>
      </w:r>
    </w:p>
    <w:p w14:paraId="6FF1772C" w14:textId="53809741" w:rsidR="00E15234" w:rsidRPr="00A2167E" w:rsidRDefault="00E15234" w:rsidP="00A2167E">
      <w:pPr>
        <w:keepNext/>
        <w:numPr>
          <w:ilvl w:val="12"/>
          <w:numId w:val="0"/>
        </w:numPr>
        <w:rPr>
          <w:highlight w:val="lightGray"/>
        </w:rPr>
      </w:pPr>
      <w:r w:rsidRPr="00A2167E">
        <w:t>Pays-Bas</w:t>
      </w:r>
    </w:p>
    <w:p w14:paraId="30FB7248" w14:textId="564FB3BF" w:rsidR="00D60A71" w:rsidRPr="00A2167E" w:rsidRDefault="00D60A71" w:rsidP="00D60A71">
      <w:pPr>
        <w:keepNext/>
        <w:numPr>
          <w:ilvl w:val="12"/>
          <w:numId w:val="0"/>
        </w:numPr>
        <w:rPr>
          <w:highlight w:val="lightGray"/>
        </w:rPr>
      </w:pPr>
    </w:p>
    <w:bookmarkEnd w:id="37"/>
    <w:p w14:paraId="03B58DFC" w14:textId="77777777" w:rsidR="00092F83" w:rsidRPr="00A2167E" w:rsidRDefault="00C31740" w:rsidP="001B0B5C">
      <w:pPr>
        <w:keepNext/>
        <w:widowControl/>
        <w:rPr>
          <w:b/>
          <w:bCs/>
        </w:rPr>
      </w:pPr>
      <w:r w:rsidRPr="00A2167E">
        <w:rPr>
          <w:b/>
          <w:bCs/>
          <w:highlight w:val="lightGray"/>
        </w:rPr>
        <w:t>Fabricant</w:t>
      </w:r>
    </w:p>
    <w:p w14:paraId="7E75FA53" w14:textId="77777777" w:rsidR="00195D7E" w:rsidRPr="00A2167E" w:rsidRDefault="00195D7E" w:rsidP="001B0B5C">
      <w:pPr>
        <w:rPr>
          <w:highlight w:val="lightGray"/>
        </w:rPr>
      </w:pPr>
      <w:r w:rsidRPr="00A2167E">
        <w:rPr>
          <w:highlight w:val="lightGray"/>
        </w:rPr>
        <w:t>Amgen NV</w:t>
      </w:r>
    </w:p>
    <w:p w14:paraId="0F113146" w14:textId="77777777" w:rsidR="00195D7E" w:rsidRPr="00A2167E" w:rsidRDefault="00195D7E" w:rsidP="001B0B5C">
      <w:pPr>
        <w:rPr>
          <w:highlight w:val="lightGray"/>
        </w:rPr>
      </w:pPr>
      <w:r w:rsidRPr="00A2167E">
        <w:rPr>
          <w:highlight w:val="lightGray"/>
        </w:rPr>
        <w:t>Telecomlaan 5-7</w:t>
      </w:r>
    </w:p>
    <w:p w14:paraId="219C0C4B" w14:textId="77777777" w:rsidR="00195D7E" w:rsidRDefault="00195D7E" w:rsidP="001B0B5C">
      <w:pPr>
        <w:rPr>
          <w:highlight w:val="lightGray"/>
        </w:rPr>
      </w:pPr>
      <w:r>
        <w:rPr>
          <w:highlight w:val="lightGray"/>
        </w:rPr>
        <w:t>1831 Diegem</w:t>
      </w:r>
    </w:p>
    <w:p w14:paraId="7A90661F" w14:textId="77777777" w:rsidR="00195D7E" w:rsidRPr="002B65F7" w:rsidRDefault="00195D7E" w:rsidP="001B0B5C">
      <w:r>
        <w:rPr>
          <w:highlight w:val="lightGray"/>
        </w:rPr>
        <w:t>Belgique</w:t>
      </w:r>
    </w:p>
    <w:p w14:paraId="41F6EF81" w14:textId="77777777" w:rsidR="00D054BF" w:rsidRPr="002B65F7" w:rsidRDefault="00D054BF" w:rsidP="001B0B5C">
      <w:pPr>
        <w:widowControl/>
      </w:pPr>
    </w:p>
    <w:p w14:paraId="03B58E00" w14:textId="52487D2C" w:rsidR="00092F83" w:rsidRPr="002B65F7" w:rsidRDefault="00C31740" w:rsidP="001B0B5C">
      <w:pPr>
        <w:keepNext/>
        <w:widowControl/>
      </w:pPr>
      <w:r w:rsidRPr="002B65F7">
        <w:t>Pour toute information complémentaire concernant ce médicament, veuillez prendre contact avec le représentant local du titulaire de l’autorisation de mise sur le marché :</w:t>
      </w:r>
    </w:p>
    <w:p w14:paraId="03B58E7B" w14:textId="25D4B1B5" w:rsidR="00092F83" w:rsidRPr="002B65F7" w:rsidRDefault="00092F83" w:rsidP="00496255">
      <w:pPr>
        <w:widowControl/>
      </w:pPr>
    </w:p>
    <w:tbl>
      <w:tblPr>
        <w:tblW w:w="9360" w:type="dxa"/>
        <w:tblInd w:w="-34" w:type="dxa"/>
        <w:tblLayout w:type="fixed"/>
        <w:tblLook w:val="04A0" w:firstRow="1" w:lastRow="0" w:firstColumn="1" w:lastColumn="0" w:noHBand="0" w:noVBand="1"/>
      </w:tblPr>
      <w:tblGrid>
        <w:gridCol w:w="4680"/>
        <w:gridCol w:w="4680"/>
      </w:tblGrid>
      <w:tr w:rsidR="00195D7E" w:rsidRPr="002B65F7" w14:paraId="72D77905" w14:textId="77777777" w:rsidTr="00BF70DA">
        <w:trPr>
          <w:cantSplit/>
          <w:trHeight w:val="57"/>
        </w:trPr>
        <w:tc>
          <w:tcPr>
            <w:tcW w:w="4678" w:type="dxa"/>
          </w:tcPr>
          <w:p w14:paraId="1D533705" w14:textId="77777777" w:rsidR="00195D7E" w:rsidRPr="002B65F7" w:rsidRDefault="00195D7E" w:rsidP="00BB6F00">
            <w:pPr>
              <w:widowControl/>
              <w:adjustRightInd w:val="0"/>
              <w:snapToGrid w:val="0"/>
              <w:rPr>
                <w:b/>
                <w:bCs/>
              </w:rPr>
            </w:pPr>
            <w:r w:rsidRPr="002B65F7">
              <w:rPr>
                <w:b/>
                <w:bCs/>
              </w:rPr>
              <w:t>België/Belgique/Belgien</w:t>
            </w:r>
          </w:p>
          <w:p w14:paraId="1C727A82" w14:textId="77777777" w:rsidR="00195D7E" w:rsidRPr="002B65F7" w:rsidRDefault="00195D7E" w:rsidP="00BB6F00">
            <w:pPr>
              <w:widowControl/>
              <w:adjustRightInd w:val="0"/>
              <w:snapToGrid w:val="0"/>
            </w:pPr>
            <w:r w:rsidRPr="002B65F7">
              <w:t>s.a. Amgen n.v.</w:t>
            </w:r>
          </w:p>
          <w:p w14:paraId="6ED28FD6" w14:textId="2463993E" w:rsidR="00195D7E" w:rsidRPr="002B65F7" w:rsidRDefault="00415D8D" w:rsidP="00BB6F00">
            <w:pPr>
              <w:widowControl/>
              <w:adjustRightInd w:val="0"/>
              <w:snapToGrid w:val="0"/>
            </w:pPr>
            <w:r w:rsidRPr="002B65F7">
              <w:t>Tél/Tel</w:t>
            </w:r>
            <w:r w:rsidR="00195D7E" w:rsidRPr="002B65F7">
              <w:t>: +32 (0)2 7752711</w:t>
            </w:r>
          </w:p>
          <w:p w14:paraId="1EE4F0F1" w14:textId="77777777" w:rsidR="00195D7E" w:rsidRPr="002B65F7" w:rsidRDefault="00195D7E" w:rsidP="00BB6F00">
            <w:pPr>
              <w:widowControl/>
              <w:adjustRightInd w:val="0"/>
              <w:snapToGrid w:val="0"/>
            </w:pPr>
          </w:p>
        </w:tc>
        <w:tc>
          <w:tcPr>
            <w:tcW w:w="4678" w:type="dxa"/>
          </w:tcPr>
          <w:p w14:paraId="4FFC0C1E" w14:textId="77777777" w:rsidR="00195D7E" w:rsidRPr="002B65F7" w:rsidRDefault="00195D7E" w:rsidP="00BB6F00">
            <w:pPr>
              <w:widowControl/>
              <w:adjustRightInd w:val="0"/>
              <w:snapToGrid w:val="0"/>
              <w:rPr>
                <w:b/>
                <w:bCs/>
              </w:rPr>
            </w:pPr>
            <w:r w:rsidRPr="002B65F7">
              <w:rPr>
                <w:b/>
                <w:bCs/>
              </w:rPr>
              <w:t>Lietuva</w:t>
            </w:r>
          </w:p>
          <w:p w14:paraId="1369A814" w14:textId="77777777" w:rsidR="00195D7E" w:rsidRPr="002B65F7" w:rsidRDefault="00195D7E" w:rsidP="00BB6F00">
            <w:pPr>
              <w:widowControl/>
              <w:adjustRightInd w:val="0"/>
              <w:snapToGrid w:val="0"/>
            </w:pPr>
            <w:r w:rsidRPr="002B65F7">
              <w:t>Amgen Switzerland AG Vilniaus filialas</w:t>
            </w:r>
          </w:p>
          <w:p w14:paraId="5761BE30" w14:textId="2D164B7A" w:rsidR="00195D7E" w:rsidRPr="00E102E6" w:rsidRDefault="00195D7E" w:rsidP="00BB6F00">
            <w:pPr>
              <w:widowControl/>
              <w:adjustRightInd w:val="0"/>
              <w:snapToGrid w:val="0"/>
            </w:pPr>
            <w:r w:rsidRPr="00E102E6">
              <w:t>T</w:t>
            </w:r>
            <w:r w:rsidR="00415D8D" w:rsidRPr="00E102E6">
              <w:t>é</w:t>
            </w:r>
            <w:r w:rsidRPr="00E102E6">
              <w:t>l: +370 5 219 7474</w:t>
            </w:r>
          </w:p>
          <w:p w14:paraId="5BCA16BF" w14:textId="77777777" w:rsidR="00195D7E" w:rsidRPr="00E102E6" w:rsidRDefault="00195D7E" w:rsidP="00BB6F00">
            <w:pPr>
              <w:widowControl/>
              <w:adjustRightInd w:val="0"/>
              <w:snapToGrid w:val="0"/>
            </w:pPr>
          </w:p>
        </w:tc>
      </w:tr>
      <w:tr w:rsidR="00195D7E" w:rsidRPr="002B65F7" w14:paraId="5817DE81" w14:textId="77777777" w:rsidTr="00BF70DA">
        <w:trPr>
          <w:cantSplit/>
          <w:trHeight w:val="57"/>
        </w:trPr>
        <w:tc>
          <w:tcPr>
            <w:tcW w:w="4678" w:type="dxa"/>
          </w:tcPr>
          <w:p w14:paraId="4F4ABAA3" w14:textId="77777777" w:rsidR="00195D7E" w:rsidRPr="002B65F7" w:rsidRDefault="00195D7E" w:rsidP="00BF70DA">
            <w:pPr>
              <w:adjustRightInd w:val="0"/>
              <w:snapToGrid w:val="0"/>
              <w:rPr>
                <w:b/>
                <w:bCs/>
                <w:lang w:val="ru-RU"/>
              </w:rPr>
            </w:pPr>
            <w:r w:rsidRPr="002B65F7">
              <w:rPr>
                <w:b/>
                <w:bCs/>
                <w:lang w:val="ru-RU"/>
              </w:rPr>
              <w:t>България</w:t>
            </w:r>
          </w:p>
          <w:p w14:paraId="00E6E8F1" w14:textId="77777777" w:rsidR="00195D7E" w:rsidRPr="002B65F7" w:rsidRDefault="00195D7E" w:rsidP="00BF70DA">
            <w:pPr>
              <w:adjustRightInd w:val="0"/>
              <w:snapToGrid w:val="0"/>
              <w:rPr>
                <w:lang w:val="ru-RU"/>
              </w:rPr>
            </w:pPr>
            <w:r w:rsidRPr="002B65F7">
              <w:rPr>
                <w:lang w:val="ru-RU"/>
              </w:rPr>
              <w:t>Амджен България ЕООД</w:t>
            </w:r>
          </w:p>
          <w:p w14:paraId="35832457" w14:textId="77777777" w:rsidR="00195D7E" w:rsidRPr="002B65F7" w:rsidRDefault="00195D7E" w:rsidP="00BF70DA">
            <w:pPr>
              <w:adjustRightInd w:val="0"/>
              <w:snapToGrid w:val="0"/>
              <w:rPr>
                <w:lang w:val="ru-RU"/>
              </w:rPr>
            </w:pPr>
            <w:r w:rsidRPr="002B65F7">
              <w:rPr>
                <w:lang w:val="ru-RU"/>
              </w:rPr>
              <w:t>Тел.: +359 (0)2 424 7440</w:t>
            </w:r>
          </w:p>
          <w:p w14:paraId="0315FFB1" w14:textId="77777777" w:rsidR="00195D7E" w:rsidRPr="002B65F7" w:rsidRDefault="00195D7E" w:rsidP="00BF70DA">
            <w:pPr>
              <w:adjustRightInd w:val="0"/>
              <w:snapToGrid w:val="0"/>
              <w:rPr>
                <w:lang w:val="ru-RU"/>
              </w:rPr>
            </w:pPr>
          </w:p>
        </w:tc>
        <w:tc>
          <w:tcPr>
            <w:tcW w:w="4678" w:type="dxa"/>
          </w:tcPr>
          <w:p w14:paraId="7DFEDF52" w14:textId="77777777" w:rsidR="00195D7E" w:rsidRPr="002B65F7" w:rsidRDefault="00195D7E" w:rsidP="00BF70DA">
            <w:pPr>
              <w:adjustRightInd w:val="0"/>
              <w:snapToGrid w:val="0"/>
              <w:rPr>
                <w:b/>
                <w:bCs/>
                <w:lang w:val="de-DE"/>
              </w:rPr>
            </w:pPr>
            <w:r w:rsidRPr="002B65F7">
              <w:rPr>
                <w:b/>
                <w:bCs/>
                <w:lang w:val="de-DE"/>
              </w:rPr>
              <w:t>Luxembourg/Luxemburg</w:t>
            </w:r>
          </w:p>
          <w:p w14:paraId="35CA4B92" w14:textId="77777777" w:rsidR="00195D7E" w:rsidRPr="002B65F7" w:rsidRDefault="00195D7E" w:rsidP="00BF70DA">
            <w:pPr>
              <w:adjustRightInd w:val="0"/>
              <w:snapToGrid w:val="0"/>
              <w:rPr>
                <w:lang w:val="de-DE"/>
              </w:rPr>
            </w:pPr>
            <w:r w:rsidRPr="002B65F7">
              <w:rPr>
                <w:lang w:val="de-DE"/>
              </w:rPr>
              <w:t>s.a. Amgen</w:t>
            </w:r>
          </w:p>
          <w:p w14:paraId="2CC1F77B" w14:textId="77777777" w:rsidR="00195D7E" w:rsidRPr="002B65F7" w:rsidRDefault="00195D7E" w:rsidP="00BF70DA">
            <w:pPr>
              <w:adjustRightInd w:val="0"/>
              <w:snapToGrid w:val="0"/>
              <w:rPr>
                <w:lang w:val="de-DE"/>
              </w:rPr>
            </w:pPr>
            <w:r w:rsidRPr="002B65F7">
              <w:rPr>
                <w:lang w:val="de-DE"/>
              </w:rPr>
              <w:t>Belgique/Belgien</w:t>
            </w:r>
          </w:p>
          <w:p w14:paraId="2840028D" w14:textId="6E9966EA" w:rsidR="00195D7E" w:rsidRPr="002B65F7" w:rsidRDefault="00195D7E" w:rsidP="00BF70DA">
            <w:pPr>
              <w:adjustRightInd w:val="0"/>
              <w:snapToGrid w:val="0"/>
              <w:rPr>
                <w:lang w:val="en-GB"/>
              </w:rPr>
            </w:pPr>
            <w:r w:rsidRPr="002B65F7">
              <w:rPr>
                <w:lang w:val="en-GB"/>
              </w:rPr>
              <w:t>Tél</w:t>
            </w:r>
            <w:r w:rsidR="00415D8D" w:rsidRPr="002B65F7">
              <w:rPr>
                <w:lang w:val="en-GB"/>
              </w:rPr>
              <w:t>/Tel</w:t>
            </w:r>
            <w:r w:rsidRPr="002B65F7">
              <w:rPr>
                <w:lang w:val="en-GB"/>
              </w:rPr>
              <w:t>: +32 (0)2 7752711</w:t>
            </w:r>
          </w:p>
          <w:p w14:paraId="3AAE9F09" w14:textId="77777777" w:rsidR="00195D7E" w:rsidRPr="002B65F7" w:rsidRDefault="00195D7E" w:rsidP="00BF70DA">
            <w:pPr>
              <w:adjustRightInd w:val="0"/>
              <w:snapToGrid w:val="0"/>
              <w:rPr>
                <w:bCs/>
                <w:lang w:val="en-GB"/>
              </w:rPr>
            </w:pPr>
          </w:p>
        </w:tc>
      </w:tr>
      <w:tr w:rsidR="00195D7E" w:rsidRPr="002B65F7" w14:paraId="3403968A" w14:textId="77777777" w:rsidTr="00BF70DA">
        <w:trPr>
          <w:cantSplit/>
          <w:trHeight w:val="57"/>
        </w:trPr>
        <w:tc>
          <w:tcPr>
            <w:tcW w:w="4678" w:type="dxa"/>
          </w:tcPr>
          <w:p w14:paraId="26BFEA95" w14:textId="77777777" w:rsidR="00195D7E" w:rsidRPr="002B65F7" w:rsidRDefault="00195D7E" w:rsidP="00BF70DA">
            <w:pPr>
              <w:adjustRightInd w:val="0"/>
              <w:snapToGrid w:val="0"/>
              <w:rPr>
                <w:b/>
                <w:bCs/>
                <w:lang w:val="sv-SE"/>
              </w:rPr>
            </w:pPr>
            <w:r w:rsidRPr="002B65F7">
              <w:rPr>
                <w:b/>
                <w:bCs/>
                <w:lang w:val="sv-SE"/>
              </w:rPr>
              <w:t>Česká republika</w:t>
            </w:r>
          </w:p>
          <w:p w14:paraId="2B97294D" w14:textId="77777777" w:rsidR="00195D7E" w:rsidRPr="002B65F7" w:rsidRDefault="00195D7E" w:rsidP="00BF70DA">
            <w:pPr>
              <w:adjustRightInd w:val="0"/>
              <w:snapToGrid w:val="0"/>
              <w:rPr>
                <w:lang w:val="sv-SE"/>
              </w:rPr>
            </w:pPr>
            <w:r w:rsidRPr="002B65F7">
              <w:rPr>
                <w:lang w:val="sv-SE"/>
              </w:rPr>
              <w:t>Amgen s.r.o.</w:t>
            </w:r>
          </w:p>
          <w:p w14:paraId="61183A46" w14:textId="77777777" w:rsidR="00195D7E" w:rsidRPr="002B65F7" w:rsidRDefault="00195D7E" w:rsidP="00BF70DA">
            <w:pPr>
              <w:adjustRightInd w:val="0"/>
              <w:snapToGrid w:val="0"/>
              <w:rPr>
                <w:lang w:val="es-ES"/>
              </w:rPr>
            </w:pPr>
            <w:r w:rsidRPr="002B65F7">
              <w:rPr>
                <w:lang w:val="es-ES"/>
              </w:rPr>
              <w:t>Tel: +420 221 773 500</w:t>
            </w:r>
          </w:p>
          <w:p w14:paraId="79807E52" w14:textId="77777777" w:rsidR="00195D7E" w:rsidRPr="002B65F7" w:rsidRDefault="00195D7E" w:rsidP="00BF70DA">
            <w:pPr>
              <w:adjustRightInd w:val="0"/>
              <w:snapToGrid w:val="0"/>
              <w:rPr>
                <w:bCs/>
                <w:lang w:val="es-ES"/>
              </w:rPr>
            </w:pPr>
          </w:p>
        </w:tc>
        <w:tc>
          <w:tcPr>
            <w:tcW w:w="4678" w:type="dxa"/>
          </w:tcPr>
          <w:p w14:paraId="517B0966" w14:textId="77777777" w:rsidR="00195D7E" w:rsidRPr="002B65F7" w:rsidRDefault="00195D7E" w:rsidP="00BF70DA">
            <w:pPr>
              <w:adjustRightInd w:val="0"/>
              <w:snapToGrid w:val="0"/>
              <w:rPr>
                <w:b/>
                <w:bCs/>
                <w:lang w:val="en-GB"/>
              </w:rPr>
            </w:pPr>
            <w:r w:rsidRPr="002B65F7">
              <w:rPr>
                <w:b/>
                <w:bCs/>
                <w:lang w:val="en-GB"/>
              </w:rPr>
              <w:t>Magyarország</w:t>
            </w:r>
          </w:p>
          <w:p w14:paraId="78246066" w14:textId="77777777" w:rsidR="00195D7E" w:rsidRPr="002B65F7" w:rsidRDefault="00195D7E" w:rsidP="00BF70DA">
            <w:pPr>
              <w:adjustRightInd w:val="0"/>
              <w:snapToGrid w:val="0"/>
              <w:rPr>
                <w:lang w:val="en-GB"/>
              </w:rPr>
            </w:pPr>
            <w:r w:rsidRPr="002B65F7">
              <w:rPr>
                <w:lang w:val="en-GB"/>
              </w:rPr>
              <w:t>Amgen Kft.</w:t>
            </w:r>
          </w:p>
          <w:p w14:paraId="26931ACC" w14:textId="1B4673D1" w:rsidR="00195D7E" w:rsidRPr="002B65F7" w:rsidRDefault="00195D7E" w:rsidP="00BF70DA">
            <w:pPr>
              <w:adjustRightInd w:val="0"/>
              <w:snapToGrid w:val="0"/>
              <w:rPr>
                <w:lang w:val="en-GB"/>
              </w:rPr>
            </w:pPr>
            <w:r w:rsidRPr="002B65F7">
              <w:rPr>
                <w:lang w:val="en-GB"/>
              </w:rPr>
              <w:t>T</w:t>
            </w:r>
            <w:r w:rsidR="00415D8D" w:rsidRPr="002B65F7">
              <w:rPr>
                <w:lang w:val="en-GB"/>
              </w:rPr>
              <w:t>é</w:t>
            </w:r>
            <w:r w:rsidRPr="002B65F7">
              <w:rPr>
                <w:lang w:val="en-GB"/>
              </w:rPr>
              <w:t>l.: +36 1 35 44 700</w:t>
            </w:r>
          </w:p>
          <w:p w14:paraId="7477D3C1" w14:textId="77777777" w:rsidR="00195D7E" w:rsidRPr="002B65F7" w:rsidRDefault="00195D7E" w:rsidP="00BF70DA">
            <w:pPr>
              <w:adjustRightInd w:val="0"/>
              <w:snapToGrid w:val="0"/>
              <w:rPr>
                <w:lang w:val="en-GB"/>
              </w:rPr>
            </w:pPr>
          </w:p>
        </w:tc>
      </w:tr>
      <w:tr w:rsidR="00195D7E" w:rsidRPr="002B65F7" w14:paraId="41A97009" w14:textId="77777777" w:rsidTr="00BF70DA">
        <w:trPr>
          <w:cantSplit/>
          <w:trHeight w:val="57"/>
        </w:trPr>
        <w:tc>
          <w:tcPr>
            <w:tcW w:w="4678" w:type="dxa"/>
          </w:tcPr>
          <w:p w14:paraId="08B2F6B1" w14:textId="77777777" w:rsidR="00195D7E" w:rsidRPr="002B65F7" w:rsidRDefault="00195D7E" w:rsidP="00BF70DA">
            <w:pPr>
              <w:adjustRightInd w:val="0"/>
              <w:snapToGrid w:val="0"/>
              <w:rPr>
                <w:b/>
                <w:bCs/>
                <w:lang w:val="da-DK"/>
              </w:rPr>
            </w:pPr>
            <w:r w:rsidRPr="002B65F7">
              <w:rPr>
                <w:b/>
                <w:bCs/>
                <w:lang w:val="da-DK"/>
              </w:rPr>
              <w:t>Danmark</w:t>
            </w:r>
          </w:p>
          <w:p w14:paraId="54AE8D83" w14:textId="77777777" w:rsidR="00195D7E" w:rsidRPr="002B65F7" w:rsidRDefault="00195D7E" w:rsidP="00BF70DA">
            <w:pPr>
              <w:adjustRightInd w:val="0"/>
              <w:snapToGrid w:val="0"/>
              <w:rPr>
                <w:lang w:val="da-DK"/>
              </w:rPr>
            </w:pPr>
            <w:r w:rsidRPr="002B65F7">
              <w:rPr>
                <w:lang w:val="da-DK"/>
              </w:rPr>
              <w:t>Amgen, filial af Amgen AB, Sverige</w:t>
            </w:r>
          </w:p>
          <w:p w14:paraId="4777B0AF" w14:textId="77777777" w:rsidR="00195D7E" w:rsidRPr="002B65F7" w:rsidRDefault="00195D7E" w:rsidP="00BF70DA">
            <w:pPr>
              <w:adjustRightInd w:val="0"/>
              <w:snapToGrid w:val="0"/>
              <w:rPr>
                <w:lang w:val="en-GB"/>
              </w:rPr>
            </w:pPr>
            <w:r w:rsidRPr="002B65F7">
              <w:rPr>
                <w:lang w:val="en-GB"/>
              </w:rPr>
              <w:t>Tlf.: +45 39617500</w:t>
            </w:r>
          </w:p>
          <w:p w14:paraId="55C1F819" w14:textId="77777777" w:rsidR="00195D7E" w:rsidRPr="002B65F7" w:rsidRDefault="00195D7E" w:rsidP="00BF70DA">
            <w:pPr>
              <w:pStyle w:val="lbltxt"/>
              <w:adjustRightInd w:val="0"/>
              <w:snapToGrid w:val="0"/>
              <w:ind w:left="0" w:firstLine="0"/>
              <w:rPr>
                <w:noProof w:val="0"/>
                <w:szCs w:val="22"/>
              </w:rPr>
            </w:pPr>
          </w:p>
        </w:tc>
        <w:tc>
          <w:tcPr>
            <w:tcW w:w="4678" w:type="dxa"/>
          </w:tcPr>
          <w:p w14:paraId="0D57BEB6" w14:textId="082FCC45" w:rsidR="00195D7E" w:rsidRPr="00BB6F00" w:rsidRDefault="00195D7E" w:rsidP="00BF70DA">
            <w:pPr>
              <w:adjustRightInd w:val="0"/>
              <w:snapToGrid w:val="0"/>
              <w:rPr>
                <w:b/>
                <w:bCs/>
                <w:lang w:val="de-DE"/>
              </w:rPr>
            </w:pPr>
            <w:r w:rsidRPr="00BB6F00">
              <w:rPr>
                <w:b/>
                <w:bCs/>
                <w:lang w:val="de-DE"/>
              </w:rPr>
              <w:t>Malt</w:t>
            </w:r>
            <w:r w:rsidR="004E47F7" w:rsidRPr="00BB6F00">
              <w:rPr>
                <w:b/>
                <w:bCs/>
                <w:lang w:val="de-DE"/>
              </w:rPr>
              <w:t>e</w:t>
            </w:r>
          </w:p>
          <w:p w14:paraId="7A3C079B" w14:textId="77777777" w:rsidR="00195D7E" w:rsidRPr="00BB6F00" w:rsidRDefault="00195D7E" w:rsidP="00BF70DA">
            <w:pPr>
              <w:adjustRightInd w:val="0"/>
              <w:snapToGrid w:val="0"/>
              <w:rPr>
                <w:lang w:val="de-DE"/>
              </w:rPr>
            </w:pPr>
            <w:r w:rsidRPr="00BB6F00">
              <w:rPr>
                <w:lang w:val="de-DE"/>
              </w:rPr>
              <w:t>Amgen S.r.l.</w:t>
            </w:r>
          </w:p>
          <w:p w14:paraId="6BFCCE0D" w14:textId="77777777" w:rsidR="00195D7E" w:rsidRPr="00BB6F00" w:rsidRDefault="00195D7E" w:rsidP="00BF70DA">
            <w:pPr>
              <w:adjustRightInd w:val="0"/>
              <w:snapToGrid w:val="0"/>
              <w:rPr>
                <w:lang w:val="de-DE"/>
              </w:rPr>
            </w:pPr>
            <w:r w:rsidRPr="00BB6F00">
              <w:rPr>
                <w:lang w:val="de-DE"/>
              </w:rPr>
              <w:t>Italy</w:t>
            </w:r>
          </w:p>
          <w:p w14:paraId="5C79B598" w14:textId="0CD4717D" w:rsidR="00195D7E" w:rsidRPr="002B65F7" w:rsidRDefault="00195D7E" w:rsidP="00BF70DA">
            <w:pPr>
              <w:adjustRightInd w:val="0"/>
              <w:snapToGrid w:val="0"/>
              <w:rPr>
                <w:lang w:val="en-GB"/>
              </w:rPr>
            </w:pPr>
            <w:r w:rsidRPr="002B65F7">
              <w:rPr>
                <w:lang w:val="en-GB"/>
              </w:rPr>
              <w:t>T</w:t>
            </w:r>
            <w:r w:rsidR="00415D8D" w:rsidRPr="002B65F7">
              <w:rPr>
                <w:lang w:val="en-GB"/>
              </w:rPr>
              <w:t>é</w:t>
            </w:r>
            <w:r w:rsidRPr="002B65F7">
              <w:rPr>
                <w:lang w:val="en-GB"/>
              </w:rPr>
              <w:t>l: +39 02 6241121</w:t>
            </w:r>
          </w:p>
          <w:p w14:paraId="44385F36" w14:textId="77777777" w:rsidR="00195D7E" w:rsidRPr="002B65F7" w:rsidRDefault="00195D7E" w:rsidP="00BF70DA">
            <w:pPr>
              <w:pStyle w:val="lbltxt"/>
              <w:adjustRightInd w:val="0"/>
              <w:snapToGrid w:val="0"/>
              <w:ind w:left="0" w:firstLine="0"/>
              <w:rPr>
                <w:b/>
                <w:noProof w:val="0"/>
                <w:szCs w:val="22"/>
              </w:rPr>
            </w:pPr>
          </w:p>
        </w:tc>
      </w:tr>
      <w:tr w:rsidR="00195D7E" w:rsidRPr="00C93DAC" w14:paraId="7D2089C1" w14:textId="77777777" w:rsidTr="00BF70DA">
        <w:trPr>
          <w:cantSplit/>
          <w:trHeight w:val="57"/>
        </w:trPr>
        <w:tc>
          <w:tcPr>
            <w:tcW w:w="4678" w:type="dxa"/>
          </w:tcPr>
          <w:p w14:paraId="1C3BE5CF" w14:textId="77777777" w:rsidR="00195D7E" w:rsidRPr="002B65F7" w:rsidRDefault="00195D7E" w:rsidP="00BF70DA">
            <w:pPr>
              <w:adjustRightInd w:val="0"/>
              <w:snapToGrid w:val="0"/>
              <w:rPr>
                <w:b/>
                <w:bCs/>
                <w:lang w:val="en-GB"/>
              </w:rPr>
            </w:pPr>
            <w:r w:rsidRPr="002B65F7">
              <w:rPr>
                <w:b/>
                <w:bCs/>
                <w:lang w:val="en-GB"/>
              </w:rPr>
              <w:t>Deutschland</w:t>
            </w:r>
          </w:p>
          <w:p w14:paraId="40EBF630" w14:textId="77777777" w:rsidR="00195D7E" w:rsidRPr="002B65F7" w:rsidRDefault="00195D7E" w:rsidP="00BF70DA">
            <w:pPr>
              <w:adjustRightInd w:val="0"/>
              <w:snapToGrid w:val="0"/>
              <w:rPr>
                <w:lang w:val="en-GB"/>
              </w:rPr>
            </w:pPr>
            <w:r w:rsidRPr="002B65F7">
              <w:rPr>
                <w:lang w:val="en-GB"/>
              </w:rPr>
              <w:t>Amgen GmbH</w:t>
            </w:r>
          </w:p>
          <w:p w14:paraId="37506DEC" w14:textId="538DB852" w:rsidR="00195D7E" w:rsidRPr="002B65F7" w:rsidRDefault="00195D7E" w:rsidP="00BF70DA">
            <w:pPr>
              <w:adjustRightInd w:val="0"/>
              <w:snapToGrid w:val="0"/>
              <w:rPr>
                <w:lang w:val="en-GB"/>
              </w:rPr>
            </w:pPr>
            <w:r w:rsidRPr="002B65F7">
              <w:rPr>
                <w:lang w:val="en-GB"/>
              </w:rPr>
              <w:t>T</w:t>
            </w:r>
            <w:r w:rsidR="00415D8D" w:rsidRPr="002B65F7">
              <w:rPr>
                <w:lang w:val="en-GB"/>
              </w:rPr>
              <w:t>é</w:t>
            </w:r>
            <w:r w:rsidRPr="002B65F7">
              <w:rPr>
                <w:lang w:val="en-GB"/>
              </w:rPr>
              <w:t>l: +49 89 1490960</w:t>
            </w:r>
          </w:p>
          <w:p w14:paraId="2395D273" w14:textId="77777777" w:rsidR="00195D7E" w:rsidRPr="002B65F7" w:rsidRDefault="00195D7E" w:rsidP="00BF70DA">
            <w:pPr>
              <w:pStyle w:val="lbltxt"/>
              <w:adjustRightInd w:val="0"/>
              <w:snapToGrid w:val="0"/>
              <w:ind w:left="0" w:firstLine="0"/>
              <w:rPr>
                <w:b/>
                <w:noProof w:val="0"/>
                <w:szCs w:val="22"/>
              </w:rPr>
            </w:pPr>
          </w:p>
        </w:tc>
        <w:tc>
          <w:tcPr>
            <w:tcW w:w="4678" w:type="dxa"/>
          </w:tcPr>
          <w:p w14:paraId="45B745D7" w14:textId="77777777" w:rsidR="00195D7E" w:rsidRPr="002B65F7" w:rsidRDefault="00195D7E" w:rsidP="00BF70DA">
            <w:pPr>
              <w:adjustRightInd w:val="0"/>
              <w:snapToGrid w:val="0"/>
              <w:rPr>
                <w:b/>
                <w:bCs/>
                <w:lang w:val="de-DE"/>
              </w:rPr>
            </w:pPr>
            <w:r w:rsidRPr="002B65F7">
              <w:rPr>
                <w:b/>
                <w:bCs/>
                <w:lang w:val="de-DE"/>
              </w:rPr>
              <w:t>Nederland</w:t>
            </w:r>
          </w:p>
          <w:p w14:paraId="22FF2E8F" w14:textId="77777777" w:rsidR="00195D7E" w:rsidRPr="002B65F7" w:rsidRDefault="00195D7E" w:rsidP="00BF70DA">
            <w:pPr>
              <w:adjustRightInd w:val="0"/>
              <w:snapToGrid w:val="0"/>
              <w:rPr>
                <w:lang w:val="de-DE"/>
              </w:rPr>
            </w:pPr>
            <w:r w:rsidRPr="002B65F7">
              <w:rPr>
                <w:lang w:val="de-DE"/>
              </w:rPr>
              <w:t>Amgen B.V.</w:t>
            </w:r>
          </w:p>
          <w:p w14:paraId="32A9FB8B" w14:textId="5205AFC9" w:rsidR="00195D7E" w:rsidRPr="002B65F7" w:rsidRDefault="00195D7E" w:rsidP="00BF70DA">
            <w:pPr>
              <w:adjustRightInd w:val="0"/>
              <w:snapToGrid w:val="0"/>
              <w:rPr>
                <w:lang w:val="de-DE"/>
              </w:rPr>
            </w:pPr>
            <w:r w:rsidRPr="002B65F7">
              <w:rPr>
                <w:lang w:val="de-DE"/>
              </w:rPr>
              <w:t>T</w:t>
            </w:r>
            <w:r w:rsidR="00415D8D" w:rsidRPr="002B65F7">
              <w:rPr>
                <w:lang w:val="de-DE"/>
              </w:rPr>
              <w:t>é</w:t>
            </w:r>
            <w:r w:rsidRPr="002B65F7">
              <w:rPr>
                <w:lang w:val="de-DE"/>
              </w:rPr>
              <w:t>l: +31 (0)76 5732500</w:t>
            </w:r>
          </w:p>
          <w:p w14:paraId="3E23C3EF" w14:textId="77777777" w:rsidR="00195D7E" w:rsidRPr="002B65F7" w:rsidRDefault="00195D7E" w:rsidP="00BF70DA">
            <w:pPr>
              <w:pStyle w:val="lbltxt"/>
              <w:adjustRightInd w:val="0"/>
              <w:snapToGrid w:val="0"/>
              <w:ind w:left="0" w:firstLine="0"/>
              <w:rPr>
                <w:noProof w:val="0"/>
                <w:szCs w:val="22"/>
                <w:lang w:val="de-DE"/>
              </w:rPr>
            </w:pPr>
          </w:p>
        </w:tc>
      </w:tr>
      <w:tr w:rsidR="00195D7E" w:rsidRPr="002B65F7" w14:paraId="64E89BEA" w14:textId="77777777" w:rsidTr="00BF70DA">
        <w:trPr>
          <w:cantSplit/>
          <w:trHeight w:val="57"/>
        </w:trPr>
        <w:tc>
          <w:tcPr>
            <w:tcW w:w="4678" w:type="dxa"/>
          </w:tcPr>
          <w:p w14:paraId="64519A76" w14:textId="77777777" w:rsidR="00195D7E" w:rsidRPr="00B007D2" w:rsidRDefault="00195D7E" w:rsidP="00BF70DA">
            <w:pPr>
              <w:adjustRightInd w:val="0"/>
              <w:snapToGrid w:val="0"/>
              <w:rPr>
                <w:b/>
                <w:bCs/>
                <w:lang w:val="da-DK"/>
              </w:rPr>
            </w:pPr>
            <w:r w:rsidRPr="00B007D2">
              <w:rPr>
                <w:b/>
                <w:bCs/>
                <w:lang w:val="da-DK"/>
              </w:rPr>
              <w:t>Eesti</w:t>
            </w:r>
          </w:p>
          <w:p w14:paraId="299F89B2" w14:textId="77777777" w:rsidR="00195D7E" w:rsidRPr="00B007D2" w:rsidRDefault="00195D7E" w:rsidP="00BF70DA">
            <w:pPr>
              <w:adjustRightInd w:val="0"/>
              <w:snapToGrid w:val="0"/>
              <w:rPr>
                <w:lang w:val="da-DK"/>
              </w:rPr>
            </w:pPr>
            <w:r w:rsidRPr="00B007D2">
              <w:rPr>
                <w:lang w:val="da-DK"/>
              </w:rPr>
              <w:t>Amgen Switzerland AG Vilniaus filialas</w:t>
            </w:r>
          </w:p>
          <w:p w14:paraId="6872298F" w14:textId="316445E8" w:rsidR="00195D7E" w:rsidRPr="002B65F7" w:rsidRDefault="00195D7E" w:rsidP="00BF70DA">
            <w:pPr>
              <w:adjustRightInd w:val="0"/>
              <w:snapToGrid w:val="0"/>
              <w:rPr>
                <w:lang w:val="en-GB"/>
              </w:rPr>
            </w:pPr>
            <w:r w:rsidRPr="002B65F7">
              <w:rPr>
                <w:lang w:val="en-GB"/>
              </w:rPr>
              <w:t>T</w:t>
            </w:r>
            <w:r w:rsidR="00415D8D" w:rsidRPr="002B65F7">
              <w:rPr>
                <w:lang w:val="en-GB"/>
              </w:rPr>
              <w:t>é</w:t>
            </w:r>
            <w:r w:rsidRPr="002B65F7">
              <w:rPr>
                <w:lang w:val="en-GB"/>
              </w:rPr>
              <w:t>l: +372 586 09553</w:t>
            </w:r>
          </w:p>
          <w:p w14:paraId="7EB1401E" w14:textId="77777777" w:rsidR="00195D7E" w:rsidRPr="002B65F7" w:rsidRDefault="00195D7E" w:rsidP="00BF70DA">
            <w:pPr>
              <w:adjustRightInd w:val="0"/>
              <w:snapToGrid w:val="0"/>
              <w:rPr>
                <w:b/>
                <w:lang w:val="en-GB"/>
              </w:rPr>
            </w:pPr>
          </w:p>
        </w:tc>
        <w:tc>
          <w:tcPr>
            <w:tcW w:w="4678" w:type="dxa"/>
          </w:tcPr>
          <w:p w14:paraId="70F5B1B0" w14:textId="77777777" w:rsidR="00195D7E" w:rsidRPr="002B65F7" w:rsidRDefault="00195D7E" w:rsidP="00BF70DA">
            <w:pPr>
              <w:adjustRightInd w:val="0"/>
              <w:snapToGrid w:val="0"/>
              <w:rPr>
                <w:b/>
                <w:bCs/>
                <w:lang w:val="en-GB"/>
              </w:rPr>
            </w:pPr>
            <w:r w:rsidRPr="002B65F7">
              <w:rPr>
                <w:b/>
                <w:bCs/>
                <w:lang w:val="en-GB"/>
              </w:rPr>
              <w:t>Norge</w:t>
            </w:r>
          </w:p>
          <w:p w14:paraId="1CAE9145" w14:textId="77777777" w:rsidR="00195D7E" w:rsidRPr="002B65F7" w:rsidRDefault="00195D7E" w:rsidP="00BF70DA">
            <w:pPr>
              <w:adjustRightInd w:val="0"/>
              <w:snapToGrid w:val="0"/>
              <w:rPr>
                <w:lang w:val="en-GB"/>
              </w:rPr>
            </w:pPr>
            <w:r w:rsidRPr="002B65F7">
              <w:rPr>
                <w:lang w:val="en-GB"/>
              </w:rPr>
              <w:t>Amgen AB</w:t>
            </w:r>
          </w:p>
          <w:p w14:paraId="7007BFEE" w14:textId="77777777" w:rsidR="00195D7E" w:rsidRPr="002B65F7" w:rsidRDefault="00195D7E" w:rsidP="00BF70DA">
            <w:pPr>
              <w:adjustRightInd w:val="0"/>
              <w:snapToGrid w:val="0"/>
              <w:rPr>
                <w:lang w:val="en-GB"/>
              </w:rPr>
            </w:pPr>
            <w:r w:rsidRPr="002B65F7">
              <w:rPr>
                <w:lang w:val="en-GB"/>
              </w:rPr>
              <w:t>Tlf: +47 23308000</w:t>
            </w:r>
          </w:p>
          <w:p w14:paraId="745B12AE" w14:textId="77777777" w:rsidR="00195D7E" w:rsidRPr="002B65F7" w:rsidRDefault="00195D7E" w:rsidP="00BF70DA">
            <w:pPr>
              <w:pStyle w:val="lbltxt"/>
              <w:adjustRightInd w:val="0"/>
              <w:snapToGrid w:val="0"/>
              <w:ind w:left="0" w:firstLine="0"/>
              <w:rPr>
                <w:noProof w:val="0"/>
                <w:szCs w:val="22"/>
              </w:rPr>
            </w:pPr>
          </w:p>
        </w:tc>
      </w:tr>
      <w:tr w:rsidR="00195D7E" w:rsidRPr="002B65F7" w14:paraId="496BED98" w14:textId="77777777" w:rsidTr="00BF70DA">
        <w:trPr>
          <w:cantSplit/>
          <w:trHeight w:val="57"/>
        </w:trPr>
        <w:tc>
          <w:tcPr>
            <w:tcW w:w="4678" w:type="dxa"/>
          </w:tcPr>
          <w:p w14:paraId="4AB23FD7" w14:textId="77777777" w:rsidR="00195D7E" w:rsidRPr="002B65F7" w:rsidRDefault="00195D7E" w:rsidP="00BF70DA">
            <w:pPr>
              <w:adjustRightInd w:val="0"/>
              <w:snapToGrid w:val="0"/>
              <w:rPr>
                <w:b/>
                <w:bCs/>
                <w:lang w:val="el-GR"/>
              </w:rPr>
            </w:pPr>
            <w:r w:rsidRPr="002B65F7">
              <w:rPr>
                <w:b/>
                <w:bCs/>
                <w:lang w:val="el-GR"/>
              </w:rPr>
              <w:t>Ελλάδα</w:t>
            </w:r>
          </w:p>
          <w:p w14:paraId="33480129" w14:textId="77777777" w:rsidR="00195D7E" w:rsidRPr="002B65F7" w:rsidRDefault="00195D7E" w:rsidP="00BF70DA">
            <w:pPr>
              <w:adjustRightInd w:val="0"/>
              <w:snapToGrid w:val="0"/>
              <w:rPr>
                <w:lang w:val="el-GR"/>
              </w:rPr>
            </w:pPr>
            <w:r w:rsidRPr="002B65F7">
              <w:t>Amgen</w:t>
            </w:r>
            <w:r w:rsidRPr="002B65F7">
              <w:rPr>
                <w:lang w:val="el-GR"/>
              </w:rPr>
              <w:t xml:space="preserve"> Ελλάς Φαρμακευτικά Ε.Π.Ε.</w:t>
            </w:r>
          </w:p>
          <w:p w14:paraId="6C614481" w14:textId="2AC7EBC1" w:rsidR="00195D7E" w:rsidRPr="002B65F7" w:rsidRDefault="00195D7E" w:rsidP="00BF70DA">
            <w:pPr>
              <w:adjustRightInd w:val="0"/>
              <w:snapToGrid w:val="0"/>
              <w:rPr>
                <w:lang w:val="en-GB"/>
              </w:rPr>
            </w:pPr>
            <w:r w:rsidRPr="002B65F7">
              <w:rPr>
                <w:lang w:val="en-GB"/>
              </w:rPr>
              <w:t>Τηλ: +30 210 3447000</w:t>
            </w:r>
          </w:p>
          <w:p w14:paraId="6A8DF50F" w14:textId="77777777" w:rsidR="00195D7E" w:rsidRPr="002B65F7" w:rsidRDefault="00195D7E" w:rsidP="00BF70DA">
            <w:pPr>
              <w:pStyle w:val="lbltxt"/>
              <w:adjustRightInd w:val="0"/>
              <w:snapToGrid w:val="0"/>
              <w:ind w:left="0" w:firstLine="0"/>
              <w:rPr>
                <w:noProof w:val="0"/>
                <w:szCs w:val="22"/>
              </w:rPr>
            </w:pPr>
          </w:p>
        </w:tc>
        <w:tc>
          <w:tcPr>
            <w:tcW w:w="4678" w:type="dxa"/>
          </w:tcPr>
          <w:p w14:paraId="62FF2560" w14:textId="77777777" w:rsidR="00195D7E" w:rsidRPr="002B65F7" w:rsidRDefault="00195D7E" w:rsidP="00BF70DA">
            <w:pPr>
              <w:adjustRightInd w:val="0"/>
              <w:snapToGrid w:val="0"/>
              <w:rPr>
                <w:b/>
                <w:bCs/>
                <w:lang w:val="en-GB"/>
              </w:rPr>
            </w:pPr>
            <w:r w:rsidRPr="002B65F7">
              <w:rPr>
                <w:b/>
                <w:bCs/>
                <w:lang w:val="en-GB"/>
              </w:rPr>
              <w:t>Österreich</w:t>
            </w:r>
          </w:p>
          <w:p w14:paraId="7149C769" w14:textId="77777777" w:rsidR="00195D7E" w:rsidRPr="002B65F7" w:rsidRDefault="00195D7E" w:rsidP="00BF70DA">
            <w:pPr>
              <w:adjustRightInd w:val="0"/>
              <w:snapToGrid w:val="0"/>
              <w:rPr>
                <w:lang w:val="en-GB"/>
              </w:rPr>
            </w:pPr>
            <w:r w:rsidRPr="002B65F7">
              <w:rPr>
                <w:lang w:val="en-GB"/>
              </w:rPr>
              <w:t>Amgen GmbH</w:t>
            </w:r>
          </w:p>
          <w:p w14:paraId="36740ACB" w14:textId="328D35AB" w:rsidR="00195D7E" w:rsidRPr="002B65F7" w:rsidRDefault="00195D7E" w:rsidP="00BF70DA">
            <w:pPr>
              <w:adjustRightInd w:val="0"/>
              <w:snapToGrid w:val="0"/>
              <w:rPr>
                <w:lang w:val="en-GB"/>
              </w:rPr>
            </w:pPr>
            <w:r w:rsidRPr="002B65F7">
              <w:rPr>
                <w:lang w:val="en-GB"/>
              </w:rPr>
              <w:t>T</w:t>
            </w:r>
            <w:r w:rsidR="008E05E2" w:rsidRPr="002B65F7">
              <w:rPr>
                <w:lang w:val="en-GB"/>
              </w:rPr>
              <w:t>é</w:t>
            </w:r>
            <w:r w:rsidRPr="002B65F7">
              <w:rPr>
                <w:lang w:val="en-GB"/>
              </w:rPr>
              <w:t>l: +43 (0)1 50 217</w:t>
            </w:r>
          </w:p>
          <w:p w14:paraId="1CCEED22" w14:textId="77777777" w:rsidR="00195D7E" w:rsidRPr="002B65F7" w:rsidRDefault="00195D7E" w:rsidP="00BF70DA">
            <w:pPr>
              <w:pStyle w:val="lbltxt"/>
              <w:adjustRightInd w:val="0"/>
              <w:snapToGrid w:val="0"/>
              <w:ind w:left="0" w:firstLine="0"/>
              <w:rPr>
                <w:b/>
                <w:noProof w:val="0"/>
                <w:szCs w:val="22"/>
              </w:rPr>
            </w:pPr>
          </w:p>
        </w:tc>
      </w:tr>
      <w:tr w:rsidR="00195D7E" w:rsidRPr="002B65F7" w14:paraId="233B63D1" w14:textId="77777777" w:rsidTr="00BF70DA">
        <w:trPr>
          <w:cantSplit/>
          <w:trHeight w:val="57"/>
        </w:trPr>
        <w:tc>
          <w:tcPr>
            <w:tcW w:w="4678" w:type="dxa"/>
          </w:tcPr>
          <w:p w14:paraId="4C86BB8E" w14:textId="77777777" w:rsidR="00195D7E" w:rsidRPr="002B65F7" w:rsidRDefault="00195D7E" w:rsidP="00BF70DA">
            <w:pPr>
              <w:adjustRightInd w:val="0"/>
              <w:snapToGrid w:val="0"/>
              <w:rPr>
                <w:b/>
                <w:bCs/>
                <w:lang w:val="es-ES"/>
              </w:rPr>
            </w:pPr>
            <w:r w:rsidRPr="002B65F7">
              <w:rPr>
                <w:b/>
                <w:bCs/>
                <w:lang w:val="es-ES"/>
              </w:rPr>
              <w:t>España</w:t>
            </w:r>
          </w:p>
          <w:p w14:paraId="67D62088" w14:textId="77777777" w:rsidR="00195D7E" w:rsidRPr="002B65F7" w:rsidRDefault="00195D7E" w:rsidP="00BF70DA">
            <w:pPr>
              <w:adjustRightInd w:val="0"/>
              <w:snapToGrid w:val="0"/>
              <w:rPr>
                <w:lang w:val="es-ES"/>
              </w:rPr>
            </w:pPr>
            <w:r w:rsidRPr="002B65F7">
              <w:rPr>
                <w:lang w:val="es-ES"/>
              </w:rPr>
              <w:t>Amgen S.A.</w:t>
            </w:r>
          </w:p>
          <w:p w14:paraId="1CAAFB78" w14:textId="44C45925" w:rsidR="00195D7E" w:rsidRPr="002B65F7" w:rsidRDefault="00195D7E" w:rsidP="00BF70DA">
            <w:pPr>
              <w:adjustRightInd w:val="0"/>
              <w:snapToGrid w:val="0"/>
              <w:rPr>
                <w:lang w:val="es-ES"/>
              </w:rPr>
            </w:pPr>
            <w:r w:rsidRPr="002B65F7">
              <w:rPr>
                <w:lang w:val="es-ES"/>
              </w:rPr>
              <w:t>T</w:t>
            </w:r>
            <w:r w:rsidR="00BB7C7C" w:rsidRPr="002B65F7">
              <w:rPr>
                <w:lang w:val="es-ES"/>
              </w:rPr>
              <w:t>é</w:t>
            </w:r>
            <w:r w:rsidRPr="002B65F7">
              <w:rPr>
                <w:lang w:val="es-ES"/>
              </w:rPr>
              <w:t>l: +34 93 600 18 60</w:t>
            </w:r>
          </w:p>
          <w:p w14:paraId="667DD9F2" w14:textId="77777777" w:rsidR="00195D7E" w:rsidRPr="002B65F7" w:rsidRDefault="00195D7E" w:rsidP="00BF70DA">
            <w:pPr>
              <w:pStyle w:val="lbltxt"/>
              <w:adjustRightInd w:val="0"/>
              <w:snapToGrid w:val="0"/>
              <w:ind w:left="0" w:firstLine="0"/>
              <w:rPr>
                <w:bCs/>
                <w:noProof w:val="0"/>
                <w:szCs w:val="22"/>
                <w:lang w:val="es-ES"/>
              </w:rPr>
            </w:pPr>
          </w:p>
        </w:tc>
        <w:tc>
          <w:tcPr>
            <w:tcW w:w="4678" w:type="dxa"/>
          </w:tcPr>
          <w:p w14:paraId="051F1154" w14:textId="77777777" w:rsidR="00195D7E" w:rsidRPr="002B65F7" w:rsidRDefault="00195D7E" w:rsidP="00BF70DA">
            <w:pPr>
              <w:adjustRightInd w:val="0"/>
              <w:snapToGrid w:val="0"/>
              <w:rPr>
                <w:b/>
                <w:bCs/>
                <w:lang w:val="pl-PL"/>
              </w:rPr>
            </w:pPr>
            <w:r w:rsidRPr="002B65F7">
              <w:rPr>
                <w:b/>
                <w:bCs/>
                <w:lang w:val="pl-PL"/>
              </w:rPr>
              <w:t>Polska</w:t>
            </w:r>
          </w:p>
          <w:p w14:paraId="13E87306" w14:textId="77777777" w:rsidR="00195D7E" w:rsidRPr="002B65F7" w:rsidRDefault="00195D7E" w:rsidP="00BF70DA">
            <w:pPr>
              <w:adjustRightInd w:val="0"/>
              <w:snapToGrid w:val="0"/>
              <w:rPr>
                <w:lang w:val="pl-PL"/>
              </w:rPr>
            </w:pPr>
            <w:r w:rsidRPr="002B65F7">
              <w:rPr>
                <w:lang w:val="pl-PL"/>
              </w:rPr>
              <w:t>Amgen Biotechnologia Sp. z o.o.</w:t>
            </w:r>
          </w:p>
          <w:p w14:paraId="579166CC" w14:textId="27B66A44" w:rsidR="00195D7E" w:rsidRPr="002B65F7" w:rsidRDefault="00195D7E" w:rsidP="00BF70DA">
            <w:pPr>
              <w:adjustRightInd w:val="0"/>
              <w:snapToGrid w:val="0"/>
              <w:rPr>
                <w:lang w:val="en-GB"/>
              </w:rPr>
            </w:pPr>
            <w:r w:rsidRPr="002B65F7">
              <w:rPr>
                <w:lang w:val="en-GB"/>
              </w:rPr>
              <w:t>T</w:t>
            </w:r>
            <w:r w:rsidR="00BB7C7C" w:rsidRPr="002B65F7">
              <w:rPr>
                <w:lang w:val="en-GB"/>
              </w:rPr>
              <w:t>é</w:t>
            </w:r>
            <w:r w:rsidRPr="002B65F7">
              <w:rPr>
                <w:lang w:val="en-GB"/>
              </w:rPr>
              <w:t>l.: +48 22 581 3000</w:t>
            </w:r>
          </w:p>
          <w:p w14:paraId="0021941A" w14:textId="77777777" w:rsidR="00195D7E" w:rsidRPr="002B65F7" w:rsidRDefault="00195D7E" w:rsidP="00BF70DA">
            <w:pPr>
              <w:adjustRightInd w:val="0"/>
              <w:snapToGrid w:val="0"/>
              <w:rPr>
                <w:lang w:val="en-GB"/>
              </w:rPr>
            </w:pPr>
          </w:p>
        </w:tc>
      </w:tr>
      <w:tr w:rsidR="00195D7E" w:rsidRPr="00747845" w14:paraId="0B2A00E3" w14:textId="77777777" w:rsidTr="00BF70DA">
        <w:trPr>
          <w:cantSplit/>
          <w:trHeight w:val="57"/>
        </w:trPr>
        <w:tc>
          <w:tcPr>
            <w:tcW w:w="4678" w:type="dxa"/>
          </w:tcPr>
          <w:p w14:paraId="38710F83" w14:textId="77777777" w:rsidR="00195D7E" w:rsidRPr="002B65F7" w:rsidRDefault="00195D7E" w:rsidP="00BF70DA">
            <w:pPr>
              <w:adjustRightInd w:val="0"/>
              <w:snapToGrid w:val="0"/>
              <w:rPr>
                <w:b/>
                <w:bCs/>
              </w:rPr>
            </w:pPr>
            <w:r w:rsidRPr="002B65F7">
              <w:rPr>
                <w:b/>
                <w:bCs/>
              </w:rPr>
              <w:lastRenderedPageBreak/>
              <w:t>France</w:t>
            </w:r>
          </w:p>
          <w:p w14:paraId="646CDA7F" w14:textId="77777777" w:rsidR="00195D7E" w:rsidRPr="002B65F7" w:rsidRDefault="00195D7E" w:rsidP="00BF70DA">
            <w:pPr>
              <w:adjustRightInd w:val="0"/>
              <w:snapToGrid w:val="0"/>
            </w:pPr>
            <w:r w:rsidRPr="002B65F7">
              <w:t>Amgen S.A.S.</w:t>
            </w:r>
          </w:p>
          <w:p w14:paraId="3F072609" w14:textId="77777777" w:rsidR="00195D7E" w:rsidRPr="002B65F7" w:rsidRDefault="00195D7E" w:rsidP="00BF70DA">
            <w:pPr>
              <w:adjustRightInd w:val="0"/>
              <w:snapToGrid w:val="0"/>
            </w:pPr>
            <w:r w:rsidRPr="002B65F7">
              <w:t>Tél: +33 (0)9 69 363 363</w:t>
            </w:r>
          </w:p>
          <w:p w14:paraId="104AF054" w14:textId="77777777" w:rsidR="00195D7E" w:rsidRPr="002B65F7" w:rsidRDefault="00195D7E" w:rsidP="00BF70DA">
            <w:pPr>
              <w:adjustRightInd w:val="0"/>
              <w:snapToGrid w:val="0"/>
              <w:rPr>
                <w:b/>
              </w:rPr>
            </w:pPr>
          </w:p>
        </w:tc>
        <w:tc>
          <w:tcPr>
            <w:tcW w:w="4678" w:type="dxa"/>
          </w:tcPr>
          <w:p w14:paraId="25F27DD1" w14:textId="77777777" w:rsidR="00195D7E" w:rsidRPr="002B65F7" w:rsidRDefault="00195D7E" w:rsidP="00BF70DA">
            <w:pPr>
              <w:adjustRightInd w:val="0"/>
              <w:snapToGrid w:val="0"/>
              <w:rPr>
                <w:b/>
                <w:bCs/>
                <w:lang w:val="es-ES"/>
              </w:rPr>
            </w:pPr>
            <w:r w:rsidRPr="002B65F7">
              <w:rPr>
                <w:b/>
                <w:bCs/>
                <w:lang w:val="es-ES"/>
              </w:rPr>
              <w:t>Portugal</w:t>
            </w:r>
          </w:p>
          <w:p w14:paraId="62D17059" w14:textId="77777777" w:rsidR="00195D7E" w:rsidRPr="002B65F7" w:rsidRDefault="00195D7E" w:rsidP="00BF70DA">
            <w:pPr>
              <w:adjustRightInd w:val="0"/>
              <w:snapToGrid w:val="0"/>
              <w:rPr>
                <w:lang w:val="es-ES"/>
              </w:rPr>
            </w:pPr>
            <w:r w:rsidRPr="002B65F7">
              <w:rPr>
                <w:lang w:val="es-ES"/>
              </w:rPr>
              <w:t>Amgen Biofarmacêutica, Lda.</w:t>
            </w:r>
          </w:p>
          <w:p w14:paraId="17CFF3BB" w14:textId="4F97EDFB" w:rsidR="00195D7E" w:rsidRPr="002B65F7" w:rsidRDefault="00195D7E" w:rsidP="00BF70DA">
            <w:pPr>
              <w:adjustRightInd w:val="0"/>
              <w:snapToGrid w:val="0"/>
              <w:rPr>
                <w:lang w:val="es-ES"/>
              </w:rPr>
            </w:pPr>
            <w:r w:rsidRPr="002B65F7">
              <w:rPr>
                <w:lang w:val="es-ES"/>
              </w:rPr>
              <w:t>T</w:t>
            </w:r>
            <w:r w:rsidR="00BB7C7C" w:rsidRPr="002B65F7">
              <w:rPr>
                <w:lang w:val="es-ES"/>
              </w:rPr>
              <w:t>é</w:t>
            </w:r>
            <w:r w:rsidRPr="002B65F7">
              <w:rPr>
                <w:lang w:val="es-ES"/>
              </w:rPr>
              <w:t>l: +351 21 4220606</w:t>
            </w:r>
          </w:p>
          <w:p w14:paraId="1FC607E8" w14:textId="77777777" w:rsidR="00195D7E" w:rsidRPr="002B65F7" w:rsidRDefault="00195D7E" w:rsidP="00BF70DA">
            <w:pPr>
              <w:pStyle w:val="lbltxt"/>
              <w:adjustRightInd w:val="0"/>
              <w:snapToGrid w:val="0"/>
              <w:ind w:left="0" w:firstLine="0"/>
              <w:rPr>
                <w:noProof w:val="0"/>
                <w:szCs w:val="22"/>
                <w:lang w:val="es-ES"/>
              </w:rPr>
            </w:pPr>
          </w:p>
        </w:tc>
      </w:tr>
      <w:tr w:rsidR="00195D7E" w:rsidRPr="00BB6B52" w14:paraId="01E59442" w14:textId="77777777" w:rsidTr="00BF70DA">
        <w:trPr>
          <w:cantSplit/>
          <w:trHeight w:val="57"/>
        </w:trPr>
        <w:tc>
          <w:tcPr>
            <w:tcW w:w="4678" w:type="dxa"/>
          </w:tcPr>
          <w:p w14:paraId="6570C161" w14:textId="77777777" w:rsidR="00195D7E" w:rsidRPr="002B65F7" w:rsidRDefault="00195D7E" w:rsidP="00BF70DA">
            <w:pPr>
              <w:adjustRightInd w:val="0"/>
              <w:snapToGrid w:val="0"/>
              <w:rPr>
                <w:b/>
                <w:bCs/>
                <w:lang w:val="sv-SE"/>
              </w:rPr>
            </w:pPr>
            <w:r w:rsidRPr="002B65F7">
              <w:rPr>
                <w:b/>
                <w:bCs/>
                <w:lang w:val="sv-SE"/>
              </w:rPr>
              <w:t>Hrvatska</w:t>
            </w:r>
          </w:p>
          <w:p w14:paraId="31B799EE" w14:textId="77777777" w:rsidR="00195D7E" w:rsidRPr="002B65F7" w:rsidRDefault="00195D7E" w:rsidP="00BF70DA">
            <w:pPr>
              <w:adjustRightInd w:val="0"/>
              <w:snapToGrid w:val="0"/>
              <w:rPr>
                <w:lang w:val="sv-SE"/>
              </w:rPr>
            </w:pPr>
            <w:r w:rsidRPr="002B65F7">
              <w:rPr>
                <w:lang w:val="sv-SE"/>
              </w:rPr>
              <w:t>Amgen d.o.o.</w:t>
            </w:r>
          </w:p>
          <w:p w14:paraId="6B990451" w14:textId="43617832" w:rsidR="00195D7E" w:rsidRPr="002B65F7" w:rsidRDefault="00195D7E" w:rsidP="00BF70DA">
            <w:pPr>
              <w:adjustRightInd w:val="0"/>
              <w:snapToGrid w:val="0"/>
              <w:rPr>
                <w:lang w:val="en-GB"/>
              </w:rPr>
            </w:pPr>
            <w:r w:rsidRPr="002B65F7">
              <w:rPr>
                <w:lang w:val="en-GB"/>
              </w:rPr>
              <w:t>T</w:t>
            </w:r>
            <w:r w:rsidR="00BB7C7C" w:rsidRPr="002B65F7">
              <w:rPr>
                <w:lang w:val="en-GB"/>
              </w:rPr>
              <w:t>é</w:t>
            </w:r>
            <w:r w:rsidRPr="002B65F7">
              <w:rPr>
                <w:lang w:val="en-GB"/>
              </w:rPr>
              <w:t>l: +385 (0)1 562 57 20</w:t>
            </w:r>
          </w:p>
          <w:p w14:paraId="684794DB" w14:textId="77777777" w:rsidR="00195D7E" w:rsidRPr="002B65F7" w:rsidRDefault="00195D7E" w:rsidP="00BF70DA">
            <w:pPr>
              <w:adjustRightInd w:val="0"/>
              <w:snapToGrid w:val="0"/>
              <w:rPr>
                <w:lang w:val="en-GB"/>
              </w:rPr>
            </w:pPr>
          </w:p>
        </w:tc>
        <w:tc>
          <w:tcPr>
            <w:tcW w:w="4678" w:type="dxa"/>
          </w:tcPr>
          <w:p w14:paraId="1D267219" w14:textId="77777777" w:rsidR="00195D7E" w:rsidRPr="002B65F7" w:rsidRDefault="00195D7E" w:rsidP="00BF70DA">
            <w:pPr>
              <w:adjustRightInd w:val="0"/>
              <w:snapToGrid w:val="0"/>
              <w:rPr>
                <w:b/>
                <w:bCs/>
                <w:lang w:val="es-ES"/>
              </w:rPr>
            </w:pPr>
            <w:r w:rsidRPr="002B65F7">
              <w:rPr>
                <w:b/>
                <w:bCs/>
                <w:lang w:val="es-ES"/>
              </w:rPr>
              <w:t>România</w:t>
            </w:r>
          </w:p>
          <w:p w14:paraId="66F3E912" w14:textId="77777777" w:rsidR="00195D7E" w:rsidRPr="002B65F7" w:rsidRDefault="00195D7E" w:rsidP="00BF70DA">
            <w:pPr>
              <w:adjustRightInd w:val="0"/>
              <w:snapToGrid w:val="0"/>
              <w:rPr>
                <w:lang w:val="es-ES"/>
              </w:rPr>
            </w:pPr>
            <w:r w:rsidRPr="002B65F7">
              <w:rPr>
                <w:lang w:val="es-ES"/>
              </w:rPr>
              <w:t>Amgen România SRL</w:t>
            </w:r>
          </w:p>
          <w:p w14:paraId="36413606" w14:textId="0D1CA697" w:rsidR="00195D7E" w:rsidRPr="002B65F7" w:rsidRDefault="00195D7E" w:rsidP="00BF70DA">
            <w:pPr>
              <w:adjustRightInd w:val="0"/>
              <w:snapToGrid w:val="0"/>
              <w:rPr>
                <w:lang w:val="es-ES"/>
              </w:rPr>
            </w:pPr>
            <w:r w:rsidRPr="002B65F7">
              <w:rPr>
                <w:lang w:val="es-ES"/>
              </w:rPr>
              <w:t>T</w:t>
            </w:r>
            <w:r w:rsidR="00BB7C7C" w:rsidRPr="002B65F7">
              <w:rPr>
                <w:lang w:val="es-ES"/>
              </w:rPr>
              <w:t>é</w:t>
            </w:r>
            <w:r w:rsidRPr="002B65F7">
              <w:rPr>
                <w:lang w:val="es-ES"/>
              </w:rPr>
              <w:t>l: +4021 527 3000</w:t>
            </w:r>
          </w:p>
          <w:p w14:paraId="7EC25FE3" w14:textId="77777777" w:rsidR="00195D7E" w:rsidRPr="002B65F7" w:rsidRDefault="00195D7E" w:rsidP="00BF70DA">
            <w:pPr>
              <w:pStyle w:val="lbltxt"/>
              <w:adjustRightInd w:val="0"/>
              <w:snapToGrid w:val="0"/>
              <w:ind w:left="0" w:firstLine="0"/>
              <w:rPr>
                <w:noProof w:val="0"/>
                <w:szCs w:val="22"/>
                <w:lang w:val="es-ES"/>
              </w:rPr>
            </w:pPr>
          </w:p>
        </w:tc>
      </w:tr>
      <w:tr w:rsidR="00195D7E" w:rsidRPr="00B671F3" w14:paraId="45D5A042" w14:textId="77777777" w:rsidTr="00BF70DA">
        <w:trPr>
          <w:cantSplit/>
          <w:trHeight w:val="57"/>
        </w:trPr>
        <w:tc>
          <w:tcPr>
            <w:tcW w:w="4678" w:type="dxa"/>
          </w:tcPr>
          <w:p w14:paraId="5F756724" w14:textId="2752A25B" w:rsidR="00195D7E" w:rsidRPr="002B65F7" w:rsidRDefault="00195D7E" w:rsidP="00BF70DA">
            <w:pPr>
              <w:adjustRightInd w:val="0"/>
              <w:snapToGrid w:val="0"/>
              <w:rPr>
                <w:b/>
                <w:bCs/>
                <w:lang w:val="en-IN"/>
              </w:rPr>
            </w:pPr>
            <w:r w:rsidRPr="002B65F7">
              <w:rPr>
                <w:b/>
                <w:bCs/>
                <w:lang w:val="en-IN"/>
              </w:rPr>
              <w:t>Ir</w:t>
            </w:r>
            <w:r w:rsidR="009A0F91" w:rsidRPr="002B65F7">
              <w:rPr>
                <w:b/>
                <w:bCs/>
                <w:lang w:val="en-IN"/>
              </w:rPr>
              <w:t>e</w:t>
            </w:r>
            <w:r w:rsidRPr="002B65F7">
              <w:rPr>
                <w:b/>
                <w:bCs/>
                <w:lang w:val="en-IN"/>
              </w:rPr>
              <w:t>land</w:t>
            </w:r>
          </w:p>
          <w:p w14:paraId="3602AEA4" w14:textId="196B232C" w:rsidR="00195D7E" w:rsidRPr="002B65F7" w:rsidRDefault="00195D7E" w:rsidP="00BF70DA">
            <w:pPr>
              <w:adjustRightInd w:val="0"/>
              <w:snapToGrid w:val="0"/>
              <w:rPr>
                <w:lang w:val="en-IN"/>
              </w:rPr>
            </w:pPr>
            <w:r w:rsidRPr="002B65F7">
              <w:rPr>
                <w:lang w:val="en-IN"/>
              </w:rPr>
              <w:t>Amgen Ireland Limited</w:t>
            </w:r>
          </w:p>
          <w:p w14:paraId="1FF29CE7" w14:textId="7C467040" w:rsidR="00195D7E" w:rsidRPr="002B65F7" w:rsidRDefault="00195D7E" w:rsidP="00BF70DA">
            <w:pPr>
              <w:adjustRightInd w:val="0"/>
              <w:snapToGrid w:val="0"/>
              <w:rPr>
                <w:lang w:val="en-IN"/>
              </w:rPr>
            </w:pPr>
            <w:r w:rsidRPr="002B65F7">
              <w:rPr>
                <w:lang w:val="en-IN"/>
              </w:rPr>
              <w:t>T</w:t>
            </w:r>
            <w:r w:rsidR="00BB7C7C" w:rsidRPr="002B65F7">
              <w:rPr>
                <w:lang w:val="en-IN"/>
              </w:rPr>
              <w:t>é</w:t>
            </w:r>
            <w:r w:rsidRPr="002B65F7">
              <w:rPr>
                <w:lang w:val="en-IN"/>
              </w:rPr>
              <w:t>l: +353 1 8527400</w:t>
            </w:r>
          </w:p>
          <w:p w14:paraId="3979FCCC" w14:textId="77777777" w:rsidR="00195D7E" w:rsidRPr="002B65F7" w:rsidRDefault="00195D7E" w:rsidP="00BF70DA">
            <w:pPr>
              <w:adjustRightInd w:val="0"/>
              <w:snapToGrid w:val="0"/>
              <w:rPr>
                <w:lang w:val="en-IN"/>
              </w:rPr>
            </w:pPr>
          </w:p>
        </w:tc>
        <w:tc>
          <w:tcPr>
            <w:tcW w:w="4678" w:type="dxa"/>
          </w:tcPr>
          <w:p w14:paraId="17E3DE67" w14:textId="77777777" w:rsidR="00195D7E" w:rsidRPr="00E102E6" w:rsidRDefault="00195D7E" w:rsidP="00BF70DA">
            <w:pPr>
              <w:adjustRightInd w:val="0"/>
              <w:snapToGrid w:val="0"/>
              <w:rPr>
                <w:b/>
                <w:bCs/>
                <w:lang w:val="fi-FI"/>
              </w:rPr>
            </w:pPr>
            <w:r w:rsidRPr="00E102E6">
              <w:rPr>
                <w:b/>
                <w:bCs/>
                <w:lang w:val="fi-FI"/>
              </w:rPr>
              <w:t>Slovenija</w:t>
            </w:r>
          </w:p>
          <w:p w14:paraId="1BD7C30D" w14:textId="77777777" w:rsidR="00195D7E" w:rsidRPr="00E102E6" w:rsidRDefault="00195D7E" w:rsidP="00BF70DA">
            <w:pPr>
              <w:adjustRightInd w:val="0"/>
              <w:snapToGrid w:val="0"/>
              <w:rPr>
                <w:lang w:val="fi-FI"/>
              </w:rPr>
            </w:pPr>
            <w:r w:rsidRPr="00E102E6">
              <w:rPr>
                <w:lang w:val="fi-FI"/>
              </w:rPr>
              <w:t>AMGEN zdravila d.o.o.</w:t>
            </w:r>
          </w:p>
          <w:p w14:paraId="3F6294F3" w14:textId="500DA2C4" w:rsidR="00195D7E" w:rsidRPr="002B65F7" w:rsidRDefault="00195D7E" w:rsidP="00BF70DA">
            <w:pPr>
              <w:adjustRightInd w:val="0"/>
              <w:snapToGrid w:val="0"/>
              <w:rPr>
                <w:lang w:val="en-GB"/>
              </w:rPr>
            </w:pPr>
            <w:r w:rsidRPr="002B65F7">
              <w:rPr>
                <w:lang w:val="en-GB"/>
              </w:rPr>
              <w:t>T</w:t>
            </w:r>
            <w:r w:rsidR="00BB7C7C" w:rsidRPr="002B65F7">
              <w:rPr>
                <w:lang w:val="en-GB"/>
              </w:rPr>
              <w:t>é</w:t>
            </w:r>
            <w:r w:rsidRPr="002B65F7">
              <w:rPr>
                <w:lang w:val="en-GB"/>
              </w:rPr>
              <w:t>l: +386 (0)1 585 1767</w:t>
            </w:r>
          </w:p>
          <w:p w14:paraId="43F91634" w14:textId="77777777" w:rsidR="00195D7E" w:rsidRPr="002B65F7" w:rsidRDefault="00195D7E" w:rsidP="00BF70DA">
            <w:pPr>
              <w:adjustRightInd w:val="0"/>
              <w:snapToGrid w:val="0"/>
              <w:rPr>
                <w:lang w:val="en-GB"/>
              </w:rPr>
            </w:pPr>
          </w:p>
        </w:tc>
      </w:tr>
      <w:tr w:rsidR="00195D7E" w:rsidRPr="002B65F7" w14:paraId="314DC680" w14:textId="77777777" w:rsidTr="00BF70DA">
        <w:trPr>
          <w:cantSplit/>
          <w:trHeight w:val="57"/>
        </w:trPr>
        <w:tc>
          <w:tcPr>
            <w:tcW w:w="4678" w:type="dxa"/>
          </w:tcPr>
          <w:p w14:paraId="2F71D5E0" w14:textId="77777777" w:rsidR="00195D7E" w:rsidRPr="002B65F7" w:rsidRDefault="00195D7E" w:rsidP="00BF70DA">
            <w:pPr>
              <w:adjustRightInd w:val="0"/>
              <w:snapToGrid w:val="0"/>
              <w:rPr>
                <w:b/>
                <w:bCs/>
                <w:lang w:val="en-GB"/>
              </w:rPr>
            </w:pPr>
            <w:r w:rsidRPr="002B65F7">
              <w:rPr>
                <w:b/>
                <w:bCs/>
                <w:lang w:val="en-GB"/>
              </w:rPr>
              <w:t>Ísland</w:t>
            </w:r>
          </w:p>
          <w:p w14:paraId="3D26BA4F" w14:textId="4D65CAC3" w:rsidR="00195D7E" w:rsidRPr="002B65F7" w:rsidRDefault="00195D7E" w:rsidP="00BF70DA">
            <w:pPr>
              <w:adjustRightInd w:val="0"/>
              <w:snapToGrid w:val="0"/>
              <w:rPr>
                <w:lang w:val="en-GB"/>
              </w:rPr>
            </w:pPr>
            <w:r w:rsidRPr="002B65F7">
              <w:rPr>
                <w:lang w:val="en-GB"/>
              </w:rPr>
              <w:t>Vistor</w:t>
            </w:r>
          </w:p>
          <w:p w14:paraId="11C62A90" w14:textId="77777777" w:rsidR="00195D7E" w:rsidRPr="002B65F7" w:rsidRDefault="00195D7E" w:rsidP="00BF70DA">
            <w:pPr>
              <w:adjustRightInd w:val="0"/>
              <w:snapToGrid w:val="0"/>
              <w:rPr>
                <w:lang w:val="en-GB"/>
              </w:rPr>
            </w:pPr>
            <w:r w:rsidRPr="002B65F7">
              <w:rPr>
                <w:lang w:val="en-GB"/>
              </w:rPr>
              <w:t>Sími: +354 535 7000</w:t>
            </w:r>
          </w:p>
          <w:p w14:paraId="7A5BA330" w14:textId="77777777" w:rsidR="00195D7E" w:rsidRPr="002B65F7" w:rsidRDefault="00195D7E" w:rsidP="00BF70DA">
            <w:pPr>
              <w:pStyle w:val="lbltxt"/>
              <w:adjustRightInd w:val="0"/>
              <w:snapToGrid w:val="0"/>
              <w:ind w:left="0" w:firstLine="0"/>
              <w:rPr>
                <w:b/>
                <w:bCs/>
                <w:noProof w:val="0"/>
                <w:szCs w:val="22"/>
              </w:rPr>
            </w:pPr>
          </w:p>
        </w:tc>
        <w:tc>
          <w:tcPr>
            <w:tcW w:w="4678" w:type="dxa"/>
          </w:tcPr>
          <w:p w14:paraId="28905037" w14:textId="77777777" w:rsidR="00195D7E" w:rsidRPr="00E102E6" w:rsidRDefault="00195D7E" w:rsidP="00BF70DA">
            <w:pPr>
              <w:adjustRightInd w:val="0"/>
              <w:snapToGrid w:val="0"/>
              <w:rPr>
                <w:b/>
                <w:bCs/>
                <w:lang w:val="nb-NO"/>
              </w:rPr>
            </w:pPr>
            <w:r w:rsidRPr="00E102E6">
              <w:rPr>
                <w:b/>
                <w:bCs/>
                <w:lang w:val="nb-NO"/>
              </w:rPr>
              <w:t>Slovenská republika</w:t>
            </w:r>
          </w:p>
          <w:p w14:paraId="4362177C" w14:textId="77777777" w:rsidR="00195D7E" w:rsidRPr="00E102E6" w:rsidRDefault="00195D7E" w:rsidP="00BF70DA">
            <w:pPr>
              <w:adjustRightInd w:val="0"/>
              <w:snapToGrid w:val="0"/>
              <w:rPr>
                <w:lang w:val="nb-NO"/>
              </w:rPr>
            </w:pPr>
            <w:r w:rsidRPr="00E102E6">
              <w:rPr>
                <w:lang w:val="nb-NO"/>
              </w:rPr>
              <w:t>Amgen Slovakia s.r.o.</w:t>
            </w:r>
          </w:p>
          <w:p w14:paraId="252BD128" w14:textId="3321FCA2" w:rsidR="00195D7E" w:rsidRPr="002B65F7" w:rsidRDefault="00195D7E" w:rsidP="00BF70DA">
            <w:pPr>
              <w:adjustRightInd w:val="0"/>
              <w:snapToGrid w:val="0"/>
              <w:rPr>
                <w:lang w:val="en-GB"/>
              </w:rPr>
            </w:pPr>
            <w:r w:rsidRPr="002B65F7">
              <w:rPr>
                <w:lang w:val="en-GB"/>
              </w:rPr>
              <w:t>T</w:t>
            </w:r>
            <w:r w:rsidR="00BB7C7C" w:rsidRPr="002B65F7">
              <w:rPr>
                <w:lang w:val="en-GB"/>
              </w:rPr>
              <w:t>é</w:t>
            </w:r>
            <w:r w:rsidRPr="002B65F7">
              <w:rPr>
                <w:lang w:val="en-GB"/>
              </w:rPr>
              <w:t>l: +421 2 321 114 49</w:t>
            </w:r>
          </w:p>
          <w:p w14:paraId="1D03AE98" w14:textId="77777777" w:rsidR="00195D7E" w:rsidRPr="002B65F7" w:rsidRDefault="00195D7E" w:rsidP="00BF70DA">
            <w:pPr>
              <w:pStyle w:val="lbltxt"/>
              <w:adjustRightInd w:val="0"/>
              <w:snapToGrid w:val="0"/>
              <w:ind w:left="0" w:firstLine="0"/>
              <w:rPr>
                <w:noProof w:val="0"/>
                <w:szCs w:val="22"/>
              </w:rPr>
            </w:pPr>
          </w:p>
        </w:tc>
      </w:tr>
      <w:tr w:rsidR="00195D7E" w:rsidRPr="002B65F7" w14:paraId="63F6B9EF" w14:textId="77777777" w:rsidTr="00BF70DA">
        <w:trPr>
          <w:cantSplit/>
          <w:trHeight w:val="57"/>
        </w:trPr>
        <w:tc>
          <w:tcPr>
            <w:tcW w:w="4678" w:type="dxa"/>
          </w:tcPr>
          <w:p w14:paraId="0FC4E8B5" w14:textId="77777777" w:rsidR="00195D7E" w:rsidRPr="002B65F7" w:rsidRDefault="00195D7E" w:rsidP="00BF70DA">
            <w:pPr>
              <w:adjustRightInd w:val="0"/>
              <w:snapToGrid w:val="0"/>
              <w:rPr>
                <w:b/>
                <w:bCs/>
                <w:lang w:val="es-ES"/>
              </w:rPr>
            </w:pPr>
            <w:r w:rsidRPr="002B65F7">
              <w:rPr>
                <w:b/>
                <w:bCs/>
                <w:lang w:val="es-ES"/>
              </w:rPr>
              <w:t>Italia</w:t>
            </w:r>
          </w:p>
          <w:p w14:paraId="102010D1" w14:textId="77777777" w:rsidR="00195D7E" w:rsidRPr="002B65F7" w:rsidRDefault="00195D7E" w:rsidP="00BF70DA">
            <w:pPr>
              <w:adjustRightInd w:val="0"/>
              <w:snapToGrid w:val="0"/>
              <w:rPr>
                <w:lang w:val="es-ES"/>
              </w:rPr>
            </w:pPr>
            <w:r w:rsidRPr="002B65F7">
              <w:rPr>
                <w:lang w:val="es-ES"/>
              </w:rPr>
              <w:t>Amgen S.r.l.</w:t>
            </w:r>
          </w:p>
          <w:p w14:paraId="3931EA15" w14:textId="2810140C" w:rsidR="00195D7E" w:rsidRPr="002B65F7" w:rsidRDefault="00195D7E" w:rsidP="00BF70DA">
            <w:pPr>
              <w:adjustRightInd w:val="0"/>
              <w:snapToGrid w:val="0"/>
            </w:pPr>
            <w:r w:rsidRPr="002B65F7">
              <w:t>T</w:t>
            </w:r>
            <w:r w:rsidR="00BB7C7C" w:rsidRPr="002B65F7">
              <w:t>é</w:t>
            </w:r>
            <w:r w:rsidRPr="002B65F7">
              <w:t>l: +39 02 6241121</w:t>
            </w:r>
          </w:p>
          <w:p w14:paraId="4AEDFE65" w14:textId="77777777" w:rsidR="00195D7E" w:rsidRPr="002B65F7" w:rsidRDefault="00195D7E" w:rsidP="00BF70DA">
            <w:pPr>
              <w:adjustRightInd w:val="0"/>
              <w:snapToGrid w:val="0"/>
            </w:pPr>
          </w:p>
        </w:tc>
        <w:tc>
          <w:tcPr>
            <w:tcW w:w="4678" w:type="dxa"/>
          </w:tcPr>
          <w:p w14:paraId="27454F92" w14:textId="77777777" w:rsidR="00195D7E" w:rsidRPr="00B50E78" w:rsidRDefault="00195D7E" w:rsidP="00BF70DA">
            <w:pPr>
              <w:adjustRightInd w:val="0"/>
              <w:snapToGrid w:val="0"/>
              <w:rPr>
                <w:b/>
                <w:bCs/>
              </w:rPr>
            </w:pPr>
            <w:r w:rsidRPr="00B50E78">
              <w:rPr>
                <w:b/>
                <w:bCs/>
              </w:rPr>
              <w:t>Suomi/Finland</w:t>
            </w:r>
          </w:p>
          <w:p w14:paraId="290A5694" w14:textId="77777777" w:rsidR="00195D7E" w:rsidRPr="00B50E78" w:rsidRDefault="00195D7E" w:rsidP="00BF70DA">
            <w:pPr>
              <w:adjustRightInd w:val="0"/>
              <w:snapToGrid w:val="0"/>
            </w:pPr>
            <w:r w:rsidRPr="00B50E78">
              <w:t>Amgen AB, sivuliike Suomessa/Amgen AB, filial i Finland</w:t>
            </w:r>
          </w:p>
          <w:p w14:paraId="0CA82AA2" w14:textId="4BECD47B" w:rsidR="00195D7E" w:rsidRPr="00E102E6" w:rsidRDefault="00195D7E" w:rsidP="00BF70DA">
            <w:pPr>
              <w:adjustRightInd w:val="0"/>
              <w:snapToGrid w:val="0"/>
            </w:pPr>
            <w:r w:rsidRPr="00E102E6">
              <w:t>Puh/T</w:t>
            </w:r>
            <w:r w:rsidR="00BB7C7C" w:rsidRPr="00E102E6">
              <w:t>é</w:t>
            </w:r>
            <w:r w:rsidRPr="00E102E6">
              <w:t>l</w:t>
            </w:r>
            <w:r w:rsidR="00BB7C7C" w:rsidRPr="00E102E6">
              <w:t>.</w:t>
            </w:r>
            <w:r w:rsidRPr="00E102E6">
              <w:t>: +358 (0)9 54900500</w:t>
            </w:r>
          </w:p>
          <w:p w14:paraId="2A784B8A" w14:textId="77777777" w:rsidR="00195D7E" w:rsidRPr="00E102E6" w:rsidRDefault="00195D7E" w:rsidP="00BF70DA">
            <w:pPr>
              <w:pStyle w:val="lbltxt"/>
              <w:adjustRightInd w:val="0"/>
              <w:snapToGrid w:val="0"/>
              <w:ind w:left="0" w:firstLine="0"/>
              <w:rPr>
                <w:b/>
                <w:noProof w:val="0"/>
                <w:szCs w:val="22"/>
                <w:lang w:val="fr-FR"/>
              </w:rPr>
            </w:pPr>
          </w:p>
        </w:tc>
      </w:tr>
      <w:tr w:rsidR="00195D7E" w:rsidRPr="002B65F7" w14:paraId="515387C9" w14:textId="77777777" w:rsidTr="00BF70DA">
        <w:trPr>
          <w:cantSplit/>
          <w:trHeight w:val="57"/>
        </w:trPr>
        <w:tc>
          <w:tcPr>
            <w:tcW w:w="4678" w:type="dxa"/>
          </w:tcPr>
          <w:p w14:paraId="0B47E6A3" w14:textId="77777777" w:rsidR="00195D7E" w:rsidRPr="002B65F7" w:rsidRDefault="00195D7E" w:rsidP="00BF70DA">
            <w:pPr>
              <w:adjustRightInd w:val="0"/>
              <w:snapToGrid w:val="0"/>
              <w:rPr>
                <w:b/>
                <w:bCs/>
              </w:rPr>
            </w:pPr>
            <w:r w:rsidRPr="002B65F7">
              <w:rPr>
                <w:b/>
                <w:bCs/>
              </w:rPr>
              <w:t>K</w:t>
            </w:r>
            <w:r w:rsidRPr="002B65F7">
              <w:rPr>
                <w:b/>
                <w:bCs/>
                <w:lang w:val="en-GB"/>
              </w:rPr>
              <w:t>ύπρος</w:t>
            </w:r>
          </w:p>
          <w:p w14:paraId="6067A267" w14:textId="77777777" w:rsidR="00195D7E" w:rsidRPr="002B65F7" w:rsidRDefault="00195D7E" w:rsidP="00BF70DA">
            <w:pPr>
              <w:adjustRightInd w:val="0"/>
              <w:snapToGrid w:val="0"/>
            </w:pPr>
            <w:r w:rsidRPr="002B65F7">
              <w:t>C.A. Papaellinas Ltd</w:t>
            </w:r>
          </w:p>
          <w:p w14:paraId="02CE2330" w14:textId="77777777" w:rsidR="00195D7E" w:rsidRPr="002B65F7" w:rsidRDefault="00195D7E" w:rsidP="00BF70DA">
            <w:pPr>
              <w:adjustRightInd w:val="0"/>
              <w:snapToGrid w:val="0"/>
            </w:pPr>
            <w:r w:rsidRPr="002B65F7">
              <w:rPr>
                <w:lang w:val="en-GB"/>
              </w:rPr>
              <w:t>Τηλ</w:t>
            </w:r>
            <w:r w:rsidRPr="002B65F7">
              <w:t>: +357 22741 741</w:t>
            </w:r>
          </w:p>
          <w:p w14:paraId="39288CC7" w14:textId="77777777" w:rsidR="00195D7E" w:rsidRPr="002B65F7" w:rsidRDefault="00195D7E" w:rsidP="00BF70DA">
            <w:pPr>
              <w:adjustRightInd w:val="0"/>
              <w:snapToGrid w:val="0"/>
            </w:pPr>
          </w:p>
        </w:tc>
        <w:tc>
          <w:tcPr>
            <w:tcW w:w="4678" w:type="dxa"/>
          </w:tcPr>
          <w:p w14:paraId="63AD8BCE" w14:textId="77777777" w:rsidR="00195D7E" w:rsidRPr="002B65F7" w:rsidRDefault="00195D7E" w:rsidP="00BF70DA">
            <w:pPr>
              <w:adjustRightInd w:val="0"/>
              <w:snapToGrid w:val="0"/>
              <w:rPr>
                <w:b/>
                <w:bCs/>
                <w:lang w:val="en-GB"/>
              </w:rPr>
            </w:pPr>
            <w:r w:rsidRPr="002B65F7">
              <w:rPr>
                <w:b/>
                <w:bCs/>
                <w:lang w:val="en-GB"/>
              </w:rPr>
              <w:t>Sverige</w:t>
            </w:r>
          </w:p>
          <w:p w14:paraId="13D942B1" w14:textId="77777777" w:rsidR="00195D7E" w:rsidRPr="002B65F7" w:rsidRDefault="00195D7E" w:rsidP="00BF70DA">
            <w:pPr>
              <w:adjustRightInd w:val="0"/>
              <w:snapToGrid w:val="0"/>
              <w:rPr>
                <w:lang w:val="en-GB"/>
              </w:rPr>
            </w:pPr>
            <w:r w:rsidRPr="002B65F7">
              <w:rPr>
                <w:lang w:val="en-GB"/>
              </w:rPr>
              <w:t>Amgen AB</w:t>
            </w:r>
          </w:p>
          <w:p w14:paraId="10E04683" w14:textId="55FC002B" w:rsidR="00195D7E" w:rsidRPr="002B65F7" w:rsidRDefault="00195D7E" w:rsidP="00BF70DA">
            <w:pPr>
              <w:adjustRightInd w:val="0"/>
              <w:snapToGrid w:val="0"/>
              <w:rPr>
                <w:lang w:val="en-GB"/>
              </w:rPr>
            </w:pPr>
            <w:r w:rsidRPr="002B65F7">
              <w:rPr>
                <w:lang w:val="en-GB"/>
              </w:rPr>
              <w:t>T</w:t>
            </w:r>
            <w:r w:rsidR="00BB7C7C" w:rsidRPr="002B65F7">
              <w:rPr>
                <w:lang w:val="en-GB"/>
              </w:rPr>
              <w:t>é</w:t>
            </w:r>
            <w:r w:rsidRPr="002B65F7">
              <w:rPr>
                <w:lang w:val="en-GB"/>
              </w:rPr>
              <w:t>l: +46 (0)8 6951100</w:t>
            </w:r>
          </w:p>
          <w:p w14:paraId="06FDCAA3" w14:textId="77777777" w:rsidR="00195D7E" w:rsidRPr="002B65F7" w:rsidRDefault="00195D7E" w:rsidP="00BF70DA">
            <w:pPr>
              <w:pStyle w:val="lbltxt"/>
              <w:adjustRightInd w:val="0"/>
              <w:snapToGrid w:val="0"/>
              <w:ind w:left="0" w:firstLine="0"/>
              <w:rPr>
                <w:bCs/>
                <w:noProof w:val="0"/>
                <w:szCs w:val="22"/>
              </w:rPr>
            </w:pPr>
          </w:p>
        </w:tc>
      </w:tr>
      <w:tr w:rsidR="00195D7E" w:rsidRPr="002B65F7" w14:paraId="7981F751" w14:textId="77777777" w:rsidTr="00BF70DA">
        <w:trPr>
          <w:cantSplit/>
          <w:trHeight w:val="57"/>
        </w:trPr>
        <w:tc>
          <w:tcPr>
            <w:tcW w:w="4678" w:type="dxa"/>
          </w:tcPr>
          <w:p w14:paraId="0C8D092F" w14:textId="77777777" w:rsidR="00195D7E" w:rsidRPr="0056554F" w:rsidRDefault="00195D7E" w:rsidP="00BF70DA">
            <w:pPr>
              <w:adjustRightInd w:val="0"/>
              <w:snapToGrid w:val="0"/>
              <w:rPr>
                <w:b/>
                <w:bCs/>
              </w:rPr>
            </w:pPr>
            <w:r w:rsidRPr="0056554F">
              <w:rPr>
                <w:b/>
                <w:bCs/>
              </w:rPr>
              <w:t>Latvija</w:t>
            </w:r>
          </w:p>
          <w:p w14:paraId="19A5F76A" w14:textId="77777777" w:rsidR="00195D7E" w:rsidRPr="0056554F" w:rsidRDefault="00195D7E" w:rsidP="00BF70DA">
            <w:pPr>
              <w:adjustRightInd w:val="0"/>
              <w:snapToGrid w:val="0"/>
            </w:pPr>
            <w:r w:rsidRPr="0056554F">
              <w:t>Amgen Switzerland AG Rīgas filiāle</w:t>
            </w:r>
          </w:p>
          <w:p w14:paraId="0F115ED9" w14:textId="77777777" w:rsidR="00195D7E" w:rsidRPr="002B65F7" w:rsidRDefault="00195D7E" w:rsidP="00BF70DA">
            <w:pPr>
              <w:adjustRightInd w:val="0"/>
              <w:snapToGrid w:val="0"/>
              <w:rPr>
                <w:lang w:val="en-GB"/>
              </w:rPr>
            </w:pPr>
            <w:r w:rsidRPr="002B65F7">
              <w:rPr>
                <w:lang w:val="en-GB"/>
              </w:rPr>
              <w:t>Tel: +371 257 25888</w:t>
            </w:r>
          </w:p>
          <w:p w14:paraId="28706D4C" w14:textId="77777777" w:rsidR="00195D7E" w:rsidRPr="002B65F7" w:rsidRDefault="00195D7E" w:rsidP="00BF70DA">
            <w:pPr>
              <w:adjustRightInd w:val="0"/>
              <w:snapToGrid w:val="0"/>
              <w:rPr>
                <w:b/>
                <w:lang w:val="en-GB"/>
              </w:rPr>
            </w:pPr>
          </w:p>
        </w:tc>
        <w:tc>
          <w:tcPr>
            <w:tcW w:w="4678" w:type="dxa"/>
          </w:tcPr>
          <w:p w14:paraId="610E37DD" w14:textId="77777777" w:rsidR="00195D7E" w:rsidRPr="002B65F7" w:rsidRDefault="00195D7E" w:rsidP="00BF70DA">
            <w:pPr>
              <w:adjustRightInd w:val="0"/>
              <w:snapToGrid w:val="0"/>
              <w:rPr>
                <w:bCs/>
                <w:lang w:val="en-GB"/>
              </w:rPr>
            </w:pPr>
          </w:p>
        </w:tc>
      </w:tr>
    </w:tbl>
    <w:p w14:paraId="7DC5A907" w14:textId="77777777" w:rsidR="00195D7E" w:rsidRPr="002B65F7" w:rsidRDefault="00195D7E" w:rsidP="00496255">
      <w:pPr>
        <w:keepNext/>
        <w:widowControl/>
        <w:rPr>
          <w:b/>
          <w:bCs/>
        </w:rPr>
      </w:pPr>
    </w:p>
    <w:p w14:paraId="03B58E7E" w14:textId="24B2E346" w:rsidR="00092F83" w:rsidRPr="002B65F7" w:rsidRDefault="00C31740" w:rsidP="00496255">
      <w:pPr>
        <w:keepNext/>
        <w:widowControl/>
        <w:rPr>
          <w:b/>
          <w:bCs/>
        </w:rPr>
      </w:pPr>
      <w:r w:rsidRPr="002B65F7">
        <w:rPr>
          <w:b/>
          <w:bCs/>
        </w:rPr>
        <w:t>La dernière date à laquelle cette notice a été révisée est</w:t>
      </w:r>
    </w:p>
    <w:p w14:paraId="03B58E7F" w14:textId="77777777" w:rsidR="00092F83" w:rsidRPr="002B65F7" w:rsidRDefault="00092F83" w:rsidP="00496255">
      <w:pPr>
        <w:keepNext/>
        <w:widowControl/>
      </w:pPr>
    </w:p>
    <w:p w14:paraId="347DF78F" w14:textId="10F3E8BB" w:rsidR="00195D7E" w:rsidRPr="002B65F7" w:rsidRDefault="00195D7E" w:rsidP="00195D7E">
      <w:pPr>
        <w:keepNext/>
        <w:rPr>
          <w:b/>
          <w:bCs/>
          <w:position w:val="-1"/>
        </w:rPr>
      </w:pPr>
      <w:r w:rsidRPr="002B65F7">
        <w:rPr>
          <w:b/>
          <w:bCs/>
        </w:rPr>
        <w:t>Autres sources d</w:t>
      </w:r>
      <w:r w:rsidR="009D7F68" w:rsidRPr="002B65F7">
        <w:rPr>
          <w:b/>
          <w:bCs/>
        </w:rPr>
        <w:t>’</w:t>
      </w:r>
      <w:r w:rsidRPr="002B65F7">
        <w:rPr>
          <w:b/>
          <w:bCs/>
        </w:rPr>
        <w:t>information</w:t>
      </w:r>
      <w:r w:rsidR="009D7F68" w:rsidRPr="002B65F7">
        <w:rPr>
          <w:b/>
          <w:bCs/>
        </w:rPr>
        <w:t>s</w:t>
      </w:r>
    </w:p>
    <w:p w14:paraId="73256731" w14:textId="77777777" w:rsidR="00195D7E" w:rsidRPr="002B65F7" w:rsidRDefault="00195D7E" w:rsidP="00496255">
      <w:pPr>
        <w:keepNext/>
        <w:widowControl/>
      </w:pPr>
    </w:p>
    <w:p w14:paraId="17DC0C33" w14:textId="444D9AB4" w:rsidR="00B41E23" w:rsidRPr="002B65F7" w:rsidRDefault="00C31740" w:rsidP="00496255">
      <w:pPr>
        <w:widowControl/>
      </w:pPr>
      <w:r w:rsidRPr="002B65F7">
        <w:t xml:space="preserve">Des informations détaillées sur ce médicament sont disponibles sur le site internet de l’Agence européenne des médicaments </w:t>
      </w:r>
      <w:hyperlink r:id="rId21" w:history="1">
        <w:r w:rsidR="00D06682">
          <w:rPr>
            <w:rStyle w:val="Hyperlink"/>
          </w:rPr>
          <w:t>https://www.ema.europa.eu</w:t>
        </w:r>
      </w:hyperlink>
      <w:r w:rsidRPr="002B65F7">
        <w:t>.</w:t>
      </w:r>
    </w:p>
    <w:p w14:paraId="2369CBBE" w14:textId="77777777" w:rsidR="008509A1" w:rsidRPr="002B65F7" w:rsidRDefault="008509A1" w:rsidP="008509A1"/>
    <w:p w14:paraId="2CBA0D98" w14:textId="77777777" w:rsidR="008509A1" w:rsidRPr="002B65F7" w:rsidRDefault="008509A1" w:rsidP="008509A1">
      <w:pPr>
        <w:keepNext/>
        <w:jc w:val="center"/>
      </w:pPr>
      <w:r w:rsidRPr="002B65F7">
        <w:t>------------------------------------------------------------------------------------------------</w:t>
      </w:r>
      <w:r w:rsidRPr="002B65F7">
        <w:rPr>
          <w:spacing w:val="1"/>
        </w:rPr>
        <w:t>-</w:t>
      </w:r>
      <w:r w:rsidRPr="002B65F7">
        <w:t>-------</w:t>
      </w:r>
      <w:r w:rsidRPr="002B65F7">
        <w:rPr>
          <w:spacing w:val="1"/>
        </w:rPr>
        <w:t>-</w:t>
      </w:r>
      <w:r w:rsidRPr="002B65F7">
        <w:t>-----------------</w:t>
      </w:r>
    </w:p>
    <w:p w14:paraId="78A84453" w14:textId="77777777" w:rsidR="008509A1" w:rsidRPr="002B65F7" w:rsidRDefault="008509A1" w:rsidP="008509A1">
      <w:pPr>
        <w:keepNext/>
      </w:pPr>
    </w:p>
    <w:p w14:paraId="6643BA62" w14:textId="17494D27" w:rsidR="003F1DFA" w:rsidRPr="002B65F7" w:rsidRDefault="00C20226" w:rsidP="008509A1">
      <w:pPr>
        <w:widowControl/>
      </w:pPr>
      <w:r w:rsidRPr="002B65F7">
        <w:rPr>
          <w:rFonts w:eastAsia="TimesNewRoman"/>
        </w:rPr>
        <w:t>Les informations suivantes sont destinées exclusivement aux professionnels de la santé :</w:t>
      </w:r>
    </w:p>
    <w:p w14:paraId="6154F6E3" w14:textId="77777777" w:rsidR="00C20226" w:rsidRPr="002B65F7" w:rsidRDefault="00C20226" w:rsidP="001B0B5C">
      <w:pPr>
        <w:widowControl/>
      </w:pPr>
    </w:p>
    <w:p w14:paraId="03B58E84" w14:textId="5E3BE534" w:rsidR="00092F83" w:rsidRPr="002B65F7" w:rsidRDefault="00C31740" w:rsidP="001B0B5C">
      <w:pPr>
        <w:keepNext/>
        <w:widowControl/>
        <w:rPr>
          <w:u w:val="single"/>
        </w:rPr>
      </w:pPr>
      <w:r w:rsidRPr="002B65F7">
        <w:rPr>
          <w:u w:val="single"/>
        </w:rPr>
        <w:t>Traçabilité</w:t>
      </w:r>
      <w:r w:rsidR="00306B3C" w:rsidRPr="002B65F7">
        <w:rPr>
          <w:u w:val="single"/>
        </w:rPr>
        <w:t xml:space="preserve"> </w:t>
      </w:r>
      <w:r w:rsidRPr="002B65F7">
        <w:rPr>
          <w:u w:val="single"/>
        </w:rPr>
        <w:t>:</w:t>
      </w:r>
    </w:p>
    <w:p w14:paraId="59B9325E" w14:textId="77777777" w:rsidR="00C20226" w:rsidRPr="002B65F7" w:rsidRDefault="00C20226" w:rsidP="001B0B5C">
      <w:pPr>
        <w:keepNext/>
        <w:widowControl/>
        <w:rPr>
          <w:u w:val="single"/>
        </w:rPr>
      </w:pPr>
    </w:p>
    <w:p w14:paraId="03B58E85" w14:textId="77777777" w:rsidR="00092F83" w:rsidRPr="002B65F7" w:rsidRDefault="00C31740" w:rsidP="001B0B5C">
      <w:pPr>
        <w:widowControl/>
      </w:pPr>
      <w:r w:rsidRPr="002B65F7">
        <w:t>Afin d’améliorer la traçabilité des médicaments biologiques, le nom de marque et le numéro de lot du produit administré doivent être clairement enregistrés.</w:t>
      </w:r>
    </w:p>
    <w:p w14:paraId="03B58E86" w14:textId="77777777" w:rsidR="00092F83" w:rsidRPr="002B65F7" w:rsidRDefault="00092F83" w:rsidP="001B0B5C">
      <w:pPr>
        <w:widowControl/>
      </w:pPr>
    </w:p>
    <w:p w14:paraId="03B58E87" w14:textId="77777777" w:rsidR="00092F83" w:rsidRPr="002B65F7" w:rsidRDefault="00C31740" w:rsidP="001B0B5C">
      <w:pPr>
        <w:keepNext/>
        <w:widowControl/>
        <w:rPr>
          <w:u w:val="single"/>
        </w:rPr>
      </w:pPr>
      <w:r w:rsidRPr="002B65F7">
        <w:rPr>
          <w:u w:val="single"/>
        </w:rPr>
        <w:t>Instructions pour la dilution :</w:t>
      </w:r>
    </w:p>
    <w:p w14:paraId="03B58E88" w14:textId="77777777" w:rsidR="00092F83" w:rsidRPr="002B65F7" w:rsidRDefault="00092F83" w:rsidP="001B0B5C">
      <w:pPr>
        <w:keepNext/>
        <w:widowControl/>
      </w:pPr>
    </w:p>
    <w:p w14:paraId="03B58E89" w14:textId="1F83E051" w:rsidR="00092F83" w:rsidRPr="002B65F7" w:rsidRDefault="00195D7E" w:rsidP="001B0B5C">
      <w:pPr>
        <w:keepNext/>
        <w:widowControl/>
      </w:pPr>
      <w:r w:rsidRPr="002B65F7">
        <w:t>WEZENLA</w:t>
      </w:r>
      <w:r w:rsidR="00C31740" w:rsidRPr="002B65F7">
        <w:t xml:space="preserve"> solution à diluer pour perfusion doit être dilué, préparé et administré par un professionnel de santé en utilisant une technique aseptique.</w:t>
      </w:r>
    </w:p>
    <w:p w14:paraId="03B58E8A" w14:textId="77777777" w:rsidR="00092F83" w:rsidRPr="002B65F7" w:rsidRDefault="00092F83" w:rsidP="001B0B5C">
      <w:pPr>
        <w:keepNext/>
        <w:widowControl/>
      </w:pPr>
    </w:p>
    <w:p w14:paraId="03B58E8B" w14:textId="472BA417" w:rsidR="00092F83" w:rsidRPr="002B65F7" w:rsidRDefault="00512FD3" w:rsidP="001B0B5C">
      <w:pPr>
        <w:widowControl/>
        <w:ind w:left="567" w:hanging="567"/>
      </w:pPr>
      <w:r w:rsidRPr="002B65F7">
        <w:t>1.</w:t>
      </w:r>
      <w:r w:rsidRPr="002B65F7">
        <w:tab/>
      </w:r>
      <w:r w:rsidR="00C31740" w:rsidRPr="002B65F7">
        <w:t xml:space="preserve">Calculer la dose et le nombre de flacons de </w:t>
      </w:r>
      <w:r w:rsidR="00195D7E" w:rsidRPr="002B65F7">
        <w:t>WEZENLA</w:t>
      </w:r>
      <w:r w:rsidR="00C31740" w:rsidRPr="002B65F7">
        <w:t xml:space="preserve"> nécessaires en fonction du poids du patient (voir rubrique</w:t>
      </w:r>
      <w:r w:rsidRPr="002B65F7">
        <w:t> </w:t>
      </w:r>
      <w:r w:rsidR="00C31740" w:rsidRPr="002B65F7">
        <w:t>3, Tableau</w:t>
      </w:r>
      <w:r w:rsidRPr="002B65F7">
        <w:t> </w:t>
      </w:r>
      <w:r w:rsidR="00C31740" w:rsidRPr="002B65F7">
        <w:t>1</w:t>
      </w:r>
      <w:r w:rsidR="00A76148">
        <w:rPr>
          <w:noProof/>
          <w:lang w:val="fr-BE" w:eastAsia="nl-BE"/>
        </w:rPr>
        <w:t>, Tableau 2</w:t>
      </w:r>
      <w:r w:rsidR="00C31740" w:rsidRPr="002B65F7">
        <w:t>). Chaque flacon de 26</w:t>
      </w:r>
      <w:r w:rsidRPr="002B65F7">
        <w:t> </w:t>
      </w:r>
      <w:r w:rsidR="00C31740" w:rsidRPr="002B65F7">
        <w:t xml:space="preserve">mL de </w:t>
      </w:r>
      <w:r w:rsidR="00195D7E" w:rsidRPr="002B65F7">
        <w:t>WEZENLA</w:t>
      </w:r>
      <w:r w:rsidR="00C31740" w:rsidRPr="002B65F7">
        <w:t xml:space="preserve"> contient 130</w:t>
      </w:r>
      <w:r w:rsidRPr="002B65F7">
        <w:t> </w:t>
      </w:r>
      <w:r w:rsidR="00C31740" w:rsidRPr="002B65F7">
        <w:t>mg d’</w:t>
      </w:r>
      <w:r w:rsidR="0071390F" w:rsidRPr="002B65F7">
        <w:t>ustekinumab</w:t>
      </w:r>
      <w:r w:rsidR="00C31740" w:rsidRPr="002B65F7">
        <w:t>.</w:t>
      </w:r>
    </w:p>
    <w:p w14:paraId="03B58E8D" w14:textId="6106E9AA" w:rsidR="00092F83" w:rsidRPr="002B65F7" w:rsidRDefault="00512FD3" w:rsidP="001B0B5C">
      <w:pPr>
        <w:widowControl/>
        <w:ind w:left="567" w:hanging="567"/>
      </w:pPr>
      <w:r w:rsidRPr="002B65F7">
        <w:t>2.</w:t>
      </w:r>
      <w:r w:rsidRPr="002B65F7">
        <w:tab/>
      </w:r>
      <w:r w:rsidR="00C31740" w:rsidRPr="002B65F7">
        <w:t>Prélever et jeter un volume de solution de chlorure de sodium à 9</w:t>
      </w:r>
      <w:r w:rsidRPr="002B65F7">
        <w:t> </w:t>
      </w:r>
      <w:r w:rsidR="00C31740" w:rsidRPr="002B65F7">
        <w:t>mg/m</w:t>
      </w:r>
      <w:r w:rsidR="001932B8" w:rsidRPr="002B65F7">
        <w:t>L</w:t>
      </w:r>
      <w:r w:rsidR="00C31740" w:rsidRPr="002B65F7">
        <w:t xml:space="preserve"> (0,9%) de la poche de perfusion de 250</w:t>
      </w:r>
      <w:r w:rsidRPr="002B65F7">
        <w:t> </w:t>
      </w:r>
      <w:r w:rsidR="00C31740" w:rsidRPr="002B65F7">
        <w:t xml:space="preserve">mL égal au volume de </w:t>
      </w:r>
      <w:r w:rsidR="00195D7E" w:rsidRPr="002B65F7">
        <w:t>WEZENLA</w:t>
      </w:r>
      <w:r w:rsidR="00C31740" w:rsidRPr="002B65F7">
        <w:t xml:space="preserve"> à ajouter (jeter 26</w:t>
      </w:r>
      <w:r w:rsidRPr="002B65F7">
        <w:t> </w:t>
      </w:r>
      <w:r w:rsidR="00C31740" w:rsidRPr="002B65F7">
        <w:t xml:space="preserve">mL de chlorure de </w:t>
      </w:r>
      <w:r w:rsidR="00C31740" w:rsidRPr="002B65F7">
        <w:lastRenderedPageBreak/>
        <w:t xml:space="preserve">sodium pour chaque flacon de </w:t>
      </w:r>
      <w:r w:rsidR="00195D7E" w:rsidRPr="002B65F7">
        <w:t>WEZENLA</w:t>
      </w:r>
      <w:r w:rsidR="00C31740" w:rsidRPr="002B65F7">
        <w:t xml:space="preserve"> nécessaire, pour 2</w:t>
      </w:r>
      <w:r w:rsidR="00F625E9" w:rsidRPr="002B65F7">
        <w:t> </w:t>
      </w:r>
      <w:r w:rsidR="00C31740" w:rsidRPr="002B65F7">
        <w:t>flacons - jeter 52</w:t>
      </w:r>
      <w:r w:rsidR="00F625E9" w:rsidRPr="002B65F7">
        <w:t> </w:t>
      </w:r>
      <w:r w:rsidR="00C31740" w:rsidRPr="002B65F7">
        <w:t>mL, pour</w:t>
      </w:r>
      <w:r w:rsidR="00F625E9" w:rsidRPr="002B65F7">
        <w:t xml:space="preserve"> </w:t>
      </w:r>
      <w:r w:rsidR="00C31740" w:rsidRPr="002B65F7">
        <w:t>3</w:t>
      </w:r>
      <w:r w:rsidR="00F625E9" w:rsidRPr="002B65F7">
        <w:t> </w:t>
      </w:r>
      <w:r w:rsidR="00C31740" w:rsidRPr="002B65F7">
        <w:t>flacons - jeter 78</w:t>
      </w:r>
      <w:r w:rsidR="00F625E9" w:rsidRPr="002B65F7">
        <w:t> </w:t>
      </w:r>
      <w:r w:rsidR="00C31740" w:rsidRPr="002B65F7">
        <w:t>mL, pour 4</w:t>
      </w:r>
      <w:r w:rsidR="00F625E9" w:rsidRPr="002B65F7">
        <w:t> </w:t>
      </w:r>
      <w:r w:rsidR="00C31740" w:rsidRPr="002B65F7">
        <w:t>flacons - jeter 104</w:t>
      </w:r>
      <w:r w:rsidR="00F625E9" w:rsidRPr="002B65F7">
        <w:t> </w:t>
      </w:r>
      <w:r w:rsidR="00C31740" w:rsidRPr="002B65F7">
        <w:t>mL).</w:t>
      </w:r>
    </w:p>
    <w:p w14:paraId="03B58E8E" w14:textId="490A4949" w:rsidR="00092F83" w:rsidRPr="002B65F7" w:rsidRDefault="00512FD3" w:rsidP="001B0B5C">
      <w:pPr>
        <w:widowControl/>
        <w:ind w:left="567" w:hanging="567"/>
      </w:pPr>
      <w:r w:rsidRPr="002B65F7">
        <w:t>3.</w:t>
      </w:r>
      <w:r w:rsidRPr="002B65F7">
        <w:tab/>
      </w:r>
      <w:r w:rsidR="00C31740" w:rsidRPr="002B65F7">
        <w:t>Prélever 26</w:t>
      </w:r>
      <w:r w:rsidR="00F625E9" w:rsidRPr="002B65F7">
        <w:t> </w:t>
      </w:r>
      <w:r w:rsidR="00C31740" w:rsidRPr="002B65F7">
        <w:t xml:space="preserve">mL de </w:t>
      </w:r>
      <w:r w:rsidR="00195D7E" w:rsidRPr="002B65F7">
        <w:t>WEZENLA</w:t>
      </w:r>
      <w:r w:rsidR="00C31740" w:rsidRPr="002B65F7">
        <w:t xml:space="preserve"> de chaque flacon nécessaire et les ajouter à la poche de perfusion de 250</w:t>
      </w:r>
      <w:r w:rsidR="00F625E9" w:rsidRPr="002B65F7">
        <w:t> </w:t>
      </w:r>
      <w:r w:rsidR="00C31740" w:rsidRPr="002B65F7">
        <w:t>mL. Le volume final dans la poche de perfusion doit être de 250</w:t>
      </w:r>
      <w:r w:rsidR="00F625E9" w:rsidRPr="002B65F7">
        <w:t> </w:t>
      </w:r>
      <w:r w:rsidR="00C31740" w:rsidRPr="002B65F7">
        <w:t>mL. Mélanger délicatement.</w:t>
      </w:r>
    </w:p>
    <w:p w14:paraId="03B58E8F" w14:textId="40E2572E" w:rsidR="00092F83" w:rsidRPr="002B65F7" w:rsidRDefault="00512FD3" w:rsidP="001B0B5C">
      <w:pPr>
        <w:widowControl/>
        <w:ind w:left="567" w:hanging="567"/>
      </w:pPr>
      <w:r w:rsidRPr="002B65F7">
        <w:t>4.</w:t>
      </w:r>
      <w:r w:rsidRPr="002B65F7">
        <w:tab/>
      </w:r>
      <w:r w:rsidR="00C31740" w:rsidRPr="002B65F7">
        <w:t>Inspecter visuellement la solution diluée avant administration. Ne pas utiliser si des particules visibles opaques, un changement de coloration ou des particules étrangères sont observés.</w:t>
      </w:r>
    </w:p>
    <w:p w14:paraId="03B58E90" w14:textId="2AAA5E32" w:rsidR="00092F83" w:rsidRPr="002B65F7" w:rsidRDefault="00512FD3" w:rsidP="001B0B5C">
      <w:pPr>
        <w:widowControl/>
        <w:ind w:left="567" w:hanging="567"/>
      </w:pPr>
      <w:r w:rsidRPr="002B65F7">
        <w:t>5.</w:t>
      </w:r>
      <w:r w:rsidRPr="002B65F7">
        <w:tab/>
      </w:r>
      <w:r w:rsidR="00C31740" w:rsidRPr="002B65F7">
        <w:t>Administrer la solution diluée sur une période d’au moins une heure.</w:t>
      </w:r>
    </w:p>
    <w:p w14:paraId="03B58E91" w14:textId="7304E7E4" w:rsidR="00092F83" w:rsidRPr="002B65F7" w:rsidRDefault="00512FD3" w:rsidP="001B0B5C">
      <w:pPr>
        <w:widowControl/>
        <w:ind w:left="567" w:hanging="567"/>
      </w:pPr>
      <w:r w:rsidRPr="002B65F7">
        <w:t>6.</w:t>
      </w:r>
      <w:r w:rsidRPr="002B65F7">
        <w:tab/>
      </w:r>
      <w:r w:rsidR="00C31740" w:rsidRPr="002B65F7">
        <w:t>Utiliser exclusivement un ensemble de perfusion avec filtre en ligne stérile, non pyrogène, à faible fixation protéique (taille de pores 0,2</w:t>
      </w:r>
      <w:r w:rsidR="00F625E9" w:rsidRPr="002B65F7">
        <w:t> </w:t>
      </w:r>
      <w:r w:rsidR="00C31740" w:rsidRPr="002B65F7">
        <w:t>micromètre).</w:t>
      </w:r>
    </w:p>
    <w:p w14:paraId="03B58E92" w14:textId="5D881F41" w:rsidR="00092F83" w:rsidRPr="002B65F7" w:rsidRDefault="00512FD3" w:rsidP="001B0B5C">
      <w:pPr>
        <w:widowControl/>
        <w:ind w:left="567" w:hanging="567"/>
      </w:pPr>
      <w:r w:rsidRPr="002B65F7">
        <w:t>7.</w:t>
      </w:r>
      <w:r w:rsidRPr="002B65F7">
        <w:tab/>
      </w:r>
      <w:r w:rsidR="00C31740" w:rsidRPr="002B65F7">
        <w:t>Chaque flacon est à usage unique et tout médicament non utilisé doit être éliminé conformément à la réglementation en vigueur.</w:t>
      </w:r>
    </w:p>
    <w:p w14:paraId="4310B5FB" w14:textId="77777777" w:rsidR="00F625E9" w:rsidRPr="002B65F7" w:rsidRDefault="00F625E9" w:rsidP="001B0B5C">
      <w:pPr>
        <w:widowControl/>
        <w:rPr>
          <w:u w:val="single"/>
        </w:rPr>
      </w:pPr>
    </w:p>
    <w:p w14:paraId="03B58E93" w14:textId="1E411D60" w:rsidR="00092F83" w:rsidRPr="002B65F7" w:rsidRDefault="00C31740" w:rsidP="001B0B5C">
      <w:pPr>
        <w:keepNext/>
        <w:widowControl/>
        <w:rPr>
          <w:u w:val="single"/>
        </w:rPr>
      </w:pPr>
      <w:r w:rsidRPr="002B65F7">
        <w:rPr>
          <w:u w:val="single"/>
        </w:rPr>
        <w:t>Conservation</w:t>
      </w:r>
    </w:p>
    <w:p w14:paraId="00BE0786" w14:textId="77777777" w:rsidR="00F625E9" w:rsidRPr="002B65F7" w:rsidRDefault="00F625E9" w:rsidP="001B0B5C">
      <w:pPr>
        <w:keepNext/>
        <w:widowControl/>
      </w:pPr>
    </w:p>
    <w:p w14:paraId="37475956" w14:textId="77777777" w:rsidR="009F61A2" w:rsidRDefault="00C31740" w:rsidP="001B0B5C">
      <w:pPr>
        <w:widowControl/>
        <w:rPr>
          <w:ins w:id="38" w:author="Author"/>
        </w:rPr>
      </w:pPr>
      <w:r w:rsidRPr="002B65F7">
        <w:t>Si nécessaire, la solution diluée pour perfusion peut être conservée à température ambiante.</w:t>
      </w:r>
    </w:p>
    <w:p w14:paraId="0669D8CA" w14:textId="77777777" w:rsidR="00417CB5" w:rsidRPr="002B65F7" w:rsidRDefault="00417CB5" w:rsidP="001B0B5C">
      <w:pPr>
        <w:widowControl/>
      </w:pPr>
    </w:p>
    <w:p w14:paraId="6EEACACD" w14:textId="409944CD" w:rsidR="00C93DAC" w:rsidRPr="002B65F7" w:rsidRDefault="00582DDC" w:rsidP="00C93DAC">
      <w:pPr>
        <w:widowControl/>
        <w:rPr>
          <w:ins w:id="39" w:author="Author"/>
        </w:rPr>
      </w:pPr>
      <w:r w:rsidRPr="002B65F7">
        <w:t>Après dilution</w:t>
      </w:r>
      <w:r w:rsidR="00645587" w:rsidRPr="002B65F7">
        <w:t xml:space="preserve"> à une concentration comprise entre 0,86 mg/mL et 2,60 mg/mL</w:t>
      </w:r>
      <w:r w:rsidRPr="002B65F7">
        <w:t xml:space="preserve">, la stabilité physico-chimique de la solution diluée a été démontrée pendant </w:t>
      </w:r>
      <w:ins w:id="40" w:author="Author">
        <w:r w:rsidR="0047605F">
          <w:t>35 jours</w:t>
        </w:r>
      </w:ins>
      <w:del w:id="41" w:author="Author">
        <w:r w:rsidRPr="002B65F7" w:rsidDel="0047605F">
          <w:delText>24</w:delText>
        </w:r>
        <w:r w:rsidR="00EF6AD8" w:rsidRPr="002B65F7" w:rsidDel="0047605F">
          <w:delText> </w:delText>
        </w:r>
        <w:r w:rsidRPr="002B65F7" w:rsidDel="0047605F">
          <w:delText>heures</w:delText>
        </w:r>
      </w:del>
      <w:r w:rsidRPr="002B65F7">
        <w:t xml:space="preserve"> entre </w:t>
      </w:r>
      <w:ins w:id="42" w:author="Author">
        <w:r w:rsidR="0047605F">
          <w:t>2</w:t>
        </w:r>
      </w:ins>
      <w:del w:id="43" w:author="Author">
        <w:r w:rsidRPr="002B65F7" w:rsidDel="0047605F">
          <w:delText>15</w:delText>
        </w:r>
      </w:del>
      <w:r w:rsidRPr="002B65F7">
        <w:t xml:space="preserve">°C et </w:t>
      </w:r>
      <w:ins w:id="44" w:author="Author">
        <w:r w:rsidR="0047605F">
          <w:t>8</w:t>
        </w:r>
      </w:ins>
      <w:del w:id="45" w:author="Author">
        <w:r w:rsidRPr="002B65F7" w:rsidDel="0047605F">
          <w:delText>25</w:delText>
        </w:r>
      </w:del>
      <w:r w:rsidRPr="002B65F7">
        <w:t>°C</w:t>
      </w:r>
      <w:ins w:id="46" w:author="Author">
        <w:r w:rsidR="0047605F">
          <w:t>, suivis de 72 heures supplémentaires à température ambiante allant jusqu’à 30°C</w:t>
        </w:r>
      </w:ins>
      <w:r w:rsidRPr="002B65F7">
        <w:t xml:space="preserve">. Ne pas remettre </w:t>
      </w:r>
      <w:ins w:id="47" w:author="Author">
        <w:r w:rsidR="0047605F">
          <w:t xml:space="preserve">la solution diluée </w:t>
        </w:r>
      </w:ins>
      <w:r w:rsidRPr="002B65F7">
        <w:t>au réfrigérateur</w:t>
      </w:r>
      <w:ins w:id="48" w:author="Author">
        <w:r w:rsidR="0047605F">
          <w:t xml:space="preserve"> une fois stockée à température ambiante</w:t>
        </w:r>
      </w:ins>
      <w:r w:rsidRPr="002B65F7">
        <w:t>.</w:t>
      </w:r>
      <w:r w:rsidRPr="002B65F7" w:rsidDel="00582DDC">
        <w:t xml:space="preserve"> </w:t>
      </w:r>
      <w:r w:rsidR="00C31740" w:rsidRPr="002B65F7">
        <w:t>Ne pas congeler.</w:t>
      </w:r>
      <w:ins w:id="49" w:author="Author">
        <w:r w:rsidR="00C93DAC">
          <w:t xml:space="preserve"> </w:t>
        </w:r>
        <w:r w:rsidR="00C93DAC" w:rsidRPr="00C93DAC">
          <w:t xml:space="preserve">La solution diluée doit être conservée à l’abri de la lumière. </w:t>
        </w:r>
        <w:r w:rsidR="00C93DAC">
          <w:t>Lors de</w:t>
        </w:r>
        <w:r w:rsidR="00C93DAC" w:rsidRPr="00C93DAC">
          <w:t xml:space="preserve"> la préparation et </w:t>
        </w:r>
        <w:r w:rsidR="00C93DAC">
          <w:t xml:space="preserve">de </w:t>
        </w:r>
        <w:r w:rsidR="00C93DAC" w:rsidRPr="00C93DAC">
          <w:t xml:space="preserve">l’administration, la solution diluée peut être exposée à la lumière </w:t>
        </w:r>
        <w:r w:rsidR="00C93DAC">
          <w:t>pendant une durée maximale de</w:t>
        </w:r>
        <w:r w:rsidR="00C93DAC" w:rsidRPr="00C93DAC">
          <w:t xml:space="preserve"> 24 heures.</w:t>
        </w:r>
      </w:ins>
    </w:p>
    <w:p w14:paraId="6590399D" w14:textId="77777777" w:rsidR="00C93DAC" w:rsidRPr="002B65F7" w:rsidRDefault="00C93DAC" w:rsidP="001B0B5C">
      <w:pPr>
        <w:widowControl/>
      </w:pPr>
    </w:p>
    <w:p w14:paraId="03B58E96" w14:textId="3517E087" w:rsidR="00092F83" w:rsidRPr="002B65F7" w:rsidRDefault="0068364A" w:rsidP="004B12BC">
      <w:pPr>
        <w:widowControl/>
        <w:jc w:val="center"/>
        <w:rPr>
          <w:b/>
          <w:bCs/>
        </w:rPr>
      </w:pPr>
      <w:r w:rsidRPr="002B65F7">
        <w:br w:type="page"/>
      </w:r>
      <w:r w:rsidR="00C31740" w:rsidRPr="002B65F7">
        <w:rPr>
          <w:b/>
          <w:bCs/>
        </w:rPr>
        <w:lastRenderedPageBreak/>
        <w:t>Notice : Information de l’utilisateur</w:t>
      </w:r>
    </w:p>
    <w:p w14:paraId="03B58E97" w14:textId="77777777" w:rsidR="00092F83" w:rsidRPr="002B65F7" w:rsidRDefault="00092F83" w:rsidP="00496255">
      <w:pPr>
        <w:widowControl/>
        <w:jc w:val="center"/>
      </w:pPr>
    </w:p>
    <w:p w14:paraId="03B58E98" w14:textId="0C3E5989" w:rsidR="00092F83" w:rsidRPr="002B65F7" w:rsidRDefault="003A1909" w:rsidP="00496255">
      <w:pPr>
        <w:widowControl/>
        <w:jc w:val="center"/>
        <w:rPr>
          <w:b/>
          <w:bCs/>
        </w:rPr>
      </w:pPr>
      <w:r w:rsidRPr="002B65F7">
        <w:rPr>
          <w:b/>
          <w:bCs/>
        </w:rPr>
        <w:t>WEZENLA</w:t>
      </w:r>
      <w:r w:rsidR="00C31740" w:rsidRPr="002B65F7">
        <w:rPr>
          <w:b/>
          <w:bCs/>
        </w:rPr>
        <w:t xml:space="preserve"> 45</w:t>
      </w:r>
      <w:r w:rsidR="0094192D" w:rsidRPr="002B65F7">
        <w:rPr>
          <w:b/>
          <w:bCs/>
        </w:rPr>
        <w:t> </w:t>
      </w:r>
      <w:r w:rsidR="00C31740" w:rsidRPr="002B65F7">
        <w:rPr>
          <w:b/>
          <w:bCs/>
        </w:rPr>
        <w:t>mg solution injectable</w:t>
      </w:r>
    </w:p>
    <w:p w14:paraId="03B58E99" w14:textId="635FA27B" w:rsidR="00092F83" w:rsidRPr="002B65F7" w:rsidRDefault="0071390F" w:rsidP="00496255">
      <w:pPr>
        <w:widowControl/>
        <w:jc w:val="center"/>
      </w:pPr>
      <w:r w:rsidRPr="002B65F7">
        <w:t>ustekinumab</w:t>
      </w:r>
    </w:p>
    <w:p w14:paraId="03B58E9A" w14:textId="77777777" w:rsidR="00092F83" w:rsidRPr="002B65F7" w:rsidRDefault="00092F83" w:rsidP="00496255">
      <w:pPr>
        <w:widowControl/>
      </w:pPr>
    </w:p>
    <w:p w14:paraId="1EE4DDBB" w14:textId="68BD0983" w:rsidR="003A1909" w:rsidRPr="002B65F7" w:rsidRDefault="00A2167E" w:rsidP="003A1909">
      <w:pPr>
        <w:widowControl/>
        <w:rPr>
          <w:b/>
          <w:bCs/>
        </w:rPr>
      </w:pPr>
      <w:r>
        <w:rPr>
          <w:noProof/>
          <w:lang w:val="en-US" w:eastAsia="zh-CN"/>
        </w:rPr>
        <w:drawing>
          <wp:inline distT="0" distB="0" distL="0" distR="0" wp14:anchorId="7C4E0D1B" wp14:editId="01D1CD49">
            <wp:extent cx="196215" cy="236855"/>
            <wp:effectExtent l="0" t="0" r="0" b="0"/>
            <wp:docPr id="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 cy="236855"/>
                    </a:xfrm>
                    <a:prstGeom prst="rect">
                      <a:avLst/>
                    </a:prstGeom>
                    <a:noFill/>
                    <a:ln>
                      <a:noFill/>
                    </a:ln>
                  </pic:spPr>
                </pic:pic>
              </a:graphicData>
            </a:graphic>
          </wp:inline>
        </w:drawing>
      </w:r>
      <w:r w:rsidR="003A1909" w:rsidRPr="002B65F7">
        <w:t>Ce médicament fait l’objet d’une surveillance supplémentaire</w:t>
      </w:r>
      <w:r w:rsidR="00EF6AD8" w:rsidRPr="002B65F7">
        <w:t xml:space="preserve"> qui</w:t>
      </w:r>
      <w:r w:rsidR="003A1909" w:rsidRPr="002B65F7">
        <w:t xml:space="preserve"> permettra </w:t>
      </w:r>
      <w:r w:rsidR="00EF6AD8" w:rsidRPr="002B65F7">
        <w:t>l</w:t>
      </w:r>
      <w:r w:rsidR="003A1909" w:rsidRPr="002B65F7">
        <w:t>’identifi</w:t>
      </w:r>
      <w:r w:rsidR="00EF6AD8" w:rsidRPr="002B65F7">
        <w:t>cation</w:t>
      </w:r>
      <w:r w:rsidR="003A1909" w:rsidRPr="002B65F7">
        <w:t xml:space="preserve"> rapide de nouvelles informations </w:t>
      </w:r>
      <w:r w:rsidR="00EF6AD8" w:rsidRPr="002B65F7">
        <w:t>relatives à</w:t>
      </w:r>
      <w:r w:rsidR="003A1909" w:rsidRPr="002B65F7">
        <w:t xml:space="preserve"> la sécurité. Vous pouvez y contribuer en signalant tout effet indésirable que vous observe</w:t>
      </w:r>
      <w:r w:rsidR="00EF6AD8" w:rsidRPr="002B65F7">
        <w:t>z</w:t>
      </w:r>
      <w:r w:rsidR="003A1909" w:rsidRPr="002B65F7">
        <w:t xml:space="preserve">. </w:t>
      </w:r>
      <w:r w:rsidR="00EF6AD8" w:rsidRPr="002B65F7">
        <w:t>Voir en fin de</w:t>
      </w:r>
      <w:r w:rsidR="003A1909" w:rsidRPr="002B65F7">
        <w:t xml:space="preserve"> rubrique</w:t>
      </w:r>
      <w:r w:rsidR="00EF6AD8" w:rsidRPr="002B65F7">
        <w:t> </w:t>
      </w:r>
      <w:r w:rsidR="003A1909" w:rsidRPr="002B65F7">
        <w:t xml:space="preserve">4 </w:t>
      </w:r>
      <w:r w:rsidR="00EF6AD8" w:rsidRPr="002B65F7">
        <w:t>comment déclarer</w:t>
      </w:r>
      <w:r w:rsidR="003A1909" w:rsidRPr="002B65F7">
        <w:t xml:space="preserve"> les effets indésirables.</w:t>
      </w:r>
    </w:p>
    <w:p w14:paraId="7051CFA5" w14:textId="77777777" w:rsidR="003A1909" w:rsidRPr="002B65F7" w:rsidRDefault="003A1909" w:rsidP="00496255">
      <w:pPr>
        <w:widowControl/>
        <w:rPr>
          <w:b/>
          <w:bCs/>
        </w:rPr>
      </w:pPr>
    </w:p>
    <w:p w14:paraId="03B58E9B" w14:textId="15FB9A0E" w:rsidR="00092F83" w:rsidRPr="002B65F7" w:rsidRDefault="00C31740" w:rsidP="00496255">
      <w:pPr>
        <w:widowControl/>
        <w:rPr>
          <w:b/>
          <w:bCs/>
        </w:rPr>
      </w:pPr>
      <w:r w:rsidRPr="002B65F7">
        <w:rPr>
          <w:b/>
          <w:bCs/>
        </w:rPr>
        <w:t>Veuillez lire attentivement cette notice avant d’utiliser ce médicament car elle contient des informations importantes pour vous.</w:t>
      </w:r>
    </w:p>
    <w:p w14:paraId="03B58E9C" w14:textId="77777777" w:rsidR="00092F83" w:rsidRPr="002B65F7" w:rsidRDefault="00092F83" w:rsidP="00496255">
      <w:pPr>
        <w:widowControl/>
        <w:rPr>
          <w:b/>
          <w:bCs/>
        </w:rPr>
      </w:pPr>
    </w:p>
    <w:p w14:paraId="03B58E9D" w14:textId="1B6191F4" w:rsidR="00092F83" w:rsidRPr="002B65F7" w:rsidRDefault="00C31740" w:rsidP="00496255">
      <w:pPr>
        <w:keepNext/>
        <w:widowControl/>
        <w:rPr>
          <w:b/>
          <w:bCs/>
        </w:rPr>
      </w:pPr>
      <w:r w:rsidRPr="002B65F7">
        <w:rPr>
          <w:b/>
          <w:bCs/>
        </w:rPr>
        <w:t xml:space="preserve">Cette notice a été écrite pour la personne prenant le médicament. Si vous êtes le parent ou le soignant qui administrera </w:t>
      </w:r>
      <w:r w:rsidR="003A1909" w:rsidRPr="002B65F7">
        <w:rPr>
          <w:b/>
          <w:bCs/>
        </w:rPr>
        <w:t>WEZENLA</w:t>
      </w:r>
      <w:r w:rsidRPr="002B65F7">
        <w:rPr>
          <w:b/>
          <w:bCs/>
        </w:rPr>
        <w:t xml:space="preserve"> à un enfant, veuillez lire attentivement ces informations.</w:t>
      </w:r>
    </w:p>
    <w:p w14:paraId="3D423D57" w14:textId="77777777" w:rsidR="00DB5CC5" w:rsidRPr="002B65F7" w:rsidRDefault="00DB5CC5" w:rsidP="00496255">
      <w:pPr>
        <w:keepNext/>
        <w:widowControl/>
        <w:rPr>
          <w:b/>
          <w:bCs/>
        </w:rPr>
      </w:pPr>
    </w:p>
    <w:p w14:paraId="03B58E9E" w14:textId="76878750" w:rsidR="00092F83" w:rsidRPr="002B65F7" w:rsidRDefault="002D6B29" w:rsidP="00496255">
      <w:pPr>
        <w:widowControl/>
        <w:tabs>
          <w:tab w:val="left" w:pos="567"/>
        </w:tabs>
        <w:ind w:left="567" w:hanging="567"/>
      </w:pPr>
      <w:r w:rsidRPr="002B65F7">
        <w:t>-</w:t>
      </w:r>
      <w:r w:rsidRPr="002B65F7">
        <w:tab/>
      </w:r>
      <w:r w:rsidR="00C31740" w:rsidRPr="002B65F7">
        <w:t>Gardez cette notice. Vous pourriez avoir besoin de la relire.</w:t>
      </w:r>
    </w:p>
    <w:p w14:paraId="03B58E9F" w14:textId="7787D32A" w:rsidR="00092F83" w:rsidRPr="002B65F7" w:rsidRDefault="002D6B29" w:rsidP="00496255">
      <w:pPr>
        <w:widowControl/>
        <w:tabs>
          <w:tab w:val="left" w:pos="567"/>
        </w:tabs>
        <w:ind w:left="567" w:hanging="567"/>
      </w:pPr>
      <w:r w:rsidRPr="002B65F7">
        <w:t>-</w:t>
      </w:r>
      <w:r w:rsidRPr="002B65F7">
        <w:tab/>
      </w:r>
      <w:r w:rsidR="00C31740" w:rsidRPr="002B65F7">
        <w:t>Si vous avez d’autres questions, interrogez votre médecin ou votre pharmacien.</w:t>
      </w:r>
    </w:p>
    <w:p w14:paraId="03B58EA0" w14:textId="30BCE87F" w:rsidR="00092F83" w:rsidRPr="002B65F7" w:rsidRDefault="002D6B29" w:rsidP="00496255">
      <w:pPr>
        <w:widowControl/>
        <w:tabs>
          <w:tab w:val="left" w:pos="567"/>
        </w:tabs>
        <w:ind w:left="567" w:hanging="567"/>
      </w:pPr>
      <w:r w:rsidRPr="002B65F7">
        <w:t>-</w:t>
      </w:r>
      <w:r w:rsidRPr="002B65F7">
        <w:tab/>
      </w:r>
      <w:r w:rsidR="00C31740" w:rsidRPr="002B65F7">
        <w:t>Ce médicament vous a été personnellement prescrit. Ne le donnez pas à d’autres personnes. Il pourrait leur être nocif, même si les signes de leur maladie sont identiques aux vôtres.</w:t>
      </w:r>
    </w:p>
    <w:p w14:paraId="03B58EA1" w14:textId="221712BD" w:rsidR="00092F83" w:rsidRPr="002B65F7" w:rsidRDefault="002D6B29" w:rsidP="00496255">
      <w:pPr>
        <w:widowControl/>
        <w:tabs>
          <w:tab w:val="left" w:pos="567"/>
        </w:tabs>
        <w:ind w:left="567" w:hanging="567"/>
      </w:pPr>
      <w:r w:rsidRPr="002B65F7">
        <w:t>-</w:t>
      </w:r>
      <w:r w:rsidRPr="002B65F7">
        <w:tab/>
      </w:r>
      <w:r w:rsidR="00C31740" w:rsidRPr="002B65F7">
        <w:t>Si vous ressentez un quelconque effet indésirable, parlez-en à votre médecin ou votre pharmacien. Ceci s’applique aussi à tout effet indésirable qui ne serait pas mentionné dans cette notice. Voir rubrique</w:t>
      </w:r>
      <w:r w:rsidR="00157DAA" w:rsidRPr="002B65F7">
        <w:t> </w:t>
      </w:r>
      <w:r w:rsidR="00C31740" w:rsidRPr="002B65F7">
        <w:t>4.</w:t>
      </w:r>
    </w:p>
    <w:p w14:paraId="4B0D9755" w14:textId="77777777" w:rsidR="00157DAA" w:rsidRPr="002B65F7" w:rsidRDefault="00157DAA" w:rsidP="00496255">
      <w:pPr>
        <w:widowControl/>
      </w:pPr>
    </w:p>
    <w:p w14:paraId="03B58EA2" w14:textId="0928FCCF" w:rsidR="00092F83" w:rsidRPr="002B65F7" w:rsidRDefault="00C31740" w:rsidP="00496255">
      <w:pPr>
        <w:keepNext/>
        <w:widowControl/>
        <w:rPr>
          <w:b/>
          <w:bCs/>
        </w:rPr>
      </w:pPr>
      <w:r w:rsidRPr="002B65F7">
        <w:rPr>
          <w:b/>
          <w:bCs/>
        </w:rPr>
        <w:t>Que contient cette notice ?</w:t>
      </w:r>
    </w:p>
    <w:p w14:paraId="2CD7F379" w14:textId="77777777" w:rsidR="00B651B7" w:rsidRPr="002B65F7" w:rsidRDefault="00B651B7" w:rsidP="00496255">
      <w:pPr>
        <w:keepNext/>
        <w:widowControl/>
      </w:pPr>
    </w:p>
    <w:p w14:paraId="03B58EA3" w14:textId="6F478A5F" w:rsidR="00092F83" w:rsidRPr="002B65F7" w:rsidRDefault="00B651B7" w:rsidP="00496255">
      <w:pPr>
        <w:widowControl/>
        <w:tabs>
          <w:tab w:val="left" w:pos="567"/>
        </w:tabs>
        <w:ind w:left="567" w:hanging="567"/>
      </w:pPr>
      <w:r w:rsidRPr="002B65F7">
        <w:t>1.</w:t>
      </w:r>
      <w:r w:rsidRPr="002B65F7">
        <w:tab/>
      </w:r>
      <w:r w:rsidR="00C31740" w:rsidRPr="002B65F7">
        <w:t xml:space="preserve">Qu’est-ce que </w:t>
      </w:r>
      <w:r w:rsidR="003A1909" w:rsidRPr="002B65F7">
        <w:t>WEZENLA</w:t>
      </w:r>
      <w:r w:rsidR="00C31740" w:rsidRPr="002B65F7">
        <w:t xml:space="preserve"> et dans quel cas est-il utilisé</w:t>
      </w:r>
    </w:p>
    <w:p w14:paraId="03B58EA4" w14:textId="208777C1" w:rsidR="00092F83" w:rsidRPr="002B65F7" w:rsidRDefault="00B651B7" w:rsidP="00496255">
      <w:pPr>
        <w:widowControl/>
        <w:tabs>
          <w:tab w:val="left" w:pos="567"/>
        </w:tabs>
        <w:ind w:left="567" w:hanging="567"/>
      </w:pPr>
      <w:r w:rsidRPr="002B65F7">
        <w:t>2.</w:t>
      </w:r>
      <w:r w:rsidRPr="002B65F7">
        <w:tab/>
      </w:r>
      <w:r w:rsidR="00C31740" w:rsidRPr="002B65F7">
        <w:t xml:space="preserve">Quelles sont les informations à connaître avant d’utiliser </w:t>
      </w:r>
      <w:r w:rsidR="003A1909" w:rsidRPr="002B65F7">
        <w:t>WEZENLA</w:t>
      </w:r>
    </w:p>
    <w:p w14:paraId="03B58EA5" w14:textId="01F60C46" w:rsidR="00092F83" w:rsidRPr="002B65F7" w:rsidRDefault="00B651B7" w:rsidP="00496255">
      <w:pPr>
        <w:widowControl/>
        <w:tabs>
          <w:tab w:val="left" w:pos="567"/>
        </w:tabs>
        <w:ind w:left="567" w:hanging="567"/>
      </w:pPr>
      <w:r w:rsidRPr="002B65F7">
        <w:t>3.</w:t>
      </w:r>
      <w:r w:rsidRPr="002B65F7">
        <w:tab/>
      </w:r>
      <w:r w:rsidR="00C31740" w:rsidRPr="002B65F7">
        <w:t xml:space="preserve">Comment utiliser </w:t>
      </w:r>
      <w:r w:rsidR="003A1909" w:rsidRPr="002B65F7">
        <w:t>WEZENLA</w:t>
      </w:r>
    </w:p>
    <w:p w14:paraId="03B58EA6" w14:textId="45836B64" w:rsidR="00092F83" w:rsidRPr="002B65F7" w:rsidRDefault="00B651B7" w:rsidP="00496255">
      <w:pPr>
        <w:widowControl/>
        <w:tabs>
          <w:tab w:val="left" w:pos="567"/>
        </w:tabs>
        <w:ind w:left="567" w:hanging="567"/>
      </w:pPr>
      <w:r w:rsidRPr="002B65F7">
        <w:t>4.</w:t>
      </w:r>
      <w:r w:rsidRPr="002B65F7">
        <w:tab/>
      </w:r>
      <w:r w:rsidR="00C31740" w:rsidRPr="002B65F7">
        <w:t>Quels sont les effets indésirables éventuels</w:t>
      </w:r>
    </w:p>
    <w:p w14:paraId="03B58EA7" w14:textId="0A45C0C2" w:rsidR="00092F83" w:rsidRPr="002B65F7" w:rsidRDefault="00B651B7" w:rsidP="00496255">
      <w:pPr>
        <w:widowControl/>
        <w:tabs>
          <w:tab w:val="left" w:pos="567"/>
        </w:tabs>
        <w:ind w:left="567" w:hanging="567"/>
      </w:pPr>
      <w:r w:rsidRPr="002B65F7">
        <w:t>5.</w:t>
      </w:r>
      <w:r w:rsidRPr="002B65F7">
        <w:tab/>
      </w:r>
      <w:r w:rsidR="00C31740" w:rsidRPr="002B65F7">
        <w:t xml:space="preserve">Comment conserver </w:t>
      </w:r>
      <w:r w:rsidR="003A1909" w:rsidRPr="002B65F7">
        <w:t>WEZENLA</w:t>
      </w:r>
    </w:p>
    <w:p w14:paraId="03B58EA8" w14:textId="65076FEE" w:rsidR="00092F83" w:rsidRPr="002B65F7" w:rsidRDefault="00B651B7" w:rsidP="00496255">
      <w:pPr>
        <w:widowControl/>
        <w:tabs>
          <w:tab w:val="left" w:pos="567"/>
        </w:tabs>
        <w:ind w:left="567" w:hanging="567"/>
      </w:pPr>
      <w:r w:rsidRPr="002B65F7">
        <w:t>6</w:t>
      </w:r>
      <w:r w:rsidRPr="002B65F7">
        <w:tab/>
      </w:r>
      <w:r w:rsidR="00C31740" w:rsidRPr="002B65F7">
        <w:t>Contenu de l’emballage et autres informations</w:t>
      </w:r>
    </w:p>
    <w:p w14:paraId="03B58EA9" w14:textId="77777777" w:rsidR="00092F83" w:rsidRPr="002B65F7" w:rsidRDefault="00092F83" w:rsidP="00496255">
      <w:pPr>
        <w:widowControl/>
      </w:pPr>
    </w:p>
    <w:p w14:paraId="5C43D22E" w14:textId="77777777" w:rsidR="00850D5C" w:rsidRPr="002B65F7" w:rsidRDefault="00850D5C" w:rsidP="00496255">
      <w:pPr>
        <w:widowControl/>
      </w:pPr>
    </w:p>
    <w:p w14:paraId="03B58EAA" w14:textId="7DDA5F65" w:rsidR="00092F83" w:rsidRPr="002B65F7" w:rsidRDefault="00850D5C" w:rsidP="00496255">
      <w:pPr>
        <w:keepNext/>
        <w:widowControl/>
        <w:tabs>
          <w:tab w:val="left" w:pos="567"/>
        </w:tabs>
        <w:ind w:left="567" w:hanging="567"/>
        <w:rPr>
          <w:b/>
          <w:bCs/>
        </w:rPr>
      </w:pPr>
      <w:r w:rsidRPr="002B65F7">
        <w:rPr>
          <w:b/>
          <w:bCs/>
        </w:rPr>
        <w:t>1.</w:t>
      </w:r>
      <w:r w:rsidRPr="002B65F7">
        <w:rPr>
          <w:b/>
          <w:bCs/>
        </w:rPr>
        <w:tab/>
      </w:r>
      <w:r w:rsidR="00C31740" w:rsidRPr="002B65F7">
        <w:rPr>
          <w:b/>
          <w:bCs/>
        </w:rPr>
        <w:t xml:space="preserve">Qu’est-ce que </w:t>
      </w:r>
      <w:r w:rsidR="003A1909" w:rsidRPr="002B65F7">
        <w:rPr>
          <w:b/>
          <w:bCs/>
        </w:rPr>
        <w:t>WEZENLA</w:t>
      </w:r>
      <w:r w:rsidR="00C31740" w:rsidRPr="002B65F7">
        <w:rPr>
          <w:b/>
          <w:bCs/>
        </w:rPr>
        <w:t xml:space="preserve"> et dans quel cas est-il utilisé ?</w:t>
      </w:r>
    </w:p>
    <w:p w14:paraId="03B58EAB" w14:textId="77777777" w:rsidR="00092F83" w:rsidRPr="002B65F7" w:rsidRDefault="00092F83" w:rsidP="00496255">
      <w:pPr>
        <w:keepNext/>
        <w:widowControl/>
      </w:pPr>
    </w:p>
    <w:p w14:paraId="03B58EAC" w14:textId="07DAB8AC" w:rsidR="00092F83" w:rsidRPr="002B65F7" w:rsidRDefault="00C31740" w:rsidP="00496255">
      <w:pPr>
        <w:keepNext/>
        <w:widowControl/>
        <w:rPr>
          <w:b/>
          <w:bCs/>
        </w:rPr>
      </w:pPr>
      <w:r w:rsidRPr="002B65F7">
        <w:rPr>
          <w:b/>
          <w:bCs/>
        </w:rPr>
        <w:t xml:space="preserve">Qu’est-ce que </w:t>
      </w:r>
      <w:r w:rsidR="003A1909" w:rsidRPr="002B65F7">
        <w:rPr>
          <w:b/>
          <w:bCs/>
        </w:rPr>
        <w:t>WEZENLA</w:t>
      </w:r>
    </w:p>
    <w:p w14:paraId="03B58EAD" w14:textId="1FF97397" w:rsidR="00092F83" w:rsidRPr="002B65F7" w:rsidRDefault="003A1909" w:rsidP="00496255">
      <w:pPr>
        <w:keepNext/>
        <w:widowControl/>
      </w:pPr>
      <w:r w:rsidRPr="002B65F7">
        <w:t>WEZENLA</w:t>
      </w:r>
      <w:r w:rsidR="00C31740" w:rsidRPr="002B65F7">
        <w:t xml:space="preserve"> contient une substance active qui s’appelle </w:t>
      </w:r>
      <w:r w:rsidR="0071390F" w:rsidRPr="002B65F7">
        <w:t>ustekinumab</w:t>
      </w:r>
      <w:r w:rsidR="00C31740" w:rsidRPr="002B65F7">
        <w:t>, un anticorps monoclonal. Les anticorps monoclonaux sont des protéines qui reconnaissent et se lient spécifiquement à certaines protéines dans le corps.</w:t>
      </w:r>
    </w:p>
    <w:p w14:paraId="03B58EAE" w14:textId="77777777" w:rsidR="00092F83" w:rsidRPr="002B65F7" w:rsidRDefault="00092F83" w:rsidP="00496255">
      <w:pPr>
        <w:widowControl/>
      </w:pPr>
    </w:p>
    <w:p w14:paraId="03B58EAF" w14:textId="2CC7CC8B" w:rsidR="00092F83" w:rsidRPr="002B65F7" w:rsidRDefault="003A1909" w:rsidP="00496255">
      <w:pPr>
        <w:widowControl/>
      </w:pPr>
      <w:r w:rsidRPr="002B65F7">
        <w:t>WEZENLA</w:t>
      </w:r>
      <w:r w:rsidR="00C31740" w:rsidRPr="002B65F7">
        <w:t xml:space="preserve"> appartient à un groupe de médicaments appelés « immunosuppresseurs ». Ces médicaments agissent en affaiblissant partiellement le système immunitaire.</w:t>
      </w:r>
    </w:p>
    <w:p w14:paraId="27665822" w14:textId="77777777" w:rsidR="00850D5C" w:rsidRPr="002B65F7" w:rsidRDefault="00850D5C" w:rsidP="00496255">
      <w:pPr>
        <w:widowControl/>
      </w:pPr>
    </w:p>
    <w:p w14:paraId="03B58EB0" w14:textId="5074E727" w:rsidR="00092F83" w:rsidRPr="002B65F7" w:rsidRDefault="00C31740" w:rsidP="00496255">
      <w:pPr>
        <w:keepNext/>
        <w:widowControl/>
        <w:rPr>
          <w:b/>
          <w:bCs/>
        </w:rPr>
      </w:pPr>
      <w:r w:rsidRPr="002B65F7">
        <w:rPr>
          <w:b/>
          <w:bCs/>
        </w:rPr>
        <w:t xml:space="preserve">Dans quel cas </w:t>
      </w:r>
      <w:r w:rsidR="003A1909" w:rsidRPr="002B65F7">
        <w:rPr>
          <w:b/>
          <w:bCs/>
        </w:rPr>
        <w:t>WEZENLA</w:t>
      </w:r>
      <w:r w:rsidRPr="002B65F7">
        <w:rPr>
          <w:b/>
          <w:bCs/>
        </w:rPr>
        <w:t xml:space="preserve"> est-il utilisé</w:t>
      </w:r>
    </w:p>
    <w:p w14:paraId="03B58EB1" w14:textId="0AEB83A7" w:rsidR="00092F83" w:rsidRPr="002B65F7" w:rsidRDefault="003A1909" w:rsidP="00496255">
      <w:pPr>
        <w:keepNext/>
        <w:widowControl/>
      </w:pPr>
      <w:r w:rsidRPr="002B65F7">
        <w:t>WEZENLA</w:t>
      </w:r>
      <w:r w:rsidR="00C31740" w:rsidRPr="002B65F7">
        <w:t xml:space="preserve"> est utilisé pour le traitement des maladies inflammatoires suivantes</w:t>
      </w:r>
      <w:r w:rsidR="006C2850" w:rsidRPr="002B65F7">
        <w:t xml:space="preserve"> </w:t>
      </w:r>
      <w:r w:rsidR="00C31740" w:rsidRPr="002B65F7">
        <w:t>:</w:t>
      </w:r>
    </w:p>
    <w:p w14:paraId="03B58EB2" w14:textId="174BEF5B" w:rsidR="00092F83" w:rsidRPr="002B65F7" w:rsidRDefault="00C31740" w:rsidP="007A7B22">
      <w:pPr>
        <w:pStyle w:val="ListParagraph"/>
        <w:widowControl/>
        <w:numPr>
          <w:ilvl w:val="1"/>
          <w:numId w:val="27"/>
        </w:numPr>
        <w:tabs>
          <w:tab w:val="left" w:pos="567"/>
        </w:tabs>
        <w:ind w:left="567" w:hanging="567"/>
      </w:pPr>
      <w:r w:rsidRPr="002B65F7">
        <w:t>Psoriasis en plaques (chez les adultes et les adolescents âgés de 6 ans et plus)</w:t>
      </w:r>
    </w:p>
    <w:p w14:paraId="03B58EB3" w14:textId="538BD683" w:rsidR="00092F83" w:rsidRPr="002B65F7" w:rsidRDefault="00C31740" w:rsidP="007A7B22">
      <w:pPr>
        <w:pStyle w:val="ListParagraph"/>
        <w:widowControl/>
        <w:numPr>
          <w:ilvl w:val="1"/>
          <w:numId w:val="27"/>
        </w:numPr>
        <w:tabs>
          <w:tab w:val="left" w:pos="567"/>
        </w:tabs>
        <w:ind w:left="567" w:hanging="567"/>
      </w:pPr>
      <w:r w:rsidRPr="002B65F7">
        <w:t>Rhumatisme psoriasique (chez les adultes)</w:t>
      </w:r>
    </w:p>
    <w:p w14:paraId="03B58EB4" w14:textId="7042DB06" w:rsidR="00092F83" w:rsidRPr="002B65F7" w:rsidRDefault="00C31740" w:rsidP="007A7B22">
      <w:pPr>
        <w:pStyle w:val="ListParagraph"/>
        <w:widowControl/>
        <w:numPr>
          <w:ilvl w:val="1"/>
          <w:numId w:val="27"/>
        </w:numPr>
        <w:tabs>
          <w:tab w:val="left" w:pos="567"/>
        </w:tabs>
        <w:ind w:left="567" w:hanging="567"/>
      </w:pPr>
      <w:r w:rsidRPr="002B65F7">
        <w:t>Maladie de Crohn modérée à sévère (chez les adultes</w:t>
      </w:r>
      <w:r w:rsidR="000D100E" w:rsidRPr="000D100E">
        <w:rPr>
          <w:noProof/>
          <w:lang w:eastAsia="nl-BE"/>
        </w:rPr>
        <w:t xml:space="preserve"> </w:t>
      </w:r>
      <w:r w:rsidR="000D100E">
        <w:rPr>
          <w:noProof/>
          <w:lang w:eastAsia="nl-BE"/>
        </w:rPr>
        <w:t>et les enfants pesant au moins 40 kg)</w:t>
      </w:r>
    </w:p>
    <w:p w14:paraId="287CA154" w14:textId="77777777" w:rsidR="00984FF4" w:rsidRPr="002B65F7" w:rsidRDefault="00984FF4" w:rsidP="00496255">
      <w:pPr>
        <w:widowControl/>
        <w:rPr>
          <w:b/>
          <w:bCs/>
        </w:rPr>
      </w:pPr>
    </w:p>
    <w:p w14:paraId="03B58EB6" w14:textId="2AC37C19" w:rsidR="00092F83" w:rsidRPr="002B65F7" w:rsidRDefault="00C31740" w:rsidP="00496255">
      <w:pPr>
        <w:keepNext/>
        <w:widowControl/>
        <w:rPr>
          <w:b/>
          <w:bCs/>
        </w:rPr>
      </w:pPr>
      <w:r w:rsidRPr="002B65F7">
        <w:rPr>
          <w:b/>
          <w:bCs/>
        </w:rPr>
        <w:t>Psoriasis en plaques</w:t>
      </w:r>
    </w:p>
    <w:p w14:paraId="03B58EB7" w14:textId="35705C25" w:rsidR="00092F83" w:rsidRPr="002B65F7" w:rsidRDefault="00C31740" w:rsidP="00496255">
      <w:pPr>
        <w:keepNext/>
        <w:widowControl/>
      </w:pPr>
      <w:r w:rsidRPr="002B65F7">
        <w:t xml:space="preserve">Le psoriasis en plaques est une maladie de la peau qui provoque une inflammation affectant la peau et les ongles. </w:t>
      </w:r>
      <w:r w:rsidR="003A1909" w:rsidRPr="002B65F7">
        <w:t>WEZENLA</w:t>
      </w:r>
      <w:r w:rsidRPr="002B65F7">
        <w:t xml:space="preserve"> réduira l’inflammation ainsi que d’autres signes de la maladie.</w:t>
      </w:r>
    </w:p>
    <w:p w14:paraId="38933873" w14:textId="77777777" w:rsidR="00984FF4" w:rsidRPr="002B65F7" w:rsidRDefault="00984FF4" w:rsidP="00496255">
      <w:pPr>
        <w:widowControl/>
      </w:pPr>
    </w:p>
    <w:p w14:paraId="03B58EB8" w14:textId="369B4357" w:rsidR="00092F83" w:rsidRPr="002B65F7" w:rsidRDefault="003A1909" w:rsidP="00496255">
      <w:pPr>
        <w:widowControl/>
      </w:pPr>
      <w:r w:rsidRPr="002B65F7">
        <w:t>WEZENLA</w:t>
      </w:r>
      <w:r w:rsidR="00C31740" w:rsidRPr="002B65F7">
        <w:t xml:space="preserve"> est utilisé chez les patients adultes souffrant de psoriasis en plaques modéré à sévère, qui ne peuvent pas utiliser la ciclosporine, le méthotrexate ou la photothérapie, ou lorsque ces traitements n’ont pas été efficaces.</w:t>
      </w:r>
    </w:p>
    <w:p w14:paraId="5080D3AC" w14:textId="77777777" w:rsidR="00984FF4" w:rsidRPr="002B65F7" w:rsidRDefault="00984FF4" w:rsidP="00496255">
      <w:pPr>
        <w:widowControl/>
      </w:pPr>
    </w:p>
    <w:p w14:paraId="03B58EB9" w14:textId="48A45870" w:rsidR="00092F83" w:rsidRPr="002B65F7" w:rsidRDefault="003A1909" w:rsidP="00496255">
      <w:pPr>
        <w:widowControl/>
      </w:pPr>
      <w:r w:rsidRPr="002B65F7">
        <w:t>WEZENLA</w:t>
      </w:r>
      <w:r w:rsidR="00C31740" w:rsidRPr="002B65F7">
        <w:t xml:space="preserve"> est utilisé chez les enfants et adolescents âgés de 6 ans et plus atteints de psoriasis en plaques modéré à sévère, chez qui la photothérapie ou d’autres traitements systémiques ne peuvent être utilisés, ou lorsque ces traitements n’ont pas été efficaces.</w:t>
      </w:r>
    </w:p>
    <w:p w14:paraId="77633779" w14:textId="77777777" w:rsidR="00984FF4" w:rsidRPr="002B65F7" w:rsidRDefault="00984FF4" w:rsidP="00496255">
      <w:pPr>
        <w:widowControl/>
      </w:pPr>
    </w:p>
    <w:p w14:paraId="03B58EBB" w14:textId="77777777" w:rsidR="00092F83" w:rsidRPr="002B65F7" w:rsidRDefault="00C31740" w:rsidP="00496255">
      <w:pPr>
        <w:keepNext/>
        <w:keepLines/>
        <w:widowControl/>
        <w:rPr>
          <w:b/>
          <w:bCs/>
        </w:rPr>
      </w:pPr>
      <w:r w:rsidRPr="002B65F7">
        <w:rPr>
          <w:b/>
          <w:bCs/>
        </w:rPr>
        <w:t>Rhumatisme psoriasique</w:t>
      </w:r>
    </w:p>
    <w:p w14:paraId="03B58EBC" w14:textId="638CE0B6" w:rsidR="00092F83" w:rsidRPr="002B65F7" w:rsidRDefault="00C31740" w:rsidP="00496255">
      <w:pPr>
        <w:keepNext/>
        <w:keepLines/>
        <w:widowControl/>
      </w:pPr>
      <w:r w:rsidRPr="002B65F7">
        <w:t xml:space="preserve">Le rhumatisme psoriasique est une maladie inflammatoire des articulations, habituellement associée à du psoriasis. Si vous avez un rhumatisme psoriasique actif, vous recevrez d’abord d’autres médicaments. Si vous ne répondez pas suffisamment bien à ces médicaments, vous pourrez recevoir </w:t>
      </w:r>
      <w:r w:rsidR="003A1909" w:rsidRPr="002B65F7">
        <w:t>WEZENLA</w:t>
      </w:r>
      <w:r w:rsidRPr="002B65F7">
        <w:t xml:space="preserve"> afin de :</w:t>
      </w:r>
    </w:p>
    <w:p w14:paraId="03B58EBD" w14:textId="4B157B8D" w:rsidR="00092F83" w:rsidRPr="002B65F7" w:rsidRDefault="00C31740" w:rsidP="007A7B22">
      <w:pPr>
        <w:pStyle w:val="ListParagraph"/>
        <w:keepNext/>
        <w:widowControl/>
        <w:numPr>
          <w:ilvl w:val="1"/>
          <w:numId w:val="28"/>
        </w:numPr>
        <w:tabs>
          <w:tab w:val="left" w:pos="567"/>
        </w:tabs>
        <w:ind w:left="567" w:hanging="567"/>
      </w:pPr>
      <w:r w:rsidRPr="002B65F7">
        <w:t>Réduire les signes et symptômes de votre maladie.</w:t>
      </w:r>
    </w:p>
    <w:p w14:paraId="03B58EBE" w14:textId="532CF840" w:rsidR="00092F83" w:rsidRPr="002B65F7" w:rsidRDefault="00C31740" w:rsidP="007A7B22">
      <w:pPr>
        <w:pStyle w:val="ListParagraph"/>
        <w:keepNext/>
        <w:widowControl/>
        <w:numPr>
          <w:ilvl w:val="1"/>
          <w:numId w:val="28"/>
        </w:numPr>
        <w:tabs>
          <w:tab w:val="left" w:pos="567"/>
        </w:tabs>
        <w:ind w:left="567" w:hanging="567"/>
      </w:pPr>
      <w:r w:rsidRPr="002B65F7">
        <w:t>Améliorer votre état physique.</w:t>
      </w:r>
    </w:p>
    <w:p w14:paraId="03B58EBF" w14:textId="6EC8C12C" w:rsidR="00092F83" w:rsidRPr="002B65F7" w:rsidRDefault="00C31740" w:rsidP="007A7B22">
      <w:pPr>
        <w:pStyle w:val="ListParagraph"/>
        <w:widowControl/>
        <w:numPr>
          <w:ilvl w:val="1"/>
          <w:numId w:val="28"/>
        </w:numPr>
        <w:tabs>
          <w:tab w:val="left" w:pos="567"/>
        </w:tabs>
        <w:ind w:left="567" w:hanging="567"/>
      </w:pPr>
      <w:r w:rsidRPr="002B65F7">
        <w:t>Ralentir les atteintes de vos articulations.</w:t>
      </w:r>
    </w:p>
    <w:p w14:paraId="3CE8D910" w14:textId="77777777" w:rsidR="007B7330" w:rsidRPr="002B65F7" w:rsidRDefault="007B7330" w:rsidP="00496255">
      <w:pPr>
        <w:widowControl/>
      </w:pPr>
    </w:p>
    <w:p w14:paraId="03B58EC0" w14:textId="77777777" w:rsidR="00092F83" w:rsidRPr="002B65F7" w:rsidRDefault="00C31740" w:rsidP="00496255">
      <w:pPr>
        <w:keepNext/>
        <w:widowControl/>
        <w:rPr>
          <w:b/>
          <w:bCs/>
        </w:rPr>
      </w:pPr>
      <w:r w:rsidRPr="002B65F7">
        <w:rPr>
          <w:b/>
          <w:bCs/>
        </w:rPr>
        <w:t>Maladie de Crohn</w:t>
      </w:r>
    </w:p>
    <w:p w14:paraId="03B58EC1" w14:textId="38BC6748" w:rsidR="00092F83" w:rsidRPr="002B65F7" w:rsidRDefault="00C31740" w:rsidP="00496255">
      <w:pPr>
        <w:widowControl/>
      </w:pPr>
      <w:r w:rsidRPr="002B65F7">
        <w:t xml:space="preserve">La maladie de Crohn est une maladie inflammatoire des intestins. Si vous êtes atteint de la maladie de Crohn, vous recevrez d’abord d’autres médicaments. Si vous ne répondez pas suffisamment bien à ces médicaments ou que vous y êtes intolérants, </w:t>
      </w:r>
      <w:r w:rsidR="003A1909" w:rsidRPr="002B65F7">
        <w:t>WEZENLA</w:t>
      </w:r>
      <w:r w:rsidRPr="002B65F7">
        <w:t xml:space="preserve"> pourra vous être administré afin de réduire les signes et les symptômes de votre maladie.</w:t>
      </w:r>
    </w:p>
    <w:p w14:paraId="3E4EE27D" w14:textId="77777777" w:rsidR="007B7330" w:rsidRPr="002B65F7" w:rsidRDefault="007B7330" w:rsidP="00496255">
      <w:pPr>
        <w:widowControl/>
      </w:pPr>
    </w:p>
    <w:p w14:paraId="03B58EC4" w14:textId="77777777" w:rsidR="00092F83" w:rsidRPr="002B65F7" w:rsidRDefault="00092F83" w:rsidP="00496255">
      <w:pPr>
        <w:widowControl/>
      </w:pPr>
    </w:p>
    <w:p w14:paraId="03B58EC5" w14:textId="6C8BA8C7" w:rsidR="00092F83" w:rsidRPr="002B65F7" w:rsidRDefault="007B7330" w:rsidP="00496255">
      <w:pPr>
        <w:keepNext/>
        <w:widowControl/>
        <w:tabs>
          <w:tab w:val="left" w:pos="567"/>
        </w:tabs>
        <w:ind w:left="567" w:hanging="567"/>
        <w:rPr>
          <w:b/>
          <w:bCs/>
        </w:rPr>
      </w:pPr>
      <w:r w:rsidRPr="002B65F7">
        <w:rPr>
          <w:b/>
          <w:bCs/>
        </w:rPr>
        <w:t>2.</w:t>
      </w:r>
      <w:r w:rsidRPr="002B65F7">
        <w:rPr>
          <w:b/>
          <w:bCs/>
        </w:rPr>
        <w:tab/>
      </w:r>
      <w:r w:rsidR="00C31740" w:rsidRPr="002B65F7">
        <w:rPr>
          <w:b/>
          <w:bCs/>
        </w:rPr>
        <w:t xml:space="preserve">Quelles sont les informations à connaître avant d’utiliser </w:t>
      </w:r>
      <w:r w:rsidR="003A1909" w:rsidRPr="002B65F7">
        <w:rPr>
          <w:b/>
          <w:bCs/>
        </w:rPr>
        <w:t>WEZENLA</w:t>
      </w:r>
      <w:r w:rsidR="00C31740" w:rsidRPr="002B65F7">
        <w:rPr>
          <w:b/>
          <w:bCs/>
        </w:rPr>
        <w:t xml:space="preserve"> ?</w:t>
      </w:r>
    </w:p>
    <w:p w14:paraId="03B58EC6" w14:textId="77777777" w:rsidR="00092F83" w:rsidRPr="002B65F7" w:rsidRDefault="00092F83" w:rsidP="00496255">
      <w:pPr>
        <w:keepNext/>
        <w:widowControl/>
      </w:pPr>
    </w:p>
    <w:p w14:paraId="03B58EC7" w14:textId="7F3046FC" w:rsidR="00092F83" w:rsidRPr="002B65F7" w:rsidRDefault="00C31740" w:rsidP="00496255">
      <w:pPr>
        <w:keepNext/>
        <w:widowControl/>
        <w:rPr>
          <w:b/>
          <w:bCs/>
        </w:rPr>
      </w:pPr>
      <w:r w:rsidRPr="002B65F7">
        <w:rPr>
          <w:b/>
          <w:bCs/>
        </w:rPr>
        <w:t xml:space="preserve">N’utilisez jamais </w:t>
      </w:r>
      <w:r w:rsidR="003A1909" w:rsidRPr="002B65F7">
        <w:rPr>
          <w:b/>
          <w:bCs/>
        </w:rPr>
        <w:t>WEZENLA</w:t>
      </w:r>
    </w:p>
    <w:p w14:paraId="03B58EC8" w14:textId="0888EFE7" w:rsidR="00092F83" w:rsidRPr="002B65F7" w:rsidRDefault="00C31740" w:rsidP="007A7B22">
      <w:pPr>
        <w:pStyle w:val="ListParagraph"/>
        <w:keepNext/>
        <w:widowControl/>
        <w:numPr>
          <w:ilvl w:val="1"/>
          <w:numId w:val="29"/>
        </w:numPr>
        <w:tabs>
          <w:tab w:val="left" w:pos="567"/>
        </w:tabs>
        <w:ind w:left="567" w:hanging="567"/>
      </w:pPr>
      <w:r w:rsidRPr="002B65F7">
        <w:rPr>
          <w:b/>
          <w:bCs/>
        </w:rPr>
        <w:t>Si vous êtes allergique à l’</w:t>
      </w:r>
      <w:r w:rsidR="0071390F" w:rsidRPr="002B65F7">
        <w:rPr>
          <w:b/>
          <w:bCs/>
        </w:rPr>
        <w:t>ustekinumab</w:t>
      </w:r>
      <w:r w:rsidRPr="002B65F7">
        <w:t xml:space="preserve"> ou à l’un des autres composants contenus dans ce médicament (mentionnés dans la rubrique</w:t>
      </w:r>
      <w:r w:rsidR="001B0C3A" w:rsidRPr="002B65F7">
        <w:t> </w:t>
      </w:r>
      <w:r w:rsidRPr="002B65F7">
        <w:t>6).</w:t>
      </w:r>
    </w:p>
    <w:p w14:paraId="03B58EC9" w14:textId="75E51A71" w:rsidR="00092F83" w:rsidRPr="002B65F7" w:rsidRDefault="00C31740" w:rsidP="007A7B22">
      <w:pPr>
        <w:pStyle w:val="ListParagraph"/>
        <w:widowControl/>
        <w:numPr>
          <w:ilvl w:val="1"/>
          <w:numId w:val="29"/>
        </w:numPr>
        <w:tabs>
          <w:tab w:val="left" w:pos="567"/>
        </w:tabs>
        <w:ind w:left="567" w:hanging="567"/>
      </w:pPr>
      <w:r w:rsidRPr="002B65F7">
        <w:rPr>
          <w:b/>
          <w:bCs/>
        </w:rPr>
        <w:t>Si vous avez une infection évolutive</w:t>
      </w:r>
      <w:r w:rsidRPr="002B65F7">
        <w:t xml:space="preserve"> que votre médecin considère importante.</w:t>
      </w:r>
    </w:p>
    <w:p w14:paraId="20E023F9" w14:textId="77777777" w:rsidR="00EB28FC" w:rsidRPr="002B65F7" w:rsidRDefault="00EB28FC" w:rsidP="00496255">
      <w:pPr>
        <w:widowControl/>
      </w:pPr>
    </w:p>
    <w:p w14:paraId="03B58ECA" w14:textId="5A54557B" w:rsidR="00092F83" w:rsidRPr="002B65F7" w:rsidRDefault="00C31740" w:rsidP="00496255">
      <w:pPr>
        <w:widowControl/>
      </w:pPr>
      <w:r w:rsidRPr="002B65F7">
        <w:t xml:space="preserve">Si vous n’êtes pas sûr que l’une des situations ci-dessus s’applique à vous, parlez-en avec votre médecin ou pharmacien avant d’utiliser </w:t>
      </w:r>
      <w:r w:rsidR="003A1909" w:rsidRPr="002B65F7">
        <w:t>WEZENLA</w:t>
      </w:r>
      <w:r w:rsidRPr="002B65F7">
        <w:t>.</w:t>
      </w:r>
    </w:p>
    <w:p w14:paraId="520FF86E" w14:textId="77777777" w:rsidR="00EB28FC" w:rsidRPr="002B65F7" w:rsidRDefault="00EB28FC" w:rsidP="00496255">
      <w:pPr>
        <w:widowControl/>
      </w:pPr>
    </w:p>
    <w:p w14:paraId="03B58ECB" w14:textId="51D0CB31" w:rsidR="00092F83" w:rsidRPr="002B65F7" w:rsidRDefault="00C31740" w:rsidP="00496255">
      <w:pPr>
        <w:keepNext/>
        <w:widowControl/>
        <w:rPr>
          <w:b/>
          <w:bCs/>
        </w:rPr>
      </w:pPr>
      <w:r w:rsidRPr="002B65F7">
        <w:rPr>
          <w:b/>
          <w:bCs/>
        </w:rPr>
        <w:t>Avertissements et précautions</w:t>
      </w:r>
    </w:p>
    <w:p w14:paraId="03B58ECC" w14:textId="22645173" w:rsidR="00092F83" w:rsidRPr="002B65F7" w:rsidRDefault="00C31740" w:rsidP="00496255">
      <w:pPr>
        <w:widowControl/>
      </w:pPr>
      <w:r w:rsidRPr="002B65F7">
        <w:t xml:space="preserve">Adressez-vous à votre médecin ou pharmacien avant d’utiliser </w:t>
      </w:r>
      <w:r w:rsidR="003A1909" w:rsidRPr="002B65F7">
        <w:t>WEZENLA</w:t>
      </w:r>
      <w:r w:rsidRPr="002B65F7">
        <w:t xml:space="preserve">. Votre médecin va vérifier votre état de santé avant chaque traitement. Assurez-vous d’informer votre médecin de toutes les maladies dont vous souffrez avant chaque traitement. Informez également votre médecin si vous avez été récemment à proximité de quelqu’un qui pourrait avoir la tuberculose. Votre médecin vous examinera et fera un test pour la tuberculose avant que vous preniez </w:t>
      </w:r>
      <w:r w:rsidR="003A1909" w:rsidRPr="002B65F7">
        <w:t>WEZENLA</w:t>
      </w:r>
      <w:r w:rsidRPr="002B65F7">
        <w:t>. Si votre médecin pense que vous êtes à risque pour la tuberculose, vous pourrez recevoir des médicaments pour la traiter.</w:t>
      </w:r>
    </w:p>
    <w:p w14:paraId="03B58ECD" w14:textId="77777777" w:rsidR="00092F83" w:rsidRPr="002B65F7" w:rsidRDefault="00092F83" w:rsidP="00496255">
      <w:pPr>
        <w:widowControl/>
      </w:pPr>
    </w:p>
    <w:p w14:paraId="03B58ECE" w14:textId="77777777" w:rsidR="00092F83" w:rsidRPr="002B65F7" w:rsidRDefault="00C31740" w:rsidP="00496255">
      <w:pPr>
        <w:keepNext/>
        <w:widowControl/>
        <w:rPr>
          <w:b/>
          <w:bCs/>
        </w:rPr>
      </w:pPr>
      <w:r w:rsidRPr="002B65F7">
        <w:rPr>
          <w:b/>
          <w:bCs/>
        </w:rPr>
        <w:t>Faites attention aux effets indésirables graves :</w:t>
      </w:r>
    </w:p>
    <w:p w14:paraId="03B58ECF" w14:textId="7E4F565C" w:rsidR="00092F83" w:rsidRPr="002B65F7" w:rsidRDefault="003A1909" w:rsidP="00496255">
      <w:pPr>
        <w:widowControl/>
      </w:pPr>
      <w:r w:rsidRPr="002B65F7">
        <w:t>WEZENLA</w:t>
      </w:r>
      <w:r w:rsidR="00C31740" w:rsidRPr="002B65F7">
        <w:t xml:space="preserve"> peut provoquer des effets indésirables graves, incluant des réactions allergiques et des infections. Vous devez faire attention à certains signes de maladie pendant que vous prenez </w:t>
      </w:r>
      <w:r w:rsidRPr="002B65F7">
        <w:t>WEZENLA</w:t>
      </w:r>
      <w:r w:rsidR="00C31740" w:rsidRPr="002B65F7">
        <w:t>. Consultez le paragraphe « Effets indésirables graves » dans la rubrique</w:t>
      </w:r>
      <w:r w:rsidR="00F23847" w:rsidRPr="002B65F7">
        <w:t> </w:t>
      </w:r>
      <w:r w:rsidR="00C31740" w:rsidRPr="002B65F7">
        <w:t>4 pour une liste complète de ces effets indésirables.</w:t>
      </w:r>
    </w:p>
    <w:p w14:paraId="5F7B8AAB" w14:textId="77777777" w:rsidR="004070D6" w:rsidRPr="002B65F7" w:rsidRDefault="004070D6" w:rsidP="00496255">
      <w:pPr>
        <w:widowControl/>
      </w:pPr>
    </w:p>
    <w:p w14:paraId="03B58ED0" w14:textId="55986138" w:rsidR="00092F83" w:rsidRPr="002B65F7" w:rsidRDefault="00C31740" w:rsidP="00496255">
      <w:pPr>
        <w:keepNext/>
        <w:widowControl/>
        <w:rPr>
          <w:b/>
          <w:bCs/>
        </w:rPr>
      </w:pPr>
      <w:r w:rsidRPr="002B65F7">
        <w:rPr>
          <w:b/>
          <w:bCs/>
        </w:rPr>
        <w:t xml:space="preserve">Avant d’utiliser </w:t>
      </w:r>
      <w:r w:rsidR="003A1909" w:rsidRPr="002B65F7">
        <w:rPr>
          <w:b/>
          <w:bCs/>
        </w:rPr>
        <w:t>WEZENLA</w:t>
      </w:r>
      <w:r w:rsidRPr="002B65F7">
        <w:rPr>
          <w:b/>
          <w:bCs/>
        </w:rPr>
        <w:t>, informez votre médecin :</w:t>
      </w:r>
    </w:p>
    <w:p w14:paraId="03B58ED1" w14:textId="2AE4BB65" w:rsidR="00092F83" w:rsidRPr="002B65F7" w:rsidRDefault="00C31740" w:rsidP="007A7B22">
      <w:pPr>
        <w:pStyle w:val="ListParagraph"/>
        <w:widowControl/>
        <w:numPr>
          <w:ilvl w:val="1"/>
          <w:numId w:val="30"/>
        </w:numPr>
        <w:tabs>
          <w:tab w:val="left" w:pos="567"/>
        </w:tabs>
        <w:ind w:left="567" w:hanging="567"/>
      </w:pPr>
      <w:r w:rsidRPr="002B65F7">
        <w:rPr>
          <w:b/>
          <w:bCs/>
        </w:rPr>
        <w:t xml:space="preserve">Si vous avez déjà eu une réaction allergique à </w:t>
      </w:r>
      <w:r w:rsidR="003A1909" w:rsidRPr="002B65F7">
        <w:rPr>
          <w:b/>
          <w:bCs/>
        </w:rPr>
        <w:t>WEZENLA</w:t>
      </w:r>
      <w:r w:rsidRPr="002B65F7">
        <w:rPr>
          <w:b/>
          <w:bCs/>
        </w:rPr>
        <w:t>.</w:t>
      </w:r>
      <w:r w:rsidRPr="002B65F7">
        <w:t xml:space="preserve"> Si vous n’êtes pas sûr, demandez à votre médecin.</w:t>
      </w:r>
    </w:p>
    <w:p w14:paraId="03B58ED2" w14:textId="2C4572FC" w:rsidR="00092F83" w:rsidRPr="002B65F7" w:rsidRDefault="00C31740" w:rsidP="007A7B22">
      <w:pPr>
        <w:pStyle w:val="ListParagraph"/>
        <w:widowControl/>
        <w:numPr>
          <w:ilvl w:val="1"/>
          <w:numId w:val="30"/>
        </w:numPr>
        <w:tabs>
          <w:tab w:val="left" w:pos="567"/>
        </w:tabs>
        <w:ind w:left="567" w:hanging="567"/>
      </w:pPr>
      <w:r w:rsidRPr="002B65F7">
        <w:rPr>
          <w:b/>
          <w:bCs/>
        </w:rPr>
        <w:t>Si vous avez déjà eu un cancer quel qu’en soit le type</w:t>
      </w:r>
      <w:r w:rsidRPr="002B65F7">
        <w:t xml:space="preserve"> – car les immunosuppresseurs comme </w:t>
      </w:r>
      <w:r w:rsidR="003A1909" w:rsidRPr="002B65F7">
        <w:t>WEZENLA</w:t>
      </w:r>
      <w:r w:rsidRPr="002B65F7">
        <w:t xml:space="preserve"> affaiblissent partiellement le système immunitaire. Ceci peut augmenter le risque de cancer.</w:t>
      </w:r>
    </w:p>
    <w:p w14:paraId="03B58ED3" w14:textId="5FB450A7" w:rsidR="00092F83" w:rsidRPr="002B65F7" w:rsidRDefault="00C31740" w:rsidP="007A7B22">
      <w:pPr>
        <w:pStyle w:val="ListParagraph"/>
        <w:widowControl/>
        <w:numPr>
          <w:ilvl w:val="1"/>
          <w:numId w:val="30"/>
        </w:numPr>
        <w:tabs>
          <w:tab w:val="left" w:pos="567"/>
        </w:tabs>
        <w:ind w:left="567" w:hanging="567"/>
      </w:pPr>
      <w:r w:rsidRPr="002B65F7">
        <w:rPr>
          <w:b/>
          <w:bCs/>
        </w:rPr>
        <w:t>Si vous avez été traité pour un psoriasis avec d’autres médicaments biologiques (un médicament produit à partir d’une source biologique et habituellement administré par injection)</w:t>
      </w:r>
      <w:r w:rsidRPr="002B65F7">
        <w:t xml:space="preserve"> – le risque de cancer peut être plus élevé.</w:t>
      </w:r>
    </w:p>
    <w:p w14:paraId="03B58ED4" w14:textId="66409E04" w:rsidR="00092F83" w:rsidRPr="002B65F7" w:rsidRDefault="00C31740" w:rsidP="007A7B22">
      <w:pPr>
        <w:pStyle w:val="ListParagraph"/>
        <w:widowControl/>
        <w:numPr>
          <w:ilvl w:val="1"/>
          <w:numId w:val="30"/>
        </w:numPr>
        <w:tabs>
          <w:tab w:val="left" w:pos="567"/>
        </w:tabs>
        <w:ind w:left="567" w:hanging="567"/>
        <w:rPr>
          <w:b/>
          <w:bCs/>
        </w:rPr>
      </w:pPr>
      <w:r w:rsidRPr="002B65F7">
        <w:rPr>
          <w:b/>
          <w:bCs/>
        </w:rPr>
        <w:t>Si vous avez ou avez récemment eu une infection.</w:t>
      </w:r>
    </w:p>
    <w:p w14:paraId="03B58ED6" w14:textId="4ED44D12" w:rsidR="00092F83" w:rsidRPr="002B65F7" w:rsidRDefault="00C31740" w:rsidP="007A7B22">
      <w:pPr>
        <w:pStyle w:val="ListParagraph"/>
        <w:widowControl/>
        <w:numPr>
          <w:ilvl w:val="1"/>
          <w:numId w:val="30"/>
        </w:numPr>
        <w:tabs>
          <w:tab w:val="left" w:pos="567"/>
        </w:tabs>
        <w:ind w:left="567" w:hanging="567"/>
      </w:pPr>
      <w:r w:rsidRPr="002B65F7">
        <w:rPr>
          <w:b/>
          <w:bCs/>
        </w:rPr>
        <w:lastRenderedPageBreak/>
        <w:t>Si vous avez de nouvelles lésions ou des lésions qui évoluent</w:t>
      </w:r>
      <w:r w:rsidRPr="002B65F7">
        <w:t xml:space="preserve"> sur les zones de psoriasis ou sur la peau saine.</w:t>
      </w:r>
    </w:p>
    <w:p w14:paraId="03B58ED7" w14:textId="13FEE3D7" w:rsidR="00092F83" w:rsidRPr="002B65F7" w:rsidRDefault="00C31740" w:rsidP="007A7B22">
      <w:pPr>
        <w:pStyle w:val="ListParagraph"/>
        <w:widowControl/>
        <w:numPr>
          <w:ilvl w:val="1"/>
          <w:numId w:val="30"/>
        </w:numPr>
        <w:tabs>
          <w:tab w:val="left" w:pos="567"/>
        </w:tabs>
        <w:ind w:left="567" w:hanging="567"/>
      </w:pPr>
      <w:r w:rsidRPr="002B65F7">
        <w:rPr>
          <w:b/>
          <w:bCs/>
        </w:rPr>
        <w:t>Si vous prenez d’autres traitements pour le psoriasis et/ou le rhumatisme psoriasique</w:t>
      </w:r>
      <w:r w:rsidRPr="002B65F7">
        <w:t xml:space="preserve"> – tel qu’un autre immunosuppresseur ou une photothérapie (quand votre corps est traité avec un type de lumière ultra-violet (UV)). Ces traitements peuvent également affaiblir partiellement le système immunitaire. L’utilisation simultanée de ces traitements avec </w:t>
      </w:r>
      <w:r w:rsidR="003A1909" w:rsidRPr="002B65F7">
        <w:t>WEZENLA</w:t>
      </w:r>
      <w:r w:rsidRPr="002B65F7">
        <w:t xml:space="preserve"> n’a pas été étudiée. Cependant, il est possible que cela augmente le risque de maladies liées à un système immunitaire plus faible.</w:t>
      </w:r>
    </w:p>
    <w:p w14:paraId="03B58ED8" w14:textId="64A5ED6F" w:rsidR="00092F83" w:rsidRPr="002B65F7" w:rsidRDefault="00C31740" w:rsidP="007A7B22">
      <w:pPr>
        <w:pStyle w:val="ListParagraph"/>
        <w:widowControl/>
        <w:numPr>
          <w:ilvl w:val="1"/>
          <w:numId w:val="30"/>
        </w:numPr>
        <w:tabs>
          <w:tab w:val="left" w:pos="567"/>
        </w:tabs>
        <w:ind w:left="567" w:hanging="567"/>
      </w:pPr>
      <w:r w:rsidRPr="002B65F7">
        <w:rPr>
          <w:b/>
          <w:bCs/>
        </w:rPr>
        <w:t>Si vous recevez ou avez déjà reçu des injections pour traiter les allergies</w:t>
      </w:r>
      <w:r w:rsidRPr="002B65F7">
        <w:t xml:space="preserve"> – on ne sait pas si </w:t>
      </w:r>
      <w:r w:rsidR="003A1909" w:rsidRPr="002B65F7">
        <w:t>WEZENLA</w:t>
      </w:r>
      <w:r w:rsidRPr="002B65F7">
        <w:t xml:space="preserve"> peut les affecter.</w:t>
      </w:r>
    </w:p>
    <w:p w14:paraId="03B58ED9" w14:textId="1208D1D9" w:rsidR="00092F83" w:rsidRPr="002B65F7" w:rsidRDefault="00C31740" w:rsidP="007A7B22">
      <w:pPr>
        <w:pStyle w:val="ListParagraph"/>
        <w:widowControl/>
        <w:numPr>
          <w:ilvl w:val="1"/>
          <w:numId w:val="30"/>
        </w:numPr>
        <w:tabs>
          <w:tab w:val="left" w:pos="567"/>
        </w:tabs>
        <w:ind w:left="567" w:hanging="567"/>
      </w:pPr>
      <w:r w:rsidRPr="002B65F7">
        <w:rPr>
          <w:b/>
          <w:bCs/>
        </w:rPr>
        <w:t>Si vous avez 65</w:t>
      </w:r>
      <w:r w:rsidR="00F23847" w:rsidRPr="002B65F7">
        <w:rPr>
          <w:b/>
          <w:bCs/>
        </w:rPr>
        <w:t> </w:t>
      </w:r>
      <w:r w:rsidRPr="002B65F7">
        <w:rPr>
          <w:b/>
          <w:bCs/>
        </w:rPr>
        <w:t>ans ou plus</w:t>
      </w:r>
      <w:r w:rsidRPr="002B65F7">
        <w:t xml:space="preserve"> – vous pouvez être plus sujet aux infections.</w:t>
      </w:r>
    </w:p>
    <w:p w14:paraId="3EE2CAF1" w14:textId="77777777" w:rsidR="000B1D53" w:rsidRPr="002B65F7" w:rsidRDefault="000B1D53" w:rsidP="00496255">
      <w:pPr>
        <w:widowControl/>
      </w:pPr>
    </w:p>
    <w:p w14:paraId="03B58EDA" w14:textId="32AA0D4E" w:rsidR="00092F83" w:rsidRPr="002B65F7" w:rsidRDefault="00C31740" w:rsidP="00496255">
      <w:pPr>
        <w:widowControl/>
      </w:pPr>
      <w:r w:rsidRPr="002B65F7">
        <w:t xml:space="preserve">Si vous n’êtes pas sûr que l’une des situations ci-dessus s’applique à vous, parlez-en avec votre médecin ou pharmacien avant d’utiliser </w:t>
      </w:r>
      <w:r w:rsidR="003A1909" w:rsidRPr="002B65F7">
        <w:t>WEZENLA</w:t>
      </w:r>
      <w:r w:rsidRPr="002B65F7">
        <w:t>.</w:t>
      </w:r>
    </w:p>
    <w:p w14:paraId="7CEB5C9C" w14:textId="77777777" w:rsidR="000B1D53" w:rsidRPr="002B65F7" w:rsidRDefault="000B1D53" w:rsidP="00496255">
      <w:pPr>
        <w:widowControl/>
      </w:pPr>
    </w:p>
    <w:p w14:paraId="03B58EDB" w14:textId="533A2B4B" w:rsidR="00092F83" w:rsidRPr="002B65F7" w:rsidRDefault="00C31740" w:rsidP="00496255">
      <w:pPr>
        <w:widowControl/>
      </w:pPr>
      <w:r w:rsidRPr="002B65F7">
        <w:t xml:space="preserve">Certains patients ont présenté des réactions de type lupus, notamment un lupus cutané ou un syndrome de type lupus, au cours du traitement par </w:t>
      </w:r>
      <w:r w:rsidR="0071390F" w:rsidRPr="002B65F7">
        <w:t>ustekinumab</w:t>
      </w:r>
      <w:r w:rsidRPr="002B65F7">
        <w:t>. Consultez immédiatement un médecin si vous développez une éruption cutanée rouge, en relief, squameuse, comportant parfois une bordure plus foncée, sur les zones de peau exposées au soleil ou associée à des douleurs articulaires.</w:t>
      </w:r>
    </w:p>
    <w:p w14:paraId="03B58EDC" w14:textId="77777777" w:rsidR="00092F83" w:rsidRPr="002B65F7" w:rsidRDefault="00092F83" w:rsidP="00496255">
      <w:pPr>
        <w:widowControl/>
      </w:pPr>
    </w:p>
    <w:p w14:paraId="03B58EDD" w14:textId="77777777" w:rsidR="00092F83" w:rsidRPr="002B65F7" w:rsidRDefault="00C31740" w:rsidP="00496255">
      <w:pPr>
        <w:keepNext/>
        <w:widowControl/>
        <w:rPr>
          <w:b/>
          <w:bCs/>
        </w:rPr>
      </w:pPr>
      <w:r w:rsidRPr="002B65F7">
        <w:rPr>
          <w:b/>
          <w:bCs/>
        </w:rPr>
        <w:t>Crise cardiaque et accident vasculaire cérébral (AVC)</w:t>
      </w:r>
    </w:p>
    <w:p w14:paraId="03B58EDE" w14:textId="6E6B157B" w:rsidR="00092F83" w:rsidRPr="002B65F7" w:rsidRDefault="00C31740" w:rsidP="00496255">
      <w:pPr>
        <w:widowControl/>
      </w:pPr>
      <w:r w:rsidRPr="002B65F7">
        <w:t xml:space="preserve">Des crises cardiaques et des AVC ont été observés dans une étude chez des patients atteints de psoriasis traités par </w:t>
      </w:r>
      <w:r w:rsidR="0071390F" w:rsidRPr="002B65F7">
        <w:t>ustekinumab</w:t>
      </w:r>
      <w:r w:rsidRPr="002B65F7">
        <w:t>. Votre médecin vérifiera régulièrement vos facteurs de risque de maladie cardiaque et d’AVC afin de s’assurer qu’ils sont traités de manière adéquate. Consultez immédiatement un médecin si vous développez des douleurs thoraciques, une faiblesse ou des sensations anormales d’un côté de votre corps, un affaissement du visage ou des anomalies de la parole ou de la vue.</w:t>
      </w:r>
    </w:p>
    <w:p w14:paraId="03B58EDF" w14:textId="77777777" w:rsidR="00092F83" w:rsidRPr="002B65F7" w:rsidRDefault="00092F83" w:rsidP="00496255">
      <w:pPr>
        <w:widowControl/>
      </w:pPr>
    </w:p>
    <w:p w14:paraId="03B58EE0" w14:textId="77777777" w:rsidR="00092F83" w:rsidRPr="002B65F7" w:rsidRDefault="00C31740" w:rsidP="00496255">
      <w:pPr>
        <w:keepNext/>
        <w:widowControl/>
        <w:rPr>
          <w:b/>
          <w:bCs/>
        </w:rPr>
      </w:pPr>
      <w:r w:rsidRPr="002B65F7">
        <w:rPr>
          <w:b/>
          <w:bCs/>
        </w:rPr>
        <w:t>Enfants et adolescents</w:t>
      </w:r>
    </w:p>
    <w:p w14:paraId="03B58EE1" w14:textId="0449EE76" w:rsidR="00092F83" w:rsidRPr="002B65F7" w:rsidRDefault="003A1909" w:rsidP="00496255">
      <w:pPr>
        <w:widowControl/>
      </w:pPr>
      <w:r w:rsidRPr="002B65F7">
        <w:t>WEZENLA</w:t>
      </w:r>
      <w:r w:rsidR="00C31740" w:rsidRPr="002B65F7">
        <w:t xml:space="preserve"> n’est pas recommandé chez les enfants âgés de moins de 6</w:t>
      </w:r>
      <w:r w:rsidR="00F23847" w:rsidRPr="002B65F7">
        <w:t> </w:t>
      </w:r>
      <w:r w:rsidR="00C31740" w:rsidRPr="002B65F7">
        <w:t>ans atteints de psoriasis,</w:t>
      </w:r>
      <w:r w:rsidR="005A213C" w:rsidRPr="005A213C">
        <w:rPr>
          <w:noProof/>
          <w:lang w:eastAsia="nl-BE"/>
        </w:rPr>
        <w:t xml:space="preserve"> </w:t>
      </w:r>
      <w:r w:rsidR="005A213C">
        <w:rPr>
          <w:noProof/>
          <w:lang w:eastAsia="nl-BE"/>
        </w:rPr>
        <w:t>chez les enfants atteints de la maladie de Crohn pesant moins de 40 kg</w:t>
      </w:r>
      <w:r w:rsidR="00C31740" w:rsidRPr="002B65F7">
        <w:t xml:space="preserve"> ou chez les enfants âgés de moins de 18</w:t>
      </w:r>
      <w:r w:rsidR="00F23847" w:rsidRPr="002B65F7">
        <w:t> </w:t>
      </w:r>
      <w:r w:rsidR="00C31740" w:rsidRPr="002B65F7">
        <w:t>ans atteints de rhumatisme psoriasique</w:t>
      </w:r>
      <w:r w:rsidRPr="002B65F7">
        <w:t xml:space="preserve"> </w:t>
      </w:r>
      <w:r w:rsidR="00C31740" w:rsidRPr="002B65F7">
        <w:t>car il n’a pas été étudié dans cette tranche d’âge.</w:t>
      </w:r>
    </w:p>
    <w:p w14:paraId="4E4F8D95" w14:textId="77777777" w:rsidR="009B113B" w:rsidRPr="002B65F7" w:rsidRDefault="009B113B" w:rsidP="00496255">
      <w:pPr>
        <w:widowControl/>
      </w:pPr>
    </w:p>
    <w:p w14:paraId="03B58EE2" w14:textId="12B6F152" w:rsidR="00092F83" w:rsidRPr="002B65F7" w:rsidRDefault="00C31740" w:rsidP="00496255">
      <w:pPr>
        <w:keepNext/>
        <w:widowControl/>
        <w:rPr>
          <w:b/>
          <w:bCs/>
        </w:rPr>
      </w:pPr>
      <w:r w:rsidRPr="002B65F7">
        <w:rPr>
          <w:b/>
          <w:bCs/>
        </w:rPr>
        <w:t xml:space="preserve">Autres médicaments, vaccins et </w:t>
      </w:r>
      <w:r w:rsidR="003A1909" w:rsidRPr="002B65F7">
        <w:rPr>
          <w:b/>
          <w:bCs/>
        </w:rPr>
        <w:t>WEZENLA</w:t>
      </w:r>
    </w:p>
    <w:p w14:paraId="03B58EE3" w14:textId="77777777" w:rsidR="00092F83" w:rsidRPr="002B65F7" w:rsidRDefault="00C31740" w:rsidP="00496255">
      <w:pPr>
        <w:keepNext/>
        <w:widowControl/>
      </w:pPr>
      <w:r w:rsidRPr="002B65F7">
        <w:t>Informez votre médecin ou pharmacien :</w:t>
      </w:r>
    </w:p>
    <w:p w14:paraId="03B58EE4" w14:textId="1AFE2519" w:rsidR="00092F83" w:rsidRPr="002B65F7" w:rsidRDefault="00C31740" w:rsidP="007A7B22">
      <w:pPr>
        <w:pStyle w:val="ListParagraph"/>
        <w:keepNext/>
        <w:widowControl/>
        <w:numPr>
          <w:ilvl w:val="1"/>
          <w:numId w:val="31"/>
        </w:numPr>
        <w:ind w:left="567" w:hanging="567"/>
      </w:pPr>
      <w:r w:rsidRPr="002B65F7">
        <w:t>Si vous prenez, avez pris récemment ou pourriez prendre tout autre médicament.</w:t>
      </w:r>
    </w:p>
    <w:p w14:paraId="03B58EE5" w14:textId="3B90AA1F" w:rsidR="00092F83" w:rsidRPr="002B65F7" w:rsidRDefault="00C31740" w:rsidP="007A7B22">
      <w:pPr>
        <w:pStyle w:val="ListParagraph"/>
        <w:widowControl/>
        <w:numPr>
          <w:ilvl w:val="1"/>
          <w:numId w:val="31"/>
        </w:numPr>
        <w:ind w:left="567" w:hanging="567"/>
      </w:pPr>
      <w:r w:rsidRPr="002B65F7">
        <w:t xml:space="preserve">Si vous vous êtes récemment fait ou allez vous faire vacciner. Certains types de vaccins (vaccins vivants) ne doivent pas être administrés pendant l’utilisation de </w:t>
      </w:r>
      <w:r w:rsidR="003A1909" w:rsidRPr="002B65F7">
        <w:t>WEZENLA</w:t>
      </w:r>
      <w:r w:rsidRPr="002B65F7">
        <w:t>.</w:t>
      </w:r>
    </w:p>
    <w:p w14:paraId="03B58EE6" w14:textId="06A8EC3F" w:rsidR="00092F83" w:rsidRPr="002B65F7" w:rsidRDefault="00C31740" w:rsidP="007A7B22">
      <w:pPr>
        <w:pStyle w:val="ListParagraph"/>
        <w:widowControl/>
        <w:numPr>
          <w:ilvl w:val="1"/>
          <w:numId w:val="31"/>
        </w:numPr>
        <w:ind w:left="567" w:hanging="567"/>
      </w:pPr>
      <w:r w:rsidRPr="002B65F7">
        <w:t xml:space="preserve">Si vous avez reçu </w:t>
      </w:r>
      <w:r w:rsidR="003A1909" w:rsidRPr="002B65F7">
        <w:t>WEZENLA</w:t>
      </w:r>
      <w:r w:rsidRPr="002B65F7">
        <w:t xml:space="preserve"> pendant votre grossesse, informez le médecin s’occupant de votre bébé de votre traitement par </w:t>
      </w:r>
      <w:r w:rsidR="003A1909" w:rsidRPr="002B65F7">
        <w:t>WEZENLA</w:t>
      </w:r>
      <w:r w:rsidRPr="002B65F7">
        <w:t xml:space="preserve"> avant que votre bébé ne reçoive un vaccin quel qu’il soit, notamment les vaccins vivants, tels que le vaccin BCG (utilisé pour prévenir la tuberculose). Les vaccins vivants ne sont pas recommandés pour votre bébé au cours </w:t>
      </w:r>
      <w:r w:rsidR="00136853" w:rsidRPr="000B1D53">
        <w:t xml:space="preserve">des </w:t>
      </w:r>
      <w:r w:rsidR="00136853">
        <w:t>douze</w:t>
      </w:r>
      <w:r w:rsidR="00136853" w:rsidRPr="000B1D53">
        <w:t xml:space="preserve"> premiers </w:t>
      </w:r>
      <w:r w:rsidRPr="002B65F7">
        <w:t xml:space="preserve">mois après la naissance si vous avez reçu </w:t>
      </w:r>
      <w:r w:rsidR="003A1909" w:rsidRPr="002B65F7">
        <w:t>WEZENLA</w:t>
      </w:r>
      <w:r w:rsidRPr="002B65F7">
        <w:t xml:space="preserve"> pendant la grossesse, à moins que le médecin de votre bébé ne recommande le contraire.</w:t>
      </w:r>
    </w:p>
    <w:p w14:paraId="31CE2A18" w14:textId="77777777" w:rsidR="009B113B" w:rsidRPr="002B65F7" w:rsidRDefault="009B113B" w:rsidP="00496255">
      <w:pPr>
        <w:widowControl/>
      </w:pPr>
    </w:p>
    <w:p w14:paraId="03B58EE7" w14:textId="2F00190F" w:rsidR="00092F83" w:rsidRPr="002B65F7" w:rsidRDefault="00C31740" w:rsidP="00496255">
      <w:pPr>
        <w:keepNext/>
        <w:widowControl/>
        <w:rPr>
          <w:b/>
          <w:bCs/>
        </w:rPr>
      </w:pPr>
      <w:r w:rsidRPr="002B65F7">
        <w:rPr>
          <w:b/>
          <w:bCs/>
        </w:rPr>
        <w:t>Grossesse et allaitement</w:t>
      </w:r>
    </w:p>
    <w:p w14:paraId="471509DC" w14:textId="77777777" w:rsidR="00136853" w:rsidRDefault="00136853" w:rsidP="00136853">
      <w:pPr>
        <w:pStyle w:val="ListParagraph"/>
        <w:widowControl/>
        <w:numPr>
          <w:ilvl w:val="1"/>
          <w:numId w:val="31"/>
        </w:numPr>
        <w:ind w:left="567" w:hanging="567"/>
      </w:pPr>
      <w:r w:rsidRPr="00F132E3">
        <w:t>Si vous êtes enceinte, si vous pensez être enceinte ou planifiez une grossesse, demandez conseil à votre médecin avant de prendre ce médicament.</w:t>
      </w:r>
    </w:p>
    <w:p w14:paraId="0D2804EE" w14:textId="77777777" w:rsidR="00136853" w:rsidRDefault="00136853" w:rsidP="00136853">
      <w:pPr>
        <w:pStyle w:val="ListParagraph"/>
        <w:widowControl/>
        <w:numPr>
          <w:ilvl w:val="1"/>
          <w:numId w:val="31"/>
        </w:numPr>
        <w:ind w:left="567" w:hanging="567"/>
      </w:pPr>
      <w:r>
        <w:t xml:space="preserve">Il n’a pas été observé de risque accru de malformations congénitales chez les bébés exposés à WEZENLA in utero. Cependant, l’expérience clinique avec WEZENLA chez les femmes enceintes est limitée. </w:t>
      </w:r>
      <w:r w:rsidRPr="000B1D53">
        <w:t xml:space="preserve">Il est </w:t>
      </w:r>
      <w:r>
        <w:t xml:space="preserve">ainsi </w:t>
      </w:r>
      <w:r w:rsidRPr="000B1D53">
        <w:t xml:space="preserve">préférable d’éviter l’utilisation de </w:t>
      </w:r>
      <w:r w:rsidRPr="003A1909">
        <w:t>WEZENLA</w:t>
      </w:r>
      <w:r w:rsidRPr="000B1D53">
        <w:t xml:space="preserve"> en cas de grossesse. </w:t>
      </w:r>
    </w:p>
    <w:p w14:paraId="5351E74A" w14:textId="77777777" w:rsidR="00136853" w:rsidRPr="000B1D53" w:rsidRDefault="00136853" w:rsidP="00136853">
      <w:pPr>
        <w:pStyle w:val="ListParagraph"/>
        <w:widowControl/>
        <w:numPr>
          <w:ilvl w:val="1"/>
          <w:numId w:val="31"/>
        </w:numPr>
        <w:ind w:left="567" w:hanging="567"/>
      </w:pPr>
      <w:r w:rsidRPr="000B1D53">
        <w:t xml:space="preserve">Si vous êtes une femme en âge de procréer, vous devez éviter de tomber enceinte et vous devez prendre une contraception adaptée pendant toute l’utilisation de </w:t>
      </w:r>
      <w:r w:rsidRPr="003A1909">
        <w:t>WEZENLA</w:t>
      </w:r>
      <w:r w:rsidRPr="000B1D53">
        <w:t xml:space="preserve"> et jusqu’à 15</w:t>
      </w:r>
      <w:r>
        <w:t> </w:t>
      </w:r>
      <w:r w:rsidRPr="000B1D53">
        <w:t xml:space="preserve">semaines au moins après le dernier traitement par </w:t>
      </w:r>
      <w:r w:rsidRPr="003A1909">
        <w:t>WEZENLA</w:t>
      </w:r>
      <w:r w:rsidRPr="000B1D53">
        <w:t>.</w:t>
      </w:r>
    </w:p>
    <w:p w14:paraId="0822F101" w14:textId="77777777" w:rsidR="00136853" w:rsidRPr="000B1D53" w:rsidRDefault="00136853" w:rsidP="00136853">
      <w:pPr>
        <w:pStyle w:val="ListParagraph"/>
        <w:widowControl/>
        <w:numPr>
          <w:ilvl w:val="1"/>
          <w:numId w:val="31"/>
        </w:numPr>
        <w:ind w:left="567" w:hanging="567"/>
      </w:pPr>
      <w:r w:rsidRPr="003A1909">
        <w:lastRenderedPageBreak/>
        <w:t>WEZENLA</w:t>
      </w:r>
      <w:r w:rsidRPr="000B1D53">
        <w:t xml:space="preserve"> peut traverser la barrière placentaire et passer chez le bébé à naître. Si vous avez reçu </w:t>
      </w:r>
      <w:r w:rsidRPr="003A1909">
        <w:t>WEZENLA</w:t>
      </w:r>
      <w:r w:rsidRPr="000B1D53">
        <w:t xml:space="preserve"> au cours de votre grossesse, votre bébé peut présenter un risque plus élevé de contracter une infection.</w:t>
      </w:r>
    </w:p>
    <w:p w14:paraId="03B58EEC" w14:textId="3F847527" w:rsidR="00092F83" w:rsidRPr="002B65F7" w:rsidRDefault="00136853" w:rsidP="00136853">
      <w:pPr>
        <w:pStyle w:val="ListParagraph"/>
        <w:widowControl/>
        <w:numPr>
          <w:ilvl w:val="1"/>
          <w:numId w:val="31"/>
        </w:numPr>
        <w:ind w:left="567" w:hanging="567"/>
      </w:pPr>
      <w:r w:rsidRPr="000B1D53">
        <w:t xml:space="preserve">Si vous avez reçu </w:t>
      </w:r>
      <w:r w:rsidRPr="003A1909">
        <w:t>WEZENLA</w:t>
      </w:r>
      <w:r w:rsidRPr="000B1D53">
        <w:t xml:space="preserve"> pendant votre grossesse, il est important que vous informiez les médecins et les autres professionnels de santé s’occupant de votre bébé avant qu’il ne re</w:t>
      </w:r>
      <w:r>
        <w:t>ç</w:t>
      </w:r>
      <w:r w:rsidRPr="000B1D53">
        <w:t xml:space="preserve">oive un vaccin quel qu’il soit. Les vaccins vivants, tels que le vaccin BCG (utilisé pour prévenir la tuberculose), ne sont pas recommandés pour votre bébé au cours des </w:t>
      </w:r>
      <w:r>
        <w:t>douze</w:t>
      </w:r>
      <w:r w:rsidRPr="000B1D53">
        <w:t xml:space="preserve"> premiers mois après la naissance si vous avez reçu </w:t>
      </w:r>
      <w:r w:rsidRPr="003A1909">
        <w:t>WEZENLA</w:t>
      </w:r>
      <w:r w:rsidRPr="000B1D53">
        <w:t xml:space="preserve"> pendant la grossesse, à moins que le médecin de votre bébé ne recommande le contraire.</w:t>
      </w:r>
    </w:p>
    <w:p w14:paraId="03B58EED" w14:textId="4B34F281" w:rsidR="00092F83" w:rsidRPr="002B65F7" w:rsidRDefault="00C31740" w:rsidP="007A7B22">
      <w:pPr>
        <w:pStyle w:val="ListParagraph"/>
        <w:widowControl/>
        <w:numPr>
          <w:ilvl w:val="1"/>
          <w:numId w:val="31"/>
        </w:numPr>
        <w:ind w:left="567" w:hanging="567"/>
      </w:pPr>
      <w:r w:rsidRPr="002B65F7">
        <w:t>L’</w:t>
      </w:r>
      <w:r w:rsidR="0071390F" w:rsidRPr="002B65F7">
        <w:t>ustekinumab</w:t>
      </w:r>
      <w:r w:rsidRPr="002B65F7">
        <w:t xml:space="preserve"> peut passer en très faible quantité dans le lait maternel. Si vous allaitez ou pensez allaiter, demandez conseil à votre médecin. Vous devez décider avec lui si vous devez plutôt allaiter ou utiliser </w:t>
      </w:r>
      <w:r w:rsidR="003A1909" w:rsidRPr="002B65F7">
        <w:t>WEZENLA</w:t>
      </w:r>
      <w:r w:rsidRPr="002B65F7">
        <w:t>. Ne faites pas les deux.</w:t>
      </w:r>
    </w:p>
    <w:p w14:paraId="1C1AEF44" w14:textId="77777777" w:rsidR="009B113B" w:rsidRPr="002B65F7" w:rsidRDefault="009B113B" w:rsidP="00496255">
      <w:pPr>
        <w:widowControl/>
      </w:pPr>
    </w:p>
    <w:p w14:paraId="03B58EEE" w14:textId="6A7B6D3F" w:rsidR="00092F83" w:rsidRPr="002B65F7" w:rsidRDefault="00C31740" w:rsidP="00496255">
      <w:pPr>
        <w:keepNext/>
        <w:widowControl/>
        <w:rPr>
          <w:b/>
          <w:bCs/>
        </w:rPr>
      </w:pPr>
      <w:r w:rsidRPr="002B65F7">
        <w:rPr>
          <w:b/>
          <w:bCs/>
        </w:rPr>
        <w:t>Conduite de véhicules et utilisation de machines</w:t>
      </w:r>
    </w:p>
    <w:p w14:paraId="03B58EEF" w14:textId="4710B78C" w:rsidR="00092F83" w:rsidRPr="002B65F7" w:rsidRDefault="003A1909" w:rsidP="00496255">
      <w:pPr>
        <w:widowControl/>
      </w:pPr>
      <w:r w:rsidRPr="002B65F7">
        <w:t>WEZENLA</w:t>
      </w:r>
      <w:r w:rsidR="00C31740" w:rsidRPr="002B65F7">
        <w:t xml:space="preserve"> n’a aucun effet ou qu’un effet négligeable sur l’aptitude à conduire des véhicules et à utiliser des machines.</w:t>
      </w:r>
    </w:p>
    <w:p w14:paraId="03B58EF0" w14:textId="77777777" w:rsidR="00092F83" w:rsidRDefault="00092F83" w:rsidP="00496255">
      <w:pPr>
        <w:widowControl/>
      </w:pPr>
    </w:p>
    <w:p w14:paraId="375BE0A7" w14:textId="5520835D" w:rsidR="00214D55" w:rsidRPr="00B007D2" w:rsidRDefault="00214D55" w:rsidP="00496255">
      <w:pPr>
        <w:widowControl/>
        <w:rPr>
          <w:b/>
          <w:bCs/>
        </w:rPr>
      </w:pPr>
      <w:r w:rsidRPr="00B007D2">
        <w:rPr>
          <w:b/>
          <w:bCs/>
        </w:rPr>
        <w:t>WEZENLA contient du polysor</w:t>
      </w:r>
      <w:r w:rsidR="00DC7A1B">
        <w:rPr>
          <w:b/>
          <w:bCs/>
        </w:rPr>
        <w:t>b</w:t>
      </w:r>
      <w:r w:rsidRPr="00B007D2">
        <w:rPr>
          <w:b/>
          <w:bCs/>
        </w:rPr>
        <w:t>ate</w:t>
      </w:r>
      <w:r w:rsidRPr="002B65F7">
        <w:t> </w:t>
      </w:r>
      <w:r w:rsidRPr="00B007D2">
        <w:rPr>
          <w:b/>
          <w:bCs/>
        </w:rPr>
        <w:t>80</w:t>
      </w:r>
    </w:p>
    <w:p w14:paraId="278AD72F" w14:textId="669FD38D" w:rsidR="00214D55" w:rsidRDefault="00E02523" w:rsidP="00496255">
      <w:pPr>
        <w:widowControl/>
      </w:pPr>
      <w:r>
        <w:t>WEZENLA</w:t>
      </w:r>
      <w:r w:rsidRPr="00E02523">
        <w:t xml:space="preserve"> contient 0,02</w:t>
      </w:r>
      <w:r w:rsidRPr="002B65F7">
        <w:t> </w:t>
      </w:r>
      <w:r w:rsidRPr="00E02523">
        <w:t>mg de polysorbate</w:t>
      </w:r>
      <w:r w:rsidRPr="002B65F7">
        <w:t> </w:t>
      </w:r>
      <w:r w:rsidRPr="00E02523">
        <w:t>80 (E</w:t>
      </w:r>
      <w:r w:rsidRPr="002B65F7">
        <w:t> </w:t>
      </w:r>
      <w:r w:rsidRPr="00E02523">
        <w:t>433) par dose équivalent à 0,04</w:t>
      </w:r>
      <w:r w:rsidRPr="002B65F7">
        <w:t> </w:t>
      </w:r>
      <w:r w:rsidRPr="00E02523">
        <w:t xml:space="preserve">mg/mL. </w:t>
      </w:r>
      <w:r w:rsidR="00214D55" w:rsidRPr="00214D55">
        <w:t>Les polysorbates peuvent provoquer des réactions allergiques. Informez votre médecin si vous avez déjà présenté une allergie.</w:t>
      </w:r>
    </w:p>
    <w:p w14:paraId="490BB13A" w14:textId="77777777" w:rsidR="00214D55" w:rsidRPr="002B65F7" w:rsidRDefault="00214D55" w:rsidP="00496255">
      <w:pPr>
        <w:widowControl/>
      </w:pPr>
    </w:p>
    <w:p w14:paraId="03B58EF1" w14:textId="77777777" w:rsidR="00092F83" w:rsidRPr="002B65F7" w:rsidRDefault="00092F83" w:rsidP="00496255">
      <w:pPr>
        <w:widowControl/>
      </w:pPr>
    </w:p>
    <w:p w14:paraId="03B58EF2" w14:textId="2A12C175" w:rsidR="00092F83" w:rsidRPr="002B65F7" w:rsidRDefault="009B113B" w:rsidP="00496255">
      <w:pPr>
        <w:keepNext/>
        <w:widowControl/>
        <w:tabs>
          <w:tab w:val="left" w:pos="567"/>
        </w:tabs>
        <w:ind w:left="567" w:hanging="567"/>
        <w:rPr>
          <w:b/>
          <w:bCs/>
        </w:rPr>
      </w:pPr>
      <w:r w:rsidRPr="002B65F7">
        <w:rPr>
          <w:b/>
          <w:bCs/>
        </w:rPr>
        <w:t>3.</w:t>
      </w:r>
      <w:r w:rsidRPr="002B65F7">
        <w:rPr>
          <w:b/>
          <w:bCs/>
        </w:rPr>
        <w:tab/>
      </w:r>
      <w:r w:rsidR="00C31740" w:rsidRPr="002B65F7">
        <w:rPr>
          <w:b/>
          <w:bCs/>
        </w:rPr>
        <w:t xml:space="preserve">Comment utiliser </w:t>
      </w:r>
      <w:r w:rsidR="003A1909" w:rsidRPr="002B65F7">
        <w:rPr>
          <w:b/>
          <w:bCs/>
        </w:rPr>
        <w:t>WEZENLA</w:t>
      </w:r>
      <w:r w:rsidR="00C31740" w:rsidRPr="002B65F7">
        <w:rPr>
          <w:b/>
          <w:bCs/>
        </w:rPr>
        <w:t xml:space="preserve"> ?</w:t>
      </w:r>
    </w:p>
    <w:p w14:paraId="03B58EF3" w14:textId="77777777" w:rsidR="00092F83" w:rsidRPr="002B65F7" w:rsidRDefault="00092F83" w:rsidP="00496255">
      <w:pPr>
        <w:keepNext/>
        <w:widowControl/>
      </w:pPr>
    </w:p>
    <w:p w14:paraId="03B58EF4" w14:textId="159225A1" w:rsidR="00092F83" w:rsidRPr="002B65F7" w:rsidRDefault="003A1909" w:rsidP="00496255">
      <w:pPr>
        <w:widowControl/>
      </w:pPr>
      <w:r w:rsidRPr="002B65F7">
        <w:t>WEZENLA</w:t>
      </w:r>
      <w:r w:rsidR="00C31740" w:rsidRPr="002B65F7">
        <w:t xml:space="preserve"> doit être utilisé sous la responsabilité et la surveillance d’un médecin expérimenté dans le diagnostic et le traitement des maladies pour lesquelles </w:t>
      </w:r>
      <w:r w:rsidRPr="002B65F7">
        <w:t>WEZENLA</w:t>
      </w:r>
      <w:r w:rsidR="00C31740" w:rsidRPr="002B65F7">
        <w:t xml:space="preserve"> est destiné.</w:t>
      </w:r>
    </w:p>
    <w:p w14:paraId="03B58EF5" w14:textId="77777777" w:rsidR="00092F83" w:rsidRPr="002B65F7" w:rsidRDefault="00092F83" w:rsidP="00496255">
      <w:pPr>
        <w:widowControl/>
      </w:pPr>
    </w:p>
    <w:p w14:paraId="03B58EF6" w14:textId="77777777" w:rsidR="00092F83" w:rsidRPr="002B65F7" w:rsidRDefault="00C31740" w:rsidP="00496255">
      <w:pPr>
        <w:widowControl/>
      </w:pPr>
      <w:r w:rsidRPr="002B65F7">
        <w:t>Veillez à toujours utiliser ce médicament en suivant exactement les indications de votre médecin. Vérifiez auprès de votre médecin en cas de doute. Parlez avec votre médecin afin de savoir quand vous recevrez vos injections et quand vous aurez vos rendez-vous de suivi.</w:t>
      </w:r>
    </w:p>
    <w:p w14:paraId="19F28D14" w14:textId="77777777" w:rsidR="00795BAA" w:rsidRPr="002B65F7" w:rsidRDefault="00795BAA" w:rsidP="00496255">
      <w:pPr>
        <w:widowControl/>
      </w:pPr>
    </w:p>
    <w:p w14:paraId="03B58EF7" w14:textId="624D39DD" w:rsidR="00092F83" w:rsidRPr="002B65F7" w:rsidRDefault="00C31740" w:rsidP="00496255">
      <w:pPr>
        <w:keepNext/>
        <w:widowControl/>
        <w:rPr>
          <w:b/>
          <w:bCs/>
        </w:rPr>
      </w:pPr>
      <w:r w:rsidRPr="002B65F7">
        <w:rPr>
          <w:b/>
          <w:bCs/>
        </w:rPr>
        <w:t xml:space="preserve">Quelle quantité de </w:t>
      </w:r>
      <w:r w:rsidR="003A1909" w:rsidRPr="002B65F7">
        <w:rPr>
          <w:b/>
          <w:bCs/>
        </w:rPr>
        <w:t>WEZENLA</w:t>
      </w:r>
      <w:r w:rsidRPr="002B65F7">
        <w:rPr>
          <w:b/>
          <w:bCs/>
        </w:rPr>
        <w:t xml:space="preserve"> est administrée ?</w:t>
      </w:r>
    </w:p>
    <w:p w14:paraId="03B58EF8" w14:textId="0A8CE549" w:rsidR="00092F83" w:rsidRPr="002B65F7" w:rsidRDefault="00C31740" w:rsidP="00496255">
      <w:pPr>
        <w:widowControl/>
      </w:pPr>
      <w:r w:rsidRPr="002B65F7">
        <w:t xml:space="preserve">Votre médecin déterminera la quantité de </w:t>
      </w:r>
      <w:r w:rsidR="003A1909" w:rsidRPr="002B65F7">
        <w:t>WEZENLA</w:t>
      </w:r>
      <w:r w:rsidRPr="002B65F7">
        <w:t xml:space="preserve"> dont vous avez besoin et la durée du traitement.</w:t>
      </w:r>
    </w:p>
    <w:p w14:paraId="03B58EF9" w14:textId="77777777" w:rsidR="00092F83" w:rsidRPr="002B65F7" w:rsidRDefault="00092F83" w:rsidP="00496255">
      <w:pPr>
        <w:widowControl/>
      </w:pPr>
    </w:p>
    <w:p w14:paraId="24A2BB0B" w14:textId="1A02723F" w:rsidR="00795BAA" w:rsidRPr="002B65F7" w:rsidRDefault="00C31740" w:rsidP="00496255">
      <w:pPr>
        <w:keepNext/>
        <w:widowControl/>
        <w:rPr>
          <w:b/>
          <w:bCs/>
        </w:rPr>
      </w:pPr>
      <w:r w:rsidRPr="002B65F7">
        <w:rPr>
          <w:b/>
          <w:bCs/>
        </w:rPr>
        <w:t>Adultes âgés de 18</w:t>
      </w:r>
      <w:r w:rsidR="000474EF" w:rsidRPr="002B65F7">
        <w:rPr>
          <w:b/>
          <w:bCs/>
        </w:rPr>
        <w:t> </w:t>
      </w:r>
      <w:r w:rsidRPr="002B65F7">
        <w:rPr>
          <w:b/>
          <w:bCs/>
        </w:rPr>
        <w:t>ans et plus</w:t>
      </w:r>
    </w:p>
    <w:p w14:paraId="03B58EFA" w14:textId="22B2137F" w:rsidR="00092F83" w:rsidRPr="002B65F7" w:rsidRDefault="00C31740" w:rsidP="00496255">
      <w:pPr>
        <w:keepNext/>
        <w:widowControl/>
        <w:rPr>
          <w:b/>
          <w:bCs/>
        </w:rPr>
      </w:pPr>
      <w:r w:rsidRPr="002B65F7">
        <w:rPr>
          <w:b/>
          <w:bCs/>
        </w:rPr>
        <w:t>Psoriasis ou Rhumatisme psoriasique</w:t>
      </w:r>
    </w:p>
    <w:p w14:paraId="03B58EFB" w14:textId="1F415A13" w:rsidR="00092F83" w:rsidRPr="002B65F7" w:rsidRDefault="00C31740" w:rsidP="007A7B22">
      <w:pPr>
        <w:pStyle w:val="ListParagraph"/>
        <w:keepNext/>
        <w:widowControl/>
        <w:numPr>
          <w:ilvl w:val="1"/>
          <w:numId w:val="32"/>
        </w:numPr>
        <w:tabs>
          <w:tab w:val="left" w:pos="567"/>
        </w:tabs>
        <w:ind w:left="567" w:hanging="567"/>
      </w:pPr>
      <w:r w:rsidRPr="002B65F7">
        <w:t>La dose initiale recommandée est 45</w:t>
      </w:r>
      <w:r w:rsidR="001B0C3A" w:rsidRPr="002B65F7">
        <w:t> </w:t>
      </w:r>
      <w:r w:rsidRPr="002B65F7">
        <w:t xml:space="preserve">mg de </w:t>
      </w:r>
      <w:r w:rsidR="003A1909" w:rsidRPr="002B65F7">
        <w:t>WEZENLA</w:t>
      </w:r>
      <w:r w:rsidRPr="002B65F7">
        <w:t>. Pour les patients pesant plus de 100</w:t>
      </w:r>
      <w:r w:rsidR="001B0C3A" w:rsidRPr="002B65F7">
        <w:t> </w:t>
      </w:r>
      <w:r w:rsidRPr="002B65F7">
        <w:t>kilogrammes (kg), la dose initiale est de 90</w:t>
      </w:r>
      <w:r w:rsidR="001B0C3A" w:rsidRPr="002B65F7">
        <w:t> </w:t>
      </w:r>
      <w:r w:rsidRPr="002B65F7">
        <w:t>mg au lieu de 45</w:t>
      </w:r>
      <w:r w:rsidR="001B0C3A" w:rsidRPr="002B65F7">
        <w:t> </w:t>
      </w:r>
      <w:r w:rsidRPr="002B65F7">
        <w:t>mg.</w:t>
      </w:r>
    </w:p>
    <w:p w14:paraId="03B58EFC" w14:textId="62F5D627" w:rsidR="00092F83" w:rsidRPr="002B65F7" w:rsidRDefault="00C31740" w:rsidP="007A7B22">
      <w:pPr>
        <w:pStyle w:val="ListParagraph"/>
        <w:widowControl/>
        <w:numPr>
          <w:ilvl w:val="1"/>
          <w:numId w:val="32"/>
        </w:numPr>
        <w:tabs>
          <w:tab w:val="left" w:pos="567"/>
        </w:tabs>
        <w:ind w:left="567" w:hanging="567"/>
      </w:pPr>
      <w:r w:rsidRPr="002B65F7">
        <w:t>Après la dose initiale, vous recevrez la dose suivante 4</w:t>
      </w:r>
      <w:r w:rsidR="001B0C3A" w:rsidRPr="002B65F7">
        <w:t> </w:t>
      </w:r>
      <w:r w:rsidRPr="002B65F7">
        <w:t>semaines après, puis ensuite toutes les 12</w:t>
      </w:r>
      <w:r w:rsidR="001B0C3A" w:rsidRPr="002B65F7">
        <w:t> </w:t>
      </w:r>
      <w:r w:rsidRPr="002B65F7">
        <w:t>semaines. Les doses suivantes sont en général les mêmes que la dose initiale.</w:t>
      </w:r>
    </w:p>
    <w:p w14:paraId="02906538" w14:textId="77777777" w:rsidR="00795BAA" w:rsidRPr="002B65F7" w:rsidRDefault="00795BAA" w:rsidP="00496255">
      <w:pPr>
        <w:widowControl/>
      </w:pPr>
    </w:p>
    <w:p w14:paraId="03B58EFD" w14:textId="29295EAD" w:rsidR="00092F83" w:rsidRPr="002B65F7" w:rsidRDefault="00C31740" w:rsidP="00496255">
      <w:pPr>
        <w:widowControl/>
        <w:rPr>
          <w:b/>
          <w:bCs/>
        </w:rPr>
      </w:pPr>
      <w:r w:rsidRPr="002B65F7">
        <w:rPr>
          <w:b/>
          <w:bCs/>
        </w:rPr>
        <w:t>Maladie de Crohn</w:t>
      </w:r>
    </w:p>
    <w:p w14:paraId="03B58EFE" w14:textId="1083DAEE" w:rsidR="00092F83" w:rsidRPr="002B65F7" w:rsidRDefault="00C31740" w:rsidP="007A7B22">
      <w:pPr>
        <w:pStyle w:val="ListParagraph"/>
        <w:widowControl/>
        <w:numPr>
          <w:ilvl w:val="1"/>
          <w:numId w:val="32"/>
        </w:numPr>
        <w:tabs>
          <w:tab w:val="left" w:pos="567"/>
        </w:tabs>
        <w:ind w:left="567" w:hanging="567"/>
      </w:pPr>
      <w:r w:rsidRPr="002B65F7">
        <w:t>Pendant le traitement, la première dose d'environ 6</w:t>
      </w:r>
      <w:r w:rsidR="001B0C3A" w:rsidRPr="002B65F7">
        <w:t> </w:t>
      </w:r>
      <w:r w:rsidRPr="002B65F7">
        <w:t xml:space="preserve">mg/kg de </w:t>
      </w:r>
      <w:r w:rsidR="003A1909" w:rsidRPr="002B65F7">
        <w:t>WEZENLA</w:t>
      </w:r>
      <w:r w:rsidRPr="002B65F7">
        <w:t xml:space="preserve"> sera administrée par votre médecin à l’aide d’une perfusion dans une veine de votre bras (perfusion intraveineuse). Après la dose initiale, vous recevrez la dose suivante de 90</w:t>
      </w:r>
      <w:r w:rsidR="001B0C3A" w:rsidRPr="002B65F7">
        <w:t> </w:t>
      </w:r>
      <w:r w:rsidRPr="002B65F7">
        <w:t xml:space="preserve">mg de </w:t>
      </w:r>
      <w:r w:rsidR="003A1909" w:rsidRPr="002B65F7">
        <w:t>WEZENLA</w:t>
      </w:r>
      <w:r w:rsidRPr="002B65F7">
        <w:t xml:space="preserve"> par une injection sous la peau (« sous-cutanée ») après 8</w:t>
      </w:r>
      <w:r w:rsidR="001B0C3A" w:rsidRPr="002B65F7">
        <w:t> </w:t>
      </w:r>
      <w:r w:rsidRPr="002B65F7">
        <w:t>semaines, puis toutes les 12</w:t>
      </w:r>
      <w:r w:rsidR="001B0C3A" w:rsidRPr="002B65F7">
        <w:t> </w:t>
      </w:r>
      <w:r w:rsidRPr="002B65F7">
        <w:t>semaines par la suite.</w:t>
      </w:r>
    </w:p>
    <w:p w14:paraId="03B58EFF" w14:textId="1FDD724B" w:rsidR="00092F83" w:rsidRPr="002B65F7" w:rsidRDefault="00C31740" w:rsidP="007A7B22">
      <w:pPr>
        <w:pStyle w:val="ListParagraph"/>
        <w:widowControl/>
        <w:numPr>
          <w:ilvl w:val="1"/>
          <w:numId w:val="32"/>
        </w:numPr>
        <w:tabs>
          <w:tab w:val="left" w:pos="567"/>
        </w:tabs>
        <w:ind w:left="567" w:hanging="567"/>
      </w:pPr>
      <w:r w:rsidRPr="002B65F7">
        <w:t xml:space="preserve">Chez certains patients, après la première injection sous la peau, </w:t>
      </w:r>
      <w:r w:rsidR="003A1909" w:rsidRPr="002B65F7">
        <w:t>WEZENLA</w:t>
      </w:r>
      <w:r w:rsidRPr="002B65F7">
        <w:t xml:space="preserve"> 90</w:t>
      </w:r>
      <w:r w:rsidR="001B0C3A" w:rsidRPr="002B65F7">
        <w:t> </w:t>
      </w:r>
      <w:r w:rsidRPr="002B65F7">
        <w:t>mg peut être administré toutes les 8</w:t>
      </w:r>
      <w:r w:rsidR="001B0C3A" w:rsidRPr="002B65F7">
        <w:t> </w:t>
      </w:r>
      <w:r w:rsidRPr="002B65F7">
        <w:t>semaines. Votre médecin décidera quand vous devez recevoir votre prochaine dose.</w:t>
      </w:r>
    </w:p>
    <w:p w14:paraId="60349CED" w14:textId="77777777" w:rsidR="00795BAA" w:rsidRPr="002B65F7" w:rsidRDefault="00795BAA" w:rsidP="00496255">
      <w:pPr>
        <w:widowControl/>
      </w:pPr>
    </w:p>
    <w:p w14:paraId="480D1357" w14:textId="77777777" w:rsidR="00795BAA" w:rsidRPr="002B65F7" w:rsidRDefault="00C31740" w:rsidP="00496255">
      <w:pPr>
        <w:keepNext/>
        <w:widowControl/>
        <w:rPr>
          <w:b/>
          <w:bCs/>
        </w:rPr>
      </w:pPr>
      <w:r w:rsidRPr="002B65F7">
        <w:rPr>
          <w:b/>
          <w:bCs/>
        </w:rPr>
        <w:t>Enfants et adolescents âgés de 6 ans ou plus</w:t>
      </w:r>
    </w:p>
    <w:p w14:paraId="03B58F00" w14:textId="6F270C3B" w:rsidR="00092F83" w:rsidRPr="002B65F7" w:rsidRDefault="00C31740" w:rsidP="00496255">
      <w:pPr>
        <w:keepNext/>
        <w:widowControl/>
        <w:rPr>
          <w:b/>
          <w:bCs/>
        </w:rPr>
      </w:pPr>
      <w:r w:rsidRPr="002B65F7">
        <w:rPr>
          <w:b/>
          <w:bCs/>
        </w:rPr>
        <w:t>Psoriasis</w:t>
      </w:r>
    </w:p>
    <w:p w14:paraId="03B58F01" w14:textId="10BCBA4C" w:rsidR="00092F83" w:rsidRPr="002B65F7" w:rsidRDefault="00C31740" w:rsidP="007A7B22">
      <w:pPr>
        <w:pStyle w:val="ListParagraph"/>
        <w:widowControl/>
        <w:numPr>
          <w:ilvl w:val="1"/>
          <w:numId w:val="32"/>
        </w:numPr>
        <w:tabs>
          <w:tab w:val="left" w:pos="567"/>
        </w:tabs>
        <w:ind w:left="567" w:hanging="567"/>
      </w:pPr>
      <w:r w:rsidRPr="002B65F7">
        <w:t xml:space="preserve">Votre médecin établira la bonne dose pour vous, y compris la quantité (le volume) de </w:t>
      </w:r>
      <w:r w:rsidR="003A1909" w:rsidRPr="002B65F7">
        <w:t>WEZENLA</w:t>
      </w:r>
      <w:r w:rsidRPr="002B65F7">
        <w:t xml:space="preserve"> devant être injectée pour obtenir la bonne dose qui dépendra de votre poids au moment de chaque administration.</w:t>
      </w:r>
    </w:p>
    <w:p w14:paraId="03B58F02" w14:textId="44CECD45" w:rsidR="00092F83" w:rsidRPr="002B65F7" w:rsidRDefault="00C31740" w:rsidP="007A7B22">
      <w:pPr>
        <w:pStyle w:val="ListParagraph"/>
        <w:widowControl/>
        <w:numPr>
          <w:ilvl w:val="1"/>
          <w:numId w:val="32"/>
        </w:numPr>
        <w:tabs>
          <w:tab w:val="left" w:pos="567"/>
        </w:tabs>
        <w:ind w:left="567" w:hanging="567"/>
      </w:pPr>
      <w:r w:rsidRPr="002B65F7">
        <w:lastRenderedPageBreak/>
        <w:t>Si vous pesez moins de 60</w:t>
      </w:r>
      <w:r w:rsidR="001B0C3A" w:rsidRPr="002B65F7">
        <w:t> </w:t>
      </w:r>
      <w:r w:rsidRPr="002B65F7">
        <w:t>kg, la dose recommandée est de 0,75</w:t>
      </w:r>
      <w:r w:rsidR="001B0C3A" w:rsidRPr="002B65F7">
        <w:t> </w:t>
      </w:r>
      <w:r w:rsidRPr="002B65F7">
        <w:t xml:space="preserve">mg de </w:t>
      </w:r>
      <w:r w:rsidR="003A1909" w:rsidRPr="002B65F7">
        <w:t>WEZENLA</w:t>
      </w:r>
      <w:r w:rsidRPr="002B65F7">
        <w:t xml:space="preserve"> par kg de poids corporel.</w:t>
      </w:r>
    </w:p>
    <w:p w14:paraId="03B58F03" w14:textId="09490868" w:rsidR="00092F83" w:rsidRPr="002B65F7" w:rsidRDefault="00C31740" w:rsidP="007A7B22">
      <w:pPr>
        <w:pStyle w:val="ListParagraph"/>
        <w:widowControl/>
        <w:numPr>
          <w:ilvl w:val="1"/>
          <w:numId w:val="32"/>
        </w:numPr>
        <w:tabs>
          <w:tab w:val="left" w:pos="567"/>
        </w:tabs>
        <w:ind w:left="567" w:hanging="567"/>
      </w:pPr>
      <w:r w:rsidRPr="002B65F7">
        <w:t>Si vous pesez de 60</w:t>
      </w:r>
      <w:r w:rsidR="001B0C3A" w:rsidRPr="002B65F7">
        <w:t> </w:t>
      </w:r>
      <w:r w:rsidRPr="002B65F7">
        <w:t>kg à 100</w:t>
      </w:r>
      <w:r w:rsidR="001B0C3A" w:rsidRPr="002B65F7">
        <w:t> </w:t>
      </w:r>
      <w:r w:rsidRPr="002B65F7">
        <w:t>kg, la dose recommandée est de 45</w:t>
      </w:r>
      <w:r w:rsidR="001B0C3A" w:rsidRPr="002B65F7">
        <w:t> </w:t>
      </w:r>
      <w:r w:rsidRPr="002B65F7">
        <w:t xml:space="preserve">mg de </w:t>
      </w:r>
      <w:r w:rsidR="003A1909" w:rsidRPr="002B65F7">
        <w:t>WEZENLA</w:t>
      </w:r>
      <w:r w:rsidRPr="002B65F7">
        <w:t>.</w:t>
      </w:r>
    </w:p>
    <w:p w14:paraId="03B58F04" w14:textId="555E380B" w:rsidR="00092F83" w:rsidRPr="002B65F7" w:rsidRDefault="00C31740" w:rsidP="007A7B22">
      <w:pPr>
        <w:pStyle w:val="ListParagraph"/>
        <w:widowControl/>
        <w:numPr>
          <w:ilvl w:val="1"/>
          <w:numId w:val="32"/>
        </w:numPr>
        <w:tabs>
          <w:tab w:val="left" w:pos="567"/>
        </w:tabs>
        <w:ind w:left="567" w:hanging="567"/>
      </w:pPr>
      <w:r w:rsidRPr="002B65F7">
        <w:t>Si vous pesez plus de 100</w:t>
      </w:r>
      <w:r w:rsidR="001B0C3A" w:rsidRPr="002B65F7">
        <w:t> </w:t>
      </w:r>
      <w:r w:rsidRPr="002B65F7">
        <w:t>kg, la dose recommandée est de 90</w:t>
      </w:r>
      <w:r w:rsidR="001B0C3A" w:rsidRPr="002B65F7">
        <w:t> </w:t>
      </w:r>
      <w:r w:rsidRPr="002B65F7">
        <w:t xml:space="preserve">mg de </w:t>
      </w:r>
      <w:r w:rsidR="003A1909" w:rsidRPr="002B65F7">
        <w:t>WEZENLA</w:t>
      </w:r>
      <w:r w:rsidRPr="002B65F7">
        <w:t>.</w:t>
      </w:r>
    </w:p>
    <w:p w14:paraId="03B58F05" w14:textId="0FDACF90" w:rsidR="00092F83" w:rsidRPr="002B65F7" w:rsidRDefault="00C31740" w:rsidP="007A7B22">
      <w:pPr>
        <w:pStyle w:val="ListParagraph"/>
        <w:widowControl/>
        <w:numPr>
          <w:ilvl w:val="1"/>
          <w:numId w:val="32"/>
        </w:numPr>
        <w:tabs>
          <w:tab w:val="left" w:pos="567"/>
        </w:tabs>
        <w:ind w:left="567" w:hanging="567"/>
      </w:pPr>
      <w:r w:rsidRPr="002B65F7">
        <w:t>La dose suivante sera à administrer 4</w:t>
      </w:r>
      <w:r w:rsidR="001B0C3A" w:rsidRPr="002B65F7">
        <w:t> </w:t>
      </w:r>
      <w:r w:rsidRPr="002B65F7">
        <w:t>semaines après la dose initiale, puis toutes les 12</w:t>
      </w:r>
      <w:r w:rsidR="001B0C3A" w:rsidRPr="002B65F7">
        <w:t> </w:t>
      </w:r>
      <w:r w:rsidRPr="002B65F7">
        <w:t>semaines.</w:t>
      </w:r>
    </w:p>
    <w:p w14:paraId="69D48DDF" w14:textId="77777777" w:rsidR="005F6C24" w:rsidRDefault="005F6C24" w:rsidP="005F6C24">
      <w:pPr>
        <w:rPr>
          <w:noProof/>
          <w:lang w:eastAsia="nl-BE"/>
        </w:rPr>
      </w:pPr>
    </w:p>
    <w:p w14:paraId="1A53A677" w14:textId="77777777" w:rsidR="005F6C24" w:rsidRPr="003743BD" w:rsidRDefault="005F6C24" w:rsidP="005F6C24">
      <w:pPr>
        <w:keepNext/>
        <w:rPr>
          <w:rFonts w:eastAsia="SimSun"/>
          <w:b/>
          <w:bCs/>
          <w:noProof/>
          <w:lang w:val="fr-BE" w:eastAsia="nl-BE"/>
        </w:rPr>
      </w:pPr>
      <w:bookmarkStart w:id="50" w:name="_Hlk191651008"/>
      <w:r w:rsidRPr="003743BD">
        <w:rPr>
          <w:rFonts w:eastAsia="SimSun"/>
          <w:b/>
          <w:bCs/>
          <w:noProof/>
          <w:lang w:val="fr-BE" w:eastAsia="nl-BE"/>
        </w:rPr>
        <w:t>Enfants pesant au moins 40 kg</w:t>
      </w:r>
    </w:p>
    <w:p w14:paraId="1625DFC7" w14:textId="77777777" w:rsidR="005F6C24" w:rsidRPr="003743BD" w:rsidRDefault="005F6C24" w:rsidP="005F6C24">
      <w:pPr>
        <w:keepNext/>
        <w:rPr>
          <w:rFonts w:eastAsia="SimSun"/>
          <w:b/>
          <w:bCs/>
          <w:noProof/>
          <w:lang w:val="fr-BE" w:eastAsia="nl-BE"/>
        </w:rPr>
      </w:pPr>
      <w:r w:rsidRPr="003743BD">
        <w:rPr>
          <w:rFonts w:eastAsia="SimSun"/>
          <w:b/>
          <w:bCs/>
          <w:noProof/>
          <w:lang w:val="fr-BE" w:eastAsia="nl-BE"/>
        </w:rPr>
        <w:t>Maladie de Crohn</w:t>
      </w:r>
    </w:p>
    <w:p w14:paraId="46067FC7" w14:textId="7BA282F3" w:rsidR="005F6C24" w:rsidRPr="0057675F" w:rsidRDefault="005F6C24" w:rsidP="003743BD">
      <w:pPr>
        <w:widowControl/>
        <w:numPr>
          <w:ilvl w:val="0"/>
          <w:numId w:val="81"/>
        </w:numPr>
        <w:tabs>
          <w:tab w:val="left" w:pos="567"/>
        </w:tabs>
        <w:suppressAutoHyphens/>
        <w:autoSpaceDE/>
        <w:autoSpaceDN/>
        <w:ind w:left="567" w:hanging="567"/>
        <w:rPr>
          <w:noProof/>
          <w:lang w:val="fr-BE" w:eastAsia="nl-BE"/>
        </w:rPr>
      </w:pPr>
      <w:r w:rsidRPr="0057675F">
        <w:rPr>
          <w:noProof/>
          <w:lang w:val="fr-BE" w:eastAsia="nl-BE"/>
        </w:rPr>
        <w:t xml:space="preserve">Pendant le traitement, la première dose d'environ 6 mg/kg de </w:t>
      </w:r>
      <w:r w:rsidR="007B25CF">
        <w:rPr>
          <w:noProof/>
          <w:lang w:val="fr-BE" w:eastAsia="nl-BE"/>
        </w:rPr>
        <w:t>WEZENLA</w:t>
      </w:r>
      <w:r w:rsidRPr="0057675F">
        <w:rPr>
          <w:noProof/>
          <w:lang w:val="fr-BE" w:eastAsia="nl-BE"/>
        </w:rPr>
        <w:t xml:space="preserve"> sera administrée par votre médecin à l’aide d’une perfusion dans une veine de votre bras (perfusion intraveineuse). Après la dose initiale, vous recevrez la dose suivante de 90 mg de </w:t>
      </w:r>
      <w:r w:rsidR="007B25CF">
        <w:rPr>
          <w:noProof/>
          <w:lang w:val="fr-BE" w:eastAsia="nl-BE"/>
        </w:rPr>
        <w:t>WEZENLA</w:t>
      </w:r>
      <w:r w:rsidRPr="0057675F">
        <w:rPr>
          <w:noProof/>
          <w:lang w:val="fr-BE" w:eastAsia="nl-BE"/>
        </w:rPr>
        <w:t xml:space="preserve"> par une injection sous la peau (« sous-cutanée ») après 8 semaines, puis toutes les 12 semaines par la suite.</w:t>
      </w:r>
    </w:p>
    <w:p w14:paraId="0260CEC3" w14:textId="248699D8" w:rsidR="005F6C24" w:rsidRPr="0057675F" w:rsidRDefault="005F6C24" w:rsidP="003743BD">
      <w:pPr>
        <w:numPr>
          <w:ilvl w:val="0"/>
          <w:numId w:val="81"/>
        </w:numPr>
        <w:tabs>
          <w:tab w:val="left" w:pos="567"/>
        </w:tabs>
        <w:autoSpaceDE/>
        <w:autoSpaceDN/>
        <w:ind w:left="567" w:hanging="567"/>
        <w:rPr>
          <w:noProof/>
        </w:rPr>
      </w:pPr>
      <w:r w:rsidRPr="0057675F">
        <w:rPr>
          <w:noProof/>
          <w:lang w:val="fr-BE" w:eastAsia="nl-BE"/>
        </w:rPr>
        <w:t xml:space="preserve">Chez certains patients, après la première injection sous la peau, </w:t>
      </w:r>
      <w:r w:rsidR="00790052">
        <w:rPr>
          <w:noProof/>
          <w:lang w:val="fr-BE" w:eastAsia="nl-BE"/>
        </w:rPr>
        <w:t>WEZENLA</w:t>
      </w:r>
      <w:r w:rsidRPr="0057675F">
        <w:rPr>
          <w:noProof/>
          <w:lang w:val="fr-BE" w:eastAsia="nl-BE"/>
        </w:rPr>
        <w:t xml:space="preserve"> 90 mg peut être administré toutes les 8 semaines. Votre médecin décidera quand vous devez recevoir votre prochaine dose</w:t>
      </w:r>
      <w:r w:rsidRPr="0057675F">
        <w:rPr>
          <w:noProof/>
        </w:rPr>
        <w:t>.</w:t>
      </w:r>
    </w:p>
    <w:bookmarkEnd w:id="50"/>
    <w:p w14:paraId="2BF27D08" w14:textId="77777777" w:rsidR="00F6342A" w:rsidRPr="002B65F7" w:rsidRDefault="00F6342A" w:rsidP="00496255">
      <w:pPr>
        <w:widowControl/>
      </w:pPr>
    </w:p>
    <w:p w14:paraId="03B58F07" w14:textId="75A57283" w:rsidR="00092F83" w:rsidRPr="002B65F7" w:rsidRDefault="00C31740" w:rsidP="00496255">
      <w:pPr>
        <w:keepNext/>
        <w:widowControl/>
        <w:rPr>
          <w:b/>
          <w:bCs/>
        </w:rPr>
      </w:pPr>
      <w:r w:rsidRPr="002B65F7">
        <w:rPr>
          <w:b/>
          <w:bCs/>
        </w:rPr>
        <w:t xml:space="preserve">Comment </w:t>
      </w:r>
      <w:r w:rsidR="003A1909" w:rsidRPr="002B65F7">
        <w:rPr>
          <w:b/>
          <w:bCs/>
        </w:rPr>
        <w:t>WEZENLA</w:t>
      </w:r>
      <w:r w:rsidRPr="002B65F7">
        <w:rPr>
          <w:b/>
          <w:bCs/>
        </w:rPr>
        <w:t xml:space="preserve"> est administré</w:t>
      </w:r>
    </w:p>
    <w:p w14:paraId="03B58F08" w14:textId="37D76368" w:rsidR="00092F83" w:rsidRPr="002B65F7" w:rsidRDefault="003A1909" w:rsidP="007A7B22">
      <w:pPr>
        <w:pStyle w:val="ListParagraph"/>
        <w:keepNext/>
        <w:widowControl/>
        <w:numPr>
          <w:ilvl w:val="1"/>
          <w:numId w:val="33"/>
        </w:numPr>
        <w:tabs>
          <w:tab w:val="left" w:pos="567"/>
        </w:tabs>
        <w:ind w:left="567" w:hanging="567"/>
      </w:pPr>
      <w:r w:rsidRPr="002B65F7">
        <w:t>WEZENLA</w:t>
      </w:r>
      <w:r w:rsidR="00C31740" w:rsidRPr="002B65F7">
        <w:t xml:space="preserve"> est administré par injection sous la peau (« sous-cutanée »). Au début de votre traitement, le personnel médical ou infirmier pourra réaliser l’injection de </w:t>
      </w:r>
      <w:r w:rsidRPr="002B65F7">
        <w:t>WEZENLA</w:t>
      </w:r>
      <w:r w:rsidR="00C31740" w:rsidRPr="002B65F7">
        <w:t>.</w:t>
      </w:r>
    </w:p>
    <w:p w14:paraId="03B58F09" w14:textId="15AB0410" w:rsidR="00092F83" w:rsidRPr="002B65F7" w:rsidRDefault="00C31740" w:rsidP="007A7B22">
      <w:pPr>
        <w:pStyle w:val="ListParagraph"/>
        <w:keepNext/>
        <w:widowControl/>
        <w:numPr>
          <w:ilvl w:val="1"/>
          <w:numId w:val="33"/>
        </w:numPr>
        <w:tabs>
          <w:tab w:val="left" w:pos="567"/>
        </w:tabs>
        <w:ind w:left="567" w:hanging="567"/>
      </w:pPr>
      <w:r w:rsidRPr="002B65F7">
        <w:t xml:space="preserve">Cependant, vous et votre médecin pouvez décider que vous réaliserez vous-même vos injections de </w:t>
      </w:r>
      <w:r w:rsidR="003A1909" w:rsidRPr="002B65F7">
        <w:t>WEZENLA</w:t>
      </w:r>
      <w:r w:rsidRPr="002B65F7">
        <w:t xml:space="preserve">. Dans ce cas vous recevrez une formation qui vous apprendra comment vous injecter </w:t>
      </w:r>
      <w:r w:rsidR="003A1909" w:rsidRPr="002B65F7">
        <w:t>WEZENLA</w:t>
      </w:r>
      <w:r w:rsidRPr="002B65F7">
        <w:t xml:space="preserve"> vous-même.</w:t>
      </w:r>
    </w:p>
    <w:p w14:paraId="03B58F0A" w14:textId="3058E8D5" w:rsidR="00092F83" w:rsidRPr="002B65F7" w:rsidRDefault="00C31740" w:rsidP="007A7B22">
      <w:pPr>
        <w:pStyle w:val="ListParagraph"/>
        <w:widowControl/>
        <w:numPr>
          <w:ilvl w:val="1"/>
          <w:numId w:val="33"/>
        </w:numPr>
        <w:tabs>
          <w:tab w:val="left" w:pos="567"/>
        </w:tabs>
        <w:ind w:left="567" w:hanging="567"/>
      </w:pPr>
      <w:r w:rsidRPr="002B65F7">
        <w:t xml:space="preserve">Pour les instructions sur comment injecter </w:t>
      </w:r>
      <w:r w:rsidR="003A1909" w:rsidRPr="002B65F7">
        <w:t>WEZENLA</w:t>
      </w:r>
      <w:r w:rsidRPr="002B65F7">
        <w:t>, consultez la rubrique « Instructions pour l’</w:t>
      </w:r>
      <w:r w:rsidR="009A0F91" w:rsidRPr="002B65F7">
        <w:t xml:space="preserve">utilisation </w:t>
      </w:r>
      <w:r w:rsidRPr="002B65F7">
        <w:t>» à la fin de cette notice.</w:t>
      </w:r>
    </w:p>
    <w:p w14:paraId="03B58F0B" w14:textId="4C713FC5" w:rsidR="00092F83" w:rsidRPr="002B65F7" w:rsidRDefault="00C31740" w:rsidP="00496255">
      <w:pPr>
        <w:widowControl/>
      </w:pPr>
      <w:r w:rsidRPr="002B65F7">
        <w:t xml:space="preserve">Parlez à votre médecin de toute question sur l’auto-injection de </w:t>
      </w:r>
      <w:r w:rsidR="003A1909" w:rsidRPr="002B65F7">
        <w:t>WEZENLA</w:t>
      </w:r>
      <w:r w:rsidRPr="002B65F7">
        <w:t>.</w:t>
      </w:r>
    </w:p>
    <w:p w14:paraId="185D4099" w14:textId="77777777" w:rsidR="003D351B" w:rsidRPr="002B65F7" w:rsidRDefault="003D351B" w:rsidP="00496255">
      <w:pPr>
        <w:widowControl/>
      </w:pPr>
    </w:p>
    <w:p w14:paraId="03B58F0C" w14:textId="67D42140" w:rsidR="00092F83" w:rsidRPr="002B65F7" w:rsidRDefault="00C31740" w:rsidP="00496255">
      <w:pPr>
        <w:keepNext/>
        <w:widowControl/>
        <w:rPr>
          <w:b/>
          <w:bCs/>
        </w:rPr>
      </w:pPr>
      <w:r w:rsidRPr="002B65F7">
        <w:rPr>
          <w:b/>
          <w:bCs/>
        </w:rPr>
        <w:t xml:space="preserve">Si vous avez utilisé plus de </w:t>
      </w:r>
      <w:r w:rsidR="003A1909" w:rsidRPr="002B65F7">
        <w:rPr>
          <w:b/>
          <w:bCs/>
        </w:rPr>
        <w:t>WEZENLA</w:t>
      </w:r>
      <w:r w:rsidRPr="002B65F7">
        <w:rPr>
          <w:b/>
          <w:bCs/>
        </w:rPr>
        <w:t xml:space="preserve"> que vous n’auriez dû</w:t>
      </w:r>
    </w:p>
    <w:p w14:paraId="03B58F0D" w14:textId="0949CA20" w:rsidR="00092F83" w:rsidRPr="002B65F7" w:rsidRDefault="00C31740" w:rsidP="00496255">
      <w:pPr>
        <w:widowControl/>
      </w:pPr>
      <w:r w:rsidRPr="002B65F7">
        <w:t xml:space="preserve">Si vous avez utilisé plus de </w:t>
      </w:r>
      <w:r w:rsidR="003A1909" w:rsidRPr="002B65F7">
        <w:t>WEZENLA</w:t>
      </w:r>
      <w:r w:rsidRPr="002B65F7">
        <w:t xml:space="preserve"> ou si vous en avez trop reçu, parlez-en immédiatement à un médecin ou un pharmacien. Gardez toujours sur vous l’emballage extérieur, même s’il est vide.</w:t>
      </w:r>
    </w:p>
    <w:p w14:paraId="5E9C1B52" w14:textId="77777777" w:rsidR="003D351B" w:rsidRPr="002B65F7" w:rsidRDefault="003D351B" w:rsidP="00496255">
      <w:pPr>
        <w:widowControl/>
      </w:pPr>
    </w:p>
    <w:p w14:paraId="03B58F0E" w14:textId="030CE2FE" w:rsidR="00092F83" w:rsidRPr="002B65F7" w:rsidRDefault="00C31740" w:rsidP="00496255">
      <w:pPr>
        <w:keepNext/>
        <w:widowControl/>
        <w:rPr>
          <w:b/>
          <w:bCs/>
        </w:rPr>
      </w:pPr>
      <w:r w:rsidRPr="002B65F7">
        <w:rPr>
          <w:b/>
          <w:bCs/>
        </w:rPr>
        <w:t xml:space="preserve">Si vous oubliez d’utiliser </w:t>
      </w:r>
      <w:r w:rsidR="003A1909" w:rsidRPr="002B65F7">
        <w:rPr>
          <w:b/>
          <w:bCs/>
        </w:rPr>
        <w:t>WEZENLA</w:t>
      </w:r>
    </w:p>
    <w:p w14:paraId="03B58F0F" w14:textId="77777777" w:rsidR="00092F83" w:rsidRPr="002B65F7" w:rsidRDefault="00C31740" w:rsidP="00496255">
      <w:pPr>
        <w:widowControl/>
      </w:pPr>
      <w:r w:rsidRPr="002B65F7">
        <w:t>Si vous oubliez une dose, contactez votre médecin ou pharmacien. Ne prenez pas de dose double pour compenser la dose que vous avez oublié de prendre.</w:t>
      </w:r>
    </w:p>
    <w:p w14:paraId="03B58F10" w14:textId="77777777" w:rsidR="00092F83" w:rsidRPr="002B65F7" w:rsidRDefault="00092F83" w:rsidP="00496255">
      <w:pPr>
        <w:widowControl/>
      </w:pPr>
    </w:p>
    <w:p w14:paraId="03B58F11" w14:textId="0D7DC9AB" w:rsidR="00092F83" w:rsidRPr="002B65F7" w:rsidRDefault="00C31740" w:rsidP="00496255">
      <w:pPr>
        <w:keepNext/>
        <w:widowControl/>
        <w:rPr>
          <w:b/>
          <w:bCs/>
        </w:rPr>
      </w:pPr>
      <w:r w:rsidRPr="002B65F7">
        <w:rPr>
          <w:b/>
          <w:bCs/>
        </w:rPr>
        <w:t xml:space="preserve">Si vous arrêtez d’utiliser </w:t>
      </w:r>
      <w:r w:rsidR="003A1909" w:rsidRPr="002B65F7">
        <w:rPr>
          <w:b/>
          <w:bCs/>
        </w:rPr>
        <w:t>WEZENLA</w:t>
      </w:r>
    </w:p>
    <w:p w14:paraId="03B58F12" w14:textId="12B52C56" w:rsidR="00092F83" w:rsidRPr="002B65F7" w:rsidRDefault="00C31740" w:rsidP="00496255">
      <w:pPr>
        <w:widowControl/>
      </w:pPr>
      <w:r w:rsidRPr="002B65F7">
        <w:t xml:space="preserve">Il n’est pas dangereux d’arrêter d’utiliser </w:t>
      </w:r>
      <w:r w:rsidR="003A1909" w:rsidRPr="002B65F7">
        <w:t>WEZENLA</w:t>
      </w:r>
      <w:r w:rsidRPr="002B65F7">
        <w:t>. Cependant, si vous arrêtez, vos symptômes peuvent revenir.</w:t>
      </w:r>
    </w:p>
    <w:p w14:paraId="03B58F13" w14:textId="77777777" w:rsidR="00092F83" w:rsidRPr="002B65F7" w:rsidRDefault="00C31740" w:rsidP="00496255">
      <w:pPr>
        <w:widowControl/>
      </w:pPr>
      <w:r w:rsidRPr="002B65F7">
        <w:t>Si vous avez d’autres questions sur l’utilisation de ce médicament, demandez plus d’informations à votre médecin ou à votre pharmacien.</w:t>
      </w:r>
    </w:p>
    <w:p w14:paraId="03B58F14" w14:textId="77777777" w:rsidR="00092F83" w:rsidRPr="002B65F7" w:rsidRDefault="00092F83" w:rsidP="00496255">
      <w:pPr>
        <w:widowControl/>
      </w:pPr>
    </w:p>
    <w:p w14:paraId="03B58F15" w14:textId="77777777" w:rsidR="00092F83" w:rsidRPr="002B65F7" w:rsidRDefault="00092F83" w:rsidP="00496255">
      <w:pPr>
        <w:widowControl/>
      </w:pPr>
    </w:p>
    <w:p w14:paraId="03B58F16" w14:textId="3B927BE4" w:rsidR="00092F83" w:rsidRPr="002B65F7" w:rsidRDefault="00DB40CE" w:rsidP="00496255">
      <w:pPr>
        <w:keepNext/>
        <w:widowControl/>
        <w:tabs>
          <w:tab w:val="left" w:pos="567"/>
        </w:tabs>
        <w:ind w:left="567" w:hanging="567"/>
        <w:rPr>
          <w:b/>
          <w:bCs/>
        </w:rPr>
      </w:pPr>
      <w:r w:rsidRPr="002B65F7">
        <w:rPr>
          <w:b/>
          <w:bCs/>
        </w:rPr>
        <w:t>4.</w:t>
      </w:r>
      <w:r w:rsidRPr="002B65F7">
        <w:rPr>
          <w:b/>
          <w:bCs/>
        </w:rPr>
        <w:tab/>
      </w:r>
      <w:r w:rsidR="00C31740" w:rsidRPr="002B65F7">
        <w:rPr>
          <w:b/>
          <w:bCs/>
        </w:rPr>
        <w:t>Quels sont les effets indésirables éventuels ?</w:t>
      </w:r>
    </w:p>
    <w:p w14:paraId="03B58F17" w14:textId="77777777" w:rsidR="00092F83" w:rsidRPr="002B65F7" w:rsidRDefault="00092F83" w:rsidP="00496255">
      <w:pPr>
        <w:keepNext/>
        <w:widowControl/>
      </w:pPr>
    </w:p>
    <w:p w14:paraId="03B58F18" w14:textId="77777777" w:rsidR="00092F83" w:rsidRPr="002B65F7" w:rsidRDefault="00C31740" w:rsidP="00496255">
      <w:pPr>
        <w:widowControl/>
      </w:pPr>
      <w:r w:rsidRPr="002B65F7">
        <w:t>Comme tous les médicaments, ce médicament peut provoquer des effets indésirables, mais ils ne surviennent pas systématiquement chez tout le monde.</w:t>
      </w:r>
    </w:p>
    <w:p w14:paraId="26ECD9E2" w14:textId="77777777" w:rsidR="005A1BE9" w:rsidRPr="002B65F7" w:rsidRDefault="005A1BE9" w:rsidP="00496255">
      <w:pPr>
        <w:widowControl/>
      </w:pPr>
    </w:p>
    <w:p w14:paraId="03B58F19" w14:textId="7448C650" w:rsidR="00092F83" w:rsidRPr="002B65F7" w:rsidRDefault="00C31740" w:rsidP="00496255">
      <w:pPr>
        <w:keepNext/>
        <w:widowControl/>
        <w:rPr>
          <w:b/>
          <w:bCs/>
        </w:rPr>
      </w:pPr>
      <w:r w:rsidRPr="002B65F7">
        <w:rPr>
          <w:b/>
          <w:bCs/>
        </w:rPr>
        <w:t>Effets indésirables graves</w:t>
      </w:r>
    </w:p>
    <w:p w14:paraId="03B58F1A" w14:textId="77777777" w:rsidR="00092F83" w:rsidRPr="002B65F7" w:rsidRDefault="00C31740" w:rsidP="00496255">
      <w:pPr>
        <w:widowControl/>
      </w:pPr>
      <w:r w:rsidRPr="002B65F7">
        <w:t>Certains patients peuvent avoir des effets indésirables graves qui peuvent nécessiter un traitement urgent.</w:t>
      </w:r>
    </w:p>
    <w:p w14:paraId="03B58F1B" w14:textId="77777777" w:rsidR="00092F83" w:rsidRPr="002B65F7" w:rsidRDefault="00092F83" w:rsidP="00496255">
      <w:pPr>
        <w:widowControl/>
      </w:pPr>
    </w:p>
    <w:p w14:paraId="03B58F1C" w14:textId="77777777" w:rsidR="00092F83" w:rsidRPr="002B65F7" w:rsidRDefault="00C31740" w:rsidP="00496255">
      <w:pPr>
        <w:keepNext/>
        <w:widowControl/>
        <w:rPr>
          <w:b/>
          <w:bCs/>
        </w:rPr>
      </w:pPr>
      <w:r w:rsidRPr="002B65F7">
        <w:rPr>
          <w:b/>
          <w:bCs/>
        </w:rPr>
        <w:t>Réactions allergiques – elles peuvent nécessiter un traitement urgent. Informez votre médecin ou cherchez immédiatement une aide médicale d’urgence si vous constatez l’un des signes suivants.</w:t>
      </w:r>
    </w:p>
    <w:p w14:paraId="03B58F1D" w14:textId="49BF3145" w:rsidR="00092F83" w:rsidRPr="002B65F7" w:rsidRDefault="00C31740" w:rsidP="007A7B22">
      <w:pPr>
        <w:pStyle w:val="ListParagraph"/>
        <w:keepNext/>
        <w:widowControl/>
        <w:numPr>
          <w:ilvl w:val="1"/>
          <w:numId w:val="34"/>
        </w:numPr>
        <w:tabs>
          <w:tab w:val="left" w:pos="567"/>
        </w:tabs>
        <w:ind w:left="567" w:hanging="567"/>
      </w:pPr>
      <w:r w:rsidRPr="002B65F7">
        <w:t xml:space="preserve">Les réactions allergiques graves (« anaphylaxie ») sont rares chez les personnes prenant </w:t>
      </w:r>
      <w:r w:rsidR="00B040FD" w:rsidRPr="002B65F7">
        <w:t>de l’</w:t>
      </w:r>
      <w:r w:rsidR="0071390F" w:rsidRPr="002B65F7">
        <w:t>ustekinumab</w:t>
      </w:r>
      <w:r w:rsidRPr="002B65F7">
        <w:t xml:space="preserve"> (peuvent affecter jusqu’à 1 personne sur 1</w:t>
      </w:r>
      <w:r w:rsidR="00A26790" w:rsidRPr="002B65F7">
        <w:t> </w:t>
      </w:r>
      <w:r w:rsidRPr="002B65F7">
        <w:t>000). Les signes incluent :</w:t>
      </w:r>
    </w:p>
    <w:p w14:paraId="03B58F1E" w14:textId="28B5BCE7" w:rsidR="00092F83" w:rsidRPr="002B65F7" w:rsidRDefault="003A1909" w:rsidP="00496255">
      <w:pPr>
        <w:widowControl/>
        <w:ind w:left="1134" w:hanging="567"/>
      </w:pPr>
      <w:r w:rsidRPr="002B65F7">
        <w:rPr>
          <w:rFonts w:eastAsia="Courier New"/>
          <w:position w:val="1"/>
        </w:rPr>
        <w:t>-</w:t>
      </w:r>
      <w:r w:rsidR="00A26790" w:rsidRPr="002B65F7">
        <w:rPr>
          <w:rFonts w:eastAsia="Courier New"/>
        </w:rPr>
        <w:tab/>
      </w:r>
      <w:r w:rsidR="00C31740" w:rsidRPr="002B65F7">
        <w:t>difficultés à respirer ou à avaler</w:t>
      </w:r>
    </w:p>
    <w:p w14:paraId="03B58F1F" w14:textId="69198E7D" w:rsidR="00092F83" w:rsidRPr="002B65F7" w:rsidRDefault="003A1909" w:rsidP="00496255">
      <w:pPr>
        <w:widowControl/>
        <w:ind w:left="1134" w:hanging="567"/>
      </w:pPr>
      <w:r w:rsidRPr="002B65F7">
        <w:rPr>
          <w:rFonts w:eastAsia="Courier New"/>
          <w:position w:val="1"/>
        </w:rPr>
        <w:lastRenderedPageBreak/>
        <w:t>-</w:t>
      </w:r>
      <w:r w:rsidR="00A26790" w:rsidRPr="002B65F7">
        <w:rPr>
          <w:rFonts w:eastAsia="Courier New"/>
        </w:rPr>
        <w:tab/>
      </w:r>
      <w:r w:rsidR="00C31740" w:rsidRPr="002B65F7">
        <w:t>pression sanguine basse, ce qui peut provoquer des vertiges et des légers étourdissements</w:t>
      </w:r>
    </w:p>
    <w:p w14:paraId="03B58F20" w14:textId="7E3A3DE3" w:rsidR="00092F83" w:rsidRPr="002B65F7" w:rsidRDefault="003A1909" w:rsidP="00496255">
      <w:pPr>
        <w:widowControl/>
        <w:ind w:left="1134" w:hanging="567"/>
      </w:pPr>
      <w:r w:rsidRPr="002B65F7">
        <w:rPr>
          <w:rFonts w:eastAsia="Courier New"/>
          <w:position w:val="1"/>
        </w:rPr>
        <w:t>-</w:t>
      </w:r>
      <w:r w:rsidR="00A26790" w:rsidRPr="002B65F7">
        <w:rPr>
          <w:rFonts w:eastAsia="Courier New"/>
        </w:rPr>
        <w:tab/>
      </w:r>
      <w:r w:rsidR="00C31740" w:rsidRPr="002B65F7">
        <w:t>gonflement de la face, des lèvres, de la bouche ou de la gorge.</w:t>
      </w:r>
    </w:p>
    <w:p w14:paraId="03B58F21" w14:textId="5BD7261C" w:rsidR="00092F83" w:rsidRPr="002B65F7" w:rsidRDefault="00C31740" w:rsidP="007A7B22">
      <w:pPr>
        <w:pStyle w:val="ListParagraph"/>
        <w:widowControl/>
        <w:numPr>
          <w:ilvl w:val="1"/>
          <w:numId w:val="34"/>
        </w:numPr>
        <w:tabs>
          <w:tab w:val="left" w:pos="567"/>
        </w:tabs>
        <w:ind w:left="567" w:hanging="567"/>
      </w:pPr>
      <w:r w:rsidRPr="002B65F7">
        <w:t>Les signes fréquents d’une réaction allergique incluent éruptions cutanées et urticaire (ils peuvent affecter jusqu’à 1 personne sur 100).</w:t>
      </w:r>
    </w:p>
    <w:p w14:paraId="77E50F44" w14:textId="77777777" w:rsidR="00A26790" w:rsidRPr="002B65F7" w:rsidRDefault="00A26790" w:rsidP="00496255">
      <w:pPr>
        <w:widowControl/>
      </w:pPr>
    </w:p>
    <w:p w14:paraId="03B58F22" w14:textId="10812F3A" w:rsidR="00092F83" w:rsidRPr="002B65F7" w:rsidRDefault="00C31740" w:rsidP="00496255">
      <w:pPr>
        <w:widowControl/>
        <w:rPr>
          <w:b/>
          <w:bCs/>
        </w:rPr>
      </w:pPr>
      <w:r w:rsidRPr="002B65F7">
        <w:rPr>
          <w:b/>
          <w:bCs/>
        </w:rPr>
        <w:t xml:space="preserve">Dans de rares cas, des réactions allergiques pulmonaires et une inflammation pulmonaire ont été signalées chez des patients traités par </w:t>
      </w:r>
      <w:r w:rsidR="0071390F" w:rsidRPr="002B65F7">
        <w:rPr>
          <w:b/>
          <w:bCs/>
        </w:rPr>
        <w:t>ustekinumab</w:t>
      </w:r>
      <w:r w:rsidRPr="002B65F7">
        <w:rPr>
          <w:b/>
          <w:bCs/>
        </w:rPr>
        <w:t>. Informez immédiatement votre médecin si vous présentez des symptômes comme la toux, l’essoufflement et la fièvre.</w:t>
      </w:r>
    </w:p>
    <w:p w14:paraId="31C9C8A2" w14:textId="77777777" w:rsidR="00A26790" w:rsidRPr="002B65F7" w:rsidRDefault="00A26790" w:rsidP="00496255">
      <w:pPr>
        <w:widowControl/>
      </w:pPr>
    </w:p>
    <w:p w14:paraId="03B58F23" w14:textId="4151889D" w:rsidR="00092F83" w:rsidRPr="002B65F7" w:rsidRDefault="00C31740" w:rsidP="00496255">
      <w:pPr>
        <w:widowControl/>
      </w:pPr>
      <w:r w:rsidRPr="002B65F7">
        <w:t xml:space="preserve">Si vous avez une réaction allergique grave, votre médecin peut décider que vous ne devez plus utiliser </w:t>
      </w:r>
      <w:r w:rsidR="003A1909" w:rsidRPr="002B65F7">
        <w:t>WEZENLA</w:t>
      </w:r>
      <w:r w:rsidRPr="002B65F7">
        <w:t>.</w:t>
      </w:r>
    </w:p>
    <w:p w14:paraId="03B58F24" w14:textId="77777777" w:rsidR="00092F83" w:rsidRPr="002B65F7" w:rsidRDefault="00092F83" w:rsidP="00496255">
      <w:pPr>
        <w:widowControl/>
      </w:pPr>
    </w:p>
    <w:p w14:paraId="03B58F25" w14:textId="77777777" w:rsidR="00092F83" w:rsidRPr="002B65F7" w:rsidRDefault="00C31740" w:rsidP="00496255">
      <w:pPr>
        <w:keepNext/>
        <w:widowControl/>
        <w:rPr>
          <w:b/>
          <w:bCs/>
        </w:rPr>
      </w:pPr>
      <w:r w:rsidRPr="002B65F7">
        <w:rPr>
          <w:b/>
          <w:bCs/>
        </w:rPr>
        <w:t>Infections - elles peuvent nécessiter un traitement urgent. Informez votre médecin immédiatement si vous constatez l’un des signes suivants.</w:t>
      </w:r>
    </w:p>
    <w:p w14:paraId="03B58F26" w14:textId="21A4B8D6" w:rsidR="00092F83" w:rsidRPr="002B65F7" w:rsidRDefault="00C31740" w:rsidP="007A7B22">
      <w:pPr>
        <w:pStyle w:val="ListParagraph"/>
        <w:widowControl/>
        <w:numPr>
          <w:ilvl w:val="1"/>
          <w:numId w:val="34"/>
        </w:numPr>
        <w:tabs>
          <w:tab w:val="left" w:pos="567"/>
        </w:tabs>
        <w:ind w:left="567" w:hanging="567"/>
      </w:pPr>
      <w:r w:rsidRPr="002B65F7">
        <w:t>Les infections du nez ou de la gorge et les rhumes sont fréquents (peuvent affecter jusqu’à 1</w:t>
      </w:r>
      <w:r w:rsidR="009013CF" w:rsidRPr="002B65F7">
        <w:t> </w:t>
      </w:r>
      <w:r w:rsidRPr="002B65F7">
        <w:t>personne sur</w:t>
      </w:r>
      <w:r w:rsidR="009013CF" w:rsidRPr="002B65F7">
        <w:t> </w:t>
      </w:r>
      <w:r w:rsidRPr="002B65F7">
        <w:t>10)</w:t>
      </w:r>
    </w:p>
    <w:p w14:paraId="03B58F27" w14:textId="3CE0B82B" w:rsidR="00092F83" w:rsidRPr="002B65F7" w:rsidRDefault="00C31740" w:rsidP="007A7B22">
      <w:pPr>
        <w:pStyle w:val="ListParagraph"/>
        <w:widowControl/>
        <w:numPr>
          <w:ilvl w:val="1"/>
          <w:numId w:val="34"/>
        </w:numPr>
        <w:tabs>
          <w:tab w:val="left" w:pos="567"/>
        </w:tabs>
        <w:ind w:left="567" w:hanging="567"/>
      </w:pPr>
      <w:r w:rsidRPr="002B65F7">
        <w:t>Les infections thoraciques sont peu fréquentes (peuvent affecter jusqu’à 1</w:t>
      </w:r>
      <w:r w:rsidR="009013CF" w:rsidRPr="002B65F7">
        <w:t> </w:t>
      </w:r>
      <w:r w:rsidRPr="002B65F7">
        <w:t>personne sur</w:t>
      </w:r>
      <w:r w:rsidR="009013CF" w:rsidRPr="002B65F7">
        <w:t> </w:t>
      </w:r>
      <w:r w:rsidRPr="002B65F7">
        <w:t>100)</w:t>
      </w:r>
    </w:p>
    <w:p w14:paraId="03B58F29" w14:textId="3AD76563" w:rsidR="00092F83" w:rsidRPr="002B65F7" w:rsidRDefault="00C31740" w:rsidP="007A7B22">
      <w:pPr>
        <w:pStyle w:val="ListParagraph"/>
        <w:widowControl/>
        <w:numPr>
          <w:ilvl w:val="1"/>
          <w:numId w:val="34"/>
        </w:numPr>
        <w:tabs>
          <w:tab w:val="left" w:pos="567"/>
        </w:tabs>
        <w:ind w:left="567" w:hanging="567"/>
      </w:pPr>
      <w:r w:rsidRPr="002B65F7">
        <w:t>L’inflammation des tissus sous la peau (cellulite) est peu fréquente (peut affecter jusqu’à 1</w:t>
      </w:r>
      <w:r w:rsidR="009013CF" w:rsidRPr="002B65F7">
        <w:t> </w:t>
      </w:r>
      <w:r w:rsidRPr="002B65F7">
        <w:t>personne sur</w:t>
      </w:r>
      <w:r w:rsidR="009013CF" w:rsidRPr="002B65F7">
        <w:t> </w:t>
      </w:r>
      <w:r w:rsidRPr="002B65F7">
        <w:t>100)</w:t>
      </w:r>
    </w:p>
    <w:p w14:paraId="03B58F2A" w14:textId="1B88040F" w:rsidR="00092F83" w:rsidRPr="002B65F7" w:rsidRDefault="00C31740" w:rsidP="007A7B22">
      <w:pPr>
        <w:pStyle w:val="ListParagraph"/>
        <w:widowControl/>
        <w:numPr>
          <w:ilvl w:val="1"/>
          <w:numId w:val="34"/>
        </w:numPr>
        <w:tabs>
          <w:tab w:val="left" w:pos="567"/>
        </w:tabs>
        <w:ind w:left="567" w:hanging="567"/>
      </w:pPr>
      <w:r w:rsidRPr="002B65F7">
        <w:t>Les zona (un type d’éruption cutanée douloureuse avec des cloques) sont peu fréquents (peuvent affecter jusqu’à 1</w:t>
      </w:r>
      <w:r w:rsidR="009013CF" w:rsidRPr="002B65F7">
        <w:t> </w:t>
      </w:r>
      <w:r w:rsidRPr="002B65F7">
        <w:t>personne sur</w:t>
      </w:r>
      <w:r w:rsidR="009013CF" w:rsidRPr="002B65F7">
        <w:t> </w:t>
      </w:r>
      <w:r w:rsidRPr="002B65F7">
        <w:t>100)</w:t>
      </w:r>
    </w:p>
    <w:p w14:paraId="4E519B44" w14:textId="77777777" w:rsidR="008368E7" w:rsidRPr="002B65F7" w:rsidRDefault="008368E7" w:rsidP="00496255">
      <w:pPr>
        <w:widowControl/>
      </w:pPr>
    </w:p>
    <w:p w14:paraId="03B58F2B" w14:textId="077D1F0B" w:rsidR="00092F83" w:rsidRPr="002B65F7" w:rsidRDefault="003A1909" w:rsidP="00496255">
      <w:pPr>
        <w:widowControl/>
      </w:pPr>
      <w:r w:rsidRPr="002B65F7">
        <w:t>WEZENLA</w:t>
      </w:r>
      <w:r w:rsidR="00C31740" w:rsidRPr="002B65F7">
        <w:t xml:space="preserve"> peut altérer votre capacité à lutter contre les infections. Certaines infections peuvent devenir graves et peuvent comprendre des infections d’origine virale, fongique, bactérienne (notamment la tuberculose), ou parasitaire, y compris des infections survenant principalement chez les personnes présentant un système immunitaire plus faible (infections opportunistes). Des infections opportunistes du cerveau (encéphalite, méningite), des poumons et des yeux ont été rapportées chez des patients recevant un traitement par </w:t>
      </w:r>
      <w:r w:rsidR="0071390F" w:rsidRPr="002B65F7">
        <w:t>ustekinumab</w:t>
      </w:r>
      <w:r w:rsidR="00C31740" w:rsidRPr="002B65F7">
        <w:t>.</w:t>
      </w:r>
    </w:p>
    <w:p w14:paraId="03B58F2C" w14:textId="77777777" w:rsidR="00092F83" w:rsidRPr="002B65F7" w:rsidRDefault="00092F83" w:rsidP="00496255">
      <w:pPr>
        <w:widowControl/>
      </w:pPr>
    </w:p>
    <w:p w14:paraId="03B58F2D" w14:textId="706189BE" w:rsidR="00092F83" w:rsidRPr="002B65F7" w:rsidRDefault="00C31740" w:rsidP="00496255">
      <w:pPr>
        <w:keepNext/>
        <w:widowControl/>
      </w:pPr>
      <w:r w:rsidRPr="002B65F7">
        <w:t xml:space="preserve">Vous devez faire attention aux signes d’infection pendant que vous utilisez </w:t>
      </w:r>
      <w:r w:rsidR="003A1909" w:rsidRPr="002B65F7">
        <w:t>WEZENLA</w:t>
      </w:r>
      <w:r w:rsidRPr="002B65F7">
        <w:t>. Ceux-ci incluent :</w:t>
      </w:r>
    </w:p>
    <w:p w14:paraId="03B58F2E" w14:textId="5E7F3D58" w:rsidR="00092F83" w:rsidRPr="002B65F7" w:rsidRDefault="00C31740" w:rsidP="007A7B22">
      <w:pPr>
        <w:pStyle w:val="ListParagraph"/>
        <w:widowControl/>
        <w:numPr>
          <w:ilvl w:val="1"/>
          <w:numId w:val="34"/>
        </w:numPr>
        <w:tabs>
          <w:tab w:val="left" w:pos="567"/>
        </w:tabs>
        <w:ind w:left="567" w:hanging="567"/>
      </w:pPr>
      <w:r w:rsidRPr="002B65F7">
        <w:t>Fièvre, symptômes pseudo-grippaux, sueurs nocturnes, perte de poids</w:t>
      </w:r>
    </w:p>
    <w:p w14:paraId="03B58F2F" w14:textId="53EAB8BD" w:rsidR="00092F83" w:rsidRPr="002B65F7" w:rsidRDefault="00C31740" w:rsidP="007A7B22">
      <w:pPr>
        <w:pStyle w:val="ListParagraph"/>
        <w:widowControl/>
        <w:numPr>
          <w:ilvl w:val="1"/>
          <w:numId w:val="34"/>
        </w:numPr>
        <w:tabs>
          <w:tab w:val="left" w:pos="567"/>
        </w:tabs>
        <w:ind w:left="567" w:hanging="567"/>
      </w:pPr>
      <w:r w:rsidRPr="002B65F7">
        <w:t>Sensation de fatigue ou d’essoufflement ; toux qui ne passe pas</w:t>
      </w:r>
    </w:p>
    <w:p w14:paraId="03B58F30" w14:textId="34B9BC69" w:rsidR="00092F83" w:rsidRPr="002B65F7" w:rsidRDefault="00C31740" w:rsidP="007A7B22">
      <w:pPr>
        <w:pStyle w:val="ListParagraph"/>
        <w:widowControl/>
        <w:numPr>
          <w:ilvl w:val="1"/>
          <w:numId w:val="34"/>
        </w:numPr>
        <w:tabs>
          <w:tab w:val="left" w:pos="567"/>
        </w:tabs>
        <w:ind w:left="567" w:hanging="567"/>
      </w:pPr>
      <w:r w:rsidRPr="002B65F7">
        <w:t>Peau chaude, rouge et douloureuse, ou une éruption cutanée douloureuse avec des cloques</w:t>
      </w:r>
    </w:p>
    <w:p w14:paraId="03B58F31" w14:textId="40722EE1" w:rsidR="00092F83" w:rsidRPr="002B65F7" w:rsidRDefault="00C31740" w:rsidP="007A7B22">
      <w:pPr>
        <w:pStyle w:val="ListParagraph"/>
        <w:widowControl/>
        <w:numPr>
          <w:ilvl w:val="1"/>
          <w:numId w:val="34"/>
        </w:numPr>
        <w:tabs>
          <w:tab w:val="left" w:pos="567"/>
        </w:tabs>
        <w:ind w:left="567" w:hanging="567"/>
      </w:pPr>
      <w:r w:rsidRPr="002B65F7">
        <w:t>Sensation de brûlure lorsque vous urinez</w:t>
      </w:r>
    </w:p>
    <w:p w14:paraId="03B58F32" w14:textId="5B354200" w:rsidR="00092F83" w:rsidRPr="002B65F7" w:rsidRDefault="00C31740" w:rsidP="007A7B22">
      <w:pPr>
        <w:pStyle w:val="ListParagraph"/>
        <w:widowControl/>
        <w:numPr>
          <w:ilvl w:val="1"/>
          <w:numId w:val="34"/>
        </w:numPr>
        <w:tabs>
          <w:tab w:val="left" w:pos="567"/>
        </w:tabs>
        <w:ind w:left="567" w:hanging="567"/>
      </w:pPr>
      <w:r w:rsidRPr="002B65F7">
        <w:t>Diarrhées</w:t>
      </w:r>
    </w:p>
    <w:p w14:paraId="03B58F33" w14:textId="38BEEB30" w:rsidR="00092F83" w:rsidRPr="002B65F7" w:rsidRDefault="00C31740" w:rsidP="007A7B22">
      <w:pPr>
        <w:pStyle w:val="ListParagraph"/>
        <w:widowControl/>
        <w:numPr>
          <w:ilvl w:val="1"/>
          <w:numId w:val="34"/>
        </w:numPr>
        <w:tabs>
          <w:tab w:val="left" w:pos="567"/>
        </w:tabs>
        <w:ind w:left="567" w:hanging="567"/>
      </w:pPr>
      <w:r w:rsidRPr="002B65F7">
        <w:t>Troubles visuels ou perte de la vue</w:t>
      </w:r>
    </w:p>
    <w:p w14:paraId="03B58F34" w14:textId="635BA513" w:rsidR="00092F83" w:rsidRPr="002B65F7" w:rsidRDefault="00C31740" w:rsidP="007A7B22">
      <w:pPr>
        <w:pStyle w:val="ListParagraph"/>
        <w:widowControl/>
        <w:numPr>
          <w:ilvl w:val="1"/>
          <w:numId w:val="34"/>
        </w:numPr>
        <w:tabs>
          <w:tab w:val="left" w:pos="567"/>
        </w:tabs>
        <w:ind w:left="567" w:hanging="567"/>
      </w:pPr>
      <w:r w:rsidRPr="002B65F7">
        <w:t>Maux de tête, raideur de la nuque, sensibilité à la lumière, nausées ou confusion.</w:t>
      </w:r>
    </w:p>
    <w:p w14:paraId="7D0B8423" w14:textId="77777777" w:rsidR="008368E7" w:rsidRPr="002B65F7" w:rsidRDefault="008368E7" w:rsidP="00496255">
      <w:pPr>
        <w:widowControl/>
      </w:pPr>
    </w:p>
    <w:p w14:paraId="03B58F35" w14:textId="12721B50" w:rsidR="00092F83" w:rsidRPr="002B65F7" w:rsidRDefault="00C31740" w:rsidP="00496255">
      <w:pPr>
        <w:widowControl/>
      </w:pPr>
      <w:r w:rsidRPr="002B65F7">
        <w:t xml:space="preserve">Informez votre médecin immédiatement si vous constatez l’un de ces signes d’infection. Ils peuvent être des signes d’infections telles que des infections thoraciques, des infections de la peau, un zona ou des infections opportunistes, qui pourraient conduire à des complications graves. Informez votre médecin si vous avez une infection qui ne passe pas ou qui revient. Votre médecin peut décider que vous ne devez plus utiliser </w:t>
      </w:r>
      <w:r w:rsidR="003A1909" w:rsidRPr="002B65F7">
        <w:t>WEZENLA</w:t>
      </w:r>
      <w:r w:rsidRPr="002B65F7">
        <w:t xml:space="preserve"> jusqu’à ce que l’infection soit partie. Informez également votre médecin si vous avez des coupures ou des plaies ouvertes car elles pourraient s’infecter.</w:t>
      </w:r>
    </w:p>
    <w:p w14:paraId="03B58F36" w14:textId="77777777" w:rsidR="00092F83" w:rsidRPr="002B65F7" w:rsidRDefault="00092F83" w:rsidP="00496255">
      <w:pPr>
        <w:widowControl/>
      </w:pPr>
    </w:p>
    <w:p w14:paraId="03B58F37" w14:textId="77777777" w:rsidR="00092F83" w:rsidRPr="002B65F7" w:rsidRDefault="00C31740" w:rsidP="00496255">
      <w:pPr>
        <w:widowControl/>
        <w:rPr>
          <w:b/>
          <w:bCs/>
        </w:rPr>
      </w:pPr>
      <w:r w:rsidRPr="002B65F7">
        <w:rPr>
          <w:b/>
          <w:bCs/>
        </w:rPr>
        <w:t>Desquamation de la peau – l’augmentation de la rougeur et de la desquamation de la peau sur une surface corporelle plus étendue peuvent être des symptômes de psoriasis érythrodermique ou d’érythrodermie, qui sont des atteintes graves de la peau. Vous devez informer immédiatement votre médecin si vous remarquez un de ces signes.</w:t>
      </w:r>
    </w:p>
    <w:p w14:paraId="5118AC64" w14:textId="77777777" w:rsidR="008368E7" w:rsidRPr="002B65F7" w:rsidRDefault="008368E7" w:rsidP="00496255">
      <w:pPr>
        <w:widowControl/>
      </w:pPr>
    </w:p>
    <w:p w14:paraId="03B58F38" w14:textId="3DD936D0" w:rsidR="00092F83" w:rsidRPr="002B65F7" w:rsidRDefault="00C31740" w:rsidP="00496255">
      <w:pPr>
        <w:keepNext/>
        <w:widowControl/>
        <w:rPr>
          <w:b/>
          <w:bCs/>
        </w:rPr>
      </w:pPr>
      <w:r w:rsidRPr="002B65F7">
        <w:rPr>
          <w:b/>
          <w:bCs/>
        </w:rPr>
        <w:t>Autres effets indésirables</w:t>
      </w:r>
    </w:p>
    <w:p w14:paraId="03B58F39" w14:textId="77777777" w:rsidR="00092F83" w:rsidRPr="002B65F7" w:rsidRDefault="00092F83" w:rsidP="00496255">
      <w:pPr>
        <w:keepNext/>
        <w:widowControl/>
      </w:pPr>
    </w:p>
    <w:p w14:paraId="03B58F3A" w14:textId="6196857D" w:rsidR="00092F83" w:rsidRPr="002B65F7" w:rsidRDefault="00C31740" w:rsidP="00496255">
      <w:pPr>
        <w:keepNext/>
        <w:widowControl/>
      </w:pPr>
      <w:r w:rsidRPr="002B65F7">
        <w:rPr>
          <w:b/>
          <w:bCs/>
        </w:rPr>
        <w:t>Effets indésirables fréquents</w:t>
      </w:r>
      <w:r w:rsidRPr="002B65F7">
        <w:t xml:space="preserve"> (peuvent affecter jusqu’à 1</w:t>
      </w:r>
      <w:r w:rsidR="001B0C3A" w:rsidRPr="002B65F7">
        <w:t> </w:t>
      </w:r>
      <w:r w:rsidRPr="002B65F7">
        <w:t>personne sur 10) :</w:t>
      </w:r>
    </w:p>
    <w:p w14:paraId="03B58F3B" w14:textId="62ECF635" w:rsidR="00092F83" w:rsidRPr="002B65F7" w:rsidRDefault="00C31740" w:rsidP="007A7B22">
      <w:pPr>
        <w:pStyle w:val="ListParagraph"/>
        <w:widowControl/>
        <w:numPr>
          <w:ilvl w:val="1"/>
          <w:numId w:val="35"/>
        </w:numPr>
        <w:tabs>
          <w:tab w:val="left" w:pos="567"/>
        </w:tabs>
        <w:ind w:left="567" w:hanging="567"/>
      </w:pPr>
      <w:r w:rsidRPr="002B65F7">
        <w:t>Diarrhées</w:t>
      </w:r>
    </w:p>
    <w:p w14:paraId="03B58F3C" w14:textId="09DE1458" w:rsidR="00092F83" w:rsidRPr="002B65F7" w:rsidRDefault="00C31740" w:rsidP="007A7B22">
      <w:pPr>
        <w:pStyle w:val="ListParagraph"/>
        <w:widowControl/>
        <w:numPr>
          <w:ilvl w:val="1"/>
          <w:numId w:val="35"/>
        </w:numPr>
        <w:tabs>
          <w:tab w:val="left" w:pos="567"/>
        </w:tabs>
        <w:ind w:left="567" w:hanging="567"/>
      </w:pPr>
      <w:r w:rsidRPr="002B65F7">
        <w:t>Nausées</w:t>
      </w:r>
    </w:p>
    <w:p w14:paraId="03B58F3D" w14:textId="6A4454E3" w:rsidR="00092F83" w:rsidRPr="002B65F7" w:rsidRDefault="00C31740" w:rsidP="007A7B22">
      <w:pPr>
        <w:pStyle w:val="ListParagraph"/>
        <w:widowControl/>
        <w:numPr>
          <w:ilvl w:val="1"/>
          <w:numId w:val="35"/>
        </w:numPr>
        <w:tabs>
          <w:tab w:val="left" w:pos="567"/>
        </w:tabs>
        <w:ind w:left="567" w:hanging="567"/>
      </w:pPr>
      <w:r w:rsidRPr="002B65F7">
        <w:lastRenderedPageBreak/>
        <w:t>Vomissements</w:t>
      </w:r>
    </w:p>
    <w:p w14:paraId="03B58F3E" w14:textId="452B2EB0" w:rsidR="00092F83" w:rsidRPr="002B65F7" w:rsidRDefault="00C31740" w:rsidP="007A7B22">
      <w:pPr>
        <w:pStyle w:val="ListParagraph"/>
        <w:widowControl/>
        <w:numPr>
          <w:ilvl w:val="1"/>
          <w:numId w:val="35"/>
        </w:numPr>
        <w:tabs>
          <w:tab w:val="left" w:pos="567"/>
        </w:tabs>
        <w:ind w:left="567" w:hanging="567"/>
      </w:pPr>
      <w:r w:rsidRPr="002B65F7">
        <w:t>Sensations de fatigue</w:t>
      </w:r>
    </w:p>
    <w:p w14:paraId="03B58F3F" w14:textId="2BAAEEFA" w:rsidR="00092F83" w:rsidRPr="002B65F7" w:rsidRDefault="00C31740" w:rsidP="007A7B22">
      <w:pPr>
        <w:pStyle w:val="ListParagraph"/>
        <w:widowControl/>
        <w:numPr>
          <w:ilvl w:val="1"/>
          <w:numId w:val="35"/>
        </w:numPr>
        <w:tabs>
          <w:tab w:val="left" w:pos="567"/>
        </w:tabs>
        <w:ind w:left="567" w:hanging="567"/>
      </w:pPr>
      <w:r w:rsidRPr="002B65F7">
        <w:t>Vertiges</w:t>
      </w:r>
    </w:p>
    <w:p w14:paraId="03B58F40" w14:textId="4677465B" w:rsidR="00092F83" w:rsidRPr="002B65F7" w:rsidRDefault="00C31740" w:rsidP="007A7B22">
      <w:pPr>
        <w:pStyle w:val="ListParagraph"/>
        <w:widowControl/>
        <w:numPr>
          <w:ilvl w:val="1"/>
          <w:numId w:val="35"/>
        </w:numPr>
        <w:tabs>
          <w:tab w:val="left" w:pos="567"/>
        </w:tabs>
        <w:ind w:left="567" w:hanging="567"/>
      </w:pPr>
      <w:r w:rsidRPr="002B65F7">
        <w:t>Mal de tête</w:t>
      </w:r>
    </w:p>
    <w:p w14:paraId="03B58F41" w14:textId="129520FF" w:rsidR="00092F83" w:rsidRPr="002B65F7" w:rsidRDefault="00C31740" w:rsidP="007A7B22">
      <w:pPr>
        <w:pStyle w:val="ListParagraph"/>
        <w:widowControl/>
        <w:numPr>
          <w:ilvl w:val="1"/>
          <w:numId w:val="35"/>
        </w:numPr>
        <w:tabs>
          <w:tab w:val="left" w:pos="567"/>
        </w:tabs>
        <w:ind w:left="567" w:hanging="567"/>
      </w:pPr>
      <w:r w:rsidRPr="002B65F7">
        <w:t>Démangeaisons (« prurit »)</w:t>
      </w:r>
    </w:p>
    <w:p w14:paraId="03B58F42" w14:textId="257B0D81" w:rsidR="00092F83" w:rsidRPr="002B65F7" w:rsidRDefault="00C31740" w:rsidP="007A7B22">
      <w:pPr>
        <w:pStyle w:val="ListParagraph"/>
        <w:widowControl/>
        <w:numPr>
          <w:ilvl w:val="1"/>
          <w:numId w:val="35"/>
        </w:numPr>
        <w:tabs>
          <w:tab w:val="left" w:pos="567"/>
        </w:tabs>
        <w:ind w:left="567" w:hanging="567"/>
      </w:pPr>
      <w:r w:rsidRPr="002B65F7">
        <w:t>Douleurs du dos, des muscles ou des articulations</w:t>
      </w:r>
    </w:p>
    <w:p w14:paraId="03B58F43" w14:textId="2A2A30BC" w:rsidR="00092F83" w:rsidRPr="002B65F7" w:rsidRDefault="00C31740" w:rsidP="007A7B22">
      <w:pPr>
        <w:pStyle w:val="ListParagraph"/>
        <w:widowControl/>
        <w:numPr>
          <w:ilvl w:val="1"/>
          <w:numId w:val="35"/>
        </w:numPr>
        <w:tabs>
          <w:tab w:val="left" w:pos="567"/>
        </w:tabs>
        <w:ind w:left="567" w:hanging="567"/>
      </w:pPr>
      <w:r w:rsidRPr="002B65F7">
        <w:t>Mal de gorge</w:t>
      </w:r>
    </w:p>
    <w:p w14:paraId="03B58F44" w14:textId="5083AB1A" w:rsidR="00092F83" w:rsidRPr="002B65F7" w:rsidRDefault="00C31740" w:rsidP="007A7B22">
      <w:pPr>
        <w:pStyle w:val="ListParagraph"/>
        <w:widowControl/>
        <w:numPr>
          <w:ilvl w:val="1"/>
          <w:numId w:val="35"/>
        </w:numPr>
        <w:tabs>
          <w:tab w:val="left" w:pos="567"/>
        </w:tabs>
        <w:ind w:left="567" w:hanging="567"/>
      </w:pPr>
      <w:r w:rsidRPr="002B65F7">
        <w:t>Rougeur et douleur au site d’injection</w:t>
      </w:r>
    </w:p>
    <w:p w14:paraId="03B58F45" w14:textId="5AE6B363" w:rsidR="00092F83" w:rsidRPr="002B65F7" w:rsidRDefault="00C31740" w:rsidP="007A7B22">
      <w:pPr>
        <w:pStyle w:val="ListParagraph"/>
        <w:widowControl/>
        <w:numPr>
          <w:ilvl w:val="1"/>
          <w:numId w:val="35"/>
        </w:numPr>
        <w:tabs>
          <w:tab w:val="left" w:pos="567"/>
        </w:tabs>
        <w:ind w:left="567" w:hanging="567"/>
      </w:pPr>
      <w:r w:rsidRPr="002B65F7">
        <w:t>Infection des sinus</w:t>
      </w:r>
    </w:p>
    <w:p w14:paraId="07144543" w14:textId="77777777" w:rsidR="00D26D60" w:rsidRPr="002B65F7" w:rsidRDefault="00D26D60" w:rsidP="00496255">
      <w:pPr>
        <w:widowControl/>
      </w:pPr>
    </w:p>
    <w:p w14:paraId="03B58F46" w14:textId="20ADEFAF" w:rsidR="00092F83" w:rsidRPr="002B65F7" w:rsidRDefault="00C31740" w:rsidP="00496255">
      <w:pPr>
        <w:keepNext/>
        <w:widowControl/>
      </w:pPr>
      <w:r w:rsidRPr="002B65F7">
        <w:rPr>
          <w:b/>
          <w:bCs/>
        </w:rPr>
        <w:t xml:space="preserve">Effets indésirables peu fréquents </w:t>
      </w:r>
      <w:r w:rsidRPr="002B65F7">
        <w:t>(peuvent affecter jusqu’à 1</w:t>
      </w:r>
      <w:r w:rsidR="001B0C3A" w:rsidRPr="002B65F7">
        <w:t> </w:t>
      </w:r>
      <w:r w:rsidRPr="002B65F7">
        <w:t>personne sur 100) :</w:t>
      </w:r>
    </w:p>
    <w:p w14:paraId="03B58F47" w14:textId="3C08E147" w:rsidR="00092F83" w:rsidRPr="002B65F7" w:rsidRDefault="00C31740" w:rsidP="007A7B22">
      <w:pPr>
        <w:pStyle w:val="ListParagraph"/>
        <w:widowControl/>
        <w:numPr>
          <w:ilvl w:val="1"/>
          <w:numId w:val="35"/>
        </w:numPr>
        <w:tabs>
          <w:tab w:val="left" w:pos="567"/>
        </w:tabs>
        <w:ind w:left="567" w:hanging="567"/>
      </w:pPr>
      <w:r w:rsidRPr="002B65F7">
        <w:t>Infections dentaires</w:t>
      </w:r>
    </w:p>
    <w:p w14:paraId="03B58F48" w14:textId="37FB93B4" w:rsidR="00092F83" w:rsidRPr="002B65F7" w:rsidRDefault="00C31740" w:rsidP="007A7B22">
      <w:pPr>
        <w:pStyle w:val="ListParagraph"/>
        <w:widowControl/>
        <w:numPr>
          <w:ilvl w:val="1"/>
          <w:numId w:val="35"/>
        </w:numPr>
        <w:tabs>
          <w:tab w:val="left" w:pos="567"/>
        </w:tabs>
        <w:ind w:left="567" w:hanging="567"/>
      </w:pPr>
      <w:r w:rsidRPr="002B65F7">
        <w:t>Infection mycotique vaginale</w:t>
      </w:r>
    </w:p>
    <w:p w14:paraId="03B58F49" w14:textId="6EC88F54" w:rsidR="00092F83" w:rsidRPr="002B65F7" w:rsidRDefault="00C31740" w:rsidP="007A7B22">
      <w:pPr>
        <w:pStyle w:val="ListParagraph"/>
        <w:widowControl/>
        <w:numPr>
          <w:ilvl w:val="1"/>
          <w:numId w:val="35"/>
        </w:numPr>
        <w:tabs>
          <w:tab w:val="left" w:pos="567"/>
        </w:tabs>
        <w:ind w:left="567" w:hanging="567"/>
      </w:pPr>
      <w:r w:rsidRPr="002B65F7">
        <w:t>Dépression</w:t>
      </w:r>
    </w:p>
    <w:p w14:paraId="03B58F4A" w14:textId="11A314A5" w:rsidR="00092F83" w:rsidRPr="002B65F7" w:rsidRDefault="00C31740" w:rsidP="007A7B22">
      <w:pPr>
        <w:pStyle w:val="ListParagraph"/>
        <w:widowControl/>
        <w:numPr>
          <w:ilvl w:val="1"/>
          <w:numId w:val="35"/>
        </w:numPr>
        <w:tabs>
          <w:tab w:val="left" w:pos="567"/>
        </w:tabs>
        <w:ind w:left="567" w:hanging="567"/>
      </w:pPr>
      <w:r w:rsidRPr="002B65F7">
        <w:t>Nez bouché ou congestionné</w:t>
      </w:r>
    </w:p>
    <w:p w14:paraId="03B58F4B" w14:textId="710E3A78" w:rsidR="00092F83" w:rsidRPr="002B65F7" w:rsidRDefault="00C31740" w:rsidP="007A7B22">
      <w:pPr>
        <w:pStyle w:val="ListParagraph"/>
        <w:widowControl/>
        <w:numPr>
          <w:ilvl w:val="1"/>
          <w:numId w:val="35"/>
        </w:numPr>
        <w:tabs>
          <w:tab w:val="left" w:pos="567"/>
        </w:tabs>
        <w:ind w:left="567" w:hanging="567"/>
      </w:pPr>
      <w:r w:rsidRPr="002B65F7">
        <w:t>Saignement, ecchymose (bleu), induration, gonflement et démangeaisons au site d’injection.</w:t>
      </w:r>
    </w:p>
    <w:p w14:paraId="03B58F4C" w14:textId="6E30EDD1" w:rsidR="00092F83" w:rsidRPr="002B65F7" w:rsidRDefault="00C31740" w:rsidP="007A7B22">
      <w:pPr>
        <w:pStyle w:val="ListParagraph"/>
        <w:widowControl/>
        <w:numPr>
          <w:ilvl w:val="1"/>
          <w:numId w:val="35"/>
        </w:numPr>
        <w:tabs>
          <w:tab w:val="left" w:pos="567"/>
        </w:tabs>
        <w:ind w:left="567" w:hanging="567"/>
      </w:pPr>
      <w:r w:rsidRPr="002B65F7">
        <w:t>Sensations de faiblesse</w:t>
      </w:r>
    </w:p>
    <w:p w14:paraId="03B58F4F" w14:textId="5B5C6F89" w:rsidR="00092F83" w:rsidRPr="002B65F7" w:rsidRDefault="00C31740" w:rsidP="007A7B22">
      <w:pPr>
        <w:pStyle w:val="ListParagraph"/>
        <w:widowControl/>
        <w:numPr>
          <w:ilvl w:val="1"/>
          <w:numId w:val="35"/>
        </w:numPr>
        <w:tabs>
          <w:tab w:val="left" w:pos="567"/>
        </w:tabs>
        <w:ind w:left="567" w:hanging="567"/>
      </w:pPr>
      <w:r w:rsidRPr="002B65F7">
        <w:t>Paupière tombante et muscles affaissés sur un côté du visage (« paralysie faciale » ou</w:t>
      </w:r>
      <w:r w:rsidR="00CB2266" w:rsidRPr="002B65F7">
        <w:t xml:space="preserve"> </w:t>
      </w:r>
      <w:r w:rsidRPr="002B65F7">
        <w:t>«</w:t>
      </w:r>
      <w:r w:rsidR="0098089A">
        <w:t> </w:t>
      </w:r>
      <w:r w:rsidRPr="002B65F7">
        <w:t>paralysie dite de Bell »), ce qui est généralement temporaire</w:t>
      </w:r>
    </w:p>
    <w:p w14:paraId="03B58F50" w14:textId="6DC18120" w:rsidR="00092F83" w:rsidRPr="002B65F7" w:rsidRDefault="00C31740" w:rsidP="007A7B22">
      <w:pPr>
        <w:pStyle w:val="ListParagraph"/>
        <w:widowControl/>
        <w:numPr>
          <w:ilvl w:val="1"/>
          <w:numId w:val="35"/>
        </w:numPr>
        <w:tabs>
          <w:tab w:val="left" w:pos="567"/>
        </w:tabs>
        <w:ind w:left="567" w:hanging="567"/>
      </w:pPr>
      <w:r w:rsidRPr="002B65F7">
        <w:t>Un changement de l’aspect du psoriasis avec rougeur et apparition de petites vésicules jaunes ou blanches, parfois accompagnées de fièvre (psoriasis pustuleux).</w:t>
      </w:r>
    </w:p>
    <w:p w14:paraId="03B58F51" w14:textId="69046BDD" w:rsidR="00092F83" w:rsidRPr="002B65F7" w:rsidRDefault="00C31740" w:rsidP="007A7B22">
      <w:pPr>
        <w:pStyle w:val="ListParagraph"/>
        <w:widowControl/>
        <w:numPr>
          <w:ilvl w:val="1"/>
          <w:numId w:val="35"/>
        </w:numPr>
        <w:tabs>
          <w:tab w:val="left" w:pos="567"/>
        </w:tabs>
        <w:ind w:left="567" w:hanging="567"/>
      </w:pPr>
      <w:r w:rsidRPr="002B65F7">
        <w:t>Peau qui pèle (desquamation de la peau)</w:t>
      </w:r>
    </w:p>
    <w:p w14:paraId="03B58F52" w14:textId="3FA233D5" w:rsidR="00092F83" w:rsidRPr="002B65F7" w:rsidRDefault="00C31740" w:rsidP="007A7B22">
      <w:pPr>
        <w:pStyle w:val="ListParagraph"/>
        <w:widowControl/>
        <w:numPr>
          <w:ilvl w:val="1"/>
          <w:numId w:val="35"/>
        </w:numPr>
        <w:tabs>
          <w:tab w:val="left" w:pos="567"/>
        </w:tabs>
        <w:ind w:left="567" w:hanging="567"/>
      </w:pPr>
      <w:r w:rsidRPr="002B65F7">
        <w:t>Acné</w:t>
      </w:r>
    </w:p>
    <w:p w14:paraId="548B997D" w14:textId="77777777" w:rsidR="00CB2266" w:rsidRPr="002B65F7" w:rsidRDefault="00CB2266" w:rsidP="00496255">
      <w:pPr>
        <w:widowControl/>
        <w:rPr>
          <w:b/>
          <w:bCs/>
        </w:rPr>
      </w:pPr>
    </w:p>
    <w:p w14:paraId="03B58F53" w14:textId="1FD5C105" w:rsidR="00092F83" w:rsidRPr="002B65F7" w:rsidRDefault="00C31740" w:rsidP="00496255">
      <w:pPr>
        <w:keepNext/>
        <w:widowControl/>
      </w:pPr>
      <w:r w:rsidRPr="002B65F7">
        <w:rPr>
          <w:b/>
          <w:bCs/>
        </w:rPr>
        <w:t>Effets indésirables rares</w:t>
      </w:r>
      <w:r w:rsidRPr="002B65F7">
        <w:t xml:space="preserve"> (peuvent affecter jusqu’à 1</w:t>
      </w:r>
      <w:r w:rsidR="001B0C3A" w:rsidRPr="002B65F7">
        <w:t> </w:t>
      </w:r>
      <w:r w:rsidRPr="002B65F7">
        <w:t>personne sur 1</w:t>
      </w:r>
      <w:r w:rsidR="00CB2266" w:rsidRPr="002B65F7">
        <w:t> </w:t>
      </w:r>
      <w:r w:rsidRPr="002B65F7">
        <w:t>000) :</w:t>
      </w:r>
    </w:p>
    <w:p w14:paraId="03B58F54" w14:textId="33DC2B45" w:rsidR="00092F83" w:rsidRPr="002B65F7" w:rsidRDefault="00C31740" w:rsidP="007A7B22">
      <w:pPr>
        <w:pStyle w:val="ListParagraph"/>
        <w:keepNext/>
        <w:widowControl/>
        <w:numPr>
          <w:ilvl w:val="1"/>
          <w:numId w:val="35"/>
        </w:numPr>
        <w:tabs>
          <w:tab w:val="left" w:pos="567"/>
        </w:tabs>
        <w:ind w:left="567" w:hanging="567"/>
      </w:pPr>
      <w:r w:rsidRPr="002B65F7">
        <w:t>Rougeur et desquamation de la peau sur une surface corporelle plus étendue, qui peut démanger ou être douloureuse (érythrodermie). Des symptômes semblables se développent parfois dans le cadre de l’évolution naturelle de la maladie (psoriasis érythrodermique).</w:t>
      </w:r>
    </w:p>
    <w:p w14:paraId="03B58F55" w14:textId="672A7F67" w:rsidR="00092F83" w:rsidRPr="002B65F7" w:rsidRDefault="00C31740" w:rsidP="007A7B22">
      <w:pPr>
        <w:pStyle w:val="ListParagraph"/>
        <w:widowControl/>
        <w:numPr>
          <w:ilvl w:val="1"/>
          <w:numId w:val="35"/>
        </w:numPr>
        <w:tabs>
          <w:tab w:val="left" w:pos="567"/>
        </w:tabs>
        <w:ind w:left="567" w:hanging="567"/>
      </w:pPr>
      <w:r w:rsidRPr="002B65F7">
        <w:t>Inflammation des petits vaisseaux sanguins, pouvant entraîner une éruption cutanée accompagnée de petits boutons rouges ou violets, de la fièvre ou des douleurs articulaires (vascularite).</w:t>
      </w:r>
    </w:p>
    <w:p w14:paraId="5483C961" w14:textId="77777777" w:rsidR="00CB2266" w:rsidRPr="002B65F7" w:rsidRDefault="00CB2266" w:rsidP="00496255">
      <w:pPr>
        <w:widowControl/>
        <w:rPr>
          <w:b/>
          <w:bCs/>
        </w:rPr>
      </w:pPr>
    </w:p>
    <w:p w14:paraId="03B58F56" w14:textId="223C4635" w:rsidR="00092F83" w:rsidRPr="002B65F7" w:rsidRDefault="00C31740" w:rsidP="00496255">
      <w:pPr>
        <w:keepNext/>
        <w:widowControl/>
      </w:pPr>
      <w:r w:rsidRPr="002B65F7">
        <w:rPr>
          <w:b/>
          <w:bCs/>
        </w:rPr>
        <w:t>Effets indésirables très rares</w:t>
      </w:r>
      <w:r w:rsidRPr="002B65F7">
        <w:t xml:space="preserve"> (peuvent affecter jusqu’à 1</w:t>
      </w:r>
      <w:r w:rsidR="001B0C3A" w:rsidRPr="002B65F7">
        <w:t> </w:t>
      </w:r>
      <w:r w:rsidRPr="002B65F7">
        <w:t>personne sur 10</w:t>
      </w:r>
      <w:r w:rsidR="00CB2266" w:rsidRPr="002B65F7">
        <w:t> </w:t>
      </w:r>
      <w:r w:rsidRPr="002B65F7">
        <w:t>000) :</w:t>
      </w:r>
    </w:p>
    <w:p w14:paraId="03B58F57" w14:textId="24EF9D6F" w:rsidR="00092F83" w:rsidRPr="002B65F7" w:rsidRDefault="00C31740" w:rsidP="007A7B22">
      <w:pPr>
        <w:pStyle w:val="ListParagraph"/>
        <w:keepNext/>
        <w:widowControl/>
        <w:numPr>
          <w:ilvl w:val="1"/>
          <w:numId w:val="36"/>
        </w:numPr>
        <w:tabs>
          <w:tab w:val="left" w:pos="567"/>
        </w:tabs>
        <w:ind w:left="567" w:hanging="567"/>
      </w:pPr>
      <w:r w:rsidRPr="002B65F7">
        <w:t>Formation de cloques sur la peau, potentiellement accompagnées d’une rougeur, de démangeaisons et de douleurs (pemphigoïde bulleuse).</w:t>
      </w:r>
    </w:p>
    <w:p w14:paraId="03B58F58" w14:textId="3838F94F" w:rsidR="00092F83" w:rsidRPr="002B65F7" w:rsidRDefault="00C31740" w:rsidP="007A7B22">
      <w:pPr>
        <w:pStyle w:val="ListParagraph"/>
        <w:widowControl/>
        <w:numPr>
          <w:ilvl w:val="1"/>
          <w:numId w:val="36"/>
        </w:numPr>
        <w:tabs>
          <w:tab w:val="left" w:pos="567"/>
        </w:tabs>
        <w:ind w:left="567" w:hanging="567"/>
      </w:pPr>
      <w:r w:rsidRPr="002B65F7">
        <w:t>Lupus cutané ou syndrome de type lupus (éruption cutanée rouge, en relief, squameuse sur les zones de peau exposées au soleil, éventuellement associée à des douleurs articulaires).</w:t>
      </w:r>
    </w:p>
    <w:p w14:paraId="254DE8CF" w14:textId="77777777" w:rsidR="00CB2266" w:rsidRPr="002B65F7" w:rsidRDefault="00CB2266" w:rsidP="00496255">
      <w:pPr>
        <w:widowControl/>
      </w:pPr>
    </w:p>
    <w:p w14:paraId="03B58F59" w14:textId="3771D6E5" w:rsidR="00092F83" w:rsidRPr="002B65F7" w:rsidRDefault="00C31740" w:rsidP="00496255">
      <w:pPr>
        <w:keepNext/>
        <w:keepLines/>
        <w:widowControl/>
        <w:rPr>
          <w:b/>
          <w:bCs/>
        </w:rPr>
      </w:pPr>
      <w:r w:rsidRPr="002B65F7">
        <w:rPr>
          <w:b/>
          <w:bCs/>
        </w:rPr>
        <w:t>Déclaration des effets secondaires</w:t>
      </w:r>
    </w:p>
    <w:p w14:paraId="03B58F5A" w14:textId="0C1E53A1" w:rsidR="00092F83" w:rsidRPr="002B65F7" w:rsidRDefault="00C31740" w:rsidP="00496255">
      <w:pPr>
        <w:widowControl/>
      </w:pPr>
      <w:r w:rsidRPr="002B65F7">
        <w:t xml:space="preserve">Si vous ressentez un quelconque effet indésirable, parlez-en à votre médecin ou votre pharmacien. Ceci s’applique aussi à tout effet indésirable qui ne serait pas mentionné dans cette notice. Vous pouvez également déclarer les effets indésirables directement via </w:t>
      </w:r>
      <w:r>
        <w:rPr>
          <w:highlight w:val="lightGray"/>
        </w:rPr>
        <w:t xml:space="preserve">le système national de déclaration décrit en </w:t>
      </w:r>
      <w:hyperlink r:id="rId22" w:history="1">
        <w:r>
          <w:rPr>
            <w:rStyle w:val="Hyperlink"/>
            <w:highlight w:val="lightGray"/>
          </w:rPr>
          <w:t>Annexe V</w:t>
        </w:r>
      </w:hyperlink>
      <w:r w:rsidRPr="002B65F7">
        <w:t>. En signalant les effets indésirables, vous contribuez à fournir davantage d’informations sur la sécurité du médicament.</w:t>
      </w:r>
    </w:p>
    <w:p w14:paraId="03B58F5B" w14:textId="77777777" w:rsidR="00092F83" w:rsidRPr="002B65F7" w:rsidRDefault="00092F83" w:rsidP="00496255">
      <w:pPr>
        <w:widowControl/>
      </w:pPr>
    </w:p>
    <w:p w14:paraId="03B58F5C" w14:textId="77777777" w:rsidR="00092F83" w:rsidRPr="002B65F7" w:rsidRDefault="00092F83" w:rsidP="00496255">
      <w:pPr>
        <w:widowControl/>
      </w:pPr>
    </w:p>
    <w:p w14:paraId="03B58F5D" w14:textId="7BB14373" w:rsidR="00092F83" w:rsidRPr="002B65F7" w:rsidRDefault="00CB2266" w:rsidP="00496255">
      <w:pPr>
        <w:keepNext/>
        <w:widowControl/>
        <w:tabs>
          <w:tab w:val="left" w:pos="567"/>
        </w:tabs>
        <w:ind w:left="567" w:hanging="567"/>
        <w:rPr>
          <w:b/>
          <w:bCs/>
        </w:rPr>
      </w:pPr>
      <w:r w:rsidRPr="002B65F7">
        <w:rPr>
          <w:b/>
          <w:bCs/>
        </w:rPr>
        <w:t>5.</w:t>
      </w:r>
      <w:r w:rsidRPr="002B65F7">
        <w:rPr>
          <w:b/>
          <w:bCs/>
        </w:rPr>
        <w:tab/>
      </w:r>
      <w:r w:rsidR="00C31740" w:rsidRPr="002B65F7">
        <w:rPr>
          <w:b/>
          <w:bCs/>
        </w:rPr>
        <w:t xml:space="preserve">Comment conserver </w:t>
      </w:r>
      <w:r w:rsidR="003A1909" w:rsidRPr="002B65F7">
        <w:rPr>
          <w:b/>
          <w:bCs/>
        </w:rPr>
        <w:t>WEZENLA</w:t>
      </w:r>
    </w:p>
    <w:p w14:paraId="03B58F5E" w14:textId="77777777" w:rsidR="00092F83" w:rsidRPr="002B65F7" w:rsidRDefault="00092F83" w:rsidP="00496255">
      <w:pPr>
        <w:keepNext/>
        <w:widowControl/>
      </w:pPr>
    </w:p>
    <w:p w14:paraId="03B58F5F" w14:textId="3251D607" w:rsidR="00092F83" w:rsidRPr="002B65F7" w:rsidRDefault="00C31740" w:rsidP="007A7B22">
      <w:pPr>
        <w:pStyle w:val="ListParagraph"/>
        <w:widowControl/>
        <w:numPr>
          <w:ilvl w:val="1"/>
          <w:numId w:val="37"/>
        </w:numPr>
        <w:tabs>
          <w:tab w:val="left" w:pos="567"/>
        </w:tabs>
        <w:ind w:left="567" w:hanging="567"/>
      </w:pPr>
      <w:r w:rsidRPr="002B65F7">
        <w:t>Tenir ce médicament hors de la vue et de la portée des enfants.</w:t>
      </w:r>
    </w:p>
    <w:p w14:paraId="03B58F60" w14:textId="7CAF0433" w:rsidR="00092F83" w:rsidRPr="002B65F7" w:rsidRDefault="00C31740" w:rsidP="007A7B22">
      <w:pPr>
        <w:pStyle w:val="ListParagraph"/>
        <w:widowControl/>
        <w:numPr>
          <w:ilvl w:val="1"/>
          <w:numId w:val="37"/>
        </w:numPr>
        <w:tabs>
          <w:tab w:val="left" w:pos="567"/>
        </w:tabs>
        <w:ind w:left="567" w:hanging="567"/>
      </w:pPr>
      <w:r w:rsidRPr="002B65F7">
        <w:t>A conserver au réfrigérateur (entre 2°C et 8°C). Ne pas congeler.</w:t>
      </w:r>
    </w:p>
    <w:p w14:paraId="03B58F61" w14:textId="1F4C36E8" w:rsidR="00092F83" w:rsidRPr="002B65F7" w:rsidRDefault="00C31740" w:rsidP="007A7B22">
      <w:pPr>
        <w:pStyle w:val="ListParagraph"/>
        <w:widowControl/>
        <w:numPr>
          <w:ilvl w:val="1"/>
          <w:numId w:val="37"/>
        </w:numPr>
        <w:tabs>
          <w:tab w:val="left" w:pos="567"/>
        </w:tabs>
        <w:ind w:left="567" w:hanging="567"/>
      </w:pPr>
      <w:r w:rsidRPr="002B65F7">
        <w:t>Conserver le flacon dans l’emballage extérieur à l’abri de la lumière.</w:t>
      </w:r>
    </w:p>
    <w:p w14:paraId="27FA932F" w14:textId="0D16BF85" w:rsidR="008E2DA1" w:rsidRPr="002B65F7" w:rsidRDefault="005773B2" w:rsidP="007A7B22">
      <w:pPr>
        <w:pStyle w:val="ListParagraph"/>
        <w:widowControl/>
        <w:numPr>
          <w:ilvl w:val="1"/>
          <w:numId w:val="37"/>
        </w:numPr>
        <w:tabs>
          <w:tab w:val="left" w:pos="567"/>
        </w:tabs>
        <w:ind w:left="567" w:hanging="567"/>
      </w:pPr>
      <w:r w:rsidRPr="002B65F7">
        <w:t>Si nécessaire, l</w:t>
      </w:r>
      <w:r w:rsidR="008E2DA1" w:rsidRPr="002B65F7">
        <w:t xml:space="preserve">es flacons individuels de WEZENLA peuvent </w:t>
      </w:r>
      <w:r w:rsidR="002E1BFA" w:rsidRPr="002B65F7">
        <w:t>aussi</w:t>
      </w:r>
      <w:r w:rsidR="008E2DA1" w:rsidRPr="002B65F7">
        <w:t xml:space="preserve"> être conservés à température ambiante jusqu'à 30°C pendant une période unique de 30 jours maximum dans le carton d'origine à l’abri de la lumière. Inscrire la date à laquelle le flacon est retiré du réfrigérateur </w:t>
      </w:r>
      <w:r w:rsidR="00217AB1" w:rsidRPr="002B65F7">
        <w:t xml:space="preserve">et </w:t>
      </w:r>
      <w:r w:rsidR="008E2DA1" w:rsidRPr="002B65F7">
        <w:t xml:space="preserve">la date </w:t>
      </w:r>
      <w:r w:rsidRPr="002B65F7">
        <w:t>à laquelle il ne doit plus être utilisé</w:t>
      </w:r>
      <w:r w:rsidR="008E2DA1" w:rsidRPr="002B65F7">
        <w:t xml:space="preserve">. La date à laquelle le flacon ne doit plus être utilisé ne </w:t>
      </w:r>
      <w:r w:rsidR="008E2DA1" w:rsidRPr="002B65F7">
        <w:lastRenderedPageBreak/>
        <w:t>doit pas dépasser la date de péremption initiale imprimée sur le carton. Une fois qu'un flacon a été conservé à température ambiante (jusqu'à 30°C), il ne doit pas être remis au réfrigérateur. Jeter le flacon s’il n'est pas utilisé dans les 30 jours suivant sa conservation à température ambiante ou à la date de péremption initiale, si celle-ci est antérieure.</w:t>
      </w:r>
    </w:p>
    <w:p w14:paraId="23FD7D43" w14:textId="62A7DBF3" w:rsidR="008E2DA1" w:rsidRPr="002B65F7" w:rsidRDefault="008E2DA1" w:rsidP="007A7B22">
      <w:pPr>
        <w:pStyle w:val="ListParagraph"/>
        <w:widowControl/>
        <w:numPr>
          <w:ilvl w:val="1"/>
          <w:numId w:val="37"/>
        </w:numPr>
        <w:tabs>
          <w:tab w:val="left" w:pos="567"/>
        </w:tabs>
        <w:ind w:left="567" w:hanging="567"/>
      </w:pPr>
      <w:r w:rsidRPr="002B65F7">
        <w:t xml:space="preserve">Après prélèvement dans une seringue jetable, la stabilité </w:t>
      </w:r>
      <w:r w:rsidR="0018568F" w:rsidRPr="002B65F7">
        <w:t>physico-</w:t>
      </w:r>
      <w:r w:rsidRPr="002B65F7">
        <w:t xml:space="preserve">chimique </w:t>
      </w:r>
      <w:r w:rsidR="0018568F" w:rsidRPr="002B65F7">
        <w:t xml:space="preserve">de la solution diluée </w:t>
      </w:r>
      <w:r w:rsidRPr="002B65F7">
        <w:t xml:space="preserve">a été démontrée pendant 24 heures entre 15°C et 25°C. Ne pas remettre au réfrigérateur. D’un point de vue microbiologique, le produit doit être utilisé immédiatement. </w:t>
      </w:r>
      <w:r w:rsidR="00056803" w:rsidRPr="002B65F7">
        <w:t>En cas d’utilisation non immédiate, les durées et conditions de conservation après dilution relèvent de la seule responsabilité de l’utilisateur.</w:t>
      </w:r>
    </w:p>
    <w:p w14:paraId="03B58F62" w14:textId="146EED3A" w:rsidR="00092F83" w:rsidRPr="002B65F7" w:rsidRDefault="00C31740" w:rsidP="007A7B22">
      <w:pPr>
        <w:pStyle w:val="ListParagraph"/>
        <w:widowControl/>
        <w:numPr>
          <w:ilvl w:val="1"/>
          <w:numId w:val="37"/>
        </w:numPr>
        <w:tabs>
          <w:tab w:val="left" w:pos="567"/>
        </w:tabs>
        <w:ind w:left="567" w:hanging="567"/>
      </w:pPr>
      <w:r w:rsidRPr="002B65F7">
        <w:t xml:space="preserve">Ne pas agiter les flacons de </w:t>
      </w:r>
      <w:r w:rsidR="008E2DA1" w:rsidRPr="002B65F7">
        <w:t>WEZENLA</w:t>
      </w:r>
      <w:r w:rsidRPr="002B65F7">
        <w:t>. Une agitation prolongée et vigoureuse peut endommager le médicament.</w:t>
      </w:r>
    </w:p>
    <w:p w14:paraId="4FC857C5" w14:textId="77777777" w:rsidR="001B0C3A" w:rsidRPr="002B65F7" w:rsidRDefault="001B0C3A" w:rsidP="00496255">
      <w:pPr>
        <w:widowControl/>
      </w:pPr>
    </w:p>
    <w:p w14:paraId="03B58F63" w14:textId="52BDA0A2" w:rsidR="00092F83" w:rsidRPr="002B65F7" w:rsidRDefault="00C31740" w:rsidP="00496255">
      <w:pPr>
        <w:keepNext/>
        <w:widowControl/>
        <w:rPr>
          <w:b/>
          <w:bCs/>
        </w:rPr>
      </w:pPr>
      <w:r w:rsidRPr="002B65F7">
        <w:rPr>
          <w:b/>
          <w:bCs/>
        </w:rPr>
        <w:t>N’utilisez pas ce médicament</w:t>
      </w:r>
    </w:p>
    <w:p w14:paraId="03B58F64" w14:textId="36597512" w:rsidR="00092F83" w:rsidRPr="002B65F7" w:rsidRDefault="00C31740" w:rsidP="007A7B22">
      <w:pPr>
        <w:pStyle w:val="ListParagraph"/>
        <w:widowControl/>
        <w:numPr>
          <w:ilvl w:val="1"/>
          <w:numId w:val="38"/>
        </w:numPr>
        <w:tabs>
          <w:tab w:val="left" w:pos="567"/>
        </w:tabs>
        <w:ind w:left="567" w:hanging="567"/>
      </w:pPr>
      <w:r w:rsidRPr="002B65F7">
        <w:t>Après la date de péremption indiquée sur l’étiquette et l’emballage après “EXP”. La date de péremption fait référence au dernier jour de ce mois.</w:t>
      </w:r>
    </w:p>
    <w:p w14:paraId="03B58F66" w14:textId="6414DB68" w:rsidR="00092F83" w:rsidRPr="002B65F7" w:rsidRDefault="00C31740" w:rsidP="007A7B22">
      <w:pPr>
        <w:pStyle w:val="ListParagraph"/>
        <w:widowControl/>
        <w:numPr>
          <w:ilvl w:val="1"/>
          <w:numId w:val="38"/>
        </w:numPr>
        <w:tabs>
          <w:tab w:val="left" w:pos="567"/>
        </w:tabs>
        <w:ind w:left="567" w:hanging="567"/>
      </w:pPr>
      <w:r w:rsidRPr="002B65F7">
        <w:t>Si vous remarquez que le liquide est décoloré, laiteux ou si vous voyez des particules étrangères qui flottent (voir rubrique</w:t>
      </w:r>
      <w:r w:rsidR="00082658" w:rsidRPr="002B65F7">
        <w:t> </w:t>
      </w:r>
      <w:r w:rsidRPr="002B65F7">
        <w:t xml:space="preserve">6 « Comment se présente </w:t>
      </w:r>
      <w:r w:rsidR="008E2DA1" w:rsidRPr="002B65F7">
        <w:t>WEZENLA</w:t>
      </w:r>
      <w:r w:rsidRPr="002B65F7">
        <w:t xml:space="preserve"> et contenu de l’emballage</w:t>
      </w:r>
      <w:r w:rsidR="00446326" w:rsidRPr="002B65F7">
        <w:t xml:space="preserve"> </w:t>
      </w:r>
      <w:r w:rsidRPr="002B65F7">
        <w:t>extérieur »).</w:t>
      </w:r>
    </w:p>
    <w:p w14:paraId="03B58F67" w14:textId="6F7CEE64" w:rsidR="00092F83" w:rsidRPr="002B65F7" w:rsidRDefault="00C31740" w:rsidP="007A7B22">
      <w:pPr>
        <w:pStyle w:val="ListParagraph"/>
        <w:widowControl/>
        <w:numPr>
          <w:ilvl w:val="1"/>
          <w:numId w:val="38"/>
        </w:numPr>
        <w:tabs>
          <w:tab w:val="left" w:pos="567"/>
        </w:tabs>
        <w:ind w:left="567" w:hanging="567"/>
      </w:pPr>
      <w:r w:rsidRPr="002B65F7">
        <w:t>Si vous savez ou pensez que le produit a pu être exposé à des températures extrêmes (telle qu’une congélation ou un réchauffement accidentel).</w:t>
      </w:r>
    </w:p>
    <w:p w14:paraId="03B58F68" w14:textId="172BD266" w:rsidR="00092F83" w:rsidRPr="002B65F7" w:rsidRDefault="00C31740" w:rsidP="007A7B22">
      <w:pPr>
        <w:pStyle w:val="ListParagraph"/>
        <w:widowControl/>
        <w:numPr>
          <w:ilvl w:val="1"/>
          <w:numId w:val="38"/>
        </w:numPr>
        <w:tabs>
          <w:tab w:val="left" w:pos="567"/>
        </w:tabs>
        <w:ind w:left="567" w:hanging="567"/>
      </w:pPr>
      <w:r w:rsidRPr="002B65F7">
        <w:t>Si le produit a été vigoureusement agité.</w:t>
      </w:r>
    </w:p>
    <w:p w14:paraId="03B58F69" w14:textId="06EB358D" w:rsidR="00092F83" w:rsidRPr="002B65F7" w:rsidRDefault="00C31740" w:rsidP="007A7B22">
      <w:pPr>
        <w:pStyle w:val="ListParagraph"/>
        <w:widowControl/>
        <w:numPr>
          <w:ilvl w:val="1"/>
          <w:numId w:val="38"/>
        </w:numPr>
        <w:tabs>
          <w:tab w:val="left" w:pos="567"/>
        </w:tabs>
        <w:ind w:left="567" w:hanging="567"/>
      </w:pPr>
      <w:r w:rsidRPr="002B65F7">
        <w:t>Si le scellage est endommagé.</w:t>
      </w:r>
    </w:p>
    <w:p w14:paraId="7F12D098" w14:textId="77777777" w:rsidR="007D46C1" w:rsidRPr="002B65F7" w:rsidRDefault="007D46C1" w:rsidP="00496255">
      <w:pPr>
        <w:widowControl/>
      </w:pPr>
    </w:p>
    <w:p w14:paraId="03B58F6A" w14:textId="0DAB584C" w:rsidR="00092F83" w:rsidRPr="002B65F7" w:rsidRDefault="008E2DA1" w:rsidP="00496255">
      <w:pPr>
        <w:widowControl/>
      </w:pPr>
      <w:r w:rsidRPr="002B65F7">
        <w:t>WEZENLA</w:t>
      </w:r>
      <w:r w:rsidR="00C31740" w:rsidRPr="002B65F7">
        <w:t xml:space="preserve"> est à usage unique. Tout médicament non utilisé restant dans le flacon et la seringue doit être jeté. Ne jetez aucun médicament au tout à l’égout ou avec les ordures ménagères. Demandez à votre pharmacien d’éliminer les médicaments que vous n’utilisez plus. Ces mesures contribueront à protéger l’environnement.</w:t>
      </w:r>
    </w:p>
    <w:p w14:paraId="718C203A" w14:textId="77777777" w:rsidR="00092F83" w:rsidRPr="002B65F7" w:rsidRDefault="00092F83" w:rsidP="00496255">
      <w:pPr>
        <w:widowControl/>
      </w:pPr>
    </w:p>
    <w:p w14:paraId="38C6FF0F" w14:textId="77777777" w:rsidR="0016294B" w:rsidRPr="002B65F7" w:rsidRDefault="0016294B" w:rsidP="00496255">
      <w:pPr>
        <w:widowControl/>
      </w:pPr>
    </w:p>
    <w:p w14:paraId="03B58F6C" w14:textId="08BEE0C7" w:rsidR="00092F83" w:rsidRPr="002B65F7" w:rsidRDefault="007D46C1" w:rsidP="00496255">
      <w:pPr>
        <w:keepNext/>
        <w:widowControl/>
        <w:tabs>
          <w:tab w:val="left" w:pos="567"/>
        </w:tabs>
        <w:ind w:left="567" w:hanging="567"/>
        <w:rPr>
          <w:b/>
          <w:bCs/>
        </w:rPr>
      </w:pPr>
      <w:r w:rsidRPr="002B65F7">
        <w:rPr>
          <w:b/>
          <w:bCs/>
        </w:rPr>
        <w:t>6.</w:t>
      </w:r>
      <w:r w:rsidRPr="002B65F7">
        <w:rPr>
          <w:b/>
          <w:bCs/>
        </w:rPr>
        <w:tab/>
      </w:r>
      <w:r w:rsidR="00C31740" w:rsidRPr="002B65F7">
        <w:rPr>
          <w:b/>
          <w:bCs/>
        </w:rPr>
        <w:t>Contenu de l’emballage et autres informations</w:t>
      </w:r>
    </w:p>
    <w:p w14:paraId="03B58F6D" w14:textId="77777777" w:rsidR="00092F83" w:rsidRPr="002B65F7" w:rsidRDefault="00092F83" w:rsidP="00496255">
      <w:pPr>
        <w:keepNext/>
        <w:widowControl/>
      </w:pPr>
    </w:p>
    <w:p w14:paraId="03B58F6E" w14:textId="6A3ECAB6" w:rsidR="00092F83" w:rsidRPr="002B65F7" w:rsidRDefault="00C31740" w:rsidP="00496255">
      <w:pPr>
        <w:keepNext/>
        <w:widowControl/>
        <w:rPr>
          <w:b/>
          <w:bCs/>
        </w:rPr>
      </w:pPr>
      <w:r w:rsidRPr="002B65F7">
        <w:rPr>
          <w:b/>
          <w:bCs/>
        </w:rPr>
        <w:t xml:space="preserve">Ce que contient </w:t>
      </w:r>
      <w:r w:rsidR="008E2DA1" w:rsidRPr="002B65F7">
        <w:rPr>
          <w:b/>
          <w:bCs/>
        </w:rPr>
        <w:t>WEZENLA</w:t>
      </w:r>
    </w:p>
    <w:p w14:paraId="03B58F6F" w14:textId="6DE00C42" w:rsidR="00092F83" w:rsidRPr="002B65F7" w:rsidRDefault="00C31740" w:rsidP="007A7B22">
      <w:pPr>
        <w:pStyle w:val="ListParagraph"/>
        <w:keepNext/>
        <w:widowControl/>
        <w:numPr>
          <w:ilvl w:val="1"/>
          <w:numId w:val="39"/>
        </w:numPr>
        <w:tabs>
          <w:tab w:val="left" w:pos="567"/>
        </w:tabs>
        <w:ind w:left="567" w:hanging="567"/>
      </w:pPr>
      <w:r w:rsidRPr="002B65F7">
        <w:t>La substance active est l’</w:t>
      </w:r>
      <w:r w:rsidR="0071390F" w:rsidRPr="002B65F7">
        <w:t>ustekinumab</w:t>
      </w:r>
      <w:r w:rsidRPr="002B65F7">
        <w:t>. Chaque flacon contient 45</w:t>
      </w:r>
      <w:r w:rsidR="005F7D16" w:rsidRPr="002B65F7">
        <w:t> </w:t>
      </w:r>
      <w:r w:rsidRPr="002B65F7">
        <w:t>mg d’</w:t>
      </w:r>
      <w:r w:rsidR="0071390F" w:rsidRPr="002B65F7">
        <w:t>ustekinumab</w:t>
      </w:r>
      <w:r w:rsidRPr="002B65F7">
        <w:t xml:space="preserve"> dans 0,5</w:t>
      </w:r>
      <w:r w:rsidR="009A0F91" w:rsidRPr="002B65F7">
        <w:t> </w:t>
      </w:r>
      <w:r w:rsidRPr="002B65F7">
        <w:t>mL.</w:t>
      </w:r>
    </w:p>
    <w:p w14:paraId="03B58F70" w14:textId="042FB211" w:rsidR="00092F83" w:rsidRPr="002B65F7" w:rsidRDefault="00C31740" w:rsidP="007A7B22">
      <w:pPr>
        <w:pStyle w:val="ListParagraph"/>
        <w:widowControl/>
        <w:numPr>
          <w:ilvl w:val="1"/>
          <w:numId w:val="39"/>
        </w:numPr>
        <w:tabs>
          <w:tab w:val="left" w:pos="567"/>
        </w:tabs>
        <w:ind w:left="567" w:hanging="567"/>
      </w:pPr>
      <w:r w:rsidRPr="002B65F7">
        <w:t>Les autres composants sont : L-histidine, chlorhydrate monohydraté de L-histidine, polysorbate</w:t>
      </w:r>
      <w:r w:rsidR="00AE469E" w:rsidRPr="002B65F7">
        <w:t> </w:t>
      </w:r>
      <w:r w:rsidRPr="002B65F7">
        <w:t>80</w:t>
      </w:r>
      <w:r w:rsidR="000A3810">
        <w:t xml:space="preserve"> (E</w:t>
      </w:r>
      <w:r w:rsidR="000A3810" w:rsidRPr="002B65F7">
        <w:t> </w:t>
      </w:r>
      <w:r w:rsidR="000A3810">
        <w:t>433)</w:t>
      </w:r>
      <w:r w:rsidRPr="002B65F7">
        <w:t>, saccharose et eau pour préparations injectables.</w:t>
      </w:r>
    </w:p>
    <w:p w14:paraId="2BB53531" w14:textId="77777777" w:rsidR="007D46C1" w:rsidRPr="002B65F7" w:rsidRDefault="007D46C1" w:rsidP="00496255">
      <w:pPr>
        <w:widowControl/>
      </w:pPr>
    </w:p>
    <w:p w14:paraId="03B58F71" w14:textId="258DB1C9" w:rsidR="00092F83" w:rsidRPr="002B65F7" w:rsidRDefault="00C31740" w:rsidP="00496255">
      <w:pPr>
        <w:keepNext/>
        <w:widowControl/>
        <w:rPr>
          <w:b/>
          <w:bCs/>
        </w:rPr>
      </w:pPr>
      <w:r w:rsidRPr="002B65F7">
        <w:rPr>
          <w:b/>
          <w:bCs/>
        </w:rPr>
        <w:t xml:space="preserve">Comment se présente </w:t>
      </w:r>
      <w:r w:rsidR="008E2DA1" w:rsidRPr="002B65F7">
        <w:rPr>
          <w:b/>
          <w:bCs/>
        </w:rPr>
        <w:t>WEZENLA</w:t>
      </w:r>
      <w:r w:rsidRPr="002B65F7">
        <w:rPr>
          <w:b/>
          <w:bCs/>
        </w:rPr>
        <w:t xml:space="preserve"> et contenu de l’emballage extérieur</w:t>
      </w:r>
    </w:p>
    <w:p w14:paraId="03B58F72" w14:textId="627D95CF" w:rsidR="00092F83" w:rsidRPr="002B65F7" w:rsidRDefault="008E2DA1" w:rsidP="00496255">
      <w:pPr>
        <w:widowControl/>
      </w:pPr>
      <w:r w:rsidRPr="002B65F7">
        <w:t>WEZENLA</w:t>
      </w:r>
      <w:r w:rsidR="00C31740" w:rsidRPr="002B65F7">
        <w:t xml:space="preserve"> est une solution injectable limpide à opalescente, incolore à jaune clair. Elle est fournie dans un emballage cartonné contenant un flacon unidose en verre de 2</w:t>
      </w:r>
      <w:r w:rsidR="005F7D16" w:rsidRPr="002B65F7">
        <w:t> </w:t>
      </w:r>
      <w:r w:rsidR="00C31740" w:rsidRPr="002B65F7">
        <w:t>mL. Chaque flacon contient 45</w:t>
      </w:r>
      <w:r w:rsidR="005F7D16" w:rsidRPr="002B65F7">
        <w:t> </w:t>
      </w:r>
      <w:r w:rsidR="00C31740" w:rsidRPr="002B65F7">
        <w:t>mg d’</w:t>
      </w:r>
      <w:r w:rsidR="0071390F" w:rsidRPr="002B65F7">
        <w:t>ustekinumab</w:t>
      </w:r>
      <w:r w:rsidR="00C31740" w:rsidRPr="002B65F7">
        <w:t xml:space="preserve"> dans 0,5</w:t>
      </w:r>
      <w:r w:rsidR="005F7D16" w:rsidRPr="002B65F7">
        <w:t> </w:t>
      </w:r>
      <w:r w:rsidR="00C31740" w:rsidRPr="002B65F7">
        <w:t>mL de solution injectable.</w:t>
      </w:r>
    </w:p>
    <w:p w14:paraId="1109DEB7" w14:textId="77777777" w:rsidR="007D46C1" w:rsidRPr="002B65F7" w:rsidRDefault="007D46C1" w:rsidP="00496255">
      <w:pPr>
        <w:widowControl/>
      </w:pPr>
    </w:p>
    <w:p w14:paraId="03B58F73" w14:textId="65534D29" w:rsidR="00092F83" w:rsidRPr="00A2167E" w:rsidRDefault="00C31740" w:rsidP="00496255">
      <w:pPr>
        <w:keepNext/>
        <w:keepLines/>
        <w:widowControl/>
        <w:rPr>
          <w:b/>
          <w:bCs/>
          <w:highlight w:val="lightGray"/>
        </w:rPr>
      </w:pPr>
      <w:r w:rsidRPr="00A2167E">
        <w:rPr>
          <w:b/>
          <w:bCs/>
          <w:highlight w:val="lightGray"/>
        </w:rPr>
        <w:t>Titulaire de l’Autorisation de mise sur le marché</w:t>
      </w:r>
      <w:r w:rsidR="008E2DA1" w:rsidRPr="00A2167E">
        <w:rPr>
          <w:b/>
          <w:bCs/>
          <w:highlight w:val="lightGray"/>
        </w:rPr>
        <w:t xml:space="preserve"> et </w:t>
      </w:r>
      <w:r w:rsidR="005773B2" w:rsidRPr="00A2167E">
        <w:rPr>
          <w:b/>
          <w:bCs/>
          <w:highlight w:val="lightGray"/>
        </w:rPr>
        <w:t>f</w:t>
      </w:r>
      <w:r w:rsidR="008E2DA1" w:rsidRPr="00A2167E">
        <w:rPr>
          <w:b/>
          <w:bCs/>
          <w:highlight w:val="lightGray"/>
        </w:rPr>
        <w:t>abricant</w:t>
      </w:r>
    </w:p>
    <w:p w14:paraId="6CF84FB8" w14:textId="77777777" w:rsidR="008E2DA1" w:rsidRPr="00C93DAC" w:rsidRDefault="008E2DA1" w:rsidP="008E2DA1">
      <w:pPr>
        <w:rPr>
          <w:highlight w:val="lightGray"/>
          <w:lang w:val="en-GB"/>
        </w:rPr>
      </w:pPr>
      <w:r w:rsidRPr="00C93DAC">
        <w:rPr>
          <w:highlight w:val="lightGray"/>
          <w:lang w:val="en-GB"/>
        </w:rPr>
        <w:t>Amgen Technology (Ireland) UC,</w:t>
      </w:r>
    </w:p>
    <w:p w14:paraId="0D172515" w14:textId="77777777" w:rsidR="008E2DA1" w:rsidRPr="00A2167E" w:rsidRDefault="008E2DA1" w:rsidP="008E2DA1">
      <w:pPr>
        <w:rPr>
          <w:highlight w:val="lightGray"/>
          <w:lang w:val="en-GB"/>
        </w:rPr>
      </w:pPr>
      <w:r w:rsidRPr="00A2167E">
        <w:rPr>
          <w:highlight w:val="lightGray"/>
          <w:lang w:val="en-GB"/>
        </w:rPr>
        <w:t>Pottery Road,</w:t>
      </w:r>
    </w:p>
    <w:p w14:paraId="4BF64502" w14:textId="77777777" w:rsidR="008E2DA1" w:rsidRPr="00A2167E" w:rsidRDefault="008E2DA1" w:rsidP="008E2DA1">
      <w:pPr>
        <w:rPr>
          <w:highlight w:val="lightGray"/>
        </w:rPr>
      </w:pPr>
      <w:r w:rsidRPr="00A2167E">
        <w:rPr>
          <w:highlight w:val="lightGray"/>
        </w:rPr>
        <w:t>Dun Laoghaire,</w:t>
      </w:r>
    </w:p>
    <w:p w14:paraId="41C24846" w14:textId="77777777" w:rsidR="008E2DA1" w:rsidRPr="00A2167E" w:rsidRDefault="008E2DA1" w:rsidP="008E2DA1">
      <w:pPr>
        <w:rPr>
          <w:highlight w:val="lightGray"/>
        </w:rPr>
      </w:pPr>
      <w:r w:rsidRPr="00A2167E">
        <w:rPr>
          <w:highlight w:val="lightGray"/>
        </w:rPr>
        <w:t>Co Dublin,</w:t>
      </w:r>
    </w:p>
    <w:p w14:paraId="555B8A82" w14:textId="7B63953F" w:rsidR="008E2DA1" w:rsidRPr="002B65F7" w:rsidRDefault="008E2DA1" w:rsidP="008E2DA1">
      <w:r w:rsidRPr="00A2167E">
        <w:rPr>
          <w:highlight w:val="lightGray"/>
        </w:rPr>
        <w:t>Irlande</w:t>
      </w:r>
    </w:p>
    <w:p w14:paraId="03B58F75" w14:textId="432334A9" w:rsidR="00092F83" w:rsidRPr="002B65F7" w:rsidRDefault="00092F83" w:rsidP="00496255">
      <w:pPr>
        <w:widowControl/>
      </w:pPr>
    </w:p>
    <w:p w14:paraId="0BA3C6B3" w14:textId="77777777" w:rsidR="008E2DA1" w:rsidRPr="007A0B02" w:rsidRDefault="008E2DA1" w:rsidP="003743BD">
      <w:pPr>
        <w:widowControl/>
        <w:rPr>
          <w:b/>
          <w:bCs/>
        </w:rPr>
      </w:pPr>
      <w:r w:rsidRPr="00A2167E">
        <w:rPr>
          <w:b/>
          <w:bCs/>
        </w:rPr>
        <w:t>Titulaire de l’Autorisation de mise sur le marché</w:t>
      </w:r>
      <w:r w:rsidRPr="007A0B02">
        <w:rPr>
          <w:b/>
          <w:bCs/>
        </w:rPr>
        <w:t xml:space="preserve"> </w:t>
      </w:r>
    </w:p>
    <w:p w14:paraId="042C8B2C" w14:textId="77777777" w:rsidR="008E2DA1" w:rsidRPr="00A2167E" w:rsidRDefault="008E2DA1" w:rsidP="003743BD">
      <w:pPr>
        <w:rPr>
          <w:lang w:val="en-GB"/>
        </w:rPr>
      </w:pPr>
      <w:r w:rsidRPr="00A2167E">
        <w:rPr>
          <w:lang w:val="en-GB"/>
        </w:rPr>
        <w:t>Amgen Technology (Ireland) UC,</w:t>
      </w:r>
    </w:p>
    <w:p w14:paraId="3BE3D0E8" w14:textId="77777777" w:rsidR="008E2DA1" w:rsidRPr="00A2167E" w:rsidRDefault="008E2DA1" w:rsidP="003743BD">
      <w:pPr>
        <w:rPr>
          <w:lang w:val="en-GB"/>
        </w:rPr>
      </w:pPr>
      <w:r w:rsidRPr="00A2167E">
        <w:rPr>
          <w:lang w:val="en-GB"/>
        </w:rPr>
        <w:t>Pottery Road,</w:t>
      </w:r>
    </w:p>
    <w:p w14:paraId="2DD2176B" w14:textId="77777777" w:rsidR="008E2DA1" w:rsidRPr="00A2167E" w:rsidRDefault="008E2DA1" w:rsidP="003743BD">
      <w:r w:rsidRPr="00A2167E">
        <w:t>Dun Laoghaire,</w:t>
      </w:r>
    </w:p>
    <w:p w14:paraId="6FD9341E" w14:textId="77777777" w:rsidR="008E2DA1" w:rsidRPr="00A2167E" w:rsidRDefault="008E2DA1" w:rsidP="003743BD">
      <w:r w:rsidRPr="00A2167E">
        <w:t>Co Dublin,</w:t>
      </w:r>
    </w:p>
    <w:p w14:paraId="23C30B05" w14:textId="72974D36" w:rsidR="00B85085" w:rsidRPr="00A2167E" w:rsidRDefault="008E2DA1" w:rsidP="00303F06">
      <w:r w:rsidRPr="00A2167E">
        <w:t>Irlande</w:t>
      </w:r>
    </w:p>
    <w:p w14:paraId="76BF4B69" w14:textId="77777777" w:rsidR="007A0B02" w:rsidRPr="00A2167E" w:rsidRDefault="007A0B02" w:rsidP="00303F06">
      <w:pPr>
        <w:rPr>
          <w:highlight w:val="lightGray"/>
        </w:rPr>
      </w:pPr>
    </w:p>
    <w:p w14:paraId="2A0966A7" w14:textId="77777777" w:rsidR="007A0B02" w:rsidRPr="00052720" w:rsidRDefault="007A0B02" w:rsidP="007A0B02">
      <w:pPr>
        <w:keepNext/>
        <w:widowControl/>
        <w:rPr>
          <w:b/>
          <w:bCs/>
        </w:rPr>
      </w:pPr>
      <w:r w:rsidRPr="00052720">
        <w:rPr>
          <w:b/>
          <w:bCs/>
        </w:rPr>
        <w:lastRenderedPageBreak/>
        <w:t>Fabricant</w:t>
      </w:r>
    </w:p>
    <w:p w14:paraId="45B3D961" w14:textId="77777777" w:rsidR="007A0B02" w:rsidRPr="005004AE" w:rsidRDefault="007A0B02" w:rsidP="007A0B02">
      <w:pPr>
        <w:keepNext/>
        <w:numPr>
          <w:ilvl w:val="12"/>
          <w:numId w:val="0"/>
        </w:numPr>
        <w:rPr>
          <w:lang w:val="da-DK"/>
        </w:rPr>
      </w:pPr>
      <w:r w:rsidRPr="005004AE">
        <w:rPr>
          <w:lang w:val="da-DK"/>
        </w:rPr>
        <w:t xml:space="preserve">Amgen Europe B.V., </w:t>
      </w:r>
    </w:p>
    <w:p w14:paraId="1FA7275F" w14:textId="77777777" w:rsidR="007A0B02" w:rsidRPr="005004AE" w:rsidRDefault="007A0B02" w:rsidP="007A0B02">
      <w:pPr>
        <w:keepNext/>
        <w:numPr>
          <w:ilvl w:val="12"/>
          <w:numId w:val="0"/>
        </w:numPr>
        <w:rPr>
          <w:lang w:val="da-DK"/>
        </w:rPr>
      </w:pPr>
      <w:r w:rsidRPr="005004AE">
        <w:rPr>
          <w:lang w:val="da-DK"/>
        </w:rPr>
        <w:t xml:space="preserve">Minervum 7061, </w:t>
      </w:r>
    </w:p>
    <w:p w14:paraId="6A9E25C6" w14:textId="77777777" w:rsidR="007A0B02" w:rsidRPr="00C343A4" w:rsidRDefault="007A0B02" w:rsidP="007A0B02">
      <w:pPr>
        <w:keepNext/>
        <w:numPr>
          <w:ilvl w:val="12"/>
          <w:numId w:val="0"/>
        </w:numPr>
        <w:rPr>
          <w:rPrChange w:id="51" w:author="Author">
            <w:rPr>
              <w:lang w:val="en-IN"/>
            </w:rPr>
          </w:rPrChange>
        </w:rPr>
      </w:pPr>
      <w:r w:rsidRPr="00C343A4">
        <w:rPr>
          <w:rPrChange w:id="52" w:author="Author">
            <w:rPr>
              <w:lang w:val="en-IN"/>
            </w:rPr>
          </w:rPrChange>
        </w:rPr>
        <w:t xml:space="preserve">4817 ZK Breda, </w:t>
      </w:r>
    </w:p>
    <w:p w14:paraId="109FAD6E" w14:textId="39918396" w:rsidR="007A0B02" w:rsidRPr="00A2167E" w:rsidRDefault="007A0B02" w:rsidP="00A2167E">
      <w:pPr>
        <w:keepNext/>
        <w:numPr>
          <w:ilvl w:val="12"/>
          <w:numId w:val="0"/>
        </w:numPr>
        <w:rPr>
          <w:highlight w:val="lightGray"/>
        </w:rPr>
      </w:pPr>
      <w:r w:rsidRPr="00A2167E">
        <w:t>Pays-Bas</w:t>
      </w:r>
    </w:p>
    <w:p w14:paraId="7D632E56" w14:textId="77777777" w:rsidR="008E2DA1" w:rsidRPr="00A2167E" w:rsidRDefault="008E2DA1" w:rsidP="00496255">
      <w:pPr>
        <w:keepNext/>
        <w:widowControl/>
        <w:rPr>
          <w:b/>
          <w:bCs/>
        </w:rPr>
      </w:pPr>
    </w:p>
    <w:p w14:paraId="03B58F76" w14:textId="218EC689" w:rsidR="00092F83" w:rsidRPr="00A2167E" w:rsidRDefault="00C31740" w:rsidP="00496255">
      <w:pPr>
        <w:keepNext/>
        <w:widowControl/>
        <w:rPr>
          <w:b/>
          <w:bCs/>
        </w:rPr>
      </w:pPr>
      <w:r w:rsidRPr="00A2167E">
        <w:rPr>
          <w:b/>
          <w:bCs/>
          <w:highlight w:val="lightGray"/>
        </w:rPr>
        <w:t>Fabricant</w:t>
      </w:r>
    </w:p>
    <w:p w14:paraId="2DDFDD1A" w14:textId="77777777" w:rsidR="008E2DA1" w:rsidRPr="00A2167E" w:rsidRDefault="008E2DA1" w:rsidP="008E2DA1">
      <w:pPr>
        <w:rPr>
          <w:highlight w:val="lightGray"/>
        </w:rPr>
      </w:pPr>
      <w:r w:rsidRPr="00A2167E">
        <w:rPr>
          <w:highlight w:val="lightGray"/>
        </w:rPr>
        <w:t>Amgen NV</w:t>
      </w:r>
    </w:p>
    <w:p w14:paraId="0031F76E" w14:textId="77777777" w:rsidR="008E2DA1" w:rsidRPr="00A2167E" w:rsidRDefault="008E2DA1" w:rsidP="008E2DA1">
      <w:pPr>
        <w:rPr>
          <w:highlight w:val="lightGray"/>
        </w:rPr>
      </w:pPr>
      <w:r w:rsidRPr="00A2167E">
        <w:rPr>
          <w:highlight w:val="lightGray"/>
        </w:rPr>
        <w:t>Telecomlaan 5-7</w:t>
      </w:r>
    </w:p>
    <w:p w14:paraId="17EDE74B" w14:textId="77777777" w:rsidR="008E2DA1" w:rsidRDefault="008E2DA1" w:rsidP="008E2DA1">
      <w:pPr>
        <w:rPr>
          <w:highlight w:val="lightGray"/>
        </w:rPr>
      </w:pPr>
      <w:r>
        <w:rPr>
          <w:highlight w:val="lightGray"/>
        </w:rPr>
        <w:t>1831 Diegem</w:t>
      </w:r>
    </w:p>
    <w:p w14:paraId="1CCEE1CC" w14:textId="3DD695E2" w:rsidR="008E2DA1" w:rsidRPr="002B65F7" w:rsidRDefault="008E2DA1" w:rsidP="008E2DA1">
      <w:r>
        <w:rPr>
          <w:highlight w:val="lightGray"/>
        </w:rPr>
        <w:t>Belgique</w:t>
      </w:r>
    </w:p>
    <w:p w14:paraId="0579F494" w14:textId="77777777" w:rsidR="007D46C1" w:rsidRPr="002B65F7" w:rsidRDefault="007D46C1" w:rsidP="00496255">
      <w:pPr>
        <w:widowControl/>
      </w:pPr>
    </w:p>
    <w:p w14:paraId="03B58F7A" w14:textId="723F67B1" w:rsidR="00092F83" w:rsidRPr="002B65F7" w:rsidRDefault="00C31740" w:rsidP="00B007D2">
      <w:pPr>
        <w:keepNext/>
        <w:widowControl/>
      </w:pPr>
      <w:r w:rsidRPr="002B65F7">
        <w:t>Pour toute information complémentaire concernant ce médicament, veuillez prendre contact avec le représentant local du titulaire de l’autorisation de mise sur le marché :</w:t>
      </w:r>
    </w:p>
    <w:p w14:paraId="07655DAE" w14:textId="77777777" w:rsidR="007D46C1" w:rsidRPr="002B65F7" w:rsidRDefault="007D46C1" w:rsidP="00B007D2">
      <w:pPr>
        <w:keepNext/>
        <w:widowControl/>
      </w:pPr>
    </w:p>
    <w:tbl>
      <w:tblPr>
        <w:tblW w:w="9360" w:type="dxa"/>
        <w:tblInd w:w="-34" w:type="dxa"/>
        <w:tblLayout w:type="fixed"/>
        <w:tblLook w:val="04A0" w:firstRow="1" w:lastRow="0" w:firstColumn="1" w:lastColumn="0" w:noHBand="0" w:noVBand="1"/>
      </w:tblPr>
      <w:tblGrid>
        <w:gridCol w:w="4680"/>
        <w:gridCol w:w="4680"/>
      </w:tblGrid>
      <w:tr w:rsidR="008E2DA1" w:rsidRPr="002B65F7" w14:paraId="316B560E" w14:textId="77777777" w:rsidTr="00BF70DA">
        <w:trPr>
          <w:cantSplit/>
          <w:trHeight w:val="57"/>
        </w:trPr>
        <w:tc>
          <w:tcPr>
            <w:tcW w:w="4680" w:type="dxa"/>
          </w:tcPr>
          <w:p w14:paraId="37BA8704" w14:textId="77777777" w:rsidR="008E2DA1" w:rsidRPr="002B65F7" w:rsidRDefault="008E2DA1" w:rsidP="00BB6F00">
            <w:pPr>
              <w:widowControl/>
              <w:adjustRightInd w:val="0"/>
              <w:snapToGrid w:val="0"/>
              <w:rPr>
                <w:b/>
                <w:bCs/>
              </w:rPr>
            </w:pPr>
            <w:r w:rsidRPr="002B65F7">
              <w:rPr>
                <w:b/>
                <w:bCs/>
              </w:rPr>
              <w:t>België/Belgique/Belgien</w:t>
            </w:r>
          </w:p>
          <w:p w14:paraId="09DA6CC4" w14:textId="77777777" w:rsidR="008E2DA1" w:rsidRPr="002B65F7" w:rsidRDefault="008E2DA1" w:rsidP="00BB6F00">
            <w:pPr>
              <w:widowControl/>
              <w:adjustRightInd w:val="0"/>
              <w:snapToGrid w:val="0"/>
            </w:pPr>
            <w:r w:rsidRPr="002B65F7">
              <w:t>s.a. Amgen n.v.</w:t>
            </w:r>
          </w:p>
          <w:p w14:paraId="1B8B3EA6" w14:textId="00744359" w:rsidR="008E2DA1" w:rsidRPr="002B65F7" w:rsidRDefault="008E2DA1" w:rsidP="00BB6F00">
            <w:pPr>
              <w:widowControl/>
              <w:adjustRightInd w:val="0"/>
              <w:snapToGrid w:val="0"/>
            </w:pPr>
            <w:r w:rsidRPr="002B65F7">
              <w:t>Tél</w:t>
            </w:r>
            <w:r w:rsidR="00F235DC" w:rsidRPr="002B65F7">
              <w:t>/Tel</w:t>
            </w:r>
            <w:r w:rsidRPr="002B65F7">
              <w:t>: +32 (0)2 7752711</w:t>
            </w:r>
          </w:p>
          <w:p w14:paraId="47EF168F" w14:textId="77777777" w:rsidR="008E2DA1" w:rsidRPr="002B65F7" w:rsidRDefault="008E2DA1" w:rsidP="00BB6F00">
            <w:pPr>
              <w:widowControl/>
              <w:adjustRightInd w:val="0"/>
              <w:snapToGrid w:val="0"/>
            </w:pPr>
          </w:p>
        </w:tc>
        <w:tc>
          <w:tcPr>
            <w:tcW w:w="4680" w:type="dxa"/>
          </w:tcPr>
          <w:p w14:paraId="3A4144E4" w14:textId="77777777" w:rsidR="008E2DA1" w:rsidRPr="002B65F7" w:rsidRDefault="008E2DA1" w:rsidP="00BB6F00">
            <w:pPr>
              <w:widowControl/>
              <w:adjustRightInd w:val="0"/>
              <w:snapToGrid w:val="0"/>
              <w:rPr>
                <w:b/>
                <w:bCs/>
              </w:rPr>
            </w:pPr>
            <w:r w:rsidRPr="002B65F7">
              <w:rPr>
                <w:b/>
                <w:bCs/>
              </w:rPr>
              <w:t>Lietuva</w:t>
            </w:r>
          </w:p>
          <w:p w14:paraId="74FCA99B" w14:textId="77777777" w:rsidR="008E2DA1" w:rsidRPr="002B65F7" w:rsidRDefault="008E2DA1" w:rsidP="00BB6F00">
            <w:pPr>
              <w:widowControl/>
              <w:adjustRightInd w:val="0"/>
              <w:snapToGrid w:val="0"/>
            </w:pPr>
            <w:r w:rsidRPr="002B65F7">
              <w:t>Amgen Switzerland AG Vilniaus filialas</w:t>
            </w:r>
          </w:p>
          <w:p w14:paraId="1C0383CA" w14:textId="393C2CB5" w:rsidR="008E2DA1" w:rsidRPr="00E102E6" w:rsidRDefault="008E2DA1" w:rsidP="00BB6F00">
            <w:pPr>
              <w:widowControl/>
              <w:adjustRightInd w:val="0"/>
              <w:snapToGrid w:val="0"/>
            </w:pPr>
            <w:r w:rsidRPr="00E102E6">
              <w:t>T</w:t>
            </w:r>
            <w:r w:rsidR="00F235DC" w:rsidRPr="00E102E6">
              <w:t>é</w:t>
            </w:r>
            <w:r w:rsidRPr="00E102E6">
              <w:t>l: +370 5 219 7474</w:t>
            </w:r>
          </w:p>
          <w:p w14:paraId="4DE3A630" w14:textId="77777777" w:rsidR="008E2DA1" w:rsidRPr="00E102E6" w:rsidRDefault="008E2DA1" w:rsidP="00BB6F00">
            <w:pPr>
              <w:widowControl/>
              <w:adjustRightInd w:val="0"/>
              <w:snapToGrid w:val="0"/>
            </w:pPr>
          </w:p>
        </w:tc>
      </w:tr>
      <w:tr w:rsidR="008E2DA1" w:rsidRPr="002B65F7" w14:paraId="43AF836F" w14:textId="77777777" w:rsidTr="00BF70DA">
        <w:trPr>
          <w:cantSplit/>
          <w:trHeight w:val="57"/>
        </w:trPr>
        <w:tc>
          <w:tcPr>
            <w:tcW w:w="4680" w:type="dxa"/>
          </w:tcPr>
          <w:p w14:paraId="7DD13006" w14:textId="77777777" w:rsidR="008E2DA1" w:rsidRPr="002B65F7" w:rsidRDefault="008E2DA1" w:rsidP="00BF70DA">
            <w:pPr>
              <w:adjustRightInd w:val="0"/>
              <w:snapToGrid w:val="0"/>
              <w:rPr>
                <w:b/>
                <w:bCs/>
                <w:lang w:val="ru-RU"/>
              </w:rPr>
            </w:pPr>
            <w:r w:rsidRPr="002B65F7">
              <w:rPr>
                <w:b/>
                <w:bCs/>
                <w:lang w:val="ru-RU"/>
              </w:rPr>
              <w:t>България</w:t>
            </w:r>
          </w:p>
          <w:p w14:paraId="5D2C4752" w14:textId="77777777" w:rsidR="008E2DA1" w:rsidRPr="002B65F7" w:rsidRDefault="008E2DA1" w:rsidP="00BF70DA">
            <w:pPr>
              <w:adjustRightInd w:val="0"/>
              <w:snapToGrid w:val="0"/>
              <w:rPr>
                <w:lang w:val="ru-RU"/>
              </w:rPr>
            </w:pPr>
            <w:r w:rsidRPr="002B65F7">
              <w:rPr>
                <w:lang w:val="ru-RU"/>
              </w:rPr>
              <w:t>Амджен България ЕООД</w:t>
            </w:r>
          </w:p>
          <w:p w14:paraId="06B8F96C" w14:textId="77777777" w:rsidR="008E2DA1" w:rsidRPr="002B65F7" w:rsidRDefault="008E2DA1" w:rsidP="00BF70DA">
            <w:pPr>
              <w:adjustRightInd w:val="0"/>
              <w:snapToGrid w:val="0"/>
              <w:rPr>
                <w:lang w:val="ru-RU"/>
              </w:rPr>
            </w:pPr>
            <w:r w:rsidRPr="002B65F7">
              <w:rPr>
                <w:lang w:val="ru-RU"/>
              </w:rPr>
              <w:t>Тел.: +359 (0)2 424 7440</w:t>
            </w:r>
          </w:p>
          <w:p w14:paraId="0145558B" w14:textId="77777777" w:rsidR="008E2DA1" w:rsidRPr="002B65F7" w:rsidRDefault="008E2DA1" w:rsidP="00BF70DA">
            <w:pPr>
              <w:adjustRightInd w:val="0"/>
              <w:snapToGrid w:val="0"/>
              <w:rPr>
                <w:lang w:val="ru-RU"/>
              </w:rPr>
            </w:pPr>
          </w:p>
        </w:tc>
        <w:tc>
          <w:tcPr>
            <w:tcW w:w="4680" w:type="dxa"/>
          </w:tcPr>
          <w:p w14:paraId="5BEF568A" w14:textId="77777777" w:rsidR="008E2DA1" w:rsidRPr="002B65F7" w:rsidRDefault="008E2DA1" w:rsidP="00BF70DA">
            <w:pPr>
              <w:adjustRightInd w:val="0"/>
              <w:snapToGrid w:val="0"/>
              <w:rPr>
                <w:b/>
                <w:bCs/>
                <w:lang w:val="de-DE"/>
              </w:rPr>
            </w:pPr>
            <w:r w:rsidRPr="002B65F7">
              <w:rPr>
                <w:b/>
                <w:bCs/>
                <w:lang w:val="de-DE"/>
              </w:rPr>
              <w:t>Luxembourg/Luxemburg</w:t>
            </w:r>
          </w:p>
          <w:p w14:paraId="07D7C9F3" w14:textId="77777777" w:rsidR="008E2DA1" w:rsidRPr="002B65F7" w:rsidRDefault="008E2DA1" w:rsidP="00BF70DA">
            <w:pPr>
              <w:adjustRightInd w:val="0"/>
              <w:snapToGrid w:val="0"/>
              <w:rPr>
                <w:lang w:val="de-DE"/>
              </w:rPr>
            </w:pPr>
            <w:r w:rsidRPr="002B65F7">
              <w:rPr>
                <w:lang w:val="de-DE"/>
              </w:rPr>
              <w:t>s.a. Amgen</w:t>
            </w:r>
          </w:p>
          <w:p w14:paraId="7C6B17BC" w14:textId="77777777" w:rsidR="008E2DA1" w:rsidRPr="002B65F7" w:rsidRDefault="008E2DA1" w:rsidP="00BF70DA">
            <w:pPr>
              <w:adjustRightInd w:val="0"/>
              <w:snapToGrid w:val="0"/>
              <w:rPr>
                <w:lang w:val="de-DE"/>
              </w:rPr>
            </w:pPr>
            <w:r w:rsidRPr="002B65F7">
              <w:rPr>
                <w:lang w:val="de-DE"/>
              </w:rPr>
              <w:t>Belgique/Belgien</w:t>
            </w:r>
          </w:p>
          <w:p w14:paraId="337A8ACC" w14:textId="23683C0E" w:rsidR="008E2DA1" w:rsidRPr="002B65F7" w:rsidRDefault="008E2DA1" w:rsidP="00BF70DA">
            <w:pPr>
              <w:adjustRightInd w:val="0"/>
              <w:snapToGrid w:val="0"/>
              <w:rPr>
                <w:lang w:val="en-GB"/>
              </w:rPr>
            </w:pPr>
            <w:r w:rsidRPr="002B65F7">
              <w:rPr>
                <w:lang w:val="en-GB"/>
              </w:rPr>
              <w:t>Tél</w:t>
            </w:r>
            <w:r w:rsidR="00481E88" w:rsidRPr="002B65F7">
              <w:rPr>
                <w:lang w:val="en-GB"/>
              </w:rPr>
              <w:t>/Tel</w:t>
            </w:r>
            <w:r w:rsidRPr="002B65F7">
              <w:rPr>
                <w:lang w:val="en-GB"/>
              </w:rPr>
              <w:t>: +32 (0)2 7752711</w:t>
            </w:r>
          </w:p>
          <w:p w14:paraId="7F2B858E" w14:textId="77777777" w:rsidR="008E2DA1" w:rsidRPr="002B65F7" w:rsidRDefault="008E2DA1" w:rsidP="00BF70DA">
            <w:pPr>
              <w:adjustRightInd w:val="0"/>
              <w:snapToGrid w:val="0"/>
              <w:rPr>
                <w:bCs/>
                <w:lang w:val="en-GB"/>
              </w:rPr>
            </w:pPr>
          </w:p>
        </w:tc>
      </w:tr>
      <w:tr w:rsidR="008E2DA1" w:rsidRPr="002B65F7" w14:paraId="64C90769" w14:textId="77777777" w:rsidTr="00BF70DA">
        <w:trPr>
          <w:cantSplit/>
          <w:trHeight w:val="57"/>
        </w:trPr>
        <w:tc>
          <w:tcPr>
            <w:tcW w:w="4680" w:type="dxa"/>
          </w:tcPr>
          <w:p w14:paraId="3F521410" w14:textId="77777777" w:rsidR="008E2DA1" w:rsidRPr="002B65F7" w:rsidRDefault="008E2DA1" w:rsidP="00BF70DA">
            <w:pPr>
              <w:adjustRightInd w:val="0"/>
              <w:snapToGrid w:val="0"/>
              <w:rPr>
                <w:b/>
                <w:bCs/>
                <w:lang w:val="sv-SE"/>
              </w:rPr>
            </w:pPr>
            <w:r w:rsidRPr="002B65F7">
              <w:rPr>
                <w:b/>
                <w:bCs/>
                <w:lang w:val="sv-SE"/>
              </w:rPr>
              <w:t>Česká republika</w:t>
            </w:r>
          </w:p>
          <w:p w14:paraId="4AD88261" w14:textId="77777777" w:rsidR="008E2DA1" w:rsidRPr="002B65F7" w:rsidRDefault="008E2DA1" w:rsidP="00BF70DA">
            <w:pPr>
              <w:adjustRightInd w:val="0"/>
              <w:snapToGrid w:val="0"/>
              <w:rPr>
                <w:lang w:val="sv-SE"/>
              </w:rPr>
            </w:pPr>
            <w:r w:rsidRPr="002B65F7">
              <w:rPr>
                <w:lang w:val="sv-SE"/>
              </w:rPr>
              <w:t>Amgen s.r.o.</w:t>
            </w:r>
          </w:p>
          <w:p w14:paraId="6F0E9189" w14:textId="77777777" w:rsidR="008E2DA1" w:rsidRPr="002B65F7" w:rsidRDefault="008E2DA1" w:rsidP="00BF70DA">
            <w:pPr>
              <w:adjustRightInd w:val="0"/>
              <w:snapToGrid w:val="0"/>
              <w:rPr>
                <w:lang w:val="es-ES"/>
              </w:rPr>
            </w:pPr>
            <w:r w:rsidRPr="002B65F7">
              <w:rPr>
                <w:lang w:val="es-ES"/>
              </w:rPr>
              <w:t>Tel: +420 221 773 500</w:t>
            </w:r>
          </w:p>
          <w:p w14:paraId="1CF22DDB" w14:textId="77777777" w:rsidR="008E2DA1" w:rsidRPr="002B65F7" w:rsidRDefault="008E2DA1" w:rsidP="00BF70DA">
            <w:pPr>
              <w:adjustRightInd w:val="0"/>
              <w:snapToGrid w:val="0"/>
              <w:rPr>
                <w:bCs/>
                <w:lang w:val="es-ES"/>
              </w:rPr>
            </w:pPr>
          </w:p>
        </w:tc>
        <w:tc>
          <w:tcPr>
            <w:tcW w:w="4680" w:type="dxa"/>
          </w:tcPr>
          <w:p w14:paraId="11D5F26B" w14:textId="77777777" w:rsidR="008E2DA1" w:rsidRPr="002B65F7" w:rsidRDefault="008E2DA1" w:rsidP="00BF70DA">
            <w:pPr>
              <w:adjustRightInd w:val="0"/>
              <w:snapToGrid w:val="0"/>
              <w:rPr>
                <w:b/>
                <w:bCs/>
                <w:lang w:val="en-GB"/>
              </w:rPr>
            </w:pPr>
            <w:r w:rsidRPr="002B65F7">
              <w:rPr>
                <w:b/>
                <w:bCs/>
                <w:lang w:val="en-GB"/>
              </w:rPr>
              <w:t>Magyarország</w:t>
            </w:r>
          </w:p>
          <w:p w14:paraId="57C1ADC3" w14:textId="77777777" w:rsidR="008E2DA1" w:rsidRPr="002B65F7" w:rsidRDefault="008E2DA1" w:rsidP="00BF70DA">
            <w:pPr>
              <w:adjustRightInd w:val="0"/>
              <w:snapToGrid w:val="0"/>
              <w:rPr>
                <w:lang w:val="en-GB"/>
              </w:rPr>
            </w:pPr>
            <w:r w:rsidRPr="002B65F7">
              <w:rPr>
                <w:lang w:val="en-GB"/>
              </w:rPr>
              <w:t>Amgen Kft.</w:t>
            </w:r>
          </w:p>
          <w:p w14:paraId="3C340933" w14:textId="1900B70C" w:rsidR="008E2DA1" w:rsidRPr="002B65F7" w:rsidRDefault="008E2DA1" w:rsidP="00BF70DA">
            <w:pPr>
              <w:adjustRightInd w:val="0"/>
              <w:snapToGrid w:val="0"/>
              <w:rPr>
                <w:lang w:val="en-GB"/>
              </w:rPr>
            </w:pPr>
            <w:r w:rsidRPr="002B65F7">
              <w:rPr>
                <w:lang w:val="en-GB"/>
              </w:rPr>
              <w:t>T</w:t>
            </w:r>
            <w:r w:rsidR="004263EB" w:rsidRPr="002B65F7">
              <w:rPr>
                <w:lang w:val="en-GB"/>
              </w:rPr>
              <w:t>é</w:t>
            </w:r>
            <w:r w:rsidRPr="002B65F7">
              <w:rPr>
                <w:lang w:val="en-GB"/>
              </w:rPr>
              <w:t>l.: +36 1 35 44 700</w:t>
            </w:r>
          </w:p>
          <w:p w14:paraId="3351D0EE" w14:textId="77777777" w:rsidR="008E2DA1" w:rsidRPr="002B65F7" w:rsidRDefault="008E2DA1" w:rsidP="00BF70DA">
            <w:pPr>
              <w:adjustRightInd w:val="0"/>
              <w:snapToGrid w:val="0"/>
              <w:rPr>
                <w:lang w:val="en-GB"/>
              </w:rPr>
            </w:pPr>
          </w:p>
        </w:tc>
      </w:tr>
      <w:tr w:rsidR="008E2DA1" w:rsidRPr="002B65F7" w14:paraId="5399E883" w14:textId="77777777" w:rsidTr="00BF70DA">
        <w:trPr>
          <w:cantSplit/>
          <w:trHeight w:val="57"/>
        </w:trPr>
        <w:tc>
          <w:tcPr>
            <w:tcW w:w="4680" w:type="dxa"/>
          </w:tcPr>
          <w:p w14:paraId="0F2E35E4" w14:textId="77777777" w:rsidR="008E2DA1" w:rsidRPr="002B65F7" w:rsidRDefault="008E2DA1" w:rsidP="00BF70DA">
            <w:pPr>
              <w:adjustRightInd w:val="0"/>
              <w:snapToGrid w:val="0"/>
              <w:rPr>
                <w:b/>
                <w:bCs/>
                <w:lang w:val="da-DK"/>
              </w:rPr>
            </w:pPr>
            <w:r w:rsidRPr="002B65F7">
              <w:rPr>
                <w:b/>
                <w:bCs/>
                <w:lang w:val="da-DK"/>
              </w:rPr>
              <w:t>Danmark</w:t>
            </w:r>
          </w:p>
          <w:p w14:paraId="7AD63122" w14:textId="77777777" w:rsidR="008E2DA1" w:rsidRPr="002B65F7" w:rsidRDefault="008E2DA1" w:rsidP="00BF70DA">
            <w:pPr>
              <w:adjustRightInd w:val="0"/>
              <w:snapToGrid w:val="0"/>
              <w:rPr>
                <w:lang w:val="da-DK"/>
              </w:rPr>
            </w:pPr>
            <w:r w:rsidRPr="002B65F7">
              <w:rPr>
                <w:lang w:val="da-DK"/>
              </w:rPr>
              <w:t>Amgen, filial af Amgen AB, Sverige</w:t>
            </w:r>
          </w:p>
          <w:p w14:paraId="0627E63B" w14:textId="77777777" w:rsidR="008E2DA1" w:rsidRPr="002B65F7" w:rsidRDefault="008E2DA1" w:rsidP="00BF70DA">
            <w:pPr>
              <w:adjustRightInd w:val="0"/>
              <w:snapToGrid w:val="0"/>
              <w:rPr>
                <w:lang w:val="en-GB"/>
              </w:rPr>
            </w:pPr>
            <w:r w:rsidRPr="002B65F7">
              <w:rPr>
                <w:lang w:val="en-GB"/>
              </w:rPr>
              <w:t>Tlf.: +45 39617500</w:t>
            </w:r>
          </w:p>
          <w:p w14:paraId="43B82918" w14:textId="77777777" w:rsidR="008E2DA1" w:rsidRPr="002B65F7" w:rsidRDefault="008E2DA1" w:rsidP="00BF70DA">
            <w:pPr>
              <w:pStyle w:val="lbltxt"/>
              <w:adjustRightInd w:val="0"/>
              <w:snapToGrid w:val="0"/>
              <w:ind w:left="0" w:firstLine="0"/>
              <w:rPr>
                <w:noProof w:val="0"/>
                <w:szCs w:val="22"/>
              </w:rPr>
            </w:pPr>
          </w:p>
        </w:tc>
        <w:tc>
          <w:tcPr>
            <w:tcW w:w="4680" w:type="dxa"/>
          </w:tcPr>
          <w:p w14:paraId="0B0D5863" w14:textId="3FD04C7E" w:rsidR="008E2DA1" w:rsidRPr="00BB6F00" w:rsidRDefault="008E2DA1" w:rsidP="00BF70DA">
            <w:pPr>
              <w:adjustRightInd w:val="0"/>
              <w:snapToGrid w:val="0"/>
              <w:rPr>
                <w:b/>
                <w:bCs/>
                <w:lang w:val="de-DE"/>
              </w:rPr>
            </w:pPr>
            <w:r w:rsidRPr="00BB6F00">
              <w:rPr>
                <w:b/>
                <w:bCs/>
                <w:lang w:val="de-DE"/>
              </w:rPr>
              <w:t>Malt</w:t>
            </w:r>
            <w:r w:rsidR="004E47F7" w:rsidRPr="00BB6F00">
              <w:rPr>
                <w:b/>
                <w:bCs/>
                <w:lang w:val="de-DE"/>
              </w:rPr>
              <w:t>e</w:t>
            </w:r>
          </w:p>
          <w:p w14:paraId="1A047933" w14:textId="77777777" w:rsidR="008E2DA1" w:rsidRPr="00BB6F00" w:rsidRDefault="008E2DA1" w:rsidP="00BF70DA">
            <w:pPr>
              <w:adjustRightInd w:val="0"/>
              <w:snapToGrid w:val="0"/>
              <w:rPr>
                <w:lang w:val="de-DE"/>
              </w:rPr>
            </w:pPr>
            <w:r w:rsidRPr="00BB6F00">
              <w:rPr>
                <w:lang w:val="de-DE"/>
              </w:rPr>
              <w:t>Amgen S.r.l.</w:t>
            </w:r>
          </w:p>
          <w:p w14:paraId="38AA6BF3" w14:textId="77777777" w:rsidR="008E2DA1" w:rsidRPr="00BB6F00" w:rsidRDefault="008E2DA1" w:rsidP="00BF70DA">
            <w:pPr>
              <w:adjustRightInd w:val="0"/>
              <w:snapToGrid w:val="0"/>
              <w:rPr>
                <w:lang w:val="de-DE"/>
              </w:rPr>
            </w:pPr>
            <w:r w:rsidRPr="00BB6F00">
              <w:rPr>
                <w:lang w:val="de-DE"/>
              </w:rPr>
              <w:t>Italy</w:t>
            </w:r>
          </w:p>
          <w:p w14:paraId="7CFC1B9F" w14:textId="666FE6E2" w:rsidR="008E2DA1" w:rsidRPr="002B65F7" w:rsidRDefault="008E2DA1" w:rsidP="00BF70DA">
            <w:pPr>
              <w:adjustRightInd w:val="0"/>
              <w:snapToGrid w:val="0"/>
              <w:rPr>
                <w:lang w:val="en-GB"/>
              </w:rPr>
            </w:pPr>
            <w:r w:rsidRPr="002B65F7">
              <w:rPr>
                <w:lang w:val="en-GB"/>
              </w:rPr>
              <w:t>T</w:t>
            </w:r>
            <w:r w:rsidR="004263EB" w:rsidRPr="002B65F7">
              <w:rPr>
                <w:lang w:val="en-GB"/>
              </w:rPr>
              <w:t>é</w:t>
            </w:r>
            <w:r w:rsidRPr="002B65F7">
              <w:rPr>
                <w:lang w:val="en-GB"/>
              </w:rPr>
              <w:t>l: +39 02 6241121</w:t>
            </w:r>
          </w:p>
          <w:p w14:paraId="6EBC9480" w14:textId="77777777" w:rsidR="008E2DA1" w:rsidRPr="002B65F7" w:rsidRDefault="008E2DA1" w:rsidP="00BF70DA">
            <w:pPr>
              <w:pStyle w:val="lbltxt"/>
              <w:adjustRightInd w:val="0"/>
              <w:snapToGrid w:val="0"/>
              <w:ind w:left="0" w:firstLine="0"/>
              <w:rPr>
                <w:b/>
                <w:noProof w:val="0"/>
                <w:szCs w:val="22"/>
              </w:rPr>
            </w:pPr>
          </w:p>
        </w:tc>
      </w:tr>
      <w:tr w:rsidR="008E2DA1" w:rsidRPr="00C93DAC" w14:paraId="7CB8FBB5" w14:textId="77777777" w:rsidTr="00BF70DA">
        <w:trPr>
          <w:cantSplit/>
          <w:trHeight w:val="57"/>
        </w:trPr>
        <w:tc>
          <w:tcPr>
            <w:tcW w:w="4680" w:type="dxa"/>
          </w:tcPr>
          <w:p w14:paraId="5279C6BA" w14:textId="77777777" w:rsidR="008E2DA1" w:rsidRPr="002B65F7" w:rsidRDefault="008E2DA1" w:rsidP="00BF70DA">
            <w:pPr>
              <w:adjustRightInd w:val="0"/>
              <w:snapToGrid w:val="0"/>
              <w:rPr>
                <w:b/>
                <w:bCs/>
                <w:lang w:val="en-GB"/>
              </w:rPr>
            </w:pPr>
            <w:r w:rsidRPr="002B65F7">
              <w:rPr>
                <w:b/>
                <w:bCs/>
                <w:lang w:val="en-GB"/>
              </w:rPr>
              <w:t>Deutschland</w:t>
            </w:r>
          </w:p>
          <w:p w14:paraId="24C99EF2" w14:textId="77777777" w:rsidR="008E2DA1" w:rsidRPr="002B65F7" w:rsidRDefault="008E2DA1" w:rsidP="00BF70DA">
            <w:pPr>
              <w:adjustRightInd w:val="0"/>
              <w:snapToGrid w:val="0"/>
              <w:rPr>
                <w:lang w:val="en-GB"/>
              </w:rPr>
            </w:pPr>
            <w:r w:rsidRPr="002B65F7">
              <w:rPr>
                <w:lang w:val="en-GB"/>
              </w:rPr>
              <w:t>Amgen GmbH</w:t>
            </w:r>
          </w:p>
          <w:p w14:paraId="65E3676E" w14:textId="28C30C41" w:rsidR="008E2DA1" w:rsidRPr="002B65F7" w:rsidRDefault="008E2DA1" w:rsidP="00BF70DA">
            <w:pPr>
              <w:adjustRightInd w:val="0"/>
              <w:snapToGrid w:val="0"/>
              <w:rPr>
                <w:lang w:val="en-GB"/>
              </w:rPr>
            </w:pPr>
            <w:r w:rsidRPr="002B65F7">
              <w:rPr>
                <w:lang w:val="en-GB"/>
              </w:rPr>
              <w:t>T</w:t>
            </w:r>
            <w:r w:rsidR="004263EB" w:rsidRPr="002B65F7">
              <w:rPr>
                <w:lang w:val="en-GB"/>
              </w:rPr>
              <w:t>é</w:t>
            </w:r>
            <w:r w:rsidRPr="002B65F7">
              <w:rPr>
                <w:lang w:val="en-GB"/>
              </w:rPr>
              <w:t>l.: +49 89 1490960</w:t>
            </w:r>
          </w:p>
          <w:p w14:paraId="6003C5AB" w14:textId="77777777" w:rsidR="008E2DA1" w:rsidRPr="002B65F7" w:rsidRDefault="008E2DA1" w:rsidP="00BF70DA">
            <w:pPr>
              <w:pStyle w:val="lbltxt"/>
              <w:adjustRightInd w:val="0"/>
              <w:snapToGrid w:val="0"/>
              <w:ind w:left="0" w:firstLine="0"/>
              <w:rPr>
                <w:b/>
                <w:noProof w:val="0"/>
                <w:szCs w:val="22"/>
              </w:rPr>
            </w:pPr>
          </w:p>
        </w:tc>
        <w:tc>
          <w:tcPr>
            <w:tcW w:w="4680" w:type="dxa"/>
          </w:tcPr>
          <w:p w14:paraId="0BC321BE" w14:textId="77777777" w:rsidR="008E2DA1" w:rsidRPr="002B65F7" w:rsidRDefault="008E2DA1" w:rsidP="00BF70DA">
            <w:pPr>
              <w:adjustRightInd w:val="0"/>
              <w:snapToGrid w:val="0"/>
              <w:rPr>
                <w:b/>
                <w:bCs/>
                <w:lang w:val="de-DE"/>
              </w:rPr>
            </w:pPr>
            <w:r w:rsidRPr="002B65F7">
              <w:rPr>
                <w:b/>
                <w:bCs/>
                <w:lang w:val="de-DE"/>
              </w:rPr>
              <w:t>Nederland</w:t>
            </w:r>
          </w:p>
          <w:p w14:paraId="57F229B9" w14:textId="77777777" w:rsidR="008E2DA1" w:rsidRPr="002B65F7" w:rsidRDefault="008E2DA1" w:rsidP="00BF70DA">
            <w:pPr>
              <w:adjustRightInd w:val="0"/>
              <w:snapToGrid w:val="0"/>
              <w:rPr>
                <w:lang w:val="de-DE"/>
              </w:rPr>
            </w:pPr>
            <w:r w:rsidRPr="002B65F7">
              <w:rPr>
                <w:lang w:val="de-DE"/>
              </w:rPr>
              <w:t>Amgen B.V.</w:t>
            </w:r>
          </w:p>
          <w:p w14:paraId="003784CA" w14:textId="77CE15E4" w:rsidR="008E2DA1" w:rsidRPr="002B65F7" w:rsidRDefault="008E2DA1" w:rsidP="00BF70DA">
            <w:pPr>
              <w:adjustRightInd w:val="0"/>
              <w:snapToGrid w:val="0"/>
              <w:rPr>
                <w:lang w:val="de-DE"/>
              </w:rPr>
            </w:pPr>
            <w:r w:rsidRPr="002B65F7">
              <w:rPr>
                <w:lang w:val="de-DE"/>
              </w:rPr>
              <w:t>T</w:t>
            </w:r>
            <w:r w:rsidR="004263EB" w:rsidRPr="002B65F7">
              <w:rPr>
                <w:lang w:val="de-DE"/>
              </w:rPr>
              <w:t>é</w:t>
            </w:r>
            <w:r w:rsidRPr="002B65F7">
              <w:rPr>
                <w:lang w:val="de-DE"/>
              </w:rPr>
              <w:t>l: +31 (0)76 5732500</w:t>
            </w:r>
          </w:p>
          <w:p w14:paraId="6CEDE00B" w14:textId="77777777" w:rsidR="008E2DA1" w:rsidRPr="002B65F7" w:rsidRDefault="008E2DA1" w:rsidP="00BF70DA">
            <w:pPr>
              <w:pStyle w:val="lbltxt"/>
              <w:adjustRightInd w:val="0"/>
              <w:snapToGrid w:val="0"/>
              <w:ind w:left="0" w:firstLine="0"/>
              <w:rPr>
                <w:noProof w:val="0"/>
                <w:szCs w:val="22"/>
                <w:lang w:val="de-DE"/>
              </w:rPr>
            </w:pPr>
          </w:p>
        </w:tc>
      </w:tr>
      <w:tr w:rsidR="008E2DA1" w:rsidRPr="002B65F7" w14:paraId="427ABD00" w14:textId="77777777" w:rsidTr="00BF70DA">
        <w:trPr>
          <w:cantSplit/>
          <w:trHeight w:val="57"/>
        </w:trPr>
        <w:tc>
          <w:tcPr>
            <w:tcW w:w="4680" w:type="dxa"/>
          </w:tcPr>
          <w:p w14:paraId="5F9D44C4" w14:textId="77777777" w:rsidR="008E2DA1" w:rsidRPr="00B007D2" w:rsidRDefault="008E2DA1" w:rsidP="00BF70DA">
            <w:pPr>
              <w:adjustRightInd w:val="0"/>
              <w:snapToGrid w:val="0"/>
              <w:rPr>
                <w:b/>
                <w:bCs/>
                <w:lang w:val="da-DK"/>
              </w:rPr>
            </w:pPr>
            <w:r w:rsidRPr="00B007D2">
              <w:rPr>
                <w:b/>
                <w:bCs/>
                <w:lang w:val="da-DK"/>
              </w:rPr>
              <w:t>Eesti</w:t>
            </w:r>
          </w:p>
          <w:p w14:paraId="2F63F057" w14:textId="77777777" w:rsidR="008E2DA1" w:rsidRPr="00B007D2" w:rsidRDefault="008E2DA1" w:rsidP="00BF70DA">
            <w:pPr>
              <w:adjustRightInd w:val="0"/>
              <w:snapToGrid w:val="0"/>
              <w:rPr>
                <w:lang w:val="da-DK"/>
              </w:rPr>
            </w:pPr>
            <w:r w:rsidRPr="00B007D2">
              <w:rPr>
                <w:lang w:val="da-DK"/>
              </w:rPr>
              <w:t>Amgen Switzerland AG Vilniaus filialas</w:t>
            </w:r>
          </w:p>
          <w:p w14:paraId="28080AFB" w14:textId="38E376FA" w:rsidR="008E2DA1" w:rsidRPr="002B65F7" w:rsidRDefault="008E2DA1" w:rsidP="00BF70DA">
            <w:pPr>
              <w:adjustRightInd w:val="0"/>
              <w:snapToGrid w:val="0"/>
              <w:rPr>
                <w:lang w:val="en-GB"/>
              </w:rPr>
            </w:pPr>
            <w:r w:rsidRPr="002B65F7">
              <w:rPr>
                <w:lang w:val="en-GB"/>
              </w:rPr>
              <w:t>T</w:t>
            </w:r>
            <w:r w:rsidR="004263EB" w:rsidRPr="002B65F7">
              <w:rPr>
                <w:lang w:val="en-GB"/>
              </w:rPr>
              <w:t>é</w:t>
            </w:r>
            <w:r w:rsidRPr="002B65F7">
              <w:rPr>
                <w:lang w:val="en-GB"/>
              </w:rPr>
              <w:t>l: +372 586 09553</w:t>
            </w:r>
          </w:p>
          <w:p w14:paraId="5799FCB3" w14:textId="77777777" w:rsidR="008E2DA1" w:rsidRPr="002B65F7" w:rsidRDefault="008E2DA1" w:rsidP="00BF70DA">
            <w:pPr>
              <w:adjustRightInd w:val="0"/>
              <w:snapToGrid w:val="0"/>
              <w:rPr>
                <w:b/>
                <w:lang w:val="en-GB"/>
              </w:rPr>
            </w:pPr>
          </w:p>
        </w:tc>
        <w:tc>
          <w:tcPr>
            <w:tcW w:w="4680" w:type="dxa"/>
          </w:tcPr>
          <w:p w14:paraId="49803DBD" w14:textId="77777777" w:rsidR="008E2DA1" w:rsidRPr="002B65F7" w:rsidRDefault="008E2DA1" w:rsidP="00BF70DA">
            <w:pPr>
              <w:adjustRightInd w:val="0"/>
              <w:snapToGrid w:val="0"/>
              <w:rPr>
                <w:b/>
                <w:bCs/>
                <w:lang w:val="en-GB"/>
              </w:rPr>
            </w:pPr>
            <w:r w:rsidRPr="002B65F7">
              <w:rPr>
                <w:b/>
                <w:bCs/>
                <w:lang w:val="en-GB"/>
              </w:rPr>
              <w:t>Norge</w:t>
            </w:r>
          </w:p>
          <w:p w14:paraId="57CD45EA" w14:textId="77777777" w:rsidR="008E2DA1" w:rsidRPr="002B65F7" w:rsidRDefault="008E2DA1" w:rsidP="00BF70DA">
            <w:pPr>
              <w:adjustRightInd w:val="0"/>
              <w:snapToGrid w:val="0"/>
              <w:rPr>
                <w:lang w:val="en-GB"/>
              </w:rPr>
            </w:pPr>
            <w:r w:rsidRPr="002B65F7">
              <w:rPr>
                <w:lang w:val="en-GB"/>
              </w:rPr>
              <w:t>Amgen AB</w:t>
            </w:r>
          </w:p>
          <w:p w14:paraId="78FFFC12" w14:textId="77777777" w:rsidR="008E2DA1" w:rsidRPr="002B65F7" w:rsidRDefault="008E2DA1" w:rsidP="00BF70DA">
            <w:pPr>
              <w:adjustRightInd w:val="0"/>
              <w:snapToGrid w:val="0"/>
              <w:rPr>
                <w:lang w:val="en-GB"/>
              </w:rPr>
            </w:pPr>
            <w:r w:rsidRPr="002B65F7">
              <w:rPr>
                <w:lang w:val="en-GB"/>
              </w:rPr>
              <w:t>Tlf: +47 23308000</w:t>
            </w:r>
          </w:p>
          <w:p w14:paraId="0F76251F" w14:textId="77777777" w:rsidR="008E2DA1" w:rsidRPr="002B65F7" w:rsidRDefault="008E2DA1" w:rsidP="00BF70DA">
            <w:pPr>
              <w:pStyle w:val="lbltxt"/>
              <w:adjustRightInd w:val="0"/>
              <w:snapToGrid w:val="0"/>
              <w:ind w:left="0" w:firstLine="0"/>
              <w:rPr>
                <w:noProof w:val="0"/>
                <w:szCs w:val="22"/>
              </w:rPr>
            </w:pPr>
          </w:p>
        </w:tc>
      </w:tr>
      <w:tr w:rsidR="008E2DA1" w:rsidRPr="002B65F7" w14:paraId="395D338C" w14:textId="77777777" w:rsidTr="00BF70DA">
        <w:trPr>
          <w:cantSplit/>
          <w:trHeight w:val="57"/>
        </w:trPr>
        <w:tc>
          <w:tcPr>
            <w:tcW w:w="4680" w:type="dxa"/>
          </w:tcPr>
          <w:p w14:paraId="79B17F50" w14:textId="77777777" w:rsidR="008E2DA1" w:rsidRPr="002B65F7" w:rsidRDefault="008E2DA1" w:rsidP="00BF70DA">
            <w:pPr>
              <w:adjustRightInd w:val="0"/>
              <w:snapToGrid w:val="0"/>
              <w:rPr>
                <w:b/>
                <w:bCs/>
                <w:lang w:val="el-GR"/>
              </w:rPr>
            </w:pPr>
            <w:r w:rsidRPr="002B65F7">
              <w:rPr>
                <w:b/>
                <w:bCs/>
                <w:lang w:val="el-GR"/>
              </w:rPr>
              <w:t>Ελλάδα</w:t>
            </w:r>
          </w:p>
          <w:p w14:paraId="296E29DB" w14:textId="77777777" w:rsidR="008E2DA1" w:rsidRPr="002B65F7" w:rsidRDefault="008E2DA1" w:rsidP="00BF70DA">
            <w:pPr>
              <w:adjustRightInd w:val="0"/>
              <w:snapToGrid w:val="0"/>
              <w:rPr>
                <w:lang w:val="el-GR"/>
              </w:rPr>
            </w:pPr>
            <w:r w:rsidRPr="002B65F7">
              <w:t>Amgen</w:t>
            </w:r>
            <w:r w:rsidRPr="002B65F7">
              <w:rPr>
                <w:lang w:val="el-GR"/>
              </w:rPr>
              <w:t xml:space="preserve"> Ελλάς Φαρμακευτικά Ε.Π.Ε.</w:t>
            </w:r>
          </w:p>
          <w:p w14:paraId="024891E6" w14:textId="79F9EC0B" w:rsidR="008E2DA1" w:rsidRPr="002B65F7" w:rsidRDefault="008E2DA1" w:rsidP="00BF70DA">
            <w:pPr>
              <w:adjustRightInd w:val="0"/>
              <w:snapToGrid w:val="0"/>
              <w:rPr>
                <w:lang w:val="en-GB"/>
              </w:rPr>
            </w:pPr>
            <w:r w:rsidRPr="002B65F7">
              <w:rPr>
                <w:lang w:val="en-GB"/>
              </w:rPr>
              <w:t>Τηλ: +30 210 3447000</w:t>
            </w:r>
          </w:p>
          <w:p w14:paraId="3511E824" w14:textId="77777777" w:rsidR="008E2DA1" w:rsidRPr="002B65F7" w:rsidRDefault="008E2DA1" w:rsidP="00BF70DA">
            <w:pPr>
              <w:pStyle w:val="lbltxt"/>
              <w:adjustRightInd w:val="0"/>
              <w:snapToGrid w:val="0"/>
              <w:ind w:left="0" w:firstLine="0"/>
              <w:rPr>
                <w:noProof w:val="0"/>
                <w:szCs w:val="22"/>
              </w:rPr>
            </w:pPr>
          </w:p>
        </w:tc>
        <w:tc>
          <w:tcPr>
            <w:tcW w:w="4680" w:type="dxa"/>
          </w:tcPr>
          <w:p w14:paraId="0B0380C7" w14:textId="77777777" w:rsidR="008E2DA1" w:rsidRPr="002B65F7" w:rsidRDefault="008E2DA1" w:rsidP="00BF70DA">
            <w:pPr>
              <w:adjustRightInd w:val="0"/>
              <w:snapToGrid w:val="0"/>
              <w:rPr>
                <w:b/>
                <w:bCs/>
                <w:lang w:val="en-GB"/>
              </w:rPr>
            </w:pPr>
            <w:r w:rsidRPr="002B65F7">
              <w:rPr>
                <w:b/>
                <w:bCs/>
                <w:lang w:val="en-GB"/>
              </w:rPr>
              <w:t>Österreich</w:t>
            </w:r>
          </w:p>
          <w:p w14:paraId="207018A7" w14:textId="77777777" w:rsidR="008E2DA1" w:rsidRPr="002B65F7" w:rsidRDefault="008E2DA1" w:rsidP="00BF70DA">
            <w:pPr>
              <w:adjustRightInd w:val="0"/>
              <w:snapToGrid w:val="0"/>
              <w:rPr>
                <w:lang w:val="en-GB"/>
              </w:rPr>
            </w:pPr>
            <w:r w:rsidRPr="002B65F7">
              <w:rPr>
                <w:lang w:val="en-GB"/>
              </w:rPr>
              <w:t>Amgen GmbH</w:t>
            </w:r>
          </w:p>
          <w:p w14:paraId="076E87A7" w14:textId="50383583" w:rsidR="008E2DA1" w:rsidRPr="002B65F7" w:rsidRDefault="008E2DA1" w:rsidP="00BF70DA">
            <w:pPr>
              <w:adjustRightInd w:val="0"/>
              <w:snapToGrid w:val="0"/>
              <w:rPr>
                <w:lang w:val="en-GB"/>
              </w:rPr>
            </w:pPr>
            <w:r w:rsidRPr="002B65F7">
              <w:rPr>
                <w:lang w:val="en-GB"/>
              </w:rPr>
              <w:t>T</w:t>
            </w:r>
            <w:r w:rsidR="004263EB" w:rsidRPr="002B65F7">
              <w:rPr>
                <w:lang w:val="en-GB"/>
              </w:rPr>
              <w:t>é</w:t>
            </w:r>
            <w:r w:rsidRPr="002B65F7">
              <w:rPr>
                <w:lang w:val="en-GB"/>
              </w:rPr>
              <w:t>l: +43 (0)1 50 217</w:t>
            </w:r>
          </w:p>
          <w:p w14:paraId="3656C1FF" w14:textId="77777777" w:rsidR="008E2DA1" w:rsidRPr="002B65F7" w:rsidRDefault="008E2DA1" w:rsidP="00BF70DA">
            <w:pPr>
              <w:pStyle w:val="lbltxt"/>
              <w:adjustRightInd w:val="0"/>
              <w:snapToGrid w:val="0"/>
              <w:ind w:left="0" w:firstLine="0"/>
              <w:rPr>
                <w:b/>
                <w:noProof w:val="0"/>
                <w:szCs w:val="22"/>
              </w:rPr>
            </w:pPr>
          </w:p>
        </w:tc>
      </w:tr>
      <w:tr w:rsidR="008E2DA1" w:rsidRPr="002B65F7" w14:paraId="15E7ABC2" w14:textId="77777777" w:rsidTr="00BF70DA">
        <w:trPr>
          <w:cantSplit/>
          <w:trHeight w:val="57"/>
        </w:trPr>
        <w:tc>
          <w:tcPr>
            <w:tcW w:w="4680" w:type="dxa"/>
          </w:tcPr>
          <w:p w14:paraId="478F4884" w14:textId="77777777" w:rsidR="008E2DA1" w:rsidRPr="002B65F7" w:rsidRDefault="008E2DA1" w:rsidP="00BF70DA">
            <w:pPr>
              <w:adjustRightInd w:val="0"/>
              <w:snapToGrid w:val="0"/>
              <w:rPr>
                <w:b/>
                <w:bCs/>
                <w:lang w:val="es-ES"/>
              </w:rPr>
            </w:pPr>
            <w:r w:rsidRPr="002B65F7">
              <w:rPr>
                <w:b/>
                <w:bCs/>
                <w:lang w:val="es-ES"/>
              </w:rPr>
              <w:t>España</w:t>
            </w:r>
          </w:p>
          <w:p w14:paraId="5EDDD4CE" w14:textId="77777777" w:rsidR="008E2DA1" w:rsidRPr="002B65F7" w:rsidRDefault="008E2DA1" w:rsidP="00BF70DA">
            <w:pPr>
              <w:adjustRightInd w:val="0"/>
              <w:snapToGrid w:val="0"/>
              <w:rPr>
                <w:lang w:val="es-ES"/>
              </w:rPr>
            </w:pPr>
            <w:r w:rsidRPr="002B65F7">
              <w:rPr>
                <w:lang w:val="es-ES"/>
              </w:rPr>
              <w:t>Amgen S.A.</w:t>
            </w:r>
          </w:p>
          <w:p w14:paraId="7F39CF67" w14:textId="56F998B0" w:rsidR="008E2DA1" w:rsidRPr="002B65F7" w:rsidRDefault="008E2DA1" w:rsidP="00BF70DA">
            <w:pPr>
              <w:adjustRightInd w:val="0"/>
              <w:snapToGrid w:val="0"/>
              <w:rPr>
                <w:lang w:val="es-ES"/>
              </w:rPr>
            </w:pPr>
            <w:r w:rsidRPr="002B65F7">
              <w:rPr>
                <w:lang w:val="es-ES"/>
              </w:rPr>
              <w:t>T</w:t>
            </w:r>
            <w:r w:rsidR="004263EB" w:rsidRPr="002B65F7">
              <w:rPr>
                <w:lang w:val="es-ES"/>
              </w:rPr>
              <w:t>é</w:t>
            </w:r>
            <w:r w:rsidRPr="002B65F7">
              <w:rPr>
                <w:lang w:val="es-ES"/>
              </w:rPr>
              <w:t>l: +34 93 600 18 60</w:t>
            </w:r>
          </w:p>
          <w:p w14:paraId="67D6AA30" w14:textId="77777777" w:rsidR="008E2DA1" w:rsidRPr="002B65F7" w:rsidRDefault="008E2DA1" w:rsidP="00BF70DA">
            <w:pPr>
              <w:pStyle w:val="lbltxt"/>
              <w:adjustRightInd w:val="0"/>
              <w:snapToGrid w:val="0"/>
              <w:ind w:left="0" w:firstLine="0"/>
              <w:rPr>
                <w:bCs/>
                <w:noProof w:val="0"/>
                <w:szCs w:val="22"/>
                <w:lang w:val="es-ES"/>
              </w:rPr>
            </w:pPr>
          </w:p>
        </w:tc>
        <w:tc>
          <w:tcPr>
            <w:tcW w:w="4680" w:type="dxa"/>
          </w:tcPr>
          <w:p w14:paraId="314BD25F" w14:textId="77777777" w:rsidR="008E2DA1" w:rsidRPr="002B65F7" w:rsidRDefault="008E2DA1" w:rsidP="00BF70DA">
            <w:pPr>
              <w:adjustRightInd w:val="0"/>
              <w:snapToGrid w:val="0"/>
              <w:rPr>
                <w:b/>
                <w:bCs/>
                <w:lang w:val="pl-PL"/>
              </w:rPr>
            </w:pPr>
            <w:r w:rsidRPr="002B65F7">
              <w:rPr>
                <w:b/>
                <w:bCs/>
                <w:lang w:val="pl-PL"/>
              </w:rPr>
              <w:t>Polska</w:t>
            </w:r>
          </w:p>
          <w:p w14:paraId="44D265AC" w14:textId="77777777" w:rsidR="008E2DA1" w:rsidRPr="002B65F7" w:rsidRDefault="008E2DA1" w:rsidP="00BF70DA">
            <w:pPr>
              <w:adjustRightInd w:val="0"/>
              <w:snapToGrid w:val="0"/>
              <w:rPr>
                <w:lang w:val="pl-PL"/>
              </w:rPr>
            </w:pPr>
            <w:r w:rsidRPr="002B65F7">
              <w:rPr>
                <w:lang w:val="pl-PL"/>
              </w:rPr>
              <w:t>Amgen Biotechnologia Sp. z o.o.</w:t>
            </w:r>
          </w:p>
          <w:p w14:paraId="5693452F" w14:textId="790348F4" w:rsidR="008E2DA1" w:rsidRPr="002B65F7" w:rsidRDefault="008E2DA1" w:rsidP="00BF70DA">
            <w:pPr>
              <w:adjustRightInd w:val="0"/>
              <w:snapToGrid w:val="0"/>
              <w:rPr>
                <w:lang w:val="en-GB"/>
              </w:rPr>
            </w:pPr>
            <w:r w:rsidRPr="002B65F7">
              <w:rPr>
                <w:lang w:val="en-GB"/>
              </w:rPr>
              <w:t>T</w:t>
            </w:r>
            <w:r w:rsidR="004263EB" w:rsidRPr="002B65F7">
              <w:rPr>
                <w:lang w:val="en-GB"/>
              </w:rPr>
              <w:t>é</w:t>
            </w:r>
            <w:r w:rsidRPr="002B65F7">
              <w:rPr>
                <w:lang w:val="en-GB"/>
              </w:rPr>
              <w:t>l.: +48 22 581 3000</w:t>
            </w:r>
          </w:p>
          <w:p w14:paraId="6AD203C6" w14:textId="77777777" w:rsidR="008E2DA1" w:rsidRPr="002B65F7" w:rsidRDefault="008E2DA1" w:rsidP="00BF70DA">
            <w:pPr>
              <w:adjustRightInd w:val="0"/>
              <w:snapToGrid w:val="0"/>
              <w:rPr>
                <w:lang w:val="en-GB"/>
              </w:rPr>
            </w:pPr>
          </w:p>
        </w:tc>
      </w:tr>
      <w:tr w:rsidR="008E2DA1" w:rsidRPr="00747845" w14:paraId="6D2640F6" w14:textId="77777777" w:rsidTr="00BF70DA">
        <w:trPr>
          <w:cantSplit/>
          <w:trHeight w:val="57"/>
        </w:trPr>
        <w:tc>
          <w:tcPr>
            <w:tcW w:w="4680" w:type="dxa"/>
          </w:tcPr>
          <w:p w14:paraId="73B4E972" w14:textId="77777777" w:rsidR="008E2DA1" w:rsidRPr="002B65F7" w:rsidRDefault="008E2DA1" w:rsidP="00BF70DA">
            <w:pPr>
              <w:adjustRightInd w:val="0"/>
              <w:snapToGrid w:val="0"/>
              <w:rPr>
                <w:b/>
                <w:bCs/>
              </w:rPr>
            </w:pPr>
            <w:r w:rsidRPr="002B65F7">
              <w:rPr>
                <w:b/>
                <w:bCs/>
              </w:rPr>
              <w:t>France</w:t>
            </w:r>
          </w:p>
          <w:p w14:paraId="7E6CAE8D" w14:textId="77777777" w:rsidR="008E2DA1" w:rsidRPr="002B65F7" w:rsidRDefault="008E2DA1" w:rsidP="00BF70DA">
            <w:pPr>
              <w:adjustRightInd w:val="0"/>
              <w:snapToGrid w:val="0"/>
            </w:pPr>
            <w:r w:rsidRPr="002B65F7">
              <w:t>Amgen S.A.S.</w:t>
            </w:r>
          </w:p>
          <w:p w14:paraId="2A71460B" w14:textId="77777777" w:rsidR="008E2DA1" w:rsidRPr="002B65F7" w:rsidRDefault="008E2DA1" w:rsidP="00BF70DA">
            <w:pPr>
              <w:adjustRightInd w:val="0"/>
              <w:snapToGrid w:val="0"/>
            </w:pPr>
            <w:r w:rsidRPr="002B65F7">
              <w:t>Tél: +33 (0)9 69 363 363</w:t>
            </w:r>
          </w:p>
          <w:p w14:paraId="5698E059" w14:textId="77777777" w:rsidR="008E2DA1" w:rsidRPr="002B65F7" w:rsidRDefault="008E2DA1" w:rsidP="00BF70DA">
            <w:pPr>
              <w:adjustRightInd w:val="0"/>
              <w:snapToGrid w:val="0"/>
              <w:rPr>
                <w:b/>
              </w:rPr>
            </w:pPr>
          </w:p>
        </w:tc>
        <w:tc>
          <w:tcPr>
            <w:tcW w:w="4680" w:type="dxa"/>
          </w:tcPr>
          <w:p w14:paraId="41E393B1" w14:textId="77777777" w:rsidR="008E2DA1" w:rsidRPr="002B65F7" w:rsidRDefault="008E2DA1" w:rsidP="00BF70DA">
            <w:pPr>
              <w:adjustRightInd w:val="0"/>
              <w:snapToGrid w:val="0"/>
              <w:rPr>
                <w:b/>
                <w:bCs/>
                <w:lang w:val="es-ES"/>
              </w:rPr>
            </w:pPr>
            <w:r w:rsidRPr="002B65F7">
              <w:rPr>
                <w:b/>
                <w:bCs/>
                <w:lang w:val="es-ES"/>
              </w:rPr>
              <w:t>Portugal</w:t>
            </w:r>
          </w:p>
          <w:p w14:paraId="52A5D394" w14:textId="77777777" w:rsidR="008E2DA1" w:rsidRPr="002B65F7" w:rsidRDefault="008E2DA1" w:rsidP="00BF70DA">
            <w:pPr>
              <w:adjustRightInd w:val="0"/>
              <w:snapToGrid w:val="0"/>
              <w:rPr>
                <w:lang w:val="es-ES"/>
              </w:rPr>
            </w:pPr>
            <w:r w:rsidRPr="002B65F7">
              <w:rPr>
                <w:lang w:val="es-ES"/>
              </w:rPr>
              <w:t>Amgen Biofarmacêutica, Lda.</w:t>
            </w:r>
          </w:p>
          <w:p w14:paraId="3EB2AC48" w14:textId="79058C4C" w:rsidR="008E2DA1" w:rsidRPr="002B65F7" w:rsidRDefault="008E2DA1" w:rsidP="00BF70DA">
            <w:pPr>
              <w:adjustRightInd w:val="0"/>
              <w:snapToGrid w:val="0"/>
              <w:rPr>
                <w:lang w:val="es-ES"/>
              </w:rPr>
            </w:pPr>
            <w:r w:rsidRPr="002B65F7">
              <w:rPr>
                <w:lang w:val="es-ES"/>
              </w:rPr>
              <w:t>T</w:t>
            </w:r>
            <w:r w:rsidR="004263EB" w:rsidRPr="002B65F7">
              <w:rPr>
                <w:lang w:val="es-ES"/>
              </w:rPr>
              <w:t>é</w:t>
            </w:r>
            <w:r w:rsidRPr="002B65F7">
              <w:rPr>
                <w:lang w:val="es-ES"/>
              </w:rPr>
              <w:t>l: +351 21 4220606</w:t>
            </w:r>
          </w:p>
          <w:p w14:paraId="678825FD" w14:textId="77777777" w:rsidR="008E2DA1" w:rsidRPr="002B65F7" w:rsidRDefault="008E2DA1" w:rsidP="00BF70DA">
            <w:pPr>
              <w:pStyle w:val="lbltxt"/>
              <w:adjustRightInd w:val="0"/>
              <w:snapToGrid w:val="0"/>
              <w:ind w:left="0" w:firstLine="0"/>
              <w:rPr>
                <w:noProof w:val="0"/>
                <w:szCs w:val="22"/>
                <w:lang w:val="es-ES"/>
              </w:rPr>
            </w:pPr>
          </w:p>
        </w:tc>
      </w:tr>
      <w:tr w:rsidR="008E2DA1" w:rsidRPr="00BB6B52" w14:paraId="586FB4FE" w14:textId="77777777" w:rsidTr="00BF70DA">
        <w:trPr>
          <w:cantSplit/>
          <w:trHeight w:val="57"/>
        </w:trPr>
        <w:tc>
          <w:tcPr>
            <w:tcW w:w="4680" w:type="dxa"/>
          </w:tcPr>
          <w:p w14:paraId="6F970657" w14:textId="77777777" w:rsidR="008E2DA1" w:rsidRPr="002B65F7" w:rsidRDefault="008E2DA1" w:rsidP="00BF70DA">
            <w:pPr>
              <w:adjustRightInd w:val="0"/>
              <w:snapToGrid w:val="0"/>
              <w:rPr>
                <w:b/>
                <w:bCs/>
                <w:lang w:val="sv-SE"/>
              </w:rPr>
            </w:pPr>
            <w:r w:rsidRPr="002B65F7">
              <w:rPr>
                <w:b/>
                <w:bCs/>
                <w:lang w:val="sv-SE"/>
              </w:rPr>
              <w:t>Hrvatska</w:t>
            </w:r>
          </w:p>
          <w:p w14:paraId="0FDB23E1" w14:textId="77777777" w:rsidR="008E2DA1" w:rsidRPr="002B65F7" w:rsidRDefault="008E2DA1" w:rsidP="00BF70DA">
            <w:pPr>
              <w:adjustRightInd w:val="0"/>
              <w:snapToGrid w:val="0"/>
              <w:rPr>
                <w:lang w:val="sv-SE"/>
              </w:rPr>
            </w:pPr>
            <w:r w:rsidRPr="002B65F7">
              <w:rPr>
                <w:lang w:val="sv-SE"/>
              </w:rPr>
              <w:t>Amgen d.o.o.</w:t>
            </w:r>
          </w:p>
          <w:p w14:paraId="64FC3458" w14:textId="62CB488E" w:rsidR="008E2DA1" w:rsidRPr="002B65F7" w:rsidRDefault="008E2DA1" w:rsidP="00BF70DA">
            <w:pPr>
              <w:adjustRightInd w:val="0"/>
              <w:snapToGrid w:val="0"/>
              <w:rPr>
                <w:lang w:val="en-GB"/>
              </w:rPr>
            </w:pPr>
            <w:r w:rsidRPr="002B65F7">
              <w:rPr>
                <w:lang w:val="en-GB"/>
              </w:rPr>
              <w:t>T</w:t>
            </w:r>
            <w:r w:rsidR="004263EB" w:rsidRPr="002B65F7">
              <w:rPr>
                <w:lang w:val="en-GB"/>
              </w:rPr>
              <w:t>é</w:t>
            </w:r>
            <w:r w:rsidRPr="002B65F7">
              <w:rPr>
                <w:lang w:val="en-GB"/>
              </w:rPr>
              <w:t>l: +385 (0)1 562 57 20</w:t>
            </w:r>
          </w:p>
          <w:p w14:paraId="3A710A5B" w14:textId="77777777" w:rsidR="008E2DA1" w:rsidRPr="002B65F7" w:rsidRDefault="008E2DA1" w:rsidP="00BF70DA">
            <w:pPr>
              <w:adjustRightInd w:val="0"/>
              <w:snapToGrid w:val="0"/>
              <w:rPr>
                <w:lang w:val="en-GB"/>
              </w:rPr>
            </w:pPr>
          </w:p>
        </w:tc>
        <w:tc>
          <w:tcPr>
            <w:tcW w:w="4680" w:type="dxa"/>
          </w:tcPr>
          <w:p w14:paraId="1DA71E9A" w14:textId="77777777" w:rsidR="008E2DA1" w:rsidRPr="002B65F7" w:rsidRDefault="008E2DA1" w:rsidP="00BF70DA">
            <w:pPr>
              <w:adjustRightInd w:val="0"/>
              <w:snapToGrid w:val="0"/>
              <w:rPr>
                <w:b/>
                <w:bCs/>
                <w:lang w:val="es-ES"/>
              </w:rPr>
            </w:pPr>
            <w:r w:rsidRPr="002B65F7">
              <w:rPr>
                <w:b/>
                <w:bCs/>
                <w:lang w:val="es-ES"/>
              </w:rPr>
              <w:t>România</w:t>
            </w:r>
          </w:p>
          <w:p w14:paraId="2F4DAFBF" w14:textId="77777777" w:rsidR="008E2DA1" w:rsidRPr="002B65F7" w:rsidRDefault="008E2DA1" w:rsidP="00BF70DA">
            <w:pPr>
              <w:adjustRightInd w:val="0"/>
              <w:snapToGrid w:val="0"/>
              <w:rPr>
                <w:lang w:val="es-ES"/>
              </w:rPr>
            </w:pPr>
            <w:r w:rsidRPr="002B65F7">
              <w:rPr>
                <w:lang w:val="es-ES"/>
              </w:rPr>
              <w:t>Amgen România SRL</w:t>
            </w:r>
          </w:p>
          <w:p w14:paraId="525BF5E5" w14:textId="0C5C02C1" w:rsidR="008E2DA1" w:rsidRPr="002B65F7" w:rsidRDefault="008E2DA1" w:rsidP="00BF70DA">
            <w:pPr>
              <w:adjustRightInd w:val="0"/>
              <w:snapToGrid w:val="0"/>
              <w:rPr>
                <w:lang w:val="es-ES"/>
              </w:rPr>
            </w:pPr>
            <w:r w:rsidRPr="002B65F7">
              <w:rPr>
                <w:lang w:val="es-ES"/>
              </w:rPr>
              <w:t>T</w:t>
            </w:r>
            <w:r w:rsidR="004263EB" w:rsidRPr="002B65F7">
              <w:rPr>
                <w:lang w:val="es-ES"/>
              </w:rPr>
              <w:t>é</w:t>
            </w:r>
            <w:r w:rsidRPr="002B65F7">
              <w:rPr>
                <w:lang w:val="es-ES"/>
              </w:rPr>
              <w:t>l: +4021 527 3000</w:t>
            </w:r>
          </w:p>
          <w:p w14:paraId="2CF54548" w14:textId="77777777" w:rsidR="008E2DA1" w:rsidRPr="002B65F7" w:rsidRDefault="008E2DA1" w:rsidP="00BF70DA">
            <w:pPr>
              <w:pStyle w:val="lbltxt"/>
              <w:adjustRightInd w:val="0"/>
              <w:snapToGrid w:val="0"/>
              <w:ind w:left="0" w:firstLine="0"/>
              <w:rPr>
                <w:noProof w:val="0"/>
                <w:szCs w:val="22"/>
                <w:lang w:val="es-ES"/>
              </w:rPr>
            </w:pPr>
          </w:p>
        </w:tc>
      </w:tr>
      <w:tr w:rsidR="008E2DA1" w:rsidRPr="00B671F3" w14:paraId="03F6F48F" w14:textId="77777777" w:rsidTr="00BF70DA">
        <w:trPr>
          <w:cantSplit/>
          <w:trHeight w:val="57"/>
        </w:trPr>
        <w:tc>
          <w:tcPr>
            <w:tcW w:w="4680" w:type="dxa"/>
          </w:tcPr>
          <w:p w14:paraId="507F6C4F" w14:textId="0D00EF1E" w:rsidR="008E2DA1" w:rsidRPr="002B65F7" w:rsidRDefault="008E2DA1" w:rsidP="00BF70DA">
            <w:pPr>
              <w:adjustRightInd w:val="0"/>
              <w:snapToGrid w:val="0"/>
              <w:rPr>
                <w:b/>
                <w:bCs/>
                <w:lang w:val="en-IN"/>
              </w:rPr>
            </w:pPr>
            <w:r w:rsidRPr="002B65F7">
              <w:rPr>
                <w:b/>
                <w:bCs/>
                <w:lang w:val="en-IN"/>
              </w:rPr>
              <w:lastRenderedPageBreak/>
              <w:t>Ir</w:t>
            </w:r>
            <w:r w:rsidR="009A0F91" w:rsidRPr="002B65F7">
              <w:rPr>
                <w:b/>
                <w:bCs/>
                <w:lang w:val="en-IN"/>
              </w:rPr>
              <w:t>e</w:t>
            </w:r>
            <w:r w:rsidRPr="002B65F7">
              <w:rPr>
                <w:b/>
                <w:bCs/>
                <w:lang w:val="en-IN"/>
              </w:rPr>
              <w:t>land</w:t>
            </w:r>
          </w:p>
          <w:p w14:paraId="436AEC17" w14:textId="77777777" w:rsidR="008E2DA1" w:rsidRPr="002B65F7" w:rsidRDefault="008E2DA1" w:rsidP="00BF70DA">
            <w:pPr>
              <w:adjustRightInd w:val="0"/>
              <w:snapToGrid w:val="0"/>
              <w:rPr>
                <w:lang w:val="en-IN"/>
              </w:rPr>
            </w:pPr>
            <w:r w:rsidRPr="002B65F7">
              <w:rPr>
                <w:lang w:val="en-IN"/>
              </w:rPr>
              <w:t>Amgen Ireland Limited</w:t>
            </w:r>
          </w:p>
          <w:p w14:paraId="77EFFC94" w14:textId="2117B3DF" w:rsidR="008E2DA1" w:rsidRPr="002B65F7" w:rsidRDefault="008E2DA1" w:rsidP="00BF70DA">
            <w:pPr>
              <w:adjustRightInd w:val="0"/>
              <w:snapToGrid w:val="0"/>
              <w:rPr>
                <w:lang w:val="en-IN"/>
              </w:rPr>
            </w:pPr>
            <w:r w:rsidRPr="002B65F7">
              <w:rPr>
                <w:lang w:val="en-IN"/>
              </w:rPr>
              <w:t>T</w:t>
            </w:r>
            <w:r w:rsidR="004263EB" w:rsidRPr="002B65F7">
              <w:rPr>
                <w:lang w:val="en-IN"/>
              </w:rPr>
              <w:t>é</w:t>
            </w:r>
            <w:r w:rsidRPr="002B65F7">
              <w:rPr>
                <w:lang w:val="en-IN"/>
              </w:rPr>
              <w:t>l: +353 1 8527400</w:t>
            </w:r>
          </w:p>
          <w:p w14:paraId="4CB9ABE2" w14:textId="77777777" w:rsidR="008E2DA1" w:rsidRPr="002B65F7" w:rsidRDefault="008E2DA1" w:rsidP="00BF70DA">
            <w:pPr>
              <w:adjustRightInd w:val="0"/>
              <w:snapToGrid w:val="0"/>
              <w:rPr>
                <w:lang w:val="en-IN"/>
              </w:rPr>
            </w:pPr>
          </w:p>
        </w:tc>
        <w:tc>
          <w:tcPr>
            <w:tcW w:w="4680" w:type="dxa"/>
          </w:tcPr>
          <w:p w14:paraId="0A03C928" w14:textId="77777777" w:rsidR="008E2DA1" w:rsidRPr="00E102E6" w:rsidRDefault="008E2DA1" w:rsidP="00BF70DA">
            <w:pPr>
              <w:adjustRightInd w:val="0"/>
              <w:snapToGrid w:val="0"/>
              <w:rPr>
                <w:b/>
                <w:bCs/>
                <w:lang w:val="fi-FI"/>
              </w:rPr>
            </w:pPr>
            <w:r w:rsidRPr="00E102E6">
              <w:rPr>
                <w:b/>
                <w:bCs/>
                <w:lang w:val="fi-FI"/>
              </w:rPr>
              <w:t>Slovenija</w:t>
            </w:r>
          </w:p>
          <w:p w14:paraId="4E48C505" w14:textId="77777777" w:rsidR="008E2DA1" w:rsidRPr="00E102E6" w:rsidRDefault="008E2DA1" w:rsidP="00BF70DA">
            <w:pPr>
              <w:adjustRightInd w:val="0"/>
              <w:snapToGrid w:val="0"/>
              <w:rPr>
                <w:lang w:val="fi-FI"/>
              </w:rPr>
            </w:pPr>
            <w:r w:rsidRPr="00E102E6">
              <w:rPr>
                <w:lang w:val="fi-FI"/>
              </w:rPr>
              <w:t>AMGEN zdravila d.o.o.</w:t>
            </w:r>
          </w:p>
          <w:p w14:paraId="58BB2137" w14:textId="2B5A0E8A" w:rsidR="008E2DA1" w:rsidRPr="002B65F7" w:rsidRDefault="008E2DA1" w:rsidP="00BF70DA">
            <w:pPr>
              <w:adjustRightInd w:val="0"/>
              <w:snapToGrid w:val="0"/>
              <w:rPr>
                <w:lang w:val="en-GB"/>
              </w:rPr>
            </w:pPr>
            <w:r w:rsidRPr="002B65F7">
              <w:rPr>
                <w:lang w:val="en-GB"/>
              </w:rPr>
              <w:t>T</w:t>
            </w:r>
            <w:r w:rsidR="004263EB" w:rsidRPr="002B65F7">
              <w:rPr>
                <w:lang w:val="en-GB"/>
              </w:rPr>
              <w:t>é</w:t>
            </w:r>
            <w:r w:rsidRPr="002B65F7">
              <w:rPr>
                <w:lang w:val="en-GB"/>
              </w:rPr>
              <w:t>l: +386 (0)1 585 1767</w:t>
            </w:r>
          </w:p>
          <w:p w14:paraId="1DF61100" w14:textId="77777777" w:rsidR="008E2DA1" w:rsidRPr="002B65F7" w:rsidRDefault="008E2DA1" w:rsidP="00BF70DA">
            <w:pPr>
              <w:adjustRightInd w:val="0"/>
              <w:snapToGrid w:val="0"/>
              <w:rPr>
                <w:lang w:val="en-GB"/>
              </w:rPr>
            </w:pPr>
          </w:p>
        </w:tc>
      </w:tr>
      <w:tr w:rsidR="008E2DA1" w:rsidRPr="002B65F7" w14:paraId="6E6B4706" w14:textId="77777777" w:rsidTr="00BF70DA">
        <w:trPr>
          <w:cantSplit/>
          <w:trHeight w:val="57"/>
        </w:trPr>
        <w:tc>
          <w:tcPr>
            <w:tcW w:w="4680" w:type="dxa"/>
          </w:tcPr>
          <w:p w14:paraId="3410D755" w14:textId="77777777" w:rsidR="008E2DA1" w:rsidRPr="002B65F7" w:rsidRDefault="008E2DA1" w:rsidP="00BF70DA">
            <w:pPr>
              <w:adjustRightInd w:val="0"/>
              <w:snapToGrid w:val="0"/>
              <w:rPr>
                <w:b/>
                <w:bCs/>
                <w:lang w:val="en-GB"/>
              </w:rPr>
            </w:pPr>
            <w:r w:rsidRPr="002B65F7">
              <w:rPr>
                <w:b/>
                <w:bCs/>
                <w:lang w:val="en-GB"/>
              </w:rPr>
              <w:t>Ísland</w:t>
            </w:r>
          </w:p>
          <w:p w14:paraId="0521B95D" w14:textId="34CEDABE" w:rsidR="008E2DA1" w:rsidRPr="002B65F7" w:rsidRDefault="008E2DA1" w:rsidP="00BF70DA">
            <w:pPr>
              <w:adjustRightInd w:val="0"/>
              <w:snapToGrid w:val="0"/>
              <w:rPr>
                <w:lang w:val="en-GB"/>
              </w:rPr>
            </w:pPr>
            <w:r w:rsidRPr="002B65F7">
              <w:rPr>
                <w:lang w:val="en-GB"/>
              </w:rPr>
              <w:t>Vistor</w:t>
            </w:r>
          </w:p>
          <w:p w14:paraId="79D0E452" w14:textId="77777777" w:rsidR="008E2DA1" w:rsidRPr="002B65F7" w:rsidRDefault="008E2DA1" w:rsidP="00BF70DA">
            <w:pPr>
              <w:adjustRightInd w:val="0"/>
              <w:snapToGrid w:val="0"/>
              <w:rPr>
                <w:lang w:val="en-GB"/>
              </w:rPr>
            </w:pPr>
            <w:r w:rsidRPr="002B65F7">
              <w:rPr>
                <w:lang w:val="en-GB"/>
              </w:rPr>
              <w:t>Sími: +354 535 7000</w:t>
            </w:r>
          </w:p>
          <w:p w14:paraId="5DD41F30" w14:textId="77777777" w:rsidR="008E2DA1" w:rsidRPr="002B65F7" w:rsidRDefault="008E2DA1" w:rsidP="00BF70DA">
            <w:pPr>
              <w:pStyle w:val="lbltxt"/>
              <w:adjustRightInd w:val="0"/>
              <w:snapToGrid w:val="0"/>
              <w:ind w:left="0" w:firstLine="0"/>
              <w:rPr>
                <w:b/>
                <w:bCs/>
                <w:noProof w:val="0"/>
                <w:szCs w:val="22"/>
              </w:rPr>
            </w:pPr>
          </w:p>
        </w:tc>
        <w:tc>
          <w:tcPr>
            <w:tcW w:w="4680" w:type="dxa"/>
          </w:tcPr>
          <w:p w14:paraId="2DBD68F4" w14:textId="77777777" w:rsidR="008E2DA1" w:rsidRPr="00E102E6" w:rsidRDefault="008E2DA1" w:rsidP="00BF70DA">
            <w:pPr>
              <w:adjustRightInd w:val="0"/>
              <w:snapToGrid w:val="0"/>
              <w:rPr>
                <w:b/>
                <w:bCs/>
                <w:lang w:val="nb-NO"/>
              </w:rPr>
            </w:pPr>
            <w:r w:rsidRPr="00E102E6">
              <w:rPr>
                <w:b/>
                <w:bCs/>
                <w:lang w:val="nb-NO"/>
              </w:rPr>
              <w:t>Slovenská republika</w:t>
            </w:r>
          </w:p>
          <w:p w14:paraId="56701D6C" w14:textId="77777777" w:rsidR="008E2DA1" w:rsidRPr="00E102E6" w:rsidRDefault="008E2DA1" w:rsidP="00BF70DA">
            <w:pPr>
              <w:adjustRightInd w:val="0"/>
              <w:snapToGrid w:val="0"/>
              <w:rPr>
                <w:lang w:val="nb-NO"/>
              </w:rPr>
            </w:pPr>
            <w:r w:rsidRPr="00E102E6">
              <w:rPr>
                <w:lang w:val="nb-NO"/>
              </w:rPr>
              <w:t>Amgen Slovakia s.r.o.</w:t>
            </w:r>
          </w:p>
          <w:p w14:paraId="2625AEB3" w14:textId="3E5DA594" w:rsidR="008E2DA1" w:rsidRPr="002B65F7" w:rsidRDefault="008E2DA1" w:rsidP="00BF70DA">
            <w:pPr>
              <w:adjustRightInd w:val="0"/>
              <w:snapToGrid w:val="0"/>
              <w:rPr>
                <w:lang w:val="en-GB"/>
              </w:rPr>
            </w:pPr>
            <w:r w:rsidRPr="002B65F7">
              <w:rPr>
                <w:lang w:val="en-GB"/>
              </w:rPr>
              <w:t>T</w:t>
            </w:r>
            <w:r w:rsidR="00CC66B0" w:rsidRPr="002B65F7">
              <w:rPr>
                <w:lang w:val="en-GB"/>
              </w:rPr>
              <w:t>é</w:t>
            </w:r>
            <w:r w:rsidRPr="002B65F7">
              <w:rPr>
                <w:lang w:val="en-GB"/>
              </w:rPr>
              <w:t>l: +421 2 321 114 49</w:t>
            </w:r>
          </w:p>
          <w:p w14:paraId="0EABC32D" w14:textId="77777777" w:rsidR="008E2DA1" w:rsidRPr="002B65F7" w:rsidRDefault="008E2DA1" w:rsidP="00BF70DA">
            <w:pPr>
              <w:pStyle w:val="lbltxt"/>
              <w:adjustRightInd w:val="0"/>
              <w:snapToGrid w:val="0"/>
              <w:ind w:left="0" w:firstLine="0"/>
              <w:rPr>
                <w:noProof w:val="0"/>
                <w:szCs w:val="22"/>
              </w:rPr>
            </w:pPr>
          </w:p>
        </w:tc>
      </w:tr>
      <w:tr w:rsidR="008E2DA1" w:rsidRPr="002B65F7" w14:paraId="3F935A24" w14:textId="77777777" w:rsidTr="00BF70DA">
        <w:trPr>
          <w:cantSplit/>
          <w:trHeight w:val="57"/>
        </w:trPr>
        <w:tc>
          <w:tcPr>
            <w:tcW w:w="4680" w:type="dxa"/>
          </w:tcPr>
          <w:p w14:paraId="24909B6E" w14:textId="77777777" w:rsidR="008E2DA1" w:rsidRPr="002B65F7" w:rsidRDefault="008E2DA1" w:rsidP="00BF70DA">
            <w:pPr>
              <w:adjustRightInd w:val="0"/>
              <w:snapToGrid w:val="0"/>
              <w:rPr>
                <w:b/>
                <w:bCs/>
                <w:lang w:val="es-ES"/>
              </w:rPr>
            </w:pPr>
            <w:r w:rsidRPr="002B65F7">
              <w:rPr>
                <w:b/>
                <w:bCs/>
                <w:lang w:val="es-ES"/>
              </w:rPr>
              <w:t>Italia</w:t>
            </w:r>
          </w:p>
          <w:p w14:paraId="5AA79450" w14:textId="77777777" w:rsidR="008E2DA1" w:rsidRPr="002B65F7" w:rsidRDefault="008E2DA1" w:rsidP="00BF70DA">
            <w:pPr>
              <w:adjustRightInd w:val="0"/>
              <w:snapToGrid w:val="0"/>
              <w:rPr>
                <w:lang w:val="es-ES"/>
              </w:rPr>
            </w:pPr>
            <w:r w:rsidRPr="002B65F7">
              <w:rPr>
                <w:lang w:val="es-ES"/>
              </w:rPr>
              <w:t>Amgen S.r.l.</w:t>
            </w:r>
          </w:p>
          <w:p w14:paraId="69F1BA98" w14:textId="0B78DC06" w:rsidR="008E2DA1" w:rsidRPr="002B65F7" w:rsidRDefault="008E2DA1" w:rsidP="00BF70DA">
            <w:pPr>
              <w:adjustRightInd w:val="0"/>
              <w:snapToGrid w:val="0"/>
            </w:pPr>
            <w:r w:rsidRPr="002B65F7">
              <w:t>T</w:t>
            </w:r>
            <w:r w:rsidR="00CC66B0" w:rsidRPr="002B65F7">
              <w:t>é</w:t>
            </w:r>
            <w:r w:rsidRPr="002B65F7">
              <w:t>l: +39 02 6241121</w:t>
            </w:r>
          </w:p>
          <w:p w14:paraId="79904AE2" w14:textId="77777777" w:rsidR="008E2DA1" w:rsidRPr="002B65F7" w:rsidRDefault="008E2DA1" w:rsidP="00BF70DA">
            <w:pPr>
              <w:adjustRightInd w:val="0"/>
              <w:snapToGrid w:val="0"/>
            </w:pPr>
          </w:p>
        </w:tc>
        <w:tc>
          <w:tcPr>
            <w:tcW w:w="4680" w:type="dxa"/>
          </w:tcPr>
          <w:p w14:paraId="2F95AEFF" w14:textId="77777777" w:rsidR="008E2DA1" w:rsidRPr="00B50E78" w:rsidRDefault="008E2DA1" w:rsidP="00BF70DA">
            <w:pPr>
              <w:adjustRightInd w:val="0"/>
              <w:snapToGrid w:val="0"/>
              <w:rPr>
                <w:b/>
                <w:bCs/>
              </w:rPr>
            </w:pPr>
            <w:r w:rsidRPr="00B50E78">
              <w:rPr>
                <w:b/>
                <w:bCs/>
              </w:rPr>
              <w:t>Suomi/Finland</w:t>
            </w:r>
          </w:p>
          <w:p w14:paraId="1C673FE2" w14:textId="77777777" w:rsidR="008E2DA1" w:rsidRPr="00B50E78" w:rsidRDefault="008E2DA1" w:rsidP="00BF70DA">
            <w:pPr>
              <w:adjustRightInd w:val="0"/>
              <w:snapToGrid w:val="0"/>
            </w:pPr>
            <w:r w:rsidRPr="00B50E78">
              <w:t>Amgen AB, sivuliike Suomessa/Amgen AB, filial i Finland</w:t>
            </w:r>
          </w:p>
          <w:p w14:paraId="400A9360" w14:textId="135D0CAB" w:rsidR="008E2DA1" w:rsidRPr="00E102E6" w:rsidRDefault="008E2DA1" w:rsidP="00BF70DA">
            <w:pPr>
              <w:adjustRightInd w:val="0"/>
              <w:snapToGrid w:val="0"/>
            </w:pPr>
            <w:r w:rsidRPr="00E102E6">
              <w:t>Puh/T</w:t>
            </w:r>
            <w:r w:rsidR="00CC66B0" w:rsidRPr="00E102E6">
              <w:t>é</w:t>
            </w:r>
            <w:r w:rsidRPr="00E102E6">
              <w:t>l</w:t>
            </w:r>
            <w:r w:rsidR="00CC66B0" w:rsidRPr="00E102E6">
              <w:t>.</w:t>
            </w:r>
            <w:r w:rsidRPr="00E102E6">
              <w:t>: +358 (0)9 54900500</w:t>
            </w:r>
          </w:p>
          <w:p w14:paraId="70C48E48" w14:textId="77777777" w:rsidR="008E2DA1" w:rsidRPr="00E102E6" w:rsidRDefault="008E2DA1" w:rsidP="00BF70DA">
            <w:pPr>
              <w:pStyle w:val="lbltxt"/>
              <w:adjustRightInd w:val="0"/>
              <w:snapToGrid w:val="0"/>
              <w:ind w:left="0" w:firstLine="0"/>
              <w:rPr>
                <w:b/>
                <w:noProof w:val="0"/>
                <w:szCs w:val="22"/>
                <w:lang w:val="fr-FR"/>
              </w:rPr>
            </w:pPr>
          </w:p>
        </w:tc>
      </w:tr>
      <w:tr w:rsidR="008E2DA1" w:rsidRPr="002B65F7" w14:paraId="4761F90C" w14:textId="77777777" w:rsidTr="00BF70DA">
        <w:trPr>
          <w:cantSplit/>
          <w:trHeight w:val="57"/>
        </w:trPr>
        <w:tc>
          <w:tcPr>
            <w:tcW w:w="4680" w:type="dxa"/>
          </w:tcPr>
          <w:p w14:paraId="12F5E5D5" w14:textId="77777777" w:rsidR="008E2DA1" w:rsidRPr="002B65F7" w:rsidRDefault="008E2DA1" w:rsidP="00BF70DA">
            <w:pPr>
              <w:adjustRightInd w:val="0"/>
              <w:snapToGrid w:val="0"/>
              <w:rPr>
                <w:b/>
                <w:bCs/>
              </w:rPr>
            </w:pPr>
            <w:r w:rsidRPr="002B65F7">
              <w:rPr>
                <w:b/>
                <w:bCs/>
              </w:rPr>
              <w:t>K</w:t>
            </w:r>
            <w:r w:rsidRPr="002B65F7">
              <w:rPr>
                <w:b/>
                <w:bCs/>
                <w:lang w:val="en-GB"/>
              </w:rPr>
              <w:t>ύπρος</w:t>
            </w:r>
          </w:p>
          <w:p w14:paraId="7E7ECC2E" w14:textId="77777777" w:rsidR="008E2DA1" w:rsidRPr="002B65F7" w:rsidRDefault="008E2DA1" w:rsidP="00BF70DA">
            <w:pPr>
              <w:adjustRightInd w:val="0"/>
              <w:snapToGrid w:val="0"/>
            </w:pPr>
            <w:r w:rsidRPr="002B65F7">
              <w:t>C.A. Papaellinas Ltd</w:t>
            </w:r>
          </w:p>
          <w:p w14:paraId="616BFC91" w14:textId="77777777" w:rsidR="008E2DA1" w:rsidRPr="002B65F7" w:rsidRDefault="008E2DA1" w:rsidP="00BF70DA">
            <w:pPr>
              <w:adjustRightInd w:val="0"/>
              <w:snapToGrid w:val="0"/>
            </w:pPr>
            <w:r w:rsidRPr="002B65F7">
              <w:rPr>
                <w:lang w:val="en-GB"/>
              </w:rPr>
              <w:t>Τηλ</w:t>
            </w:r>
            <w:r w:rsidRPr="002B65F7">
              <w:t>: +357 22741 741</w:t>
            </w:r>
          </w:p>
          <w:p w14:paraId="06C52A42" w14:textId="77777777" w:rsidR="008E2DA1" w:rsidRPr="002B65F7" w:rsidRDefault="008E2DA1" w:rsidP="00BF70DA">
            <w:pPr>
              <w:adjustRightInd w:val="0"/>
              <w:snapToGrid w:val="0"/>
            </w:pPr>
          </w:p>
        </w:tc>
        <w:tc>
          <w:tcPr>
            <w:tcW w:w="4680" w:type="dxa"/>
          </w:tcPr>
          <w:p w14:paraId="54F2E8D0" w14:textId="77777777" w:rsidR="008E2DA1" w:rsidRPr="002B65F7" w:rsidRDefault="008E2DA1" w:rsidP="00BF70DA">
            <w:pPr>
              <w:adjustRightInd w:val="0"/>
              <w:snapToGrid w:val="0"/>
              <w:rPr>
                <w:b/>
                <w:bCs/>
                <w:lang w:val="en-GB"/>
              </w:rPr>
            </w:pPr>
            <w:r w:rsidRPr="002B65F7">
              <w:rPr>
                <w:b/>
                <w:bCs/>
                <w:lang w:val="en-GB"/>
              </w:rPr>
              <w:t>Sverige</w:t>
            </w:r>
          </w:p>
          <w:p w14:paraId="05DA4E4E" w14:textId="77777777" w:rsidR="008E2DA1" w:rsidRPr="002B65F7" w:rsidRDefault="008E2DA1" w:rsidP="00BF70DA">
            <w:pPr>
              <w:adjustRightInd w:val="0"/>
              <w:snapToGrid w:val="0"/>
              <w:rPr>
                <w:lang w:val="en-GB"/>
              </w:rPr>
            </w:pPr>
            <w:r w:rsidRPr="002B65F7">
              <w:rPr>
                <w:lang w:val="en-GB"/>
              </w:rPr>
              <w:t>Amgen AB</w:t>
            </w:r>
          </w:p>
          <w:p w14:paraId="22FAB88A" w14:textId="142ED7C5" w:rsidR="008E2DA1" w:rsidRPr="002B65F7" w:rsidRDefault="008E2DA1" w:rsidP="00BF70DA">
            <w:pPr>
              <w:adjustRightInd w:val="0"/>
              <w:snapToGrid w:val="0"/>
              <w:rPr>
                <w:lang w:val="en-GB"/>
              </w:rPr>
            </w:pPr>
            <w:r w:rsidRPr="002B65F7">
              <w:rPr>
                <w:lang w:val="en-GB"/>
              </w:rPr>
              <w:t>T</w:t>
            </w:r>
            <w:r w:rsidR="00CC66B0" w:rsidRPr="002B65F7">
              <w:rPr>
                <w:lang w:val="en-GB"/>
              </w:rPr>
              <w:t>é</w:t>
            </w:r>
            <w:r w:rsidRPr="002B65F7">
              <w:rPr>
                <w:lang w:val="en-GB"/>
              </w:rPr>
              <w:t>l: +46 (0)8 6951100</w:t>
            </w:r>
          </w:p>
          <w:p w14:paraId="07865470" w14:textId="77777777" w:rsidR="008E2DA1" w:rsidRPr="002B65F7" w:rsidRDefault="008E2DA1" w:rsidP="00BF70DA">
            <w:pPr>
              <w:pStyle w:val="lbltxt"/>
              <w:adjustRightInd w:val="0"/>
              <w:snapToGrid w:val="0"/>
              <w:ind w:left="0" w:firstLine="0"/>
              <w:rPr>
                <w:bCs/>
                <w:noProof w:val="0"/>
                <w:szCs w:val="22"/>
              </w:rPr>
            </w:pPr>
          </w:p>
        </w:tc>
      </w:tr>
      <w:tr w:rsidR="008E2DA1" w:rsidRPr="002B65F7" w14:paraId="65CE7805" w14:textId="77777777" w:rsidTr="00BF70DA">
        <w:trPr>
          <w:cantSplit/>
          <w:trHeight w:val="57"/>
        </w:trPr>
        <w:tc>
          <w:tcPr>
            <w:tcW w:w="4680" w:type="dxa"/>
          </w:tcPr>
          <w:p w14:paraId="149C0938" w14:textId="77777777" w:rsidR="008E2DA1" w:rsidRPr="0056554F" w:rsidRDefault="008E2DA1" w:rsidP="00BF70DA">
            <w:pPr>
              <w:adjustRightInd w:val="0"/>
              <w:snapToGrid w:val="0"/>
              <w:rPr>
                <w:b/>
                <w:bCs/>
              </w:rPr>
            </w:pPr>
            <w:r w:rsidRPr="0056554F">
              <w:rPr>
                <w:b/>
                <w:bCs/>
              </w:rPr>
              <w:t>Latvija</w:t>
            </w:r>
          </w:p>
          <w:p w14:paraId="411A643D" w14:textId="77777777" w:rsidR="008E2DA1" w:rsidRPr="0056554F" w:rsidRDefault="008E2DA1" w:rsidP="00BF70DA">
            <w:pPr>
              <w:adjustRightInd w:val="0"/>
              <w:snapToGrid w:val="0"/>
            </w:pPr>
            <w:r w:rsidRPr="0056554F">
              <w:t>Amgen Switzerland AG Rīgas filiāle</w:t>
            </w:r>
          </w:p>
          <w:p w14:paraId="2C844929" w14:textId="77777777" w:rsidR="008E2DA1" w:rsidRPr="002B65F7" w:rsidRDefault="008E2DA1" w:rsidP="00BF70DA">
            <w:pPr>
              <w:adjustRightInd w:val="0"/>
              <w:snapToGrid w:val="0"/>
              <w:rPr>
                <w:lang w:val="en-GB"/>
              </w:rPr>
            </w:pPr>
            <w:r w:rsidRPr="002B65F7">
              <w:rPr>
                <w:lang w:val="en-GB"/>
              </w:rPr>
              <w:t>Tel: +371 257 25888</w:t>
            </w:r>
          </w:p>
          <w:p w14:paraId="69F76AEE" w14:textId="77777777" w:rsidR="008E2DA1" w:rsidRPr="002B65F7" w:rsidRDefault="008E2DA1" w:rsidP="00BF70DA">
            <w:pPr>
              <w:adjustRightInd w:val="0"/>
              <w:snapToGrid w:val="0"/>
              <w:rPr>
                <w:b/>
                <w:lang w:val="en-GB"/>
              </w:rPr>
            </w:pPr>
          </w:p>
        </w:tc>
        <w:tc>
          <w:tcPr>
            <w:tcW w:w="4680" w:type="dxa"/>
          </w:tcPr>
          <w:p w14:paraId="1CF1080C" w14:textId="77777777" w:rsidR="008E2DA1" w:rsidRPr="002B65F7" w:rsidRDefault="008E2DA1" w:rsidP="00BF70DA">
            <w:pPr>
              <w:adjustRightInd w:val="0"/>
              <w:snapToGrid w:val="0"/>
              <w:rPr>
                <w:bCs/>
                <w:lang w:val="en-GB"/>
              </w:rPr>
            </w:pPr>
          </w:p>
        </w:tc>
      </w:tr>
    </w:tbl>
    <w:p w14:paraId="1A032FD6" w14:textId="77777777" w:rsidR="008E2DA1" w:rsidRPr="002B65F7" w:rsidRDefault="008E2DA1" w:rsidP="001B0B5C">
      <w:pPr>
        <w:keepNext/>
        <w:widowControl/>
        <w:rPr>
          <w:b/>
          <w:bCs/>
        </w:rPr>
      </w:pPr>
    </w:p>
    <w:p w14:paraId="03B58FF9" w14:textId="71CE7FA1" w:rsidR="00092F83" w:rsidRPr="002B65F7" w:rsidRDefault="00C31740" w:rsidP="001B0B5C">
      <w:pPr>
        <w:keepNext/>
        <w:widowControl/>
        <w:rPr>
          <w:b/>
          <w:bCs/>
        </w:rPr>
      </w:pPr>
      <w:r w:rsidRPr="002B65F7">
        <w:rPr>
          <w:b/>
          <w:bCs/>
        </w:rPr>
        <w:t>La dernière date à laquelle cette notice a été révisée est</w:t>
      </w:r>
    </w:p>
    <w:p w14:paraId="03B58FFA" w14:textId="77777777" w:rsidR="00092F83" w:rsidRPr="002B65F7" w:rsidRDefault="00092F83" w:rsidP="001B0B5C">
      <w:pPr>
        <w:keepNext/>
        <w:widowControl/>
      </w:pPr>
    </w:p>
    <w:p w14:paraId="5FE15DFE" w14:textId="5C4BB9A2" w:rsidR="008E2DA1" w:rsidRPr="002B65F7" w:rsidRDefault="008E2DA1" w:rsidP="001B0B5C">
      <w:pPr>
        <w:widowControl/>
        <w:rPr>
          <w:b/>
          <w:bCs/>
        </w:rPr>
      </w:pPr>
      <w:r w:rsidRPr="002B65F7">
        <w:rPr>
          <w:b/>
          <w:bCs/>
        </w:rPr>
        <w:t>Autres sources d’information</w:t>
      </w:r>
      <w:r w:rsidR="009D7F68" w:rsidRPr="002B65F7">
        <w:rPr>
          <w:b/>
          <w:bCs/>
        </w:rPr>
        <w:t>s</w:t>
      </w:r>
      <w:r w:rsidRPr="002B65F7">
        <w:rPr>
          <w:b/>
          <w:bCs/>
        </w:rPr>
        <w:t xml:space="preserve"> </w:t>
      </w:r>
    </w:p>
    <w:p w14:paraId="7A1E3AA4" w14:textId="77777777" w:rsidR="008E2DA1" w:rsidRPr="002B65F7" w:rsidRDefault="008E2DA1" w:rsidP="001B0B5C">
      <w:pPr>
        <w:widowControl/>
        <w:rPr>
          <w:b/>
          <w:bCs/>
        </w:rPr>
      </w:pPr>
    </w:p>
    <w:p w14:paraId="37C814AA" w14:textId="7034D543" w:rsidR="00B41E23" w:rsidRPr="002B65F7" w:rsidRDefault="00C31740" w:rsidP="001B0B5C">
      <w:pPr>
        <w:widowControl/>
      </w:pPr>
      <w:r w:rsidRPr="002B65F7">
        <w:t xml:space="preserve">Des informations détaillées sur ce médicament sont disponibles sur le site internet de l’Agence européenne des médicaments </w:t>
      </w:r>
      <w:hyperlink r:id="rId23" w:history="1">
        <w:r w:rsidR="00D06682">
          <w:rPr>
            <w:rStyle w:val="Hyperlink"/>
          </w:rPr>
          <w:t>https://www.ema.europa.eu</w:t>
        </w:r>
      </w:hyperlink>
      <w:r w:rsidRPr="002B65F7">
        <w:t>.</w:t>
      </w:r>
    </w:p>
    <w:p w14:paraId="39AF5226" w14:textId="77777777" w:rsidR="001B0B5C" w:rsidRPr="002B65F7" w:rsidRDefault="001B0B5C" w:rsidP="008B77EB"/>
    <w:p w14:paraId="15EF3BDF" w14:textId="18691435" w:rsidR="001B0B5C" w:rsidRDefault="00F4499A" w:rsidP="001B0B5C">
      <w:r>
        <w:t>------------------------------------------------------------------------------------------------------------------------</w:t>
      </w:r>
    </w:p>
    <w:p w14:paraId="64A6126E" w14:textId="77777777" w:rsidR="00F4499A" w:rsidRPr="002B65F7" w:rsidRDefault="00F4499A" w:rsidP="001B0B5C">
      <w:pPr>
        <w:rPr>
          <w:b/>
          <w:bCs/>
        </w:rPr>
      </w:pPr>
    </w:p>
    <w:p w14:paraId="03B58FFD" w14:textId="77E1FBEE" w:rsidR="00092F83" w:rsidRPr="002B65F7" w:rsidRDefault="00C31740" w:rsidP="00496255">
      <w:pPr>
        <w:keepNext/>
        <w:widowControl/>
        <w:rPr>
          <w:b/>
          <w:bCs/>
        </w:rPr>
      </w:pPr>
      <w:r w:rsidRPr="002B65F7">
        <w:rPr>
          <w:b/>
          <w:bCs/>
        </w:rPr>
        <w:t xml:space="preserve">Instructions pour </w:t>
      </w:r>
      <w:r w:rsidR="00EC3C9A" w:rsidRPr="002B65F7">
        <w:rPr>
          <w:b/>
          <w:bCs/>
        </w:rPr>
        <w:t>l’utilisation</w:t>
      </w:r>
    </w:p>
    <w:p w14:paraId="03B58FFE" w14:textId="77777777" w:rsidR="00092F83" w:rsidRPr="002B65F7" w:rsidRDefault="00092F83" w:rsidP="00496255">
      <w:pPr>
        <w:keepNext/>
        <w:widowControl/>
      </w:pPr>
    </w:p>
    <w:p w14:paraId="03B58FFF" w14:textId="1879CEF1" w:rsidR="00092F83" w:rsidRPr="002B65F7" w:rsidRDefault="00C31740" w:rsidP="00496255">
      <w:pPr>
        <w:widowControl/>
      </w:pPr>
      <w:r w:rsidRPr="002B65F7">
        <w:t xml:space="preserve">Au début du traitement, votre professionnel de santé vous aidera à réaliser la première injection. Cependant, vous et votre médecin pouvez décider que vous réaliserez vous-même vos injections de </w:t>
      </w:r>
      <w:r w:rsidR="00EC3C9A" w:rsidRPr="002B65F7">
        <w:t>WEZENLA</w:t>
      </w:r>
      <w:r w:rsidRPr="002B65F7">
        <w:t xml:space="preserve">. Dans ce cas, vous recevrez une formation qui vous apprendra comment vous injecter </w:t>
      </w:r>
      <w:r w:rsidR="00EC3C9A" w:rsidRPr="002B65F7">
        <w:t>WEZENLA</w:t>
      </w:r>
      <w:r w:rsidRPr="002B65F7">
        <w:t xml:space="preserve"> vous-même. Si vous avez des questions sur l’auto-injection de </w:t>
      </w:r>
      <w:r w:rsidR="00EC3C9A" w:rsidRPr="002B65F7">
        <w:t>WEZENLA</w:t>
      </w:r>
      <w:r w:rsidRPr="002B65F7">
        <w:t>, parlez-en à votre médecin.</w:t>
      </w:r>
    </w:p>
    <w:p w14:paraId="03B59000" w14:textId="15A1BA04" w:rsidR="00092F83" w:rsidRPr="002B65F7" w:rsidRDefault="00C31740" w:rsidP="007A7B22">
      <w:pPr>
        <w:pStyle w:val="ListParagraph"/>
        <w:widowControl/>
        <w:numPr>
          <w:ilvl w:val="0"/>
          <w:numId w:val="40"/>
        </w:numPr>
        <w:ind w:left="567" w:hanging="567"/>
      </w:pPr>
      <w:r w:rsidRPr="002B65F7">
        <w:t xml:space="preserve">Ne pas mélanger </w:t>
      </w:r>
      <w:r w:rsidR="00EC3C9A" w:rsidRPr="002B65F7">
        <w:t>WEZENLA</w:t>
      </w:r>
      <w:r w:rsidRPr="002B65F7">
        <w:t xml:space="preserve"> avec d’autres liquides pour injection.</w:t>
      </w:r>
    </w:p>
    <w:p w14:paraId="03B59001" w14:textId="0F5550C0" w:rsidR="00092F83" w:rsidRPr="002B65F7" w:rsidRDefault="00C31740" w:rsidP="007A7B22">
      <w:pPr>
        <w:pStyle w:val="ListParagraph"/>
        <w:widowControl/>
        <w:numPr>
          <w:ilvl w:val="0"/>
          <w:numId w:val="40"/>
        </w:numPr>
        <w:ind w:left="567" w:hanging="567"/>
      </w:pPr>
      <w:r w:rsidRPr="002B65F7">
        <w:t xml:space="preserve">Ne pas agiter les flacons de </w:t>
      </w:r>
      <w:r w:rsidR="00EC3C9A" w:rsidRPr="002B65F7">
        <w:t>WEZENLA</w:t>
      </w:r>
      <w:r w:rsidRPr="002B65F7">
        <w:t>. Une agitation vigoureuse peut endommager le médicament. Ne pas utiliser le médicament s’il a été fortement agité.</w:t>
      </w:r>
    </w:p>
    <w:p w14:paraId="133D079F" w14:textId="77777777" w:rsidR="00EC3726" w:rsidRPr="002B65F7" w:rsidRDefault="00EC3726" w:rsidP="006D1B26">
      <w:pPr>
        <w:widowControl/>
      </w:pPr>
    </w:p>
    <w:p w14:paraId="6B4C40A8" w14:textId="77777777" w:rsidR="006D1B26" w:rsidRPr="002B65F7" w:rsidRDefault="006D1B26" w:rsidP="006D1B26">
      <w:pPr>
        <w:widowControl/>
      </w:pPr>
    </w:p>
    <w:p w14:paraId="03B59002" w14:textId="5A47E585" w:rsidR="00092F83" w:rsidRPr="002B65F7" w:rsidRDefault="00AF0AA6" w:rsidP="00DC7A04">
      <w:pPr>
        <w:keepNext/>
        <w:widowControl/>
        <w:ind w:left="567" w:hanging="567"/>
        <w:rPr>
          <w:b/>
          <w:bCs/>
        </w:rPr>
      </w:pPr>
      <w:r w:rsidRPr="002B65F7">
        <w:rPr>
          <w:b/>
          <w:bCs/>
        </w:rPr>
        <w:t>1.</w:t>
      </w:r>
      <w:r w:rsidR="003B31E7" w:rsidRPr="002B65F7">
        <w:rPr>
          <w:b/>
          <w:bCs/>
        </w:rPr>
        <w:t xml:space="preserve"> </w:t>
      </w:r>
      <w:r w:rsidR="00C31740" w:rsidRPr="002B65F7">
        <w:rPr>
          <w:b/>
          <w:bCs/>
        </w:rPr>
        <w:t>Contrôlez le nombre de flacons et préparez le matériel :</w:t>
      </w:r>
    </w:p>
    <w:p w14:paraId="1D4430B6" w14:textId="77777777" w:rsidR="00EC3C9A" w:rsidRPr="002B65F7" w:rsidRDefault="00EC3C9A" w:rsidP="00496255">
      <w:pPr>
        <w:widowControl/>
      </w:pPr>
    </w:p>
    <w:p w14:paraId="03B59003" w14:textId="34CFA6F1" w:rsidR="00092F83" w:rsidRPr="002B65F7" w:rsidRDefault="00C31740" w:rsidP="00496255">
      <w:pPr>
        <w:widowControl/>
      </w:pPr>
      <w:r w:rsidRPr="002B65F7">
        <w:t>Sortez le(s) flacon(s) du réfrigérateur. Laissez reposer le flacon pendant une demi-heure environ. Ceci permettra au liquide d’atteindre une température confortable pour l’injection (température ambiante).</w:t>
      </w:r>
    </w:p>
    <w:p w14:paraId="7C1D674E" w14:textId="77777777" w:rsidR="00C80A4C" w:rsidRPr="002B65F7" w:rsidRDefault="00C80A4C" w:rsidP="00496255">
      <w:pPr>
        <w:widowControl/>
      </w:pPr>
    </w:p>
    <w:p w14:paraId="03B59004" w14:textId="77777777" w:rsidR="00092F83" w:rsidRPr="002B65F7" w:rsidRDefault="00C31740" w:rsidP="00496255">
      <w:pPr>
        <w:keepNext/>
        <w:widowControl/>
      </w:pPr>
      <w:r w:rsidRPr="002B65F7">
        <w:t>Vérifiez le(s) flacon(s) pour être sûr :</w:t>
      </w:r>
    </w:p>
    <w:p w14:paraId="03B59005" w14:textId="1D948DD8" w:rsidR="00092F83" w:rsidRPr="002B65F7" w:rsidRDefault="00C31740" w:rsidP="007A7B22">
      <w:pPr>
        <w:pStyle w:val="ListParagraph"/>
        <w:keepNext/>
        <w:widowControl/>
        <w:numPr>
          <w:ilvl w:val="1"/>
          <w:numId w:val="41"/>
        </w:numPr>
        <w:tabs>
          <w:tab w:val="left" w:pos="567"/>
        </w:tabs>
        <w:ind w:left="567" w:hanging="567"/>
      </w:pPr>
      <w:r w:rsidRPr="002B65F7">
        <w:t>que le nombre de flacons et le dosage sont corrects</w:t>
      </w:r>
    </w:p>
    <w:p w14:paraId="03B59006" w14:textId="2D7C6A33" w:rsidR="00092F83" w:rsidRPr="002B65F7" w:rsidRDefault="007A7B22" w:rsidP="007A7B22">
      <w:pPr>
        <w:widowControl/>
        <w:ind w:left="1134" w:hanging="567"/>
      </w:pPr>
      <w:r w:rsidRPr="002B65F7">
        <w:rPr>
          <w:rFonts w:eastAsia="Courier New"/>
          <w:position w:val="1"/>
        </w:rPr>
        <w:t>-</w:t>
      </w:r>
      <w:r w:rsidR="00A537B4" w:rsidRPr="002B65F7">
        <w:tab/>
      </w:r>
      <w:r w:rsidR="00C31740" w:rsidRPr="002B65F7">
        <w:t>Si votre posologie est de 45</w:t>
      </w:r>
      <w:r w:rsidR="005F7D16" w:rsidRPr="002B65F7">
        <w:t> </w:t>
      </w:r>
      <w:r w:rsidR="00C31740" w:rsidRPr="002B65F7">
        <w:t xml:space="preserve">mg ou moins vous devez avoir un flacon de </w:t>
      </w:r>
      <w:r w:rsidR="00EC3C9A" w:rsidRPr="002B65F7">
        <w:t>WEZENLA</w:t>
      </w:r>
      <w:r w:rsidR="00C31740" w:rsidRPr="002B65F7">
        <w:t xml:space="preserve"> 45</w:t>
      </w:r>
      <w:r w:rsidR="005F7D16" w:rsidRPr="002B65F7">
        <w:t> </w:t>
      </w:r>
      <w:r w:rsidR="00C31740" w:rsidRPr="002B65F7">
        <w:t>mg</w:t>
      </w:r>
      <w:r w:rsidR="0069011A" w:rsidRPr="002B65F7">
        <w:t>.</w:t>
      </w:r>
    </w:p>
    <w:p w14:paraId="03B59007" w14:textId="21E5D787" w:rsidR="00092F83" w:rsidRPr="002B65F7" w:rsidRDefault="007A7B22" w:rsidP="007A7B22">
      <w:pPr>
        <w:widowControl/>
        <w:ind w:left="1134" w:hanging="567"/>
      </w:pPr>
      <w:r w:rsidRPr="002B65F7">
        <w:rPr>
          <w:rFonts w:eastAsia="Courier New"/>
          <w:position w:val="2"/>
        </w:rPr>
        <w:t>-</w:t>
      </w:r>
      <w:r w:rsidR="00A537B4" w:rsidRPr="002B65F7">
        <w:tab/>
      </w:r>
      <w:r w:rsidR="00C31740" w:rsidRPr="002B65F7">
        <w:t>Si votre posologie est de 90</w:t>
      </w:r>
      <w:r w:rsidR="005F7D16" w:rsidRPr="002B65F7">
        <w:t> </w:t>
      </w:r>
      <w:r w:rsidR="00C31740" w:rsidRPr="002B65F7">
        <w:t xml:space="preserve">mg vous devez avoir deux flacons de </w:t>
      </w:r>
      <w:r w:rsidR="00EC3C9A" w:rsidRPr="002B65F7">
        <w:t>WEZENLA</w:t>
      </w:r>
      <w:r w:rsidR="00C31740" w:rsidRPr="002B65F7">
        <w:t xml:space="preserve"> 45</w:t>
      </w:r>
      <w:r w:rsidR="005F7D16" w:rsidRPr="002B65F7">
        <w:t> </w:t>
      </w:r>
      <w:r w:rsidR="00C31740" w:rsidRPr="002B65F7">
        <w:t>mg et vous aurez besoin de vous faire deux injections. Choisissez 2</w:t>
      </w:r>
      <w:r w:rsidR="00952705" w:rsidRPr="002B65F7">
        <w:t> </w:t>
      </w:r>
      <w:r w:rsidR="00C31740" w:rsidRPr="002B65F7">
        <w:t>sites distincts pour réaliser ces injections (par exemple une injection dans la cuisse droite et l’autre injection dans la cuisse gauche), et réalisez ces injections l’une après l’autre. Utilisez une aiguille ainsi qu’une seringue neuves pour chaque injection.</w:t>
      </w:r>
    </w:p>
    <w:p w14:paraId="03B59008" w14:textId="42192ED9" w:rsidR="00092F83" w:rsidRPr="002B65F7" w:rsidRDefault="00C31740" w:rsidP="007A7B22">
      <w:pPr>
        <w:pStyle w:val="ListParagraph"/>
        <w:widowControl/>
        <w:numPr>
          <w:ilvl w:val="1"/>
          <w:numId w:val="42"/>
        </w:numPr>
        <w:tabs>
          <w:tab w:val="left" w:pos="567"/>
        </w:tabs>
        <w:ind w:left="567" w:hanging="567"/>
      </w:pPr>
      <w:r w:rsidRPr="002B65F7">
        <w:lastRenderedPageBreak/>
        <w:t>qu’il s’agit du bon médicament</w:t>
      </w:r>
    </w:p>
    <w:p w14:paraId="03B59009" w14:textId="3706AA96" w:rsidR="00092F83" w:rsidRPr="002B65F7" w:rsidRDefault="00C31740" w:rsidP="007A7B22">
      <w:pPr>
        <w:pStyle w:val="ListParagraph"/>
        <w:widowControl/>
        <w:numPr>
          <w:ilvl w:val="1"/>
          <w:numId w:val="42"/>
        </w:numPr>
        <w:tabs>
          <w:tab w:val="left" w:pos="567"/>
        </w:tabs>
        <w:ind w:left="567" w:hanging="567"/>
      </w:pPr>
      <w:r w:rsidRPr="002B65F7">
        <w:t>que la date de péremption n’est pas dépassée</w:t>
      </w:r>
    </w:p>
    <w:p w14:paraId="03B5900A" w14:textId="2B3E0E2A" w:rsidR="00092F83" w:rsidRPr="002B65F7" w:rsidRDefault="00C31740" w:rsidP="007A7B22">
      <w:pPr>
        <w:pStyle w:val="ListParagraph"/>
        <w:widowControl/>
        <w:numPr>
          <w:ilvl w:val="1"/>
          <w:numId w:val="42"/>
        </w:numPr>
        <w:tabs>
          <w:tab w:val="left" w:pos="567"/>
        </w:tabs>
        <w:ind w:left="567" w:hanging="567"/>
      </w:pPr>
      <w:r w:rsidRPr="002B65F7">
        <w:t>que le flacon n’est pas endommagé et que le scellage n’est pas cassé</w:t>
      </w:r>
    </w:p>
    <w:p w14:paraId="03B5900B" w14:textId="11F1EA17" w:rsidR="00092F83" w:rsidRPr="002B65F7" w:rsidRDefault="00C31740" w:rsidP="007A7B22">
      <w:pPr>
        <w:pStyle w:val="ListParagraph"/>
        <w:widowControl/>
        <w:numPr>
          <w:ilvl w:val="1"/>
          <w:numId w:val="42"/>
        </w:numPr>
        <w:tabs>
          <w:tab w:val="left" w:pos="567"/>
        </w:tabs>
        <w:ind w:left="567" w:hanging="567"/>
      </w:pPr>
      <w:r w:rsidRPr="002B65F7">
        <w:t>que la solution dans le flacon est limpide à opalescente et incolore à jaune clair.</w:t>
      </w:r>
    </w:p>
    <w:p w14:paraId="03B5900C" w14:textId="3FA77CC5" w:rsidR="00092F83" w:rsidRPr="002B65F7" w:rsidRDefault="00C31740" w:rsidP="007A7B22">
      <w:pPr>
        <w:pStyle w:val="ListParagraph"/>
        <w:widowControl/>
        <w:numPr>
          <w:ilvl w:val="1"/>
          <w:numId w:val="42"/>
        </w:numPr>
        <w:tabs>
          <w:tab w:val="left" w:pos="567"/>
        </w:tabs>
        <w:ind w:left="567" w:hanging="567"/>
      </w:pPr>
      <w:r w:rsidRPr="002B65F7">
        <w:t>que la solution n’est pas décolorée ou laiteuse et ne contient aucune particule étrangère</w:t>
      </w:r>
    </w:p>
    <w:p w14:paraId="03B5900D" w14:textId="3936C0F5" w:rsidR="00092F83" w:rsidRPr="002B65F7" w:rsidRDefault="00C31740" w:rsidP="007A7B22">
      <w:pPr>
        <w:pStyle w:val="ListParagraph"/>
        <w:widowControl/>
        <w:numPr>
          <w:ilvl w:val="1"/>
          <w:numId w:val="42"/>
        </w:numPr>
        <w:tabs>
          <w:tab w:val="left" w:pos="567"/>
        </w:tabs>
        <w:ind w:left="567" w:hanging="567"/>
      </w:pPr>
      <w:r w:rsidRPr="002B65F7">
        <w:t>que la solution n’est pas congelée.</w:t>
      </w:r>
    </w:p>
    <w:p w14:paraId="33B23AF2" w14:textId="77777777" w:rsidR="007E35BE" w:rsidRPr="002B65F7" w:rsidRDefault="007E35BE" w:rsidP="00496255">
      <w:pPr>
        <w:widowControl/>
      </w:pPr>
    </w:p>
    <w:p w14:paraId="03B5900E" w14:textId="1B1A30B2" w:rsidR="00092F83" w:rsidRPr="002B65F7" w:rsidRDefault="00C31740" w:rsidP="00496255">
      <w:pPr>
        <w:widowControl/>
      </w:pPr>
      <w:r w:rsidRPr="002B65F7">
        <w:t xml:space="preserve">Chez les adolescents </w:t>
      </w:r>
      <w:r w:rsidR="00365276">
        <w:rPr>
          <w:noProof/>
          <w:lang w:eastAsia="nl-BE"/>
        </w:rPr>
        <w:t xml:space="preserve">atteints de psoriasis pédiatrique </w:t>
      </w:r>
      <w:r w:rsidRPr="002B65F7">
        <w:t>pesant moins de 60</w:t>
      </w:r>
      <w:r w:rsidR="0083540C" w:rsidRPr="002B65F7">
        <w:t> </w:t>
      </w:r>
      <w:r w:rsidRPr="002B65F7">
        <w:t>kg, la dose à administrer est inférieure à 45</w:t>
      </w:r>
      <w:r w:rsidR="005F7D16" w:rsidRPr="002B65F7">
        <w:t> </w:t>
      </w:r>
      <w:r w:rsidRPr="002B65F7">
        <w:t>mg. Assurez-vous de connaître la quantité (le volume) nécessaire à prélever dans le flacon et le type de seringue adapté pour l’administration. Si vous ne connaissez pas la quantité ou le type de seringue appropriés, demandez conseil à votre professionnel de santé.</w:t>
      </w:r>
    </w:p>
    <w:p w14:paraId="3810D0C9" w14:textId="77777777" w:rsidR="007E35BE" w:rsidRPr="002B65F7" w:rsidRDefault="007E35BE" w:rsidP="00496255">
      <w:pPr>
        <w:widowControl/>
      </w:pPr>
    </w:p>
    <w:p w14:paraId="03B5900F" w14:textId="08AE4090" w:rsidR="00092F83" w:rsidRPr="002B65F7" w:rsidRDefault="00C31740" w:rsidP="00496255">
      <w:pPr>
        <w:widowControl/>
      </w:pPr>
      <w:r w:rsidRPr="002B65F7">
        <w:t xml:space="preserve">Rassemblez tout ce dont vous avez besoin et étalez-le sur une surface propre. Ceci inclut une seringue, une aiguille, des lingettes antiseptiques, du coton ou de la gaze et un container imperforable (voir la </w:t>
      </w:r>
      <w:r w:rsidR="00EC3C9A" w:rsidRPr="002B65F7">
        <w:t>f</w:t>
      </w:r>
      <w:r w:rsidRPr="002B65F7">
        <w:t>igure</w:t>
      </w:r>
      <w:r w:rsidR="00952705" w:rsidRPr="002B65F7">
        <w:t> </w:t>
      </w:r>
      <w:r w:rsidRPr="002B65F7">
        <w:t>1).</w:t>
      </w:r>
    </w:p>
    <w:p w14:paraId="03B59010" w14:textId="77777777" w:rsidR="00092F83" w:rsidRPr="002B65F7" w:rsidRDefault="00092F83" w:rsidP="00BB6F00">
      <w:pPr>
        <w:keepNext/>
        <w:widowControl/>
      </w:pPr>
    </w:p>
    <w:p w14:paraId="41E391CE" w14:textId="252B6321" w:rsidR="00EC3C9A" w:rsidRPr="002B65F7" w:rsidRDefault="00A2167E" w:rsidP="00EC3C9A">
      <w:pPr>
        <w:jc w:val="center"/>
        <w:rPr>
          <w:sz w:val="20"/>
          <w:szCs w:val="20"/>
        </w:rPr>
      </w:pPr>
      <w:r>
        <w:rPr>
          <w:noProof/>
          <w:sz w:val="20"/>
          <w:szCs w:val="20"/>
          <w:lang w:val="en-US" w:eastAsia="zh-CN"/>
        </w:rPr>
        <w:drawing>
          <wp:inline distT="0" distB="0" distL="0" distR="0" wp14:anchorId="508F5E07" wp14:editId="09EEB1E5">
            <wp:extent cx="3208655" cy="1518285"/>
            <wp:effectExtent l="0" t="0" r="0" b="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8655" cy="1518285"/>
                    </a:xfrm>
                    <a:prstGeom prst="rect">
                      <a:avLst/>
                    </a:prstGeom>
                    <a:noFill/>
                    <a:ln>
                      <a:noFill/>
                    </a:ln>
                  </pic:spPr>
                </pic:pic>
              </a:graphicData>
            </a:graphic>
          </wp:inline>
        </w:drawing>
      </w:r>
    </w:p>
    <w:p w14:paraId="525D6C6B" w14:textId="77777777" w:rsidR="00EC3C9A" w:rsidRPr="002B65F7" w:rsidRDefault="00EC3C9A" w:rsidP="00EC3C9A">
      <w:pPr>
        <w:rPr>
          <w:lang w:val="fr-CH"/>
        </w:rPr>
      </w:pPr>
    </w:p>
    <w:p w14:paraId="651523E1" w14:textId="77777777" w:rsidR="00EC3C9A" w:rsidRPr="002B65F7" w:rsidRDefault="00EC3C9A" w:rsidP="00EC3C9A">
      <w:pPr>
        <w:jc w:val="center"/>
      </w:pPr>
      <w:r w:rsidRPr="002B65F7">
        <w:t>Figure 1</w:t>
      </w:r>
    </w:p>
    <w:p w14:paraId="629EB13F" w14:textId="77777777" w:rsidR="006D1B26" w:rsidRPr="002B65F7" w:rsidRDefault="006D1B26" w:rsidP="00496255">
      <w:pPr>
        <w:widowControl/>
        <w:rPr>
          <w:b/>
          <w:bCs/>
        </w:rPr>
      </w:pPr>
    </w:p>
    <w:p w14:paraId="03B59013" w14:textId="30429400" w:rsidR="00092F83" w:rsidRPr="002B65F7" w:rsidRDefault="003B31E7" w:rsidP="00DC7A04">
      <w:pPr>
        <w:keepNext/>
        <w:widowControl/>
        <w:ind w:left="567" w:hanging="567"/>
        <w:rPr>
          <w:b/>
          <w:bCs/>
        </w:rPr>
      </w:pPr>
      <w:r w:rsidRPr="002B65F7">
        <w:rPr>
          <w:b/>
          <w:bCs/>
        </w:rPr>
        <w:t xml:space="preserve">2. </w:t>
      </w:r>
      <w:r w:rsidR="00C31740" w:rsidRPr="002B65F7">
        <w:rPr>
          <w:b/>
          <w:bCs/>
        </w:rPr>
        <w:t>Choisissez et préparez le site d’injection :</w:t>
      </w:r>
    </w:p>
    <w:p w14:paraId="7E209A91" w14:textId="77777777" w:rsidR="007A7B22" w:rsidRPr="002B65F7" w:rsidRDefault="007A7B22" w:rsidP="00496255">
      <w:pPr>
        <w:keepNext/>
        <w:widowControl/>
      </w:pPr>
    </w:p>
    <w:p w14:paraId="03B59014" w14:textId="10D566D6" w:rsidR="00092F83" w:rsidRPr="002B65F7" w:rsidRDefault="00C31740" w:rsidP="00496255">
      <w:pPr>
        <w:keepNext/>
        <w:widowControl/>
      </w:pPr>
      <w:r w:rsidRPr="002B65F7">
        <w:t xml:space="preserve">Choisissez un site d’injection (voir la </w:t>
      </w:r>
      <w:r w:rsidR="00EC3C9A" w:rsidRPr="002B65F7">
        <w:t>f</w:t>
      </w:r>
      <w:r w:rsidRPr="002B65F7">
        <w:t>igure</w:t>
      </w:r>
      <w:r w:rsidR="003B31E7" w:rsidRPr="002B65F7">
        <w:t> </w:t>
      </w:r>
      <w:r w:rsidRPr="002B65F7">
        <w:t>2)</w:t>
      </w:r>
    </w:p>
    <w:p w14:paraId="03B59015" w14:textId="00ECF4EE" w:rsidR="00092F83" w:rsidRPr="002B65F7" w:rsidRDefault="00EC3C9A" w:rsidP="007A7B22">
      <w:pPr>
        <w:pStyle w:val="ListParagraph"/>
        <w:widowControl/>
        <w:numPr>
          <w:ilvl w:val="1"/>
          <w:numId w:val="43"/>
        </w:numPr>
        <w:tabs>
          <w:tab w:val="left" w:pos="567"/>
        </w:tabs>
        <w:ind w:left="567" w:hanging="567"/>
      </w:pPr>
      <w:r w:rsidRPr="002B65F7">
        <w:t>WEZENLA</w:t>
      </w:r>
      <w:r w:rsidR="00C31740" w:rsidRPr="002B65F7">
        <w:t xml:space="preserve"> doit être administré par injection sous la peau (sous-cutanée)</w:t>
      </w:r>
      <w:r w:rsidR="0069011A" w:rsidRPr="002B65F7">
        <w:t>.</w:t>
      </w:r>
    </w:p>
    <w:p w14:paraId="03B59017" w14:textId="2C0F5B11" w:rsidR="00092F83" w:rsidRPr="002B65F7" w:rsidRDefault="00C31740" w:rsidP="007A7B22">
      <w:pPr>
        <w:pStyle w:val="ListParagraph"/>
        <w:widowControl/>
        <w:numPr>
          <w:ilvl w:val="1"/>
          <w:numId w:val="43"/>
        </w:numPr>
        <w:tabs>
          <w:tab w:val="left" w:pos="567"/>
        </w:tabs>
        <w:ind w:left="567" w:hanging="567"/>
      </w:pPr>
      <w:r w:rsidRPr="002B65F7">
        <w:t>Le haut de la cuisse ou le pourtour du ventre (abdomen) à au moins 5</w:t>
      </w:r>
      <w:r w:rsidR="003B31E7" w:rsidRPr="002B65F7">
        <w:t> </w:t>
      </w:r>
      <w:r w:rsidRPr="002B65F7">
        <w:t>centimètres du nombril sont de bons endroits pour l’injection</w:t>
      </w:r>
      <w:r w:rsidR="0069011A" w:rsidRPr="002B65F7">
        <w:t>.</w:t>
      </w:r>
    </w:p>
    <w:p w14:paraId="03B59018" w14:textId="037733C8" w:rsidR="00092F83" w:rsidRPr="002B65F7" w:rsidRDefault="00C31740" w:rsidP="007A7B22">
      <w:pPr>
        <w:pStyle w:val="ListParagraph"/>
        <w:widowControl/>
        <w:numPr>
          <w:ilvl w:val="1"/>
          <w:numId w:val="43"/>
        </w:numPr>
        <w:tabs>
          <w:tab w:val="left" w:pos="567"/>
        </w:tabs>
        <w:ind w:left="567" w:hanging="567"/>
      </w:pPr>
      <w:r w:rsidRPr="002B65F7">
        <w:t>Si possible, ne pas utiliser les parties de la peau qui ont des lésions de psoriasis</w:t>
      </w:r>
      <w:r w:rsidR="0069011A" w:rsidRPr="002B65F7">
        <w:t>.</w:t>
      </w:r>
    </w:p>
    <w:p w14:paraId="03B59019" w14:textId="1A65A042" w:rsidR="00092F83" w:rsidRPr="002B65F7" w:rsidRDefault="00C31740" w:rsidP="007A7B22">
      <w:pPr>
        <w:pStyle w:val="ListParagraph"/>
        <w:widowControl/>
        <w:numPr>
          <w:ilvl w:val="1"/>
          <w:numId w:val="43"/>
        </w:numPr>
        <w:tabs>
          <w:tab w:val="left" w:pos="567"/>
        </w:tabs>
        <w:ind w:left="567" w:hanging="567"/>
      </w:pPr>
      <w:r w:rsidRPr="002B65F7">
        <w:t>Si quelqu’un vous assiste pour faire l’injection, il pourra aussi choisir le haut des bras comme site d’injection.</w:t>
      </w:r>
    </w:p>
    <w:p w14:paraId="32FC23BF" w14:textId="77777777" w:rsidR="00EC3C9A" w:rsidRPr="002B65F7" w:rsidRDefault="00EC3C9A" w:rsidP="00EC3C9A">
      <w:pPr>
        <w:ind w:right="210"/>
        <w:jc w:val="center"/>
      </w:pPr>
    </w:p>
    <w:tbl>
      <w:tblPr>
        <w:tblW w:w="0" w:type="auto"/>
        <w:tblInd w:w="567" w:type="dxa"/>
        <w:tblLook w:val="04A0" w:firstRow="1" w:lastRow="0" w:firstColumn="1" w:lastColumn="0" w:noHBand="0" w:noVBand="1"/>
      </w:tblPr>
      <w:tblGrid>
        <w:gridCol w:w="4297"/>
        <w:gridCol w:w="4207"/>
      </w:tblGrid>
      <w:tr w:rsidR="006C6BA5" w:rsidRPr="002B65F7" w14:paraId="00547D9A" w14:textId="77777777" w:rsidTr="00BF70DA">
        <w:trPr>
          <w:trHeight w:val="730"/>
        </w:trPr>
        <w:tc>
          <w:tcPr>
            <w:tcW w:w="4360" w:type="dxa"/>
            <w:vMerge w:val="restart"/>
          </w:tcPr>
          <w:p w14:paraId="0DF429EF" w14:textId="00D6A701" w:rsidR="00EC3C9A" w:rsidRPr="002B65F7" w:rsidRDefault="00A2167E" w:rsidP="00BF70DA">
            <w:pPr>
              <w:keepNext/>
              <w:suppressAutoHyphens/>
              <w:adjustRightInd w:val="0"/>
              <w:jc w:val="right"/>
              <w:rPr>
                <w:rFonts w:eastAsia="SimSun"/>
                <w:noProof/>
                <w:lang w:val="en-GB"/>
              </w:rPr>
            </w:pPr>
            <w:r>
              <w:rPr>
                <w:rFonts w:eastAsia="SimSun"/>
                <w:noProof/>
                <w:lang w:val="en-US" w:eastAsia="zh-CN"/>
              </w:rPr>
              <w:drawing>
                <wp:inline distT="0" distB="0" distL="0" distR="0" wp14:anchorId="4630E629" wp14:editId="4CF3517E">
                  <wp:extent cx="1689735" cy="2098040"/>
                  <wp:effectExtent l="0" t="0" r="0" b="0"/>
                  <wp:docPr id="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9735" cy="2098040"/>
                          </a:xfrm>
                          <a:prstGeom prst="rect">
                            <a:avLst/>
                          </a:prstGeom>
                          <a:noFill/>
                          <a:ln>
                            <a:noFill/>
                          </a:ln>
                        </pic:spPr>
                      </pic:pic>
                    </a:graphicData>
                  </a:graphic>
                </wp:inline>
              </w:drawing>
            </w:r>
          </w:p>
        </w:tc>
        <w:tc>
          <w:tcPr>
            <w:tcW w:w="4360" w:type="dxa"/>
          </w:tcPr>
          <w:p w14:paraId="6AF97D9A" w14:textId="77777777" w:rsidR="00EC3C9A" w:rsidRPr="002B65F7" w:rsidRDefault="00EC3C9A" w:rsidP="00BF70DA">
            <w:pPr>
              <w:keepNext/>
              <w:suppressAutoHyphens/>
              <w:adjustRightInd w:val="0"/>
              <w:rPr>
                <w:rFonts w:eastAsia="SimSun"/>
                <w:noProof/>
                <w:lang w:val="en-GB"/>
              </w:rPr>
            </w:pPr>
          </w:p>
        </w:tc>
      </w:tr>
      <w:tr w:rsidR="006C6BA5" w:rsidRPr="002B65F7" w14:paraId="49FBB6D6" w14:textId="77777777" w:rsidTr="00BF70DA">
        <w:trPr>
          <w:trHeight w:val="623"/>
        </w:trPr>
        <w:tc>
          <w:tcPr>
            <w:tcW w:w="4360" w:type="dxa"/>
            <w:vMerge/>
          </w:tcPr>
          <w:p w14:paraId="44632BC7" w14:textId="77777777" w:rsidR="00EC3C9A" w:rsidRPr="002B65F7" w:rsidRDefault="00EC3C9A" w:rsidP="00BF70DA">
            <w:pPr>
              <w:keepNext/>
              <w:suppressAutoHyphens/>
              <w:adjustRightInd w:val="0"/>
              <w:jc w:val="center"/>
              <w:rPr>
                <w:rFonts w:eastAsia="SimSun"/>
                <w:noProof/>
                <w:lang w:val="en-GB"/>
              </w:rPr>
            </w:pPr>
          </w:p>
        </w:tc>
        <w:tc>
          <w:tcPr>
            <w:tcW w:w="4360" w:type="dxa"/>
          </w:tcPr>
          <w:p w14:paraId="2B9338ED" w14:textId="46A42820" w:rsidR="00EC3C9A" w:rsidRPr="002B65F7" w:rsidRDefault="0069011A" w:rsidP="00BF70DA">
            <w:pPr>
              <w:keepNext/>
              <w:suppressAutoHyphens/>
              <w:adjustRightInd w:val="0"/>
              <w:rPr>
                <w:rFonts w:eastAsia="SimSun"/>
                <w:noProof/>
                <w:sz w:val="20"/>
                <w:lang w:val="en-GB"/>
              </w:rPr>
            </w:pPr>
            <w:r w:rsidRPr="002B65F7">
              <w:rPr>
                <w:rFonts w:eastAsia="SimSun"/>
                <w:noProof/>
                <w:sz w:val="20"/>
                <w:lang w:val="en-GB"/>
              </w:rPr>
              <w:t>Haut du bras</w:t>
            </w:r>
          </w:p>
        </w:tc>
      </w:tr>
      <w:tr w:rsidR="006C6BA5" w:rsidRPr="002B65F7" w14:paraId="4A9F0BB8" w14:textId="77777777" w:rsidTr="00BF70DA">
        <w:trPr>
          <w:trHeight w:val="977"/>
        </w:trPr>
        <w:tc>
          <w:tcPr>
            <w:tcW w:w="4360" w:type="dxa"/>
            <w:vMerge/>
          </w:tcPr>
          <w:p w14:paraId="58A2084E" w14:textId="77777777" w:rsidR="00EC3C9A" w:rsidRPr="002B65F7" w:rsidRDefault="00EC3C9A" w:rsidP="00BF70DA">
            <w:pPr>
              <w:keepNext/>
              <w:suppressAutoHyphens/>
              <w:adjustRightInd w:val="0"/>
              <w:jc w:val="center"/>
              <w:rPr>
                <w:rFonts w:eastAsia="SimSun"/>
                <w:noProof/>
                <w:lang w:val="en-GB"/>
              </w:rPr>
            </w:pPr>
          </w:p>
        </w:tc>
        <w:tc>
          <w:tcPr>
            <w:tcW w:w="4360" w:type="dxa"/>
          </w:tcPr>
          <w:p w14:paraId="5B258CFF" w14:textId="78C34615" w:rsidR="00EC3C9A" w:rsidRPr="002B65F7" w:rsidRDefault="0069011A" w:rsidP="00BF70DA">
            <w:pPr>
              <w:keepNext/>
              <w:suppressAutoHyphens/>
              <w:adjustRightInd w:val="0"/>
              <w:rPr>
                <w:rFonts w:eastAsia="SimSun"/>
                <w:noProof/>
                <w:lang w:val="en-GB"/>
              </w:rPr>
            </w:pPr>
            <w:r w:rsidRPr="002B65F7">
              <w:rPr>
                <w:rFonts w:eastAsia="SimSun"/>
                <w:noProof/>
                <w:sz w:val="20"/>
                <w:lang w:val="en-GB"/>
              </w:rPr>
              <w:t>Ventre</w:t>
            </w:r>
          </w:p>
        </w:tc>
      </w:tr>
      <w:tr w:rsidR="006C6BA5" w:rsidRPr="002B65F7" w14:paraId="73E3CE89" w14:textId="77777777" w:rsidTr="00BF70DA">
        <w:trPr>
          <w:trHeight w:val="835"/>
        </w:trPr>
        <w:tc>
          <w:tcPr>
            <w:tcW w:w="4360" w:type="dxa"/>
            <w:vMerge/>
          </w:tcPr>
          <w:p w14:paraId="52918010" w14:textId="77777777" w:rsidR="00EC3C9A" w:rsidRPr="002B65F7" w:rsidRDefault="00EC3C9A" w:rsidP="00BF70DA">
            <w:pPr>
              <w:keepNext/>
              <w:suppressAutoHyphens/>
              <w:adjustRightInd w:val="0"/>
              <w:jc w:val="center"/>
              <w:rPr>
                <w:rFonts w:eastAsia="SimSun"/>
                <w:noProof/>
                <w:lang w:val="en-GB"/>
              </w:rPr>
            </w:pPr>
          </w:p>
        </w:tc>
        <w:tc>
          <w:tcPr>
            <w:tcW w:w="4360" w:type="dxa"/>
          </w:tcPr>
          <w:p w14:paraId="32EAC712" w14:textId="36C3DF6C" w:rsidR="00EC3C9A" w:rsidRPr="002B65F7" w:rsidDel="00253C33" w:rsidRDefault="0069011A" w:rsidP="00BF70DA">
            <w:pPr>
              <w:keepNext/>
              <w:suppressAutoHyphens/>
              <w:adjustRightInd w:val="0"/>
              <w:rPr>
                <w:rFonts w:eastAsia="SimSun"/>
                <w:noProof/>
                <w:sz w:val="20"/>
                <w:lang w:val="en-GB"/>
              </w:rPr>
            </w:pPr>
            <w:r w:rsidRPr="002B65F7">
              <w:rPr>
                <w:rFonts w:eastAsia="SimSun"/>
                <w:noProof/>
                <w:sz w:val="20"/>
                <w:lang w:val="en-GB"/>
              </w:rPr>
              <w:t>Cuisse</w:t>
            </w:r>
          </w:p>
        </w:tc>
      </w:tr>
    </w:tbl>
    <w:p w14:paraId="4BA575EF" w14:textId="5DF8E108" w:rsidR="00EC3C9A" w:rsidRPr="002B65F7" w:rsidRDefault="00EC3C9A" w:rsidP="007A7B22">
      <w:pPr>
        <w:jc w:val="center"/>
        <w:rPr>
          <w:w w:val="99"/>
          <w:sz w:val="20"/>
          <w:szCs w:val="20"/>
        </w:rPr>
      </w:pPr>
      <w:r w:rsidRPr="002B65F7">
        <w:rPr>
          <w:sz w:val="20"/>
          <w:szCs w:val="20"/>
        </w:rPr>
        <w:t>Les zones grises correspondent aux sites d’injection recommandés</w:t>
      </w:r>
      <w:r w:rsidRPr="002B65F7">
        <w:rPr>
          <w:w w:val="99"/>
          <w:sz w:val="20"/>
          <w:szCs w:val="20"/>
        </w:rPr>
        <w:t>.</w:t>
      </w:r>
    </w:p>
    <w:p w14:paraId="04761DBD" w14:textId="77777777" w:rsidR="00BE6AA2" w:rsidRPr="002B65F7" w:rsidRDefault="00BE6AA2" w:rsidP="00EC3C9A">
      <w:pPr>
        <w:ind w:left="2728" w:right="2628"/>
        <w:jc w:val="center"/>
      </w:pPr>
    </w:p>
    <w:p w14:paraId="03B5901C" w14:textId="7AE39B5F" w:rsidR="00092F83" w:rsidRPr="002B65F7" w:rsidRDefault="00C31740" w:rsidP="00496255">
      <w:pPr>
        <w:widowControl/>
        <w:jc w:val="center"/>
      </w:pPr>
      <w:r w:rsidRPr="002B65F7">
        <w:t>Figure</w:t>
      </w:r>
      <w:r w:rsidR="003B31E7" w:rsidRPr="002B65F7">
        <w:rPr>
          <w:spacing w:val="-5"/>
        </w:rPr>
        <w:t> </w:t>
      </w:r>
      <w:r w:rsidRPr="002B65F7">
        <w:rPr>
          <w:spacing w:val="-10"/>
        </w:rPr>
        <w:t>2</w:t>
      </w:r>
    </w:p>
    <w:p w14:paraId="03B5901D" w14:textId="77777777" w:rsidR="00092F83" w:rsidRPr="002B65F7" w:rsidRDefault="00092F83" w:rsidP="00496255">
      <w:pPr>
        <w:widowControl/>
      </w:pPr>
    </w:p>
    <w:p w14:paraId="03B5901E" w14:textId="77777777" w:rsidR="00092F83" w:rsidRPr="002B65F7" w:rsidRDefault="00C31740" w:rsidP="00496255">
      <w:pPr>
        <w:keepNext/>
        <w:widowControl/>
      </w:pPr>
      <w:r w:rsidRPr="002B65F7">
        <w:lastRenderedPageBreak/>
        <w:t>Préparez le site d’injection</w:t>
      </w:r>
    </w:p>
    <w:p w14:paraId="03B5901F" w14:textId="1B9A5AA5" w:rsidR="00092F83" w:rsidRPr="002B65F7" w:rsidRDefault="00C31740" w:rsidP="007A7B22">
      <w:pPr>
        <w:pStyle w:val="ListParagraph"/>
        <w:keepNext/>
        <w:widowControl/>
        <w:numPr>
          <w:ilvl w:val="1"/>
          <w:numId w:val="44"/>
        </w:numPr>
        <w:tabs>
          <w:tab w:val="left" w:pos="567"/>
        </w:tabs>
        <w:ind w:left="567" w:hanging="567"/>
      </w:pPr>
      <w:r w:rsidRPr="002B65F7">
        <w:t>Lavez-vous très bien les mains avec du savon et de l’eau chaude</w:t>
      </w:r>
      <w:r w:rsidR="00EC3C9A" w:rsidRPr="002B65F7">
        <w:t>.</w:t>
      </w:r>
    </w:p>
    <w:p w14:paraId="03B59020" w14:textId="453E56F5" w:rsidR="00092F83" w:rsidRPr="002B65F7" w:rsidRDefault="00C31740" w:rsidP="007A7B22">
      <w:pPr>
        <w:pStyle w:val="ListParagraph"/>
        <w:keepNext/>
        <w:widowControl/>
        <w:numPr>
          <w:ilvl w:val="1"/>
          <w:numId w:val="44"/>
        </w:numPr>
        <w:tabs>
          <w:tab w:val="left" w:pos="567"/>
        </w:tabs>
        <w:ind w:left="567" w:hanging="567"/>
      </w:pPr>
      <w:r w:rsidRPr="002B65F7">
        <w:t>Essuyez l’endroit de la peau où vous allez recevoir l’injection avec une lingette antiseptique</w:t>
      </w:r>
      <w:r w:rsidR="00EC3C9A" w:rsidRPr="002B65F7">
        <w:t>.</w:t>
      </w:r>
    </w:p>
    <w:p w14:paraId="03B59021" w14:textId="1A0E734C" w:rsidR="00092F83" w:rsidRPr="002B65F7" w:rsidRDefault="00C31740" w:rsidP="007A7B22">
      <w:pPr>
        <w:pStyle w:val="ListParagraph"/>
        <w:widowControl/>
        <w:numPr>
          <w:ilvl w:val="1"/>
          <w:numId w:val="44"/>
        </w:numPr>
        <w:tabs>
          <w:tab w:val="left" w:pos="567"/>
        </w:tabs>
        <w:ind w:left="567" w:hanging="567"/>
      </w:pPr>
      <w:r w:rsidRPr="002B65F7">
        <w:t>Ne plus toucher cet endroit avant de faire l’injection.</w:t>
      </w:r>
    </w:p>
    <w:p w14:paraId="50FA4D11" w14:textId="77777777" w:rsidR="003B31E7" w:rsidRPr="002B65F7" w:rsidRDefault="003B31E7" w:rsidP="00496255">
      <w:pPr>
        <w:widowControl/>
      </w:pPr>
    </w:p>
    <w:p w14:paraId="03B59022" w14:textId="4062BA02" w:rsidR="00092F83" w:rsidRPr="002B65F7" w:rsidRDefault="003B31E7" w:rsidP="00DC7A04">
      <w:pPr>
        <w:keepNext/>
        <w:keepLines/>
        <w:widowControl/>
        <w:ind w:left="567" w:hanging="567"/>
        <w:rPr>
          <w:b/>
          <w:bCs/>
        </w:rPr>
      </w:pPr>
      <w:r w:rsidRPr="002B65F7">
        <w:rPr>
          <w:b/>
          <w:bCs/>
        </w:rPr>
        <w:t xml:space="preserve">3. </w:t>
      </w:r>
      <w:r w:rsidR="00C31740" w:rsidRPr="002B65F7">
        <w:rPr>
          <w:b/>
          <w:bCs/>
        </w:rPr>
        <w:t>Préparez la dose :</w:t>
      </w:r>
    </w:p>
    <w:p w14:paraId="5C7C9829" w14:textId="77777777" w:rsidR="007A7B22" w:rsidRPr="002B65F7" w:rsidRDefault="007A7B22" w:rsidP="007A7B22">
      <w:pPr>
        <w:keepNext/>
        <w:keepLines/>
        <w:widowControl/>
        <w:rPr>
          <w:b/>
          <w:bCs/>
        </w:rPr>
      </w:pPr>
    </w:p>
    <w:p w14:paraId="604C9EA6" w14:textId="66D035DF" w:rsidR="00092F83" w:rsidRPr="002B65F7" w:rsidRDefault="00D6493F" w:rsidP="00DC7A04">
      <w:pPr>
        <w:pStyle w:val="ListParagraph"/>
        <w:keepNext/>
        <w:keepLines/>
        <w:widowControl/>
        <w:numPr>
          <w:ilvl w:val="1"/>
          <w:numId w:val="45"/>
        </w:numPr>
        <w:tabs>
          <w:tab w:val="left" w:pos="567"/>
        </w:tabs>
        <w:ind w:left="567" w:hanging="567"/>
        <w:rPr>
          <w:rFonts w:eastAsia="TimesNewRoman"/>
        </w:rPr>
      </w:pPr>
      <w:r w:rsidRPr="002B65F7">
        <w:rPr>
          <w:rFonts w:eastAsia="TimesNewRoman"/>
        </w:rPr>
        <w:t xml:space="preserve">Enlevez l’opercule du flacon (voir la </w:t>
      </w:r>
      <w:r w:rsidR="00EC3C9A" w:rsidRPr="002B65F7">
        <w:rPr>
          <w:rFonts w:eastAsia="TimesNewRoman"/>
        </w:rPr>
        <w:t>f</w:t>
      </w:r>
      <w:r w:rsidRPr="002B65F7">
        <w:rPr>
          <w:rFonts w:eastAsia="TimesNewRoman"/>
        </w:rPr>
        <w:t>igure 3)</w:t>
      </w:r>
      <w:r w:rsidR="0069011A" w:rsidRPr="002B65F7">
        <w:rPr>
          <w:rFonts w:eastAsia="TimesNewRoman"/>
        </w:rPr>
        <w:t>.</w:t>
      </w:r>
    </w:p>
    <w:p w14:paraId="750D5056" w14:textId="77777777" w:rsidR="00D6493F" w:rsidRPr="002B65F7" w:rsidRDefault="00D6493F" w:rsidP="007A7B22">
      <w:pPr>
        <w:keepNext/>
        <w:keepLines/>
        <w:widowControl/>
        <w:ind w:left="567" w:hanging="567"/>
        <w:rPr>
          <w:rFonts w:eastAsia="TimesNewRoman"/>
        </w:rPr>
      </w:pPr>
    </w:p>
    <w:p w14:paraId="1A9AF5A0" w14:textId="73E585BE" w:rsidR="00E56235" w:rsidRPr="002B65F7" w:rsidRDefault="00A2167E" w:rsidP="007A7B22">
      <w:pPr>
        <w:pStyle w:val="ListParagraph"/>
        <w:keepNext/>
        <w:keepLines/>
        <w:ind w:left="0" w:firstLine="0"/>
        <w:jc w:val="center"/>
        <w:rPr>
          <w:sz w:val="20"/>
          <w:szCs w:val="20"/>
          <w:lang w:val="en-GB"/>
        </w:rPr>
      </w:pPr>
      <w:r>
        <w:rPr>
          <w:noProof/>
          <w:sz w:val="20"/>
          <w:szCs w:val="20"/>
          <w:lang w:val="en-US" w:eastAsia="zh-CN"/>
        </w:rPr>
        <w:drawing>
          <wp:inline distT="0" distB="0" distL="0" distR="0" wp14:anchorId="212753C1" wp14:editId="124A7190">
            <wp:extent cx="1183640" cy="1428750"/>
            <wp:effectExtent l="0" t="0" r="0" b="0"/>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83640" cy="1428750"/>
                    </a:xfrm>
                    <a:prstGeom prst="rect">
                      <a:avLst/>
                    </a:prstGeom>
                    <a:noFill/>
                    <a:ln>
                      <a:noFill/>
                    </a:ln>
                  </pic:spPr>
                </pic:pic>
              </a:graphicData>
            </a:graphic>
          </wp:inline>
        </w:drawing>
      </w:r>
    </w:p>
    <w:p w14:paraId="28681BF2" w14:textId="77777777" w:rsidR="007A7B22" w:rsidRPr="002B65F7" w:rsidRDefault="007A7B22" w:rsidP="007A7B22">
      <w:pPr>
        <w:pStyle w:val="ListParagraph"/>
        <w:keepNext/>
        <w:keepLines/>
        <w:ind w:left="0" w:firstLine="0"/>
        <w:jc w:val="center"/>
        <w:rPr>
          <w:lang w:val="en-GB"/>
        </w:rPr>
      </w:pPr>
    </w:p>
    <w:p w14:paraId="210E9D72" w14:textId="23823DED" w:rsidR="00D6493F" w:rsidRPr="002B65F7" w:rsidRDefault="00D6493F" w:rsidP="007A7B22">
      <w:pPr>
        <w:keepNext/>
        <w:keepLines/>
        <w:widowControl/>
        <w:jc w:val="center"/>
        <w:rPr>
          <w:rFonts w:eastAsia="TimesNewRoman"/>
          <w:lang w:val="fr-CH"/>
        </w:rPr>
      </w:pPr>
      <w:r w:rsidRPr="002B65F7">
        <w:rPr>
          <w:rFonts w:eastAsia="TimesNewRoman"/>
          <w:lang w:val="fr-CH"/>
        </w:rPr>
        <w:t>Figure 3</w:t>
      </w:r>
    </w:p>
    <w:p w14:paraId="4211D61A" w14:textId="56ABC652" w:rsidR="00D6493F" w:rsidRPr="002B65F7" w:rsidRDefault="00760171" w:rsidP="007A7B22">
      <w:pPr>
        <w:pStyle w:val="ListParagraph"/>
        <w:keepNext/>
        <w:keepLines/>
        <w:widowControl/>
        <w:numPr>
          <w:ilvl w:val="1"/>
          <w:numId w:val="46"/>
        </w:numPr>
        <w:tabs>
          <w:tab w:val="left" w:pos="567"/>
        </w:tabs>
        <w:ind w:left="567" w:hanging="567"/>
        <w:rPr>
          <w:rFonts w:eastAsia="TimesNewRoman"/>
        </w:rPr>
      </w:pPr>
      <w:r w:rsidRPr="002B65F7">
        <w:rPr>
          <w:rFonts w:eastAsia="TimesNewRoman"/>
        </w:rPr>
        <w:t>Ne pas enlever le bouchon</w:t>
      </w:r>
      <w:r w:rsidR="00E56235" w:rsidRPr="002B65F7">
        <w:rPr>
          <w:rFonts w:eastAsia="TimesNewRoman"/>
        </w:rPr>
        <w:t>.</w:t>
      </w:r>
    </w:p>
    <w:p w14:paraId="0AA8E5E9" w14:textId="31618505" w:rsidR="00760171" w:rsidRPr="002B65F7" w:rsidRDefault="00760171" w:rsidP="007A7B22">
      <w:pPr>
        <w:pStyle w:val="ListParagraph"/>
        <w:widowControl/>
        <w:numPr>
          <w:ilvl w:val="1"/>
          <w:numId w:val="46"/>
        </w:numPr>
        <w:tabs>
          <w:tab w:val="left" w:pos="567"/>
        </w:tabs>
        <w:ind w:left="567" w:hanging="567"/>
        <w:rPr>
          <w:rFonts w:eastAsia="TimesNewRoman"/>
        </w:rPr>
      </w:pPr>
      <w:r w:rsidRPr="002B65F7">
        <w:rPr>
          <w:rFonts w:eastAsia="TimesNewRoman"/>
        </w:rPr>
        <w:t>Nettoyez le bouchon avec un tampon antiseptique</w:t>
      </w:r>
      <w:r w:rsidR="00E56235" w:rsidRPr="002B65F7">
        <w:rPr>
          <w:rFonts w:eastAsia="TimesNewRoman"/>
        </w:rPr>
        <w:t>.</w:t>
      </w:r>
    </w:p>
    <w:p w14:paraId="75C6DDB8" w14:textId="29638DA2" w:rsidR="00760171" w:rsidRPr="002B65F7" w:rsidRDefault="00760171" w:rsidP="007A7B22">
      <w:pPr>
        <w:pStyle w:val="ListParagraph"/>
        <w:widowControl/>
        <w:numPr>
          <w:ilvl w:val="1"/>
          <w:numId w:val="46"/>
        </w:numPr>
        <w:tabs>
          <w:tab w:val="left" w:pos="567"/>
        </w:tabs>
        <w:ind w:left="567" w:hanging="567"/>
        <w:rPr>
          <w:rFonts w:eastAsia="TimesNewRoman"/>
        </w:rPr>
      </w:pPr>
      <w:r w:rsidRPr="002B65F7">
        <w:rPr>
          <w:rFonts w:eastAsia="TimesNewRoman"/>
        </w:rPr>
        <w:t>Posez le flacon sur une surface plane.</w:t>
      </w:r>
    </w:p>
    <w:p w14:paraId="289A902F" w14:textId="39494775" w:rsidR="00760171" w:rsidRPr="002B65F7" w:rsidRDefault="00913B2B" w:rsidP="007A7B22">
      <w:pPr>
        <w:pStyle w:val="ListParagraph"/>
        <w:widowControl/>
        <w:numPr>
          <w:ilvl w:val="1"/>
          <w:numId w:val="46"/>
        </w:numPr>
        <w:tabs>
          <w:tab w:val="left" w:pos="567"/>
        </w:tabs>
        <w:ind w:left="567" w:hanging="567"/>
        <w:rPr>
          <w:rFonts w:eastAsia="TimesNewRoman"/>
        </w:rPr>
      </w:pPr>
      <w:r w:rsidRPr="002B65F7">
        <w:rPr>
          <w:rFonts w:eastAsia="TimesNewRoman"/>
        </w:rPr>
        <w:t>Prenez la seringue et retirez le capuchon de l’aiguille</w:t>
      </w:r>
      <w:r w:rsidR="00E56235" w:rsidRPr="002B65F7">
        <w:rPr>
          <w:rFonts w:eastAsia="TimesNewRoman"/>
        </w:rPr>
        <w:t>.</w:t>
      </w:r>
    </w:p>
    <w:p w14:paraId="51127C05" w14:textId="7DB41F7C" w:rsidR="00760171" w:rsidRPr="002B65F7" w:rsidRDefault="00913B2B" w:rsidP="007A7B22">
      <w:pPr>
        <w:pStyle w:val="ListParagraph"/>
        <w:widowControl/>
        <w:numPr>
          <w:ilvl w:val="1"/>
          <w:numId w:val="46"/>
        </w:numPr>
        <w:tabs>
          <w:tab w:val="left" w:pos="567"/>
        </w:tabs>
        <w:ind w:left="567" w:hanging="567"/>
        <w:rPr>
          <w:rFonts w:eastAsia="TimesNewRoman"/>
        </w:rPr>
      </w:pPr>
      <w:r w:rsidRPr="002B65F7">
        <w:rPr>
          <w:rFonts w:eastAsia="TimesNewRoman"/>
        </w:rPr>
        <w:t>Ne pas toucher l’aiguille ni mettre l’aiguille en contact avec quoi que ce soit</w:t>
      </w:r>
      <w:r w:rsidR="00E56235" w:rsidRPr="002B65F7">
        <w:rPr>
          <w:rFonts w:eastAsia="TimesNewRoman"/>
        </w:rPr>
        <w:t>.</w:t>
      </w:r>
    </w:p>
    <w:p w14:paraId="433562B7" w14:textId="5B9FEBE9" w:rsidR="00760171" w:rsidRPr="002B65F7" w:rsidRDefault="00913B2B" w:rsidP="007A7B22">
      <w:pPr>
        <w:pStyle w:val="ListParagraph"/>
        <w:widowControl/>
        <w:numPr>
          <w:ilvl w:val="1"/>
          <w:numId w:val="46"/>
        </w:numPr>
        <w:tabs>
          <w:tab w:val="left" w:pos="567"/>
        </w:tabs>
        <w:ind w:left="567" w:hanging="567"/>
        <w:rPr>
          <w:rFonts w:eastAsia="TimesNewRoman"/>
        </w:rPr>
      </w:pPr>
      <w:r w:rsidRPr="002B65F7">
        <w:rPr>
          <w:rFonts w:eastAsia="TimesNewRoman"/>
        </w:rPr>
        <w:t>Introduisez l’aiguille à travers le bouchon en caoutchouc</w:t>
      </w:r>
      <w:r w:rsidR="00E56235" w:rsidRPr="002B65F7">
        <w:rPr>
          <w:rFonts w:eastAsia="TimesNewRoman"/>
        </w:rPr>
        <w:t>.</w:t>
      </w:r>
    </w:p>
    <w:p w14:paraId="3E1DAA13" w14:textId="4D474A48" w:rsidR="00760171" w:rsidRPr="002B65F7" w:rsidRDefault="00913B2B" w:rsidP="007A7B22">
      <w:pPr>
        <w:pStyle w:val="ListParagraph"/>
        <w:widowControl/>
        <w:numPr>
          <w:ilvl w:val="1"/>
          <w:numId w:val="46"/>
        </w:numPr>
        <w:tabs>
          <w:tab w:val="left" w:pos="567"/>
        </w:tabs>
        <w:ind w:left="567" w:hanging="567"/>
        <w:rPr>
          <w:rFonts w:eastAsia="TimesNewRoman"/>
        </w:rPr>
      </w:pPr>
      <w:r w:rsidRPr="002B65F7">
        <w:rPr>
          <w:rFonts w:eastAsia="TimesNewRoman"/>
        </w:rPr>
        <w:t>Mettez le flacon et la seringue à l’envers, tête en bas</w:t>
      </w:r>
      <w:r w:rsidR="00E56235" w:rsidRPr="002B65F7">
        <w:rPr>
          <w:rFonts w:eastAsia="TimesNewRoman"/>
        </w:rPr>
        <w:t>.</w:t>
      </w:r>
    </w:p>
    <w:p w14:paraId="46D32629" w14:textId="7AF192EF" w:rsidR="00760171" w:rsidRPr="002B65F7" w:rsidRDefault="00913B2B" w:rsidP="007A7B22">
      <w:pPr>
        <w:pStyle w:val="ListParagraph"/>
        <w:widowControl/>
        <w:numPr>
          <w:ilvl w:val="1"/>
          <w:numId w:val="46"/>
        </w:numPr>
        <w:tabs>
          <w:tab w:val="left" w:pos="567"/>
        </w:tabs>
        <w:ind w:left="567" w:hanging="567"/>
        <w:rPr>
          <w:rFonts w:eastAsia="TimesNewRoman"/>
        </w:rPr>
      </w:pPr>
      <w:r w:rsidRPr="002B65F7">
        <w:rPr>
          <w:rFonts w:eastAsia="TimesNewRoman"/>
        </w:rPr>
        <w:t>Tirez le piston de la seringue pour aspirer dans la seringue la quantité de liquide prescrite par votre médecin</w:t>
      </w:r>
      <w:r w:rsidR="00E56235" w:rsidRPr="002B65F7">
        <w:rPr>
          <w:rFonts w:eastAsia="TimesNewRoman"/>
        </w:rPr>
        <w:t>.</w:t>
      </w:r>
    </w:p>
    <w:p w14:paraId="1B04A0B2" w14:textId="71CC4CA5" w:rsidR="00760171" w:rsidRPr="002B65F7" w:rsidRDefault="00913B2B" w:rsidP="007A7B22">
      <w:pPr>
        <w:pStyle w:val="ListParagraph"/>
        <w:widowControl/>
        <w:numPr>
          <w:ilvl w:val="1"/>
          <w:numId w:val="46"/>
        </w:numPr>
        <w:tabs>
          <w:tab w:val="left" w:pos="567"/>
        </w:tabs>
        <w:ind w:left="567" w:hanging="567"/>
      </w:pPr>
      <w:r w:rsidRPr="002B65F7">
        <w:rPr>
          <w:rFonts w:eastAsia="TimesNewRoman"/>
        </w:rPr>
        <w:t>Il est important</w:t>
      </w:r>
      <w:r w:rsidRPr="002B65F7">
        <w:t xml:space="preserve"> que l’aiguille reste toujours dans le liquide. Ceci empêche la formation de bulles d’air dans la seringue (voir la </w:t>
      </w:r>
      <w:r w:rsidR="0069011A" w:rsidRPr="002B65F7">
        <w:t>f</w:t>
      </w:r>
      <w:r w:rsidRPr="002B65F7">
        <w:t>igure 4)</w:t>
      </w:r>
      <w:r w:rsidR="00E56235" w:rsidRPr="002B65F7">
        <w:t>.</w:t>
      </w:r>
    </w:p>
    <w:p w14:paraId="54AED0BA" w14:textId="77777777" w:rsidR="00760171" w:rsidRPr="002B65F7" w:rsidRDefault="00760171" w:rsidP="00496255">
      <w:pPr>
        <w:widowControl/>
        <w:ind w:left="567" w:hanging="567"/>
      </w:pPr>
    </w:p>
    <w:p w14:paraId="7AC8E5B5" w14:textId="62D57807" w:rsidR="00E56235" w:rsidRPr="002B65F7" w:rsidRDefault="00A2167E" w:rsidP="00E56235">
      <w:pPr>
        <w:ind w:right="-23"/>
        <w:jc w:val="center"/>
        <w:rPr>
          <w:sz w:val="20"/>
          <w:szCs w:val="20"/>
          <w:lang w:val="en-GB"/>
        </w:rPr>
      </w:pPr>
      <w:r>
        <w:rPr>
          <w:noProof/>
          <w:sz w:val="20"/>
          <w:szCs w:val="20"/>
          <w:lang w:val="en-US" w:eastAsia="zh-CN"/>
        </w:rPr>
        <w:drawing>
          <wp:inline distT="0" distB="0" distL="0" distR="0" wp14:anchorId="60B566EE" wp14:editId="71F655E7">
            <wp:extent cx="2743200" cy="1608455"/>
            <wp:effectExtent l="0" t="0" r="0" b="0"/>
            <wp:docPr id="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3200" cy="1608455"/>
                    </a:xfrm>
                    <a:prstGeom prst="rect">
                      <a:avLst/>
                    </a:prstGeom>
                    <a:noFill/>
                    <a:ln>
                      <a:noFill/>
                    </a:ln>
                  </pic:spPr>
                </pic:pic>
              </a:graphicData>
            </a:graphic>
          </wp:inline>
        </w:drawing>
      </w:r>
    </w:p>
    <w:p w14:paraId="27F69ABF" w14:textId="77777777" w:rsidR="007A7B22" w:rsidRPr="002B65F7" w:rsidRDefault="007A7B22" w:rsidP="00496255">
      <w:pPr>
        <w:widowControl/>
        <w:jc w:val="center"/>
      </w:pPr>
    </w:p>
    <w:p w14:paraId="42E6D35A" w14:textId="34B50D3F" w:rsidR="004D1262" w:rsidRPr="002B65F7" w:rsidRDefault="004D1262" w:rsidP="00496255">
      <w:pPr>
        <w:widowControl/>
        <w:jc w:val="center"/>
        <w:rPr>
          <w:rFonts w:eastAsia="TimesNewRoman"/>
        </w:rPr>
      </w:pPr>
      <w:r w:rsidRPr="002B65F7">
        <w:rPr>
          <w:rFonts w:eastAsia="TimesNewRoman"/>
        </w:rPr>
        <w:t>Figure</w:t>
      </w:r>
      <w:r w:rsidR="00BA5B41" w:rsidRPr="002B65F7">
        <w:rPr>
          <w:rFonts w:eastAsia="TimesNewRoman"/>
        </w:rPr>
        <w:t> </w:t>
      </w:r>
      <w:r w:rsidRPr="002B65F7">
        <w:rPr>
          <w:rFonts w:eastAsia="TimesNewRoman"/>
        </w:rPr>
        <w:t>4</w:t>
      </w:r>
    </w:p>
    <w:p w14:paraId="21395EFB" w14:textId="5C5B2CF2" w:rsidR="004D1262" w:rsidRPr="002B65F7" w:rsidRDefault="004D1262" w:rsidP="007A7B22">
      <w:pPr>
        <w:pStyle w:val="ListParagraph"/>
        <w:widowControl/>
        <w:numPr>
          <w:ilvl w:val="1"/>
          <w:numId w:val="47"/>
        </w:numPr>
        <w:tabs>
          <w:tab w:val="left" w:pos="567"/>
        </w:tabs>
        <w:ind w:left="567" w:hanging="567"/>
      </w:pPr>
      <w:r w:rsidRPr="002B65F7">
        <w:t>Retirer l’aiguille du flacon</w:t>
      </w:r>
      <w:r w:rsidR="00E56235" w:rsidRPr="002B65F7">
        <w:t>.</w:t>
      </w:r>
    </w:p>
    <w:p w14:paraId="771FE9F8" w14:textId="10C9EDCA" w:rsidR="004D1262" w:rsidRPr="002B65F7" w:rsidRDefault="004D1262" w:rsidP="007A7B22">
      <w:pPr>
        <w:pStyle w:val="ListParagraph"/>
        <w:widowControl/>
        <w:numPr>
          <w:ilvl w:val="1"/>
          <w:numId w:val="47"/>
        </w:numPr>
        <w:tabs>
          <w:tab w:val="left" w:pos="567"/>
        </w:tabs>
        <w:ind w:left="567" w:hanging="567"/>
      </w:pPr>
      <w:r w:rsidRPr="002B65F7">
        <w:t>Tenez la seringue avec l’aiguille pointant vers le haut pour voir si elle contient des bulles d’air</w:t>
      </w:r>
      <w:r w:rsidR="00E56235" w:rsidRPr="002B65F7">
        <w:t>.</w:t>
      </w:r>
    </w:p>
    <w:p w14:paraId="5E219706" w14:textId="6B3FB9CE" w:rsidR="004D1262" w:rsidRPr="002B65F7" w:rsidRDefault="00FD3A2F" w:rsidP="007A7B22">
      <w:pPr>
        <w:pStyle w:val="ListParagraph"/>
        <w:widowControl/>
        <w:numPr>
          <w:ilvl w:val="1"/>
          <w:numId w:val="47"/>
        </w:numPr>
        <w:tabs>
          <w:tab w:val="left" w:pos="567"/>
        </w:tabs>
        <w:ind w:left="567" w:hanging="567"/>
      </w:pPr>
      <w:r w:rsidRPr="002B65F7">
        <w:t xml:space="preserve">S’il y a des bulles d’air, tapotez légèrement sur le côté de la seringue jusqu’à ce que les bulles d’air remontent vers le haut de la seringue (voir la </w:t>
      </w:r>
      <w:r w:rsidR="00E56235" w:rsidRPr="002B65F7">
        <w:t>f</w:t>
      </w:r>
      <w:r w:rsidRPr="002B65F7">
        <w:t>igure 5)</w:t>
      </w:r>
      <w:r w:rsidR="00E56235" w:rsidRPr="002B65F7">
        <w:t>.</w:t>
      </w:r>
    </w:p>
    <w:p w14:paraId="576229B4" w14:textId="52B7B9C5" w:rsidR="00E56235" w:rsidRPr="002B65F7" w:rsidRDefault="00E56235" w:rsidP="00E56235">
      <w:pPr>
        <w:ind w:right="-23"/>
        <w:jc w:val="center"/>
        <w:rPr>
          <w:sz w:val="20"/>
          <w:szCs w:val="20"/>
        </w:rPr>
      </w:pPr>
    </w:p>
    <w:p w14:paraId="5BDC0D25" w14:textId="324F297C" w:rsidR="004D1262" w:rsidRPr="002B65F7" w:rsidRDefault="00A2167E" w:rsidP="00496255">
      <w:pPr>
        <w:widowControl/>
        <w:jc w:val="center"/>
        <w:rPr>
          <w:rFonts w:eastAsia="TimesNewRoman"/>
          <w:b/>
          <w:bCs/>
        </w:rPr>
      </w:pPr>
      <w:r>
        <w:rPr>
          <w:noProof/>
          <w:sz w:val="20"/>
          <w:szCs w:val="20"/>
          <w:lang w:val="en-US" w:eastAsia="zh-CN"/>
        </w:rPr>
        <w:lastRenderedPageBreak/>
        <w:drawing>
          <wp:inline distT="0" distB="0" distL="0" distR="0" wp14:anchorId="70C39623" wp14:editId="35EF2445">
            <wp:extent cx="2482215" cy="1518285"/>
            <wp:effectExtent l="0" t="0" r="0" b="0"/>
            <wp:docPr id="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82215" cy="1518285"/>
                    </a:xfrm>
                    <a:prstGeom prst="rect">
                      <a:avLst/>
                    </a:prstGeom>
                    <a:noFill/>
                    <a:ln>
                      <a:noFill/>
                    </a:ln>
                  </pic:spPr>
                </pic:pic>
              </a:graphicData>
            </a:graphic>
          </wp:inline>
        </w:drawing>
      </w:r>
    </w:p>
    <w:p w14:paraId="0B74C7FD" w14:textId="77777777" w:rsidR="007A7B22" w:rsidRPr="002B65F7" w:rsidRDefault="007A7B22" w:rsidP="00496255">
      <w:pPr>
        <w:widowControl/>
        <w:jc w:val="center"/>
        <w:rPr>
          <w:rFonts w:eastAsia="TimesNewRoman"/>
          <w:lang w:val="fr-CH"/>
        </w:rPr>
      </w:pPr>
    </w:p>
    <w:p w14:paraId="24170A0C" w14:textId="2EDB1E96" w:rsidR="00FC311F" w:rsidRPr="002B65F7" w:rsidRDefault="00FC311F" w:rsidP="00496255">
      <w:pPr>
        <w:widowControl/>
        <w:jc w:val="center"/>
        <w:rPr>
          <w:rFonts w:eastAsia="TimesNewRoman"/>
          <w:lang w:val="fr-CH"/>
        </w:rPr>
      </w:pPr>
      <w:r w:rsidRPr="002B65F7">
        <w:rPr>
          <w:rFonts w:eastAsia="TimesNewRoman"/>
          <w:lang w:val="fr-CH"/>
        </w:rPr>
        <w:t>Figure 5</w:t>
      </w:r>
    </w:p>
    <w:p w14:paraId="23D1C7AF" w14:textId="77777777" w:rsidR="00EC3726" w:rsidRPr="002B65F7" w:rsidRDefault="00EC3726" w:rsidP="00496255">
      <w:pPr>
        <w:widowControl/>
        <w:rPr>
          <w:rFonts w:eastAsia="TimesNewRoman"/>
          <w:lang w:val="fr-CH"/>
        </w:rPr>
      </w:pPr>
    </w:p>
    <w:p w14:paraId="241F3D01" w14:textId="1AD686AF" w:rsidR="00FC311F" w:rsidRPr="002B65F7" w:rsidRDefault="00FC311F" w:rsidP="007A7B22">
      <w:pPr>
        <w:pStyle w:val="ListParagraph"/>
        <w:widowControl/>
        <w:numPr>
          <w:ilvl w:val="1"/>
          <w:numId w:val="48"/>
        </w:numPr>
        <w:tabs>
          <w:tab w:val="left" w:pos="567"/>
        </w:tabs>
        <w:ind w:left="567" w:hanging="567"/>
        <w:rPr>
          <w:rFonts w:eastAsia="TimesNewRoman"/>
        </w:rPr>
      </w:pPr>
      <w:r w:rsidRPr="002B65F7">
        <w:rPr>
          <w:rFonts w:eastAsia="TimesNewRoman"/>
        </w:rPr>
        <w:t>Poussez ensuite doucement le piston jusqu’à ce que tout l’air (mais pas de liquide) soit enlevé</w:t>
      </w:r>
      <w:r w:rsidR="00F00F7E" w:rsidRPr="002B65F7">
        <w:rPr>
          <w:rFonts w:eastAsia="TimesNewRoman"/>
        </w:rPr>
        <w:t>.</w:t>
      </w:r>
    </w:p>
    <w:p w14:paraId="4A2FDAA7" w14:textId="7619A00F" w:rsidR="00FC311F" w:rsidRPr="002B65F7" w:rsidRDefault="00FC311F" w:rsidP="007A7B22">
      <w:pPr>
        <w:pStyle w:val="ListParagraph"/>
        <w:widowControl/>
        <w:numPr>
          <w:ilvl w:val="1"/>
          <w:numId w:val="48"/>
        </w:numPr>
        <w:tabs>
          <w:tab w:val="left" w:pos="567"/>
        </w:tabs>
        <w:ind w:left="567" w:hanging="567"/>
        <w:rPr>
          <w:rFonts w:eastAsia="TimesNewRoman"/>
        </w:rPr>
      </w:pPr>
      <w:r w:rsidRPr="002B65F7">
        <w:rPr>
          <w:rFonts w:eastAsia="TimesNewRoman"/>
        </w:rPr>
        <w:t>Ne pas poser la seringue ni mettre l’aiguille en contact avec quoi que ce soit.</w:t>
      </w:r>
    </w:p>
    <w:p w14:paraId="10193D10" w14:textId="77777777" w:rsidR="006D1B26" w:rsidRPr="002B65F7" w:rsidRDefault="006D1B26" w:rsidP="00496255">
      <w:pPr>
        <w:widowControl/>
        <w:rPr>
          <w:rFonts w:eastAsia="TimesNewRoman"/>
        </w:rPr>
      </w:pPr>
    </w:p>
    <w:p w14:paraId="05CE0141" w14:textId="77777777" w:rsidR="008509A1" w:rsidRPr="002B65F7" w:rsidRDefault="000B45CC" w:rsidP="00DC7A04">
      <w:pPr>
        <w:keepNext/>
        <w:widowControl/>
        <w:ind w:left="567" w:hanging="567"/>
        <w:rPr>
          <w:rFonts w:eastAsia="TimesNewRoman,Bold"/>
          <w:b/>
          <w:bCs/>
        </w:rPr>
      </w:pPr>
      <w:r w:rsidRPr="002B65F7">
        <w:rPr>
          <w:rFonts w:eastAsia="TimesNewRoman,Bold"/>
          <w:b/>
          <w:bCs/>
        </w:rPr>
        <w:t>4. Injectez la dose :</w:t>
      </w:r>
    </w:p>
    <w:p w14:paraId="654C094B" w14:textId="77777777" w:rsidR="008509A1" w:rsidRPr="002B65F7" w:rsidRDefault="008509A1" w:rsidP="008509A1">
      <w:pPr>
        <w:widowControl/>
        <w:tabs>
          <w:tab w:val="left" w:pos="567"/>
        </w:tabs>
        <w:rPr>
          <w:rFonts w:eastAsia="TimesNewRoman"/>
        </w:rPr>
      </w:pPr>
    </w:p>
    <w:p w14:paraId="423139D8" w14:textId="51CDF565" w:rsidR="000B45CC" w:rsidRPr="002B65F7" w:rsidRDefault="006109FA" w:rsidP="008509A1">
      <w:pPr>
        <w:pStyle w:val="ListParagraph"/>
        <w:widowControl/>
        <w:numPr>
          <w:ilvl w:val="1"/>
          <w:numId w:val="48"/>
        </w:numPr>
        <w:tabs>
          <w:tab w:val="left" w:pos="567"/>
        </w:tabs>
        <w:ind w:left="567" w:hanging="567"/>
        <w:rPr>
          <w:rFonts w:eastAsia="TimesNewRoman"/>
        </w:rPr>
      </w:pPr>
      <w:r w:rsidRPr="002B65F7">
        <w:rPr>
          <w:rFonts w:eastAsia="TimesNewRoman"/>
        </w:rPr>
        <w:t>Pincez doucement la peau nettoyée entre votre pouce et votre index. Ne pas serrer trop fort</w:t>
      </w:r>
      <w:r w:rsidR="00E56235" w:rsidRPr="002B65F7">
        <w:rPr>
          <w:rFonts w:eastAsia="TimesNewRoman"/>
        </w:rPr>
        <w:t>.</w:t>
      </w:r>
    </w:p>
    <w:p w14:paraId="074BC47B" w14:textId="7C66766A" w:rsidR="000B45CC" w:rsidRPr="002B65F7" w:rsidRDefault="006109FA" w:rsidP="007A7B22">
      <w:pPr>
        <w:pStyle w:val="ListParagraph"/>
        <w:widowControl/>
        <w:numPr>
          <w:ilvl w:val="1"/>
          <w:numId w:val="48"/>
        </w:numPr>
        <w:tabs>
          <w:tab w:val="left" w:pos="567"/>
        </w:tabs>
        <w:ind w:left="567" w:hanging="567"/>
        <w:rPr>
          <w:rFonts w:eastAsia="TimesNewRoman"/>
        </w:rPr>
      </w:pPr>
      <w:r w:rsidRPr="002B65F7">
        <w:rPr>
          <w:rFonts w:eastAsia="TimesNewRoman"/>
        </w:rPr>
        <w:t>Enfoncez l’aiguille au niveau de la peau pincée</w:t>
      </w:r>
      <w:r w:rsidR="00E56235" w:rsidRPr="002B65F7">
        <w:rPr>
          <w:rFonts w:eastAsia="TimesNewRoman"/>
        </w:rPr>
        <w:t xml:space="preserve"> à un angle de 45 degrés.</w:t>
      </w:r>
    </w:p>
    <w:p w14:paraId="50235A8A" w14:textId="3E9101A4" w:rsidR="006109FA" w:rsidRPr="002B65F7" w:rsidRDefault="006109FA" w:rsidP="007A7B22">
      <w:pPr>
        <w:pStyle w:val="ListParagraph"/>
        <w:widowControl/>
        <w:numPr>
          <w:ilvl w:val="1"/>
          <w:numId w:val="48"/>
        </w:numPr>
        <w:tabs>
          <w:tab w:val="left" w:pos="567"/>
        </w:tabs>
        <w:ind w:left="567" w:hanging="567"/>
        <w:rPr>
          <w:rFonts w:eastAsia="TimesNewRoman"/>
        </w:rPr>
      </w:pPr>
      <w:r w:rsidRPr="002B65F7">
        <w:rPr>
          <w:rFonts w:eastAsia="TimesNewRoman"/>
        </w:rPr>
        <w:t>Poussez le piston avec votre pouce aussi loin que possible afin d’injecter tout le liquide.</w:t>
      </w:r>
    </w:p>
    <w:p w14:paraId="19F18A67" w14:textId="170006CF" w:rsidR="006109FA" w:rsidRPr="002B65F7" w:rsidRDefault="00CF5E4B" w:rsidP="007A7B22">
      <w:pPr>
        <w:pStyle w:val="ListParagraph"/>
        <w:widowControl/>
        <w:numPr>
          <w:ilvl w:val="1"/>
          <w:numId w:val="48"/>
        </w:numPr>
        <w:tabs>
          <w:tab w:val="left" w:pos="567"/>
        </w:tabs>
        <w:ind w:left="567" w:hanging="567"/>
        <w:rPr>
          <w:rFonts w:eastAsia="TimesNewRoman"/>
        </w:rPr>
      </w:pPr>
      <w:r w:rsidRPr="002B65F7">
        <w:rPr>
          <w:rFonts w:eastAsia="TimesNewRoman"/>
        </w:rPr>
        <w:t>Appuyez lentement et de manière uniforme, en tenant toujours la peau légèrement pincée</w:t>
      </w:r>
      <w:r w:rsidR="00E56235" w:rsidRPr="002B65F7">
        <w:rPr>
          <w:rFonts w:eastAsia="TimesNewRoman"/>
        </w:rPr>
        <w:t>.</w:t>
      </w:r>
    </w:p>
    <w:p w14:paraId="06F4E3A8" w14:textId="1C78B304" w:rsidR="006109FA" w:rsidRPr="002B65F7" w:rsidRDefault="00DD5F2C" w:rsidP="007A7B22">
      <w:pPr>
        <w:pStyle w:val="ListParagraph"/>
        <w:widowControl/>
        <w:numPr>
          <w:ilvl w:val="1"/>
          <w:numId w:val="48"/>
        </w:numPr>
        <w:tabs>
          <w:tab w:val="left" w:pos="567"/>
        </w:tabs>
        <w:ind w:left="567" w:hanging="567"/>
        <w:rPr>
          <w:rFonts w:eastAsia="TimesNewRoman"/>
        </w:rPr>
      </w:pPr>
      <w:r w:rsidRPr="002B65F7">
        <w:rPr>
          <w:rFonts w:eastAsia="TimesNewRoman"/>
        </w:rPr>
        <w:t>Quand le piston est poussé aussi loin que possible, enlevez l’aiguille et lâchez la peau</w:t>
      </w:r>
      <w:r w:rsidR="00E56235" w:rsidRPr="002B65F7">
        <w:rPr>
          <w:rFonts w:eastAsia="TimesNewRoman"/>
        </w:rPr>
        <w:t>.</w:t>
      </w:r>
    </w:p>
    <w:p w14:paraId="75E78544" w14:textId="77777777" w:rsidR="006D1B26" w:rsidRPr="002B65F7" w:rsidRDefault="006D1B26" w:rsidP="00496255">
      <w:pPr>
        <w:widowControl/>
      </w:pPr>
    </w:p>
    <w:p w14:paraId="5763E2AF" w14:textId="77777777" w:rsidR="008509A1" w:rsidRPr="002B65F7" w:rsidRDefault="00B779BD" w:rsidP="00DC7A04">
      <w:pPr>
        <w:keepNext/>
        <w:widowControl/>
        <w:ind w:left="567" w:hanging="567"/>
        <w:rPr>
          <w:rFonts w:eastAsia="TimesNewRoman,Bold"/>
          <w:b/>
          <w:bCs/>
        </w:rPr>
      </w:pPr>
      <w:r w:rsidRPr="002B65F7">
        <w:rPr>
          <w:rFonts w:eastAsia="TimesNewRoman,Bold"/>
          <w:b/>
          <w:bCs/>
        </w:rPr>
        <w:t>5. Après l’injection :</w:t>
      </w:r>
    </w:p>
    <w:p w14:paraId="787ECEC5" w14:textId="77777777" w:rsidR="008509A1" w:rsidRPr="002B65F7" w:rsidRDefault="008509A1" w:rsidP="008509A1">
      <w:pPr>
        <w:widowControl/>
        <w:tabs>
          <w:tab w:val="left" w:pos="567"/>
        </w:tabs>
        <w:rPr>
          <w:rFonts w:eastAsia="TimesNewRoman"/>
        </w:rPr>
      </w:pPr>
    </w:p>
    <w:p w14:paraId="41256630" w14:textId="06154182" w:rsidR="00B779BD" w:rsidRPr="002B65F7" w:rsidRDefault="00B779BD" w:rsidP="008509A1">
      <w:pPr>
        <w:pStyle w:val="ListParagraph"/>
        <w:widowControl/>
        <w:numPr>
          <w:ilvl w:val="1"/>
          <w:numId w:val="48"/>
        </w:numPr>
        <w:tabs>
          <w:tab w:val="left" w:pos="567"/>
        </w:tabs>
        <w:ind w:left="567" w:hanging="567"/>
        <w:rPr>
          <w:rFonts w:eastAsia="TimesNewRoman"/>
        </w:rPr>
      </w:pPr>
      <w:r w:rsidRPr="002B65F7">
        <w:rPr>
          <w:rFonts w:eastAsia="TimesNewRoman"/>
        </w:rPr>
        <w:t>Appliquez une lingette antiseptique sur le site d’injection et appuyez quelques secondes après</w:t>
      </w:r>
      <w:r w:rsidR="00B3392A" w:rsidRPr="002B65F7">
        <w:rPr>
          <w:rFonts w:eastAsia="TimesNewRoman"/>
        </w:rPr>
        <w:t xml:space="preserve"> </w:t>
      </w:r>
      <w:r w:rsidRPr="002B65F7">
        <w:rPr>
          <w:rFonts w:eastAsia="TimesNewRoman"/>
        </w:rPr>
        <w:t>l’injection</w:t>
      </w:r>
      <w:r w:rsidR="00E56235" w:rsidRPr="002B65F7">
        <w:rPr>
          <w:rFonts w:eastAsia="TimesNewRoman"/>
        </w:rPr>
        <w:t>.</w:t>
      </w:r>
    </w:p>
    <w:p w14:paraId="488FA03F" w14:textId="5518AC11" w:rsidR="00B779BD" w:rsidRPr="002B65F7" w:rsidRDefault="00B779BD" w:rsidP="007A7B22">
      <w:pPr>
        <w:pStyle w:val="ListParagraph"/>
        <w:widowControl/>
        <w:numPr>
          <w:ilvl w:val="1"/>
          <w:numId w:val="48"/>
        </w:numPr>
        <w:tabs>
          <w:tab w:val="left" w:pos="567"/>
        </w:tabs>
        <w:ind w:left="567" w:hanging="567"/>
        <w:rPr>
          <w:rFonts w:eastAsia="TimesNewRoman"/>
        </w:rPr>
      </w:pPr>
      <w:r w:rsidRPr="002B65F7">
        <w:rPr>
          <w:rFonts w:eastAsia="TimesNewRoman"/>
        </w:rPr>
        <w:t>Il peut y avoir un peu de sang ou de liquide au niveau du site d’injection. Ceci est normal.</w:t>
      </w:r>
    </w:p>
    <w:p w14:paraId="2604F202" w14:textId="7C2A9108" w:rsidR="00B779BD" w:rsidRPr="002B65F7" w:rsidRDefault="00B779BD" w:rsidP="007A7B22">
      <w:pPr>
        <w:pStyle w:val="ListParagraph"/>
        <w:widowControl/>
        <w:numPr>
          <w:ilvl w:val="1"/>
          <w:numId w:val="48"/>
        </w:numPr>
        <w:tabs>
          <w:tab w:val="left" w:pos="567"/>
        </w:tabs>
        <w:ind w:left="567" w:hanging="567"/>
        <w:rPr>
          <w:rFonts w:eastAsia="TimesNewRoman"/>
        </w:rPr>
      </w:pPr>
      <w:r w:rsidRPr="002B65F7">
        <w:rPr>
          <w:rFonts w:eastAsia="TimesNewRoman"/>
        </w:rPr>
        <w:t>Vous pouvez appuyer le coton ou la gaze sur le site d’injection et le maintenir pendant</w:t>
      </w:r>
      <w:r w:rsidR="00B3392A" w:rsidRPr="002B65F7">
        <w:rPr>
          <w:rFonts w:eastAsia="TimesNewRoman"/>
        </w:rPr>
        <w:t xml:space="preserve"> </w:t>
      </w:r>
      <w:r w:rsidRPr="002B65F7">
        <w:rPr>
          <w:rFonts w:eastAsia="TimesNewRoman"/>
        </w:rPr>
        <w:t>10</w:t>
      </w:r>
      <w:r w:rsidR="00AC67A2" w:rsidRPr="002B65F7">
        <w:rPr>
          <w:rFonts w:eastAsia="TimesNewRoman"/>
        </w:rPr>
        <w:t> </w:t>
      </w:r>
      <w:r w:rsidRPr="002B65F7">
        <w:rPr>
          <w:rFonts w:eastAsia="TimesNewRoman"/>
        </w:rPr>
        <w:t>secondes</w:t>
      </w:r>
      <w:r w:rsidR="00E56235" w:rsidRPr="002B65F7">
        <w:rPr>
          <w:rFonts w:eastAsia="TimesNewRoman"/>
        </w:rPr>
        <w:t>.</w:t>
      </w:r>
    </w:p>
    <w:p w14:paraId="6D8A2557" w14:textId="6803ED50" w:rsidR="00B779BD" w:rsidRPr="002B65F7" w:rsidRDefault="00B3392A" w:rsidP="007A7B22">
      <w:pPr>
        <w:pStyle w:val="ListParagraph"/>
        <w:widowControl/>
        <w:numPr>
          <w:ilvl w:val="1"/>
          <w:numId w:val="48"/>
        </w:numPr>
        <w:tabs>
          <w:tab w:val="left" w:pos="567"/>
        </w:tabs>
        <w:ind w:left="567" w:hanging="567"/>
        <w:rPr>
          <w:rFonts w:eastAsia="TimesNewRoman"/>
        </w:rPr>
      </w:pPr>
      <w:r w:rsidRPr="002B65F7">
        <w:rPr>
          <w:rFonts w:eastAsia="TimesNewRoman"/>
        </w:rPr>
        <w:t>Ne frottez pas la peau au niveau du site d’injection. Vous pouvez appliquer un petit pansement sur le site d’injection, si nécessaire.</w:t>
      </w:r>
    </w:p>
    <w:p w14:paraId="201BC2CA" w14:textId="77777777" w:rsidR="006D1B26" w:rsidRPr="002B65F7" w:rsidRDefault="006D1B26" w:rsidP="00496255">
      <w:pPr>
        <w:widowControl/>
        <w:rPr>
          <w:rFonts w:eastAsia="TimesNewRoman,Bold"/>
          <w:lang w:val="fr-CH"/>
        </w:rPr>
      </w:pPr>
    </w:p>
    <w:p w14:paraId="7DCC7900" w14:textId="77777777" w:rsidR="008509A1" w:rsidRPr="002B65F7" w:rsidRDefault="00753DD1" w:rsidP="00DC7A04">
      <w:pPr>
        <w:keepNext/>
        <w:widowControl/>
        <w:ind w:left="567" w:hanging="567"/>
        <w:rPr>
          <w:rFonts w:eastAsia="TimesNewRoman,Bold"/>
          <w:b/>
          <w:bCs/>
        </w:rPr>
      </w:pPr>
      <w:r w:rsidRPr="002B65F7">
        <w:rPr>
          <w:rFonts w:eastAsia="TimesNewRoman,Bold"/>
          <w:b/>
          <w:bCs/>
        </w:rPr>
        <w:t>6. Elimination :</w:t>
      </w:r>
    </w:p>
    <w:p w14:paraId="61F91252" w14:textId="77777777" w:rsidR="008509A1" w:rsidRPr="002B65F7" w:rsidRDefault="008509A1" w:rsidP="008509A1">
      <w:pPr>
        <w:widowControl/>
        <w:tabs>
          <w:tab w:val="left" w:pos="567"/>
        </w:tabs>
        <w:rPr>
          <w:rFonts w:eastAsia="TimesNewRoman"/>
        </w:rPr>
      </w:pPr>
    </w:p>
    <w:p w14:paraId="51A56021" w14:textId="3AE0ED36" w:rsidR="00753DD1" w:rsidRPr="002B65F7" w:rsidRDefault="00753DD1" w:rsidP="008509A1">
      <w:pPr>
        <w:pStyle w:val="ListParagraph"/>
        <w:widowControl/>
        <w:numPr>
          <w:ilvl w:val="1"/>
          <w:numId w:val="48"/>
        </w:numPr>
        <w:tabs>
          <w:tab w:val="left" w:pos="567"/>
        </w:tabs>
        <w:ind w:left="567" w:hanging="567"/>
        <w:rPr>
          <w:rFonts w:eastAsia="TimesNewRoman"/>
        </w:rPr>
      </w:pPr>
      <w:r w:rsidRPr="002B65F7">
        <w:rPr>
          <w:rFonts w:eastAsia="TimesNewRoman"/>
        </w:rPr>
        <w:t>Les seringues et aiguilles usagées doivent être placées dans un container imperforable tel qu’une boîte à aiguille. Pour votre sécurité et votre santé, ainsi que pour la sécurité des autres, ne réutilisez jamais aiguilles et seringues. L’élimination des boîtes à aiguilles doit se faire conformément à la réglementation locale</w:t>
      </w:r>
      <w:r w:rsidR="00E56235" w:rsidRPr="002B65F7">
        <w:rPr>
          <w:rFonts w:eastAsia="TimesNewRoman"/>
        </w:rPr>
        <w:t>.</w:t>
      </w:r>
    </w:p>
    <w:p w14:paraId="49C4A38B" w14:textId="5946FD02" w:rsidR="00753DD1" w:rsidRPr="002B65F7" w:rsidRDefault="0097656D" w:rsidP="007A7B22">
      <w:pPr>
        <w:pStyle w:val="ListParagraph"/>
        <w:widowControl/>
        <w:numPr>
          <w:ilvl w:val="1"/>
          <w:numId w:val="48"/>
        </w:numPr>
        <w:tabs>
          <w:tab w:val="left" w:pos="567"/>
        </w:tabs>
        <w:ind w:left="567" w:hanging="567"/>
      </w:pPr>
      <w:r w:rsidRPr="002B65F7">
        <w:rPr>
          <w:rFonts w:eastAsia="TimesNewRoman"/>
        </w:rPr>
        <w:t>Les flacons vides, lingettes antiseptiques, et autres fournitures peuvent être jetés dans votre poubelle.</w:t>
      </w:r>
    </w:p>
    <w:p w14:paraId="03B59053" w14:textId="67603A61" w:rsidR="00092F83" w:rsidRPr="002B65F7" w:rsidRDefault="003B31E7" w:rsidP="004B12BC">
      <w:pPr>
        <w:widowControl/>
        <w:jc w:val="center"/>
        <w:rPr>
          <w:b/>
          <w:bCs/>
        </w:rPr>
      </w:pPr>
      <w:r w:rsidRPr="002B65F7">
        <w:rPr>
          <w:rFonts w:eastAsia="TimesNewRoman,Bold"/>
          <w:lang w:val="fr-CH"/>
        </w:rPr>
        <w:br w:type="page"/>
      </w:r>
      <w:r w:rsidR="00C31740" w:rsidRPr="002B65F7">
        <w:rPr>
          <w:b/>
          <w:bCs/>
        </w:rPr>
        <w:lastRenderedPageBreak/>
        <w:t>Notice : Information de l’utilisateur</w:t>
      </w:r>
    </w:p>
    <w:p w14:paraId="03B59054" w14:textId="77777777" w:rsidR="00092F83" w:rsidRPr="002B65F7" w:rsidRDefault="00092F83" w:rsidP="00496255">
      <w:pPr>
        <w:widowControl/>
        <w:jc w:val="center"/>
        <w:rPr>
          <w:b/>
          <w:bCs/>
        </w:rPr>
      </w:pPr>
    </w:p>
    <w:p w14:paraId="03B59055" w14:textId="2439764A" w:rsidR="00092F83" w:rsidRPr="002B65F7" w:rsidRDefault="00942B43" w:rsidP="00496255">
      <w:pPr>
        <w:widowControl/>
        <w:jc w:val="center"/>
        <w:rPr>
          <w:b/>
          <w:bCs/>
        </w:rPr>
      </w:pPr>
      <w:r w:rsidRPr="002B65F7">
        <w:rPr>
          <w:b/>
          <w:bCs/>
        </w:rPr>
        <w:t>WEZENLA</w:t>
      </w:r>
      <w:r w:rsidR="00C31740" w:rsidRPr="002B65F7">
        <w:rPr>
          <w:b/>
          <w:bCs/>
        </w:rPr>
        <w:t xml:space="preserve"> 45</w:t>
      </w:r>
      <w:r w:rsidR="005F7D16" w:rsidRPr="002B65F7">
        <w:rPr>
          <w:b/>
          <w:bCs/>
        </w:rPr>
        <w:t> </w:t>
      </w:r>
      <w:r w:rsidR="00C31740" w:rsidRPr="002B65F7">
        <w:rPr>
          <w:b/>
          <w:bCs/>
        </w:rPr>
        <w:t>mg solution injectable en seringue préremplie</w:t>
      </w:r>
    </w:p>
    <w:p w14:paraId="0D2E05BC" w14:textId="23C7E6C2" w:rsidR="00942B43" w:rsidRPr="002B65F7" w:rsidRDefault="00942B43" w:rsidP="00496255">
      <w:pPr>
        <w:widowControl/>
        <w:jc w:val="center"/>
        <w:rPr>
          <w:b/>
          <w:bCs/>
        </w:rPr>
      </w:pPr>
      <w:r w:rsidRPr="002B65F7">
        <w:rPr>
          <w:b/>
          <w:bCs/>
        </w:rPr>
        <w:t>WEZENLA 90 mg solution injectable en seringue préremplie</w:t>
      </w:r>
    </w:p>
    <w:p w14:paraId="03B59056" w14:textId="4E358915" w:rsidR="00092F83" w:rsidRPr="002B65F7" w:rsidRDefault="0071390F" w:rsidP="00496255">
      <w:pPr>
        <w:widowControl/>
        <w:jc w:val="center"/>
      </w:pPr>
      <w:r w:rsidRPr="002B65F7">
        <w:t>ustekinumab</w:t>
      </w:r>
    </w:p>
    <w:p w14:paraId="03B59057" w14:textId="77777777" w:rsidR="00092F83" w:rsidRPr="002B65F7" w:rsidRDefault="00092F83" w:rsidP="00496255">
      <w:pPr>
        <w:widowControl/>
      </w:pPr>
    </w:p>
    <w:p w14:paraId="5B6AD465" w14:textId="63ACD947" w:rsidR="00992314" w:rsidRPr="002B65F7" w:rsidRDefault="00A2167E" w:rsidP="00992314">
      <w:pPr>
        <w:widowControl/>
        <w:rPr>
          <w:b/>
          <w:bCs/>
        </w:rPr>
      </w:pPr>
      <w:r>
        <w:rPr>
          <w:noProof/>
          <w:lang w:val="en-US" w:eastAsia="zh-CN"/>
        </w:rPr>
        <w:drawing>
          <wp:inline distT="0" distB="0" distL="0" distR="0" wp14:anchorId="07937D06" wp14:editId="270AC824">
            <wp:extent cx="196215" cy="236855"/>
            <wp:effectExtent l="0" t="0" r="0" b="0"/>
            <wp:docPr id="1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 cy="236855"/>
                    </a:xfrm>
                    <a:prstGeom prst="rect">
                      <a:avLst/>
                    </a:prstGeom>
                    <a:noFill/>
                    <a:ln>
                      <a:noFill/>
                    </a:ln>
                  </pic:spPr>
                </pic:pic>
              </a:graphicData>
            </a:graphic>
          </wp:inline>
        </w:drawing>
      </w:r>
      <w:r w:rsidR="00992314" w:rsidRPr="002B65F7">
        <w:t>Ce médicament fait l’objet d’une surveillance supplémentaire</w:t>
      </w:r>
      <w:r w:rsidR="0069011A" w:rsidRPr="002B65F7">
        <w:t xml:space="preserve"> qui permettra l’identification rapide</w:t>
      </w:r>
      <w:r w:rsidR="00992314" w:rsidRPr="002B65F7">
        <w:t xml:space="preserve"> de nouvelles informations </w:t>
      </w:r>
      <w:r w:rsidR="00F32182" w:rsidRPr="002B65F7">
        <w:t>relatives à</w:t>
      </w:r>
      <w:r w:rsidR="00992314" w:rsidRPr="002B65F7">
        <w:t xml:space="preserve"> la sécurité. Vous pouvez y contribuer en signalant tout effet indésirable que vous observe</w:t>
      </w:r>
      <w:r w:rsidR="00F32182" w:rsidRPr="002B65F7">
        <w:t>z</w:t>
      </w:r>
      <w:r w:rsidR="00992314" w:rsidRPr="002B65F7">
        <w:t xml:space="preserve">. </w:t>
      </w:r>
      <w:r w:rsidR="00F32182" w:rsidRPr="002B65F7">
        <w:t>Voir en fin de</w:t>
      </w:r>
      <w:r w:rsidR="00992314" w:rsidRPr="002B65F7">
        <w:t xml:space="preserve"> rubrique</w:t>
      </w:r>
      <w:r w:rsidR="00F32182" w:rsidRPr="002B65F7">
        <w:t> </w:t>
      </w:r>
      <w:r w:rsidR="00992314" w:rsidRPr="002B65F7">
        <w:t xml:space="preserve">4 </w:t>
      </w:r>
      <w:r w:rsidR="00F32182" w:rsidRPr="002B65F7">
        <w:t>comment déclarer</w:t>
      </w:r>
      <w:r w:rsidR="00992314" w:rsidRPr="002B65F7">
        <w:t xml:space="preserve"> les effets indésirables.</w:t>
      </w:r>
    </w:p>
    <w:p w14:paraId="1ECFBC02" w14:textId="77777777" w:rsidR="00992314" w:rsidRPr="002B65F7" w:rsidRDefault="00992314" w:rsidP="00496255">
      <w:pPr>
        <w:widowControl/>
        <w:rPr>
          <w:b/>
          <w:bCs/>
        </w:rPr>
      </w:pPr>
    </w:p>
    <w:p w14:paraId="03B59058" w14:textId="70B9B132" w:rsidR="00092F83" w:rsidRPr="002B65F7" w:rsidRDefault="00C31740" w:rsidP="00496255">
      <w:pPr>
        <w:widowControl/>
        <w:rPr>
          <w:b/>
          <w:bCs/>
        </w:rPr>
      </w:pPr>
      <w:r w:rsidRPr="002B65F7">
        <w:rPr>
          <w:b/>
          <w:bCs/>
        </w:rPr>
        <w:t>Veuillez lire attentivement cette notice avant d’utiliser ce médicament car elle contient des informations importantes pour vous.</w:t>
      </w:r>
    </w:p>
    <w:p w14:paraId="03B59059" w14:textId="77777777" w:rsidR="00092F83" w:rsidRPr="002B65F7" w:rsidRDefault="00092F83" w:rsidP="00496255">
      <w:pPr>
        <w:widowControl/>
        <w:rPr>
          <w:b/>
          <w:bCs/>
        </w:rPr>
      </w:pPr>
    </w:p>
    <w:p w14:paraId="03B5905A" w14:textId="3466323A" w:rsidR="00092F83" w:rsidRPr="002B65F7" w:rsidRDefault="00C31740" w:rsidP="00496255">
      <w:pPr>
        <w:keepNext/>
        <w:widowControl/>
        <w:rPr>
          <w:b/>
          <w:bCs/>
        </w:rPr>
      </w:pPr>
      <w:r w:rsidRPr="002B65F7">
        <w:rPr>
          <w:b/>
          <w:bCs/>
        </w:rPr>
        <w:t xml:space="preserve">Cette notice a été écrite pour la personne prenant le médicament. Si vous êtes le parent ou le soignant qui administrera </w:t>
      </w:r>
      <w:r w:rsidR="00992314" w:rsidRPr="002B65F7">
        <w:rPr>
          <w:b/>
          <w:bCs/>
        </w:rPr>
        <w:t>WEZENLA</w:t>
      </w:r>
      <w:r w:rsidRPr="002B65F7">
        <w:rPr>
          <w:b/>
          <w:bCs/>
        </w:rPr>
        <w:t xml:space="preserve"> à un enfant, veuillez lire attentivement ces informations.</w:t>
      </w:r>
    </w:p>
    <w:p w14:paraId="5005566A" w14:textId="77777777" w:rsidR="0049608F" w:rsidRPr="002B65F7" w:rsidRDefault="0049608F" w:rsidP="00496255">
      <w:pPr>
        <w:keepNext/>
        <w:widowControl/>
      </w:pPr>
    </w:p>
    <w:p w14:paraId="03B5905B" w14:textId="7F6A8322" w:rsidR="00092F83" w:rsidRPr="002B65F7" w:rsidRDefault="005E680E" w:rsidP="00496255">
      <w:pPr>
        <w:widowControl/>
        <w:tabs>
          <w:tab w:val="left" w:pos="567"/>
        </w:tabs>
        <w:ind w:left="567" w:hanging="567"/>
      </w:pPr>
      <w:r w:rsidRPr="002B65F7">
        <w:t>-</w:t>
      </w:r>
      <w:r w:rsidRPr="002B65F7">
        <w:tab/>
      </w:r>
      <w:r w:rsidR="00C31740" w:rsidRPr="002B65F7">
        <w:t>Gardez cette notice. Vous pourriez avoir besoin de la relire.</w:t>
      </w:r>
    </w:p>
    <w:p w14:paraId="03B5905C" w14:textId="4F8B64B5" w:rsidR="00092F83" w:rsidRPr="002B65F7" w:rsidRDefault="005E680E" w:rsidP="00496255">
      <w:pPr>
        <w:widowControl/>
        <w:tabs>
          <w:tab w:val="left" w:pos="567"/>
        </w:tabs>
        <w:ind w:left="567" w:hanging="567"/>
      </w:pPr>
      <w:r w:rsidRPr="002B65F7">
        <w:t>-</w:t>
      </w:r>
      <w:r w:rsidRPr="002B65F7">
        <w:tab/>
      </w:r>
      <w:r w:rsidR="00C31740" w:rsidRPr="002B65F7">
        <w:t>Si vous avez d’autres questions, interrogez votre médecin ou votre pharmacien.</w:t>
      </w:r>
    </w:p>
    <w:p w14:paraId="03B5905D" w14:textId="694F8EC2" w:rsidR="00092F83" w:rsidRPr="002B65F7" w:rsidRDefault="005E680E" w:rsidP="00496255">
      <w:pPr>
        <w:widowControl/>
        <w:tabs>
          <w:tab w:val="left" w:pos="567"/>
        </w:tabs>
        <w:ind w:left="567" w:hanging="567"/>
      </w:pPr>
      <w:r w:rsidRPr="002B65F7">
        <w:t>-</w:t>
      </w:r>
      <w:r w:rsidRPr="002B65F7">
        <w:tab/>
      </w:r>
      <w:r w:rsidR="00C31740" w:rsidRPr="002B65F7">
        <w:t>Ce médicament vous a été personnellement prescrit. Ne le donnez pas à d’autres personnes. Il pourrait leur être nocif, même si les signes de leur maladie sont identiques aux vôtres.</w:t>
      </w:r>
    </w:p>
    <w:p w14:paraId="03B5905E" w14:textId="48A4A572" w:rsidR="00092F83" w:rsidRPr="002B65F7" w:rsidRDefault="005E680E" w:rsidP="00496255">
      <w:pPr>
        <w:widowControl/>
        <w:tabs>
          <w:tab w:val="left" w:pos="567"/>
        </w:tabs>
        <w:ind w:left="567" w:hanging="567"/>
      </w:pPr>
      <w:r w:rsidRPr="002B65F7">
        <w:t>-</w:t>
      </w:r>
      <w:r w:rsidRPr="002B65F7">
        <w:tab/>
      </w:r>
      <w:r w:rsidR="00C31740" w:rsidRPr="002B65F7">
        <w:t>Si vous ressentez un quelconque effet indésirable, parlez-en à votre médecin ou votre pharmacien. Ceci s’applique aussi à tout effet indésirable qui ne serait pas mentionné dans cette notice. Voir rubrique</w:t>
      </w:r>
      <w:r w:rsidRPr="002B65F7">
        <w:t> </w:t>
      </w:r>
      <w:r w:rsidR="00C31740" w:rsidRPr="002B65F7">
        <w:t>4.</w:t>
      </w:r>
    </w:p>
    <w:p w14:paraId="47491344" w14:textId="77777777" w:rsidR="005E680E" w:rsidRPr="002B65F7" w:rsidRDefault="005E680E" w:rsidP="00496255">
      <w:pPr>
        <w:widowControl/>
      </w:pPr>
    </w:p>
    <w:p w14:paraId="03B5905F" w14:textId="275A1E4C" w:rsidR="00092F83" w:rsidRPr="002B65F7" w:rsidRDefault="00C31740" w:rsidP="00496255">
      <w:pPr>
        <w:keepNext/>
        <w:widowControl/>
        <w:rPr>
          <w:b/>
          <w:bCs/>
        </w:rPr>
      </w:pPr>
      <w:r w:rsidRPr="002B65F7">
        <w:rPr>
          <w:b/>
          <w:bCs/>
        </w:rPr>
        <w:t>Que contient cette notice ?:</w:t>
      </w:r>
    </w:p>
    <w:p w14:paraId="16560BC1" w14:textId="77777777" w:rsidR="00CF3D77" w:rsidRPr="002B65F7" w:rsidRDefault="00CF3D77" w:rsidP="00496255">
      <w:pPr>
        <w:keepNext/>
        <w:widowControl/>
      </w:pPr>
    </w:p>
    <w:p w14:paraId="03B59060" w14:textId="06C081B0" w:rsidR="00092F83" w:rsidRPr="002B65F7" w:rsidRDefault="00CF3D77" w:rsidP="00496255">
      <w:pPr>
        <w:widowControl/>
        <w:tabs>
          <w:tab w:val="left" w:pos="567"/>
        </w:tabs>
        <w:ind w:left="567" w:hanging="567"/>
      </w:pPr>
      <w:r w:rsidRPr="002B65F7">
        <w:t>1.</w:t>
      </w:r>
      <w:r w:rsidRPr="002B65F7">
        <w:tab/>
      </w:r>
      <w:r w:rsidR="00C31740" w:rsidRPr="002B65F7">
        <w:t xml:space="preserve">Qu’est-ce que </w:t>
      </w:r>
      <w:r w:rsidR="00992314" w:rsidRPr="002B65F7">
        <w:t>WEZENLA</w:t>
      </w:r>
      <w:r w:rsidR="00C31740" w:rsidRPr="002B65F7">
        <w:t xml:space="preserve"> et dans quel cas est-il utilisé</w:t>
      </w:r>
    </w:p>
    <w:p w14:paraId="03B59061" w14:textId="6ECDF7D6" w:rsidR="00092F83" w:rsidRPr="002B65F7" w:rsidRDefault="00CF3D77" w:rsidP="00496255">
      <w:pPr>
        <w:widowControl/>
        <w:tabs>
          <w:tab w:val="left" w:pos="567"/>
        </w:tabs>
        <w:ind w:left="567" w:hanging="567"/>
      </w:pPr>
      <w:r w:rsidRPr="002B65F7">
        <w:t>2.</w:t>
      </w:r>
      <w:r w:rsidRPr="002B65F7">
        <w:tab/>
      </w:r>
      <w:r w:rsidR="00C31740" w:rsidRPr="002B65F7">
        <w:t xml:space="preserve">Quelles sont les informations à connaître avant d’utiliser </w:t>
      </w:r>
      <w:r w:rsidR="00992314" w:rsidRPr="002B65F7">
        <w:t>WEZENLA</w:t>
      </w:r>
    </w:p>
    <w:p w14:paraId="03B59062" w14:textId="7F3A1EEC" w:rsidR="00092F83" w:rsidRPr="002B65F7" w:rsidRDefault="00CF3D77" w:rsidP="00496255">
      <w:pPr>
        <w:widowControl/>
        <w:tabs>
          <w:tab w:val="left" w:pos="567"/>
        </w:tabs>
        <w:ind w:left="567" w:hanging="567"/>
      </w:pPr>
      <w:r w:rsidRPr="002B65F7">
        <w:t>3.</w:t>
      </w:r>
      <w:r w:rsidRPr="002B65F7">
        <w:tab/>
      </w:r>
      <w:r w:rsidR="00C31740" w:rsidRPr="002B65F7">
        <w:t xml:space="preserve">Comment utiliser </w:t>
      </w:r>
      <w:r w:rsidR="00992314" w:rsidRPr="002B65F7">
        <w:t>WEZENLA</w:t>
      </w:r>
    </w:p>
    <w:p w14:paraId="03B59063" w14:textId="25092979" w:rsidR="00092F83" w:rsidRPr="002B65F7" w:rsidRDefault="00CF3D77" w:rsidP="00496255">
      <w:pPr>
        <w:widowControl/>
        <w:tabs>
          <w:tab w:val="left" w:pos="567"/>
        </w:tabs>
        <w:ind w:left="567" w:hanging="567"/>
      </w:pPr>
      <w:r w:rsidRPr="002B65F7">
        <w:t>4.</w:t>
      </w:r>
      <w:r w:rsidRPr="002B65F7">
        <w:tab/>
      </w:r>
      <w:r w:rsidR="00C31740" w:rsidRPr="002B65F7">
        <w:t>Quels sont les effets indésirables éventuels</w:t>
      </w:r>
    </w:p>
    <w:p w14:paraId="03B59064" w14:textId="5704EF32" w:rsidR="00092F83" w:rsidRPr="002B65F7" w:rsidRDefault="00CF3D77" w:rsidP="00496255">
      <w:pPr>
        <w:widowControl/>
        <w:tabs>
          <w:tab w:val="left" w:pos="567"/>
        </w:tabs>
        <w:ind w:left="567" w:hanging="567"/>
      </w:pPr>
      <w:r w:rsidRPr="002B65F7">
        <w:t>5.</w:t>
      </w:r>
      <w:r w:rsidRPr="002B65F7">
        <w:tab/>
      </w:r>
      <w:r w:rsidR="00C31740" w:rsidRPr="002B65F7">
        <w:t xml:space="preserve">Comment conserver </w:t>
      </w:r>
      <w:r w:rsidR="00992314" w:rsidRPr="002B65F7">
        <w:t>WEZENLA</w:t>
      </w:r>
    </w:p>
    <w:p w14:paraId="03B59065" w14:textId="62D400C5" w:rsidR="00092F83" w:rsidRPr="002B65F7" w:rsidRDefault="00CF3D77" w:rsidP="00496255">
      <w:pPr>
        <w:widowControl/>
        <w:tabs>
          <w:tab w:val="left" w:pos="567"/>
        </w:tabs>
        <w:ind w:left="567" w:hanging="567"/>
      </w:pPr>
      <w:r w:rsidRPr="002B65F7">
        <w:t>6.</w:t>
      </w:r>
      <w:r w:rsidRPr="002B65F7">
        <w:tab/>
      </w:r>
      <w:r w:rsidR="00C31740" w:rsidRPr="002B65F7">
        <w:t>Contenu de l’emballage et autres informations</w:t>
      </w:r>
    </w:p>
    <w:p w14:paraId="03B59066" w14:textId="77777777" w:rsidR="00092F83" w:rsidRPr="002B65F7" w:rsidRDefault="00092F83" w:rsidP="00496255">
      <w:pPr>
        <w:widowControl/>
      </w:pPr>
    </w:p>
    <w:p w14:paraId="35F9AC29" w14:textId="77777777" w:rsidR="005E680E" w:rsidRPr="002B65F7" w:rsidRDefault="005E680E" w:rsidP="00496255">
      <w:pPr>
        <w:widowControl/>
      </w:pPr>
    </w:p>
    <w:p w14:paraId="03B59067" w14:textId="3DF3611F" w:rsidR="00092F83" w:rsidRPr="002B65F7" w:rsidRDefault="005E680E" w:rsidP="00496255">
      <w:pPr>
        <w:keepNext/>
        <w:widowControl/>
        <w:tabs>
          <w:tab w:val="left" w:pos="567"/>
        </w:tabs>
        <w:ind w:left="567" w:hanging="567"/>
        <w:rPr>
          <w:b/>
          <w:bCs/>
        </w:rPr>
      </w:pPr>
      <w:r w:rsidRPr="002B65F7">
        <w:rPr>
          <w:b/>
          <w:bCs/>
        </w:rPr>
        <w:t>1.</w:t>
      </w:r>
      <w:r w:rsidRPr="002B65F7">
        <w:rPr>
          <w:b/>
          <w:bCs/>
        </w:rPr>
        <w:tab/>
      </w:r>
      <w:r w:rsidR="00C31740" w:rsidRPr="002B65F7">
        <w:rPr>
          <w:b/>
          <w:bCs/>
        </w:rPr>
        <w:t xml:space="preserve">Qu’est-ce que </w:t>
      </w:r>
      <w:r w:rsidR="00992314" w:rsidRPr="002B65F7">
        <w:rPr>
          <w:b/>
          <w:bCs/>
        </w:rPr>
        <w:t>WEZENLA</w:t>
      </w:r>
      <w:r w:rsidR="00C31740" w:rsidRPr="002B65F7">
        <w:rPr>
          <w:b/>
          <w:bCs/>
        </w:rPr>
        <w:t xml:space="preserve"> et dans quel cas est-il utilisé ?</w:t>
      </w:r>
    </w:p>
    <w:p w14:paraId="03B59068" w14:textId="77777777" w:rsidR="00092F83" w:rsidRPr="002B65F7" w:rsidRDefault="00092F83" w:rsidP="00496255">
      <w:pPr>
        <w:keepNext/>
        <w:widowControl/>
      </w:pPr>
    </w:p>
    <w:p w14:paraId="03B59069" w14:textId="3D166ACE" w:rsidR="00092F83" w:rsidRPr="002B65F7" w:rsidRDefault="00C31740" w:rsidP="00496255">
      <w:pPr>
        <w:keepNext/>
        <w:widowControl/>
        <w:rPr>
          <w:b/>
          <w:bCs/>
        </w:rPr>
      </w:pPr>
      <w:r w:rsidRPr="002B65F7">
        <w:rPr>
          <w:b/>
          <w:bCs/>
        </w:rPr>
        <w:t xml:space="preserve">Qu’est-ce que </w:t>
      </w:r>
      <w:r w:rsidR="00992314" w:rsidRPr="002B65F7">
        <w:rPr>
          <w:b/>
          <w:bCs/>
        </w:rPr>
        <w:t>WEZENLA</w:t>
      </w:r>
    </w:p>
    <w:p w14:paraId="03B5906A" w14:textId="172DA1A8" w:rsidR="00092F83" w:rsidRPr="002B65F7" w:rsidRDefault="00992314" w:rsidP="00496255">
      <w:pPr>
        <w:widowControl/>
      </w:pPr>
      <w:r w:rsidRPr="002B65F7">
        <w:t>WEZENLA</w:t>
      </w:r>
      <w:r w:rsidR="00C31740" w:rsidRPr="002B65F7">
        <w:t xml:space="preserve"> contient une substance active qui s’appelle </w:t>
      </w:r>
      <w:r w:rsidR="0071390F" w:rsidRPr="002B65F7">
        <w:t>ustekinumab</w:t>
      </w:r>
      <w:r w:rsidR="00C31740" w:rsidRPr="002B65F7">
        <w:t>, un anticorps monoclonal. Les anticorps monoclonaux sont des protéines qui reconnaissent et se lient spécifiquement à certaines protéines dans le corps.</w:t>
      </w:r>
    </w:p>
    <w:p w14:paraId="03B5906B" w14:textId="77777777" w:rsidR="00092F83" w:rsidRPr="002B65F7" w:rsidRDefault="00092F83" w:rsidP="00496255">
      <w:pPr>
        <w:widowControl/>
      </w:pPr>
    </w:p>
    <w:p w14:paraId="03B5906C" w14:textId="5B72A3D2" w:rsidR="00092F83" w:rsidRPr="002B65F7" w:rsidRDefault="00992314" w:rsidP="00496255">
      <w:pPr>
        <w:widowControl/>
      </w:pPr>
      <w:r w:rsidRPr="002B65F7">
        <w:t>WEZENLA</w:t>
      </w:r>
      <w:r w:rsidR="00C31740" w:rsidRPr="002B65F7">
        <w:t xml:space="preserve"> appartient à un groupe de médicaments appelés « immunosuppresseurs ». Ces médicaments agissent en affaiblissant partiellement le système immunitaire.</w:t>
      </w:r>
    </w:p>
    <w:p w14:paraId="7F70E77E" w14:textId="77777777" w:rsidR="005E680E" w:rsidRPr="002B65F7" w:rsidRDefault="005E680E" w:rsidP="00496255">
      <w:pPr>
        <w:widowControl/>
      </w:pPr>
    </w:p>
    <w:p w14:paraId="03B5906D" w14:textId="1DFAC2C5" w:rsidR="00092F83" w:rsidRPr="002B65F7" w:rsidRDefault="00C31740" w:rsidP="00496255">
      <w:pPr>
        <w:keepNext/>
        <w:widowControl/>
        <w:rPr>
          <w:b/>
          <w:bCs/>
        </w:rPr>
      </w:pPr>
      <w:r w:rsidRPr="002B65F7">
        <w:rPr>
          <w:b/>
          <w:bCs/>
        </w:rPr>
        <w:t xml:space="preserve">Dans quel cas </w:t>
      </w:r>
      <w:r w:rsidR="00992314" w:rsidRPr="002B65F7">
        <w:rPr>
          <w:b/>
          <w:bCs/>
        </w:rPr>
        <w:t>WEZENLA</w:t>
      </w:r>
      <w:r w:rsidRPr="002B65F7">
        <w:rPr>
          <w:b/>
          <w:bCs/>
        </w:rPr>
        <w:t xml:space="preserve"> est-il utilisé</w:t>
      </w:r>
    </w:p>
    <w:p w14:paraId="03B5906E" w14:textId="29EB7CA8" w:rsidR="00092F83" w:rsidRPr="002B65F7" w:rsidRDefault="00992314" w:rsidP="00496255">
      <w:pPr>
        <w:keepNext/>
        <w:widowControl/>
      </w:pPr>
      <w:r w:rsidRPr="002B65F7">
        <w:t>WEZENLA</w:t>
      </w:r>
      <w:r w:rsidR="00C31740" w:rsidRPr="002B65F7">
        <w:t xml:space="preserve"> est utilisé pour le traitement des maladies inflammatoires suivantes :</w:t>
      </w:r>
    </w:p>
    <w:p w14:paraId="03B5906F" w14:textId="23C1A0F1" w:rsidR="00092F83" w:rsidRPr="002B65F7" w:rsidRDefault="00C31740" w:rsidP="007A7B22">
      <w:pPr>
        <w:pStyle w:val="ListParagraph"/>
        <w:widowControl/>
        <w:numPr>
          <w:ilvl w:val="1"/>
          <w:numId w:val="49"/>
        </w:numPr>
        <w:tabs>
          <w:tab w:val="left" w:pos="567"/>
        </w:tabs>
        <w:ind w:left="567" w:hanging="567"/>
      </w:pPr>
      <w:r w:rsidRPr="002B65F7">
        <w:t>Psoriasis en plaques (chez les adultes et les adolescents âgés de 6 ans et plus)</w:t>
      </w:r>
    </w:p>
    <w:p w14:paraId="03B59070" w14:textId="1065A460" w:rsidR="00092F83" w:rsidRPr="002B65F7" w:rsidRDefault="00C31740" w:rsidP="007A7B22">
      <w:pPr>
        <w:pStyle w:val="ListParagraph"/>
        <w:widowControl/>
        <w:numPr>
          <w:ilvl w:val="1"/>
          <w:numId w:val="49"/>
        </w:numPr>
        <w:tabs>
          <w:tab w:val="left" w:pos="567"/>
        </w:tabs>
        <w:ind w:left="567" w:hanging="567"/>
      </w:pPr>
      <w:r w:rsidRPr="002B65F7">
        <w:t>Rhumatisme psoriasique (chez les adultes)</w:t>
      </w:r>
    </w:p>
    <w:p w14:paraId="03B59071" w14:textId="6431D972" w:rsidR="00092F83" w:rsidRPr="002B65F7" w:rsidRDefault="00C31740" w:rsidP="007A7B22">
      <w:pPr>
        <w:pStyle w:val="ListParagraph"/>
        <w:widowControl/>
        <w:numPr>
          <w:ilvl w:val="1"/>
          <w:numId w:val="49"/>
        </w:numPr>
        <w:tabs>
          <w:tab w:val="left" w:pos="567"/>
        </w:tabs>
        <w:ind w:left="567" w:hanging="567"/>
      </w:pPr>
      <w:r w:rsidRPr="002B65F7">
        <w:t>Maladie de Crohn modérée à sévère (chez les adultes</w:t>
      </w:r>
      <w:r w:rsidR="00C061B5" w:rsidRPr="00600383">
        <w:rPr>
          <w:noProof/>
          <w:lang w:eastAsia="nl-BE"/>
        </w:rPr>
        <w:t xml:space="preserve"> </w:t>
      </w:r>
      <w:r w:rsidR="00C061B5">
        <w:rPr>
          <w:noProof/>
          <w:lang w:eastAsia="nl-BE"/>
        </w:rPr>
        <w:t>et les enfants pesant au moins 40 kg</w:t>
      </w:r>
      <w:r w:rsidRPr="002B65F7">
        <w:t>)</w:t>
      </w:r>
    </w:p>
    <w:p w14:paraId="122FEBCB" w14:textId="77777777" w:rsidR="00E43DE9" w:rsidRPr="002B65F7" w:rsidRDefault="00E43DE9" w:rsidP="00496255">
      <w:pPr>
        <w:widowControl/>
      </w:pPr>
    </w:p>
    <w:p w14:paraId="03B59073" w14:textId="35A83CC4" w:rsidR="00092F83" w:rsidRPr="002B65F7" w:rsidRDefault="00C31740" w:rsidP="00496255">
      <w:pPr>
        <w:keepNext/>
        <w:widowControl/>
        <w:rPr>
          <w:b/>
          <w:bCs/>
        </w:rPr>
      </w:pPr>
      <w:r w:rsidRPr="002B65F7">
        <w:rPr>
          <w:b/>
          <w:bCs/>
        </w:rPr>
        <w:t>Psoriasis en plaques</w:t>
      </w:r>
    </w:p>
    <w:p w14:paraId="03B59074" w14:textId="6BFC8694" w:rsidR="00092F83" w:rsidRPr="002B65F7" w:rsidRDefault="00C31740" w:rsidP="00496255">
      <w:pPr>
        <w:widowControl/>
      </w:pPr>
      <w:r w:rsidRPr="002B65F7">
        <w:t xml:space="preserve">Le psoriasis en plaques est une maladie de la peau qui provoque une inflammation affectant la peau et les ongles. </w:t>
      </w:r>
      <w:r w:rsidR="00992314" w:rsidRPr="002B65F7">
        <w:t>WEZENLA</w:t>
      </w:r>
      <w:r w:rsidRPr="002B65F7">
        <w:t xml:space="preserve"> réduira l’inflammation ainsi que d’autres signes de la maladie.</w:t>
      </w:r>
    </w:p>
    <w:p w14:paraId="0223C1C5" w14:textId="77777777" w:rsidR="00E43DE9" w:rsidRPr="002B65F7" w:rsidRDefault="00E43DE9" w:rsidP="00496255">
      <w:pPr>
        <w:widowControl/>
      </w:pPr>
    </w:p>
    <w:p w14:paraId="03B59075" w14:textId="61FFE915" w:rsidR="00092F83" w:rsidRPr="002B65F7" w:rsidRDefault="00992314" w:rsidP="00496255">
      <w:pPr>
        <w:widowControl/>
      </w:pPr>
      <w:r w:rsidRPr="002B65F7">
        <w:lastRenderedPageBreak/>
        <w:t>WEZENLA</w:t>
      </w:r>
      <w:r w:rsidR="00C31740" w:rsidRPr="002B65F7">
        <w:t xml:space="preserve"> est utilisé chez les patients adultes souffrant de psoriasis en plaques modéré à sévère, qui ne peuvent pas utiliser la ciclosporine, le méthotrexate ou la photothérapie, ou lorsque ces traitements n’ont pas été efficaces.</w:t>
      </w:r>
    </w:p>
    <w:p w14:paraId="510BAE6D" w14:textId="77777777" w:rsidR="00E43DE9" w:rsidRPr="002B65F7" w:rsidRDefault="00E43DE9" w:rsidP="00496255">
      <w:pPr>
        <w:widowControl/>
      </w:pPr>
    </w:p>
    <w:p w14:paraId="03B59076" w14:textId="0B225A15" w:rsidR="00092F83" w:rsidRPr="002B65F7" w:rsidRDefault="00992314" w:rsidP="00496255">
      <w:pPr>
        <w:widowControl/>
      </w:pPr>
      <w:r w:rsidRPr="002B65F7">
        <w:t>WEZENLA</w:t>
      </w:r>
      <w:r w:rsidR="00C31740" w:rsidRPr="002B65F7">
        <w:t xml:space="preserve"> est utilisé chez les enfants et adolescents âgés de 6 ans et plus atteints de psoriasis en plaques modéré à sévère, chez qui la photothérapie ou d’autres traitements systémiques ne peuvent être utilisés, ou lorsque ces traitements n’ont pas été efficaces.</w:t>
      </w:r>
    </w:p>
    <w:p w14:paraId="609D8577" w14:textId="77777777" w:rsidR="00092F83" w:rsidRPr="002B65F7" w:rsidRDefault="00092F83" w:rsidP="00496255">
      <w:pPr>
        <w:widowControl/>
      </w:pPr>
    </w:p>
    <w:p w14:paraId="03B59078" w14:textId="77777777" w:rsidR="00092F83" w:rsidRPr="002B65F7" w:rsidRDefault="00C31740" w:rsidP="00496255">
      <w:pPr>
        <w:keepNext/>
        <w:widowControl/>
        <w:rPr>
          <w:b/>
          <w:bCs/>
        </w:rPr>
      </w:pPr>
      <w:r w:rsidRPr="002B65F7">
        <w:rPr>
          <w:b/>
          <w:bCs/>
        </w:rPr>
        <w:t>Rhumatisme psoriasique</w:t>
      </w:r>
    </w:p>
    <w:p w14:paraId="03B59079" w14:textId="0CFA1F63" w:rsidR="00092F83" w:rsidRPr="002B65F7" w:rsidRDefault="00C31740" w:rsidP="00496255">
      <w:pPr>
        <w:keepNext/>
        <w:widowControl/>
      </w:pPr>
      <w:r w:rsidRPr="002B65F7">
        <w:t xml:space="preserve">Le rhumatisme psoriasique est une maladie inflammatoire des articulations, habituellement associée à du psoriasis. Si vous avez un rhumatisme psoriasique actif, vous recevrez d’abord d’autres médicaments. Si vous ne répondez pas suffisamment bien à ces médicaments, vous pourrez recevoir </w:t>
      </w:r>
      <w:r w:rsidR="00992314" w:rsidRPr="002B65F7">
        <w:t>WEZENLA</w:t>
      </w:r>
      <w:r w:rsidRPr="002B65F7">
        <w:t xml:space="preserve"> afin de :</w:t>
      </w:r>
    </w:p>
    <w:p w14:paraId="03B5907A" w14:textId="4210C4C1" w:rsidR="00092F83" w:rsidRPr="002B65F7" w:rsidRDefault="00C31740" w:rsidP="00814670">
      <w:pPr>
        <w:pStyle w:val="ListParagraph"/>
        <w:keepNext/>
        <w:widowControl/>
        <w:numPr>
          <w:ilvl w:val="1"/>
          <w:numId w:val="50"/>
        </w:numPr>
        <w:tabs>
          <w:tab w:val="left" w:pos="567"/>
        </w:tabs>
        <w:ind w:left="567" w:hanging="567"/>
      </w:pPr>
      <w:r w:rsidRPr="002B65F7">
        <w:t>Réduire les signes et symptômes de votre maladie.</w:t>
      </w:r>
    </w:p>
    <w:p w14:paraId="03B5907B" w14:textId="41D8D44A" w:rsidR="00092F83" w:rsidRPr="002B65F7" w:rsidRDefault="00C31740" w:rsidP="00814670">
      <w:pPr>
        <w:pStyle w:val="ListParagraph"/>
        <w:keepNext/>
        <w:widowControl/>
        <w:numPr>
          <w:ilvl w:val="1"/>
          <w:numId w:val="50"/>
        </w:numPr>
        <w:tabs>
          <w:tab w:val="left" w:pos="567"/>
        </w:tabs>
        <w:ind w:left="567" w:hanging="567"/>
      </w:pPr>
      <w:r w:rsidRPr="002B65F7">
        <w:t>Améliorer votre état physique.</w:t>
      </w:r>
    </w:p>
    <w:p w14:paraId="03B5907C" w14:textId="0C8FB0DC" w:rsidR="00092F83" w:rsidRPr="002B65F7" w:rsidRDefault="00C31740" w:rsidP="00814670">
      <w:pPr>
        <w:pStyle w:val="ListParagraph"/>
        <w:widowControl/>
        <w:numPr>
          <w:ilvl w:val="1"/>
          <w:numId w:val="50"/>
        </w:numPr>
        <w:tabs>
          <w:tab w:val="left" w:pos="567"/>
        </w:tabs>
        <w:ind w:left="567" w:hanging="567"/>
      </w:pPr>
      <w:r w:rsidRPr="002B65F7">
        <w:t>Ralentir les atteintes de vos articulations.</w:t>
      </w:r>
    </w:p>
    <w:p w14:paraId="605D2662" w14:textId="77777777" w:rsidR="00093141" w:rsidRPr="002B65F7" w:rsidRDefault="00093141" w:rsidP="00496255">
      <w:pPr>
        <w:widowControl/>
      </w:pPr>
    </w:p>
    <w:p w14:paraId="03B5907D" w14:textId="2A357884" w:rsidR="00092F83" w:rsidRPr="002B65F7" w:rsidRDefault="00C31740" w:rsidP="00496255">
      <w:pPr>
        <w:keepNext/>
        <w:widowControl/>
        <w:rPr>
          <w:b/>
          <w:bCs/>
        </w:rPr>
      </w:pPr>
      <w:r w:rsidRPr="002B65F7">
        <w:rPr>
          <w:b/>
          <w:bCs/>
        </w:rPr>
        <w:t>Maladie de Crohn</w:t>
      </w:r>
    </w:p>
    <w:p w14:paraId="03B5907E" w14:textId="03AE88C1" w:rsidR="00092F83" w:rsidRPr="002B65F7" w:rsidRDefault="00C31740" w:rsidP="00496255">
      <w:pPr>
        <w:widowControl/>
      </w:pPr>
      <w:r w:rsidRPr="002B65F7">
        <w:t xml:space="preserve">La maladie de Crohn est une maladie inflammatoire des intestins. Si vous êtes atteint de la maladie de Crohn, vous recevrez d’abord d’autres médicaments. Si vous ne répondez pas suffisamment bien à ces médicaments ou que vous y êtes intolérants, </w:t>
      </w:r>
      <w:r w:rsidR="00992314" w:rsidRPr="002B65F7">
        <w:t>WEZENLA</w:t>
      </w:r>
      <w:r w:rsidRPr="002B65F7">
        <w:t xml:space="preserve"> pourra vous être administré afin de réduire les signes et les symptômes de votre maladie.</w:t>
      </w:r>
    </w:p>
    <w:p w14:paraId="1978E12B" w14:textId="77777777" w:rsidR="00AA6EF5" w:rsidRPr="002B65F7" w:rsidRDefault="00AA6EF5" w:rsidP="00496255">
      <w:pPr>
        <w:widowControl/>
      </w:pPr>
    </w:p>
    <w:p w14:paraId="05AACFF8" w14:textId="77777777" w:rsidR="00AA6EF5" w:rsidRPr="002B65F7" w:rsidRDefault="00AA6EF5" w:rsidP="00496255">
      <w:pPr>
        <w:widowControl/>
      </w:pPr>
    </w:p>
    <w:p w14:paraId="03B59082" w14:textId="624642BB" w:rsidR="00092F83" w:rsidRPr="002B65F7" w:rsidRDefault="00AA6EF5" w:rsidP="00496255">
      <w:pPr>
        <w:keepNext/>
        <w:widowControl/>
        <w:tabs>
          <w:tab w:val="left" w:pos="567"/>
        </w:tabs>
        <w:ind w:left="567" w:hanging="567"/>
        <w:rPr>
          <w:b/>
          <w:bCs/>
        </w:rPr>
      </w:pPr>
      <w:r w:rsidRPr="002B65F7">
        <w:rPr>
          <w:b/>
          <w:bCs/>
        </w:rPr>
        <w:t>2.</w:t>
      </w:r>
      <w:r w:rsidRPr="002B65F7">
        <w:rPr>
          <w:b/>
          <w:bCs/>
        </w:rPr>
        <w:tab/>
      </w:r>
      <w:r w:rsidR="00C31740" w:rsidRPr="002B65F7">
        <w:rPr>
          <w:b/>
          <w:bCs/>
        </w:rPr>
        <w:t xml:space="preserve">Quelles sont les informations à connaître avant d’utiliser </w:t>
      </w:r>
      <w:r w:rsidR="00992314" w:rsidRPr="002B65F7">
        <w:rPr>
          <w:b/>
          <w:bCs/>
        </w:rPr>
        <w:t>WEZENLA</w:t>
      </w:r>
      <w:r w:rsidR="00C31740" w:rsidRPr="002B65F7">
        <w:rPr>
          <w:b/>
          <w:bCs/>
        </w:rPr>
        <w:t xml:space="preserve"> ?</w:t>
      </w:r>
    </w:p>
    <w:p w14:paraId="03B59083" w14:textId="77777777" w:rsidR="00092F83" w:rsidRPr="002B65F7" w:rsidRDefault="00092F83" w:rsidP="00496255">
      <w:pPr>
        <w:keepNext/>
        <w:widowControl/>
      </w:pPr>
    </w:p>
    <w:p w14:paraId="03B59084" w14:textId="5400A490" w:rsidR="00092F83" w:rsidRPr="002B65F7" w:rsidRDefault="00C31740" w:rsidP="00496255">
      <w:pPr>
        <w:widowControl/>
        <w:rPr>
          <w:b/>
          <w:bCs/>
        </w:rPr>
      </w:pPr>
      <w:r w:rsidRPr="002B65F7">
        <w:rPr>
          <w:b/>
          <w:bCs/>
        </w:rPr>
        <w:t xml:space="preserve">N’utilisez jamais </w:t>
      </w:r>
      <w:r w:rsidR="00992314" w:rsidRPr="002B65F7">
        <w:rPr>
          <w:b/>
          <w:bCs/>
        </w:rPr>
        <w:t>WEZENLA</w:t>
      </w:r>
    </w:p>
    <w:p w14:paraId="03B59085" w14:textId="5431E09B" w:rsidR="00092F83" w:rsidRPr="002B65F7" w:rsidRDefault="00C31740" w:rsidP="00814670">
      <w:pPr>
        <w:pStyle w:val="ListParagraph"/>
        <w:widowControl/>
        <w:numPr>
          <w:ilvl w:val="1"/>
          <w:numId w:val="51"/>
        </w:numPr>
        <w:tabs>
          <w:tab w:val="left" w:pos="567"/>
        </w:tabs>
        <w:ind w:left="567" w:hanging="567"/>
      </w:pPr>
      <w:r w:rsidRPr="002B65F7">
        <w:rPr>
          <w:b/>
          <w:bCs/>
        </w:rPr>
        <w:t>Si vous êtes allergique à l’</w:t>
      </w:r>
      <w:r w:rsidR="0071390F" w:rsidRPr="002B65F7">
        <w:rPr>
          <w:b/>
          <w:bCs/>
        </w:rPr>
        <w:t>ustekinumab</w:t>
      </w:r>
      <w:r w:rsidRPr="002B65F7">
        <w:t xml:space="preserve"> ou à l’un des autres composants contenus dans ce médicament (mentionnés dans la rubrique 6).</w:t>
      </w:r>
    </w:p>
    <w:p w14:paraId="03B59086" w14:textId="6DBFBBCF" w:rsidR="00092F83" w:rsidRPr="002B65F7" w:rsidRDefault="00C31740" w:rsidP="00814670">
      <w:pPr>
        <w:pStyle w:val="ListParagraph"/>
        <w:widowControl/>
        <w:numPr>
          <w:ilvl w:val="1"/>
          <w:numId w:val="51"/>
        </w:numPr>
        <w:tabs>
          <w:tab w:val="left" w:pos="567"/>
        </w:tabs>
        <w:ind w:left="567" w:hanging="567"/>
      </w:pPr>
      <w:r w:rsidRPr="002B65F7">
        <w:rPr>
          <w:b/>
          <w:bCs/>
        </w:rPr>
        <w:t>Si vous avez une infection évolutive</w:t>
      </w:r>
      <w:r w:rsidRPr="002B65F7">
        <w:t xml:space="preserve"> que votre médecin considère importante.</w:t>
      </w:r>
    </w:p>
    <w:p w14:paraId="2F77BC82" w14:textId="77777777" w:rsidR="00866AF1" w:rsidRPr="002B65F7" w:rsidRDefault="00866AF1" w:rsidP="00496255">
      <w:pPr>
        <w:widowControl/>
      </w:pPr>
    </w:p>
    <w:p w14:paraId="03B59087" w14:textId="51AA42B5" w:rsidR="00092F83" w:rsidRPr="002B65F7" w:rsidRDefault="00C31740" w:rsidP="00496255">
      <w:pPr>
        <w:widowControl/>
      </w:pPr>
      <w:r w:rsidRPr="002B65F7">
        <w:t xml:space="preserve">Si vous n’êtes pas sûr que l’une des situations ci-dessus s’applique à vous, parlez-en avec votre médecin ou pharmacien avant d’utiliser </w:t>
      </w:r>
      <w:r w:rsidR="00992314" w:rsidRPr="002B65F7">
        <w:t>WEZENLA</w:t>
      </w:r>
      <w:r w:rsidRPr="002B65F7">
        <w:t>.</w:t>
      </w:r>
    </w:p>
    <w:p w14:paraId="35CA38FB" w14:textId="77777777" w:rsidR="00B60FED" w:rsidRPr="002B65F7" w:rsidRDefault="00B60FED" w:rsidP="00496255">
      <w:pPr>
        <w:widowControl/>
      </w:pPr>
    </w:p>
    <w:p w14:paraId="03B59088" w14:textId="3FB8F636" w:rsidR="00092F83" w:rsidRPr="002B65F7" w:rsidRDefault="00C31740" w:rsidP="00496255">
      <w:pPr>
        <w:keepNext/>
        <w:widowControl/>
        <w:rPr>
          <w:b/>
          <w:bCs/>
        </w:rPr>
      </w:pPr>
      <w:r w:rsidRPr="002B65F7">
        <w:rPr>
          <w:b/>
          <w:bCs/>
        </w:rPr>
        <w:t>Avertissements et précautions</w:t>
      </w:r>
    </w:p>
    <w:p w14:paraId="03B59089" w14:textId="301259FA" w:rsidR="00092F83" w:rsidRPr="002B65F7" w:rsidRDefault="00C31740" w:rsidP="00496255">
      <w:pPr>
        <w:widowControl/>
      </w:pPr>
      <w:r w:rsidRPr="002B65F7">
        <w:t xml:space="preserve">Adressez-vous à votre médecin ou pharmacien avant d’utiliser </w:t>
      </w:r>
      <w:r w:rsidR="00992314" w:rsidRPr="002B65F7">
        <w:t>WEZENLA</w:t>
      </w:r>
      <w:r w:rsidRPr="002B65F7">
        <w:t xml:space="preserve">. Votre médecin va vérifier votre état de santé avant chaque traitement. Assurez-vous d’informer votre médecin de toutes les maladies dont vous souffrez avant chaque traitement. Informez également votre médecin si vous avez été récemment à proximité de quelqu’un qui pourrait avoir la tuberculose. Votre médecin vous examinera et fera un test pour la tuberculose avant que vous preniez </w:t>
      </w:r>
      <w:r w:rsidR="00992314" w:rsidRPr="002B65F7">
        <w:t>WEZENLA</w:t>
      </w:r>
      <w:r w:rsidRPr="002B65F7">
        <w:t>. Si votre médecin pense que vous êtes à risque pour la tuberculose, vous pourrez recevoir des médicaments pour la traiter.</w:t>
      </w:r>
    </w:p>
    <w:p w14:paraId="03B5908A" w14:textId="77777777" w:rsidR="00092F83" w:rsidRPr="002B65F7" w:rsidRDefault="00092F83" w:rsidP="00496255">
      <w:pPr>
        <w:widowControl/>
      </w:pPr>
    </w:p>
    <w:p w14:paraId="03B5908B" w14:textId="77777777" w:rsidR="00092F83" w:rsidRPr="002B65F7" w:rsidRDefault="00C31740" w:rsidP="00496255">
      <w:pPr>
        <w:keepNext/>
        <w:widowControl/>
        <w:rPr>
          <w:b/>
          <w:bCs/>
        </w:rPr>
      </w:pPr>
      <w:r w:rsidRPr="002B65F7">
        <w:rPr>
          <w:b/>
          <w:bCs/>
        </w:rPr>
        <w:t>Faites attention aux effets indésirables graves :</w:t>
      </w:r>
    </w:p>
    <w:p w14:paraId="03B5908C" w14:textId="0F69CCBF" w:rsidR="00092F83" w:rsidRPr="002B65F7" w:rsidRDefault="00992314" w:rsidP="00496255">
      <w:pPr>
        <w:widowControl/>
      </w:pPr>
      <w:r w:rsidRPr="002B65F7">
        <w:t>WEZENLA</w:t>
      </w:r>
      <w:r w:rsidR="00C31740" w:rsidRPr="002B65F7">
        <w:t xml:space="preserve"> peut provoquer des effets indésirables graves, incluant des réactions allergiques et des infections. Vous devez faire attention à certains signes de maladie pendant que vous prenez </w:t>
      </w:r>
      <w:r w:rsidRPr="002B65F7">
        <w:t>WEZENLA</w:t>
      </w:r>
      <w:r w:rsidR="00C31740" w:rsidRPr="002B65F7">
        <w:t>. Consultez le paragraphe « Effets indésirables graves » dans la rubrique 4 pour une liste complète de ces effets indésirables.</w:t>
      </w:r>
    </w:p>
    <w:p w14:paraId="2FEA89FB" w14:textId="77777777" w:rsidR="00866AF1" w:rsidRPr="002B65F7" w:rsidRDefault="00866AF1" w:rsidP="00496255">
      <w:pPr>
        <w:widowControl/>
      </w:pPr>
    </w:p>
    <w:p w14:paraId="03B5908D" w14:textId="0582A087" w:rsidR="00092F83" w:rsidRPr="002B65F7" w:rsidRDefault="00C31740" w:rsidP="00496255">
      <w:pPr>
        <w:keepNext/>
        <w:widowControl/>
        <w:rPr>
          <w:b/>
          <w:bCs/>
        </w:rPr>
      </w:pPr>
      <w:r w:rsidRPr="002B65F7">
        <w:rPr>
          <w:b/>
          <w:bCs/>
        </w:rPr>
        <w:t xml:space="preserve">Avant d’utiliser </w:t>
      </w:r>
      <w:r w:rsidR="00992314" w:rsidRPr="002B65F7">
        <w:rPr>
          <w:b/>
          <w:bCs/>
        </w:rPr>
        <w:t>WEZENLA</w:t>
      </w:r>
      <w:r w:rsidRPr="002B65F7">
        <w:rPr>
          <w:b/>
          <w:bCs/>
        </w:rPr>
        <w:t>, informez votre médecin :</w:t>
      </w:r>
    </w:p>
    <w:p w14:paraId="03B5908E" w14:textId="7FD8366E" w:rsidR="00092F83" w:rsidRPr="002B65F7" w:rsidRDefault="00C31740" w:rsidP="00814670">
      <w:pPr>
        <w:pStyle w:val="ListParagraph"/>
        <w:widowControl/>
        <w:numPr>
          <w:ilvl w:val="1"/>
          <w:numId w:val="52"/>
        </w:numPr>
        <w:tabs>
          <w:tab w:val="left" w:pos="567"/>
        </w:tabs>
        <w:ind w:left="567" w:hanging="567"/>
      </w:pPr>
      <w:r w:rsidRPr="002B65F7">
        <w:rPr>
          <w:b/>
          <w:bCs/>
        </w:rPr>
        <w:t>Si vous avez déjà eu une réaction allergique</w:t>
      </w:r>
      <w:r w:rsidRPr="00B007D2">
        <w:rPr>
          <w:b/>
          <w:bCs/>
        </w:rPr>
        <w:t xml:space="preserve"> à </w:t>
      </w:r>
      <w:r w:rsidR="00992314" w:rsidRPr="00B007D2">
        <w:rPr>
          <w:b/>
          <w:bCs/>
        </w:rPr>
        <w:t>WEZENLA</w:t>
      </w:r>
      <w:r w:rsidRPr="00B007D2">
        <w:rPr>
          <w:b/>
          <w:bCs/>
        </w:rPr>
        <w:t>.</w:t>
      </w:r>
      <w:r w:rsidRPr="002B65F7">
        <w:t xml:space="preserve"> Si vous n’êtes pas sûr, demandez à votre médecin.</w:t>
      </w:r>
    </w:p>
    <w:p w14:paraId="03B5908F" w14:textId="1E8F9D7E" w:rsidR="00092F83" w:rsidRPr="002B65F7" w:rsidRDefault="00C31740" w:rsidP="00814670">
      <w:pPr>
        <w:pStyle w:val="ListParagraph"/>
        <w:widowControl/>
        <w:numPr>
          <w:ilvl w:val="1"/>
          <w:numId w:val="52"/>
        </w:numPr>
        <w:tabs>
          <w:tab w:val="left" w:pos="567"/>
        </w:tabs>
        <w:ind w:left="567" w:hanging="567"/>
      </w:pPr>
      <w:r w:rsidRPr="002B65F7">
        <w:rPr>
          <w:b/>
          <w:bCs/>
        </w:rPr>
        <w:t>Si vous avez déjà eu un cancer quel qu’en soit le type</w:t>
      </w:r>
      <w:r w:rsidRPr="002B65F7">
        <w:t xml:space="preserve"> – car les immunosuppresseurs comme </w:t>
      </w:r>
      <w:r w:rsidR="00992314" w:rsidRPr="002B65F7">
        <w:t>WEZENLA</w:t>
      </w:r>
      <w:r w:rsidRPr="002B65F7">
        <w:t xml:space="preserve"> affaiblissent partiellement le système immunitaire. Ceci peut augmenter le risque de cancer.</w:t>
      </w:r>
    </w:p>
    <w:p w14:paraId="03B59090" w14:textId="1694A1B8" w:rsidR="00092F83" w:rsidRPr="002B65F7" w:rsidRDefault="00C31740" w:rsidP="00814670">
      <w:pPr>
        <w:pStyle w:val="ListParagraph"/>
        <w:widowControl/>
        <w:numPr>
          <w:ilvl w:val="1"/>
          <w:numId w:val="52"/>
        </w:numPr>
        <w:tabs>
          <w:tab w:val="left" w:pos="567"/>
        </w:tabs>
        <w:ind w:left="567" w:hanging="567"/>
      </w:pPr>
      <w:r w:rsidRPr="002B65F7">
        <w:rPr>
          <w:b/>
          <w:bCs/>
        </w:rPr>
        <w:lastRenderedPageBreak/>
        <w:t>Si vous avez été traité pour un psoriasis avec d’autres médicaments biologiques (un médicament produit à partir d’une source biologique et habituellement administré par injection)</w:t>
      </w:r>
      <w:r w:rsidRPr="002B65F7">
        <w:t xml:space="preserve"> – le risque de cancer peut être plus élevé.</w:t>
      </w:r>
    </w:p>
    <w:p w14:paraId="03B59091" w14:textId="2ABF7066" w:rsidR="00092F83" w:rsidRPr="002B65F7" w:rsidRDefault="00C31740" w:rsidP="00814670">
      <w:pPr>
        <w:pStyle w:val="ListParagraph"/>
        <w:widowControl/>
        <w:numPr>
          <w:ilvl w:val="1"/>
          <w:numId w:val="52"/>
        </w:numPr>
        <w:tabs>
          <w:tab w:val="left" w:pos="567"/>
        </w:tabs>
        <w:ind w:left="567" w:hanging="567"/>
        <w:rPr>
          <w:b/>
          <w:bCs/>
        </w:rPr>
      </w:pPr>
      <w:r w:rsidRPr="002B65F7">
        <w:rPr>
          <w:b/>
          <w:bCs/>
        </w:rPr>
        <w:t>Si vous avez ou avez récemment eu une infection.</w:t>
      </w:r>
    </w:p>
    <w:p w14:paraId="03B59093" w14:textId="39025A38" w:rsidR="00092F83" w:rsidRPr="002B65F7" w:rsidRDefault="00C31740" w:rsidP="00814670">
      <w:pPr>
        <w:pStyle w:val="ListParagraph"/>
        <w:widowControl/>
        <w:numPr>
          <w:ilvl w:val="1"/>
          <w:numId w:val="52"/>
        </w:numPr>
        <w:tabs>
          <w:tab w:val="left" w:pos="567"/>
        </w:tabs>
        <w:ind w:left="567" w:hanging="567"/>
      </w:pPr>
      <w:r w:rsidRPr="002B65F7">
        <w:rPr>
          <w:b/>
          <w:bCs/>
        </w:rPr>
        <w:t>Si vous avez de nouvelles lésions ou des lésions qui évoluent</w:t>
      </w:r>
      <w:r w:rsidRPr="002B65F7">
        <w:t xml:space="preserve"> sur les zones de psoriasis ou sur la peau saine.</w:t>
      </w:r>
    </w:p>
    <w:p w14:paraId="03B59096" w14:textId="43CDBFDA" w:rsidR="00092F83" w:rsidRPr="002B65F7" w:rsidRDefault="00C31740" w:rsidP="00814670">
      <w:pPr>
        <w:pStyle w:val="ListParagraph"/>
        <w:widowControl/>
        <w:numPr>
          <w:ilvl w:val="1"/>
          <w:numId w:val="52"/>
        </w:numPr>
        <w:tabs>
          <w:tab w:val="left" w:pos="567"/>
        </w:tabs>
        <w:ind w:left="567" w:hanging="567"/>
      </w:pPr>
      <w:r w:rsidRPr="002B65F7">
        <w:rPr>
          <w:b/>
          <w:bCs/>
        </w:rPr>
        <w:t>Si vous prenez d’autres traitements pour le psoriasis et/ou le rhumatisme psoriasique</w:t>
      </w:r>
      <w:r w:rsidRPr="002B65F7">
        <w:t xml:space="preserve"> – tels qu’un autre immunosuppresseur ou une photothérapie (quand votre corps est traité avec un type de lumière ultra-violet (UV)). Ces traitements peuvent également affaiblir partiellement le système immunitaire. L’utilisation simultanée de ces traitements avec </w:t>
      </w:r>
      <w:r w:rsidR="00992314" w:rsidRPr="002B65F7">
        <w:t>WEZENLA</w:t>
      </w:r>
      <w:r w:rsidRPr="002B65F7">
        <w:t xml:space="preserve"> n’a pas été étudiée. Cependant, il est possible que cela augmente le risque de maladies liées à un système immunitaire plus faible.</w:t>
      </w:r>
    </w:p>
    <w:p w14:paraId="03B59097" w14:textId="5E84C2B8" w:rsidR="00092F83" w:rsidRPr="002B65F7" w:rsidRDefault="00C31740" w:rsidP="00814670">
      <w:pPr>
        <w:pStyle w:val="ListParagraph"/>
        <w:widowControl/>
        <w:numPr>
          <w:ilvl w:val="1"/>
          <w:numId w:val="52"/>
        </w:numPr>
        <w:tabs>
          <w:tab w:val="left" w:pos="567"/>
        </w:tabs>
        <w:ind w:left="567" w:hanging="567"/>
      </w:pPr>
      <w:r w:rsidRPr="002B65F7">
        <w:rPr>
          <w:b/>
          <w:bCs/>
        </w:rPr>
        <w:t>Si vous recevez ou avez déjà reçu des injections pour traiter les allergies</w:t>
      </w:r>
      <w:r w:rsidRPr="002B65F7">
        <w:t xml:space="preserve"> – on ne sait pas si </w:t>
      </w:r>
      <w:r w:rsidR="00992314" w:rsidRPr="002B65F7">
        <w:t>WEZENLA</w:t>
      </w:r>
      <w:r w:rsidRPr="002B65F7">
        <w:t xml:space="preserve"> peut les affecter.</w:t>
      </w:r>
    </w:p>
    <w:p w14:paraId="03B59098" w14:textId="3D3D5F45" w:rsidR="00092F83" w:rsidRPr="002B65F7" w:rsidRDefault="00C31740" w:rsidP="00814670">
      <w:pPr>
        <w:pStyle w:val="ListParagraph"/>
        <w:widowControl/>
        <w:numPr>
          <w:ilvl w:val="1"/>
          <w:numId w:val="52"/>
        </w:numPr>
        <w:tabs>
          <w:tab w:val="left" w:pos="567"/>
        </w:tabs>
        <w:ind w:left="567" w:hanging="567"/>
      </w:pPr>
      <w:r w:rsidRPr="002B65F7">
        <w:rPr>
          <w:b/>
          <w:bCs/>
        </w:rPr>
        <w:t>Si vous avez 65</w:t>
      </w:r>
      <w:r w:rsidR="00700887" w:rsidRPr="002B65F7">
        <w:rPr>
          <w:b/>
          <w:bCs/>
        </w:rPr>
        <w:t> </w:t>
      </w:r>
      <w:r w:rsidRPr="002B65F7">
        <w:rPr>
          <w:b/>
          <w:bCs/>
        </w:rPr>
        <w:t>ans ou plus</w:t>
      </w:r>
      <w:r w:rsidRPr="002B65F7">
        <w:t xml:space="preserve"> – vous pouvez être plus sujet aux infections.</w:t>
      </w:r>
    </w:p>
    <w:p w14:paraId="2308E8B4" w14:textId="77777777" w:rsidR="00866AF1" w:rsidRPr="002B65F7" w:rsidRDefault="00866AF1" w:rsidP="00496255">
      <w:pPr>
        <w:widowControl/>
      </w:pPr>
    </w:p>
    <w:p w14:paraId="03B59099" w14:textId="70DE9309" w:rsidR="00092F83" w:rsidRPr="002B65F7" w:rsidRDefault="00C31740" w:rsidP="00496255">
      <w:pPr>
        <w:widowControl/>
      </w:pPr>
      <w:r w:rsidRPr="002B65F7">
        <w:t xml:space="preserve">Si vous n’êtes pas sûr que l’une des situations ci-dessus s’applique à vous, parlez-en avec votre médecin ou pharmacien avant d’utiliser </w:t>
      </w:r>
      <w:r w:rsidR="00992314" w:rsidRPr="002B65F7">
        <w:t>WEZENLA</w:t>
      </w:r>
      <w:r w:rsidRPr="002B65F7">
        <w:t>.</w:t>
      </w:r>
    </w:p>
    <w:p w14:paraId="7399372A" w14:textId="77777777" w:rsidR="00CF59F2" w:rsidRPr="002B65F7" w:rsidRDefault="00CF59F2" w:rsidP="00496255">
      <w:pPr>
        <w:widowControl/>
      </w:pPr>
    </w:p>
    <w:p w14:paraId="03B5909A" w14:textId="3D630BA4" w:rsidR="00092F83" w:rsidRPr="002B65F7" w:rsidRDefault="00C31740" w:rsidP="00496255">
      <w:pPr>
        <w:widowControl/>
      </w:pPr>
      <w:r w:rsidRPr="002B65F7">
        <w:t xml:space="preserve">Certains patients ont présenté des réactions de type lupus, notamment un lupus cutané ou un syndrome de type lupus, au cours du traitement par </w:t>
      </w:r>
      <w:r w:rsidR="0071390F" w:rsidRPr="002B65F7">
        <w:t>ustekinumab</w:t>
      </w:r>
      <w:r w:rsidRPr="002B65F7">
        <w:t>. Consultez immédiatement un médecin si vous développez une éruption cutanée rouge, en relief, squameuse, comportant parfois une bordure plus foncée, sur les zones de peau exposées au soleil ou associée à des douleurs articulaires.</w:t>
      </w:r>
    </w:p>
    <w:p w14:paraId="03B5909B" w14:textId="77777777" w:rsidR="00092F83" w:rsidRPr="002B65F7" w:rsidRDefault="00092F83" w:rsidP="00496255">
      <w:pPr>
        <w:widowControl/>
      </w:pPr>
    </w:p>
    <w:p w14:paraId="03B5909C" w14:textId="77777777" w:rsidR="00092F83" w:rsidRPr="002B65F7" w:rsidRDefault="00C31740" w:rsidP="00496255">
      <w:pPr>
        <w:keepNext/>
        <w:widowControl/>
        <w:rPr>
          <w:b/>
          <w:bCs/>
        </w:rPr>
      </w:pPr>
      <w:r w:rsidRPr="002B65F7">
        <w:rPr>
          <w:b/>
          <w:bCs/>
        </w:rPr>
        <w:t>Crise cardiaque et accident vasculaire cérébral (AVC)</w:t>
      </w:r>
    </w:p>
    <w:p w14:paraId="03B5909D" w14:textId="5BF0D02F" w:rsidR="00092F83" w:rsidRPr="002B65F7" w:rsidRDefault="00C31740" w:rsidP="00496255">
      <w:pPr>
        <w:widowControl/>
      </w:pPr>
      <w:r w:rsidRPr="002B65F7">
        <w:t xml:space="preserve">Des crises cardiaques et des AVC ont été observés dans une étude chez des patients atteints de psoriasis traités par </w:t>
      </w:r>
      <w:r w:rsidR="0071390F" w:rsidRPr="002B65F7">
        <w:t>ustekinumab</w:t>
      </w:r>
      <w:r w:rsidRPr="002B65F7">
        <w:t>. Votre médecin vérifiera régulièrement vos facteurs de risque de maladie cardiaque et d’AVC afin de s’assurer qu’ils sont traités de manière adéquate. Consultez immédiatement un médecin si vous développez des douleurs thoraciques, une faiblesse ou des sensations anormales d’un côté de votre corps, un affaissement du visage ou des anomalies de la parole ou de la vue.</w:t>
      </w:r>
    </w:p>
    <w:p w14:paraId="5BBC6920" w14:textId="77777777" w:rsidR="00CF59F2" w:rsidRPr="002B65F7" w:rsidRDefault="00CF59F2" w:rsidP="00496255">
      <w:pPr>
        <w:widowControl/>
      </w:pPr>
    </w:p>
    <w:p w14:paraId="03B5909E" w14:textId="5AFDF567" w:rsidR="00092F83" w:rsidRPr="002B65F7" w:rsidRDefault="00C31740" w:rsidP="00496255">
      <w:pPr>
        <w:keepNext/>
        <w:widowControl/>
        <w:rPr>
          <w:b/>
          <w:bCs/>
        </w:rPr>
      </w:pPr>
      <w:r w:rsidRPr="002B65F7">
        <w:rPr>
          <w:b/>
          <w:bCs/>
        </w:rPr>
        <w:t>Enfants et adolescents</w:t>
      </w:r>
    </w:p>
    <w:p w14:paraId="03B5909F" w14:textId="5CCB3369" w:rsidR="00092F83" w:rsidRPr="002B65F7" w:rsidRDefault="00992314" w:rsidP="00496255">
      <w:pPr>
        <w:widowControl/>
      </w:pPr>
      <w:r w:rsidRPr="002B65F7">
        <w:t>WEZENLA</w:t>
      </w:r>
      <w:r w:rsidR="00C31740" w:rsidRPr="002B65F7">
        <w:t xml:space="preserve"> n’est pas recommandé chez les enfants âgés de moins de 6 ans atteints de psoriasis, </w:t>
      </w:r>
      <w:r w:rsidR="00324620">
        <w:rPr>
          <w:noProof/>
          <w:lang w:eastAsia="nl-BE"/>
        </w:rPr>
        <w:t xml:space="preserve">chez les enfants atteints de la maladie de Crohn pesant moins de 40 kg </w:t>
      </w:r>
      <w:r w:rsidR="00C31740" w:rsidRPr="002B65F7">
        <w:t>ou chez les enfants âgés de moins de 18 ans atteints de rhumatisme psoriasique, car il n’a pas été étudié dans cette tranche d’âge.</w:t>
      </w:r>
    </w:p>
    <w:p w14:paraId="0A0DFFA7" w14:textId="77777777" w:rsidR="00CF59F2" w:rsidRPr="002B65F7" w:rsidRDefault="00CF59F2" w:rsidP="00496255">
      <w:pPr>
        <w:widowControl/>
        <w:rPr>
          <w:b/>
          <w:bCs/>
        </w:rPr>
      </w:pPr>
    </w:p>
    <w:p w14:paraId="03B590A0" w14:textId="47141A12" w:rsidR="00092F83" w:rsidRPr="002B65F7" w:rsidRDefault="00C31740" w:rsidP="00496255">
      <w:pPr>
        <w:keepNext/>
        <w:widowControl/>
        <w:rPr>
          <w:b/>
          <w:bCs/>
        </w:rPr>
      </w:pPr>
      <w:r w:rsidRPr="002B65F7">
        <w:rPr>
          <w:b/>
          <w:bCs/>
        </w:rPr>
        <w:t xml:space="preserve">Autres médicaments, vaccins et </w:t>
      </w:r>
      <w:r w:rsidR="00992314" w:rsidRPr="002B65F7">
        <w:rPr>
          <w:b/>
          <w:bCs/>
        </w:rPr>
        <w:t>WEZENLA</w:t>
      </w:r>
    </w:p>
    <w:p w14:paraId="03B590A1" w14:textId="77777777" w:rsidR="00092F83" w:rsidRPr="002B65F7" w:rsidRDefault="00C31740" w:rsidP="00496255">
      <w:pPr>
        <w:keepNext/>
        <w:widowControl/>
      </w:pPr>
      <w:r w:rsidRPr="002B65F7">
        <w:t>Informez votre médecin ou pharmacien :</w:t>
      </w:r>
    </w:p>
    <w:p w14:paraId="03B590A2" w14:textId="434B2B1B" w:rsidR="00092F83" w:rsidRPr="002B65F7" w:rsidRDefault="00C31740" w:rsidP="00814670">
      <w:pPr>
        <w:pStyle w:val="ListParagraph"/>
        <w:keepNext/>
        <w:widowControl/>
        <w:numPr>
          <w:ilvl w:val="1"/>
          <w:numId w:val="53"/>
        </w:numPr>
        <w:tabs>
          <w:tab w:val="left" w:pos="567"/>
        </w:tabs>
        <w:ind w:left="567" w:hanging="567"/>
      </w:pPr>
      <w:r w:rsidRPr="002B65F7">
        <w:t>Si vous prenez, avez pris récemment ou pourriez prendre tout autre médicament.</w:t>
      </w:r>
    </w:p>
    <w:p w14:paraId="03B590A3" w14:textId="4C2D0DC5" w:rsidR="00092F83" w:rsidRPr="002B65F7" w:rsidRDefault="00C31740" w:rsidP="00814670">
      <w:pPr>
        <w:pStyle w:val="ListParagraph"/>
        <w:keepNext/>
        <w:widowControl/>
        <w:numPr>
          <w:ilvl w:val="1"/>
          <w:numId w:val="53"/>
        </w:numPr>
        <w:tabs>
          <w:tab w:val="left" w:pos="567"/>
        </w:tabs>
        <w:ind w:left="567" w:hanging="567"/>
      </w:pPr>
      <w:r w:rsidRPr="002B65F7">
        <w:t xml:space="preserve">Si vous vous êtes récemment fait ou allez-vous faire vacciner. Certains types de vaccins (vaccins vivants) ne doivent pas être administrés pendant l’utilisation de </w:t>
      </w:r>
      <w:r w:rsidR="00992314" w:rsidRPr="002B65F7">
        <w:t>WEZENLA</w:t>
      </w:r>
      <w:r w:rsidRPr="002B65F7">
        <w:t>.</w:t>
      </w:r>
    </w:p>
    <w:p w14:paraId="03B590A4" w14:textId="02E3BA1F" w:rsidR="00092F83" w:rsidRPr="002B65F7" w:rsidRDefault="00C31740" w:rsidP="00814670">
      <w:pPr>
        <w:pStyle w:val="ListParagraph"/>
        <w:widowControl/>
        <w:numPr>
          <w:ilvl w:val="1"/>
          <w:numId w:val="53"/>
        </w:numPr>
        <w:tabs>
          <w:tab w:val="left" w:pos="567"/>
        </w:tabs>
        <w:ind w:left="567" w:hanging="567"/>
      </w:pPr>
      <w:r w:rsidRPr="002B65F7">
        <w:t xml:space="preserve">Si vous avez reçu </w:t>
      </w:r>
      <w:r w:rsidR="00992314" w:rsidRPr="002B65F7">
        <w:t>WEZENLA</w:t>
      </w:r>
      <w:r w:rsidRPr="002B65F7">
        <w:t xml:space="preserve"> pendant votre grossesse, informez le médecin s’occupant de votre bébé de votre traitement par </w:t>
      </w:r>
      <w:r w:rsidR="00992314" w:rsidRPr="002B65F7">
        <w:t>WEZENLA</w:t>
      </w:r>
      <w:r w:rsidRPr="002B65F7">
        <w:t xml:space="preserve"> avant que votre bébé ne reçoive un vaccin quel qu’il soit, notamment les vaccins vivants, tels que le vaccin BCG (utilisé pour prévenir la tuberculose). Les vaccins vivants ne sont pas recommandés pour votre bébé au cours </w:t>
      </w:r>
      <w:r w:rsidR="00136853" w:rsidRPr="005A6877">
        <w:t xml:space="preserve">des </w:t>
      </w:r>
      <w:r w:rsidR="00136853">
        <w:t>douze</w:t>
      </w:r>
      <w:r w:rsidR="00136853" w:rsidRPr="005A6877">
        <w:t xml:space="preserve"> premiers </w:t>
      </w:r>
      <w:r w:rsidRPr="002B65F7">
        <w:t xml:space="preserve">mois après la naissance si vous avez reçu </w:t>
      </w:r>
      <w:r w:rsidR="00992314" w:rsidRPr="002B65F7">
        <w:t>WEZENLA</w:t>
      </w:r>
      <w:r w:rsidRPr="002B65F7">
        <w:t xml:space="preserve"> pendant la grossesse, à moins que le médecin de votre bébé ne recommande le contraire.</w:t>
      </w:r>
    </w:p>
    <w:p w14:paraId="4EFD0CE5" w14:textId="77777777" w:rsidR="00CF59F2" w:rsidRPr="002B65F7" w:rsidRDefault="00CF59F2" w:rsidP="00496255">
      <w:pPr>
        <w:widowControl/>
        <w:ind w:left="567" w:hanging="567"/>
      </w:pPr>
    </w:p>
    <w:p w14:paraId="03B590A5" w14:textId="77777777" w:rsidR="00092F83" w:rsidRPr="002B65F7" w:rsidRDefault="00C31740" w:rsidP="00496255">
      <w:pPr>
        <w:keepNext/>
        <w:widowControl/>
        <w:rPr>
          <w:b/>
          <w:bCs/>
        </w:rPr>
      </w:pPr>
      <w:r w:rsidRPr="002B65F7">
        <w:rPr>
          <w:b/>
          <w:bCs/>
        </w:rPr>
        <w:t>Grossesse et allaitement</w:t>
      </w:r>
    </w:p>
    <w:p w14:paraId="29B678B8" w14:textId="77777777" w:rsidR="00136853" w:rsidRDefault="00136853" w:rsidP="00136853">
      <w:pPr>
        <w:pStyle w:val="ListParagraph"/>
        <w:widowControl/>
        <w:numPr>
          <w:ilvl w:val="1"/>
          <w:numId w:val="54"/>
        </w:numPr>
        <w:tabs>
          <w:tab w:val="left" w:pos="567"/>
        </w:tabs>
        <w:ind w:left="567" w:hanging="567"/>
      </w:pPr>
      <w:r w:rsidRPr="00F132E3">
        <w:t>Si vous êtes enceinte, si vous pensez être enceinte ou planifiez une grossesse, demandez conseil à votre médecin avant de prendre ce médicament.</w:t>
      </w:r>
    </w:p>
    <w:p w14:paraId="5841ED9B" w14:textId="77777777" w:rsidR="00136853" w:rsidRDefault="00136853" w:rsidP="00136853">
      <w:pPr>
        <w:pStyle w:val="ListParagraph"/>
        <w:widowControl/>
        <w:numPr>
          <w:ilvl w:val="1"/>
          <w:numId w:val="54"/>
        </w:numPr>
        <w:tabs>
          <w:tab w:val="left" w:pos="567"/>
        </w:tabs>
        <w:ind w:left="567" w:hanging="567"/>
      </w:pPr>
      <w:r>
        <w:t xml:space="preserve">Il n’a pas été observé de risque accru de malformations congénitales chez les bébés exposés à WEZENLA in utero. Cependant, l’expérience clinique avec WEZENLA chez les femmes enceintes est limitée. </w:t>
      </w:r>
      <w:r w:rsidRPr="005A6877">
        <w:t>Il est</w:t>
      </w:r>
      <w:r>
        <w:t xml:space="preserve"> ainsi</w:t>
      </w:r>
      <w:r w:rsidRPr="005A6877">
        <w:t xml:space="preserve"> préférable d’éviter l’utilisation de </w:t>
      </w:r>
      <w:r>
        <w:t>WEZENLA</w:t>
      </w:r>
      <w:r w:rsidRPr="005A6877">
        <w:t xml:space="preserve"> en cas de grossesse. </w:t>
      </w:r>
    </w:p>
    <w:p w14:paraId="74452713" w14:textId="77777777" w:rsidR="00136853" w:rsidRPr="005A6877" w:rsidRDefault="00136853" w:rsidP="00136853">
      <w:pPr>
        <w:pStyle w:val="ListParagraph"/>
        <w:widowControl/>
        <w:numPr>
          <w:ilvl w:val="1"/>
          <w:numId w:val="54"/>
        </w:numPr>
        <w:tabs>
          <w:tab w:val="left" w:pos="567"/>
        </w:tabs>
        <w:ind w:left="567" w:hanging="567"/>
      </w:pPr>
      <w:r w:rsidRPr="005A6877">
        <w:lastRenderedPageBreak/>
        <w:t xml:space="preserve">Si vous êtes une femme en âge de procréer, vous devez éviter de tomber enceinte et vous devez prendre une contraception adaptée pendant toute l’utilisation de </w:t>
      </w:r>
      <w:r>
        <w:t>WEZENLA</w:t>
      </w:r>
      <w:r w:rsidRPr="005A6877">
        <w:t xml:space="preserve"> et jusqu’à 15</w:t>
      </w:r>
      <w:r>
        <w:t> </w:t>
      </w:r>
      <w:r w:rsidRPr="005A6877">
        <w:t xml:space="preserve">semaines au moins après le dernier traitement par </w:t>
      </w:r>
      <w:r>
        <w:t>WEZENLA</w:t>
      </w:r>
      <w:r w:rsidRPr="005A6877">
        <w:t>.</w:t>
      </w:r>
    </w:p>
    <w:p w14:paraId="1BF906F4" w14:textId="77777777" w:rsidR="00136853" w:rsidRPr="005A6877" w:rsidRDefault="00136853" w:rsidP="00136853">
      <w:pPr>
        <w:pStyle w:val="ListParagraph"/>
        <w:widowControl/>
        <w:numPr>
          <w:ilvl w:val="1"/>
          <w:numId w:val="54"/>
        </w:numPr>
        <w:tabs>
          <w:tab w:val="left" w:pos="567"/>
        </w:tabs>
        <w:ind w:left="567" w:hanging="567"/>
      </w:pPr>
      <w:r>
        <w:t>WEZENLA</w:t>
      </w:r>
      <w:r w:rsidRPr="005A6877">
        <w:t xml:space="preserve"> peut traverser la barrière placentaire et passer chez le bébé à naître. Si vous recevez </w:t>
      </w:r>
      <w:r>
        <w:t>WEZENLA</w:t>
      </w:r>
      <w:r w:rsidRPr="005A6877">
        <w:t xml:space="preserve"> au cours de votre grossesse, votre bébé peut présenter un risque plus élevé de contracter une infection.</w:t>
      </w:r>
    </w:p>
    <w:p w14:paraId="03B590AA" w14:textId="3B8C8CA4" w:rsidR="00092F83" w:rsidRPr="002B65F7" w:rsidRDefault="00136853" w:rsidP="00136853">
      <w:pPr>
        <w:pStyle w:val="ListParagraph"/>
        <w:widowControl/>
        <w:numPr>
          <w:ilvl w:val="1"/>
          <w:numId w:val="54"/>
        </w:numPr>
        <w:tabs>
          <w:tab w:val="left" w:pos="567"/>
        </w:tabs>
        <w:ind w:left="567" w:hanging="567"/>
      </w:pPr>
      <w:r w:rsidRPr="005A6877">
        <w:t xml:space="preserve">Si vous avez reçu </w:t>
      </w:r>
      <w:r>
        <w:t>WEZENLA</w:t>
      </w:r>
      <w:r w:rsidRPr="005A6877">
        <w:t xml:space="preserve"> pendant votre grossesse, il est important que vous informiez les médecins et les autres professionnels de santé s’occupant de votre bébé avant qu’il ne re</w:t>
      </w:r>
      <w:r>
        <w:t>ç</w:t>
      </w:r>
      <w:r w:rsidRPr="005A6877">
        <w:t xml:space="preserve">oive un vaccin quel qu’il soit. Les vaccins vivants, tels que le vaccin BCG (utilisé pour prévenir la tuberculose), ne sont pas recommandés pour votre bébé au cours des </w:t>
      </w:r>
      <w:r>
        <w:t>douze</w:t>
      </w:r>
      <w:r w:rsidRPr="005A6877">
        <w:t xml:space="preserve"> premiers mois après la naissance si vous avez reçu </w:t>
      </w:r>
      <w:r>
        <w:t>WEZENLA</w:t>
      </w:r>
      <w:r w:rsidRPr="005A6877">
        <w:t xml:space="preserve"> pendant la grossesse, à moins que le médecin de votre bébé ne recommande le contraire.</w:t>
      </w:r>
    </w:p>
    <w:p w14:paraId="03B590AB" w14:textId="537A8D34" w:rsidR="00092F83" w:rsidRPr="002B65F7" w:rsidRDefault="00C31740" w:rsidP="00814670">
      <w:pPr>
        <w:pStyle w:val="ListParagraph"/>
        <w:widowControl/>
        <w:numPr>
          <w:ilvl w:val="1"/>
          <w:numId w:val="54"/>
        </w:numPr>
        <w:tabs>
          <w:tab w:val="left" w:pos="567"/>
        </w:tabs>
        <w:ind w:left="567" w:hanging="567"/>
      </w:pPr>
      <w:r w:rsidRPr="002B65F7">
        <w:t>L’</w:t>
      </w:r>
      <w:r w:rsidR="0071390F" w:rsidRPr="002B65F7">
        <w:t>ustekinumab</w:t>
      </w:r>
      <w:r w:rsidRPr="002B65F7">
        <w:t xml:space="preserve"> peut passer en très faible quantité dans le lait maternel. Si vous allaitez ou pensez allaiter, demandez conseil à votre médecin. Vous devez décider avec lui si vous devez plutôt allaiter ou utiliser </w:t>
      </w:r>
      <w:r w:rsidR="00992314" w:rsidRPr="002B65F7">
        <w:t>WEZENLA</w:t>
      </w:r>
      <w:r w:rsidRPr="002B65F7">
        <w:t>. Ne faites pas les deux.</w:t>
      </w:r>
    </w:p>
    <w:p w14:paraId="5F55870C" w14:textId="77777777" w:rsidR="00BA691E" w:rsidRPr="002B65F7" w:rsidRDefault="00BA691E" w:rsidP="00496255">
      <w:pPr>
        <w:widowControl/>
      </w:pPr>
    </w:p>
    <w:p w14:paraId="03B590AC" w14:textId="57151864" w:rsidR="00092F83" w:rsidRPr="002B65F7" w:rsidRDefault="00C31740" w:rsidP="00496255">
      <w:pPr>
        <w:keepNext/>
        <w:widowControl/>
        <w:rPr>
          <w:b/>
          <w:bCs/>
        </w:rPr>
      </w:pPr>
      <w:r w:rsidRPr="002B65F7">
        <w:rPr>
          <w:b/>
          <w:bCs/>
        </w:rPr>
        <w:t>Conduite de véhicules et utilisation de machines</w:t>
      </w:r>
    </w:p>
    <w:p w14:paraId="03B590AD" w14:textId="663395AC" w:rsidR="00092F83" w:rsidRDefault="00992314" w:rsidP="00496255">
      <w:pPr>
        <w:widowControl/>
      </w:pPr>
      <w:r w:rsidRPr="002B65F7">
        <w:t>WEZENLA</w:t>
      </w:r>
      <w:r w:rsidR="00C31740" w:rsidRPr="002B65F7">
        <w:t xml:space="preserve"> n’a aucun effet ou qu’un effet négligeable sur l’aptitude à conduire des véhicules et à utiliser des machines.</w:t>
      </w:r>
    </w:p>
    <w:p w14:paraId="5D30372A" w14:textId="77777777" w:rsidR="00E02523" w:rsidRPr="002B65F7" w:rsidRDefault="00E02523" w:rsidP="00496255">
      <w:pPr>
        <w:widowControl/>
      </w:pPr>
    </w:p>
    <w:p w14:paraId="1172D7B0" w14:textId="7EAA7712" w:rsidR="00E02523" w:rsidRPr="009354DA" w:rsidRDefault="00E02523" w:rsidP="00E02523">
      <w:pPr>
        <w:widowControl/>
        <w:rPr>
          <w:b/>
          <w:bCs/>
        </w:rPr>
      </w:pPr>
      <w:r w:rsidRPr="009354DA">
        <w:rPr>
          <w:b/>
          <w:bCs/>
        </w:rPr>
        <w:t>WEZENLA contient du polysor</w:t>
      </w:r>
      <w:r w:rsidR="00DC7A1B">
        <w:rPr>
          <w:b/>
          <w:bCs/>
        </w:rPr>
        <w:t>b</w:t>
      </w:r>
      <w:r w:rsidRPr="009354DA">
        <w:rPr>
          <w:b/>
          <w:bCs/>
        </w:rPr>
        <w:t>ate</w:t>
      </w:r>
      <w:r w:rsidRPr="002B65F7">
        <w:t> </w:t>
      </w:r>
      <w:r w:rsidRPr="009354DA">
        <w:rPr>
          <w:b/>
          <w:bCs/>
        </w:rPr>
        <w:t>80</w:t>
      </w:r>
    </w:p>
    <w:p w14:paraId="7DC931C8" w14:textId="77777777" w:rsidR="00E02523" w:rsidRDefault="00E02523" w:rsidP="00E02523">
      <w:pPr>
        <w:widowControl/>
      </w:pPr>
      <w:r>
        <w:t>WEZENLA</w:t>
      </w:r>
      <w:r w:rsidRPr="00214D55">
        <w:t xml:space="preserve"> contient 0,02</w:t>
      </w:r>
      <w:r w:rsidRPr="002B65F7">
        <w:t> </w:t>
      </w:r>
      <w:r w:rsidRPr="00214D55">
        <w:t>mg</w:t>
      </w:r>
      <w:r>
        <w:t xml:space="preserve"> (45</w:t>
      </w:r>
      <w:r w:rsidRPr="002B65F7">
        <w:t> </w:t>
      </w:r>
      <w:r>
        <w:t>mg/0,5</w:t>
      </w:r>
      <w:r w:rsidRPr="002B65F7">
        <w:t> </w:t>
      </w:r>
      <w:r>
        <w:t>mL)</w:t>
      </w:r>
      <w:r w:rsidRPr="00214D55">
        <w:t xml:space="preserve"> </w:t>
      </w:r>
      <w:r>
        <w:t>ou 0,04</w:t>
      </w:r>
      <w:r w:rsidRPr="002B65F7">
        <w:t> </w:t>
      </w:r>
      <w:r>
        <w:t>mg (90</w:t>
      </w:r>
      <w:r w:rsidRPr="002B65F7">
        <w:t> </w:t>
      </w:r>
      <w:r>
        <w:t>mg/1,0</w:t>
      </w:r>
      <w:r w:rsidRPr="002B65F7">
        <w:t> </w:t>
      </w:r>
      <w:r>
        <w:t xml:space="preserve">mL) </w:t>
      </w:r>
      <w:r w:rsidRPr="00214D55">
        <w:t>de polysorbate</w:t>
      </w:r>
      <w:r w:rsidRPr="002B65F7">
        <w:t> </w:t>
      </w:r>
      <w:r w:rsidRPr="00214D55">
        <w:t>80 (E</w:t>
      </w:r>
      <w:r w:rsidRPr="002B65F7">
        <w:t> </w:t>
      </w:r>
      <w:r w:rsidRPr="00214D55">
        <w:t>433) par dose équivalent à 0,04</w:t>
      </w:r>
      <w:r w:rsidRPr="002B65F7">
        <w:t> </w:t>
      </w:r>
      <w:r w:rsidRPr="00214D55">
        <w:t>mg/mL. Les polysorbates peuvent provoquer des réactions allergiques. Informez votre médecin si vous avez déjà présenté une allergie.</w:t>
      </w:r>
    </w:p>
    <w:p w14:paraId="46A87C45" w14:textId="77777777" w:rsidR="00E02523" w:rsidRPr="002B65F7" w:rsidRDefault="00E02523" w:rsidP="00496255">
      <w:pPr>
        <w:widowControl/>
      </w:pPr>
    </w:p>
    <w:p w14:paraId="03B590AF" w14:textId="77777777" w:rsidR="00092F83" w:rsidRPr="002B65F7" w:rsidRDefault="00092F83" w:rsidP="00496255">
      <w:pPr>
        <w:widowControl/>
      </w:pPr>
    </w:p>
    <w:p w14:paraId="03B590B0" w14:textId="33B2AFB2" w:rsidR="00092F83" w:rsidRPr="002B65F7" w:rsidRDefault="00BA691E" w:rsidP="00EF683D">
      <w:pPr>
        <w:keepNext/>
        <w:widowControl/>
        <w:ind w:left="567" w:hanging="567"/>
        <w:rPr>
          <w:b/>
          <w:bCs/>
        </w:rPr>
      </w:pPr>
      <w:r w:rsidRPr="002B65F7">
        <w:rPr>
          <w:b/>
          <w:bCs/>
        </w:rPr>
        <w:t>3.</w:t>
      </w:r>
      <w:r w:rsidRPr="002B65F7">
        <w:rPr>
          <w:b/>
          <w:bCs/>
        </w:rPr>
        <w:tab/>
      </w:r>
      <w:r w:rsidR="00C31740" w:rsidRPr="002B65F7">
        <w:rPr>
          <w:b/>
          <w:bCs/>
        </w:rPr>
        <w:t xml:space="preserve">Comment utiliser </w:t>
      </w:r>
      <w:r w:rsidR="00992314" w:rsidRPr="002B65F7">
        <w:rPr>
          <w:b/>
          <w:bCs/>
        </w:rPr>
        <w:t>WEZENLA</w:t>
      </w:r>
      <w:r w:rsidR="00C31740" w:rsidRPr="002B65F7">
        <w:rPr>
          <w:b/>
          <w:bCs/>
        </w:rPr>
        <w:t xml:space="preserve"> ?</w:t>
      </w:r>
    </w:p>
    <w:p w14:paraId="3D8DFFB7" w14:textId="77777777" w:rsidR="00EB4888" w:rsidRPr="002B65F7" w:rsidRDefault="00EB4888" w:rsidP="00496255">
      <w:pPr>
        <w:keepNext/>
        <w:widowControl/>
      </w:pPr>
    </w:p>
    <w:p w14:paraId="03B590B1" w14:textId="4D1B76E6" w:rsidR="00092F83" w:rsidRPr="002B65F7" w:rsidRDefault="00992314" w:rsidP="00496255">
      <w:pPr>
        <w:widowControl/>
      </w:pPr>
      <w:r w:rsidRPr="002B65F7">
        <w:t>WEZENLA</w:t>
      </w:r>
      <w:r w:rsidR="00C31740" w:rsidRPr="002B65F7">
        <w:t xml:space="preserve"> doit être utilisé sous la responsabilité et la surveillance d’un médecin expérimenté dans le diagnostic et le traitement des maladies pour lesquelles </w:t>
      </w:r>
      <w:r w:rsidRPr="002B65F7">
        <w:t>WEZENLA</w:t>
      </w:r>
      <w:r w:rsidR="00C31740" w:rsidRPr="002B65F7">
        <w:t xml:space="preserve"> est destiné.</w:t>
      </w:r>
    </w:p>
    <w:p w14:paraId="03B590B2" w14:textId="77777777" w:rsidR="00092F83" w:rsidRPr="002B65F7" w:rsidRDefault="00092F83" w:rsidP="00496255">
      <w:pPr>
        <w:widowControl/>
      </w:pPr>
    </w:p>
    <w:p w14:paraId="03B590B3" w14:textId="77777777" w:rsidR="00092F83" w:rsidRPr="002B65F7" w:rsidRDefault="00C31740" w:rsidP="00496255">
      <w:pPr>
        <w:widowControl/>
      </w:pPr>
      <w:r w:rsidRPr="002B65F7">
        <w:t>Veillez à toujours utiliser ce médicament en suivant exactement les indications de votre médecin. Vérifiez auprès de votre médecin en cas de doute. Parlez avec votre médecin afin de savoir quand vous recevrez vos injections et quand vous aurez vos rendez-vous de suivi.</w:t>
      </w:r>
    </w:p>
    <w:p w14:paraId="1362D7E3" w14:textId="77777777" w:rsidR="00BA691E" w:rsidRPr="002B65F7" w:rsidRDefault="00BA691E" w:rsidP="00496255">
      <w:pPr>
        <w:widowControl/>
        <w:rPr>
          <w:b/>
          <w:bCs/>
        </w:rPr>
      </w:pPr>
    </w:p>
    <w:p w14:paraId="03B590B4" w14:textId="5B67AE37" w:rsidR="00092F83" w:rsidRPr="002B65F7" w:rsidRDefault="00C31740" w:rsidP="00496255">
      <w:pPr>
        <w:keepNext/>
        <w:widowControl/>
        <w:rPr>
          <w:b/>
          <w:bCs/>
        </w:rPr>
      </w:pPr>
      <w:r w:rsidRPr="002B65F7">
        <w:rPr>
          <w:b/>
          <w:bCs/>
        </w:rPr>
        <w:t xml:space="preserve">Quelle quantité de </w:t>
      </w:r>
      <w:r w:rsidR="00992314" w:rsidRPr="002B65F7">
        <w:rPr>
          <w:b/>
          <w:bCs/>
        </w:rPr>
        <w:t>WEZENLA</w:t>
      </w:r>
      <w:r w:rsidRPr="002B65F7">
        <w:rPr>
          <w:b/>
          <w:bCs/>
        </w:rPr>
        <w:t xml:space="preserve"> est administrée ?</w:t>
      </w:r>
    </w:p>
    <w:p w14:paraId="03B590B5" w14:textId="390875D4" w:rsidR="00092F83" w:rsidRPr="002B65F7" w:rsidRDefault="00C31740" w:rsidP="00496255">
      <w:pPr>
        <w:widowControl/>
      </w:pPr>
      <w:r w:rsidRPr="002B65F7">
        <w:t xml:space="preserve">Votre médecin déterminera la quantité de </w:t>
      </w:r>
      <w:r w:rsidR="00992314" w:rsidRPr="002B65F7">
        <w:t>WEZENLA</w:t>
      </w:r>
      <w:r w:rsidRPr="002B65F7">
        <w:t xml:space="preserve"> dont vous avez besoin et la durée du traitement.</w:t>
      </w:r>
    </w:p>
    <w:p w14:paraId="07527A94" w14:textId="77777777" w:rsidR="00BA691E" w:rsidRPr="002B65F7" w:rsidRDefault="00BA691E" w:rsidP="00496255">
      <w:pPr>
        <w:widowControl/>
      </w:pPr>
    </w:p>
    <w:p w14:paraId="09E02815" w14:textId="03991734" w:rsidR="00BA691E" w:rsidRPr="002B65F7" w:rsidRDefault="00C31740" w:rsidP="00496255">
      <w:pPr>
        <w:keepNext/>
        <w:widowControl/>
        <w:rPr>
          <w:b/>
          <w:bCs/>
        </w:rPr>
      </w:pPr>
      <w:r w:rsidRPr="002B65F7">
        <w:rPr>
          <w:b/>
          <w:bCs/>
        </w:rPr>
        <w:t>Adultes âgés de 18</w:t>
      </w:r>
      <w:r w:rsidR="000474EF" w:rsidRPr="002B65F7">
        <w:rPr>
          <w:b/>
          <w:bCs/>
        </w:rPr>
        <w:t> </w:t>
      </w:r>
      <w:r w:rsidRPr="002B65F7">
        <w:rPr>
          <w:b/>
          <w:bCs/>
        </w:rPr>
        <w:t>ans et plus</w:t>
      </w:r>
    </w:p>
    <w:p w14:paraId="03B590B6" w14:textId="3A87E16F" w:rsidR="00092F83" w:rsidRPr="002B65F7" w:rsidRDefault="00C31740" w:rsidP="00496255">
      <w:pPr>
        <w:keepNext/>
        <w:widowControl/>
        <w:rPr>
          <w:b/>
          <w:bCs/>
        </w:rPr>
      </w:pPr>
      <w:r w:rsidRPr="002B65F7">
        <w:rPr>
          <w:b/>
          <w:bCs/>
        </w:rPr>
        <w:t>Psoriasis ou Rhumatisme psoriasique</w:t>
      </w:r>
    </w:p>
    <w:p w14:paraId="03B590B7" w14:textId="67F92777" w:rsidR="00092F83" w:rsidRPr="002B65F7" w:rsidRDefault="00C31740" w:rsidP="00814670">
      <w:pPr>
        <w:pStyle w:val="ListParagraph"/>
        <w:keepNext/>
        <w:widowControl/>
        <w:numPr>
          <w:ilvl w:val="1"/>
          <w:numId w:val="55"/>
        </w:numPr>
        <w:tabs>
          <w:tab w:val="left" w:pos="567"/>
        </w:tabs>
        <w:ind w:left="567" w:hanging="567"/>
      </w:pPr>
      <w:r w:rsidRPr="002B65F7">
        <w:t>La dose initiale recommandée est 45</w:t>
      </w:r>
      <w:r w:rsidR="00BA691E" w:rsidRPr="002B65F7">
        <w:t> </w:t>
      </w:r>
      <w:r w:rsidRPr="002B65F7">
        <w:t xml:space="preserve">mg de </w:t>
      </w:r>
      <w:r w:rsidR="00992314" w:rsidRPr="002B65F7">
        <w:t>WEZENLA</w:t>
      </w:r>
      <w:r w:rsidRPr="002B65F7">
        <w:t>. Pour les patients pesant plus de 100</w:t>
      </w:r>
      <w:r w:rsidR="00BA691E" w:rsidRPr="002B65F7">
        <w:t> </w:t>
      </w:r>
      <w:r w:rsidRPr="002B65F7">
        <w:t>kilogrammes (kg), la dose initiale est de 90</w:t>
      </w:r>
      <w:r w:rsidR="00BA691E" w:rsidRPr="002B65F7">
        <w:t> </w:t>
      </w:r>
      <w:r w:rsidRPr="002B65F7">
        <w:t>mg au lieu de 45</w:t>
      </w:r>
      <w:r w:rsidR="00BA691E" w:rsidRPr="002B65F7">
        <w:t> </w:t>
      </w:r>
      <w:r w:rsidRPr="002B65F7">
        <w:t>mg.</w:t>
      </w:r>
    </w:p>
    <w:p w14:paraId="03B590B8" w14:textId="6FB10DA3" w:rsidR="00092F83" w:rsidRPr="002B65F7" w:rsidRDefault="00C31740" w:rsidP="00814670">
      <w:pPr>
        <w:pStyle w:val="ListParagraph"/>
        <w:widowControl/>
        <w:numPr>
          <w:ilvl w:val="1"/>
          <w:numId w:val="55"/>
        </w:numPr>
        <w:tabs>
          <w:tab w:val="left" w:pos="567"/>
        </w:tabs>
        <w:ind w:left="567" w:hanging="567"/>
      </w:pPr>
      <w:r w:rsidRPr="002B65F7">
        <w:t>Après la dose initiale, vous recevrez la dose suivante 4 semaines après, puis ensuite toutes les 12</w:t>
      </w:r>
      <w:r w:rsidR="00BA691E" w:rsidRPr="002B65F7">
        <w:t> </w:t>
      </w:r>
      <w:r w:rsidRPr="002B65F7">
        <w:t>semaines. Les doses suivantes sont en général les mêmes que la dose initiale.</w:t>
      </w:r>
    </w:p>
    <w:p w14:paraId="5B17DE34" w14:textId="77777777" w:rsidR="00BA691E" w:rsidRPr="002B65F7" w:rsidRDefault="00BA691E" w:rsidP="00496255">
      <w:pPr>
        <w:widowControl/>
      </w:pPr>
    </w:p>
    <w:p w14:paraId="03B590B9" w14:textId="5C6BF0EC" w:rsidR="00092F83" w:rsidRPr="002B65F7" w:rsidRDefault="00C31740" w:rsidP="00496255">
      <w:pPr>
        <w:widowControl/>
        <w:rPr>
          <w:b/>
          <w:bCs/>
        </w:rPr>
      </w:pPr>
      <w:r w:rsidRPr="002B65F7">
        <w:rPr>
          <w:b/>
          <w:bCs/>
        </w:rPr>
        <w:t>Maladie de Crohn</w:t>
      </w:r>
    </w:p>
    <w:p w14:paraId="03B590BA" w14:textId="59FF2D03" w:rsidR="00092F83" w:rsidRPr="002B65F7" w:rsidRDefault="00C31740" w:rsidP="00814670">
      <w:pPr>
        <w:pStyle w:val="ListParagraph"/>
        <w:widowControl/>
        <w:numPr>
          <w:ilvl w:val="1"/>
          <w:numId w:val="56"/>
        </w:numPr>
        <w:tabs>
          <w:tab w:val="left" w:pos="567"/>
        </w:tabs>
        <w:ind w:left="567" w:hanging="567"/>
      </w:pPr>
      <w:r w:rsidRPr="002B65F7">
        <w:t>Pendant le traitement, la première dose d'environ 6</w:t>
      </w:r>
      <w:r w:rsidR="00BA691E" w:rsidRPr="002B65F7">
        <w:t> </w:t>
      </w:r>
      <w:r w:rsidRPr="002B65F7">
        <w:t xml:space="preserve">mg/kg de </w:t>
      </w:r>
      <w:r w:rsidR="00992314" w:rsidRPr="002B65F7">
        <w:t>WEZENLA</w:t>
      </w:r>
      <w:r w:rsidRPr="002B65F7">
        <w:t xml:space="preserve"> sera administrée par votre médecin à l’aide d’une perfusion dans une veine de votre bras (perfusion intraveineuse). Après la dose initiale, vous recevrez la dose suivante de 90</w:t>
      </w:r>
      <w:r w:rsidR="00BA691E" w:rsidRPr="002B65F7">
        <w:t> </w:t>
      </w:r>
      <w:r w:rsidRPr="002B65F7">
        <w:t xml:space="preserve">mg de </w:t>
      </w:r>
      <w:r w:rsidR="00992314" w:rsidRPr="002B65F7">
        <w:t>WEZENLA</w:t>
      </w:r>
      <w:r w:rsidRPr="002B65F7">
        <w:t xml:space="preserve"> par une injection sous la peau (« sous-cutanée ») après 8 semaines, puis toutes les 12</w:t>
      </w:r>
      <w:r w:rsidR="00BA691E" w:rsidRPr="002B65F7">
        <w:t> </w:t>
      </w:r>
      <w:r w:rsidRPr="002B65F7">
        <w:t>semaines par la suite.</w:t>
      </w:r>
    </w:p>
    <w:p w14:paraId="03B590BB" w14:textId="08E34D02" w:rsidR="00092F83" w:rsidRPr="002B65F7" w:rsidRDefault="00C31740" w:rsidP="00814670">
      <w:pPr>
        <w:pStyle w:val="ListParagraph"/>
        <w:widowControl/>
        <w:numPr>
          <w:ilvl w:val="1"/>
          <w:numId w:val="56"/>
        </w:numPr>
        <w:tabs>
          <w:tab w:val="left" w:pos="567"/>
        </w:tabs>
        <w:ind w:left="567" w:hanging="567"/>
      </w:pPr>
      <w:r w:rsidRPr="002B65F7">
        <w:t xml:space="preserve">Chez certains patients, après la première injection sous la peau, </w:t>
      </w:r>
      <w:r w:rsidR="00992314" w:rsidRPr="002B65F7">
        <w:t>WEZENLA</w:t>
      </w:r>
      <w:r w:rsidRPr="002B65F7">
        <w:t xml:space="preserve"> 90</w:t>
      </w:r>
      <w:r w:rsidR="00BA691E" w:rsidRPr="002B65F7">
        <w:t> </w:t>
      </w:r>
      <w:r w:rsidRPr="002B65F7">
        <w:t>mg peut être administré toutes les 8</w:t>
      </w:r>
      <w:r w:rsidR="00BA691E" w:rsidRPr="002B65F7">
        <w:t> </w:t>
      </w:r>
      <w:r w:rsidRPr="002B65F7">
        <w:t>semaines. Votre médecin décidera quand vous devez recevoir votre prochaine dose.</w:t>
      </w:r>
    </w:p>
    <w:p w14:paraId="770FCED5" w14:textId="77777777" w:rsidR="00BA691E" w:rsidRPr="002B65F7" w:rsidRDefault="00BA691E" w:rsidP="00496255">
      <w:pPr>
        <w:widowControl/>
      </w:pPr>
    </w:p>
    <w:p w14:paraId="47F5546D" w14:textId="77777777" w:rsidR="00BA691E" w:rsidRPr="002B65F7" w:rsidRDefault="00C31740" w:rsidP="00496255">
      <w:pPr>
        <w:keepNext/>
        <w:widowControl/>
        <w:rPr>
          <w:b/>
          <w:bCs/>
        </w:rPr>
      </w:pPr>
      <w:r w:rsidRPr="002B65F7">
        <w:rPr>
          <w:b/>
          <w:bCs/>
        </w:rPr>
        <w:lastRenderedPageBreak/>
        <w:t>Enfants et adolescents âgés de 6 ans ou plus</w:t>
      </w:r>
    </w:p>
    <w:p w14:paraId="03B590BC" w14:textId="7F67B0C4" w:rsidR="00092F83" w:rsidRPr="002B65F7" w:rsidRDefault="00C31740" w:rsidP="00496255">
      <w:pPr>
        <w:keepNext/>
        <w:widowControl/>
        <w:rPr>
          <w:b/>
          <w:bCs/>
        </w:rPr>
      </w:pPr>
      <w:r w:rsidRPr="002B65F7">
        <w:rPr>
          <w:b/>
          <w:bCs/>
        </w:rPr>
        <w:t>Psoriasis</w:t>
      </w:r>
    </w:p>
    <w:p w14:paraId="03B590BD" w14:textId="196EB974" w:rsidR="00092F83" w:rsidRPr="002B65F7" w:rsidRDefault="00C31740" w:rsidP="00814670">
      <w:pPr>
        <w:pStyle w:val="ListParagraph"/>
        <w:widowControl/>
        <w:numPr>
          <w:ilvl w:val="1"/>
          <w:numId w:val="57"/>
        </w:numPr>
        <w:tabs>
          <w:tab w:val="left" w:pos="567"/>
        </w:tabs>
        <w:ind w:left="567" w:hanging="567"/>
      </w:pPr>
      <w:r w:rsidRPr="002B65F7">
        <w:t xml:space="preserve">Votre médecin établira la bonne dose pour vous, y compris la quantité (le volume) de </w:t>
      </w:r>
      <w:r w:rsidR="00992314" w:rsidRPr="002B65F7">
        <w:t>WEZENLA</w:t>
      </w:r>
      <w:r w:rsidRPr="002B65F7">
        <w:t xml:space="preserve"> devant être injectée pour obtenir la bonne dose qui dépendra de votre poids au moment de chaque administration.</w:t>
      </w:r>
    </w:p>
    <w:p w14:paraId="03B590BE" w14:textId="2B19F424" w:rsidR="00092F83" w:rsidRPr="002B65F7" w:rsidRDefault="00C31740" w:rsidP="00814670">
      <w:pPr>
        <w:pStyle w:val="ListParagraph"/>
        <w:widowControl/>
        <w:numPr>
          <w:ilvl w:val="1"/>
          <w:numId w:val="57"/>
        </w:numPr>
        <w:tabs>
          <w:tab w:val="left" w:pos="567"/>
        </w:tabs>
        <w:ind w:left="567" w:hanging="567"/>
      </w:pPr>
      <w:r w:rsidRPr="002B65F7">
        <w:t>Un flacon de 45</w:t>
      </w:r>
      <w:r w:rsidR="008C65B1" w:rsidRPr="002B65F7">
        <w:t> </w:t>
      </w:r>
      <w:r w:rsidRPr="002B65F7">
        <w:t>mg est disponible pour les enfants qui doivent recevoir moins que la dose complète de 45</w:t>
      </w:r>
      <w:r w:rsidR="008C65B1" w:rsidRPr="002B65F7">
        <w:t> </w:t>
      </w:r>
      <w:r w:rsidRPr="002B65F7">
        <w:t>mg.</w:t>
      </w:r>
    </w:p>
    <w:p w14:paraId="03B590BF" w14:textId="2CD09D40" w:rsidR="00092F83" w:rsidRPr="002B65F7" w:rsidRDefault="00C31740" w:rsidP="00814670">
      <w:pPr>
        <w:pStyle w:val="ListParagraph"/>
        <w:widowControl/>
        <w:numPr>
          <w:ilvl w:val="1"/>
          <w:numId w:val="57"/>
        </w:numPr>
        <w:tabs>
          <w:tab w:val="left" w:pos="567"/>
        </w:tabs>
        <w:ind w:left="567" w:hanging="567"/>
      </w:pPr>
      <w:r w:rsidRPr="002B65F7">
        <w:t>Si vous pesez moins de 60</w:t>
      </w:r>
      <w:r w:rsidR="008C65B1" w:rsidRPr="002B65F7">
        <w:t> </w:t>
      </w:r>
      <w:r w:rsidRPr="002B65F7">
        <w:t>kg, la dose recommandée est de 0,75</w:t>
      </w:r>
      <w:r w:rsidR="008C65B1" w:rsidRPr="002B65F7">
        <w:t> </w:t>
      </w:r>
      <w:r w:rsidRPr="002B65F7">
        <w:t xml:space="preserve">mg de </w:t>
      </w:r>
      <w:r w:rsidR="00992314" w:rsidRPr="002B65F7">
        <w:t>WEZENLA</w:t>
      </w:r>
      <w:r w:rsidRPr="002B65F7">
        <w:t xml:space="preserve"> par kg de poids corporel.</w:t>
      </w:r>
    </w:p>
    <w:p w14:paraId="03B590C0" w14:textId="1947E8DB" w:rsidR="00092F83" w:rsidRPr="002B65F7" w:rsidRDefault="00C31740" w:rsidP="00814670">
      <w:pPr>
        <w:pStyle w:val="ListParagraph"/>
        <w:widowControl/>
        <w:numPr>
          <w:ilvl w:val="1"/>
          <w:numId w:val="57"/>
        </w:numPr>
        <w:tabs>
          <w:tab w:val="left" w:pos="567"/>
        </w:tabs>
        <w:ind w:left="567" w:hanging="567"/>
      </w:pPr>
      <w:r w:rsidRPr="002B65F7">
        <w:t>Si vous pesez de 60</w:t>
      </w:r>
      <w:r w:rsidR="008C65B1" w:rsidRPr="002B65F7">
        <w:t> </w:t>
      </w:r>
      <w:r w:rsidRPr="002B65F7">
        <w:t>kg à 100</w:t>
      </w:r>
      <w:r w:rsidR="008C65B1" w:rsidRPr="002B65F7">
        <w:t> </w:t>
      </w:r>
      <w:r w:rsidRPr="002B65F7">
        <w:t>kg, la dose recommandée est de 45</w:t>
      </w:r>
      <w:r w:rsidR="008C65B1" w:rsidRPr="002B65F7">
        <w:t> </w:t>
      </w:r>
      <w:r w:rsidRPr="002B65F7">
        <w:t xml:space="preserve">mg de </w:t>
      </w:r>
      <w:r w:rsidR="00992314" w:rsidRPr="002B65F7">
        <w:t>WEZENLA</w:t>
      </w:r>
      <w:r w:rsidRPr="002B65F7">
        <w:t>.</w:t>
      </w:r>
    </w:p>
    <w:p w14:paraId="03B590C2" w14:textId="4540765D" w:rsidR="00092F83" w:rsidRPr="002B65F7" w:rsidRDefault="00C31740" w:rsidP="00814670">
      <w:pPr>
        <w:pStyle w:val="ListParagraph"/>
        <w:widowControl/>
        <w:numPr>
          <w:ilvl w:val="1"/>
          <w:numId w:val="57"/>
        </w:numPr>
        <w:tabs>
          <w:tab w:val="left" w:pos="567"/>
        </w:tabs>
        <w:ind w:left="567" w:hanging="567"/>
      </w:pPr>
      <w:r w:rsidRPr="002B65F7">
        <w:t>Si vous pesez plus de 100</w:t>
      </w:r>
      <w:r w:rsidR="008C65B1" w:rsidRPr="002B65F7">
        <w:t> </w:t>
      </w:r>
      <w:r w:rsidRPr="002B65F7">
        <w:t>kg, la dose recommandée est de 90</w:t>
      </w:r>
      <w:r w:rsidR="008C65B1" w:rsidRPr="002B65F7">
        <w:t> </w:t>
      </w:r>
      <w:r w:rsidRPr="002B65F7">
        <w:t xml:space="preserve">mg de </w:t>
      </w:r>
      <w:r w:rsidR="00992314" w:rsidRPr="002B65F7">
        <w:t>WEZENLA</w:t>
      </w:r>
      <w:r w:rsidRPr="002B65F7">
        <w:t>.</w:t>
      </w:r>
    </w:p>
    <w:p w14:paraId="03B590C3" w14:textId="6CA6FBC0" w:rsidR="00092F83" w:rsidRPr="002B65F7" w:rsidRDefault="00C31740" w:rsidP="00814670">
      <w:pPr>
        <w:pStyle w:val="ListParagraph"/>
        <w:widowControl/>
        <w:numPr>
          <w:ilvl w:val="1"/>
          <w:numId w:val="57"/>
        </w:numPr>
        <w:tabs>
          <w:tab w:val="left" w:pos="567"/>
        </w:tabs>
        <w:ind w:left="567" w:hanging="567"/>
      </w:pPr>
      <w:r w:rsidRPr="002B65F7">
        <w:t>La dose suivante sera à administrer 4 semaines après la dose initiale, puis toutes les 12</w:t>
      </w:r>
      <w:r w:rsidR="0098089A">
        <w:t> </w:t>
      </w:r>
      <w:r w:rsidRPr="002B65F7">
        <w:t>semaines.</w:t>
      </w:r>
    </w:p>
    <w:p w14:paraId="4DD15C98" w14:textId="77777777" w:rsidR="00B652F2" w:rsidRDefault="00B652F2" w:rsidP="00B652F2">
      <w:pPr>
        <w:rPr>
          <w:noProof/>
          <w:lang w:eastAsia="nl-BE"/>
        </w:rPr>
      </w:pPr>
    </w:p>
    <w:p w14:paraId="73DA20C3" w14:textId="77777777" w:rsidR="00B652F2" w:rsidRPr="003743BD" w:rsidRDefault="00B652F2" w:rsidP="00B652F2">
      <w:pPr>
        <w:keepNext/>
        <w:rPr>
          <w:b/>
          <w:bCs/>
          <w:noProof/>
        </w:rPr>
      </w:pPr>
      <w:r w:rsidRPr="003743BD">
        <w:rPr>
          <w:b/>
          <w:bCs/>
          <w:noProof/>
        </w:rPr>
        <w:t>Enfants pesant au moins 40 kg</w:t>
      </w:r>
    </w:p>
    <w:p w14:paraId="1227C81D" w14:textId="77777777" w:rsidR="00B652F2" w:rsidRPr="003743BD" w:rsidRDefault="00B652F2" w:rsidP="00B652F2">
      <w:pPr>
        <w:keepNext/>
        <w:rPr>
          <w:b/>
          <w:bCs/>
          <w:noProof/>
        </w:rPr>
      </w:pPr>
      <w:r w:rsidRPr="003743BD">
        <w:rPr>
          <w:b/>
          <w:bCs/>
          <w:noProof/>
        </w:rPr>
        <w:t>Maladie de Crohn</w:t>
      </w:r>
    </w:p>
    <w:p w14:paraId="1B34A9F9" w14:textId="7A802705" w:rsidR="00B652F2" w:rsidRPr="0057675F" w:rsidRDefault="00B652F2" w:rsidP="003743BD">
      <w:pPr>
        <w:widowControl/>
        <w:numPr>
          <w:ilvl w:val="0"/>
          <w:numId w:val="81"/>
        </w:numPr>
        <w:tabs>
          <w:tab w:val="left" w:pos="567"/>
        </w:tabs>
        <w:suppressAutoHyphens/>
        <w:autoSpaceDE/>
        <w:autoSpaceDN/>
        <w:ind w:left="567" w:hanging="567"/>
        <w:rPr>
          <w:noProof/>
          <w:lang w:val="fr-BE" w:eastAsia="nl-BE"/>
        </w:rPr>
      </w:pPr>
      <w:r w:rsidRPr="0057675F">
        <w:rPr>
          <w:noProof/>
          <w:lang w:val="fr-BE" w:eastAsia="nl-BE"/>
        </w:rPr>
        <w:t xml:space="preserve">Pendant le traitement, la première dose d'environ 6 mg/kg de </w:t>
      </w:r>
      <w:r w:rsidR="00967544">
        <w:rPr>
          <w:noProof/>
          <w:lang w:val="fr-BE" w:eastAsia="nl-BE"/>
        </w:rPr>
        <w:t>WEZENLA</w:t>
      </w:r>
      <w:r w:rsidRPr="0057675F">
        <w:rPr>
          <w:noProof/>
          <w:lang w:val="fr-BE" w:eastAsia="nl-BE"/>
        </w:rPr>
        <w:t xml:space="preserve"> sera administrée par votre médecin à l’aide d’une perfusion dans une veine de votre bras (perfusion intraveineuse). Après la dose initiale, vous recevrez la dose suivante de 90 mg de </w:t>
      </w:r>
      <w:r w:rsidR="00DF77F1">
        <w:rPr>
          <w:noProof/>
          <w:lang w:val="fr-BE" w:eastAsia="nl-BE"/>
        </w:rPr>
        <w:t>WEZENLA</w:t>
      </w:r>
      <w:r w:rsidRPr="0057675F">
        <w:rPr>
          <w:noProof/>
          <w:lang w:val="fr-BE" w:eastAsia="nl-BE"/>
        </w:rPr>
        <w:t xml:space="preserve"> par une injection sous la peau (« sous-cutanée ») après 8 semaines, puis toutes les 12 semaines par la suite.</w:t>
      </w:r>
    </w:p>
    <w:p w14:paraId="4E697A17" w14:textId="46E4B87E" w:rsidR="00B652F2" w:rsidRPr="0057675F" w:rsidRDefault="00B652F2" w:rsidP="003743BD">
      <w:pPr>
        <w:widowControl/>
        <w:numPr>
          <w:ilvl w:val="0"/>
          <w:numId w:val="81"/>
        </w:numPr>
        <w:tabs>
          <w:tab w:val="left" w:pos="567"/>
        </w:tabs>
        <w:suppressAutoHyphens/>
        <w:autoSpaceDE/>
        <w:autoSpaceDN/>
        <w:ind w:left="567" w:hanging="567"/>
        <w:rPr>
          <w:noProof/>
          <w:lang w:val="fr-BE" w:eastAsia="nl-BE"/>
        </w:rPr>
      </w:pPr>
      <w:r w:rsidRPr="0057675F">
        <w:rPr>
          <w:noProof/>
          <w:lang w:val="fr-BE" w:eastAsia="nl-BE"/>
        </w:rPr>
        <w:t xml:space="preserve">Chez certains patients, après la première injection sous la peau, </w:t>
      </w:r>
      <w:r w:rsidR="00967544">
        <w:rPr>
          <w:noProof/>
          <w:lang w:val="fr-BE" w:eastAsia="nl-BE"/>
        </w:rPr>
        <w:t>WEZENLA</w:t>
      </w:r>
      <w:r w:rsidRPr="0057675F">
        <w:rPr>
          <w:noProof/>
          <w:lang w:val="fr-BE" w:eastAsia="nl-BE"/>
        </w:rPr>
        <w:t xml:space="preserve"> 90 mg peut être administré toutes les 8 semaines. Votre médecin décidera quand vous devez recevoir votre prochaine dose.</w:t>
      </w:r>
    </w:p>
    <w:p w14:paraId="368DD1CB" w14:textId="77777777" w:rsidR="008C65B1" w:rsidRPr="003743BD" w:rsidRDefault="008C65B1" w:rsidP="00496255">
      <w:pPr>
        <w:widowControl/>
        <w:rPr>
          <w:b/>
          <w:bCs/>
          <w:lang w:val="fr-BE"/>
        </w:rPr>
      </w:pPr>
    </w:p>
    <w:p w14:paraId="03B590C4" w14:textId="6CC709EF" w:rsidR="00092F83" w:rsidRPr="002B65F7" w:rsidRDefault="00C31740" w:rsidP="00496255">
      <w:pPr>
        <w:keepNext/>
        <w:widowControl/>
        <w:rPr>
          <w:b/>
          <w:bCs/>
        </w:rPr>
      </w:pPr>
      <w:r w:rsidRPr="002B65F7">
        <w:rPr>
          <w:b/>
          <w:bCs/>
        </w:rPr>
        <w:t xml:space="preserve">Comment </w:t>
      </w:r>
      <w:r w:rsidR="00992314" w:rsidRPr="002B65F7">
        <w:rPr>
          <w:b/>
          <w:bCs/>
        </w:rPr>
        <w:t>WEZENLA</w:t>
      </w:r>
      <w:r w:rsidRPr="002B65F7">
        <w:rPr>
          <w:b/>
          <w:bCs/>
        </w:rPr>
        <w:t xml:space="preserve"> est administré</w:t>
      </w:r>
    </w:p>
    <w:p w14:paraId="03B590C5" w14:textId="504D5FDE" w:rsidR="00092F83" w:rsidRPr="002B65F7" w:rsidRDefault="00992314" w:rsidP="00814670">
      <w:pPr>
        <w:pStyle w:val="ListParagraph"/>
        <w:keepNext/>
        <w:widowControl/>
        <w:numPr>
          <w:ilvl w:val="1"/>
          <w:numId w:val="58"/>
        </w:numPr>
        <w:tabs>
          <w:tab w:val="left" w:pos="567"/>
        </w:tabs>
        <w:ind w:left="567" w:hanging="567"/>
      </w:pPr>
      <w:r w:rsidRPr="002B65F7">
        <w:t>WEZENLA</w:t>
      </w:r>
      <w:r w:rsidR="00C31740" w:rsidRPr="002B65F7">
        <w:t xml:space="preserve"> est administré par injection sous la peau (« sous-cutanée »). Au début de votre traitement, le personnel médical ou une infirmière pourra réaliser l’injection de </w:t>
      </w:r>
      <w:r w:rsidRPr="002B65F7">
        <w:t>WEZENLA</w:t>
      </w:r>
      <w:r w:rsidR="00C31740" w:rsidRPr="002B65F7">
        <w:t>.</w:t>
      </w:r>
    </w:p>
    <w:p w14:paraId="03B590C6" w14:textId="3B3EB798" w:rsidR="00092F83" w:rsidRPr="002B65F7" w:rsidRDefault="00C31740" w:rsidP="00814670">
      <w:pPr>
        <w:pStyle w:val="ListParagraph"/>
        <w:keepNext/>
        <w:widowControl/>
        <w:numPr>
          <w:ilvl w:val="1"/>
          <w:numId w:val="58"/>
        </w:numPr>
        <w:tabs>
          <w:tab w:val="left" w:pos="567"/>
        </w:tabs>
        <w:ind w:left="567" w:hanging="567"/>
      </w:pPr>
      <w:r w:rsidRPr="002B65F7">
        <w:t xml:space="preserve">Cependant, vous et votre médecin pouvez décider que vous réaliserez vous-même vos injections de </w:t>
      </w:r>
      <w:r w:rsidR="00992314" w:rsidRPr="002B65F7">
        <w:t>WEZENLA</w:t>
      </w:r>
      <w:r w:rsidRPr="002B65F7">
        <w:t xml:space="preserve">. Dans ce cas vous recevrez une formation qui vous apprendra comment vous injecter </w:t>
      </w:r>
      <w:r w:rsidR="00992314" w:rsidRPr="002B65F7">
        <w:t>WEZENLA</w:t>
      </w:r>
      <w:r w:rsidRPr="002B65F7">
        <w:t xml:space="preserve"> vous-même.</w:t>
      </w:r>
    </w:p>
    <w:p w14:paraId="03B590C7" w14:textId="09539AE8" w:rsidR="00092F83" w:rsidRPr="002B65F7" w:rsidRDefault="00C31740" w:rsidP="00814670">
      <w:pPr>
        <w:pStyle w:val="ListParagraph"/>
        <w:widowControl/>
        <w:numPr>
          <w:ilvl w:val="1"/>
          <w:numId w:val="58"/>
        </w:numPr>
        <w:tabs>
          <w:tab w:val="left" w:pos="567"/>
        </w:tabs>
        <w:ind w:left="567" w:hanging="567"/>
      </w:pPr>
      <w:r w:rsidRPr="002B65F7">
        <w:t xml:space="preserve">Pour les instructions sur comment injecter </w:t>
      </w:r>
      <w:r w:rsidR="00992314" w:rsidRPr="002B65F7">
        <w:t>WEZENLA</w:t>
      </w:r>
      <w:r w:rsidRPr="002B65F7">
        <w:t>, consultez la rubrique « Instructions pour l’</w:t>
      </w:r>
      <w:r w:rsidR="00992314" w:rsidRPr="002B65F7">
        <w:t>utilis</w:t>
      </w:r>
      <w:r w:rsidRPr="002B65F7">
        <w:t>ation » à la fin de cette notice.</w:t>
      </w:r>
    </w:p>
    <w:p w14:paraId="03B590C8" w14:textId="7784F35D" w:rsidR="00092F83" w:rsidRPr="002B65F7" w:rsidRDefault="00C31740" w:rsidP="00496255">
      <w:pPr>
        <w:widowControl/>
      </w:pPr>
      <w:r w:rsidRPr="002B65F7">
        <w:t xml:space="preserve">Parlez à votre médecin de toute question sur l’auto-injection de </w:t>
      </w:r>
      <w:r w:rsidR="00992314" w:rsidRPr="002B65F7">
        <w:t>WEZENLA</w:t>
      </w:r>
      <w:r w:rsidRPr="002B65F7">
        <w:t>.</w:t>
      </w:r>
    </w:p>
    <w:p w14:paraId="1583909C" w14:textId="77777777" w:rsidR="008C65B1" w:rsidRPr="002B65F7" w:rsidRDefault="008C65B1" w:rsidP="00496255">
      <w:pPr>
        <w:widowControl/>
      </w:pPr>
    </w:p>
    <w:p w14:paraId="03B590C9" w14:textId="3C3A1C85" w:rsidR="00092F83" w:rsidRPr="002B65F7" w:rsidRDefault="00C31740" w:rsidP="00496255">
      <w:pPr>
        <w:keepNext/>
        <w:widowControl/>
        <w:rPr>
          <w:b/>
          <w:bCs/>
        </w:rPr>
      </w:pPr>
      <w:r w:rsidRPr="002B65F7">
        <w:rPr>
          <w:b/>
          <w:bCs/>
        </w:rPr>
        <w:t xml:space="preserve">Si vous avez utilisé plus de </w:t>
      </w:r>
      <w:r w:rsidR="00992314" w:rsidRPr="002B65F7">
        <w:rPr>
          <w:b/>
          <w:bCs/>
        </w:rPr>
        <w:t>WEZENLA</w:t>
      </w:r>
      <w:r w:rsidRPr="002B65F7">
        <w:rPr>
          <w:b/>
          <w:bCs/>
        </w:rPr>
        <w:t xml:space="preserve"> que vous n’auriez dû</w:t>
      </w:r>
    </w:p>
    <w:p w14:paraId="03B590CA" w14:textId="696483C7" w:rsidR="00092F83" w:rsidRPr="002B65F7" w:rsidRDefault="00C31740" w:rsidP="00496255">
      <w:pPr>
        <w:widowControl/>
      </w:pPr>
      <w:r w:rsidRPr="002B65F7">
        <w:t xml:space="preserve">Si vous avez utilisé plus de </w:t>
      </w:r>
      <w:r w:rsidR="00992314" w:rsidRPr="002B65F7">
        <w:t>WEZENLA</w:t>
      </w:r>
      <w:r w:rsidRPr="002B65F7">
        <w:t xml:space="preserve"> ou si vous en avez trop reçu, parlez-en immédiatement à un médecin ou un pharmacien. Gardez toujours sur vous l’emballage extérieur, même s’il est vide.</w:t>
      </w:r>
    </w:p>
    <w:p w14:paraId="483A920B" w14:textId="77777777" w:rsidR="008C65B1" w:rsidRPr="002B65F7" w:rsidRDefault="008C65B1" w:rsidP="00496255">
      <w:pPr>
        <w:widowControl/>
        <w:rPr>
          <w:b/>
          <w:bCs/>
        </w:rPr>
      </w:pPr>
    </w:p>
    <w:p w14:paraId="03B590CB" w14:textId="02B90A23" w:rsidR="00092F83" w:rsidRPr="002B65F7" w:rsidRDefault="00C31740" w:rsidP="00496255">
      <w:pPr>
        <w:keepNext/>
        <w:widowControl/>
        <w:rPr>
          <w:b/>
          <w:bCs/>
        </w:rPr>
      </w:pPr>
      <w:r w:rsidRPr="002B65F7">
        <w:rPr>
          <w:b/>
          <w:bCs/>
        </w:rPr>
        <w:t xml:space="preserve">Si vous oubliez d’utiliser </w:t>
      </w:r>
      <w:r w:rsidR="00992314" w:rsidRPr="002B65F7">
        <w:rPr>
          <w:b/>
          <w:bCs/>
        </w:rPr>
        <w:t>WEZENLA</w:t>
      </w:r>
    </w:p>
    <w:p w14:paraId="03B590CC" w14:textId="77777777" w:rsidR="00092F83" w:rsidRPr="002B65F7" w:rsidRDefault="00C31740" w:rsidP="00496255">
      <w:pPr>
        <w:widowControl/>
      </w:pPr>
      <w:r w:rsidRPr="002B65F7">
        <w:t>Si vous oubliez une dose, contactez votre médecin ou pharmacien. Ne prenez pas de dose double pour compenser la dose que vous avez oublié de prendre.</w:t>
      </w:r>
    </w:p>
    <w:p w14:paraId="789B85FF" w14:textId="77777777" w:rsidR="00AC00E6" w:rsidRPr="002B65F7" w:rsidRDefault="00AC00E6" w:rsidP="00496255">
      <w:pPr>
        <w:widowControl/>
        <w:rPr>
          <w:b/>
          <w:bCs/>
        </w:rPr>
      </w:pPr>
    </w:p>
    <w:p w14:paraId="03B590CD" w14:textId="500A8F28" w:rsidR="00092F83" w:rsidRPr="002B65F7" w:rsidRDefault="00C31740" w:rsidP="00496255">
      <w:pPr>
        <w:keepNext/>
        <w:widowControl/>
        <w:rPr>
          <w:b/>
          <w:bCs/>
        </w:rPr>
      </w:pPr>
      <w:r w:rsidRPr="002B65F7">
        <w:rPr>
          <w:b/>
          <w:bCs/>
        </w:rPr>
        <w:t xml:space="preserve">Si vous arrêtez d’utiliser </w:t>
      </w:r>
      <w:r w:rsidR="00992314" w:rsidRPr="002B65F7">
        <w:rPr>
          <w:b/>
          <w:bCs/>
        </w:rPr>
        <w:t>WEZENLA</w:t>
      </w:r>
    </w:p>
    <w:p w14:paraId="03B590CE" w14:textId="11C9CE39" w:rsidR="00092F83" w:rsidRPr="002B65F7" w:rsidRDefault="00C31740" w:rsidP="00496255">
      <w:pPr>
        <w:widowControl/>
      </w:pPr>
      <w:r w:rsidRPr="002B65F7">
        <w:t xml:space="preserve">Il n’est pas dangereux d’arrêter d’utiliser </w:t>
      </w:r>
      <w:r w:rsidR="00992314" w:rsidRPr="002B65F7">
        <w:t>WEZENLA</w:t>
      </w:r>
      <w:r w:rsidRPr="002B65F7">
        <w:t>. Cependant, si vous arrêtez, vos symptômes peuvent revenir.</w:t>
      </w:r>
    </w:p>
    <w:p w14:paraId="551DD498" w14:textId="77777777" w:rsidR="00AC00E6" w:rsidRPr="002B65F7" w:rsidRDefault="00AC00E6" w:rsidP="00496255">
      <w:pPr>
        <w:widowControl/>
      </w:pPr>
    </w:p>
    <w:p w14:paraId="03B590CF" w14:textId="017087FE" w:rsidR="00092F83" w:rsidRPr="002B65F7" w:rsidRDefault="00C31740" w:rsidP="00496255">
      <w:pPr>
        <w:widowControl/>
      </w:pPr>
      <w:r w:rsidRPr="002B65F7">
        <w:t>Si vous avez d’autres questions sur l’utilisation de ce médicament, demandez plus d’informations à votre médecin ou à votre pharmacien.</w:t>
      </w:r>
    </w:p>
    <w:p w14:paraId="03B590D0" w14:textId="77777777" w:rsidR="00092F83" w:rsidRPr="002B65F7" w:rsidRDefault="00092F83" w:rsidP="00496255">
      <w:pPr>
        <w:widowControl/>
      </w:pPr>
    </w:p>
    <w:p w14:paraId="03B590D1" w14:textId="77777777" w:rsidR="00092F83" w:rsidRPr="002B65F7" w:rsidRDefault="00092F83" w:rsidP="00496255">
      <w:pPr>
        <w:widowControl/>
      </w:pPr>
    </w:p>
    <w:p w14:paraId="03B590D2" w14:textId="5DABADFC" w:rsidR="00092F83" w:rsidRPr="002B65F7" w:rsidRDefault="00AC00E6" w:rsidP="00496255">
      <w:pPr>
        <w:keepNext/>
        <w:widowControl/>
        <w:tabs>
          <w:tab w:val="left" w:pos="567"/>
        </w:tabs>
        <w:ind w:left="567" w:hanging="567"/>
        <w:rPr>
          <w:b/>
          <w:bCs/>
        </w:rPr>
      </w:pPr>
      <w:r w:rsidRPr="002B65F7">
        <w:rPr>
          <w:b/>
          <w:bCs/>
        </w:rPr>
        <w:t>4.</w:t>
      </w:r>
      <w:r w:rsidRPr="002B65F7">
        <w:rPr>
          <w:b/>
          <w:bCs/>
        </w:rPr>
        <w:tab/>
      </w:r>
      <w:r w:rsidR="00C31740" w:rsidRPr="002B65F7">
        <w:rPr>
          <w:b/>
          <w:bCs/>
        </w:rPr>
        <w:t>Quels sont les effets indésirables éventuels ?</w:t>
      </w:r>
    </w:p>
    <w:p w14:paraId="5D450627" w14:textId="77777777" w:rsidR="00AC00E6" w:rsidRPr="002B65F7" w:rsidRDefault="00AC00E6" w:rsidP="00496255">
      <w:pPr>
        <w:keepNext/>
        <w:widowControl/>
        <w:rPr>
          <w:b/>
          <w:bCs/>
        </w:rPr>
      </w:pPr>
    </w:p>
    <w:p w14:paraId="03B590D3" w14:textId="77777777" w:rsidR="00092F83" w:rsidRPr="002B65F7" w:rsidRDefault="00C31740" w:rsidP="00496255">
      <w:pPr>
        <w:widowControl/>
      </w:pPr>
      <w:r w:rsidRPr="002B65F7">
        <w:t>Comme tous les médicaments, ce médicament peut provoquer des effets indésirables, mais ils ne surviennent pas systématiquement chez tout le monde.</w:t>
      </w:r>
    </w:p>
    <w:p w14:paraId="03B590D4" w14:textId="77777777" w:rsidR="00092F83" w:rsidRPr="002B65F7" w:rsidRDefault="00092F83" w:rsidP="00496255">
      <w:pPr>
        <w:widowControl/>
      </w:pPr>
    </w:p>
    <w:p w14:paraId="03B590D5" w14:textId="77777777" w:rsidR="00092F83" w:rsidRPr="002B65F7" w:rsidRDefault="00C31740" w:rsidP="00496255">
      <w:pPr>
        <w:keepNext/>
        <w:widowControl/>
        <w:rPr>
          <w:b/>
          <w:bCs/>
        </w:rPr>
      </w:pPr>
      <w:r w:rsidRPr="002B65F7">
        <w:rPr>
          <w:b/>
          <w:bCs/>
        </w:rPr>
        <w:lastRenderedPageBreak/>
        <w:t>Effets indésirables graves</w:t>
      </w:r>
    </w:p>
    <w:p w14:paraId="03B590D6" w14:textId="77777777" w:rsidR="00092F83" w:rsidRPr="002B65F7" w:rsidRDefault="00C31740" w:rsidP="00496255">
      <w:pPr>
        <w:widowControl/>
      </w:pPr>
      <w:r w:rsidRPr="002B65F7">
        <w:t>Certains patients peuvent avoir des effets indésirables graves qui peuvent nécessiter un traitement urgent.</w:t>
      </w:r>
    </w:p>
    <w:p w14:paraId="69BEC03E" w14:textId="77777777" w:rsidR="00AC00E6" w:rsidRPr="002B65F7" w:rsidRDefault="00AC00E6" w:rsidP="00496255">
      <w:pPr>
        <w:widowControl/>
      </w:pPr>
    </w:p>
    <w:p w14:paraId="03B590D7" w14:textId="6ADADF8B" w:rsidR="00092F83" w:rsidRPr="002B65F7" w:rsidRDefault="00C31740" w:rsidP="00496255">
      <w:pPr>
        <w:widowControl/>
        <w:rPr>
          <w:b/>
          <w:bCs/>
        </w:rPr>
      </w:pPr>
      <w:r w:rsidRPr="002B65F7">
        <w:rPr>
          <w:b/>
          <w:bCs/>
        </w:rPr>
        <w:t>Réactions allergiques – elles peuvent nécessiter un traitement urgent. Informez votre médecin ou cherchez immédiatement une aide médicale d’urgence si vous constatez l’un des signes suivants.</w:t>
      </w:r>
    </w:p>
    <w:p w14:paraId="03B590D8" w14:textId="61CA9AE8" w:rsidR="00092F83" w:rsidRPr="002B65F7" w:rsidRDefault="00C31740" w:rsidP="00814670">
      <w:pPr>
        <w:pStyle w:val="ListParagraph"/>
        <w:widowControl/>
        <w:numPr>
          <w:ilvl w:val="1"/>
          <w:numId w:val="59"/>
        </w:numPr>
        <w:tabs>
          <w:tab w:val="left" w:pos="567"/>
        </w:tabs>
        <w:ind w:left="567" w:hanging="567"/>
      </w:pPr>
      <w:r w:rsidRPr="002B65F7">
        <w:t xml:space="preserve">Les réactions allergiques graves (anaphylaxie) sont rares chez les personnes prenant </w:t>
      </w:r>
      <w:r w:rsidR="00992314" w:rsidRPr="002B65F7">
        <w:t>de l’</w:t>
      </w:r>
      <w:r w:rsidR="0071390F" w:rsidRPr="002B65F7">
        <w:t>ustekinumab</w:t>
      </w:r>
      <w:r w:rsidRPr="002B65F7">
        <w:t xml:space="preserve"> (peuvent affecter jusqu’à 1 personne sur 1</w:t>
      </w:r>
      <w:r w:rsidR="0005129B" w:rsidRPr="002B65F7">
        <w:t> </w:t>
      </w:r>
      <w:r w:rsidRPr="002B65F7">
        <w:t>000). Les signes incluent :</w:t>
      </w:r>
    </w:p>
    <w:p w14:paraId="03B590D9" w14:textId="49B57395" w:rsidR="00092F83" w:rsidRPr="002B65F7" w:rsidRDefault="0005129B" w:rsidP="00496255">
      <w:pPr>
        <w:widowControl/>
        <w:ind w:left="1134" w:hanging="567"/>
      </w:pPr>
      <w:r w:rsidRPr="002B65F7">
        <w:t>-</w:t>
      </w:r>
      <w:r w:rsidRPr="002B65F7">
        <w:tab/>
      </w:r>
      <w:r w:rsidR="00C31740" w:rsidRPr="002B65F7">
        <w:t>difficultés à respirer ou à avaler</w:t>
      </w:r>
    </w:p>
    <w:p w14:paraId="03B590DA" w14:textId="5234CD2A" w:rsidR="00092F83" w:rsidRPr="002B65F7" w:rsidRDefault="0005129B" w:rsidP="00496255">
      <w:pPr>
        <w:widowControl/>
        <w:ind w:left="1134" w:hanging="567"/>
      </w:pPr>
      <w:r w:rsidRPr="002B65F7">
        <w:t>-</w:t>
      </w:r>
      <w:r w:rsidRPr="002B65F7">
        <w:tab/>
      </w:r>
      <w:r w:rsidR="00C31740" w:rsidRPr="002B65F7">
        <w:t>pression sanguine basse, ce qui peut provoquer des vertiges et des légers étourdissements</w:t>
      </w:r>
    </w:p>
    <w:p w14:paraId="03B590DB" w14:textId="7F741542" w:rsidR="00092F83" w:rsidRPr="002B65F7" w:rsidRDefault="0005129B" w:rsidP="00496255">
      <w:pPr>
        <w:widowControl/>
        <w:ind w:left="1134" w:hanging="567"/>
      </w:pPr>
      <w:r w:rsidRPr="002B65F7">
        <w:t>-</w:t>
      </w:r>
      <w:r w:rsidRPr="002B65F7">
        <w:tab/>
      </w:r>
      <w:r w:rsidR="00C31740" w:rsidRPr="002B65F7">
        <w:t>gonflement de la face, des lèvres, de la bouche ou de la gorge.</w:t>
      </w:r>
    </w:p>
    <w:p w14:paraId="03B590DC" w14:textId="3C562E12" w:rsidR="00092F83" w:rsidRPr="002B65F7" w:rsidRDefault="00C31740" w:rsidP="00814670">
      <w:pPr>
        <w:pStyle w:val="ListParagraph"/>
        <w:widowControl/>
        <w:numPr>
          <w:ilvl w:val="1"/>
          <w:numId w:val="59"/>
        </w:numPr>
        <w:tabs>
          <w:tab w:val="left" w:pos="567"/>
        </w:tabs>
        <w:ind w:left="567" w:hanging="567"/>
      </w:pPr>
      <w:r w:rsidRPr="002B65F7">
        <w:t>Les signes fréquents d’une réaction allergique incluent éruptions cutanées et urticaire (ils peuvent affecter jusqu’à 1 personne sur 100).</w:t>
      </w:r>
    </w:p>
    <w:p w14:paraId="42E577F6" w14:textId="77777777" w:rsidR="0005129B" w:rsidRPr="002B65F7" w:rsidRDefault="0005129B" w:rsidP="00496255">
      <w:pPr>
        <w:widowControl/>
        <w:rPr>
          <w:b/>
          <w:bCs/>
        </w:rPr>
      </w:pPr>
    </w:p>
    <w:p w14:paraId="03B590DD" w14:textId="062784D9" w:rsidR="00092F83" w:rsidRPr="002B65F7" w:rsidRDefault="00C31740" w:rsidP="00496255">
      <w:pPr>
        <w:widowControl/>
        <w:rPr>
          <w:b/>
          <w:bCs/>
        </w:rPr>
      </w:pPr>
      <w:r w:rsidRPr="002B65F7">
        <w:rPr>
          <w:b/>
          <w:bCs/>
        </w:rPr>
        <w:t xml:space="preserve">Dans de rares cas, des réactions allergiques pulmonaires et une inflammation pulmonaire ont été signalées chez des patients traités par </w:t>
      </w:r>
      <w:r w:rsidR="0071390F" w:rsidRPr="002B65F7">
        <w:rPr>
          <w:b/>
          <w:bCs/>
        </w:rPr>
        <w:t>ustekinumab</w:t>
      </w:r>
      <w:r w:rsidRPr="002B65F7">
        <w:rPr>
          <w:b/>
          <w:bCs/>
        </w:rPr>
        <w:t>. Informez immédiatement votre médecin si vous présentez des symptômes comme la toux, l’essoufflement et la fièvre.</w:t>
      </w:r>
    </w:p>
    <w:p w14:paraId="14FD87D0" w14:textId="77777777" w:rsidR="0005129B" w:rsidRPr="002B65F7" w:rsidRDefault="0005129B" w:rsidP="00496255">
      <w:pPr>
        <w:widowControl/>
        <w:rPr>
          <w:b/>
          <w:bCs/>
        </w:rPr>
      </w:pPr>
    </w:p>
    <w:p w14:paraId="03B590DE" w14:textId="382B134A" w:rsidR="00092F83" w:rsidRPr="002B65F7" w:rsidRDefault="00C31740" w:rsidP="00496255">
      <w:pPr>
        <w:widowControl/>
      </w:pPr>
      <w:r w:rsidRPr="002B65F7">
        <w:t xml:space="preserve">Si vous avez une réaction allergique grave, votre médecin peut décider que vous ne devez plus utiliser </w:t>
      </w:r>
      <w:r w:rsidR="00992314" w:rsidRPr="002B65F7">
        <w:t>WEZENLA</w:t>
      </w:r>
      <w:r w:rsidRPr="002B65F7">
        <w:t>.</w:t>
      </w:r>
    </w:p>
    <w:p w14:paraId="5ED9173B" w14:textId="77777777" w:rsidR="00956CFB" w:rsidRPr="002B65F7" w:rsidRDefault="00956CFB" w:rsidP="00496255">
      <w:pPr>
        <w:widowControl/>
      </w:pPr>
    </w:p>
    <w:p w14:paraId="03B590E0" w14:textId="370F3E62" w:rsidR="00092F83" w:rsidRPr="002B65F7" w:rsidRDefault="00C31740" w:rsidP="00496255">
      <w:pPr>
        <w:keepNext/>
        <w:widowControl/>
        <w:rPr>
          <w:b/>
          <w:bCs/>
        </w:rPr>
      </w:pPr>
      <w:r w:rsidRPr="002B65F7">
        <w:rPr>
          <w:b/>
          <w:bCs/>
        </w:rPr>
        <w:t>Infections - elles peuvent nécessiter un traitement urgent. Informez votre médecin immédiatement si vous constatez l’un des signes suivants.</w:t>
      </w:r>
    </w:p>
    <w:p w14:paraId="03B590E1" w14:textId="7BB08463" w:rsidR="00092F83" w:rsidRPr="002B65F7" w:rsidRDefault="00C31740" w:rsidP="00814670">
      <w:pPr>
        <w:pStyle w:val="ListParagraph"/>
        <w:widowControl/>
        <w:numPr>
          <w:ilvl w:val="1"/>
          <w:numId w:val="59"/>
        </w:numPr>
        <w:tabs>
          <w:tab w:val="left" w:pos="567"/>
        </w:tabs>
        <w:ind w:left="567" w:hanging="567"/>
      </w:pPr>
      <w:r w:rsidRPr="002B65F7">
        <w:t>Les infections du nez ou de la gorge et les rhumes sont fréquents (peuvent affecter jusqu’à 1</w:t>
      </w:r>
      <w:r w:rsidR="00C67073" w:rsidRPr="002B65F7">
        <w:t> </w:t>
      </w:r>
      <w:r w:rsidRPr="002B65F7">
        <w:t>personne sur</w:t>
      </w:r>
      <w:r w:rsidR="00C67073" w:rsidRPr="002B65F7">
        <w:t> </w:t>
      </w:r>
      <w:r w:rsidRPr="002B65F7">
        <w:t>10)</w:t>
      </w:r>
    </w:p>
    <w:p w14:paraId="03B590E2" w14:textId="36FA7A39" w:rsidR="00092F83" w:rsidRPr="002B65F7" w:rsidRDefault="00C31740" w:rsidP="00814670">
      <w:pPr>
        <w:pStyle w:val="ListParagraph"/>
        <w:widowControl/>
        <w:numPr>
          <w:ilvl w:val="1"/>
          <w:numId w:val="59"/>
        </w:numPr>
        <w:tabs>
          <w:tab w:val="left" w:pos="567"/>
        </w:tabs>
        <w:ind w:left="567" w:hanging="567"/>
      </w:pPr>
      <w:r w:rsidRPr="002B65F7">
        <w:t>Les infections thoraciques sont peu fréquentes (peuvent affecter jusqu’à 1</w:t>
      </w:r>
      <w:r w:rsidR="00C67073" w:rsidRPr="002B65F7">
        <w:t> </w:t>
      </w:r>
      <w:r w:rsidRPr="002B65F7">
        <w:t>personne sur</w:t>
      </w:r>
      <w:r w:rsidR="00C67073" w:rsidRPr="002B65F7">
        <w:t> </w:t>
      </w:r>
      <w:r w:rsidRPr="002B65F7">
        <w:t>100)</w:t>
      </w:r>
    </w:p>
    <w:p w14:paraId="03B590E3" w14:textId="3E524493" w:rsidR="00092F83" w:rsidRPr="002B65F7" w:rsidRDefault="00C31740" w:rsidP="00814670">
      <w:pPr>
        <w:pStyle w:val="ListParagraph"/>
        <w:widowControl/>
        <w:numPr>
          <w:ilvl w:val="1"/>
          <w:numId w:val="59"/>
        </w:numPr>
        <w:tabs>
          <w:tab w:val="left" w:pos="567"/>
        </w:tabs>
        <w:ind w:left="567" w:hanging="567"/>
      </w:pPr>
      <w:r w:rsidRPr="002B65F7">
        <w:t>L’inflammation des tissus sous la peau (cellulite) est peu fréquente (peut affecter jusqu’à 1</w:t>
      </w:r>
      <w:r w:rsidR="00C67073" w:rsidRPr="002B65F7">
        <w:t> </w:t>
      </w:r>
      <w:r w:rsidRPr="002B65F7">
        <w:t>personne sur</w:t>
      </w:r>
      <w:r w:rsidR="00C67073" w:rsidRPr="002B65F7">
        <w:t> </w:t>
      </w:r>
      <w:r w:rsidRPr="002B65F7">
        <w:t>100)</w:t>
      </w:r>
    </w:p>
    <w:p w14:paraId="03B590E4" w14:textId="4951E3FA" w:rsidR="00092F83" w:rsidRPr="002B65F7" w:rsidRDefault="00C31740" w:rsidP="00814670">
      <w:pPr>
        <w:pStyle w:val="ListParagraph"/>
        <w:widowControl/>
        <w:numPr>
          <w:ilvl w:val="1"/>
          <w:numId w:val="59"/>
        </w:numPr>
        <w:tabs>
          <w:tab w:val="left" w:pos="567"/>
        </w:tabs>
        <w:ind w:left="567" w:hanging="567"/>
      </w:pPr>
      <w:r w:rsidRPr="002B65F7">
        <w:t>Les zona (un type d’éruption cutanée douloureuse avec des cloques) sont peu fréquents (peuvent affecter jusqu’à 1</w:t>
      </w:r>
      <w:r w:rsidR="00C67073" w:rsidRPr="002B65F7">
        <w:t> </w:t>
      </w:r>
      <w:r w:rsidRPr="002B65F7">
        <w:t>personne sur</w:t>
      </w:r>
      <w:r w:rsidR="00C67073" w:rsidRPr="002B65F7">
        <w:t> </w:t>
      </w:r>
      <w:r w:rsidRPr="002B65F7">
        <w:t>100)</w:t>
      </w:r>
    </w:p>
    <w:p w14:paraId="653B6CB3" w14:textId="77777777" w:rsidR="00956CFB" w:rsidRPr="002B65F7" w:rsidRDefault="00956CFB" w:rsidP="00496255">
      <w:pPr>
        <w:widowControl/>
        <w:ind w:left="567" w:hanging="567"/>
      </w:pPr>
    </w:p>
    <w:p w14:paraId="03B590E5" w14:textId="1DC61971" w:rsidR="00092F83" w:rsidRPr="002B65F7" w:rsidRDefault="00992314" w:rsidP="00496255">
      <w:pPr>
        <w:widowControl/>
      </w:pPr>
      <w:r w:rsidRPr="002B65F7">
        <w:t>WEZENLA</w:t>
      </w:r>
      <w:r w:rsidR="00C31740" w:rsidRPr="002B65F7">
        <w:t xml:space="preserve"> peut altérer votre capacité à lutter contre les infections. Certaines infections peuvent devenir graves et peuvent comprendre des infections d’origine virale, fongique, bactérienne (notamment la tuberculose), ou parasitaire, y compris des infections survenant principalement chez les personnes présentant un système immunitaire plus faible (infections opportunistes). Des infections opportunistes du cerveau (encéphalite, méningite), des poumons et des yeux ont été rapportées chez des patients recevant un traitement par </w:t>
      </w:r>
      <w:r w:rsidR="0071390F" w:rsidRPr="002B65F7">
        <w:t>ustekinumab</w:t>
      </w:r>
      <w:r w:rsidR="00C31740" w:rsidRPr="002B65F7">
        <w:t>.</w:t>
      </w:r>
    </w:p>
    <w:p w14:paraId="03B590E6" w14:textId="77777777" w:rsidR="00092F83" w:rsidRPr="002B65F7" w:rsidRDefault="00092F83" w:rsidP="00496255">
      <w:pPr>
        <w:widowControl/>
      </w:pPr>
    </w:p>
    <w:p w14:paraId="03B590E7" w14:textId="0805CA9F" w:rsidR="00092F83" w:rsidRPr="002B65F7" w:rsidRDefault="00C31740" w:rsidP="00496255">
      <w:pPr>
        <w:keepNext/>
        <w:widowControl/>
      </w:pPr>
      <w:r w:rsidRPr="002B65F7">
        <w:t xml:space="preserve">Vous devez faire attention aux signes d’infection pendant que vous utilisez </w:t>
      </w:r>
      <w:r w:rsidR="00992314" w:rsidRPr="002B65F7">
        <w:t>WEZENLA</w:t>
      </w:r>
      <w:r w:rsidRPr="002B65F7">
        <w:t>. Ceux-ci incluent :</w:t>
      </w:r>
    </w:p>
    <w:p w14:paraId="03B590E8" w14:textId="5080B7D0" w:rsidR="00092F83" w:rsidRPr="002B65F7" w:rsidRDefault="00C31740" w:rsidP="00814670">
      <w:pPr>
        <w:pStyle w:val="ListParagraph"/>
        <w:widowControl/>
        <w:numPr>
          <w:ilvl w:val="1"/>
          <w:numId w:val="59"/>
        </w:numPr>
        <w:tabs>
          <w:tab w:val="left" w:pos="567"/>
        </w:tabs>
        <w:ind w:left="567" w:hanging="567"/>
      </w:pPr>
      <w:r w:rsidRPr="002B65F7">
        <w:t>Fièvre, symptômes pseudo-grippaux, sueurs nocturnes, perte de poids</w:t>
      </w:r>
    </w:p>
    <w:p w14:paraId="03B590E9" w14:textId="14EBBF00" w:rsidR="00092F83" w:rsidRPr="002B65F7" w:rsidRDefault="00C31740" w:rsidP="00814670">
      <w:pPr>
        <w:pStyle w:val="ListParagraph"/>
        <w:widowControl/>
        <w:numPr>
          <w:ilvl w:val="1"/>
          <w:numId w:val="59"/>
        </w:numPr>
        <w:tabs>
          <w:tab w:val="left" w:pos="567"/>
        </w:tabs>
        <w:ind w:left="567" w:hanging="567"/>
      </w:pPr>
      <w:r w:rsidRPr="002B65F7">
        <w:t>Sensation de fatigue ou d’essoufflement ; toux qui ne passe pas</w:t>
      </w:r>
    </w:p>
    <w:p w14:paraId="03B590EA" w14:textId="3412E7B2" w:rsidR="00092F83" w:rsidRPr="002B65F7" w:rsidRDefault="00C31740" w:rsidP="00814670">
      <w:pPr>
        <w:pStyle w:val="ListParagraph"/>
        <w:widowControl/>
        <w:numPr>
          <w:ilvl w:val="1"/>
          <w:numId w:val="59"/>
        </w:numPr>
        <w:tabs>
          <w:tab w:val="left" w:pos="567"/>
        </w:tabs>
        <w:ind w:left="567" w:hanging="567"/>
      </w:pPr>
      <w:r w:rsidRPr="002B65F7">
        <w:t>Peau chaude, rouge et douloureuse, ou une éruption cutanée douloureuse avec des cloques</w:t>
      </w:r>
    </w:p>
    <w:p w14:paraId="03B590EB" w14:textId="3F004497" w:rsidR="00092F83" w:rsidRPr="002B65F7" w:rsidRDefault="00C31740" w:rsidP="00814670">
      <w:pPr>
        <w:pStyle w:val="ListParagraph"/>
        <w:widowControl/>
        <w:numPr>
          <w:ilvl w:val="1"/>
          <w:numId w:val="59"/>
        </w:numPr>
        <w:tabs>
          <w:tab w:val="left" w:pos="567"/>
        </w:tabs>
        <w:ind w:left="567" w:hanging="567"/>
      </w:pPr>
      <w:r w:rsidRPr="002B65F7">
        <w:t>Sensation de brûlure lorsque vous urinez</w:t>
      </w:r>
    </w:p>
    <w:p w14:paraId="03B590EC" w14:textId="05C77663" w:rsidR="00092F83" w:rsidRPr="002B65F7" w:rsidRDefault="00C31740" w:rsidP="00814670">
      <w:pPr>
        <w:pStyle w:val="ListParagraph"/>
        <w:widowControl/>
        <w:numPr>
          <w:ilvl w:val="1"/>
          <w:numId w:val="59"/>
        </w:numPr>
        <w:tabs>
          <w:tab w:val="left" w:pos="567"/>
        </w:tabs>
        <w:ind w:left="567" w:hanging="567"/>
      </w:pPr>
      <w:r w:rsidRPr="002B65F7">
        <w:t>Diarrhées</w:t>
      </w:r>
    </w:p>
    <w:p w14:paraId="03B590ED" w14:textId="693F02AF" w:rsidR="00092F83" w:rsidRPr="002B65F7" w:rsidRDefault="00C31740" w:rsidP="00814670">
      <w:pPr>
        <w:pStyle w:val="ListParagraph"/>
        <w:widowControl/>
        <w:numPr>
          <w:ilvl w:val="1"/>
          <w:numId w:val="59"/>
        </w:numPr>
        <w:tabs>
          <w:tab w:val="left" w:pos="567"/>
        </w:tabs>
        <w:ind w:left="567" w:hanging="567"/>
      </w:pPr>
      <w:r w:rsidRPr="002B65F7">
        <w:t>Troubles visuels ou perte de la vue</w:t>
      </w:r>
    </w:p>
    <w:p w14:paraId="03B590EE" w14:textId="63626526" w:rsidR="00092F83" w:rsidRPr="002B65F7" w:rsidRDefault="00C31740" w:rsidP="00814670">
      <w:pPr>
        <w:pStyle w:val="ListParagraph"/>
        <w:widowControl/>
        <w:numPr>
          <w:ilvl w:val="1"/>
          <w:numId w:val="59"/>
        </w:numPr>
        <w:tabs>
          <w:tab w:val="left" w:pos="567"/>
        </w:tabs>
        <w:ind w:left="567" w:hanging="567"/>
      </w:pPr>
      <w:r w:rsidRPr="002B65F7">
        <w:t>Maux de tête, raideur de la nuque, sensibilité à la lumière, nausées ou confusion.</w:t>
      </w:r>
    </w:p>
    <w:p w14:paraId="39AC18B7" w14:textId="77777777" w:rsidR="00956CFB" w:rsidRPr="002B65F7" w:rsidRDefault="00956CFB" w:rsidP="00496255">
      <w:pPr>
        <w:widowControl/>
        <w:ind w:left="567" w:hanging="567"/>
      </w:pPr>
    </w:p>
    <w:p w14:paraId="03B590EF" w14:textId="2D296E4A" w:rsidR="00092F83" w:rsidRPr="002B65F7" w:rsidRDefault="00C31740" w:rsidP="00496255">
      <w:pPr>
        <w:widowControl/>
      </w:pPr>
      <w:r w:rsidRPr="002B65F7">
        <w:t xml:space="preserve">Informez votre médecin immédiatement si vous constatez l’un de ces signes d’infection. Ils peuvent être des signes d’infections telles que des infections thoraciques, des infections de la peau, un zona ou des infections opportunistes, qui pourraient conduire à des complications graves. Informez votre médecin si vous avez une infection qui ne passe pas ou qui revient. Votre médecin peut décider que vous ne devez plus utiliser </w:t>
      </w:r>
      <w:r w:rsidR="00992314" w:rsidRPr="002B65F7">
        <w:t>WEZENLA</w:t>
      </w:r>
      <w:r w:rsidRPr="002B65F7">
        <w:t xml:space="preserve"> jusqu’à ce que l’infection soit partie. Informez également votre médecin si vous avez des coupures ou des plaies ouvertes car elles pourraient s’infecter.</w:t>
      </w:r>
    </w:p>
    <w:p w14:paraId="03B590F0" w14:textId="77777777" w:rsidR="00092F83" w:rsidRPr="002B65F7" w:rsidRDefault="00092F83" w:rsidP="00496255">
      <w:pPr>
        <w:widowControl/>
      </w:pPr>
    </w:p>
    <w:p w14:paraId="03B590F1" w14:textId="77777777" w:rsidR="00092F83" w:rsidRPr="002B65F7" w:rsidRDefault="00C31740" w:rsidP="00496255">
      <w:pPr>
        <w:widowControl/>
        <w:rPr>
          <w:b/>
          <w:bCs/>
        </w:rPr>
      </w:pPr>
      <w:r w:rsidRPr="002B65F7">
        <w:rPr>
          <w:b/>
          <w:bCs/>
        </w:rPr>
        <w:lastRenderedPageBreak/>
        <w:t>Desquamation de la peau – l’augmentation de la rougeur et de la desquamation de la peau sur une surface corporelle plus étendue peuvent être des symptômes de psoriasis érythrodermique ou d’érythrodermie, qui sont des atteintes graves de la peau. Vous devez informer immédiatement votre médecin si vous remarquez un de ces signes.</w:t>
      </w:r>
    </w:p>
    <w:p w14:paraId="03B590F2" w14:textId="77777777" w:rsidR="00092F83" w:rsidRPr="002B65F7" w:rsidRDefault="00092F83" w:rsidP="00496255">
      <w:pPr>
        <w:widowControl/>
      </w:pPr>
    </w:p>
    <w:p w14:paraId="03B590F3" w14:textId="77777777" w:rsidR="00092F83" w:rsidRPr="002B65F7" w:rsidRDefault="00C31740" w:rsidP="00496255">
      <w:pPr>
        <w:keepNext/>
        <w:widowControl/>
        <w:rPr>
          <w:b/>
          <w:bCs/>
        </w:rPr>
      </w:pPr>
      <w:r w:rsidRPr="002B65F7">
        <w:rPr>
          <w:b/>
          <w:bCs/>
        </w:rPr>
        <w:t>Autres effets indésirables</w:t>
      </w:r>
    </w:p>
    <w:p w14:paraId="03B590F4" w14:textId="77777777" w:rsidR="00092F83" w:rsidRPr="002B65F7" w:rsidRDefault="00092F83" w:rsidP="00496255">
      <w:pPr>
        <w:keepNext/>
        <w:widowControl/>
      </w:pPr>
    </w:p>
    <w:p w14:paraId="03B590F5" w14:textId="6688D6BB" w:rsidR="00092F83" w:rsidRPr="002B65F7" w:rsidRDefault="00C31740" w:rsidP="00496255">
      <w:pPr>
        <w:keepNext/>
        <w:widowControl/>
      </w:pPr>
      <w:r w:rsidRPr="002B65F7">
        <w:rPr>
          <w:b/>
          <w:bCs/>
        </w:rPr>
        <w:t>Effets indésirables fréquents</w:t>
      </w:r>
      <w:r w:rsidRPr="002B65F7">
        <w:t xml:space="preserve"> (peuvent affecter jusqu’à 1</w:t>
      </w:r>
      <w:r w:rsidR="00C67073" w:rsidRPr="002B65F7">
        <w:t> </w:t>
      </w:r>
      <w:r w:rsidRPr="002B65F7">
        <w:t>personne sur</w:t>
      </w:r>
      <w:r w:rsidR="00C67073" w:rsidRPr="002B65F7">
        <w:t> </w:t>
      </w:r>
      <w:r w:rsidRPr="002B65F7">
        <w:t>10)</w:t>
      </w:r>
      <w:r w:rsidR="00306B3C" w:rsidRPr="002B65F7">
        <w:t xml:space="preserve"> </w:t>
      </w:r>
      <w:r w:rsidRPr="002B65F7">
        <w:t>:</w:t>
      </w:r>
    </w:p>
    <w:p w14:paraId="03B590F6" w14:textId="7C4E45E2" w:rsidR="00092F83" w:rsidRPr="002B65F7" w:rsidRDefault="00C31740" w:rsidP="00814670">
      <w:pPr>
        <w:pStyle w:val="ListParagraph"/>
        <w:widowControl/>
        <w:numPr>
          <w:ilvl w:val="1"/>
          <w:numId w:val="59"/>
        </w:numPr>
        <w:tabs>
          <w:tab w:val="left" w:pos="567"/>
        </w:tabs>
        <w:ind w:left="567" w:hanging="567"/>
      </w:pPr>
      <w:r w:rsidRPr="002B65F7">
        <w:t>Diarrhées</w:t>
      </w:r>
    </w:p>
    <w:p w14:paraId="03B590F7" w14:textId="5B58EC95" w:rsidR="00092F83" w:rsidRPr="002B65F7" w:rsidRDefault="00C31740" w:rsidP="00814670">
      <w:pPr>
        <w:pStyle w:val="ListParagraph"/>
        <w:widowControl/>
        <w:numPr>
          <w:ilvl w:val="1"/>
          <w:numId w:val="59"/>
        </w:numPr>
        <w:tabs>
          <w:tab w:val="left" w:pos="567"/>
        </w:tabs>
        <w:ind w:left="567" w:hanging="567"/>
      </w:pPr>
      <w:r w:rsidRPr="002B65F7">
        <w:t>Nausées</w:t>
      </w:r>
    </w:p>
    <w:p w14:paraId="03B590F8" w14:textId="01E84840" w:rsidR="00092F83" w:rsidRPr="002B65F7" w:rsidRDefault="00C31740" w:rsidP="00814670">
      <w:pPr>
        <w:pStyle w:val="ListParagraph"/>
        <w:widowControl/>
        <w:numPr>
          <w:ilvl w:val="1"/>
          <w:numId w:val="59"/>
        </w:numPr>
        <w:tabs>
          <w:tab w:val="left" w:pos="567"/>
        </w:tabs>
        <w:ind w:left="567" w:hanging="567"/>
      </w:pPr>
      <w:r w:rsidRPr="002B65F7">
        <w:t>Vomissements</w:t>
      </w:r>
    </w:p>
    <w:p w14:paraId="03B590F9" w14:textId="05B552CD" w:rsidR="00092F83" w:rsidRPr="002B65F7" w:rsidRDefault="00C31740" w:rsidP="00814670">
      <w:pPr>
        <w:pStyle w:val="ListParagraph"/>
        <w:widowControl/>
        <w:numPr>
          <w:ilvl w:val="1"/>
          <w:numId w:val="59"/>
        </w:numPr>
        <w:tabs>
          <w:tab w:val="left" w:pos="567"/>
        </w:tabs>
        <w:ind w:left="567" w:hanging="567"/>
      </w:pPr>
      <w:r w:rsidRPr="002B65F7">
        <w:t>Sensations de fatigue</w:t>
      </w:r>
    </w:p>
    <w:p w14:paraId="03B590FA" w14:textId="10C75AE0" w:rsidR="00092F83" w:rsidRPr="002B65F7" w:rsidRDefault="00C31740" w:rsidP="00814670">
      <w:pPr>
        <w:pStyle w:val="ListParagraph"/>
        <w:widowControl/>
        <w:numPr>
          <w:ilvl w:val="1"/>
          <w:numId w:val="59"/>
        </w:numPr>
        <w:tabs>
          <w:tab w:val="left" w:pos="567"/>
        </w:tabs>
        <w:ind w:left="567" w:hanging="567"/>
      </w:pPr>
      <w:r w:rsidRPr="002B65F7">
        <w:t>Vertiges</w:t>
      </w:r>
    </w:p>
    <w:p w14:paraId="03B590FB" w14:textId="0DA5A5EB" w:rsidR="00092F83" w:rsidRPr="002B65F7" w:rsidRDefault="00C31740" w:rsidP="00814670">
      <w:pPr>
        <w:pStyle w:val="ListParagraph"/>
        <w:widowControl/>
        <w:numPr>
          <w:ilvl w:val="1"/>
          <w:numId w:val="59"/>
        </w:numPr>
        <w:tabs>
          <w:tab w:val="left" w:pos="567"/>
        </w:tabs>
        <w:ind w:left="567" w:hanging="567"/>
      </w:pPr>
      <w:r w:rsidRPr="002B65F7">
        <w:t>Mal de tête</w:t>
      </w:r>
    </w:p>
    <w:p w14:paraId="03B590FC" w14:textId="45F064B7" w:rsidR="00092F83" w:rsidRPr="002B65F7" w:rsidRDefault="00C31740" w:rsidP="00814670">
      <w:pPr>
        <w:pStyle w:val="ListParagraph"/>
        <w:widowControl/>
        <w:numPr>
          <w:ilvl w:val="1"/>
          <w:numId w:val="59"/>
        </w:numPr>
        <w:tabs>
          <w:tab w:val="left" w:pos="567"/>
        </w:tabs>
        <w:ind w:left="567" w:hanging="567"/>
      </w:pPr>
      <w:r w:rsidRPr="002B65F7">
        <w:t>Démangeaisons (prurit)</w:t>
      </w:r>
    </w:p>
    <w:p w14:paraId="03B590FD" w14:textId="790B100C" w:rsidR="00092F83" w:rsidRPr="002B65F7" w:rsidRDefault="00C31740" w:rsidP="00814670">
      <w:pPr>
        <w:pStyle w:val="ListParagraph"/>
        <w:widowControl/>
        <w:numPr>
          <w:ilvl w:val="1"/>
          <w:numId w:val="59"/>
        </w:numPr>
        <w:tabs>
          <w:tab w:val="left" w:pos="567"/>
        </w:tabs>
        <w:ind w:left="567" w:hanging="567"/>
      </w:pPr>
      <w:r w:rsidRPr="002B65F7">
        <w:t>Douleurs du dos, des muscles ou des articulations</w:t>
      </w:r>
    </w:p>
    <w:p w14:paraId="03B590FE" w14:textId="18D76171" w:rsidR="00092F83" w:rsidRPr="002B65F7" w:rsidRDefault="00C31740" w:rsidP="00814670">
      <w:pPr>
        <w:pStyle w:val="ListParagraph"/>
        <w:widowControl/>
        <w:numPr>
          <w:ilvl w:val="1"/>
          <w:numId w:val="59"/>
        </w:numPr>
        <w:tabs>
          <w:tab w:val="left" w:pos="567"/>
        </w:tabs>
        <w:ind w:left="567" w:hanging="567"/>
      </w:pPr>
      <w:r w:rsidRPr="002B65F7">
        <w:t>Mal de gorge</w:t>
      </w:r>
    </w:p>
    <w:p w14:paraId="03B590FF" w14:textId="0B1EFA48" w:rsidR="00092F83" w:rsidRPr="002B65F7" w:rsidRDefault="00C31740" w:rsidP="00814670">
      <w:pPr>
        <w:pStyle w:val="ListParagraph"/>
        <w:widowControl/>
        <w:numPr>
          <w:ilvl w:val="1"/>
          <w:numId w:val="59"/>
        </w:numPr>
        <w:tabs>
          <w:tab w:val="left" w:pos="567"/>
        </w:tabs>
        <w:ind w:left="567" w:hanging="567"/>
      </w:pPr>
      <w:r w:rsidRPr="002B65F7">
        <w:t>Rougeur et douleur au site d’injection</w:t>
      </w:r>
    </w:p>
    <w:p w14:paraId="03B59100" w14:textId="54C85737" w:rsidR="00092F83" w:rsidRPr="002B65F7" w:rsidRDefault="00C31740" w:rsidP="00814670">
      <w:pPr>
        <w:pStyle w:val="ListParagraph"/>
        <w:widowControl/>
        <w:numPr>
          <w:ilvl w:val="1"/>
          <w:numId w:val="59"/>
        </w:numPr>
        <w:tabs>
          <w:tab w:val="left" w:pos="567"/>
        </w:tabs>
        <w:ind w:left="567" w:hanging="567"/>
      </w:pPr>
      <w:r w:rsidRPr="002B65F7">
        <w:t>Infection des sinus</w:t>
      </w:r>
    </w:p>
    <w:p w14:paraId="40032478" w14:textId="77777777" w:rsidR="009D6A7A" w:rsidRPr="002B65F7" w:rsidRDefault="009D6A7A" w:rsidP="00496255">
      <w:pPr>
        <w:widowControl/>
        <w:ind w:left="567" w:hanging="567"/>
      </w:pPr>
    </w:p>
    <w:p w14:paraId="03B59101" w14:textId="33BE067A" w:rsidR="00092F83" w:rsidRPr="002B65F7" w:rsidRDefault="00C31740" w:rsidP="00496255">
      <w:pPr>
        <w:keepNext/>
        <w:widowControl/>
        <w:ind w:left="567" w:hanging="567"/>
      </w:pPr>
      <w:r w:rsidRPr="002B65F7">
        <w:rPr>
          <w:b/>
          <w:bCs/>
        </w:rPr>
        <w:t xml:space="preserve">Effets indésirables peu fréquents </w:t>
      </w:r>
      <w:r w:rsidRPr="002B65F7">
        <w:t>(peuvent affecter jusqu’à 1</w:t>
      </w:r>
      <w:r w:rsidR="009F7D08" w:rsidRPr="002B65F7">
        <w:t> </w:t>
      </w:r>
      <w:r w:rsidRPr="002B65F7">
        <w:t>personne sur</w:t>
      </w:r>
      <w:r w:rsidR="009F7D08" w:rsidRPr="002B65F7">
        <w:t> </w:t>
      </w:r>
      <w:r w:rsidRPr="002B65F7">
        <w:t>100)</w:t>
      </w:r>
      <w:r w:rsidR="00306B3C" w:rsidRPr="002B65F7">
        <w:t xml:space="preserve"> </w:t>
      </w:r>
      <w:r w:rsidRPr="002B65F7">
        <w:t>:</w:t>
      </w:r>
    </w:p>
    <w:p w14:paraId="03B59102" w14:textId="3993DC0C" w:rsidR="00092F83" w:rsidRPr="002B65F7" w:rsidRDefault="00C31740" w:rsidP="00814670">
      <w:pPr>
        <w:pStyle w:val="ListParagraph"/>
        <w:widowControl/>
        <w:numPr>
          <w:ilvl w:val="1"/>
          <w:numId w:val="59"/>
        </w:numPr>
        <w:tabs>
          <w:tab w:val="left" w:pos="567"/>
        </w:tabs>
        <w:ind w:left="567" w:hanging="567"/>
      </w:pPr>
      <w:r w:rsidRPr="002B65F7">
        <w:t>Infections dentaires</w:t>
      </w:r>
    </w:p>
    <w:p w14:paraId="03B59103" w14:textId="21CE4AA8" w:rsidR="00092F83" w:rsidRPr="002B65F7" w:rsidRDefault="00C31740" w:rsidP="00814670">
      <w:pPr>
        <w:pStyle w:val="ListParagraph"/>
        <w:widowControl/>
        <w:numPr>
          <w:ilvl w:val="1"/>
          <w:numId w:val="59"/>
        </w:numPr>
        <w:tabs>
          <w:tab w:val="left" w:pos="567"/>
        </w:tabs>
        <w:ind w:left="567" w:hanging="567"/>
      </w:pPr>
      <w:r w:rsidRPr="002B65F7">
        <w:t>Infection mycotique vaginale</w:t>
      </w:r>
    </w:p>
    <w:p w14:paraId="03B59105" w14:textId="53B871D8" w:rsidR="00092F83" w:rsidRPr="002B65F7" w:rsidRDefault="00C31740" w:rsidP="00814670">
      <w:pPr>
        <w:pStyle w:val="ListParagraph"/>
        <w:widowControl/>
        <w:numPr>
          <w:ilvl w:val="1"/>
          <w:numId w:val="59"/>
        </w:numPr>
        <w:tabs>
          <w:tab w:val="left" w:pos="567"/>
        </w:tabs>
        <w:ind w:left="567" w:hanging="567"/>
      </w:pPr>
      <w:r w:rsidRPr="002B65F7">
        <w:t>Dépression</w:t>
      </w:r>
    </w:p>
    <w:p w14:paraId="03B59106" w14:textId="478796B3" w:rsidR="00092F83" w:rsidRPr="002B65F7" w:rsidRDefault="00C31740" w:rsidP="00814670">
      <w:pPr>
        <w:pStyle w:val="ListParagraph"/>
        <w:widowControl/>
        <w:numPr>
          <w:ilvl w:val="1"/>
          <w:numId w:val="59"/>
        </w:numPr>
        <w:tabs>
          <w:tab w:val="left" w:pos="567"/>
        </w:tabs>
        <w:ind w:left="567" w:hanging="567"/>
      </w:pPr>
      <w:r w:rsidRPr="002B65F7">
        <w:t>Nez bouché ou congestionné</w:t>
      </w:r>
    </w:p>
    <w:p w14:paraId="03B59107" w14:textId="0AA35539" w:rsidR="00092F83" w:rsidRPr="002B65F7" w:rsidRDefault="00C31740" w:rsidP="00814670">
      <w:pPr>
        <w:pStyle w:val="ListParagraph"/>
        <w:widowControl/>
        <w:numPr>
          <w:ilvl w:val="1"/>
          <w:numId w:val="59"/>
        </w:numPr>
        <w:tabs>
          <w:tab w:val="left" w:pos="567"/>
        </w:tabs>
        <w:ind w:left="567" w:hanging="567"/>
      </w:pPr>
      <w:r w:rsidRPr="002B65F7">
        <w:t>Saignement, ecchymose (bleu), induration, gonflement et démangeaisons au site d’injection</w:t>
      </w:r>
    </w:p>
    <w:p w14:paraId="03B59108" w14:textId="57C2FBC5" w:rsidR="00092F83" w:rsidRPr="002B65F7" w:rsidRDefault="00C31740" w:rsidP="00814670">
      <w:pPr>
        <w:pStyle w:val="ListParagraph"/>
        <w:widowControl/>
        <w:numPr>
          <w:ilvl w:val="1"/>
          <w:numId w:val="59"/>
        </w:numPr>
        <w:tabs>
          <w:tab w:val="left" w:pos="567"/>
        </w:tabs>
        <w:ind w:left="567" w:hanging="567"/>
      </w:pPr>
      <w:r w:rsidRPr="002B65F7">
        <w:t>Sensation de faiblesse</w:t>
      </w:r>
    </w:p>
    <w:p w14:paraId="03B5910A" w14:textId="68A67E91" w:rsidR="00092F83" w:rsidRPr="002B65F7" w:rsidRDefault="00C31740" w:rsidP="00814670">
      <w:pPr>
        <w:pStyle w:val="ListParagraph"/>
        <w:widowControl/>
        <w:numPr>
          <w:ilvl w:val="1"/>
          <w:numId w:val="59"/>
        </w:numPr>
        <w:tabs>
          <w:tab w:val="left" w:pos="567"/>
        </w:tabs>
        <w:ind w:left="567" w:hanging="567"/>
      </w:pPr>
      <w:r w:rsidRPr="002B65F7">
        <w:t>Paupière tombante et muscles affaissés sur un côté du visage (« paralysie faciale » ou</w:t>
      </w:r>
      <w:r w:rsidR="009D6A7A" w:rsidRPr="002B65F7">
        <w:t xml:space="preserve"> </w:t>
      </w:r>
      <w:r w:rsidRPr="002B65F7">
        <w:t>« paralysie dite de Bell »), ce qui est généralement temporaire</w:t>
      </w:r>
    </w:p>
    <w:p w14:paraId="03B5910B" w14:textId="378F46FA" w:rsidR="00092F83" w:rsidRPr="002B65F7" w:rsidRDefault="00C31740" w:rsidP="00814670">
      <w:pPr>
        <w:pStyle w:val="ListParagraph"/>
        <w:widowControl/>
        <w:numPr>
          <w:ilvl w:val="1"/>
          <w:numId w:val="59"/>
        </w:numPr>
        <w:tabs>
          <w:tab w:val="left" w:pos="567"/>
        </w:tabs>
        <w:ind w:left="567" w:hanging="567"/>
      </w:pPr>
      <w:r w:rsidRPr="002B65F7">
        <w:t>Un changement de l’aspect du psoriasis avec rougeur et apparition de petites vésicules jaunes ou blanches, parfois accompagnées de fièvre (psoriasis pustuleux).</w:t>
      </w:r>
    </w:p>
    <w:p w14:paraId="03B5910C" w14:textId="0D275923" w:rsidR="00092F83" w:rsidRPr="002B65F7" w:rsidRDefault="00C31740" w:rsidP="00814670">
      <w:pPr>
        <w:pStyle w:val="ListParagraph"/>
        <w:widowControl/>
        <w:numPr>
          <w:ilvl w:val="1"/>
          <w:numId w:val="59"/>
        </w:numPr>
        <w:tabs>
          <w:tab w:val="left" w:pos="567"/>
        </w:tabs>
        <w:ind w:left="567" w:hanging="567"/>
      </w:pPr>
      <w:r w:rsidRPr="002B65F7">
        <w:t>Peau qui pèle (desquamation de la peau)</w:t>
      </w:r>
    </w:p>
    <w:p w14:paraId="03B5910D" w14:textId="5750652F" w:rsidR="00092F83" w:rsidRPr="002B65F7" w:rsidRDefault="00C31740" w:rsidP="00814670">
      <w:pPr>
        <w:pStyle w:val="ListParagraph"/>
        <w:widowControl/>
        <w:numPr>
          <w:ilvl w:val="1"/>
          <w:numId w:val="59"/>
        </w:numPr>
        <w:tabs>
          <w:tab w:val="left" w:pos="567"/>
        </w:tabs>
        <w:ind w:left="567" w:hanging="567"/>
      </w:pPr>
      <w:r w:rsidRPr="002B65F7">
        <w:t>Acné</w:t>
      </w:r>
    </w:p>
    <w:p w14:paraId="3E107305" w14:textId="77777777" w:rsidR="009D6A7A" w:rsidRPr="002B65F7" w:rsidRDefault="009D6A7A" w:rsidP="00496255">
      <w:pPr>
        <w:widowControl/>
      </w:pPr>
    </w:p>
    <w:p w14:paraId="03B5910E" w14:textId="52E00B72" w:rsidR="00092F83" w:rsidRPr="002B65F7" w:rsidRDefault="00C31740" w:rsidP="00496255">
      <w:pPr>
        <w:widowControl/>
      </w:pPr>
      <w:r w:rsidRPr="002B65F7">
        <w:rPr>
          <w:b/>
          <w:bCs/>
        </w:rPr>
        <w:t>Effets indésirables rares</w:t>
      </w:r>
      <w:r w:rsidRPr="002B65F7">
        <w:t xml:space="preserve"> (peuvent affecter jusqu’à 1</w:t>
      </w:r>
      <w:r w:rsidR="009F7D08" w:rsidRPr="002B65F7">
        <w:t> </w:t>
      </w:r>
      <w:r w:rsidRPr="002B65F7">
        <w:t>personne sur 1</w:t>
      </w:r>
      <w:r w:rsidR="009D6A7A" w:rsidRPr="002B65F7">
        <w:t> </w:t>
      </w:r>
      <w:r w:rsidRPr="002B65F7">
        <w:t>000)</w:t>
      </w:r>
      <w:r w:rsidR="00306B3C" w:rsidRPr="002B65F7">
        <w:t xml:space="preserve"> </w:t>
      </w:r>
      <w:r w:rsidRPr="002B65F7">
        <w:t>:</w:t>
      </w:r>
    </w:p>
    <w:p w14:paraId="03B5910F" w14:textId="6829FD69" w:rsidR="00092F83" w:rsidRPr="002B65F7" w:rsidRDefault="00C31740" w:rsidP="00814670">
      <w:pPr>
        <w:pStyle w:val="ListParagraph"/>
        <w:keepNext/>
        <w:widowControl/>
        <w:numPr>
          <w:ilvl w:val="1"/>
          <w:numId w:val="60"/>
        </w:numPr>
        <w:tabs>
          <w:tab w:val="left" w:pos="567"/>
        </w:tabs>
        <w:ind w:left="567" w:hanging="567"/>
      </w:pPr>
      <w:r w:rsidRPr="002B65F7">
        <w:t>Rougeur et desquamation de la peau sur une surface corporelle plus étendue, qui peut démanger ou être douloureuse (érythrodermie). Des symptômes semblables se développent parfois dans le cadre de l’évolution naturelle de la maladie (psoriasis érythrodermique).</w:t>
      </w:r>
    </w:p>
    <w:p w14:paraId="03B59110" w14:textId="4E57A6EC" w:rsidR="00092F83" w:rsidRPr="002B65F7" w:rsidRDefault="00C31740" w:rsidP="00814670">
      <w:pPr>
        <w:pStyle w:val="ListParagraph"/>
        <w:widowControl/>
        <w:numPr>
          <w:ilvl w:val="1"/>
          <w:numId w:val="60"/>
        </w:numPr>
        <w:tabs>
          <w:tab w:val="left" w:pos="567"/>
        </w:tabs>
        <w:ind w:left="567" w:hanging="567"/>
      </w:pPr>
      <w:r w:rsidRPr="002B65F7">
        <w:t>Inflammation des petits vaisseaux sanguins, pouvant entraîner une éruption cutanée accompagnée de petits boutons rouges ou violets, de la fièvre ou des douleurs articulaires (vascularite).</w:t>
      </w:r>
    </w:p>
    <w:p w14:paraId="21C0F1E6" w14:textId="77777777" w:rsidR="009D6A7A" w:rsidRPr="002B65F7" w:rsidRDefault="009D6A7A" w:rsidP="00496255">
      <w:pPr>
        <w:widowControl/>
      </w:pPr>
    </w:p>
    <w:p w14:paraId="03B59111" w14:textId="3E08308D" w:rsidR="00092F83" w:rsidRPr="002B65F7" w:rsidRDefault="00C31740" w:rsidP="00496255">
      <w:pPr>
        <w:keepNext/>
        <w:widowControl/>
      </w:pPr>
      <w:r w:rsidRPr="002B65F7">
        <w:rPr>
          <w:b/>
          <w:bCs/>
        </w:rPr>
        <w:t>Effets indésirables très rares</w:t>
      </w:r>
      <w:r w:rsidRPr="002B65F7">
        <w:t xml:space="preserve"> (peuvent affecter jusqu’à 1 personne sur 10</w:t>
      </w:r>
      <w:r w:rsidR="009D6A7A" w:rsidRPr="002B65F7">
        <w:t> </w:t>
      </w:r>
      <w:r w:rsidRPr="002B65F7">
        <w:t>000) :</w:t>
      </w:r>
    </w:p>
    <w:p w14:paraId="03B59112" w14:textId="736DDFA7" w:rsidR="00092F83" w:rsidRPr="002B65F7" w:rsidRDefault="00C31740" w:rsidP="00814670">
      <w:pPr>
        <w:pStyle w:val="ListParagraph"/>
        <w:keepNext/>
        <w:widowControl/>
        <w:numPr>
          <w:ilvl w:val="1"/>
          <w:numId w:val="61"/>
        </w:numPr>
        <w:tabs>
          <w:tab w:val="left" w:pos="567"/>
        </w:tabs>
        <w:ind w:left="567" w:hanging="567"/>
      </w:pPr>
      <w:r w:rsidRPr="002B65F7">
        <w:t>Formation de cloques sur la peau, potentiellement accompagnées d’une rougeur, de démangeaisons et de douleurs (pemphigoïde bulleuse).</w:t>
      </w:r>
    </w:p>
    <w:p w14:paraId="03B59113" w14:textId="747A5F64" w:rsidR="00092F83" w:rsidRPr="002B65F7" w:rsidRDefault="00C31740" w:rsidP="00814670">
      <w:pPr>
        <w:pStyle w:val="ListParagraph"/>
        <w:widowControl/>
        <w:numPr>
          <w:ilvl w:val="1"/>
          <w:numId w:val="61"/>
        </w:numPr>
        <w:tabs>
          <w:tab w:val="left" w:pos="567"/>
        </w:tabs>
        <w:ind w:left="567" w:hanging="567"/>
      </w:pPr>
      <w:r w:rsidRPr="002B65F7">
        <w:t>Lupus cutané ou syndrome de type lupus (éruption cutanée rouge, en relief, squameuse sur les zones de peau exposées au soleil, éventuellement associée à des douleurs articulaires).</w:t>
      </w:r>
    </w:p>
    <w:p w14:paraId="274F3657" w14:textId="77777777" w:rsidR="009D6A7A" w:rsidRPr="002B65F7" w:rsidRDefault="009D6A7A" w:rsidP="00496255">
      <w:pPr>
        <w:widowControl/>
      </w:pPr>
    </w:p>
    <w:p w14:paraId="03B59114" w14:textId="1DFA5302" w:rsidR="00092F83" w:rsidRPr="002B65F7" w:rsidRDefault="00C31740" w:rsidP="00496255">
      <w:pPr>
        <w:keepNext/>
        <w:widowControl/>
        <w:rPr>
          <w:b/>
          <w:bCs/>
        </w:rPr>
      </w:pPr>
      <w:r w:rsidRPr="002B65F7">
        <w:rPr>
          <w:b/>
          <w:bCs/>
        </w:rPr>
        <w:t>Déclaration des effets secondaires</w:t>
      </w:r>
    </w:p>
    <w:p w14:paraId="03B59115" w14:textId="28913308" w:rsidR="00092F83" w:rsidRPr="002B65F7" w:rsidRDefault="00C31740" w:rsidP="00496255">
      <w:pPr>
        <w:widowControl/>
      </w:pPr>
      <w:r w:rsidRPr="002B65F7">
        <w:t xml:space="preserve">Si vous ressentez un quelconque effet indésirable, parlez-en à votre médecin ou votre pharmacien. Ceci s’applique aussi à tout effet indésirable qui ne serait pas mentionné dans cette notice. Vous pouvez également déclarer les effets indésirables directement via le </w:t>
      </w:r>
      <w:r>
        <w:rPr>
          <w:highlight w:val="lightGray"/>
        </w:rPr>
        <w:t xml:space="preserve">système national de déclaration décrit en </w:t>
      </w:r>
      <w:hyperlink r:id="rId29" w:history="1">
        <w:r w:rsidR="00DF04BE">
          <w:rPr>
            <w:rStyle w:val="Hyperlink"/>
            <w:highlight w:val="lightGray"/>
          </w:rPr>
          <w:t>A</w:t>
        </w:r>
        <w:r>
          <w:rPr>
            <w:rStyle w:val="Hyperlink"/>
            <w:highlight w:val="lightGray"/>
          </w:rPr>
          <w:t>nnexe V</w:t>
        </w:r>
      </w:hyperlink>
      <w:r w:rsidRPr="002B65F7">
        <w:t>. En signalant les effets indésirables, vous contribuez à fournir davantage d’informations sur la sécurité du médicament.</w:t>
      </w:r>
    </w:p>
    <w:p w14:paraId="03B59116" w14:textId="77777777" w:rsidR="00092F83" w:rsidRPr="002B65F7" w:rsidRDefault="00092F83" w:rsidP="00496255">
      <w:pPr>
        <w:widowControl/>
      </w:pPr>
    </w:p>
    <w:p w14:paraId="03B59117" w14:textId="77777777" w:rsidR="00092F83" w:rsidRPr="002B65F7" w:rsidRDefault="00092F83" w:rsidP="00496255">
      <w:pPr>
        <w:widowControl/>
      </w:pPr>
    </w:p>
    <w:p w14:paraId="03B59118" w14:textId="1BBCD576" w:rsidR="00092F83" w:rsidRPr="002B65F7" w:rsidRDefault="009D6A7A" w:rsidP="00496255">
      <w:pPr>
        <w:keepNext/>
        <w:widowControl/>
        <w:tabs>
          <w:tab w:val="left" w:pos="567"/>
        </w:tabs>
        <w:ind w:left="567" w:hanging="567"/>
        <w:rPr>
          <w:b/>
          <w:bCs/>
        </w:rPr>
      </w:pPr>
      <w:r w:rsidRPr="002B65F7">
        <w:rPr>
          <w:b/>
          <w:bCs/>
        </w:rPr>
        <w:lastRenderedPageBreak/>
        <w:t>5.</w:t>
      </w:r>
      <w:r w:rsidRPr="002B65F7">
        <w:rPr>
          <w:b/>
          <w:bCs/>
        </w:rPr>
        <w:tab/>
      </w:r>
      <w:r w:rsidR="00C31740" w:rsidRPr="002B65F7">
        <w:rPr>
          <w:b/>
          <w:bCs/>
        </w:rPr>
        <w:t xml:space="preserve">Comment conserver </w:t>
      </w:r>
      <w:r w:rsidR="00992314" w:rsidRPr="002B65F7">
        <w:rPr>
          <w:b/>
          <w:bCs/>
        </w:rPr>
        <w:t>WEZENLA</w:t>
      </w:r>
    </w:p>
    <w:p w14:paraId="03B59119" w14:textId="77777777" w:rsidR="00092F83" w:rsidRPr="002B65F7" w:rsidRDefault="00092F83" w:rsidP="00496255">
      <w:pPr>
        <w:keepNext/>
        <w:widowControl/>
      </w:pPr>
    </w:p>
    <w:p w14:paraId="03B5911A" w14:textId="1DCB2947" w:rsidR="00092F83" w:rsidRPr="002B65F7" w:rsidRDefault="00C31740" w:rsidP="00814670">
      <w:pPr>
        <w:pStyle w:val="ListParagraph"/>
        <w:widowControl/>
        <w:numPr>
          <w:ilvl w:val="1"/>
          <w:numId w:val="62"/>
        </w:numPr>
        <w:tabs>
          <w:tab w:val="left" w:pos="567"/>
        </w:tabs>
        <w:ind w:left="567" w:hanging="567"/>
      </w:pPr>
      <w:r w:rsidRPr="002B65F7">
        <w:t>Tenir ce médicament hors de la vue et de la portée des enfants.</w:t>
      </w:r>
    </w:p>
    <w:p w14:paraId="03B5911B" w14:textId="0CE0F884" w:rsidR="00092F83" w:rsidRPr="002B65F7" w:rsidRDefault="00C31740" w:rsidP="00814670">
      <w:pPr>
        <w:pStyle w:val="ListParagraph"/>
        <w:widowControl/>
        <w:numPr>
          <w:ilvl w:val="1"/>
          <w:numId w:val="62"/>
        </w:numPr>
        <w:tabs>
          <w:tab w:val="left" w:pos="567"/>
        </w:tabs>
        <w:ind w:left="567" w:hanging="567"/>
      </w:pPr>
      <w:r w:rsidRPr="002B65F7">
        <w:t>A conserver au réfrigérateur (entre 2°C et 8°C). Ne pas congeler.</w:t>
      </w:r>
    </w:p>
    <w:p w14:paraId="03B5911C" w14:textId="3D438AE3" w:rsidR="00092F83" w:rsidRPr="002B65F7" w:rsidRDefault="00C31740" w:rsidP="00814670">
      <w:pPr>
        <w:pStyle w:val="ListParagraph"/>
        <w:widowControl/>
        <w:numPr>
          <w:ilvl w:val="1"/>
          <w:numId w:val="62"/>
        </w:numPr>
        <w:tabs>
          <w:tab w:val="left" w:pos="567"/>
        </w:tabs>
        <w:ind w:left="567" w:hanging="567"/>
      </w:pPr>
      <w:r w:rsidRPr="002B65F7">
        <w:t>Conserver la seringue préremplie dans l’emballage extérieur à l’abri de la lumière.</w:t>
      </w:r>
    </w:p>
    <w:p w14:paraId="03B5911D" w14:textId="17640868" w:rsidR="00092F83" w:rsidRPr="002B65F7" w:rsidRDefault="00C31740" w:rsidP="00814670">
      <w:pPr>
        <w:pStyle w:val="ListParagraph"/>
        <w:widowControl/>
        <w:numPr>
          <w:ilvl w:val="1"/>
          <w:numId w:val="62"/>
        </w:numPr>
        <w:tabs>
          <w:tab w:val="left" w:pos="567"/>
        </w:tabs>
        <w:ind w:left="567" w:hanging="567"/>
      </w:pPr>
      <w:r w:rsidRPr="002B65F7">
        <w:t>Si nécessaire, les seringues préremplies individuelles peuvent aussi être conservées à température ambiante jusqu’à 30°C pendant une période unique de 30</w:t>
      </w:r>
      <w:r w:rsidR="009F7D08" w:rsidRPr="002B65F7">
        <w:t> </w:t>
      </w:r>
      <w:r w:rsidRPr="002B65F7">
        <w:t>jours maximum dans le carton d’origine à l’abri de la lumière. Inscrire la date à laquelle la seringue préremplie est retirée du réfrigérateur et la date à laquelle elle ne doit plus être utilisée. La date à laquelle la seringue ne doit plus être utilisée ne doit pas dépasser la date de péremption initiale imprimée sur le carton. Une fois qu'une seringue a été conservée à température ambiante (jusqu'à 30°C), elle ne doit pas être remise au réfrigérateur. Jeter la seringue si elle n'est pas utilisée dans les 30</w:t>
      </w:r>
      <w:r w:rsidR="00885C92" w:rsidRPr="002B65F7">
        <w:t> </w:t>
      </w:r>
      <w:r w:rsidRPr="002B65F7">
        <w:t>jours suivant sa conservation à température ambiante ou à la date de péremption initiale, si celle-ci est antérieure.</w:t>
      </w:r>
    </w:p>
    <w:p w14:paraId="03B5911E" w14:textId="562FA7F3" w:rsidR="00092F83" w:rsidRPr="002B65F7" w:rsidRDefault="00C31740" w:rsidP="00814670">
      <w:pPr>
        <w:pStyle w:val="ListParagraph"/>
        <w:widowControl/>
        <w:numPr>
          <w:ilvl w:val="1"/>
          <w:numId w:val="62"/>
        </w:numPr>
        <w:tabs>
          <w:tab w:val="left" w:pos="567"/>
        </w:tabs>
        <w:ind w:left="567" w:hanging="567"/>
      </w:pPr>
      <w:r w:rsidRPr="002B65F7">
        <w:t xml:space="preserve">Ne pas agiter les seringues préremplies de </w:t>
      </w:r>
      <w:r w:rsidR="00992314" w:rsidRPr="002B65F7">
        <w:t>WEZENLA</w:t>
      </w:r>
      <w:r w:rsidRPr="002B65F7">
        <w:t>. Une agitation prolongée et vigoureuse peut endommager le médicament.</w:t>
      </w:r>
    </w:p>
    <w:p w14:paraId="03B5911F" w14:textId="77777777" w:rsidR="00092F83" w:rsidRPr="002B65F7" w:rsidRDefault="00092F83" w:rsidP="00496255">
      <w:pPr>
        <w:widowControl/>
      </w:pPr>
    </w:p>
    <w:p w14:paraId="03B59120" w14:textId="77777777" w:rsidR="00092F83" w:rsidRPr="002B65F7" w:rsidRDefault="00C31740" w:rsidP="00496255">
      <w:pPr>
        <w:keepNext/>
        <w:widowControl/>
        <w:rPr>
          <w:b/>
          <w:bCs/>
        </w:rPr>
      </w:pPr>
      <w:r w:rsidRPr="002B65F7">
        <w:rPr>
          <w:b/>
          <w:bCs/>
        </w:rPr>
        <w:t>N’utilisez pas ce médicament</w:t>
      </w:r>
    </w:p>
    <w:p w14:paraId="03B59121" w14:textId="69E8BE67" w:rsidR="00092F83" w:rsidRPr="002B65F7" w:rsidRDefault="00C31740" w:rsidP="00814670">
      <w:pPr>
        <w:pStyle w:val="ListParagraph"/>
        <w:widowControl/>
        <w:numPr>
          <w:ilvl w:val="1"/>
          <w:numId w:val="62"/>
        </w:numPr>
        <w:tabs>
          <w:tab w:val="left" w:pos="567"/>
        </w:tabs>
        <w:ind w:left="567" w:hanging="567"/>
      </w:pPr>
      <w:r w:rsidRPr="002B65F7">
        <w:t>Après la date de péremption indiquée sur l’emballage après “EXP”. La date de péremption fait référence au dernier jour de ce mois.</w:t>
      </w:r>
    </w:p>
    <w:p w14:paraId="03B59124" w14:textId="4108C972" w:rsidR="00092F83" w:rsidRPr="002B65F7" w:rsidRDefault="00C31740" w:rsidP="00814670">
      <w:pPr>
        <w:pStyle w:val="ListParagraph"/>
        <w:widowControl/>
        <w:numPr>
          <w:ilvl w:val="1"/>
          <w:numId w:val="62"/>
        </w:numPr>
        <w:tabs>
          <w:tab w:val="left" w:pos="567"/>
        </w:tabs>
        <w:ind w:left="567" w:hanging="567"/>
      </w:pPr>
      <w:r w:rsidRPr="002B65F7">
        <w:t>Si vous remarquez que le liquide est décoloré, laiteux ou si vous voyez des particules étrangères qui flottent (voir rubrique</w:t>
      </w:r>
      <w:r w:rsidR="00082658" w:rsidRPr="002B65F7">
        <w:t> </w:t>
      </w:r>
      <w:r w:rsidRPr="002B65F7">
        <w:t xml:space="preserve">6 « Comment se présente </w:t>
      </w:r>
      <w:r w:rsidR="00992314" w:rsidRPr="002B65F7">
        <w:t>WEZENLA</w:t>
      </w:r>
      <w:r w:rsidRPr="002B65F7">
        <w:t xml:space="preserve"> et contenu de l’emballage</w:t>
      </w:r>
      <w:r w:rsidR="00581662" w:rsidRPr="002B65F7">
        <w:t xml:space="preserve"> </w:t>
      </w:r>
      <w:r w:rsidRPr="002B65F7">
        <w:t>extérieur »).</w:t>
      </w:r>
    </w:p>
    <w:p w14:paraId="03B59125" w14:textId="18D940D2" w:rsidR="00092F83" w:rsidRPr="002B65F7" w:rsidRDefault="00C31740" w:rsidP="00BB66E5">
      <w:pPr>
        <w:pStyle w:val="ListParagraph"/>
        <w:keepNext/>
        <w:widowControl/>
        <w:numPr>
          <w:ilvl w:val="1"/>
          <w:numId w:val="62"/>
        </w:numPr>
        <w:tabs>
          <w:tab w:val="left" w:pos="567"/>
        </w:tabs>
        <w:ind w:left="567" w:hanging="567"/>
      </w:pPr>
      <w:r w:rsidRPr="002B65F7">
        <w:t>Si vous savez ou pensez que le produit a pu être exposé à des températures extrêmes (telles qu’une congélation ou un réchauffement accidentel).</w:t>
      </w:r>
    </w:p>
    <w:p w14:paraId="03B59126" w14:textId="789E1ADD" w:rsidR="00092F83" w:rsidRPr="002B65F7" w:rsidRDefault="00C31740" w:rsidP="00814670">
      <w:pPr>
        <w:pStyle w:val="ListParagraph"/>
        <w:widowControl/>
        <w:numPr>
          <w:ilvl w:val="1"/>
          <w:numId w:val="62"/>
        </w:numPr>
        <w:tabs>
          <w:tab w:val="left" w:pos="567"/>
        </w:tabs>
        <w:ind w:left="567" w:hanging="567"/>
      </w:pPr>
      <w:r w:rsidRPr="002B65F7">
        <w:t>Si le produit a été vigoureusement agité.</w:t>
      </w:r>
    </w:p>
    <w:p w14:paraId="242C7904" w14:textId="77777777" w:rsidR="00581662" w:rsidRPr="002B65F7" w:rsidRDefault="00581662" w:rsidP="00496255">
      <w:pPr>
        <w:widowControl/>
      </w:pPr>
    </w:p>
    <w:p w14:paraId="03B59127" w14:textId="6B64A024" w:rsidR="00092F83" w:rsidRPr="002B65F7" w:rsidRDefault="00992314" w:rsidP="00496255">
      <w:pPr>
        <w:widowControl/>
      </w:pPr>
      <w:r w:rsidRPr="002B65F7">
        <w:t>WEZENLA</w:t>
      </w:r>
      <w:r w:rsidR="00C31740" w:rsidRPr="002B65F7">
        <w:t xml:space="preserve"> est à usage unique. Tout produit inutilisé restant dans la seringue doit être jeté. Ne jetez aucun médicament au tout à l’égout ou avec les ordures ménagères. Demandez à votre pharmacien d’éliminer les médicaments que vous n’utilisez plus. Ces mesures contribueront à protéger l’environnement.</w:t>
      </w:r>
    </w:p>
    <w:p w14:paraId="03B59128" w14:textId="77777777" w:rsidR="00092F83" w:rsidRPr="002B65F7" w:rsidRDefault="00092F83" w:rsidP="00496255">
      <w:pPr>
        <w:widowControl/>
      </w:pPr>
    </w:p>
    <w:p w14:paraId="652ABCF5" w14:textId="77777777" w:rsidR="00581662" w:rsidRPr="002B65F7" w:rsidRDefault="00581662" w:rsidP="00496255">
      <w:pPr>
        <w:widowControl/>
        <w:rPr>
          <w:b/>
          <w:bCs/>
        </w:rPr>
      </w:pPr>
    </w:p>
    <w:p w14:paraId="5FEC9CB9" w14:textId="77777777" w:rsidR="00581662" w:rsidRPr="002B65F7" w:rsidRDefault="00581662" w:rsidP="00496255">
      <w:pPr>
        <w:keepNext/>
        <w:widowControl/>
        <w:tabs>
          <w:tab w:val="left" w:pos="567"/>
        </w:tabs>
        <w:ind w:left="567" w:hanging="567"/>
        <w:rPr>
          <w:b/>
          <w:bCs/>
        </w:rPr>
      </w:pPr>
      <w:r w:rsidRPr="002B65F7">
        <w:rPr>
          <w:b/>
          <w:bCs/>
        </w:rPr>
        <w:t>6.</w:t>
      </w:r>
      <w:r w:rsidRPr="002B65F7">
        <w:rPr>
          <w:b/>
          <w:bCs/>
        </w:rPr>
        <w:tab/>
      </w:r>
      <w:r w:rsidR="00C31740" w:rsidRPr="002B65F7">
        <w:rPr>
          <w:b/>
          <w:bCs/>
        </w:rPr>
        <w:t>Contenu de l’emballage et autres informations</w:t>
      </w:r>
    </w:p>
    <w:p w14:paraId="0507B4E3" w14:textId="77777777" w:rsidR="00581662" w:rsidRPr="002B65F7" w:rsidRDefault="00581662" w:rsidP="00496255">
      <w:pPr>
        <w:keepNext/>
        <w:widowControl/>
        <w:rPr>
          <w:b/>
          <w:bCs/>
        </w:rPr>
      </w:pPr>
    </w:p>
    <w:p w14:paraId="03B59129" w14:textId="286A26F5" w:rsidR="00092F83" w:rsidRPr="002B65F7" w:rsidRDefault="00C31740" w:rsidP="00496255">
      <w:pPr>
        <w:keepNext/>
        <w:widowControl/>
        <w:rPr>
          <w:b/>
          <w:bCs/>
        </w:rPr>
      </w:pPr>
      <w:r w:rsidRPr="002B65F7">
        <w:rPr>
          <w:b/>
          <w:bCs/>
        </w:rPr>
        <w:t xml:space="preserve">Ce que contient </w:t>
      </w:r>
      <w:r w:rsidR="00992314" w:rsidRPr="002B65F7">
        <w:rPr>
          <w:b/>
          <w:bCs/>
        </w:rPr>
        <w:t>WEZENLA</w:t>
      </w:r>
    </w:p>
    <w:p w14:paraId="18A59B21" w14:textId="77777777" w:rsidR="00581662" w:rsidRPr="002B65F7" w:rsidRDefault="00581662" w:rsidP="00496255">
      <w:pPr>
        <w:widowControl/>
      </w:pPr>
    </w:p>
    <w:p w14:paraId="03B5912A" w14:textId="2C52E630" w:rsidR="00092F83" w:rsidRPr="002B65F7" w:rsidRDefault="00C31740" w:rsidP="00814670">
      <w:pPr>
        <w:pStyle w:val="ListParagraph"/>
        <w:widowControl/>
        <w:numPr>
          <w:ilvl w:val="1"/>
          <w:numId w:val="62"/>
        </w:numPr>
        <w:tabs>
          <w:tab w:val="left" w:pos="567"/>
        </w:tabs>
        <w:ind w:left="567" w:hanging="567"/>
      </w:pPr>
      <w:r w:rsidRPr="002B65F7">
        <w:t>La substance active est l’</w:t>
      </w:r>
      <w:r w:rsidR="0071390F" w:rsidRPr="002B65F7">
        <w:t>ustekinumab</w:t>
      </w:r>
      <w:r w:rsidRPr="002B65F7">
        <w:t>. Chaque seringue préremplie contient 45</w:t>
      </w:r>
      <w:r w:rsidR="00581662" w:rsidRPr="002B65F7">
        <w:t> </w:t>
      </w:r>
      <w:r w:rsidRPr="002B65F7">
        <w:t>mg d’</w:t>
      </w:r>
      <w:r w:rsidR="0071390F" w:rsidRPr="002B65F7">
        <w:t>ustekinumab</w:t>
      </w:r>
      <w:r w:rsidRPr="002B65F7">
        <w:t xml:space="preserve"> dans 0,5</w:t>
      </w:r>
      <w:r w:rsidR="00581662" w:rsidRPr="002B65F7">
        <w:t> </w:t>
      </w:r>
      <w:r w:rsidRPr="002B65F7">
        <w:t>mL</w:t>
      </w:r>
      <w:r w:rsidR="00BC3469" w:rsidRPr="002B65F7">
        <w:t xml:space="preserve"> ou 90 mg d’</w:t>
      </w:r>
      <w:r w:rsidR="0071390F" w:rsidRPr="002B65F7">
        <w:t>ustekinumab</w:t>
      </w:r>
      <w:r w:rsidR="00BC3469" w:rsidRPr="002B65F7">
        <w:t xml:space="preserve"> dans 1 mL</w:t>
      </w:r>
      <w:r w:rsidRPr="002B65F7">
        <w:t>.</w:t>
      </w:r>
    </w:p>
    <w:p w14:paraId="03B5912B" w14:textId="54EF2E4F" w:rsidR="00092F83" w:rsidRPr="002B65F7" w:rsidRDefault="00C31740" w:rsidP="00814670">
      <w:pPr>
        <w:pStyle w:val="ListParagraph"/>
        <w:widowControl/>
        <w:numPr>
          <w:ilvl w:val="1"/>
          <w:numId w:val="62"/>
        </w:numPr>
        <w:tabs>
          <w:tab w:val="left" w:pos="567"/>
        </w:tabs>
        <w:ind w:left="567" w:hanging="567"/>
      </w:pPr>
      <w:r w:rsidRPr="002B65F7">
        <w:t>Les autres composants sont : L-histidine, chlorhydrate monohydraté de L-histidine, polysorbate</w:t>
      </w:r>
      <w:r w:rsidR="00885C92" w:rsidRPr="002B65F7">
        <w:t> </w:t>
      </w:r>
      <w:r w:rsidRPr="002B65F7">
        <w:t>80</w:t>
      </w:r>
      <w:r w:rsidR="00F20739">
        <w:t xml:space="preserve"> (E</w:t>
      </w:r>
      <w:r w:rsidR="00F20739" w:rsidRPr="002B65F7">
        <w:t> </w:t>
      </w:r>
      <w:r w:rsidR="00F20739">
        <w:t>433)</w:t>
      </w:r>
      <w:r w:rsidRPr="002B65F7">
        <w:t>, saccharose et eau pour préparations injectables.</w:t>
      </w:r>
    </w:p>
    <w:p w14:paraId="174DC5C0" w14:textId="77777777" w:rsidR="00581662" w:rsidRPr="002B65F7" w:rsidRDefault="00581662" w:rsidP="00496255">
      <w:pPr>
        <w:widowControl/>
      </w:pPr>
    </w:p>
    <w:p w14:paraId="03B5912C" w14:textId="0413565E" w:rsidR="00092F83" w:rsidRPr="002B65F7" w:rsidRDefault="00C31740" w:rsidP="00496255">
      <w:pPr>
        <w:keepNext/>
        <w:widowControl/>
        <w:rPr>
          <w:b/>
          <w:bCs/>
        </w:rPr>
      </w:pPr>
      <w:r w:rsidRPr="002B65F7">
        <w:rPr>
          <w:b/>
          <w:bCs/>
        </w:rPr>
        <w:t xml:space="preserve">Comment se présente </w:t>
      </w:r>
      <w:r w:rsidR="00BC3469" w:rsidRPr="002B65F7">
        <w:rPr>
          <w:b/>
          <w:bCs/>
        </w:rPr>
        <w:t>WEZENLA</w:t>
      </w:r>
      <w:r w:rsidRPr="002B65F7">
        <w:rPr>
          <w:b/>
          <w:bCs/>
        </w:rPr>
        <w:t xml:space="preserve"> et contenu de l’emballage extérieur</w:t>
      </w:r>
    </w:p>
    <w:p w14:paraId="03B5912E" w14:textId="28C03D14" w:rsidR="00092F83" w:rsidRPr="002B65F7" w:rsidRDefault="00BC3469" w:rsidP="00496255">
      <w:pPr>
        <w:widowControl/>
      </w:pPr>
      <w:r w:rsidRPr="002B65F7">
        <w:t>WEZENLA</w:t>
      </w:r>
      <w:r w:rsidR="00C31740" w:rsidRPr="002B65F7">
        <w:t xml:space="preserve"> est une solution injectable limpide à opalescente, incolore à jaune clair. Elle est fournie dans un emballage cartonné contenant une seringue préremplie unidose en verre de</w:t>
      </w:r>
      <w:r w:rsidRPr="002B65F7">
        <w:t xml:space="preserve"> </w:t>
      </w:r>
      <w:r w:rsidR="00C31740" w:rsidRPr="002B65F7">
        <w:t>1</w:t>
      </w:r>
      <w:r w:rsidR="00581662" w:rsidRPr="002B65F7">
        <w:t> </w:t>
      </w:r>
      <w:r w:rsidR="00C31740" w:rsidRPr="002B65F7">
        <w:t>mL. Chaque seringue préremplie contient 45</w:t>
      </w:r>
      <w:r w:rsidR="00581662" w:rsidRPr="002B65F7">
        <w:t> </w:t>
      </w:r>
      <w:r w:rsidR="00C31740" w:rsidRPr="002B65F7">
        <w:t>mg d’</w:t>
      </w:r>
      <w:r w:rsidR="0071390F" w:rsidRPr="002B65F7">
        <w:t>ustekinumab</w:t>
      </w:r>
      <w:r w:rsidR="00C31740" w:rsidRPr="002B65F7">
        <w:t xml:space="preserve"> dans 0,5</w:t>
      </w:r>
      <w:r w:rsidR="00581662" w:rsidRPr="002B65F7">
        <w:t> </w:t>
      </w:r>
      <w:r w:rsidR="00C31740" w:rsidRPr="002B65F7">
        <w:t xml:space="preserve">mL </w:t>
      </w:r>
      <w:r w:rsidRPr="002B65F7">
        <w:t>ou 90 mg d’</w:t>
      </w:r>
      <w:r w:rsidR="0071390F" w:rsidRPr="002B65F7">
        <w:t>ustekinumab</w:t>
      </w:r>
      <w:r w:rsidRPr="002B65F7">
        <w:t xml:space="preserve"> dans 1 mL </w:t>
      </w:r>
      <w:r w:rsidR="00C31740" w:rsidRPr="002B65F7">
        <w:t>de solution injectable.</w:t>
      </w:r>
    </w:p>
    <w:p w14:paraId="7C4845DB" w14:textId="77777777" w:rsidR="00581662" w:rsidRPr="002B65F7" w:rsidRDefault="00581662" w:rsidP="00496255">
      <w:pPr>
        <w:widowControl/>
      </w:pPr>
    </w:p>
    <w:p w14:paraId="03B5912F" w14:textId="0AB18158" w:rsidR="00092F83" w:rsidRPr="00A2167E" w:rsidRDefault="00C31740" w:rsidP="00496255">
      <w:pPr>
        <w:keepNext/>
        <w:widowControl/>
        <w:rPr>
          <w:b/>
          <w:bCs/>
          <w:highlight w:val="lightGray"/>
        </w:rPr>
      </w:pPr>
      <w:r w:rsidRPr="00A2167E">
        <w:rPr>
          <w:b/>
          <w:bCs/>
          <w:highlight w:val="lightGray"/>
        </w:rPr>
        <w:t>Titulaire de l’Autorisation de mise sur le marché</w:t>
      </w:r>
      <w:r w:rsidR="00BC3469" w:rsidRPr="00A2167E">
        <w:rPr>
          <w:b/>
          <w:bCs/>
          <w:highlight w:val="lightGray"/>
        </w:rPr>
        <w:t xml:space="preserve"> et </w:t>
      </w:r>
      <w:r w:rsidR="000C07BC" w:rsidRPr="00A2167E">
        <w:rPr>
          <w:b/>
          <w:bCs/>
          <w:highlight w:val="lightGray"/>
        </w:rPr>
        <w:t>f</w:t>
      </w:r>
      <w:r w:rsidR="00BC3469" w:rsidRPr="00A2167E">
        <w:rPr>
          <w:b/>
          <w:bCs/>
          <w:highlight w:val="lightGray"/>
        </w:rPr>
        <w:t>abricant</w:t>
      </w:r>
    </w:p>
    <w:p w14:paraId="1A55D0D2" w14:textId="77777777" w:rsidR="00BC3469" w:rsidRPr="00A2167E" w:rsidRDefault="00BC3469" w:rsidP="00BC3469">
      <w:pPr>
        <w:rPr>
          <w:highlight w:val="lightGray"/>
          <w:lang w:val="en-GB"/>
        </w:rPr>
      </w:pPr>
      <w:r w:rsidRPr="00A2167E">
        <w:rPr>
          <w:highlight w:val="lightGray"/>
          <w:lang w:val="en-GB"/>
        </w:rPr>
        <w:t>Amgen Technology (Ireland) UC,</w:t>
      </w:r>
    </w:p>
    <w:p w14:paraId="6938C68D" w14:textId="77777777" w:rsidR="00BC3469" w:rsidRPr="00A2167E" w:rsidRDefault="00BC3469" w:rsidP="00BC3469">
      <w:pPr>
        <w:rPr>
          <w:highlight w:val="lightGray"/>
          <w:lang w:val="en-GB"/>
        </w:rPr>
      </w:pPr>
      <w:r w:rsidRPr="00A2167E">
        <w:rPr>
          <w:highlight w:val="lightGray"/>
          <w:lang w:val="en-GB"/>
        </w:rPr>
        <w:t>Pottery Road,</w:t>
      </w:r>
    </w:p>
    <w:p w14:paraId="42260D41" w14:textId="77777777" w:rsidR="00BC3469" w:rsidRPr="00A2167E" w:rsidRDefault="00BC3469" w:rsidP="00BC3469">
      <w:pPr>
        <w:rPr>
          <w:highlight w:val="lightGray"/>
        </w:rPr>
      </w:pPr>
      <w:r w:rsidRPr="00A2167E">
        <w:rPr>
          <w:highlight w:val="lightGray"/>
        </w:rPr>
        <w:t>Dun Laoghaire,</w:t>
      </w:r>
    </w:p>
    <w:p w14:paraId="48D73E05" w14:textId="77777777" w:rsidR="00BC3469" w:rsidRPr="00A2167E" w:rsidRDefault="00BC3469" w:rsidP="00BC3469">
      <w:pPr>
        <w:rPr>
          <w:highlight w:val="lightGray"/>
        </w:rPr>
      </w:pPr>
      <w:r w:rsidRPr="00A2167E">
        <w:rPr>
          <w:highlight w:val="lightGray"/>
        </w:rPr>
        <w:t>Co Dublin,</w:t>
      </w:r>
    </w:p>
    <w:p w14:paraId="047323A1" w14:textId="0D002355" w:rsidR="00BC3469" w:rsidRPr="002B65F7" w:rsidRDefault="00BC3469" w:rsidP="00BC3469">
      <w:r w:rsidRPr="00A2167E">
        <w:rPr>
          <w:highlight w:val="lightGray"/>
        </w:rPr>
        <w:t>Irlande</w:t>
      </w:r>
    </w:p>
    <w:p w14:paraId="0FBF4219" w14:textId="1CB93190" w:rsidR="00581662" w:rsidRPr="002B65F7" w:rsidRDefault="00581662" w:rsidP="003743BD">
      <w:pPr>
        <w:keepNext/>
        <w:keepLines/>
        <w:widowControl/>
      </w:pPr>
    </w:p>
    <w:p w14:paraId="4240E8C4" w14:textId="6674220B" w:rsidR="00BC3469" w:rsidRPr="00A2167E" w:rsidRDefault="00BC3469" w:rsidP="003743BD">
      <w:pPr>
        <w:keepNext/>
        <w:keepLines/>
        <w:widowControl/>
        <w:rPr>
          <w:b/>
          <w:bCs/>
        </w:rPr>
      </w:pPr>
      <w:r w:rsidRPr="00A2167E">
        <w:rPr>
          <w:b/>
          <w:bCs/>
        </w:rPr>
        <w:t>Titulaire de l’Autorisation de mise sur le marché</w:t>
      </w:r>
    </w:p>
    <w:p w14:paraId="75003ACC" w14:textId="77777777" w:rsidR="00BC3469" w:rsidRPr="00A2167E" w:rsidRDefault="00BC3469" w:rsidP="003743BD">
      <w:pPr>
        <w:keepNext/>
        <w:keepLines/>
        <w:rPr>
          <w:lang w:val="en-GB"/>
        </w:rPr>
      </w:pPr>
      <w:r w:rsidRPr="00A2167E">
        <w:rPr>
          <w:lang w:val="en-GB"/>
        </w:rPr>
        <w:t>Amgen Technology (Ireland) UC,</w:t>
      </w:r>
    </w:p>
    <w:p w14:paraId="24DCAA28" w14:textId="77777777" w:rsidR="00BC3469" w:rsidRPr="00A2167E" w:rsidRDefault="00BC3469" w:rsidP="00BC3469">
      <w:pPr>
        <w:rPr>
          <w:lang w:val="en-GB"/>
        </w:rPr>
      </w:pPr>
      <w:r w:rsidRPr="00A2167E">
        <w:rPr>
          <w:lang w:val="en-GB"/>
        </w:rPr>
        <w:t>Pottery Road,</w:t>
      </w:r>
    </w:p>
    <w:p w14:paraId="407898B9" w14:textId="77777777" w:rsidR="00BC3469" w:rsidRPr="00A2167E" w:rsidRDefault="00BC3469" w:rsidP="00BC3469">
      <w:r w:rsidRPr="00A2167E">
        <w:t>Dun Laoghaire,</w:t>
      </w:r>
    </w:p>
    <w:p w14:paraId="6D87C307" w14:textId="77777777" w:rsidR="00BC3469" w:rsidRPr="00A2167E" w:rsidRDefault="00BC3469" w:rsidP="00BC3469">
      <w:r w:rsidRPr="00A2167E">
        <w:t>Co Dublin,</w:t>
      </w:r>
    </w:p>
    <w:p w14:paraId="0C51CADF" w14:textId="77777777" w:rsidR="00BC3469" w:rsidRPr="005004AE" w:rsidRDefault="00BC3469" w:rsidP="00BC3469">
      <w:pPr>
        <w:rPr>
          <w:lang w:val="da-DK"/>
        </w:rPr>
      </w:pPr>
      <w:r w:rsidRPr="00A2167E">
        <w:rPr>
          <w:lang w:val="da-DK"/>
        </w:rPr>
        <w:t>Irlande</w:t>
      </w:r>
    </w:p>
    <w:p w14:paraId="2939FD3A" w14:textId="77777777" w:rsidR="00D00EC6" w:rsidRPr="005004AE" w:rsidRDefault="00D00EC6" w:rsidP="00BC3469">
      <w:pPr>
        <w:rPr>
          <w:lang w:val="da-DK"/>
        </w:rPr>
      </w:pPr>
    </w:p>
    <w:p w14:paraId="723A0885" w14:textId="77777777" w:rsidR="00D00EC6" w:rsidRPr="00052720" w:rsidRDefault="00D00EC6" w:rsidP="00D00EC6">
      <w:pPr>
        <w:keepNext/>
        <w:widowControl/>
        <w:rPr>
          <w:b/>
          <w:bCs/>
        </w:rPr>
      </w:pPr>
      <w:r w:rsidRPr="00052720">
        <w:rPr>
          <w:b/>
          <w:bCs/>
        </w:rPr>
        <w:t>Fabricant</w:t>
      </w:r>
    </w:p>
    <w:p w14:paraId="3765C7D5" w14:textId="77777777" w:rsidR="00D00EC6" w:rsidRPr="005004AE" w:rsidRDefault="00D00EC6" w:rsidP="00D00EC6">
      <w:pPr>
        <w:keepNext/>
        <w:numPr>
          <w:ilvl w:val="12"/>
          <w:numId w:val="0"/>
        </w:numPr>
        <w:rPr>
          <w:lang w:val="da-DK"/>
        </w:rPr>
      </w:pPr>
      <w:r w:rsidRPr="005004AE">
        <w:rPr>
          <w:lang w:val="da-DK"/>
        </w:rPr>
        <w:t xml:space="preserve">Amgen Europe B.V., </w:t>
      </w:r>
    </w:p>
    <w:p w14:paraId="56B01769" w14:textId="77777777" w:rsidR="00D00EC6" w:rsidRPr="005004AE" w:rsidRDefault="00D00EC6" w:rsidP="00D00EC6">
      <w:pPr>
        <w:keepNext/>
        <w:numPr>
          <w:ilvl w:val="12"/>
          <w:numId w:val="0"/>
        </w:numPr>
        <w:rPr>
          <w:lang w:val="da-DK"/>
        </w:rPr>
      </w:pPr>
      <w:r w:rsidRPr="005004AE">
        <w:rPr>
          <w:lang w:val="da-DK"/>
        </w:rPr>
        <w:t xml:space="preserve">Minervum 7061, </w:t>
      </w:r>
    </w:p>
    <w:p w14:paraId="3C7EF99A" w14:textId="77777777" w:rsidR="00D00EC6" w:rsidRPr="005004AE" w:rsidRDefault="00D00EC6" w:rsidP="00D00EC6">
      <w:pPr>
        <w:keepNext/>
        <w:numPr>
          <w:ilvl w:val="12"/>
          <w:numId w:val="0"/>
        </w:numPr>
        <w:rPr>
          <w:lang w:val="da-DK"/>
        </w:rPr>
      </w:pPr>
      <w:r w:rsidRPr="005004AE">
        <w:rPr>
          <w:lang w:val="da-DK"/>
        </w:rPr>
        <w:t xml:space="preserve">4817 ZK Breda, </w:t>
      </w:r>
    </w:p>
    <w:p w14:paraId="115496EC" w14:textId="158EE7EB" w:rsidR="00D00EC6" w:rsidRPr="00A2167E" w:rsidRDefault="00D00EC6" w:rsidP="00D00EC6">
      <w:pPr>
        <w:keepNext/>
        <w:numPr>
          <w:ilvl w:val="12"/>
          <w:numId w:val="0"/>
        </w:numPr>
        <w:rPr>
          <w:highlight w:val="lightGray"/>
        </w:rPr>
      </w:pPr>
      <w:r w:rsidRPr="00A2167E">
        <w:t>Pays-Bas</w:t>
      </w:r>
    </w:p>
    <w:p w14:paraId="423FFD4A" w14:textId="77777777" w:rsidR="00BC3469" w:rsidRPr="00A2167E" w:rsidRDefault="00BC3469" w:rsidP="00496255">
      <w:pPr>
        <w:widowControl/>
      </w:pPr>
    </w:p>
    <w:p w14:paraId="03B59132" w14:textId="27DE21B1" w:rsidR="00092F83" w:rsidRPr="00A2167E" w:rsidRDefault="00C31740" w:rsidP="00496255">
      <w:pPr>
        <w:keepNext/>
        <w:widowControl/>
        <w:rPr>
          <w:b/>
          <w:bCs/>
        </w:rPr>
      </w:pPr>
      <w:r w:rsidRPr="00A2167E">
        <w:rPr>
          <w:b/>
          <w:bCs/>
          <w:highlight w:val="lightGray"/>
        </w:rPr>
        <w:t>Fabricant</w:t>
      </w:r>
    </w:p>
    <w:p w14:paraId="711422EB" w14:textId="77777777" w:rsidR="00BC3469" w:rsidRPr="00A2167E" w:rsidRDefault="00BC3469" w:rsidP="00BC3469">
      <w:pPr>
        <w:keepNext/>
        <w:rPr>
          <w:highlight w:val="lightGray"/>
        </w:rPr>
      </w:pPr>
      <w:r w:rsidRPr="00A2167E">
        <w:rPr>
          <w:highlight w:val="lightGray"/>
        </w:rPr>
        <w:t>Amgen NV</w:t>
      </w:r>
    </w:p>
    <w:p w14:paraId="2C8C8C7B" w14:textId="77777777" w:rsidR="00BC3469" w:rsidRPr="00A2167E" w:rsidRDefault="00BC3469" w:rsidP="00BC3469">
      <w:pPr>
        <w:keepNext/>
        <w:rPr>
          <w:highlight w:val="lightGray"/>
        </w:rPr>
      </w:pPr>
      <w:r w:rsidRPr="00A2167E">
        <w:rPr>
          <w:highlight w:val="lightGray"/>
        </w:rPr>
        <w:t>Telecomlaan 5-7</w:t>
      </w:r>
    </w:p>
    <w:p w14:paraId="26F60EF2" w14:textId="77777777" w:rsidR="00BC3469" w:rsidRDefault="00BC3469" w:rsidP="00BC3469">
      <w:pPr>
        <w:keepNext/>
        <w:rPr>
          <w:highlight w:val="lightGray"/>
        </w:rPr>
      </w:pPr>
      <w:r>
        <w:rPr>
          <w:highlight w:val="lightGray"/>
        </w:rPr>
        <w:t>1831 Diegem</w:t>
      </w:r>
    </w:p>
    <w:p w14:paraId="48A81F99" w14:textId="32A97E7F" w:rsidR="00BC3469" w:rsidRPr="002B65F7" w:rsidRDefault="00BC3469" w:rsidP="00BC3469">
      <w:r>
        <w:rPr>
          <w:highlight w:val="lightGray"/>
        </w:rPr>
        <w:t>Belgique</w:t>
      </w:r>
    </w:p>
    <w:p w14:paraId="231790CF" w14:textId="77777777" w:rsidR="00A44AA0" w:rsidRPr="002B65F7" w:rsidRDefault="00A44AA0" w:rsidP="00496255">
      <w:pPr>
        <w:widowControl/>
      </w:pPr>
    </w:p>
    <w:p w14:paraId="03B59136" w14:textId="77777777" w:rsidR="00092F83" w:rsidRPr="002B65F7" w:rsidRDefault="00C31740" w:rsidP="00496255">
      <w:pPr>
        <w:keepNext/>
        <w:widowControl/>
      </w:pPr>
      <w:r w:rsidRPr="002B65F7">
        <w:t>Pour toute information complémentaire concernant ce médicament, veuillez prendre contact avec le représentant local du titulaire de l’autorisation de mise sur le marché :</w:t>
      </w:r>
    </w:p>
    <w:p w14:paraId="03B59137" w14:textId="77777777" w:rsidR="00092F83" w:rsidRPr="002B65F7" w:rsidRDefault="00092F83" w:rsidP="00496255">
      <w:pPr>
        <w:widowControl/>
      </w:pPr>
    </w:p>
    <w:tbl>
      <w:tblPr>
        <w:tblW w:w="9360" w:type="dxa"/>
        <w:tblInd w:w="-34" w:type="dxa"/>
        <w:tblLayout w:type="fixed"/>
        <w:tblLook w:val="04A0" w:firstRow="1" w:lastRow="0" w:firstColumn="1" w:lastColumn="0" w:noHBand="0" w:noVBand="1"/>
      </w:tblPr>
      <w:tblGrid>
        <w:gridCol w:w="4680"/>
        <w:gridCol w:w="4680"/>
      </w:tblGrid>
      <w:tr w:rsidR="00BC3469" w:rsidRPr="002B65F7" w14:paraId="741FA802" w14:textId="77777777" w:rsidTr="00BF70DA">
        <w:trPr>
          <w:cantSplit/>
          <w:trHeight w:val="57"/>
        </w:trPr>
        <w:tc>
          <w:tcPr>
            <w:tcW w:w="4680" w:type="dxa"/>
          </w:tcPr>
          <w:p w14:paraId="52059CD3" w14:textId="77777777" w:rsidR="00BC3469" w:rsidRPr="002B65F7" w:rsidRDefault="00BC3469" w:rsidP="00BF70DA">
            <w:pPr>
              <w:rPr>
                <w:b/>
                <w:bCs/>
              </w:rPr>
            </w:pPr>
            <w:r w:rsidRPr="002B65F7">
              <w:rPr>
                <w:b/>
                <w:bCs/>
              </w:rPr>
              <w:t>België/Belgique/Belgien</w:t>
            </w:r>
          </w:p>
          <w:p w14:paraId="3C5E35BA" w14:textId="77777777" w:rsidR="00BC3469" w:rsidRPr="002B65F7" w:rsidRDefault="00BC3469" w:rsidP="00BF70DA">
            <w:r w:rsidRPr="002B65F7">
              <w:t>s.a. Amgen n.v.</w:t>
            </w:r>
          </w:p>
          <w:p w14:paraId="053FF52B" w14:textId="77C3F979" w:rsidR="00BC3469" w:rsidRPr="002B65F7" w:rsidRDefault="00BC3469" w:rsidP="00BF70DA">
            <w:r w:rsidRPr="002B65F7">
              <w:t>Tél</w:t>
            </w:r>
            <w:r w:rsidR="00572737" w:rsidRPr="002B65F7">
              <w:t>/Tel</w:t>
            </w:r>
            <w:r w:rsidRPr="002B65F7">
              <w:t>: +32 (0)2 7752711</w:t>
            </w:r>
          </w:p>
          <w:p w14:paraId="01AD28E0" w14:textId="77777777" w:rsidR="00BC3469" w:rsidRPr="002B65F7" w:rsidRDefault="00BC3469" w:rsidP="00BF70DA"/>
        </w:tc>
        <w:tc>
          <w:tcPr>
            <w:tcW w:w="4680" w:type="dxa"/>
          </w:tcPr>
          <w:p w14:paraId="6B05B9F7" w14:textId="77777777" w:rsidR="00BC3469" w:rsidRPr="002B65F7" w:rsidRDefault="00BC3469" w:rsidP="00BF70DA">
            <w:pPr>
              <w:rPr>
                <w:b/>
                <w:bCs/>
              </w:rPr>
            </w:pPr>
            <w:r w:rsidRPr="002B65F7">
              <w:rPr>
                <w:b/>
                <w:bCs/>
              </w:rPr>
              <w:t>Lietuva</w:t>
            </w:r>
          </w:p>
          <w:p w14:paraId="55BC3975" w14:textId="77777777" w:rsidR="00BC3469" w:rsidRPr="002B65F7" w:rsidRDefault="00BC3469" w:rsidP="00BF70DA">
            <w:r w:rsidRPr="002B65F7">
              <w:t>Amgen Switzerland AG Vilniaus filialas</w:t>
            </w:r>
          </w:p>
          <w:p w14:paraId="30F530AC" w14:textId="121CE543" w:rsidR="00BC3469" w:rsidRPr="00E102E6" w:rsidRDefault="00BC3469" w:rsidP="00BF70DA">
            <w:r w:rsidRPr="00E102E6">
              <w:t>T</w:t>
            </w:r>
            <w:r w:rsidR="00572737" w:rsidRPr="00E102E6">
              <w:t>é</w:t>
            </w:r>
            <w:r w:rsidRPr="00E102E6">
              <w:t>l: +370 5 219 7474</w:t>
            </w:r>
          </w:p>
          <w:p w14:paraId="4958F0EE" w14:textId="77777777" w:rsidR="00BC3469" w:rsidRPr="00E102E6" w:rsidRDefault="00BC3469" w:rsidP="00BF70DA"/>
        </w:tc>
      </w:tr>
      <w:tr w:rsidR="00BC3469" w:rsidRPr="002B65F7" w14:paraId="1E3265C0" w14:textId="77777777" w:rsidTr="00BF70DA">
        <w:trPr>
          <w:cantSplit/>
          <w:trHeight w:val="57"/>
        </w:trPr>
        <w:tc>
          <w:tcPr>
            <w:tcW w:w="4680" w:type="dxa"/>
          </w:tcPr>
          <w:p w14:paraId="7D7D54DA" w14:textId="77777777" w:rsidR="00BC3469" w:rsidRPr="002B65F7" w:rsidRDefault="00BC3469" w:rsidP="00BF70DA">
            <w:pPr>
              <w:rPr>
                <w:b/>
                <w:bCs/>
                <w:lang w:val="ru-RU"/>
              </w:rPr>
            </w:pPr>
            <w:r w:rsidRPr="002B65F7">
              <w:rPr>
                <w:b/>
                <w:bCs/>
                <w:lang w:val="ru-RU"/>
              </w:rPr>
              <w:t>България</w:t>
            </w:r>
          </w:p>
          <w:p w14:paraId="4C2D2069" w14:textId="77777777" w:rsidR="00BC3469" w:rsidRPr="002B65F7" w:rsidRDefault="00BC3469" w:rsidP="00BF70DA">
            <w:pPr>
              <w:rPr>
                <w:lang w:val="ru-RU"/>
              </w:rPr>
            </w:pPr>
            <w:r w:rsidRPr="002B65F7">
              <w:rPr>
                <w:lang w:val="ru-RU"/>
              </w:rPr>
              <w:t>Амджен България ЕООД</w:t>
            </w:r>
          </w:p>
          <w:p w14:paraId="7A4147AA" w14:textId="77777777" w:rsidR="00BC3469" w:rsidRPr="002B65F7" w:rsidRDefault="00BC3469" w:rsidP="00BF70DA">
            <w:pPr>
              <w:rPr>
                <w:lang w:val="ru-RU"/>
              </w:rPr>
            </w:pPr>
            <w:r w:rsidRPr="002B65F7">
              <w:rPr>
                <w:lang w:val="ru-RU"/>
              </w:rPr>
              <w:t>Тел.: +359 (0)2 424 7440</w:t>
            </w:r>
          </w:p>
          <w:p w14:paraId="356737B3" w14:textId="77777777" w:rsidR="00BC3469" w:rsidRPr="002B65F7" w:rsidRDefault="00BC3469" w:rsidP="00BF70DA">
            <w:pPr>
              <w:rPr>
                <w:lang w:val="ru-RU"/>
              </w:rPr>
            </w:pPr>
          </w:p>
        </w:tc>
        <w:tc>
          <w:tcPr>
            <w:tcW w:w="4680" w:type="dxa"/>
          </w:tcPr>
          <w:p w14:paraId="53D09A14" w14:textId="77777777" w:rsidR="00BC3469" w:rsidRPr="002B65F7" w:rsidRDefault="00BC3469" w:rsidP="00BF70DA">
            <w:pPr>
              <w:rPr>
                <w:b/>
                <w:bCs/>
                <w:lang w:val="de-DE"/>
              </w:rPr>
            </w:pPr>
            <w:r w:rsidRPr="002B65F7">
              <w:rPr>
                <w:b/>
                <w:bCs/>
                <w:lang w:val="de-DE"/>
              </w:rPr>
              <w:t>Luxembourg/Luxemburg</w:t>
            </w:r>
          </w:p>
          <w:p w14:paraId="04B3D91F" w14:textId="77777777" w:rsidR="00BC3469" w:rsidRPr="002B65F7" w:rsidRDefault="00BC3469" w:rsidP="00BF70DA">
            <w:pPr>
              <w:rPr>
                <w:lang w:val="de-DE"/>
              </w:rPr>
            </w:pPr>
            <w:r w:rsidRPr="002B65F7">
              <w:rPr>
                <w:lang w:val="de-DE"/>
              </w:rPr>
              <w:t>s.a. Amgen</w:t>
            </w:r>
          </w:p>
          <w:p w14:paraId="029D244D" w14:textId="77777777" w:rsidR="00BC3469" w:rsidRPr="002B65F7" w:rsidRDefault="00BC3469" w:rsidP="00BF70DA">
            <w:pPr>
              <w:rPr>
                <w:lang w:val="de-DE"/>
              </w:rPr>
            </w:pPr>
            <w:r w:rsidRPr="002B65F7">
              <w:rPr>
                <w:lang w:val="de-DE"/>
              </w:rPr>
              <w:t>Belgique/Belgien</w:t>
            </w:r>
          </w:p>
          <w:p w14:paraId="61864DA0" w14:textId="6A68F941" w:rsidR="00BC3469" w:rsidRPr="002B65F7" w:rsidRDefault="00BC3469" w:rsidP="00BF70DA">
            <w:pPr>
              <w:rPr>
                <w:lang w:val="en-GB"/>
              </w:rPr>
            </w:pPr>
            <w:r w:rsidRPr="002B65F7">
              <w:rPr>
                <w:lang w:val="en-GB"/>
              </w:rPr>
              <w:t>Tél</w:t>
            </w:r>
            <w:r w:rsidR="00572737" w:rsidRPr="002B65F7">
              <w:rPr>
                <w:lang w:val="en-GB"/>
              </w:rPr>
              <w:t>/Tel</w:t>
            </w:r>
            <w:r w:rsidRPr="002B65F7">
              <w:rPr>
                <w:lang w:val="en-GB"/>
              </w:rPr>
              <w:t>: +32 (0)2 7752711</w:t>
            </w:r>
          </w:p>
          <w:p w14:paraId="785CE10B" w14:textId="77777777" w:rsidR="00BC3469" w:rsidRPr="002B65F7" w:rsidRDefault="00BC3469" w:rsidP="00BF70DA">
            <w:pPr>
              <w:rPr>
                <w:bCs/>
                <w:lang w:val="en-GB"/>
              </w:rPr>
            </w:pPr>
          </w:p>
        </w:tc>
      </w:tr>
      <w:tr w:rsidR="00BC3469" w:rsidRPr="002B65F7" w14:paraId="379E1A8A" w14:textId="77777777" w:rsidTr="00BF70DA">
        <w:trPr>
          <w:cantSplit/>
          <w:trHeight w:val="57"/>
        </w:trPr>
        <w:tc>
          <w:tcPr>
            <w:tcW w:w="4680" w:type="dxa"/>
          </w:tcPr>
          <w:p w14:paraId="0E7628E1" w14:textId="77777777" w:rsidR="00BC3469" w:rsidRPr="002B65F7" w:rsidRDefault="00BC3469" w:rsidP="00814670">
            <w:pPr>
              <w:rPr>
                <w:b/>
                <w:bCs/>
                <w:lang w:val="sv-SE"/>
              </w:rPr>
            </w:pPr>
            <w:r w:rsidRPr="002B65F7">
              <w:rPr>
                <w:b/>
                <w:bCs/>
                <w:lang w:val="sv-SE"/>
              </w:rPr>
              <w:t>Česká republika</w:t>
            </w:r>
          </w:p>
          <w:p w14:paraId="660B0711" w14:textId="77777777" w:rsidR="00BC3469" w:rsidRPr="002B65F7" w:rsidRDefault="00BC3469" w:rsidP="00814670">
            <w:pPr>
              <w:rPr>
                <w:lang w:val="sv-SE"/>
              </w:rPr>
            </w:pPr>
            <w:r w:rsidRPr="002B65F7">
              <w:rPr>
                <w:lang w:val="sv-SE"/>
              </w:rPr>
              <w:t>Amgen s.r.o.</w:t>
            </w:r>
          </w:p>
          <w:p w14:paraId="501B1461" w14:textId="77777777" w:rsidR="00BC3469" w:rsidRPr="002B65F7" w:rsidRDefault="00BC3469" w:rsidP="00814670">
            <w:pPr>
              <w:rPr>
                <w:lang w:val="es-ES"/>
              </w:rPr>
            </w:pPr>
            <w:r w:rsidRPr="002B65F7">
              <w:rPr>
                <w:lang w:val="es-ES"/>
              </w:rPr>
              <w:t>Tel: +420 221 773 500</w:t>
            </w:r>
          </w:p>
          <w:p w14:paraId="39E9BB15" w14:textId="77777777" w:rsidR="00BC3469" w:rsidRPr="002B65F7" w:rsidRDefault="00BC3469" w:rsidP="00814670">
            <w:pPr>
              <w:rPr>
                <w:bCs/>
                <w:lang w:val="es-ES"/>
              </w:rPr>
            </w:pPr>
          </w:p>
        </w:tc>
        <w:tc>
          <w:tcPr>
            <w:tcW w:w="4680" w:type="dxa"/>
          </w:tcPr>
          <w:p w14:paraId="56BAF968" w14:textId="77777777" w:rsidR="00BC3469" w:rsidRPr="002B65F7" w:rsidRDefault="00BC3469" w:rsidP="00814670">
            <w:pPr>
              <w:rPr>
                <w:b/>
                <w:bCs/>
                <w:lang w:val="en-GB"/>
              </w:rPr>
            </w:pPr>
            <w:r w:rsidRPr="002B65F7">
              <w:rPr>
                <w:b/>
                <w:bCs/>
                <w:lang w:val="en-GB"/>
              </w:rPr>
              <w:t>Magyarország</w:t>
            </w:r>
          </w:p>
          <w:p w14:paraId="5DFEF062" w14:textId="77777777" w:rsidR="00BC3469" w:rsidRPr="002B65F7" w:rsidRDefault="00BC3469" w:rsidP="00814670">
            <w:pPr>
              <w:rPr>
                <w:lang w:val="en-GB"/>
              </w:rPr>
            </w:pPr>
            <w:r w:rsidRPr="002B65F7">
              <w:rPr>
                <w:lang w:val="en-GB"/>
              </w:rPr>
              <w:t>Amgen Kft.</w:t>
            </w:r>
          </w:p>
          <w:p w14:paraId="1858C522" w14:textId="1C91C204" w:rsidR="00BC3469" w:rsidRPr="002B65F7" w:rsidRDefault="00BC3469" w:rsidP="00814670">
            <w:pPr>
              <w:rPr>
                <w:lang w:val="en-GB"/>
              </w:rPr>
            </w:pPr>
            <w:r w:rsidRPr="002B65F7">
              <w:rPr>
                <w:lang w:val="en-GB"/>
              </w:rPr>
              <w:t>T</w:t>
            </w:r>
            <w:r w:rsidR="00572737" w:rsidRPr="002B65F7">
              <w:rPr>
                <w:lang w:val="en-GB"/>
              </w:rPr>
              <w:t>é</w:t>
            </w:r>
            <w:r w:rsidRPr="002B65F7">
              <w:rPr>
                <w:lang w:val="en-GB"/>
              </w:rPr>
              <w:t>l.: +36 1 35 44 700</w:t>
            </w:r>
          </w:p>
          <w:p w14:paraId="208F618D" w14:textId="77777777" w:rsidR="00BC3469" w:rsidRPr="002B65F7" w:rsidRDefault="00BC3469" w:rsidP="00814670">
            <w:pPr>
              <w:rPr>
                <w:lang w:val="en-GB"/>
              </w:rPr>
            </w:pPr>
          </w:p>
        </w:tc>
      </w:tr>
      <w:tr w:rsidR="00BC3469" w:rsidRPr="002B65F7" w14:paraId="40387CFB" w14:textId="77777777" w:rsidTr="00BF70DA">
        <w:trPr>
          <w:cantSplit/>
          <w:trHeight w:val="57"/>
        </w:trPr>
        <w:tc>
          <w:tcPr>
            <w:tcW w:w="4680" w:type="dxa"/>
          </w:tcPr>
          <w:p w14:paraId="476D0270" w14:textId="77777777" w:rsidR="00BC3469" w:rsidRPr="002B65F7" w:rsidRDefault="00BC3469" w:rsidP="00814670">
            <w:pPr>
              <w:rPr>
                <w:b/>
                <w:bCs/>
                <w:lang w:val="da-DK"/>
              </w:rPr>
            </w:pPr>
            <w:r w:rsidRPr="002B65F7">
              <w:rPr>
                <w:b/>
                <w:bCs/>
                <w:lang w:val="da-DK"/>
              </w:rPr>
              <w:t>Danmark</w:t>
            </w:r>
          </w:p>
          <w:p w14:paraId="3C036884" w14:textId="77777777" w:rsidR="00BC3469" w:rsidRPr="002B65F7" w:rsidRDefault="00BC3469" w:rsidP="00814670">
            <w:pPr>
              <w:rPr>
                <w:lang w:val="da-DK"/>
              </w:rPr>
            </w:pPr>
            <w:r w:rsidRPr="002B65F7">
              <w:rPr>
                <w:lang w:val="da-DK"/>
              </w:rPr>
              <w:t>Amgen, filial af Amgen AB, Sverige</w:t>
            </w:r>
          </w:p>
          <w:p w14:paraId="69CD6405" w14:textId="77777777" w:rsidR="00BC3469" w:rsidRPr="002B65F7" w:rsidRDefault="00BC3469" w:rsidP="00814670">
            <w:pPr>
              <w:rPr>
                <w:lang w:val="en-GB"/>
              </w:rPr>
            </w:pPr>
            <w:r w:rsidRPr="002B65F7">
              <w:rPr>
                <w:lang w:val="en-GB"/>
              </w:rPr>
              <w:t>Tlf.: +45 39617500</w:t>
            </w:r>
          </w:p>
          <w:p w14:paraId="07830C61" w14:textId="77777777" w:rsidR="00BC3469" w:rsidRPr="002B65F7" w:rsidRDefault="00BC3469" w:rsidP="00814670">
            <w:pPr>
              <w:pStyle w:val="lbltxt"/>
              <w:ind w:left="0" w:firstLine="0"/>
              <w:rPr>
                <w:noProof w:val="0"/>
                <w:szCs w:val="22"/>
              </w:rPr>
            </w:pPr>
          </w:p>
        </w:tc>
        <w:tc>
          <w:tcPr>
            <w:tcW w:w="4680" w:type="dxa"/>
          </w:tcPr>
          <w:p w14:paraId="497EA2AE" w14:textId="2FF41E2B" w:rsidR="00BC3469" w:rsidRPr="00BB6F00" w:rsidRDefault="00BC3469" w:rsidP="00814670">
            <w:pPr>
              <w:rPr>
                <w:b/>
                <w:bCs/>
                <w:lang w:val="de-DE"/>
              </w:rPr>
            </w:pPr>
            <w:r w:rsidRPr="00BB6F00">
              <w:rPr>
                <w:b/>
                <w:bCs/>
                <w:lang w:val="de-DE"/>
              </w:rPr>
              <w:t>Malt</w:t>
            </w:r>
            <w:r w:rsidR="004E47F7" w:rsidRPr="00BB6F00">
              <w:rPr>
                <w:b/>
                <w:bCs/>
                <w:lang w:val="de-DE"/>
              </w:rPr>
              <w:t>e</w:t>
            </w:r>
          </w:p>
          <w:p w14:paraId="1A33C4F4" w14:textId="77777777" w:rsidR="00BC3469" w:rsidRPr="00BB6F00" w:rsidRDefault="00BC3469" w:rsidP="00814670">
            <w:pPr>
              <w:rPr>
                <w:lang w:val="de-DE"/>
              </w:rPr>
            </w:pPr>
            <w:r w:rsidRPr="00BB6F00">
              <w:rPr>
                <w:lang w:val="de-DE"/>
              </w:rPr>
              <w:t>Amgen S.r.l.</w:t>
            </w:r>
          </w:p>
          <w:p w14:paraId="4F179304" w14:textId="77777777" w:rsidR="00BC3469" w:rsidRPr="00BB6F00" w:rsidRDefault="00BC3469" w:rsidP="00814670">
            <w:pPr>
              <w:rPr>
                <w:lang w:val="de-DE"/>
              </w:rPr>
            </w:pPr>
            <w:r w:rsidRPr="00BB6F00">
              <w:rPr>
                <w:lang w:val="de-DE"/>
              </w:rPr>
              <w:t>Italy</w:t>
            </w:r>
          </w:p>
          <w:p w14:paraId="566FDA24" w14:textId="0867437A" w:rsidR="00BC3469" w:rsidRPr="002B65F7" w:rsidRDefault="00BC3469" w:rsidP="00814670">
            <w:pPr>
              <w:rPr>
                <w:lang w:val="en-GB"/>
              </w:rPr>
            </w:pPr>
            <w:r w:rsidRPr="002B65F7">
              <w:rPr>
                <w:lang w:val="en-GB"/>
              </w:rPr>
              <w:t>T</w:t>
            </w:r>
            <w:r w:rsidR="00572737" w:rsidRPr="002B65F7">
              <w:rPr>
                <w:lang w:val="en-GB"/>
              </w:rPr>
              <w:t>é</w:t>
            </w:r>
            <w:r w:rsidRPr="002B65F7">
              <w:rPr>
                <w:lang w:val="en-GB"/>
              </w:rPr>
              <w:t>l: +39 02 6241121</w:t>
            </w:r>
          </w:p>
          <w:p w14:paraId="1C10812E" w14:textId="77777777" w:rsidR="00BC3469" w:rsidRPr="002B65F7" w:rsidRDefault="00BC3469" w:rsidP="00814670">
            <w:pPr>
              <w:pStyle w:val="lbltxt"/>
              <w:ind w:left="0" w:firstLine="0"/>
              <w:rPr>
                <w:b/>
                <w:noProof w:val="0"/>
                <w:szCs w:val="22"/>
              </w:rPr>
            </w:pPr>
          </w:p>
        </w:tc>
      </w:tr>
      <w:tr w:rsidR="00BC3469" w:rsidRPr="00C93DAC" w14:paraId="3D9F1E8E" w14:textId="77777777" w:rsidTr="00BF70DA">
        <w:trPr>
          <w:cantSplit/>
          <w:trHeight w:val="57"/>
        </w:trPr>
        <w:tc>
          <w:tcPr>
            <w:tcW w:w="4680" w:type="dxa"/>
          </w:tcPr>
          <w:p w14:paraId="521F76A9" w14:textId="77777777" w:rsidR="00BC3469" w:rsidRPr="002B65F7" w:rsidRDefault="00BC3469" w:rsidP="00814670">
            <w:pPr>
              <w:rPr>
                <w:b/>
                <w:bCs/>
                <w:lang w:val="en-GB"/>
              </w:rPr>
            </w:pPr>
            <w:r w:rsidRPr="002B65F7">
              <w:rPr>
                <w:b/>
                <w:bCs/>
                <w:lang w:val="en-GB"/>
              </w:rPr>
              <w:t>Deutschland</w:t>
            </w:r>
          </w:p>
          <w:p w14:paraId="1C180431" w14:textId="77777777" w:rsidR="00BC3469" w:rsidRPr="002B65F7" w:rsidRDefault="00BC3469" w:rsidP="00814670">
            <w:pPr>
              <w:rPr>
                <w:lang w:val="en-GB"/>
              </w:rPr>
            </w:pPr>
            <w:r w:rsidRPr="002B65F7">
              <w:rPr>
                <w:lang w:val="en-GB"/>
              </w:rPr>
              <w:t>Amgen GmbH</w:t>
            </w:r>
          </w:p>
          <w:p w14:paraId="60659AA0" w14:textId="194A6159" w:rsidR="00BC3469" w:rsidRPr="002B65F7" w:rsidRDefault="00BC3469" w:rsidP="00814670">
            <w:pPr>
              <w:rPr>
                <w:lang w:val="en-GB"/>
              </w:rPr>
            </w:pPr>
            <w:r w:rsidRPr="002B65F7">
              <w:rPr>
                <w:lang w:val="en-GB"/>
              </w:rPr>
              <w:t>T</w:t>
            </w:r>
            <w:r w:rsidR="00572737" w:rsidRPr="002B65F7">
              <w:rPr>
                <w:lang w:val="en-GB"/>
              </w:rPr>
              <w:t>é</w:t>
            </w:r>
            <w:r w:rsidRPr="002B65F7">
              <w:rPr>
                <w:lang w:val="en-GB"/>
              </w:rPr>
              <w:t>l: +49 89 1490960</w:t>
            </w:r>
          </w:p>
          <w:p w14:paraId="34E9C943" w14:textId="77777777" w:rsidR="00BC3469" w:rsidRPr="002B65F7" w:rsidRDefault="00BC3469" w:rsidP="00814670">
            <w:pPr>
              <w:pStyle w:val="lbltxt"/>
              <w:ind w:left="0" w:firstLine="0"/>
              <w:rPr>
                <w:b/>
                <w:noProof w:val="0"/>
                <w:szCs w:val="22"/>
              </w:rPr>
            </w:pPr>
          </w:p>
        </w:tc>
        <w:tc>
          <w:tcPr>
            <w:tcW w:w="4680" w:type="dxa"/>
          </w:tcPr>
          <w:p w14:paraId="07DAE0B7" w14:textId="77777777" w:rsidR="00BC3469" w:rsidRPr="002B65F7" w:rsidRDefault="00BC3469" w:rsidP="00814670">
            <w:pPr>
              <w:rPr>
                <w:b/>
                <w:bCs/>
                <w:lang w:val="de-DE"/>
              </w:rPr>
            </w:pPr>
            <w:r w:rsidRPr="002B65F7">
              <w:rPr>
                <w:b/>
                <w:bCs/>
                <w:lang w:val="de-DE"/>
              </w:rPr>
              <w:t>Nederland</w:t>
            </w:r>
          </w:p>
          <w:p w14:paraId="72EB89FE" w14:textId="77777777" w:rsidR="00BC3469" w:rsidRPr="002B65F7" w:rsidRDefault="00BC3469" w:rsidP="00814670">
            <w:pPr>
              <w:rPr>
                <w:lang w:val="de-DE"/>
              </w:rPr>
            </w:pPr>
            <w:r w:rsidRPr="002B65F7">
              <w:rPr>
                <w:lang w:val="de-DE"/>
              </w:rPr>
              <w:t>Amgen B.V.</w:t>
            </w:r>
          </w:p>
          <w:p w14:paraId="5119DA58" w14:textId="54274D17" w:rsidR="00BC3469" w:rsidRPr="002B65F7" w:rsidRDefault="00BC3469" w:rsidP="00814670">
            <w:pPr>
              <w:rPr>
                <w:lang w:val="de-DE"/>
              </w:rPr>
            </w:pPr>
            <w:r w:rsidRPr="002B65F7">
              <w:rPr>
                <w:lang w:val="de-DE"/>
              </w:rPr>
              <w:t>T</w:t>
            </w:r>
            <w:r w:rsidR="00572737" w:rsidRPr="002B65F7">
              <w:rPr>
                <w:lang w:val="de-DE"/>
              </w:rPr>
              <w:t>é</w:t>
            </w:r>
            <w:r w:rsidRPr="002B65F7">
              <w:rPr>
                <w:lang w:val="de-DE"/>
              </w:rPr>
              <w:t>l: +31 (0)76 5732500</w:t>
            </w:r>
          </w:p>
          <w:p w14:paraId="67DA5295" w14:textId="77777777" w:rsidR="00BC3469" w:rsidRPr="002B65F7" w:rsidRDefault="00BC3469" w:rsidP="00814670">
            <w:pPr>
              <w:pStyle w:val="lbltxt"/>
              <w:ind w:left="0" w:firstLine="0"/>
              <w:rPr>
                <w:noProof w:val="0"/>
                <w:szCs w:val="22"/>
                <w:lang w:val="de-DE"/>
              </w:rPr>
            </w:pPr>
          </w:p>
        </w:tc>
      </w:tr>
      <w:tr w:rsidR="00BC3469" w:rsidRPr="002B65F7" w14:paraId="281951CF" w14:textId="77777777" w:rsidTr="00BF70DA">
        <w:trPr>
          <w:cantSplit/>
          <w:trHeight w:val="57"/>
        </w:trPr>
        <w:tc>
          <w:tcPr>
            <w:tcW w:w="4680" w:type="dxa"/>
          </w:tcPr>
          <w:p w14:paraId="1C64142A" w14:textId="77777777" w:rsidR="00BC3469" w:rsidRPr="00B007D2" w:rsidRDefault="00BC3469" w:rsidP="00814670">
            <w:pPr>
              <w:rPr>
                <w:b/>
                <w:bCs/>
                <w:lang w:val="da-DK"/>
              </w:rPr>
            </w:pPr>
            <w:r w:rsidRPr="00B007D2">
              <w:rPr>
                <w:b/>
                <w:bCs/>
                <w:lang w:val="da-DK"/>
              </w:rPr>
              <w:t>Eesti</w:t>
            </w:r>
          </w:p>
          <w:p w14:paraId="46665C49" w14:textId="77777777" w:rsidR="00BC3469" w:rsidRPr="00B007D2" w:rsidRDefault="00BC3469" w:rsidP="00814670">
            <w:pPr>
              <w:rPr>
                <w:lang w:val="da-DK"/>
              </w:rPr>
            </w:pPr>
            <w:r w:rsidRPr="00B007D2">
              <w:rPr>
                <w:lang w:val="da-DK"/>
              </w:rPr>
              <w:t>Amgen Switzerland AG Vilniaus filialas</w:t>
            </w:r>
          </w:p>
          <w:p w14:paraId="5FEF2BDE" w14:textId="035D84A8" w:rsidR="00BC3469" w:rsidRPr="002B65F7" w:rsidRDefault="00BC3469" w:rsidP="00814670">
            <w:pPr>
              <w:rPr>
                <w:lang w:val="en-GB"/>
              </w:rPr>
            </w:pPr>
            <w:r w:rsidRPr="002B65F7">
              <w:rPr>
                <w:lang w:val="en-GB"/>
              </w:rPr>
              <w:t>T</w:t>
            </w:r>
            <w:r w:rsidR="00B80776" w:rsidRPr="002B65F7">
              <w:rPr>
                <w:lang w:val="en-GB"/>
              </w:rPr>
              <w:t>é</w:t>
            </w:r>
            <w:r w:rsidRPr="002B65F7">
              <w:rPr>
                <w:lang w:val="en-GB"/>
              </w:rPr>
              <w:t>l: +372 586 09553</w:t>
            </w:r>
          </w:p>
          <w:p w14:paraId="7572CB32" w14:textId="77777777" w:rsidR="00BC3469" w:rsidRPr="002B65F7" w:rsidRDefault="00BC3469" w:rsidP="00814670">
            <w:pPr>
              <w:rPr>
                <w:b/>
                <w:lang w:val="en-GB"/>
              </w:rPr>
            </w:pPr>
          </w:p>
        </w:tc>
        <w:tc>
          <w:tcPr>
            <w:tcW w:w="4680" w:type="dxa"/>
          </w:tcPr>
          <w:p w14:paraId="4FEA3E6A" w14:textId="77777777" w:rsidR="00BC3469" w:rsidRPr="002B65F7" w:rsidRDefault="00BC3469" w:rsidP="00814670">
            <w:pPr>
              <w:rPr>
                <w:b/>
                <w:bCs/>
                <w:lang w:val="en-GB"/>
              </w:rPr>
            </w:pPr>
            <w:r w:rsidRPr="002B65F7">
              <w:rPr>
                <w:b/>
                <w:bCs/>
                <w:lang w:val="en-GB"/>
              </w:rPr>
              <w:t>Norge</w:t>
            </w:r>
          </w:p>
          <w:p w14:paraId="68694F15" w14:textId="77777777" w:rsidR="00BC3469" w:rsidRPr="002B65F7" w:rsidRDefault="00BC3469" w:rsidP="00814670">
            <w:pPr>
              <w:rPr>
                <w:lang w:val="en-GB"/>
              </w:rPr>
            </w:pPr>
            <w:r w:rsidRPr="002B65F7">
              <w:rPr>
                <w:lang w:val="en-GB"/>
              </w:rPr>
              <w:t>Amgen AB</w:t>
            </w:r>
          </w:p>
          <w:p w14:paraId="2B0BCC05" w14:textId="77777777" w:rsidR="00BC3469" w:rsidRPr="002B65F7" w:rsidRDefault="00BC3469" w:rsidP="00814670">
            <w:pPr>
              <w:rPr>
                <w:lang w:val="en-GB"/>
              </w:rPr>
            </w:pPr>
            <w:r w:rsidRPr="002B65F7">
              <w:rPr>
                <w:lang w:val="en-GB"/>
              </w:rPr>
              <w:t>Tlf: +47 23308000</w:t>
            </w:r>
          </w:p>
          <w:p w14:paraId="7E9EAB29" w14:textId="77777777" w:rsidR="00BC3469" w:rsidRPr="002B65F7" w:rsidRDefault="00BC3469" w:rsidP="00814670">
            <w:pPr>
              <w:pStyle w:val="lbltxt"/>
              <w:ind w:left="0" w:firstLine="0"/>
              <w:rPr>
                <w:noProof w:val="0"/>
                <w:szCs w:val="22"/>
              </w:rPr>
            </w:pPr>
          </w:p>
        </w:tc>
      </w:tr>
      <w:tr w:rsidR="00BC3469" w:rsidRPr="002B65F7" w14:paraId="1CBBC3A9" w14:textId="77777777" w:rsidTr="00BF70DA">
        <w:trPr>
          <w:cantSplit/>
          <w:trHeight w:val="57"/>
        </w:trPr>
        <w:tc>
          <w:tcPr>
            <w:tcW w:w="4680" w:type="dxa"/>
          </w:tcPr>
          <w:p w14:paraId="6E644D3C" w14:textId="77777777" w:rsidR="00BC3469" w:rsidRPr="002B65F7" w:rsidRDefault="00BC3469" w:rsidP="00814670">
            <w:pPr>
              <w:rPr>
                <w:b/>
                <w:bCs/>
                <w:lang w:val="el-GR"/>
              </w:rPr>
            </w:pPr>
            <w:r w:rsidRPr="002B65F7">
              <w:rPr>
                <w:b/>
                <w:bCs/>
                <w:lang w:val="el-GR"/>
              </w:rPr>
              <w:t>Ελλάδα</w:t>
            </w:r>
          </w:p>
          <w:p w14:paraId="18F3EB3D" w14:textId="77777777" w:rsidR="00BC3469" w:rsidRPr="002B65F7" w:rsidRDefault="00BC3469" w:rsidP="00814670">
            <w:pPr>
              <w:rPr>
                <w:lang w:val="el-GR"/>
              </w:rPr>
            </w:pPr>
            <w:r w:rsidRPr="002B65F7">
              <w:t>Amgen</w:t>
            </w:r>
            <w:r w:rsidRPr="002B65F7">
              <w:rPr>
                <w:lang w:val="el-GR"/>
              </w:rPr>
              <w:t xml:space="preserve"> Ελλάς Φαρμακευτικά Ε.Π.Ε.</w:t>
            </w:r>
          </w:p>
          <w:p w14:paraId="60944120" w14:textId="1BFA9667" w:rsidR="00BC3469" w:rsidRPr="002B65F7" w:rsidRDefault="00BC3469" w:rsidP="00814670">
            <w:pPr>
              <w:rPr>
                <w:lang w:val="en-GB"/>
              </w:rPr>
            </w:pPr>
            <w:r w:rsidRPr="002B65F7">
              <w:rPr>
                <w:lang w:val="en-GB"/>
              </w:rPr>
              <w:t>Τηλ: +30 210 3447000</w:t>
            </w:r>
          </w:p>
          <w:p w14:paraId="32934AC8" w14:textId="77777777" w:rsidR="00BC3469" w:rsidRPr="002B65F7" w:rsidRDefault="00BC3469" w:rsidP="00814670">
            <w:pPr>
              <w:pStyle w:val="lbltxt"/>
              <w:ind w:left="0" w:firstLine="0"/>
              <w:rPr>
                <w:noProof w:val="0"/>
                <w:szCs w:val="22"/>
              </w:rPr>
            </w:pPr>
          </w:p>
        </w:tc>
        <w:tc>
          <w:tcPr>
            <w:tcW w:w="4680" w:type="dxa"/>
          </w:tcPr>
          <w:p w14:paraId="57A8B28C" w14:textId="77777777" w:rsidR="00BC3469" w:rsidRPr="002B65F7" w:rsidRDefault="00BC3469" w:rsidP="00814670">
            <w:pPr>
              <w:rPr>
                <w:b/>
                <w:bCs/>
                <w:lang w:val="en-GB"/>
              </w:rPr>
            </w:pPr>
            <w:r w:rsidRPr="002B65F7">
              <w:rPr>
                <w:b/>
                <w:bCs/>
                <w:lang w:val="en-GB"/>
              </w:rPr>
              <w:t>Österreich</w:t>
            </w:r>
          </w:p>
          <w:p w14:paraId="7DD6812B" w14:textId="77777777" w:rsidR="00BC3469" w:rsidRPr="002B65F7" w:rsidRDefault="00BC3469" w:rsidP="00814670">
            <w:pPr>
              <w:rPr>
                <w:lang w:val="en-GB"/>
              </w:rPr>
            </w:pPr>
            <w:r w:rsidRPr="002B65F7">
              <w:rPr>
                <w:lang w:val="en-GB"/>
              </w:rPr>
              <w:t>Amgen GmbH</w:t>
            </w:r>
          </w:p>
          <w:p w14:paraId="2926466F" w14:textId="7119C79A" w:rsidR="00BC3469" w:rsidRPr="002B65F7" w:rsidRDefault="00BC3469" w:rsidP="00814670">
            <w:pPr>
              <w:rPr>
                <w:lang w:val="en-GB"/>
              </w:rPr>
            </w:pPr>
            <w:r w:rsidRPr="002B65F7">
              <w:rPr>
                <w:lang w:val="en-GB"/>
              </w:rPr>
              <w:t>T</w:t>
            </w:r>
            <w:r w:rsidR="00B80776" w:rsidRPr="002B65F7">
              <w:rPr>
                <w:lang w:val="en-GB"/>
              </w:rPr>
              <w:t>é</w:t>
            </w:r>
            <w:r w:rsidRPr="002B65F7">
              <w:rPr>
                <w:lang w:val="en-GB"/>
              </w:rPr>
              <w:t>l: +43 (0)1 50 217</w:t>
            </w:r>
          </w:p>
          <w:p w14:paraId="3C68D4E2" w14:textId="77777777" w:rsidR="00BC3469" w:rsidRPr="002B65F7" w:rsidRDefault="00BC3469" w:rsidP="00814670">
            <w:pPr>
              <w:pStyle w:val="lbltxt"/>
              <w:ind w:left="0" w:firstLine="0"/>
              <w:rPr>
                <w:b/>
                <w:noProof w:val="0"/>
                <w:szCs w:val="22"/>
              </w:rPr>
            </w:pPr>
          </w:p>
        </w:tc>
      </w:tr>
      <w:tr w:rsidR="00BC3469" w:rsidRPr="002B65F7" w14:paraId="4BEA7652" w14:textId="77777777" w:rsidTr="00BF70DA">
        <w:trPr>
          <w:cantSplit/>
          <w:trHeight w:val="57"/>
        </w:trPr>
        <w:tc>
          <w:tcPr>
            <w:tcW w:w="4680" w:type="dxa"/>
          </w:tcPr>
          <w:p w14:paraId="6A4DF0E6" w14:textId="77777777" w:rsidR="00BC3469" w:rsidRPr="002B65F7" w:rsidRDefault="00BC3469" w:rsidP="00814670">
            <w:pPr>
              <w:rPr>
                <w:b/>
                <w:bCs/>
                <w:lang w:val="es-ES"/>
              </w:rPr>
            </w:pPr>
            <w:r w:rsidRPr="002B65F7">
              <w:rPr>
                <w:b/>
                <w:bCs/>
                <w:lang w:val="es-ES"/>
              </w:rPr>
              <w:t>España</w:t>
            </w:r>
          </w:p>
          <w:p w14:paraId="4B1FA4D6" w14:textId="77777777" w:rsidR="00BC3469" w:rsidRPr="002B65F7" w:rsidRDefault="00BC3469" w:rsidP="00814670">
            <w:pPr>
              <w:rPr>
                <w:lang w:val="es-ES"/>
              </w:rPr>
            </w:pPr>
            <w:r w:rsidRPr="002B65F7">
              <w:rPr>
                <w:lang w:val="es-ES"/>
              </w:rPr>
              <w:t>Amgen S.A.</w:t>
            </w:r>
          </w:p>
          <w:p w14:paraId="18037432" w14:textId="4A89C9A3" w:rsidR="00BC3469" w:rsidRPr="002B65F7" w:rsidRDefault="00BC3469" w:rsidP="00814670">
            <w:pPr>
              <w:rPr>
                <w:lang w:val="es-ES"/>
              </w:rPr>
            </w:pPr>
            <w:r w:rsidRPr="002B65F7">
              <w:rPr>
                <w:lang w:val="es-ES"/>
              </w:rPr>
              <w:t>T</w:t>
            </w:r>
            <w:r w:rsidR="00B80776" w:rsidRPr="002B65F7">
              <w:rPr>
                <w:lang w:val="es-ES"/>
              </w:rPr>
              <w:t>é</w:t>
            </w:r>
            <w:r w:rsidRPr="002B65F7">
              <w:rPr>
                <w:lang w:val="es-ES"/>
              </w:rPr>
              <w:t>l: +34 93 600 18 60</w:t>
            </w:r>
          </w:p>
          <w:p w14:paraId="578D5C75" w14:textId="77777777" w:rsidR="00BC3469" w:rsidRPr="002B65F7" w:rsidRDefault="00BC3469" w:rsidP="00814670">
            <w:pPr>
              <w:pStyle w:val="lbltxt"/>
              <w:ind w:left="0" w:firstLine="0"/>
              <w:rPr>
                <w:bCs/>
                <w:noProof w:val="0"/>
                <w:szCs w:val="22"/>
                <w:lang w:val="es-ES"/>
              </w:rPr>
            </w:pPr>
          </w:p>
        </w:tc>
        <w:tc>
          <w:tcPr>
            <w:tcW w:w="4680" w:type="dxa"/>
          </w:tcPr>
          <w:p w14:paraId="6520DA7B" w14:textId="77777777" w:rsidR="00BC3469" w:rsidRPr="002B65F7" w:rsidRDefault="00BC3469" w:rsidP="00814670">
            <w:pPr>
              <w:rPr>
                <w:b/>
                <w:bCs/>
                <w:lang w:val="pl-PL"/>
              </w:rPr>
            </w:pPr>
            <w:r w:rsidRPr="002B65F7">
              <w:rPr>
                <w:b/>
                <w:bCs/>
                <w:lang w:val="pl-PL"/>
              </w:rPr>
              <w:t>Polska</w:t>
            </w:r>
          </w:p>
          <w:p w14:paraId="386A82B1" w14:textId="77777777" w:rsidR="00BC3469" w:rsidRPr="002B65F7" w:rsidRDefault="00BC3469" w:rsidP="00814670">
            <w:pPr>
              <w:rPr>
                <w:lang w:val="pl-PL"/>
              </w:rPr>
            </w:pPr>
            <w:r w:rsidRPr="002B65F7">
              <w:rPr>
                <w:lang w:val="pl-PL"/>
              </w:rPr>
              <w:t>Amgen Biotechnologia Sp. z o.o.</w:t>
            </w:r>
          </w:p>
          <w:p w14:paraId="69248A41" w14:textId="770254D8" w:rsidR="00BC3469" w:rsidRPr="002B65F7" w:rsidRDefault="00BC3469" w:rsidP="00814670">
            <w:pPr>
              <w:rPr>
                <w:lang w:val="en-GB"/>
              </w:rPr>
            </w:pPr>
            <w:r w:rsidRPr="002B65F7">
              <w:rPr>
                <w:lang w:val="en-GB"/>
              </w:rPr>
              <w:t>T</w:t>
            </w:r>
            <w:r w:rsidR="00B80776" w:rsidRPr="002B65F7">
              <w:rPr>
                <w:lang w:val="en-GB"/>
              </w:rPr>
              <w:t>é</w:t>
            </w:r>
            <w:r w:rsidRPr="002B65F7">
              <w:rPr>
                <w:lang w:val="en-GB"/>
              </w:rPr>
              <w:t>l.: +48 22 581 3000</w:t>
            </w:r>
          </w:p>
          <w:p w14:paraId="39D8C42B" w14:textId="77777777" w:rsidR="00BC3469" w:rsidRPr="002B65F7" w:rsidRDefault="00BC3469" w:rsidP="00814670">
            <w:pPr>
              <w:rPr>
                <w:lang w:val="en-GB"/>
              </w:rPr>
            </w:pPr>
          </w:p>
        </w:tc>
      </w:tr>
      <w:tr w:rsidR="00BC3469" w:rsidRPr="00747845" w14:paraId="3833EF73" w14:textId="77777777" w:rsidTr="00BF70DA">
        <w:trPr>
          <w:cantSplit/>
          <w:trHeight w:val="57"/>
        </w:trPr>
        <w:tc>
          <w:tcPr>
            <w:tcW w:w="4680" w:type="dxa"/>
          </w:tcPr>
          <w:p w14:paraId="7CC9F350" w14:textId="77777777" w:rsidR="00BC3469" w:rsidRPr="002B65F7" w:rsidRDefault="00BC3469" w:rsidP="00814670">
            <w:pPr>
              <w:rPr>
                <w:b/>
                <w:bCs/>
              </w:rPr>
            </w:pPr>
            <w:r w:rsidRPr="002B65F7">
              <w:rPr>
                <w:b/>
                <w:bCs/>
              </w:rPr>
              <w:lastRenderedPageBreak/>
              <w:t>France</w:t>
            </w:r>
          </w:p>
          <w:p w14:paraId="6A8847DC" w14:textId="77777777" w:rsidR="00BC3469" w:rsidRPr="002B65F7" w:rsidRDefault="00BC3469" w:rsidP="00814670">
            <w:r w:rsidRPr="002B65F7">
              <w:t>Amgen S.A.S.</w:t>
            </w:r>
          </w:p>
          <w:p w14:paraId="0939B03F" w14:textId="77777777" w:rsidR="00BC3469" w:rsidRPr="002B65F7" w:rsidRDefault="00BC3469" w:rsidP="00814670">
            <w:r w:rsidRPr="002B65F7">
              <w:t>Tél: +33 (0)9 69 363 363</w:t>
            </w:r>
          </w:p>
          <w:p w14:paraId="052B14E4" w14:textId="77777777" w:rsidR="00BC3469" w:rsidRPr="002B65F7" w:rsidRDefault="00BC3469" w:rsidP="00814670">
            <w:pPr>
              <w:rPr>
                <w:b/>
              </w:rPr>
            </w:pPr>
          </w:p>
        </w:tc>
        <w:tc>
          <w:tcPr>
            <w:tcW w:w="4680" w:type="dxa"/>
          </w:tcPr>
          <w:p w14:paraId="60CD248D" w14:textId="77777777" w:rsidR="00BC3469" w:rsidRPr="002B65F7" w:rsidRDefault="00BC3469" w:rsidP="00814670">
            <w:pPr>
              <w:rPr>
                <w:b/>
                <w:bCs/>
                <w:lang w:val="es-ES"/>
              </w:rPr>
            </w:pPr>
            <w:r w:rsidRPr="002B65F7">
              <w:rPr>
                <w:b/>
                <w:bCs/>
                <w:lang w:val="es-ES"/>
              </w:rPr>
              <w:t>Portugal</w:t>
            </w:r>
          </w:p>
          <w:p w14:paraId="39001821" w14:textId="77777777" w:rsidR="00BC3469" w:rsidRPr="002B65F7" w:rsidRDefault="00BC3469" w:rsidP="00814670">
            <w:pPr>
              <w:rPr>
                <w:lang w:val="es-ES"/>
              </w:rPr>
            </w:pPr>
            <w:r w:rsidRPr="002B65F7">
              <w:rPr>
                <w:lang w:val="es-ES"/>
              </w:rPr>
              <w:t>Amgen Biofarmacêutica, Lda.</w:t>
            </w:r>
          </w:p>
          <w:p w14:paraId="53AA7AD6" w14:textId="2B3BE56D" w:rsidR="00BC3469" w:rsidRPr="002B65F7" w:rsidRDefault="00BC3469" w:rsidP="00814670">
            <w:pPr>
              <w:rPr>
                <w:lang w:val="es-ES"/>
              </w:rPr>
            </w:pPr>
            <w:r w:rsidRPr="002B65F7">
              <w:rPr>
                <w:lang w:val="es-ES"/>
              </w:rPr>
              <w:t>T</w:t>
            </w:r>
            <w:r w:rsidR="00B80776" w:rsidRPr="002B65F7">
              <w:rPr>
                <w:lang w:val="es-ES"/>
              </w:rPr>
              <w:t>é</w:t>
            </w:r>
            <w:r w:rsidRPr="002B65F7">
              <w:rPr>
                <w:lang w:val="es-ES"/>
              </w:rPr>
              <w:t>l: +351 21 4220606</w:t>
            </w:r>
          </w:p>
          <w:p w14:paraId="4E373D35" w14:textId="77777777" w:rsidR="00BC3469" w:rsidRPr="002B65F7" w:rsidRDefault="00BC3469" w:rsidP="00814670">
            <w:pPr>
              <w:pStyle w:val="lbltxt"/>
              <w:ind w:left="0" w:firstLine="0"/>
              <w:rPr>
                <w:noProof w:val="0"/>
                <w:szCs w:val="22"/>
                <w:lang w:val="es-ES"/>
              </w:rPr>
            </w:pPr>
          </w:p>
        </w:tc>
      </w:tr>
      <w:tr w:rsidR="00BC3469" w:rsidRPr="00BB6B52" w14:paraId="30374A6C" w14:textId="77777777" w:rsidTr="00BF70DA">
        <w:trPr>
          <w:cantSplit/>
          <w:trHeight w:val="57"/>
        </w:trPr>
        <w:tc>
          <w:tcPr>
            <w:tcW w:w="4680" w:type="dxa"/>
          </w:tcPr>
          <w:p w14:paraId="3B75D669" w14:textId="77777777" w:rsidR="00BC3469" w:rsidRPr="002B65F7" w:rsidRDefault="00BC3469" w:rsidP="00814670">
            <w:pPr>
              <w:rPr>
                <w:b/>
                <w:bCs/>
                <w:lang w:val="sv-SE"/>
              </w:rPr>
            </w:pPr>
            <w:r w:rsidRPr="002B65F7">
              <w:rPr>
                <w:b/>
                <w:bCs/>
                <w:lang w:val="sv-SE"/>
              </w:rPr>
              <w:t>Hrvatska</w:t>
            </w:r>
          </w:p>
          <w:p w14:paraId="32AF467F" w14:textId="77777777" w:rsidR="00BC3469" w:rsidRPr="002B65F7" w:rsidRDefault="00BC3469" w:rsidP="00814670">
            <w:pPr>
              <w:rPr>
                <w:lang w:val="sv-SE"/>
              </w:rPr>
            </w:pPr>
            <w:r w:rsidRPr="002B65F7">
              <w:rPr>
                <w:lang w:val="sv-SE"/>
              </w:rPr>
              <w:t>Amgen d.o.o.</w:t>
            </w:r>
          </w:p>
          <w:p w14:paraId="09305380" w14:textId="7D5969CD" w:rsidR="00BC3469" w:rsidRPr="002B65F7" w:rsidRDefault="00BC3469" w:rsidP="00814670">
            <w:pPr>
              <w:rPr>
                <w:lang w:val="en-GB"/>
              </w:rPr>
            </w:pPr>
            <w:r w:rsidRPr="002B65F7">
              <w:rPr>
                <w:lang w:val="en-GB"/>
              </w:rPr>
              <w:t>T</w:t>
            </w:r>
            <w:r w:rsidR="00B80776" w:rsidRPr="002B65F7">
              <w:rPr>
                <w:lang w:val="en-GB"/>
              </w:rPr>
              <w:t>é</w:t>
            </w:r>
            <w:r w:rsidRPr="002B65F7">
              <w:rPr>
                <w:lang w:val="en-GB"/>
              </w:rPr>
              <w:t>l: +385 (0)1 562 57 20</w:t>
            </w:r>
          </w:p>
          <w:p w14:paraId="1E00156B" w14:textId="77777777" w:rsidR="00BC3469" w:rsidRPr="002B65F7" w:rsidRDefault="00BC3469" w:rsidP="00814670">
            <w:pPr>
              <w:rPr>
                <w:lang w:val="en-GB"/>
              </w:rPr>
            </w:pPr>
          </w:p>
        </w:tc>
        <w:tc>
          <w:tcPr>
            <w:tcW w:w="4680" w:type="dxa"/>
          </w:tcPr>
          <w:p w14:paraId="04425B07" w14:textId="77777777" w:rsidR="00BC3469" w:rsidRPr="002B65F7" w:rsidRDefault="00BC3469" w:rsidP="00814670">
            <w:pPr>
              <w:rPr>
                <w:b/>
                <w:bCs/>
                <w:lang w:val="es-ES"/>
              </w:rPr>
            </w:pPr>
            <w:r w:rsidRPr="002B65F7">
              <w:rPr>
                <w:b/>
                <w:bCs/>
                <w:lang w:val="es-ES"/>
              </w:rPr>
              <w:t>România</w:t>
            </w:r>
          </w:p>
          <w:p w14:paraId="00AAD504" w14:textId="77777777" w:rsidR="00BC3469" w:rsidRPr="002B65F7" w:rsidRDefault="00BC3469" w:rsidP="00814670">
            <w:pPr>
              <w:rPr>
                <w:lang w:val="es-ES"/>
              </w:rPr>
            </w:pPr>
            <w:r w:rsidRPr="002B65F7">
              <w:rPr>
                <w:lang w:val="es-ES"/>
              </w:rPr>
              <w:t>Amgen România SRL</w:t>
            </w:r>
          </w:p>
          <w:p w14:paraId="34BABA25" w14:textId="65C66C2B" w:rsidR="00BC3469" w:rsidRPr="002B65F7" w:rsidRDefault="00BC3469" w:rsidP="00814670">
            <w:pPr>
              <w:rPr>
                <w:lang w:val="es-ES"/>
              </w:rPr>
            </w:pPr>
            <w:r w:rsidRPr="002B65F7">
              <w:rPr>
                <w:lang w:val="es-ES"/>
              </w:rPr>
              <w:t>T</w:t>
            </w:r>
            <w:r w:rsidR="00B80776" w:rsidRPr="002B65F7">
              <w:rPr>
                <w:lang w:val="es-ES"/>
              </w:rPr>
              <w:t>é</w:t>
            </w:r>
            <w:r w:rsidRPr="002B65F7">
              <w:rPr>
                <w:lang w:val="es-ES"/>
              </w:rPr>
              <w:t>l: +4021 527 3000</w:t>
            </w:r>
          </w:p>
          <w:p w14:paraId="7A83E00D" w14:textId="77777777" w:rsidR="00BC3469" w:rsidRPr="002B65F7" w:rsidRDefault="00BC3469" w:rsidP="00814670">
            <w:pPr>
              <w:pStyle w:val="lbltxt"/>
              <w:ind w:left="0" w:firstLine="0"/>
              <w:rPr>
                <w:noProof w:val="0"/>
                <w:szCs w:val="22"/>
                <w:lang w:val="es-ES"/>
              </w:rPr>
            </w:pPr>
          </w:p>
        </w:tc>
      </w:tr>
      <w:tr w:rsidR="00BC3469" w:rsidRPr="00B671F3" w14:paraId="7F88D556" w14:textId="77777777" w:rsidTr="00BF70DA">
        <w:trPr>
          <w:cantSplit/>
          <w:trHeight w:val="57"/>
        </w:trPr>
        <w:tc>
          <w:tcPr>
            <w:tcW w:w="4680" w:type="dxa"/>
          </w:tcPr>
          <w:p w14:paraId="542EDE7C" w14:textId="4F2A90B5" w:rsidR="00BC3469" w:rsidRPr="002B65F7" w:rsidRDefault="00BC3469" w:rsidP="00814670">
            <w:pPr>
              <w:rPr>
                <w:b/>
                <w:bCs/>
                <w:lang w:val="en-IN"/>
              </w:rPr>
            </w:pPr>
            <w:r w:rsidRPr="002B65F7">
              <w:rPr>
                <w:b/>
                <w:bCs/>
                <w:lang w:val="en-IN"/>
              </w:rPr>
              <w:t>Ir</w:t>
            </w:r>
            <w:r w:rsidR="009A0F91" w:rsidRPr="002B65F7">
              <w:rPr>
                <w:b/>
                <w:bCs/>
                <w:lang w:val="en-IN"/>
              </w:rPr>
              <w:t>e</w:t>
            </w:r>
            <w:r w:rsidRPr="002B65F7">
              <w:rPr>
                <w:b/>
                <w:bCs/>
                <w:lang w:val="en-IN"/>
              </w:rPr>
              <w:t>land</w:t>
            </w:r>
          </w:p>
          <w:p w14:paraId="251A1F4E" w14:textId="77777777" w:rsidR="00BC3469" w:rsidRPr="002B65F7" w:rsidRDefault="00BC3469" w:rsidP="00814670">
            <w:pPr>
              <w:rPr>
                <w:lang w:val="en-IN"/>
              </w:rPr>
            </w:pPr>
            <w:r w:rsidRPr="002B65F7">
              <w:rPr>
                <w:lang w:val="en-IN"/>
              </w:rPr>
              <w:t>Amgen Ireland Limited</w:t>
            </w:r>
          </w:p>
          <w:p w14:paraId="762FA828" w14:textId="2F6182ED" w:rsidR="00BC3469" w:rsidRPr="002B65F7" w:rsidRDefault="00BC3469" w:rsidP="00814670">
            <w:pPr>
              <w:rPr>
                <w:lang w:val="en-IN"/>
              </w:rPr>
            </w:pPr>
            <w:r w:rsidRPr="002B65F7">
              <w:rPr>
                <w:lang w:val="en-IN"/>
              </w:rPr>
              <w:t>T</w:t>
            </w:r>
            <w:r w:rsidR="00B80776" w:rsidRPr="002B65F7">
              <w:rPr>
                <w:lang w:val="en-IN"/>
              </w:rPr>
              <w:t>é</w:t>
            </w:r>
            <w:r w:rsidRPr="002B65F7">
              <w:rPr>
                <w:lang w:val="en-IN"/>
              </w:rPr>
              <w:t>l: +353 1 8527400</w:t>
            </w:r>
          </w:p>
          <w:p w14:paraId="1D5308E9" w14:textId="77777777" w:rsidR="00BC3469" w:rsidRPr="002B65F7" w:rsidRDefault="00BC3469" w:rsidP="00814670">
            <w:pPr>
              <w:rPr>
                <w:lang w:val="en-IN"/>
              </w:rPr>
            </w:pPr>
          </w:p>
        </w:tc>
        <w:tc>
          <w:tcPr>
            <w:tcW w:w="4680" w:type="dxa"/>
          </w:tcPr>
          <w:p w14:paraId="15898839" w14:textId="77777777" w:rsidR="00BC3469" w:rsidRPr="00E102E6" w:rsidRDefault="00BC3469" w:rsidP="00814670">
            <w:pPr>
              <w:rPr>
                <w:b/>
                <w:bCs/>
                <w:lang w:val="fi-FI"/>
              </w:rPr>
            </w:pPr>
            <w:r w:rsidRPr="00E102E6">
              <w:rPr>
                <w:b/>
                <w:bCs/>
                <w:lang w:val="fi-FI"/>
              </w:rPr>
              <w:t>Slovenija</w:t>
            </w:r>
          </w:p>
          <w:p w14:paraId="583BA150" w14:textId="77777777" w:rsidR="00BC3469" w:rsidRPr="00E102E6" w:rsidRDefault="00BC3469" w:rsidP="00814670">
            <w:pPr>
              <w:rPr>
                <w:lang w:val="fi-FI"/>
              </w:rPr>
            </w:pPr>
            <w:r w:rsidRPr="00E102E6">
              <w:rPr>
                <w:lang w:val="fi-FI"/>
              </w:rPr>
              <w:t>AMGEN zdravila d.o.o.</w:t>
            </w:r>
          </w:p>
          <w:p w14:paraId="02A85328" w14:textId="0425E9A1" w:rsidR="00BC3469" w:rsidRPr="002B65F7" w:rsidRDefault="00BC3469" w:rsidP="00814670">
            <w:pPr>
              <w:rPr>
                <w:lang w:val="en-GB"/>
              </w:rPr>
            </w:pPr>
            <w:r w:rsidRPr="002B65F7">
              <w:rPr>
                <w:lang w:val="en-GB"/>
              </w:rPr>
              <w:t>T</w:t>
            </w:r>
            <w:r w:rsidR="00B80776" w:rsidRPr="002B65F7">
              <w:rPr>
                <w:lang w:val="en-GB"/>
              </w:rPr>
              <w:t>é</w:t>
            </w:r>
            <w:r w:rsidRPr="002B65F7">
              <w:rPr>
                <w:lang w:val="en-GB"/>
              </w:rPr>
              <w:t>l: +386 (0)1 585 1767</w:t>
            </w:r>
          </w:p>
          <w:p w14:paraId="0E8AD7E3" w14:textId="77777777" w:rsidR="00BC3469" w:rsidRPr="002B65F7" w:rsidRDefault="00BC3469" w:rsidP="00814670">
            <w:pPr>
              <w:rPr>
                <w:lang w:val="en-GB"/>
              </w:rPr>
            </w:pPr>
          </w:p>
        </w:tc>
      </w:tr>
      <w:tr w:rsidR="00BC3469" w:rsidRPr="002B65F7" w14:paraId="121746B8" w14:textId="77777777" w:rsidTr="00BF70DA">
        <w:trPr>
          <w:cantSplit/>
          <w:trHeight w:val="57"/>
        </w:trPr>
        <w:tc>
          <w:tcPr>
            <w:tcW w:w="4680" w:type="dxa"/>
          </w:tcPr>
          <w:p w14:paraId="3F6D4C16" w14:textId="77777777" w:rsidR="00BC3469" w:rsidRPr="002B65F7" w:rsidRDefault="00BC3469" w:rsidP="00814670">
            <w:pPr>
              <w:rPr>
                <w:b/>
                <w:bCs/>
                <w:lang w:val="en-GB"/>
              </w:rPr>
            </w:pPr>
            <w:r w:rsidRPr="002B65F7">
              <w:rPr>
                <w:b/>
                <w:bCs/>
                <w:lang w:val="en-GB"/>
              </w:rPr>
              <w:t>Ísland</w:t>
            </w:r>
          </w:p>
          <w:p w14:paraId="5F0CCDF8" w14:textId="5D14EBA9" w:rsidR="00BC3469" w:rsidRPr="002B65F7" w:rsidRDefault="00BC3469" w:rsidP="00814670">
            <w:pPr>
              <w:rPr>
                <w:lang w:val="en-GB"/>
              </w:rPr>
            </w:pPr>
            <w:r w:rsidRPr="002B65F7">
              <w:rPr>
                <w:lang w:val="en-GB"/>
              </w:rPr>
              <w:t>Vistor</w:t>
            </w:r>
          </w:p>
          <w:p w14:paraId="0946851B" w14:textId="77777777" w:rsidR="00BC3469" w:rsidRPr="002B65F7" w:rsidRDefault="00BC3469" w:rsidP="00814670">
            <w:pPr>
              <w:rPr>
                <w:lang w:val="en-GB"/>
              </w:rPr>
            </w:pPr>
            <w:r w:rsidRPr="002B65F7">
              <w:rPr>
                <w:lang w:val="en-GB"/>
              </w:rPr>
              <w:t>Sími: +354 535 7000</w:t>
            </w:r>
          </w:p>
          <w:p w14:paraId="716D0066" w14:textId="77777777" w:rsidR="00BC3469" w:rsidRPr="002B65F7" w:rsidRDefault="00BC3469" w:rsidP="00814670">
            <w:pPr>
              <w:pStyle w:val="lbltxt"/>
              <w:ind w:left="0" w:firstLine="0"/>
              <w:rPr>
                <w:b/>
                <w:bCs/>
                <w:noProof w:val="0"/>
                <w:szCs w:val="22"/>
              </w:rPr>
            </w:pPr>
          </w:p>
        </w:tc>
        <w:tc>
          <w:tcPr>
            <w:tcW w:w="4680" w:type="dxa"/>
          </w:tcPr>
          <w:p w14:paraId="7DB52D9B" w14:textId="77777777" w:rsidR="00BC3469" w:rsidRPr="00E102E6" w:rsidRDefault="00BC3469" w:rsidP="00814670">
            <w:pPr>
              <w:rPr>
                <w:b/>
                <w:bCs/>
                <w:lang w:val="nb-NO"/>
              </w:rPr>
            </w:pPr>
            <w:r w:rsidRPr="00E102E6">
              <w:rPr>
                <w:b/>
                <w:bCs/>
                <w:lang w:val="nb-NO"/>
              </w:rPr>
              <w:t>Slovenská republika</w:t>
            </w:r>
          </w:p>
          <w:p w14:paraId="2AA38A85" w14:textId="77777777" w:rsidR="00BC3469" w:rsidRPr="00E102E6" w:rsidRDefault="00BC3469" w:rsidP="00814670">
            <w:pPr>
              <w:rPr>
                <w:lang w:val="nb-NO"/>
              </w:rPr>
            </w:pPr>
            <w:r w:rsidRPr="00E102E6">
              <w:rPr>
                <w:lang w:val="nb-NO"/>
              </w:rPr>
              <w:t>Amgen Slovakia s.r.o.</w:t>
            </w:r>
          </w:p>
          <w:p w14:paraId="5F05E9DB" w14:textId="553A7313" w:rsidR="00BC3469" w:rsidRPr="002B65F7" w:rsidRDefault="00BC3469" w:rsidP="00814670">
            <w:pPr>
              <w:rPr>
                <w:lang w:val="en-GB"/>
              </w:rPr>
            </w:pPr>
            <w:r w:rsidRPr="002B65F7">
              <w:rPr>
                <w:lang w:val="en-GB"/>
              </w:rPr>
              <w:t>T</w:t>
            </w:r>
            <w:r w:rsidR="00B80776" w:rsidRPr="002B65F7">
              <w:rPr>
                <w:lang w:val="en-GB"/>
              </w:rPr>
              <w:t>é</w:t>
            </w:r>
            <w:r w:rsidRPr="002B65F7">
              <w:rPr>
                <w:lang w:val="en-GB"/>
              </w:rPr>
              <w:t>l: +421 2 321 114 49</w:t>
            </w:r>
          </w:p>
          <w:p w14:paraId="00E952B9" w14:textId="77777777" w:rsidR="00BC3469" w:rsidRPr="002B65F7" w:rsidRDefault="00BC3469" w:rsidP="00814670">
            <w:pPr>
              <w:pStyle w:val="lbltxt"/>
              <w:ind w:left="0" w:firstLine="0"/>
              <w:rPr>
                <w:noProof w:val="0"/>
                <w:szCs w:val="22"/>
              </w:rPr>
            </w:pPr>
          </w:p>
        </w:tc>
      </w:tr>
      <w:tr w:rsidR="00BC3469" w:rsidRPr="002B65F7" w14:paraId="62169587" w14:textId="77777777" w:rsidTr="00BF70DA">
        <w:trPr>
          <w:cantSplit/>
          <w:trHeight w:val="57"/>
        </w:trPr>
        <w:tc>
          <w:tcPr>
            <w:tcW w:w="4680" w:type="dxa"/>
          </w:tcPr>
          <w:p w14:paraId="2200CD93" w14:textId="77777777" w:rsidR="00BC3469" w:rsidRPr="002B65F7" w:rsidRDefault="00BC3469" w:rsidP="00814670">
            <w:pPr>
              <w:rPr>
                <w:b/>
                <w:bCs/>
                <w:lang w:val="es-ES"/>
              </w:rPr>
            </w:pPr>
            <w:r w:rsidRPr="002B65F7">
              <w:rPr>
                <w:b/>
                <w:bCs/>
                <w:lang w:val="es-ES"/>
              </w:rPr>
              <w:t>Italia</w:t>
            </w:r>
          </w:p>
          <w:p w14:paraId="13DB3F62" w14:textId="77777777" w:rsidR="00BC3469" w:rsidRPr="002B65F7" w:rsidRDefault="00BC3469" w:rsidP="00814670">
            <w:pPr>
              <w:rPr>
                <w:lang w:val="es-ES"/>
              </w:rPr>
            </w:pPr>
            <w:r w:rsidRPr="002B65F7">
              <w:rPr>
                <w:lang w:val="es-ES"/>
              </w:rPr>
              <w:t>Amgen S.r.l.</w:t>
            </w:r>
          </w:p>
          <w:p w14:paraId="5D1B4C8F" w14:textId="6BB51C28" w:rsidR="00BC3469" w:rsidRPr="002B65F7" w:rsidRDefault="00BC3469" w:rsidP="00814670">
            <w:r w:rsidRPr="002B65F7">
              <w:t>T</w:t>
            </w:r>
            <w:r w:rsidR="00B80776" w:rsidRPr="002B65F7">
              <w:t>é</w:t>
            </w:r>
            <w:r w:rsidRPr="002B65F7">
              <w:t>l: +39 02 6241121</w:t>
            </w:r>
          </w:p>
          <w:p w14:paraId="7B54E3BF" w14:textId="77777777" w:rsidR="00BC3469" w:rsidRPr="002B65F7" w:rsidRDefault="00BC3469" w:rsidP="00814670"/>
        </w:tc>
        <w:tc>
          <w:tcPr>
            <w:tcW w:w="4680" w:type="dxa"/>
          </w:tcPr>
          <w:p w14:paraId="02B21E29" w14:textId="77777777" w:rsidR="00BC3469" w:rsidRPr="00B50E78" w:rsidRDefault="00BC3469" w:rsidP="00814670">
            <w:pPr>
              <w:rPr>
                <w:b/>
                <w:bCs/>
              </w:rPr>
            </w:pPr>
            <w:r w:rsidRPr="00B50E78">
              <w:rPr>
                <w:b/>
                <w:bCs/>
              </w:rPr>
              <w:t>Suomi/Finland</w:t>
            </w:r>
          </w:p>
          <w:p w14:paraId="063BC378" w14:textId="77777777" w:rsidR="00BC3469" w:rsidRPr="00B50E78" w:rsidRDefault="00BC3469" w:rsidP="00814670">
            <w:r w:rsidRPr="00B50E78">
              <w:t>Amgen AB, sivuliike Suomessa/Amgen AB, filial i Finland</w:t>
            </w:r>
          </w:p>
          <w:p w14:paraId="3DC68B64" w14:textId="01CC938A" w:rsidR="00BC3469" w:rsidRPr="00E102E6" w:rsidRDefault="00BC3469" w:rsidP="00814670">
            <w:r w:rsidRPr="00E102E6">
              <w:t>Puh/T</w:t>
            </w:r>
            <w:r w:rsidR="00B80776" w:rsidRPr="00E102E6">
              <w:t>é</w:t>
            </w:r>
            <w:r w:rsidRPr="00E102E6">
              <w:t>l</w:t>
            </w:r>
            <w:r w:rsidR="00B80776" w:rsidRPr="00E102E6">
              <w:t>.</w:t>
            </w:r>
            <w:r w:rsidRPr="00E102E6">
              <w:t>: +358 (0)9 54900500</w:t>
            </w:r>
          </w:p>
          <w:p w14:paraId="04DE6007" w14:textId="77777777" w:rsidR="00BC3469" w:rsidRPr="00E102E6" w:rsidRDefault="00BC3469" w:rsidP="00814670">
            <w:pPr>
              <w:pStyle w:val="lbltxt"/>
              <w:ind w:left="0" w:firstLine="0"/>
              <w:rPr>
                <w:b/>
                <w:noProof w:val="0"/>
                <w:szCs w:val="22"/>
                <w:lang w:val="fr-FR"/>
              </w:rPr>
            </w:pPr>
          </w:p>
        </w:tc>
      </w:tr>
      <w:tr w:rsidR="00BC3469" w:rsidRPr="002B65F7" w14:paraId="66F09C8F" w14:textId="77777777" w:rsidTr="00BF70DA">
        <w:trPr>
          <w:cantSplit/>
          <w:trHeight w:val="57"/>
        </w:trPr>
        <w:tc>
          <w:tcPr>
            <w:tcW w:w="4680" w:type="dxa"/>
          </w:tcPr>
          <w:p w14:paraId="17734399" w14:textId="77777777" w:rsidR="00BC3469" w:rsidRPr="002B65F7" w:rsidRDefault="00BC3469" w:rsidP="00814670">
            <w:pPr>
              <w:rPr>
                <w:b/>
                <w:bCs/>
              </w:rPr>
            </w:pPr>
            <w:r w:rsidRPr="002B65F7">
              <w:rPr>
                <w:b/>
                <w:bCs/>
              </w:rPr>
              <w:t>K</w:t>
            </w:r>
            <w:r w:rsidRPr="002B65F7">
              <w:rPr>
                <w:b/>
                <w:bCs/>
                <w:lang w:val="en-GB"/>
              </w:rPr>
              <w:t>ύπρος</w:t>
            </w:r>
          </w:p>
          <w:p w14:paraId="3BF4F91B" w14:textId="77777777" w:rsidR="00BC3469" w:rsidRPr="002B65F7" w:rsidRDefault="00BC3469" w:rsidP="00814670">
            <w:r w:rsidRPr="002B65F7">
              <w:t>C.A. Papaellinas Ltd</w:t>
            </w:r>
          </w:p>
          <w:p w14:paraId="40056750" w14:textId="77777777" w:rsidR="00BC3469" w:rsidRPr="002B65F7" w:rsidRDefault="00BC3469" w:rsidP="00814670">
            <w:r w:rsidRPr="002B65F7">
              <w:rPr>
                <w:lang w:val="en-GB"/>
              </w:rPr>
              <w:t>Τηλ</w:t>
            </w:r>
            <w:r w:rsidRPr="002B65F7">
              <w:t>: +357 22741 741</w:t>
            </w:r>
          </w:p>
          <w:p w14:paraId="2A592E1F" w14:textId="77777777" w:rsidR="00BC3469" w:rsidRPr="002B65F7" w:rsidRDefault="00BC3469" w:rsidP="00814670"/>
        </w:tc>
        <w:tc>
          <w:tcPr>
            <w:tcW w:w="4680" w:type="dxa"/>
          </w:tcPr>
          <w:p w14:paraId="3A4B2EBC" w14:textId="77777777" w:rsidR="00BC3469" w:rsidRPr="002B65F7" w:rsidRDefault="00BC3469" w:rsidP="00814670">
            <w:pPr>
              <w:rPr>
                <w:b/>
                <w:bCs/>
                <w:lang w:val="en-GB"/>
              </w:rPr>
            </w:pPr>
            <w:r w:rsidRPr="002B65F7">
              <w:rPr>
                <w:b/>
                <w:bCs/>
                <w:lang w:val="en-GB"/>
              </w:rPr>
              <w:t>Sverige</w:t>
            </w:r>
          </w:p>
          <w:p w14:paraId="714CA31B" w14:textId="77777777" w:rsidR="00BC3469" w:rsidRPr="002B65F7" w:rsidRDefault="00BC3469" w:rsidP="00814670">
            <w:pPr>
              <w:rPr>
                <w:lang w:val="en-GB"/>
              </w:rPr>
            </w:pPr>
            <w:r w:rsidRPr="002B65F7">
              <w:rPr>
                <w:lang w:val="en-GB"/>
              </w:rPr>
              <w:t>Amgen AB</w:t>
            </w:r>
          </w:p>
          <w:p w14:paraId="241A4795" w14:textId="1E942EEF" w:rsidR="00BC3469" w:rsidRPr="002B65F7" w:rsidRDefault="00BC3469" w:rsidP="00814670">
            <w:pPr>
              <w:rPr>
                <w:lang w:val="en-GB"/>
              </w:rPr>
            </w:pPr>
            <w:r w:rsidRPr="002B65F7">
              <w:rPr>
                <w:lang w:val="en-GB"/>
              </w:rPr>
              <w:t>T</w:t>
            </w:r>
            <w:r w:rsidR="00B80776" w:rsidRPr="002B65F7">
              <w:rPr>
                <w:lang w:val="en-GB"/>
              </w:rPr>
              <w:t>é</w:t>
            </w:r>
            <w:r w:rsidRPr="002B65F7">
              <w:rPr>
                <w:lang w:val="en-GB"/>
              </w:rPr>
              <w:t>l: +46 (0)8 6951100</w:t>
            </w:r>
          </w:p>
          <w:p w14:paraId="1F38F3E0" w14:textId="77777777" w:rsidR="00BC3469" w:rsidRPr="002B65F7" w:rsidRDefault="00BC3469" w:rsidP="00814670">
            <w:pPr>
              <w:pStyle w:val="lbltxt"/>
              <w:ind w:left="0" w:firstLine="0"/>
              <w:rPr>
                <w:bCs/>
                <w:noProof w:val="0"/>
                <w:szCs w:val="22"/>
              </w:rPr>
            </w:pPr>
          </w:p>
        </w:tc>
      </w:tr>
      <w:tr w:rsidR="00BC3469" w:rsidRPr="002B65F7" w14:paraId="70F12C23" w14:textId="77777777" w:rsidTr="00BF70DA">
        <w:trPr>
          <w:cantSplit/>
          <w:trHeight w:val="57"/>
        </w:trPr>
        <w:tc>
          <w:tcPr>
            <w:tcW w:w="4680" w:type="dxa"/>
          </w:tcPr>
          <w:p w14:paraId="37B2FF07" w14:textId="77777777" w:rsidR="00BC3469" w:rsidRPr="0056554F" w:rsidRDefault="00BC3469" w:rsidP="00814670">
            <w:pPr>
              <w:rPr>
                <w:b/>
                <w:bCs/>
              </w:rPr>
            </w:pPr>
            <w:r w:rsidRPr="0056554F">
              <w:rPr>
                <w:b/>
                <w:bCs/>
              </w:rPr>
              <w:t>Latvija</w:t>
            </w:r>
          </w:p>
          <w:p w14:paraId="68EE8AA7" w14:textId="77777777" w:rsidR="00BC3469" w:rsidRPr="0056554F" w:rsidRDefault="00BC3469" w:rsidP="00814670">
            <w:r w:rsidRPr="0056554F">
              <w:t>Amgen Switzerland AG Rīgas filiāle</w:t>
            </w:r>
          </w:p>
          <w:p w14:paraId="224A2414" w14:textId="77777777" w:rsidR="00BC3469" w:rsidRPr="002B65F7" w:rsidRDefault="00BC3469" w:rsidP="00814670">
            <w:pPr>
              <w:rPr>
                <w:lang w:val="en-GB"/>
              </w:rPr>
            </w:pPr>
            <w:r w:rsidRPr="002B65F7">
              <w:rPr>
                <w:lang w:val="en-GB"/>
              </w:rPr>
              <w:t>Tel: +371 257 25888</w:t>
            </w:r>
          </w:p>
          <w:p w14:paraId="1156CCF7" w14:textId="77777777" w:rsidR="00BC3469" w:rsidRPr="002B65F7" w:rsidRDefault="00BC3469" w:rsidP="00814670">
            <w:pPr>
              <w:rPr>
                <w:b/>
                <w:lang w:val="en-GB"/>
              </w:rPr>
            </w:pPr>
          </w:p>
        </w:tc>
        <w:tc>
          <w:tcPr>
            <w:tcW w:w="4680" w:type="dxa"/>
          </w:tcPr>
          <w:p w14:paraId="5F08D571" w14:textId="77777777" w:rsidR="00BC3469" w:rsidRPr="002B65F7" w:rsidRDefault="00BC3469" w:rsidP="00814670">
            <w:pPr>
              <w:rPr>
                <w:bCs/>
                <w:lang w:val="en-GB"/>
              </w:rPr>
            </w:pPr>
          </w:p>
        </w:tc>
      </w:tr>
    </w:tbl>
    <w:p w14:paraId="65F1DBE3" w14:textId="77777777" w:rsidR="00BC3469" w:rsidRPr="002B65F7" w:rsidRDefault="00BC3469" w:rsidP="00496255">
      <w:pPr>
        <w:widowControl/>
      </w:pPr>
    </w:p>
    <w:p w14:paraId="03B591B3" w14:textId="77777777" w:rsidR="00092F83" w:rsidRPr="002B65F7" w:rsidRDefault="00C31740" w:rsidP="00496255">
      <w:pPr>
        <w:keepNext/>
        <w:keepLines/>
        <w:widowControl/>
        <w:rPr>
          <w:b/>
          <w:bCs/>
        </w:rPr>
      </w:pPr>
      <w:r w:rsidRPr="002B65F7">
        <w:rPr>
          <w:b/>
          <w:bCs/>
        </w:rPr>
        <w:t>La dernière date à laquelle cette notice a été révisée est</w:t>
      </w:r>
    </w:p>
    <w:p w14:paraId="03B591B4" w14:textId="77777777" w:rsidR="00092F83" w:rsidRPr="002B65F7" w:rsidRDefault="00092F83" w:rsidP="00496255">
      <w:pPr>
        <w:keepNext/>
        <w:keepLines/>
        <w:widowControl/>
      </w:pPr>
    </w:p>
    <w:p w14:paraId="179718A7" w14:textId="2DF1DAE5" w:rsidR="00BC3469" w:rsidRPr="002B65F7" w:rsidRDefault="00BC3469" w:rsidP="00BC3469">
      <w:pPr>
        <w:keepNext/>
        <w:rPr>
          <w:b/>
          <w:bCs/>
          <w:position w:val="-1"/>
        </w:rPr>
      </w:pPr>
      <w:r w:rsidRPr="002B65F7">
        <w:rPr>
          <w:b/>
          <w:bCs/>
        </w:rPr>
        <w:t>Autres sources d</w:t>
      </w:r>
      <w:r w:rsidR="000C07BC" w:rsidRPr="002B65F7">
        <w:rPr>
          <w:b/>
          <w:bCs/>
        </w:rPr>
        <w:t>’</w:t>
      </w:r>
      <w:r w:rsidRPr="002B65F7">
        <w:rPr>
          <w:b/>
          <w:bCs/>
        </w:rPr>
        <w:t>information</w:t>
      </w:r>
      <w:r w:rsidR="000C07BC" w:rsidRPr="002B65F7">
        <w:rPr>
          <w:b/>
          <w:bCs/>
        </w:rPr>
        <w:t>s</w:t>
      </w:r>
    </w:p>
    <w:p w14:paraId="00F55B84" w14:textId="77777777" w:rsidR="00BC3469" w:rsidRPr="002B65F7" w:rsidRDefault="00BC3469" w:rsidP="00496255">
      <w:pPr>
        <w:keepNext/>
        <w:keepLines/>
        <w:widowControl/>
      </w:pPr>
    </w:p>
    <w:p w14:paraId="71163E17" w14:textId="26BC1DCB" w:rsidR="00B41E23" w:rsidRPr="002B65F7" w:rsidRDefault="00C31740" w:rsidP="00496255">
      <w:pPr>
        <w:keepNext/>
        <w:keepLines/>
        <w:widowControl/>
      </w:pPr>
      <w:r w:rsidRPr="002B65F7">
        <w:t xml:space="preserve">Des informations détaillées sur ce médicament sont disponibles sur le site internet de l’Agence européenne des médicaments </w:t>
      </w:r>
      <w:hyperlink r:id="rId30" w:history="1">
        <w:r w:rsidR="00D06682">
          <w:rPr>
            <w:rStyle w:val="Hyperlink"/>
          </w:rPr>
          <w:t>https://www.ema.europa.eu</w:t>
        </w:r>
      </w:hyperlink>
      <w:r w:rsidRPr="002B65F7">
        <w:t>.</w:t>
      </w:r>
    </w:p>
    <w:p w14:paraId="4EAC7CA3" w14:textId="1F5B10AF" w:rsidR="00BC3469" w:rsidRPr="002B65F7" w:rsidRDefault="00BC3469" w:rsidP="008B77EB"/>
    <w:p w14:paraId="4A366509" w14:textId="14CCE6F9" w:rsidR="00BC3469" w:rsidRDefault="00435E7C" w:rsidP="00BC3469">
      <w:r>
        <w:t>------------------------------------------------------------------------------------------------------------------------</w:t>
      </w:r>
    </w:p>
    <w:p w14:paraId="2E4F4B64" w14:textId="77777777" w:rsidR="00435E7C" w:rsidRPr="002B65F7" w:rsidRDefault="00435E7C" w:rsidP="00BC3469"/>
    <w:p w14:paraId="23CEF2B9" w14:textId="5C34F3F6" w:rsidR="00BC3469" w:rsidRPr="002B65F7" w:rsidRDefault="00554D13" w:rsidP="004B12BC">
      <w:pPr>
        <w:keepNext/>
        <w:keepLines/>
        <w:jc w:val="center"/>
        <w:outlineLvl w:val="0"/>
        <w:rPr>
          <w:b/>
          <w:kern w:val="28"/>
          <w:lang w:eastAsia="x-none"/>
        </w:rPr>
      </w:pPr>
      <w:r w:rsidRPr="002B65F7">
        <w:rPr>
          <w:b/>
          <w:kern w:val="28"/>
          <w:lang w:eastAsia="x-none"/>
        </w:rPr>
        <w:br w:type="page"/>
      </w:r>
      <w:r w:rsidR="00BC3469" w:rsidRPr="002B65F7">
        <w:rPr>
          <w:b/>
          <w:kern w:val="28"/>
          <w:lang w:eastAsia="x-none"/>
        </w:rPr>
        <w:lastRenderedPageBreak/>
        <w:t xml:space="preserve">INSTRUCTIONS </w:t>
      </w:r>
      <w:r w:rsidR="00980B84" w:rsidRPr="002B65F7">
        <w:rPr>
          <w:b/>
          <w:kern w:val="28"/>
          <w:lang w:eastAsia="x-none"/>
        </w:rPr>
        <w:t>D</w:t>
      </w:r>
      <w:r w:rsidR="00BC3469" w:rsidRPr="002B65F7">
        <w:rPr>
          <w:b/>
          <w:kern w:val="28"/>
          <w:lang w:eastAsia="x-none"/>
        </w:rPr>
        <w:t>’UTILISATION</w:t>
      </w:r>
      <w:r w:rsidR="00BC3469" w:rsidRPr="002B65F7">
        <w:rPr>
          <w:b/>
          <w:kern w:val="28"/>
          <w:lang w:val="en-GB" w:eastAsia="x-none"/>
        </w:rPr>
        <w:fldChar w:fldCharType="begin"/>
      </w:r>
      <w:r w:rsidR="00BC3469" w:rsidRPr="002B65F7">
        <w:rPr>
          <w:b/>
          <w:kern w:val="28"/>
          <w:lang w:eastAsia="x-none"/>
        </w:rPr>
        <w:instrText xml:space="preserve"> DOCVARIABLE VAULT_ND_0a3adf0f-f59b-4166-806d-c692ee5d001c \* MERGEFORMAT </w:instrText>
      </w:r>
      <w:r w:rsidR="00BC3469" w:rsidRPr="002B65F7">
        <w:rPr>
          <w:b/>
          <w:kern w:val="28"/>
          <w:lang w:val="en-GB" w:eastAsia="x-none"/>
        </w:rPr>
        <w:fldChar w:fldCharType="separate"/>
      </w:r>
      <w:r w:rsidR="00BC3469" w:rsidRPr="002B65F7">
        <w:rPr>
          <w:b/>
          <w:kern w:val="28"/>
          <w:lang w:eastAsia="x-none"/>
        </w:rPr>
        <w:t xml:space="preserve"> </w:t>
      </w:r>
      <w:r w:rsidR="00BC3469" w:rsidRPr="002B65F7">
        <w:rPr>
          <w:b/>
          <w:kern w:val="28"/>
          <w:lang w:val="en-GB" w:eastAsia="x-none"/>
        </w:rPr>
        <w:fldChar w:fldCharType="end"/>
      </w:r>
    </w:p>
    <w:p w14:paraId="55425EA0" w14:textId="77777777" w:rsidR="00BC3469" w:rsidRPr="002B65F7" w:rsidRDefault="00BC3469" w:rsidP="00BC3469">
      <w:pPr>
        <w:keepNext/>
        <w:keepLines/>
        <w:jc w:val="center"/>
        <w:rPr>
          <w:b/>
          <w:bCs/>
          <w:color w:val="000000"/>
          <w:lang w:eastAsia="ja-JP"/>
        </w:rPr>
      </w:pPr>
    </w:p>
    <w:p w14:paraId="6E34FB89" w14:textId="3C6EC506" w:rsidR="00BC3469" w:rsidRPr="002B65F7" w:rsidRDefault="00BC3469" w:rsidP="00BC3469">
      <w:pPr>
        <w:keepNext/>
        <w:keepLines/>
        <w:kinsoku w:val="0"/>
        <w:overflowPunct w:val="0"/>
        <w:rPr>
          <w:color w:val="231F20"/>
          <w:spacing w:val="-2"/>
          <w:w w:val="105"/>
          <w:lang w:eastAsia="ja-JP"/>
        </w:rPr>
      </w:pPr>
      <w:r w:rsidRPr="002B65F7">
        <w:rPr>
          <w:color w:val="231F20"/>
          <w:lang w:eastAsia="ja-JP"/>
        </w:rPr>
        <w:t xml:space="preserve">Ces instructions </w:t>
      </w:r>
      <w:r w:rsidR="00980B84" w:rsidRPr="002B65F7">
        <w:rPr>
          <w:color w:val="231F20"/>
          <w:lang w:eastAsia="ja-JP"/>
        </w:rPr>
        <w:t>d</w:t>
      </w:r>
      <w:r w:rsidRPr="002B65F7">
        <w:rPr>
          <w:color w:val="231F20"/>
          <w:lang w:eastAsia="ja-JP"/>
        </w:rPr>
        <w:t>’utilisation contiennent des informations sur la manière d’injecter WEZENLA à l’aide d’une seringue préremplie</w:t>
      </w:r>
      <w:r w:rsidRPr="002B65F7">
        <w:rPr>
          <w:color w:val="231F20"/>
          <w:spacing w:val="-2"/>
          <w:w w:val="105"/>
          <w:lang w:eastAsia="ja-JP"/>
        </w:rPr>
        <w:t>.</w:t>
      </w:r>
    </w:p>
    <w:p w14:paraId="01A2A7B1" w14:textId="77777777" w:rsidR="00BC3469" w:rsidRPr="002B65F7" w:rsidRDefault="00BC3469" w:rsidP="00BC3469">
      <w:pPr>
        <w:keepNext/>
        <w:keepLines/>
        <w:kinsoku w:val="0"/>
        <w:overflowPunct w:val="0"/>
        <w:rPr>
          <w:color w:val="000000"/>
          <w:lang w:eastAsia="ja-JP"/>
        </w:rPr>
      </w:pPr>
    </w:p>
    <w:p w14:paraId="5807DA96" w14:textId="3BE4E42D" w:rsidR="00BC3469" w:rsidRPr="002B65F7" w:rsidRDefault="00BC3469" w:rsidP="00BC3469">
      <w:pPr>
        <w:keepNext/>
        <w:keepLines/>
        <w:kinsoku w:val="0"/>
        <w:overflowPunct w:val="0"/>
        <w:rPr>
          <w:color w:val="231F20"/>
          <w:spacing w:val="-2"/>
          <w:w w:val="105"/>
          <w:lang w:eastAsia="ja-JP"/>
        </w:rPr>
      </w:pPr>
      <w:r w:rsidRPr="002B65F7">
        <w:rPr>
          <w:color w:val="000000"/>
          <w:lang w:eastAsia="ja-JP"/>
        </w:rPr>
        <w:t>Cette seringue préremplie délivre WEZENLA par injection sous-cutanée</w:t>
      </w:r>
      <w:r w:rsidR="00500CA6" w:rsidRPr="002B65F7">
        <w:rPr>
          <w:color w:val="000000"/>
          <w:lang w:eastAsia="ja-JP"/>
        </w:rPr>
        <w:t xml:space="preserve"> (sous la peau)</w:t>
      </w:r>
      <w:r w:rsidRPr="002B65F7">
        <w:rPr>
          <w:color w:val="000000"/>
          <w:lang w:eastAsia="ja-JP"/>
        </w:rPr>
        <w:t>. Voir la notice pour plus d’informations sur le médicament.</w:t>
      </w:r>
    </w:p>
    <w:p w14:paraId="4059898E" w14:textId="77777777" w:rsidR="00BC3469" w:rsidRPr="002B65F7" w:rsidRDefault="00BC3469" w:rsidP="00BC3469">
      <w:pPr>
        <w:keepNext/>
        <w:keepLines/>
        <w:rPr>
          <w:lang w:eastAsia="ja-JP"/>
        </w:rPr>
      </w:pPr>
    </w:p>
    <w:tbl>
      <w:tblPr>
        <w:tblW w:w="0" w:type="auto"/>
        <w:tblLook w:val="04A0" w:firstRow="1" w:lastRow="0" w:firstColumn="1" w:lastColumn="0" w:noHBand="0" w:noVBand="1"/>
      </w:tblPr>
      <w:tblGrid>
        <w:gridCol w:w="2946"/>
        <w:gridCol w:w="2502"/>
        <w:gridCol w:w="3623"/>
      </w:tblGrid>
      <w:tr w:rsidR="00BC3469" w:rsidRPr="002B65F7" w14:paraId="32D50540" w14:textId="77777777" w:rsidTr="00BF70DA">
        <w:tc>
          <w:tcPr>
            <w:tcW w:w="9360" w:type="dxa"/>
            <w:gridSpan w:val="3"/>
          </w:tcPr>
          <w:p w14:paraId="45FEE274" w14:textId="2BBA3C26" w:rsidR="00BC3469" w:rsidRPr="002B65F7" w:rsidRDefault="00BC3469" w:rsidP="00BF70DA">
            <w:pPr>
              <w:keepNext/>
              <w:keepLines/>
              <w:jc w:val="center"/>
              <w:rPr>
                <w:b/>
                <w:bCs/>
                <w:lang w:eastAsia="ja-JP"/>
              </w:rPr>
            </w:pPr>
            <w:r w:rsidRPr="002B65F7">
              <w:rPr>
                <w:b/>
                <w:bCs/>
                <w:lang w:eastAsia="ja-JP"/>
              </w:rPr>
              <w:t>Se familiariser avec votre seringue préremplie</w:t>
            </w:r>
          </w:p>
          <w:p w14:paraId="5E425C1F" w14:textId="77777777" w:rsidR="00BC3469" w:rsidRPr="002B65F7" w:rsidRDefault="00BC3469" w:rsidP="00BF70DA">
            <w:pPr>
              <w:keepNext/>
              <w:keepLines/>
              <w:jc w:val="center"/>
              <w:rPr>
                <w:lang w:eastAsia="ja-JP"/>
              </w:rPr>
            </w:pPr>
          </w:p>
        </w:tc>
      </w:tr>
      <w:tr w:rsidR="00BC3469" w:rsidRPr="002B65F7" w14:paraId="496F13B1" w14:textId="77777777" w:rsidTr="00BF70DA">
        <w:trPr>
          <w:trHeight w:val="2215"/>
        </w:trPr>
        <w:tc>
          <w:tcPr>
            <w:tcW w:w="3078" w:type="dxa"/>
          </w:tcPr>
          <w:p w14:paraId="12D15FDE" w14:textId="77777777" w:rsidR="00EC5663" w:rsidRPr="002B65F7" w:rsidRDefault="00EC5663" w:rsidP="00BF70DA">
            <w:pPr>
              <w:keepNext/>
              <w:keepLines/>
              <w:jc w:val="right"/>
              <w:rPr>
                <w:sz w:val="18"/>
                <w:szCs w:val="18"/>
                <w:lang w:eastAsia="ja-JP"/>
              </w:rPr>
            </w:pPr>
          </w:p>
          <w:p w14:paraId="3387E4D3" w14:textId="77777777" w:rsidR="00EC5663" w:rsidRPr="002B65F7" w:rsidRDefault="00EC5663" w:rsidP="00BF70DA">
            <w:pPr>
              <w:keepNext/>
              <w:keepLines/>
              <w:jc w:val="right"/>
              <w:rPr>
                <w:sz w:val="18"/>
                <w:szCs w:val="18"/>
                <w:lang w:eastAsia="ja-JP"/>
              </w:rPr>
            </w:pPr>
          </w:p>
          <w:p w14:paraId="313748FC" w14:textId="23B6B69A" w:rsidR="00BC3469" w:rsidRPr="002B65F7" w:rsidRDefault="00BC3469" w:rsidP="00BF70DA">
            <w:pPr>
              <w:keepNext/>
              <w:keepLines/>
              <w:jc w:val="right"/>
              <w:rPr>
                <w:lang w:eastAsia="ja-JP"/>
              </w:rPr>
            </w:pPr>
            <w:r w:rsidRPr="002B65F7">
              <w:rPr>
                <w:lang w:eastAsia="ja-JP"/>
              </w:rPr>
              <w:t>Tête du piston</w:t>
            </w:r>
          </w:p>
          <w:p w14:paraId="0A149DE4" w14:textId="77777777" w:rsidR="009C2A4E" w:rsidRPr="002B65F7" w:rsidRDefault="009C2A4E" w:rsidP="00BF70DA">
            <w:pPr>
              <w:keepNext/>
              <w:keepLines/>
              <w:jc w:val="right"/>
              <w:rPr>
                <w:lang w:eastAsia="ja-JP"/>
              </w:rPr>
            </w:pPr>
          </w:p>
          <w:p w14:paraId="6EE5FECE" w14:textId="77777777" w:rsidR="009C2A4E" w:rsidRPr="002B65F7" w:rsidRDefault="009C2A4E" w:rsidP="00BF70DA">
            <w:pPr>
              <w:keepNext/>
              <w:keepLines/>
              <w:jc w:val="right"/>
              <w:rPr>
                <w:lang w:eastAsia="ja-JP"/>
              </w:rPr>
            </w:pPr>
          </w:p>
          <w:p w14:paraId="4A0F199C" w14:textId="77777777" w:rsidR="009C2A4E" w:rsidRPr="002B65F7" w:rsidRDefault="009C2A4E" w:rsidP="00BF70DA">
            <w:pPr>
              <w:keepNext/>
              <w:keepLines/>
              <w:jc w:val="right"/>
              <w:rPr>
                <w:lang w:eastAsia="ja-JP"/>
              </w:rPr>
            </w:pPr>
          </w:p>
          <w:p w14:paraId="30F7B221" w14:textId="131C91B9" w:rsidR="00BC3469" w:rsidRPr="002B65F7" w:rsidRDefault="009C2A4E" w:rsidP="00BF70DA">
            <w:pPr>
              <w:keepNext/>
              <w:keepLines/>
              <w:jc w:val="right"/>
              <w:rPr>
                <w:lang w:eastAsia="ja-JP"/>
              </w:rPr>
            </w:pPr>
            <w:r w:rsidRPr="002B65F7">
              <w:rPr>
                <w:lang w:eastAsia="ja-JP"/>
              </w:rPr>
              <w:t>Attaches du dispositif</w:t>
            </w:r>
            <w:r w:rsidR="00BC3469" w:rsidRPr="002B65F7">
              <w:rPr>
                <w:lang w:eastAsia="ja-JP"/>
              </w:rPr>
              <w:t xml:space="preserve"> de protection de l’aiguille</w:t>
            </w:r>
          </w:p>
        </w:tc>
        <w:tc>
          <w:tcPr>
            <w:tcW w:w="2509" w:type="dxa"/>
            <w:vMerge w:val="restart"/>
          </w:tcPr>
          <w:p w14:paraId="297979E0" w14:textId="7B0A379B" w:rsidR="00BC3469" w:rsidRPr="002B65F7" w:rsidRDefault="00A2167E" w:rsidP="00BF70DA">
            <w:pPr>
              <w:keepNext/>
              <w:keepLines/>
              <w:rPr>
                <w:lang w:eastAsia="ja-JP"/>
              </w:rPr>
            </w:pPr>
            <w:r>
              <w:rPr>
                <w:noProof/>
              </w:rPr>
              <w:drawing>
                <wp:anchor distT="0" distB="0" distL="114300" distR="114300" simplePos="0" relativeHeight="251652608" behindDoc="0" locked="0" layoutInCell="1" allowOverlap="1" wp14:anchorId="4950778A" wp14:editId="67B3A60E">
                  <wp:simplePos x="0" y="0"/>
                  <wp:positionH relativeFrom="column">
                    <wp:posOffset>66040</wp:posOffset>
                  </wp:positionH>
                  <wp:positionV relativeFrom="paragraph">
                    <wp:posOffset>123190</wp:posOffset>
                  </wp:positionV>
                  <wp:extent cx="1390650" cy="3495675"/>
                  <wp:effectExtent l="0" t="0" r="0" b="0"/>
                  <wp:wrapSquare wrapText="bothSides"/>
                  <wp:docPr id="2361784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0650" cy="3495675"/>
                          </a:xfrm>
                          <a:prstGeom prst="rect">
                            <a:avLst/>
                          </a:prstGeom>
                          <a:noFill/>
                        </pic:spPr>
                      </pic:pic>
                    </a:graphicData>
                  </a:graphic>
                  <wp14:sizeRelH relativeFrom="page">
                    <wp14:pctWidth>0</wp14:pctWidth>
                  </wp14:sizeRelH>
                  <wp14:sizeRelV relativeFrom="page">
                    <wp14:pctHeight>0</wp14:pctHeight>
                  </wp14:sizeRelV>
                </wp:anchor>
              </w:drawing>
            </w:r>
          </w:p>
        </w:tc>
        <w:tc>
          <w:tcPr>
            <w:tcW w:w="3773" w:type="dxa"/>
          </w:tcPr>
          <w:p w14:paraId="1320B495" w14:textId="77777777" w:rsidR="00EC5663" w:rsidRPr="002B65F7" w:rsidRDefault="00EC5663" w:rsidP="00BF70DA">
            <w:pPr>
              <w:keepNext/>
              <w:keepLines/>
              <w:rPr>
                <w:lang w:eastAsia="ja-JP"/>
              </w:rPr>
            </w:pPr>
          </w:p>
          <w:p w14:paraId="701D280E" w14:textId="77777777" w:rsidR="00EC5663" w:rsidRPr="002B65F7" w:rsidRDefault="00EC5663" w:rsidP="00BF70DA">
            <w:pPr>
              <w:keepNext/>
              <w:keepLines/>
              <w:rPr>
                <w:lang w:eastAsia="ja-JP"/>
              </w:rPr>
            </w:pPr>
          </w:p>
          <w:p w14:paraId="7C1E265E" w14:textId="77777777" w:rsidR="00EC5663" w:rsidRPr="002B65F7" w:rsidRDefault="00EC5663" w:rsidP="00BF70DA">
            <w:pPr>
              <w:keepNext/>
              <w:keepLines/>
              <w:rPr>
                <w:lang w:eastAsia="ja-JP"/>
              </w:rPr>
            </w:pPr>
          </w:p>
          <w:p w14:paraId="344550B4" w14:textId="4566C858" w:rsidR="00BC3469" w:rsidRPr="002B65F7" w:rsidRDefault="00BC3469" w:rsidP="00BF70DA">
            <w:pPr>
              <w:keepNext/>
              <w:keepLines/>
              <w:rPr>
                <w:lang w:eastAsia="ja-JP"/>
              </w:rPr>
            </w:pPr>
            <w:r w:rsidRPr="002B65F7">
              <w:rPr>
                <w:lang w:eastAsia="ja-JP"/>
              </w:rPr>
              <w:t>Tige du piston</w:t>
            </w:r>
          </w:p>
          <w:p w14:paraId="0C7DCC22" w14:textId="77777777" w:rsidR="009C2A4E" w:rsidRPr="002B65F7" w:rsidRDefault="009C2A4E" w:rsidP="00BF70DA">
            <w:pPr>
              <w:keepNext/>
              <w:keepLines/>
              <w:rPr>
                <w:lang w:eastAsia="ja-JP"/>
              </w:rPr>
            </w:pPr>
          </w:p>
          <w:p w14:paraId="77CEACF8" w14:textId="77777777" w:rsidR="009C2A4E" w:rsidRPr="002B65F7" w:rsidRDefault="009C2A4E" w:rsidP="00BF70DA">
            <w:pPr>
              <w:keepNext/>
              <w:keepLines/>
              <w:rPr>
                <w:lang w:eastAsia="ja-JP"/>
              </w:rPr>
            </w:pPr>
          </w:p>
          <w:p w14:paraId="179CB3F5" w14:textId="77777777" w:rsidR="009C2A4E" w:rsidRPr="002B65F7" w:rsidRDefault="009C2A4E" w:rsidP="00BF70DA">
            <w:pPr>
              <w:keepNext/>
              <w:keepLines/>
              <w:rPr>
                <w:lang w:eastAsia="ja-JP"/>
              </w:rPr>
            </w:pPr>
          </w:p>
          <w:p w14:paraId="5CA1E6B9" w14:textId="77777777" w:rsidR="009C2A4E" w:rsidRPr="002B65F7" w:rsidRDefault="009C2A4E" w:rsidP="00BF70DA">
            <w:pPr>
              <w:keepNext/>
              <w:keepLines/>
              <w:rPr>
                <w:sz w:val="18"/>
                <w:szCs w:val="18"/>
                <w:lang w:eastAsia="ja-JP"/>
              </w:rPr>
            </w:pPr>
          </w:p>
          <w:p w14:paraId="6235EA6C" w14:textId="5E5D044B" w:rsidR="00BC3469" w:rsidRPr="002B65F7" w:rsidRDefault="009C2A4E" w:rsidP="00BF70DA">
            <w:pPr>
              <w:keepNext/>
              <w:keepLines/>
              <w:rPr>
                <w:lang w:eastAsia="ja-JP"/>
              </w:rPr>
            </w:pPr>
            <w:r w:rsidRPr="002B65F7">
              <w:rPr>
                <w:lang w:eastAsia="ja-JP"/>
              </w:rPr>
              <w:t>P</w:t>
            </w:r>
            <w:r w:rsidR="00BC3469" w:rsidRPr="002B65F7">
              <w:rPr>
                <w:lang w:eastAsia="ja-JP"/>
              </w:rPr>
              <w:t>iston</w:t>
            </w:r>
            <w:r w:rsidR="00F20739">
              <w:rPr>
                <w:lang w:eastAsia="ja-JP"/>
              </w:rPr>
              <w:t xml:space="preserve"> (l’emplacement peut varier)</w:t>
            </w:r>
          </w:p>
        </w:tc>
      </w:tr>
      <w:tr w:rsidR="00BC3469" w:rsidRPr="002B65F7" w14:paraId="6F91BDA4" w14:textId="77777777" w:rsidTr="00BF70DA">
        <w:trPr>
          <w:trHeight w:val="1150"/>
        </w:trPr>
        <w:tc>
          <w:tcPr>
            <w:tcW w:w="3078" w:type="dxa"/>
          </w:tcPr>
          <w:p w14:paraId="726CADCB" w14:textId="77777777" w:rsidR="00EC5663" w:rsidRPr="00B007D2" w:rsidRDefault="00EC5663" w:rsidP="00BF70DA">
            <w:pPr>
              <w:keepNext/>
              <w:keepLines/>
              <w:jc w:val="right"/>
              <w:rPr>
                <w:lang w:eastAsia="ja-JP"/>
              </w:rPr>
            </w:pPr>
          </w:p>
          <w:p w14:paraId="45533AB4" w14:textId="7B6BD238" w:rsidR="00BC3469" w:rsidRPr="002B65F7" w:rsidRDefault="009C2A4E" w:rsidP="00BF70DA">
            <w:pPr>
              <w:keepNext/>
              <w:keepLines/>
              <w:jc w:val="right"/>
              <w:rPr>
                <w:lang w:val="en-GB" w:eastAsia="ja-JP"/>
              </w:rPr>
            </w:pPr>
            <w:r w:rsidRPr="002B65F7">
              <w:rPr>
                <w:lang w:val="en-GB" w:eastAsia="ja-JP"/>
              </w:rPr>
              <w:t>Prise</w:t>
            </w:r>
            <w:r w:rsidR="00BC3469" w:rsidRPr="002B65F7">
              <w:rPr>
                <w:lang w:val="en-GB" w:eastAsia="ja-JP"/>
              </w:rPr>
              <w:t xml:space="preserve"> pour les doigts</w:t>
            </w:r>
          </w:p>
        </w:tc>
        <w:tc>
          <w:tcPr>
            <w:tcW w:w="2509" w:type="dxa"/>
            <w:vMerge/>
          </w:tcPr>
          <w:p w14:paraId="24FFD738" w14:textId="77777777" w:rsidR="00BC3469" w:rsidRPr="002B65F7" w:rsidRDefault="00BC3469" w:rsidP="00BF70DA">
            <w:pPr>
              <w:keepNext/>
              <w:keepLines/>
              <w:rPr>
                <w:lang w:val="en-GB" w:eastAsia="ja-JP"/>
              </w:rPr>
            </w:pPr>
          </w:p>
        </w:tc>
        <w:tc>
          <w:tcPr>
            <w:tcW w:w="3773" w:type="dxa"/>
            <w:vMerge w:val="restart"/>
          </w:tcPr>
          <w:p w14:paraId="7F7CCB93" w14:textId="77777777" w:rsidR="009C2A4E" w:rsidRPr="002B65F7" w:rsidRDefault="009C2A4E" w:rsidP="00BF70DA">
            <w:pPr>
              <w:keepNext/>
              <w:keepLines/>
              <w:rPr>
                <w:sz w:val="18"/>
                <w:szCs w:val="18"/>
                <w:lang w:val="en-GB" w:eastAsia="ja-JP"/>
              </w:rPr>
            </w:pPr>
          </w:p>
          <w:p w14:paraId="4F25C458" w14:textId="77777777" w:rsidR="009C2A4E" w:rsidRPr="002B65F7" w:rsidRDefault="009C2A4E" w:rsidP="00BF70DA">
            <w:pPr>
              <w:keepNext/>
              <w:keepLines/>
              <w:rPr>
                <w:sz w:val="18"/>
                <w:szCs w:val="18"/>
                <w:lang w:val="en-GB" w:eastAsia="ja-JP"/>
              </w:rPr>
            </w:pPr>
          </w:p>
          <w:p w14:paraId="7CFA44ED" w14:textId="77777777" w:rsidR="00EC5663" w:rsidRPr="002B65F7" w:rsidRDefault="00EC5663" w:rsidP="00BF70DA">
            <w:pPr>
              <w:keepNext/>
              <w:keepLines/>
              <w:rPr>
                <w:lang w:val="en-GB" w:eastAsia="ja-JP"/>
              </w:rPr>
            </w:pPr>
          </w:p>
          <w:p w14:paraId="05F0524B" w14:textId="32F1B5E9" w:rsidR="00BC3469" w:rsidRPr="002B65F7" w:rsidRDefault="00BC3469" w:rsidP="00BF70DA">
            <w:pPr>
              <w:keepNext/>
              <w:keepLines/>
              <w:rPr>
                <w:lang w:val="en-GB" w:eastAsia="ja-JP"/>
              </w:rPr>
            </w:pPr>
            <w:r w:rsidRPr="002B65F7">
              <w:rPr>
                <w:lang w:val="en-GB" w:eastAsia="ja-JP"/>
              </w:rPr>
              <w:t>Corps</w:t>
            </w:r>
            <w:r w:rsidR="009C2A4E" w:rsidRPr="002B65F7">
              <w:rPr>
                <w:lang w:val="en-GB" w:eastAsia="ja-JP"/>
              </w:rPr>
              <w:t xml:space="preserve"> de la seringue</w:t>
            </w:r>
          </w:p>
        </w:tc>
      </w:tr>
      <w:tr w:rsidR="00BC3469" w:rsidRPr="002B65F7" w14:paraId="54D56803" w14:textId="77777777" w:rsidTr="00BF70DA">
        <w:trPr>
          <w:trHeight w:val="433"/>
        </w:trPr>
        <w:tc>
          <w:tcPr>
            <w:tcW w:w="3078" w:type="dxa"/>
          </w:tcPr>
          <w:p w14:paraId="452537D6" w14:textId="7EEEF893" w:rsidR="00BC3469" w:rsidRPr="002B65F7" w:rsidRDefault="009C2A4E" w:rsidP="00BF70DA">
            <w:pPr>
              <w:keepNext/>
              <w:keepLines/>
              <w:jc w:val="right"/>
              <w:rPr>
                <w:lang w:val="en-GB" w:eastAsia="ja-JP"/>
              </w:rPr>
            </w:pPr>
            <w:r w:rsidRPr="002B65F7">
              <w:rPr>
                <w:lang w:val="en-GB" w:eastAsia="ja-JP"/>
              </w:rPr>
              <w:t>É</w:t>
            </w:r>
            <w:r w:rsidR="00BC3469" w:rsidRPr="002B65F7">
              <w:rPr>
                <w:lang w:val="en-GB" w:eastAsia="ja-JP"/>
              </w:rPr>
              <w:t>tiquette</w:t>
            </w:r>
          </w:p>
        </w:tc>
        <w:tc>
          <w:tcPr>
            <w:tcW w:w="2509" w:type="dxa"/>
            <w:vMerge/>
          </w:tcPr>
          <w:p w14:paraId="3FDBDEF0" w14:textId="77777777" w:rsidR="00BC3469" w:rsidRPr="002B65F7" w:rsidRDefault="00BC3469" w:rsidP="00BF70DA">
            <w:pPr>
              <w:keepNext/>
              <w:keepLines/>
              <w:rPr>
                <w:lang w:val="en-GB" w:eastAsia="ja-JP"/>
              </w:rPr>
            </w:pPr>
          </w:p>
        </w:tc>
        <w:tc>
          <w:tcPr>
            <w:tcW w:w="3773" w:type="dxa"/>
            <w:vMerge/>
          </w:tcPr>
          <w:p w14:paraId="710480FD" w14:textId="77777777" w:rsidR="00BC3469" w:rsidRPr="002B65F7" w:rsidRDefault="00BC3469" w:rsidP="00BF70DA">
            <w:pPr>
              <w:keepNext/>
              <w:keepLines/>
              <w:rPr>
                <w:lang w:val="en-GB" w:eastAsia="ja-JP"/>
              </w:rPr>
            </w:pPr>
          </w:p>
        </w:tc>
      </w:tr>
      <w:tr w:rsidR="00BC3469" w:rsidRPr="002B65F7" w14:paraId="390403D7" w14:textId="77777777" w:rsidTr="00BF70DA">
        <w:trPr>
          <w:trHeight w:val="1931"/>
        </w:trPr>
        <w:tc>
          <w:tcPr>
            <w:tcW w:w="3078" w:type="dxa"/>
          </w:tcPr>
          <w:p w14:paraId="75F77A45" w14:textId="77777777" w:rsidR="00EC5663" w:rsidRPr="002B65F7" w:rsidRDefault="00EC5663" w:rsidP="00BF70DA">
            <w:pPr>
              <w:jc w:val="right"/>
              <w:rPr>
                <w:lang w:eastAsia="ja-JP"/>
              </w:rPr>
            </w:pPr>
          </w:p>
          <w:p w14:paraId="0636DD93" w14:textId="77777777" w:rsidR="00EC5663" w:rsidRPr="002B65F7" w:rsidRDefault="00EC5663" w:rsidP="00BF70DA">
            <w:pPr>
              <w:jc w:val="right"/>
              <w:rPr>
                <w:lang w:eastAsia="ja-JP"/>
              </w:rPr>
            </w:pPr>
          </w:p>
          <w:p w14:paraId="4156395F" w14:textId="77777777" w:rsidR="00EC5663" w:rsidRPr="002B65F7" w:rsidRDefault="00EC5663" w:rsidP="00BF70DA">
            <w:pPr>
              <w:jc w:val="right"/>
              <w:rPr>
                <w:lang w:eastAsia="ja-JP"/>
              </w:rPr>
            </w:pPr>
          </w:p>
          <w:p w14:paraId="1A042FE8" w14:textId="2923112A" w:rsidR="00BC3469" w:rsidRPr="002B65F7" w:rsidRDefault="009C2A4E" w:rsidP="00BF70DA">
            <w:pPr>
              <w:jc w:val="right"/>
              <w:rPr>
                <w:lang w:eastAsia="ja-JP"/>
              </w:rPr>
            </w:pPr>
            <w:r w:rsidRPr="002B65F7">
              <w:rPr>
                <w:lang w:eastAsia="ja-JP"/>
              </w:rPr>
              <w:t>Capuchon de l’</w:t>
            </w:r>
            <w:r w:rsidR="00BC3469" w:rsidRPr="002B65F7">
              <w:rPr>
                <w:lang w:eastAsia="ja-JP"/>
              </w:rPr>
              <w:t>aiguille (aiguille à l’intérieur)</w:t>
            </w:r>
          </w:p>
        </w:tc>
        <w:tc>
          <w:tcPr>
            <w:tcW w:w="2509" w:type="dxa"/>
            <w:vMerge/>
          </w:tcPr>
          <w:p w14:paraId="2DAE9194" w14:textId="77777777" w:rsidR="00BC3469" w:rsidRPr="002B65F7" w:rsidRDefault="00BC3469" w:rsidP="00BF70DA">
            <w:pPr>
              <w:rPr>
                <w:lang w:eastAsia="ja-JP"/>
              </w:rPr>
            </w:pPr>
          </w:p>
        </w:tc>
        <w:tc>
          <w:tcPr>
            <w:tcW w:w="3773" w:type="dxa"/>
          </w:tcPr>
          <w:p w14:paraId="1D139A62" w14:textId="36EB090B" w:rsidR="00BC3469" w:rsidRPr="002B65F7" w:rsidRDefault="00BC3469" w:rsidP="00BF70DA">
            <w:pPr>
              <w:rPr>
                <w:lang w:val="en-GB" w:eastAsia="ja-JP"/>
              </w:rPr>
            </w:pPr>
            <w:r w:rsidRPr="002B65F7">
              <w:rPr>
                <w:lang w:val="en-GB" w:eastAsia="ja-JP"/>
              </w:rPr>
              <w:t xml:space="preserve">Fenêtre de </w:t>
            </w:r>
            <w:r w:rsidR="009C2A4E" w:rsidRPr="002B65F7">
              <w:rPr>
                <w:lang w:val="en-GB" w:eastAsia="ja-JP"/>
              </w:rPr>
              <w:t>visualisation</w:t>
            </w:r>
          </w:p>
          <w:p w14:paraId="14165D3F" w14:textId="77777777" w:rsidR="00BC3469" w:rsidRPr="002B65F7" w:rsidRDefault="00BC3469" w:rsidP="00BF70DA">
            <w:pPr>
              <w:rPr>
                <w:lang w:val="en-GB" w:eastAsia="ja-JP"/>
              </w:rPr>
            </w:pPr>
          </w:p>
        </w:tc>
      </w:tr>
    </w:tbl>
    <w:p w14:paraId="61B5DBF4" w14:textId="6A1433A8" w:rsidR="003F6E2C" w:rsidRPr="002B65F7" w:rsidRDefault="003F6E2C" w:rsidP="00BC4962">
      <w:pPr>
        <w:widowControl/>
      </w:pPr>
    </w:p>
    <w:tbl>
      <w:tblPr>
        <w:tblW w:w="9464" w:type="dxa"/>
        <w:tblLook w:val="04A0" w:firstRow="1" w:lastRow="0" w:firstColumn="1" w:lastColumn="0" w:noHBand="0" w:noVBand="1"/>
      </w:tblPr>
      <w:tblGrid>
        <w:gridCol w:w="9464"/>
      </w:tblGrid>
      <w:tr w:rsidR="00BF70DA" w:rsidRPr="002B65F7" w14:paraId="48666497" w14:textId="77777777" w:rsidTr="00B007D2">
        <w:trPr>
          <w:cantSplit/>
          <w:trHeight w:val="135"/>
        </w:trPr>
        <w:tc>
          <w:tcPr>
            <w:tcW w:w="9464" w:type="dxa"/>
            <w:shd w:val="clear" w:color="auto" w:fill="8DB3E2"/>
          </w:tcPr>
          <w:p w14:paraId="77385D76" w14:textId="129D4013" w:rsidR="00BF70DA" w:rsidRPr="002B65F7" w:rsidRDefault="00BF70DA" w:rsidP="00BF70DA">
            <w:pPr>
              <w:keepNext/>
              <w:keepLines/>
              <w:tabs>
                <w:tab w:val="left" w:pos="8015"/>
              </w:tabs>
              <w:rPr>
                <w:b/>
                <w:lang w:eastAsia="ja-JP"/>
              </w:rPr>
            </w:pPr>
            <w:r w:rsidRPr="002B65F7">
              <w:rPr>
                <w:b/>
                <w:lang w:eastAsia="ja-JP"/>
              </w:rPr>
              <w:lastRenderedPageBreak/>
              <w:t xml:space="preserve">1 Informations importantes à connaître avant </w:t>
            </w:r>
            <w:r w:rsidR="008569E3" w:rsidRPr="002B65F7">
              <w:rPr>
                <w:b/>
                <w:lang w:eastAsia="ja-JP"/>
              </w:rPr>
              <w:t>l</w:t>
            </w:r>
            <w:r w:rsidRPr="002B65F7">
              <w:rPr>
                <w:b/>
                <w:lang w:eastAsia="ja-JP"/>
              </w:rPr>
              <w:t>’inject</w:t>
            </w:r>
            <w:r w:rsidR="008569E3" w:rsidRPr="002B65F7">
              <w:rPr>
                <w:b/>
                <w:lang w:eastAsia="ja-JP"/>
              </w:rPr>
              <w:t>ion de</w:t>
            </w:r>
            <w:r w:rsidRPr="002B65F7">
              <w:rPr>
                <w:b/>
                <w:lang w:eastAsia="ja-JP"/>
              </w:rPr>
              <w:t xml:space="preserve"> WEZENLA</w:t>
            </w:r>
            <w:r w:rsidRPr="002B65F7">
              <w:rPr>
                <w:b/>
                <w:lang w:eastAsia="ja-JP"/>
              </w:rPr>
              <w:tab/>
            </w:r>
          </w:p>
        </w:tc>
      </w:tr>
    </w:tbl>
    <w:p w14:paraId="2EA41EE5" w14:textId="77777777" w:rsidR="00BF70DA" w:rsidRPr="002B65F7" w:rsidRDefault="00BF70DA" w:rsidP="00496255">
      <w:pPr>
        <w:keepNext/>
        <w:widowControl/>
        <w:rPr>
          <w:b/>
          <w:bCs/>
        </w:rPr>
      </w:pPr>
    </w:p>
    <w:tbl>
      <w:tblPr>
        <w:tblW w:w="9356" w:type="dxa"/>
        <w:tblLook w:val="04A0" w:firstRow="1" w:lastRow="0" w:firstColumn="1" w:lastColumn="0" w:noHBand="0" w:noVBand="1"/>
      </w:tblPr>
      <w:tblGrid>
        <w:gridCol w:w="9462"/>
      </w:tblGrid>
      <w:tr w:rsidR="00C34F1D" w:rsidRPr="002B65F7" w14:paraId="3B295E34" w14:textId="77777777" w:rsidTr="004105B2">
        <w:trPr>
          <w:trHeight w:val="4961"/>
        </w:trPr>
        <w:tc>
          <w:tcPr>
            <w:tcW w:w="9356" w:type="dxa"/>
          </w:tcPr>
          <w:p w14:paraId="22520E7D" w14:textId="4F86B5B4" w:rsidR="00C34F1D" w:rsidRPr="002B65F7" w:rsidRDefault="005262C6" w:rsidP="004105B2">
            <w:pPr>
              <w:keepNext/>
              <w:keepLines/>
              <w:suppressAutoHyphens/>
              <w:adjustRightInd w:val="0"/>
              <w:textAlignment w:val="center"/>
              <w:rPr>
                <w:b/>
                <w:bCs/>
                <w:color w:val="000000"/>
                <w:spacing w:val="-4"/>
                <w:lang w:val="en-GB" w:eastAsia="ja-JP"/>
              </w:rPr>
            </w:pPr>
            <w:r w:rsidRPr="002B65F7">
              <w:rPr>
                <w:b/>
                <w:bCs/>
                <w:color w:val="000000"/>
                <w:spacing w:val="-4"/>
                <w:lang w:val="en-GB" w:eastAsia="ja-JP"/>
              </w:rPr>
              <w:t>Posologie </w:t>
            </w:r>
            <w:r w:rsidR="00C34F1D" w:rsidRPr="002B65F7">
              <w:rPr>
                <w:b/>
                <w:bCs/>
                <w:color w:val="000000"/>
                <w:spacing w:val="-4"/>
                <w:lang w:val="en-GB" w:eastAsia="ja-JP"/>
              </w:rPr>
              <w:t xml:space="preserve">: </w:t>
            </w:r>
          </w:p>
          <w:p w14:paraId="41029F1C" w14:textId="2763A04C" w:rsidR="00C34F1D" w:rsidRPr="002B65F7" w:rsidRDefault="005262C6" w:rsidP="008B24E2">
            <w:pPr>
              <w:keepNext/>
              <w:keepLines/>
              <w:widowControl/>
              <w:numPr>
                <w:ilvl w:val="0"/>
                <w:numId w:val="13"/>
              </w:numPr>
              <w:suppressAutoHyphens/>
              <w:ind w:left="567" w:hanging="567"/>
              <w:textAlignment w:val="center"/>
              <w:rPr>
                <w:color w:val="000000"/>
                <w:lang w:eastAsia="ja-JP"/>
              </w:rPr>
            </w:pPr>
            <w:r w:rsidRPr="002B65F7">
              <w:rPr>
                <w:color w:val="000000"/>
                <w:lang w:eastAsia="ja-JP"/>
              </w:rPr>
              <w:t>WEZENLA est disponible en deux doses différentes : 45 mg/0,5 mL et 90 mg/1,0 mL. Vérifiez votre ordonnance pour vous assurer que vous avez bien la bonne dose.</w:t>
            </w:r>
            <w:r w:rsidR="00C34F1D" w:rsidRPr="002B65F7">
              <w:rPr>
                <w:color w:val="000000"/>
                <w:lang w:eastAsia="ja-JP"/>
              </w:rPr>
              <w:t xml:space="preserve"> </w:t>
            </w:r>
          </w:p>
          <w:p w14:paraId="1C9EDCE0" w14:textId="41A8DC25" w:rsidR="00C34F1D" w:rsidRPr="002B65F7" w:rsidRDefault="005262C6" w:rsidP="001A0FB5">
            <w:pPr>
              <w:keepNext/>
              <w:keepLines/>
              <w:widowControl/>
              <w:numPr>
                <w:ilvl w:val="0"/>
                <w:numId w:val="13"/>
              </w:numPr>
              <w:suppressAutoHyphens/>
              <w:ind w:left="567" w:hanging="567"/>
              <w:textAlignment w:val="center"/>
              <w:rPr>
                <w:lang w:eastAsia="ja-JP"/>
              </w:rPr>
            </w:pPr>
            <w:r w:rsidRPr="002B65F7">
              <w:rPr>
                <w:color w:val="000000"/>
                <w:lang w:eastAsia="ja-JP"/>
              </w:rPr>
              <w:t>L</w:t>
            </w:r>
            <w:r w:rsidR="008569E3" w:rsidRPr="002B65F7">
              <w:rPr>
                <w:color w:val="000000"/>
                <w:lang w:eastAsia="ja-JP"/>
              </w:rPr>
              <w:t>’</w:t>
            </w:r>
            <w:r w:rsidRPr="002B65F7">
              <w:rPr>
                <w:color w:val="000000"/>
                <w:lang w:eastAsia="ja-JP"/>
              </w:rPr>
              <w:t>aspect de la seringue préremplie sera différent pour chaque dose. La quantité de médicament contenue dans la seringue préremplie sera également différente pour chaque dose.</w:t>
            </w:r>
          </w:p>
          <w:p w14:paraId="158C3FD7" w14:textId="16DB6BBF" w:rsidR="00C34F1D" w:rsidRPr="002B65F7" w:rsidRDefault="005262C6" w:rsidP="001A0FB5">
            <w:pPr>
              <w:keepNext/>
              <w:keepLines/>
              <w:widowControl/>
              <w:numPr>
                <w:ilvl w:val="0"/>
                <w:numId w:val="13"/>
              </w:numPr>
              <w:suppressAutoHyphens/>
              <w:ind w:left="567" w:hanging="567"/>
              <w:textAlignment w:val="center"/>
              <w:rPr>
                <w:lang w:eastAsia="ja-JP"/>
              </w:rPr>
            </w:pPr>
            <w:r w:rsidRPr="002B65F7">
              <w:rPr>
                <w:lang w:eastAsia="ja-JP"/>
              </w:rPr>
              <w:t>La dose de 45 mg/0,5 mL contient une plus petite quantité de médicament que la dose de 90 mg/1,0 mL. Consultez les illustrations ci-dessous pour voir à quoi ressemble votre dose dans la seringue préremplie</w:t>
            </w:r>
            <w:r w:rsidR="00C34F1D" w:rsidRPr="002B65F7">
              <w:rPr>
                <w:lang w:eastAsia="ja-JP"/>
              </w:rPr>
              <w:t xml:space="preserve">. </w:t>
            </w:r>
          </w:p>
          <w:p w14:paraId="4079D301" w14:textId="77777777" w:rsidR="00C34F1D" w:rsidRPr="002B65F7" w:rsidRDefault="00C34F1D" w:rsidP="004105B2">
            <w:pPr>
              <w:keepNext/>
              <w:keepLines/>
              <w:suppressAutoHyphens/>
              <w:adjustRightInd w:val="0"/>
              <w:textAlignment w:val="center"/>
              <w:rPr>
                <w:b/>
                <w:bCs/>
                <w:color w:val="000000"/>
                <w:spacing w:val="-4"/>
                <w:lang w:eastAsia="ja-JP"/>
              </w:rPr>
            </w:pPr>
          </w:p>
          <w:tbl>
            <w:tblPr>
              <w:tblW w:w="0" w:type="auto"/>
              <w:tblLook w:val="04A0" w:firstRow="1" w:lastRow="0" w:firstColumn="1" w:lastColumn="0" w:noHBand="0" w:noVBand="1"/>
            </w:tblPr>
            <w:tblGrid>
              <w:gridCol w:w="4730"/>
              <w:gridCol w:w="4516"/>
            </w:tblGrid>
            <w:tr w:rsidR="00C34F1D" w:rsidRPr="002B65F7" w14:paraId="45582879" w14:textId="77777777" w:rsidTr="004105B2">
              <w:tc>
                <w:tcPr>
                  <w:tcW w:w="9140" w:type="dxa"/>
                  <w:gridSpan w:val="2"/>
                </w:tcPr>
                <w:p w14:paraId="1CA0942C" w14:textId="3DBFE210" w:rsidR="00C34F1D" w:rsidRPr="002B65F7" w:rsidRDefault="00A2167E" w:rsidP="004105B2">
                  <w:pPr>
                    <w:keepNext/>
                    <w:keepLines/>
                    <w:suppressAutoHyphens/>
                    <w:adjustRightInd w:val="0"/>
                    <w:jc w:val="center"/>
                    <w:textAlignment w:val="center"/>
                    <w:rPr>
                      <w:b/>
                      <w:bCs/>
                      <w:color w:val="000000"/>
                      <w:spacing w:val="-4"/>
                      <w:lang w:val="en-GB" w:eastAsia="ja-JP"/>
                    </w:rPr>
                  </w:pPr>
                  <w:r>
                    <w:rPr>
                      <w:noProof/>
                      <w:lang w:val="en-US" w:eastAsia="zh-CN"/>
                    </w:rPr>
                    <w:drawing>
                      <wp:inline distT="0" distB="0" distL="0" distR="0" wp14:anchorId="173A3CED" wp14:editId="7FAD7DCB">
                        <wp:extent cx="3518535" cy="274320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18535" cy="2743200"/>
                                </a:xfrm>
                                <a:prstGeom prst="rect">
                                  <a:avLst/>
                                </a:prstGeom>
                                <a:noFill/>
                                <a:ln>
                                  <a:noFill/>
                                </a:ln>
                              </pic:spPr>
                            </pic:pic>
                          </a:graphicData>
                        </a:graphic>
                      </wp:inline>
                    </w:drawing>
                  </w:r>
                </w:p>
                <w:p w14:paraId="57612869" w14:textId="7A6136BA" w:rsidR="00C34F1D" w:rsidRPr="002B65F7" w:rsidRDefault="00C34F1D" w:rsidP="004105B2">
                  <w:pPr>
                    <w:keepNext/>
                    <w:keepLines/>
                    <w:suppressAutoHyphens/>
                    <w:adjustRightInd w:val="0"/>
                    <w:textAlignment w:val="center"/>
                    <w:rPr>
                      <w:b/>
                      <w:bCs/>
                      <w:color w:val="000000"/>
                      <w:spacing w:val="-4"/>
                      <w:lang w:val="en-GB" w:eastAsia="ja-JP"/>
                    </w:rPr>
                  </w:pPr>
                </w:p>
              </w:tc>
            </w:tr>
            <w:tr w:rsidR="00C34F1D" w:rsidRPr="002B65F7" w14:paraId="5CC28DE8" w14:textId="77777777" w:rsidTr="004105B2">
              <w:tc>
                <w:tcPr>
                  <w:tcW w:w="4638" w:type="dxa"/>
                </w:tcPr>
                <w:p w14:paraId="62158C1D" w14:textId="159D02E1" w:rsidR="00C34F1D" w:rsidRPr="002B65F7" w:rsidRDefault="00C34F1D" w:rsidP="004105B2">
                  <w:pPr>
                    <w:keepNext/>
                    <w:keepLines/>
                    <w:suppressAutoHyphens/>
                    <w:adjustRightInd w:val="0"/>
                    <w:ind w:left="1590"/>
                    <w:textAlignment w:val="center"/>
                    <w:rPr>
                      <w:b/>
                      <w:bCs/>
                      <w:color w:val="000000"/>
                      <w:spacing w:val="-4"/>
                      <w:lang w:val="en-GB" w:eastAsia="ja-JP"/>
                    </w:rPr>
                  </w:pPr>
                  <w:r w:rsidRPr="002B65F7">
                    <w:rPr>
                      <w:b/>
                      <w:bCs/>
                      <w:color w:val="000000"/>
                      <w:spacing w:val="-4"/>
                      <w:lang w:val="en-GB" w:eastAsia="ja-JP"/>
                    </w:rPr>
                    <w:t>45 mg/0</w:t>
                  </w:r>
                  <w:r w:rsidR="005262C6" w:rsidRPr="002B65F7">
                    <w:rPr>
                      <w:b/>
                      <w:bCs/>
                      <w:color w:val="000000"/>
                      <w:spacing w:val="-4"/>
                      <w:lang w:val="en-GB" w:eastAsia="ja-JP"/>
                    </w:rPr>
                    <w:t>,</w:t>
                  </w:r>
                  <w:r w:rsidRPr="002B65F7">
                    <w:rPr>
                      <w:b/>
                      <w:bCs/>
                      <w:color w:val="000000"/>
                      <w:spacing w:val="-4"/>
                      <w:lang w:val="en-GB" w:eastAsia="ja-JP"/>
                    </w:rPr>
                    <w:t>5</w:t>
                  </w:r>
                  <w:r w:rsidR="005262C6" w:rsidRPr="002B65F7">
                    <w:rPr>
                      <w:b/>
                      <w:bCs/>
                      <w:color w:val="000000"/>
                      <w:spacing w:val="-4"/>
                      <w:lang w:val="en-GB" w:eastAsia="ja-JP"/>
                    </w:rPr>
                    <w:t> </w:t>
                  </w:r>
                  <w:r w:rsidRPr="002B65F7">
                    <w:rPr>
                      <w:b/>
                      <w:bCs/>
                      <w:color w:val="000000"/>
                      <w:spacing w:val="-4"/>
                      <w:lang w:val="en-GB" w:eastAsia="ja-JP"/>
                    </w:rPr>
                    <w:t>mL</w:t>
                  </w:r>
                </w:p>
              </w:tc>
              <w:tc>
                <w:tcPr>
                  <w:tcW w:w="4502" w:type="dxa"/>
                </w:tcPr>
                <w:p w14:paraId="6FAD0C6C" w14:textId="2307E4C8" w:rsidR="005262C6" w:rsidRPr="002B65F7" w:rsidRDefault="00C34F1D" w:rsidP="008850C6">
                  <w:pPr>
                    <w:keepNext/>
                    <w:keepLines/>
                    <w:suppressAutoHyphens/>
                    <w:adjustRightInd w:val="0"/>
                    <w:ind w:left="1378"/>
                    <w:textAlignment w:val="center"/>
                    <w:rPr>
                      <w:b/>
                      <w:bCs/>
                      <w:color w:val="000000"/>
                      <w:spacing w:val="-4"/>
                      <w:lang w:val="en-GB" w:eastAsia="ja-JP"/>
                    </w:rPr>
                  </w:pPr>
                  <w:r w:rsidRPr="002B65F7">
                    <w:rPr>
                      <w:b/>
                      <w:bCs/>
                      <w:color w:val="000000"/>
                      <w:spacing w:val="-4"/>
                      <w:lang w:val="en-GB" w:eastAsia="ja-JP"/>
                    </w:rPr>
                    <w:t>90</w:t>
                  </w:r>
                  <w:r w:rsidR="005262C6" w:rsidRPr="002B65F7">
                    <w:rPr>
                      <w:b/>
                      <w:bCs/>
                      <w:color w:val="000000"/>
                      <w:spacing w:val="-4"/>
                      <w:lang w:val="en-GB" w:eastAsia="ja-JP"/>
                    </w:rPr>
                    <w:t> </w:t>
                  </w:r>
                  <w:r w:rsidRPr="002B65F7">
                    <w:rPr>
                      <w:b/>
                      <w:bCs/>
                      <w:color w:val="000000"/>
                      <w:spacing w:val="-4"/>
                      <w:lang w:val="en-GB" w:eastAsia="ja-JP"/>
                    </w:rPr>
                    <w:t>mg/1</w:t>
                  </w:r>
                  <w:r w:rsidR="005262C6" w:rsidRPr="002B65F7">
                    <w:rPr>
                      <w:b/>
                      <w:bCs/>
                      <w:color w:val="000000"/>
                      <w:spacing w:val="-4"/>
                      <w:lang w:val="en-GB" w:eastAsia="ja-JP"/>
                    </w:rPr>
                    <w:t>,</w:t>
                  </w:r>
                  <w:r w:rsidRPr="002B65F7">
                    <w:rPr>
                      <w:b/>
                      <w:bCs/>
                      <w:color w:val="000000"/>
                      <w:spacing w:val="-4"/>
                      <w:lang w:val="en-GB" w:eastAsia="ja-JP"/>
                    </w:rPr>
                    <w:t>0</w:t>
                  </w:r>
                  <w:r w:rsidR="005262C6" w:rsidRPr="002B65F7">
                    <w:rPr>
                      <w:b/>
                      <w:bCs/>
                      <w:color w:val="000000"/>
                      <w:spacing w:val="-4"/>
                      <w:lang w:val="en-GB" w:eastAsia="ja-JP"/>
                    </w:rPr>
                    <w:t> </w:t>
                  </w:r>
                  <w:r w:rsidRPr="002B65F7">
                    <w:rPr>
                      <w:b/>
                      <w:bCs/>
                      <w:color w:val="000000"/>
                      <w:spacing w:val="-4"/>
                      <w:lang w:val="en-GB" w:eastAsia="ja-JP"/>
                    </w:rPr>
                    <w:t>mL</w:t>
                  </w:r>
                </w:p>
              </w:tc>
            </w:tr>
            <w:tr w:rsidR="00D35B77" w:rsidRPr="002B65F7" w14:paraId="1A3FD0B4" w14:textId="77777777" w:rsidTr="00BB66E5">
              <w:trPr>
                <w:trHeight w:val="6571"/>
              </w:trPr>
              <w:tc>
                <w:tcPr>
                  <w:tcW w:w="9140" w:type="dxa"/>
                  <w:gridSpan w:val="2"/>
                </w:tcPr>
                <w:p w14:paraId="52DA0AC7" w14:textId="77777777" w:rsidR="00F00F7E" w:rsidRPr="002B65F7" w:rsidRDefault="00F00F7E" w:rsidP="00D35B77">
                  <w:pPr>
                    <w:suppressAutoHyphens/>
                    <w:adjustRightInd w:val="0"/>
                    <w:contextualSpacing/>
                    <w:textAlignment w:val="center"/>
                    <w:rPr>
                      <w:b/>
                      <w:bCs/>
                      <w:color w:val="000000"/>
                      <w:spacing w:val="-4"/>
                      <w:lang w:eastAsia="ja-JP"/>
                    </w:rPr>
                  </w:pPr>
                </w:p>
                <w:p w14:paraId="4B0327C0" w14:textId="00E08348" w:rsidR="00D35B77" w:rsidRPr="002B65F7" w:rsidRDefault="00D35B77" w:rsidP="00D35B77">
                  <w:pPr>
                    <w:suppressAutoHyphens/>
                    <w:adjustRightInd w:val="0"/>
                    <w:contextualSpacing/>
                    <w:textAlignment w:val="center"/>
                    <w:rPr>
                      <w:color w:val="000000"/>
                      <w:lang w:eastAsia="ja-JP"/>
                    </w:rPr>
                  </w:pPr>
                  <w:r w:rsidRPr="002B65F7">
                    <w:rPr>
                      <w:b/>
                      <w:bCs/>
                      <w:color w:val="000000"/>
                      <w:spacing w:val="-4"/>
                      <w:lang w:eastAsia="ja-JP"/>
                    </w:rPr>
                    <w:t xml:space="preserve">Utilisation de votre seringue préremplie WEZENLA : </w:t>
                  </w:r>
                </w:p>
                <w:p w14:paraId="5318C1F9" w14:textId="77777777" w:rsidR="00D35B77" w:rsidRPr="002B65F7" w:rsidRDefault="00D35B77" w:rsidP="008B24E2">
                  <w:pPr>
                    <w:widowControl/>
                    <w:numPr>
                      <w:ilvl w:val="0"/>
                      <w:numId w:val="2"/>
                    </w:numPr>
                    <w:suppressAutoHyphens/>
                    <w:ind w:left="567" w:hanging="567"/>
                    <w:textAlignment w:val="center"/>
                    <w:rPr>
                      <w:color w:val="000000"/>
                      <w:lang w:eastAsia="ja-JP"/>
                    </w:rPr>
                  </w:pPr>
                  <w:r w:rsidRPr="002B65F7">
                    <w:rPr>
                      <w:color w:val="000000"/>
                      <w:lang w:eastAsia="ja-JP"/>
                    </w:rPr>
                    <w:t>Il est important de ne pas essayer de pratiquer une auto-injection à moins d’avoir été formé(e) par un médecin ou un professionnel de santé.</w:t>
                  </w:r>
                </w:p>
                <w:p w14:paraId="77D64366" w14:textId="77777777" w:rsidR="00D35B77" w:rsidRPr="002B65F7" w:rsidRDefault="00D35B77" w:rsidP="001A0FB5">
                  <w:pPr>
                    <w:widowControl/>
                    <w:numPr>
                      <w:ilvl w:val="0"/>
                      <w:numId w:val="2"/>
                    </w:numPr>
                    <w:suppressAutoHyphens/>
                    <w:ind w:left="567" w:hanging="567"/>
                    <w:textAlignment w:val="center"/>
                    <w:rPr>
                      <w:color w:val="000000"/>
                      <w:lang w:eastAsia="ja-JP"/>
                    </w:rPr>
                  </w:pPr>
                  <w:r w:rsidRPr="002B65F7">
                    <w:rPr>
                      <w:color w:val="000000"/>
                      <w:lang w:eastAsia="ja-JP"/>
                    </w:rPr>
                    <w:t>Chez les enfants de 12 ans et plus atteints de psoriasis et pesant 60 kg ou plus, il est recommandé que WEZENLA soit utilisé par ou sous la surveillance d’un parent ou d’une personne qui s’occupe de l’enfant</w:t>
                  </w:r>
                  <w:r w:rsidRPr="002B65F7">
                    <w:rPr>
                      <w:lang w:eastAsia="ja-JP"/>
                    </w:rPr>
                    <w:t>.</w:t>
                  </w:r>
                </w:p>
                <w:p w14:paraId="71E48701" w14:textId="77777777" w:rsidR="00D35B77" w:rsidRPr="002B65F7" w:rsidRDefault="00D35B77" w:rsidP="001A0FB5">
                  <w:pPr>
                    <w:widowControl/>
                    <w:numPr>
                      <w:ilvl w:val="0"/>
                      <w:numId w:val="2"/>
                    </w:numPr>
                    <w:suppressAutoHyphens/>
                    <w:ind w:left="567" w:hanging="567"/>
                    <w:textAlignment w:val="center"/>
                    <w:rPr>
                      <w:color w:val="000000"/>
                      <w:lang w:eastAsia="ja-JP"/>
                    </w:rPr>
                  </w:pPr>
                  <w:r w:rsidRPr="002B65F7">
                    <w:rPr>
                      <w:b/>
                      <w:bCs/>
                      <w:color w:val="000000"/>
                      <w:lang w:eastAsia="ja-JP"/>
                    </w:rPr>
                    <w:t xml:space="preserve">N’utilisez pas </w:t>
                  </w:r>
                  <w:r w:rsidRPr="002B65F7">
                    <w:rPr>
                      <w:color w:val="000000"/>
                      <w:lang w:eastAsia="ja-JP"/>
                    </w:rPr>
                    <w:t>la seringue préremplie si l’emballage extérieur est endommagé ou si le dispositif anti-effraction est rompu.</w:t>
                  </w:r>
                </w:p>
                <w:p w14:paraId="671C2161" w14:textId="77777777" w:rsidR="00D35B77" w:rsidRPr="002B65F7" w:rsidRDefault="00D35B77" w:rsidP="001A0FB5">
                  <w:pPr>
                    <w:widowControl/>
                    <w:numPr>
                      <w:ilvl w:val="0"/>
                      <w:numId w:val="2"/>
                    </w:numPr>
                    <w:suppressAutoHyphens/>
                    <w:ind w:left="567" w:hanging="567"/>
                    <w:textAlignment w:val="center"/>
                    <w:rPr>
                      <w:b/>
                      <w:color w:val="000000"/>
                      <w:lang w:eastAsia="ja-JP"/>
                    </w:rPr>
                  </w:pPr>
                  <w:r w:rsidRPr="002B65F7">
                    <w:rPr>
                      <w:b/>
                      <w:bCs/>
                      <w:color w:val="000000"/>
                      <w:lang w:eastAsia="ja-JP"/>
                    </w:rPr>
                    <w:t xml:space="preserve">N’utilisez pas </w:t>
                  </w:r>
                  <w:r w:rsidRPr="002B65F7">
                    <w:rPr>
                      <w:color w:val="000000"/>
                      <w:lang w:eastAsia="ja-JP"/>
                    </w:rPr>
                    <w:t>la seringue préremplie après la date de péremption figurant sur l’étiquette</w:t>
                  </w:r>
                  <w:r w:rsidRPr="002B65F7">
                    <w:rPr>
                      <w:color w:val="000000"/>
                      <w:spacing w:val="-4"/>
                      <w:lang w:eastAsia="ja-JP"/>
                    </w:rPr>
                    <w:t>.</w:t>
                  </w:r>
                </w:p>
                <w:p w14:paraId="3D39755C" w14:textId="77777777" w:rsidR="00D35B77" w:rsidRPr="002B65F7" w:rsidRDefault="00D35B77" w:rsidP="001A0FB5">
                  <w:pPr>
                    <w:widowControl/>
                    <w:numPr>
                      <w:ilvl w:val="0"/>
                      <w:numId w:val="3"/>
                    </w:numPr>
                    <w:suppressAutoHyphens/>
                    <w:ind w:left="567" w:hanging="567"/>
                    <w:textAlignment w:val="center"/>
                    <w:rPr>
                      <w:lang w:eastAsia="ja-JP"/>
                    </w:rPr>
                  </w:pPr>
                  <w:r w:rsidRPr="002B65F7">
                    <w:rPr>
                      <w:b/>
                      <w:color w:val="000000"/>
                      <w:lang w:eastAsia="ja-JP"/>
                    </w:rPr>
                    <w:t xml:space="preserve">N’agitez pas </w:t>
                  </w:r>
                  <w:r w:rsidRPr="002B65F7">
                    <w:rPr>
                      <w:color w:val="000000"/>
                      <w:lang w:eastAsia="ja-JP"/>
                    </w:rPr>
                    <w:t>la seringue préremplie.</w:t>
                  </w:r>
                </w:p>
                <w:p w14:paraId="60580C35" w14:textId="77777777" w:rsidR="00D35B77" w:rsidRPr="002B65F7" w:rsidRDefault="00D35B77" w:rsidP="001A0FB5">
                  <w:pPr>
                    <w:widowControl/>
                    <w:numPr>
                      <w:ilvl w:val="0"/>
                      <w:numId w:val="3"/>
                    </w:numPr>
                    <w:suppressAutoHyphens/>
                    <w:ind w:left="567" w:hanging="567"/>
                    <w:textAlignment w:val="center"/>
                    <w:rPr>
                      <w:color w:val="000000"/>
                      <w:lang w:eastAsia="ja-JP"/>
                    </w:rPr>
                  </w:pPr>
                  <w:r w:rsidRPr="002B65F7">
                    <w:rPr>
                      <w:b/>
                      <w:bCs/>
                    </w:rPr>
                    <w:t>Ne retirez pas</w:t>
                  </w:r>
                  <w:r w:rsidRPr="002B65F7">
                    <w:t xml:space="preserve"> le capuchon de l’aiguille de la seringue préremplie avant d’être prêt(e) à effectuer l’injection</w:t>
                  </w:r>
                  <w:r w:rsidRPr="002B65F7">
                    <w:rPr>
                      <w:color w:val="000000"/>
                      <w:lang w:eastAsia="ja-JP"/>
                    </w:rPr>
                    <w:t>.</w:t>
                  </w:r>
                </w:p>
                <w:p w14:paraId="2CD93987" w14:textId="77777777" w:rsidR="00D35B77" w:rsidRPr="002B65F7" w:rsidRDefault="00D35B77" w:rsidP="001A0FB5">
                  <w:pPr>
                    <w:widowControl/>
                    <w:numPr>
                      <w:ilvl w:val="0"/>
                      <w:numId w:val="3"/>
                    </w:numPr>
                    <w:suppressAutoHyphens/>
                    <w:ind w:left="567" w:hanging="567"/>
                    <w:textAlignment w:val="center"/>
                    <w:rPr>
                      <w:color w:val="000000"/>
                      <w:lang w:eastAsia="ja-JP"/>
                    </w:rPr>
                  </w:pPr>
                  <w:r w:rsidRPr="002B65F7">
                    <w:rPr>
                      <w:b/>
                      <w:bCs/>
                      <w:color w:val="000000"/>
                      <w:lang w:eastAsia="ja-JP"/>
                    </w:rPr>
                    <w:t xml:space="preserve">N’utilisez pas </w:t>
                  </w:r>
                  <w:r w:rsidRPr="002B65F7">
                    <w:rPr>
                      <w:color w:val="000000"/>
                      <w:lang w:eastAsia="ja-JP"/>
                    </w:rPr>
                    <w:t>la seringue préremplie si elle a été congelée.</w:t>
                  </w:r>
                </w:p>
                <w:p w14:paraId="2480B594" w14:textId="77777777" w:rsidR="00D35B77" w:rsidRPr="002B65F7" w:rsidRDefault="00D35B77" w:rsidP="001A0FB5">
                  <w:pPr>
                    <w:pStyle w:val="ListParagraph"/>
                    <w:widowControl/>
                    <w:numPr>
                      <w:ilvl w:val="0"/>
                      <w:numId w:val="3"/>
                    </w:numPr>
                    <w:suppressAutoHyphens/>
                    <w:ind w:left="567" w:hanging="567"/>
                    <w:textAlignment w:val="center"/>
                    <w:rPr>
                      <w:color w:val="000000"/>
                      <w:lang w:eastAsia="ja-JP"/>
                    </w:rPr>
                  </w:pPr>
                  <w:r w:rsidRPr="002B65F7">
                    <w:rPr>
                      <w:b/>
                      <w:bCs/>
                      <w:color w:val="000000"/>
                      <w:lang w:eastAsia="ja-JP"/>
                    </w:rPr>
                    <w:t xml:space="preserve">N’utilisez pas </w:t>
                  </w:r>
                  <w:r w:rsidRPr="002B65F7">
                    <w:rPr>
                      <w:color w:val="000000"/>
                      <w:lang w:eastAsia="ja-JP"/>
                    </w:rPr>
                    <w:t xml:space="preserve">la seringue préremplie si elle est tombée sur une surface dure. Une partie de la seringue préremplie peut être cassée même </w:t>
                  </w:r>
                  <w:r w:rsidRPr="002B65F7">
                    <w:t>si cela n’est pas visible. Si une nouvelle seringue préremplie est disponible, utilisez</w:t>
                  </w:r>
                  <w:r w:rsidRPr="002B65F7">
                    <w:noBreakHyphen/>
                    <w:t>la et contactez votre médecin ou votre professionnel de santé</w:t>
                  </w:r>
                  <w:r w:rsidRPr="002B65F7">
                    <w:rPr>
                      <w:color w:val="000000"/>
                      <w:lang w:eastAsia="ja-JP"/>
                    </w:rPr>
                    <w:t>.</w:t>
                  </w:r>
                </w:p>
                <w:p w14:paraId="78C2B7D1" w14:textId="7D910666" w:rsidR="00D35B77" w:rsidRPr="002B65F7" w:rsidRDefault="00A2167E" w:rsidP="00D35B77">
                  <w:pPr>
                    <w:suppressAutoHyphens/>
                    <w:kinsoku w:val="0"/>
                    <w:overflowPunct w:val="0"/>
                    <w:adjustRightInd w:val="0"/>
                    <w:ind w:left="357" w:right="618"/>
                    <w:contextualSpacing/>
                    <w:jc w:val="both"/>
                    <w:textAlignment w:val="center"/>
                    <w:rPr>
                      <w:color w:val="000000"/>
                      <w:spacing w:val="-4"/>
                      <w:lang w:eastAsia="ja-JP"/>
                    </w:rPr>
                  </w:pPr>
                  <w:r>
                    <w:rPr>
                      <w:noProof/>
                    </w:rPr>
                    <mc:AlternateContent>
                      <mc:Choice Requires="wps">
                        <w:drawing>
                          <wp:anchor distT="45720" distB="45720" distL="114300" distR="114300" simplePos="0" relativeHeight="251658752" behindDoc="0" locked="0" layoutInCell="1" allowOverlap="1" wp14:anchorId="75F44069" wp14:editId="5F6D4230">
                            <wp:simplePos x="0" y="0"/>
                            <wp:positionH relativeFrom="margin">
                              <wp:posOffset>81280</wp:posOffset>
                            </wp:positionH>
                            <wp:positionV relativeFrom="paragraph">
                              <wp:posOffset>262255</wp:posOffset>
                            </wp:positionV>
                            <wp:extent cx="5724525" cy="475615"/>
                            <wp:effectExtent l="0" t="0" r="9525" b="635"/>
                            <wp:wrapSquare wrapText="bothSides"/>
                            <wp:docPr id="185029709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75615"/>
                                    </a:xfrm>
                                    <a:prstGeom prst="rect">
                                      <a:avLst/>
                                    </a:prstGeom>
                                    <a:solidFill>
                                      <a:srgbClr val="FFFFFF"/>
                                    </a:solidFill>
                                    <a:ln w="15875">
                                      <a:solidFill>
                                        <a:srgbClr val="FF0000"/>
                                      </a:solidFill>
                                      <a:miter lim="800000"/>
                                      <a:headEnd/>
                                      <a:tailEnd/>
                                    </a:ln>
                                  </wps:spPr>
                                  <wps:txbx>
                                    <w:txbxContent>
                                      <w:p w14:paraId="041BCE5A" w14:textId="77777777" w:rsidR="000238BD" w:rsidRPr="003A68AE" w:rsidRDefault="000238BD" w:rsidP="00D35B77">
                                        <w:r w:rsidRPr="003A68AE">
                                          <w:rPr>
                                            <w:b/>
                                            <w:bCs/>
                                          </w:rPr>
                                          <w:t>Important</w:t>
                                        </w:r>
                                        <w:r w:rsidRPr="00C27136">
                                          <w:rPr>
                                            <w:b/>
                                            <w:bCs/>
                                          </w:rPr>
                                          <w:t> </w:t>
                                        </w:r>
                                        <w:r w:rsidRPr="003A68AE">
                                          <w:rPr>
                                            <w:b/>
                                            <w:bCs/>
                                          </w:rPr>
                                          <w:t>:</w:t>
                                        </w:r>
                                        <w:r w:rsidRPr="003A68AE">
                                          <w:t xml:space="preserve"> </w:t>
                                        </w:r>
                                        <w:r>
                                          <w:t>tenez la seringue préremplie et le conteneur à déchets tranchants hors de la vue et de la portée des enfants</w:t>
                                        </w:r>
                                        <w:r w:rsidRPr="00C27136">
                                          <w:t>.</w:t>
                                        </w:r>
                                        <w:r w:rsidRPr="00C27136" w:rsidDel="003A68AE">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F44069" id="_x0000_t202" coordsize="21600,21600" o:spt="202" path="m,l,21600r21600,l21600,xe">
                            <v:stroke joinstyle="miter"/>
                            <v:path gradientshapeok="t" o:connecttype="rect"/>
                          </v:shapetype>
                          <v:shape id="Text Box 12" o:spid="_x0000_s1026" type="#_x0000_t202" style="position:absolute;left:0;text-align:left;margin-left:6.4pt;margin-top:20.65pt;width:450.75pt;height:37.4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" strokecolor="red" strokeweight="1.25pt">
                            <v:textbox>
                              <w:txbxContent>
                                <w:p w14:paraId="041BCE5A" w14:textId="77777777" w:rsidR="000238BD" w:rsidRPr="003A68AE" w:rsidRDefault="000238BD" w:rsidP="00D35B77">
                                  <w:r w:rsidRPr="003A68AE">
                                    <w:rPr>
                                      <w:b/>
                                      <w:bCs/>
                                    </w:rPr>
                                    <w:t>Important</w:t>
                                  </w:r>
                                  <w:r w:rsidRPr="00C27136">
                                    <w:rPr>
                                      <w:b/>
                                      <w:bCs/>
                                    </w:rPr>
                                    <w:t> </w:t>
                                  </w:r>
                                  <w:r w:rsidRPr="003A68AE">
                                    <w:rPr>
                                      <w:b/>
                                      <w:bCs/>
                                    </w:rPr>
                                    <w:t>:</w:t>
                                  </w:r>
                                  <w:r w:rsidRPr="003A68AE">
                                    <w:t xml:space="preserve"> </w:t>
                                  </w:r>
                                  <w:r>
                                    <w:t>tenez la seringue préremplie et le conteneur à déchets tranchants hors de la vue et de la portée des enfants</w:t>
                                  </w:r>
                                  <w:r w:rsidRPr="00C27136">
                                    <w:t>.</w:t>
                                  </w:r>
                                  <w:r w:rsidRPr="00C27136" w:rsidDel="003A68AE">
                                    <w:t xml:space="preserve"> </w:t>
                                  </w:r>
                                </w:p>
                              </w:txbxContent>
                            </v:textbox>
                            <w10:wrap type="square" anchorx="margin"/>
                          </v:shape>
                        </w:pict>
                      </mc:Fallback>
                    </mc:AlternateContent>
                  </w:r>
                </w:p>
                <w:p w14:paraId="427193CC" w14:textId="77777777" w:rsidR="00D35B77" w:rsidRPr="002B65F7" w:rsidRDefault="00D35B77">
                  <w:pPr>
                    <w:keepNext/>
                    <w:keepLines/>
                    <w:suppressAutoHyphens/>
                    <w:adjustRightInd w:val="0"/>
                    <w:ind w:left="1378"/>
                    <w:textAlignment w:val="center"/>
                    <w:rPr>
                      <w:b/>
                      <w:bCs/>
                      <w:color w:val="000000"/>
                      <w:spacing w:val="-4"/>
                      <w:lang w:val="fr-CH" w:eastAsia="ja-JP"/>
                    </w:rPr>
                  </w:pPr>
                </w:p>
              </w:tc>
            </w:tr>
          </w:tbl>
          <w:p w14:paraId="2ECAF518" w14:textId="77777777" w:rsidR="00C34F1D" w:rsidRPr="002B65F7" w:rsidRDefault="00C34F1D" w:rsidP="004105B2">
            <w:pPr>
              <w:keepNext/>
              <w:keepLines/>
              <w:suppressAutoHyphens/>
              <w:adjustRightInd w:val="0"/>
              <w:textAlignment w:val="center"/>
              <w:rPr>
                <w:b/>
                <w:lang w:val="fr-CH" w:eastAsia="ja-JP"/>
              </w:rPr>
            </w:pPr>
          </w:p>
        </w:tc>
      </w:tr>
    </w:tbl>
    <w:p w14:paraId="09176872" w14:textId="77777777" w:rsidR="00C34F1D" w:rsidRPr="002B65F7" w:rsidRDefault="00C34F1D" w:rsidP="00C34F1D">
      <w:pPr>
        <w:suppressAutoHyphens/>
        <w:kinsoku w:val="0"/>
        <w:overflowPunct w:val="0"/>
        <w:adjustRightInd w:val="0"/>
        <w:ind w:right="618"/>
        <w:contextualSpacing/>
        <w:jc w:val="both"/>
        <w:textAlignment w:val="center"/>
        <w:rPr>
          <w:color w:val="000000"/>
          <w:lang w:eastAsia="ja-JP"/>
        </w:rPr>
      </w:pPr>
    </w:p>
    <w:tbl>
      <w:tblPr>
        <w:tblpPr w:leftFromText="180" w:rightFromText="180" w:vertAnchor="text" w:horzAnchor="page" w:tblpX="1417" w:tblpY="149"/>
        <w:tblW w:w="9304" w:type="dxa"/>
        <w:tblLook w:val="04A0" w:firstRow="1" w:lastRow="0" w:firstColumn="1" w:lastColumn="0" w:noHBand="0" w:noVBand="1"/>
      </w:tblPr>
      <w:tblGrid>
        <w:gridCol w:w="2910"/>
        <w:gridCol w:w="3197"/>
        <w:gridCol w:w="3197"/>
      </w:tblGrid>
      <w:tr w:rsidR="00C34F1D" w:rsidRPr="002B65F7" w14:paraId="63CDCD04" w14:textId="77777777" w:rsidTr="001A0FB5">
        <w:trPr>
          <w:cantSplit/>
        </w:trPr>
        <w:tc>
          <w:tcPr>
            <w:tcW w:w="9304" w:type="dxa"/>
            <w:gridSpan w:val="3"/>
            <w:shd w:val="clear" w:color="auto" w:fill="8DB3E2"/>
          </w:tcPr>
          <w:p w14:paraId="620E9097" w14:textId="6EB7C166" w:rsidR="00C34F1D" w:rsidRPr="002B65F7" w:rsidRDefault="00C34F1D" w:rsidP="008850C6">
            <w:pPr>
              <w:keepNext/>
              <w:keepLines/>
              <w:rPr>
                <w:b/>
                <w:lang w:eastAsia="ja-JP"/>
              </w:rPr>
            </w:pPr>
            <w:r w:rsidRPr="002B65F7">
              <w:rPr>
                <w:b/>
                <w:lang w:eastAsia="ja-JP"/>
              </w:rPr>
              <w:lastRenderedPageBreak/>
              <w:t>2 Pr</w:t>
            </w:r>
            <w:r w:rsidR="003A68AE" w:rsidRPr="002B65F7">
              <w:rPr>
                <w:b/>
                <w:lang w:eastAsia="ja-JP"/>
              </w:rPr>
              <w:t>é</w:t>
            </w:r>
            <w:r w:rsidRPr="002B65F7">
              <w:rPr>
                <w:b/>
                <w:lang w:eastAsia="ja-JP"/>
              </w:rPr>
              <w:t>par</w:t>
            </w:r>
            <w:r w:rsidR="003A68AE" w:rsidRPr="002B65F7">
              <w:rPr>
                <w:b/>
                <w:lang w:eastAsia="ja-JP"/>
              </w:rPr>
              <w:t>ation de l’</w:t>
            </w:r>
            <w:r w:rsidRPr="002B65F7">
              <w:rPr>
                <w:b/>
                <w:lang w:eastAsia="ja-JP"/>
              </w:rPr>
              <w:t>inject</w:t>
            </w:r>
            <w:r w:rsidR="003A68AE" w:rsidRPr="002B65F7">
              <w:rPr>
                <w:b/>
                <w:lang w:eastAsia="ja-JP"/>
              </w:rPr>
              <w:t>ion de</w:t>
            </w:r>
            <w:r w:rsidRPr="002B65F7">
              <w:rPr>
                <w:b/>
                <w:lang w:eastAsia="ja-JP"/>
              </w:rPr>
              <w:t xml:space="preserve"> WEZENLA </w:t>
            </w:r>
          </w:p>
        </w:tc>
      </w:tr>
      <w:tr w:rsidR="00C34F1D" w:rsidRPr="002B65F7" w14:paraId="3062EF3E" w14:textId="77777777" w:rsidTr="001A0FB5">
        <w:trPr>
          <w:cantSplit/>
        </w:trPr>
        <w:tc>
          <w:tcPr>
            <w:tcW w:w="9304" w:type="dxa"/>
            <w:gridSpan w:val="3"/>
          </w:tcPr>
          <w:p w14:paraId="693EFC53" w14:textId="7D35803E" w:rsidR="00C34F1D" w:rsidRPr="002B65F7" w:rsidRDefault="00C34F1D" w:rsidP="008850C6">
            <w:pPr>
              <w:keepNext/>
              <w:keepLines/>
              <w:rPr>
                <w:b/>
                <w:bCs/>
                <w:lang w:eastAsia="ja-JP"/>
              </w:rPr>
            </w:pPr>
            <w:r w:rsidRPr="002B65F7">
              <w:rPr>
                <w:b/>
                <w:bCs/>
                <w:lang w:eastAsia="ja-JP"/>
              </w:rPr>
              <w:t xml:space="preserve">2a </w:t>
            </w:r>
            <w:r w:rsidR="00CB5F59" w:rsidRPr="002B65F7">
              <w:rPr>
                <w:b/>
                <w:bCs/>
              </w:rPr>
              <w:t>Saisissez la seringue préremplie par le corps et retirez</w:t>
            </w:r>
            <w:r w:rsidR="00CB5F59" w:rsidRPr="002B65F7">
              <w:rPr>
                <w:b/>
                <w:bCs/>
              </w:rPr>
              <w:noBreakHyphen/>
              <w:t>la de la barquette</w:t>
            </w:r>
            <w:r w:rsidRPr="002B65F7">
              <w:rPr>
                <w:b/>
                <w:bCs/>
                <w:lang w:eastAsia="ja-JP"/>
              </w:rPr>
              <w:t xml:space="preserve">. </w:t>
            </w:r>
          </w:p>
        </w:tc>
      </w:tr>
      <w:tr w:rsidR="00C34F1D" w:rsidRPr="002B65F7" w14:paraId="149E7C76" w14:textId="77777777" w:rsidTr="001A0FB5">
        <w:trPr>
          <w:cantSplit/>
        </w:trPr>
        <w:tc>
          <w:tcPr>
            <w:tcW w:w="9304" w:type="dxa"/>
            <w:gridSpan w:val="3"/>
          </w:tcPr>
          <w:p w14:paraId="5E80F75C" w14:textId="350C20FD" w:rsidR="00C34F1D" w:rsidRPr="002B65F7" w:rsidRDefault="00A2167E" w:rsidP="008850C6">
            <w:pPr>
              <w:keepNext/>
              <w:keepLines/>
              <w:ind w:left="720"/>
              <w:contextualSpacing/>
              <w:rPr>
                <w:b/>
                <w:bCs/>
                <w:lang w:val="en-GB" w:eastAsia="ja-JP"/>
              </w:rPr>
            </w:pPr>
            <w:r>
              <w:rPr>
                <w:b/>
                <w:bCs/>
                <w:noProof/>
                <w:lang w:val="en-US" w:eastAsia="zh-CN"/>
              </w:rPr>
              <w:drawing>
                <wp:inline distT="0" distB="0" distL="0" distR="0" wp14:anchorId="57EDA2CA" wp14:editId="518D4E92">
                  <wp:extent cx="2661285" cy="1379855"/>
                  <wp:effectExtent l="0" t="0" r="0" b="0"/>
                  <wp:docPr id="1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1285" cy="1379855"/>
                          </a:xfrm>
                          <a:prstGeom prst="rect">
                            <a:avLst/>
                          </a:prstGeom>
                          <a:noFill/>
                          <a:ln>
                            <a:noFill/>
                          </a:ln>
                        </pic:spPr>
                      </pic:pic>
                    </a:graphicData>
                  </a:graphic>
                </wp:inline>
              </w:drawing>
            </w:r>
          </w:p>
        </w:tc>
      </w:tr>
      <w:tr w:rsidR="00C34F1D" w:rsidRPr="002B65F7" w14:paraId="7A5FEAC6" w14:textId="77777777" w:rsidTr="001A0FB5">
        <w:trPr>
          <w:cantSplit/>
        </w:trPr>
        <w:tc>
          <w:tcPr>
            <w:tcW w:w="9304" w:type="dxa"/>
            <w:gridSpan w:val="3"/>
          </w:tcPr>
          <w:p w14:paraId="1F196DE5" w14:textId="77B50AAC" w:rsidR="00C34F1D" w:rsidRPr="002B65F7" w:rsidRDefault="003A68AE" w:rsidP="008850C6">
            <w:pPr>
              <w:widowControl/>
              <w:numPr>
                <w:ilvl w:val="0"/>
                <w:numId w:val="9"/>
              </w:numPr>
              <w:autoSpaceDE/>
              <w:autoSpaceDN/>
              <w:ind w:left="567" w:hanging="567"/>
              <w:contextualSpacing/>
              <w:rPr>
                <w:lang w:eastAsia="ja-JP"/>
              </w:rPr>
            </w:pPr>
            <w:r w:rsidRPr="002B65F7">
              <w:rPr>
                <w:b/>
                <w:bCs/>
                <w:lang w:eastAsia="ja-JP"/>
              </w:rPr>
              <w:t xml:space="preserve">Ne </w:t>
            </w:r>
            <w:r w:rsidR="00CB5F59" w:rsidRPr="002B65F7">
              <w:rPr>
                <w:b/>
              </w:rPr>
              <w:t xml:space="preserve">saisissez </w:t>
            </w:r>
            <w:r w:rsidRPr="002B65F7">
              <w:rPr>
                <w:b/>
                <w:bCs/>
                <w:lang w:eastAsia="ja-JP"/>
              </w:rPr>
              <w:t xml:space="preserve">pas </w:t>
            </w:r>
            <w:r w:rsidR="00CB5F59" w:rsidRPr="002B65F7">
              <w:t>la tige du piston, la prise pour les doigts ou le capuchon de l’aiguille</w:t>
            </w:r>
            <w:r w:rsidR="00C34F1D" w:rsidRPr="002B65F7">
              <w:rPr>
                <w:lang w:eastAsia="ja-JP"/>
              </w:rPr>
              <w:t>.</w:t>
            </w:r>
          </w:p>
          <w:p w14:paraId="2D99B86B" w14:textId="3D067686" w:rsidR="00C34F1D" w:rsidRPr="002B65F7" w:rsidRDefault="003A68AE" w:rsidP="008850C6">
            <w:pPr>
              <w:widowControl/>
              <w:numPr>
                <w:ilvl w:val="0"/>
                <w:numId w:val="9"/>
              </w:numPr>
              <w:autoSpaceDE/>
              <w:autoSpaceDN/>
              <w:ind w:left="567" w:hanging="567"/>
              <w:contextualSpacing/>
              <w:rPr>
                <w:lang w:eastAsia="ja-JP"/>
              </w:rPr>
            </w:pPr>
            <w:r w:rsidRPr="002B65F7">
              <w:rPr>
                <w:b/>
                <w:bCs/>
                <w:lang w:eastAsia="ja-JP"/>
              </w:rPr>
              <w:t>Ne</w:t>
            </w:r>
            <w:r w:rsidR="00CB5F59" w:rsidRPr="002B65F7">
              <w:rPr>
                <w:b/>
              </w:rPr>
              <w:t xml:space="preserve"> saisissez </w:t>
            </w:r>
            <w:r w:rsidRPr="002B65F7">
              <w:rPr>
                <w:b/>
                <w:bCs/>
                <w:lang w:eastAsia="ja-JP"/>
              </w:rPr>
              <w:t xml:space="preserve">pas </w:t>
            </w:r>
            <w:r w:rsidRPr="002B65F7">
              <w:rPr>
                <w:lang w:eastAsia="ja-JP"/>
              </w:rPr>
              <w:t xml:space="preserve">les </w:t>
            </w:r>
            <w:r w:rsidR="009C2A4E" w:rsidRPr="002B65F7">
              <w:rPr>
                <w:lang w:eastAsia="ja-JP"/>
              </w:rPr>
              <w:t>attaches du dispositif</w:t>
            </w:r>
            <w:r w:rsidRPr="002B65F7">
              <w:rPr>
                <w:lang w:eastAsia="ja-JP"/>
              </w:rPr>
              <w:t xml:space="preserve"> de protection de l’aiguille</w:t>
            </w:r>
            <w:r w:rsidR="00C34F1D" w:rsidRPr="002B65F7">
              <w:rPr>
                <w:lang w:eastAsia="ja-JP"/>
              </w:rPr>
              <w:t xml:space="preserve">. </w:t>
            </w:r>
          </w:p>
          <w:p w14:paraId="7D44AC9F" w14:textId="2FECDB8F" w:rsidR="00C34F1D" w:rsidRPr="002B65F7" w:rsidRDefault="003A68AE" w:rsidP="008850C6">
            <w:pPr>
              <w:widowControl/>
              <w:numPr>
                <w:ilvl w:val="0"/>
                <w:numId w:val="9"/>
              </w:numPr>
              <w:autoSpaceDE/>
              <w:autoSpaceDN/>
              <w:ind w:left="567" w:hanging="567"/>
              <w:contextualSpacing/>
              <w:rPr>
                <w:lang w:eastAsia="ja-JP"/>
              </w:rPr>
            </w:pPr>
            <w:r w:rsidRPr="002B65F7">
              <w:rPr>
                <w:lang w:eastAsia="ja-JP"/>
              </w:rPr>
              <w:t>Sortez le nombre de seringues préremplies dont vous avez besoin pour votre</w:t>
            </w:r>
            <w:r w:rsidR="00C34F1D" w:rsidRPr="002B65F7">
              <w:rPr>
                <w:lang w:eastAsia="ja-JP"/>
              </w:rPr>
              <w:t xml:space="preserve"> injection.</w:t>
            </w:r>
          </w:p>
          <w:p w14:paraId="4E9F421A" w14:textId="627C57D4" w:rsidR="00C34F1D" w:rsidRPr="002B65F7" w:rsidRDefault="003A68AE" w:rsidP="008850C6">
            <w:pPr>
              <w:widowControl/>
              <w:numPr>
                <w:ilvl w:val="0"/>
                <w:numId w:val="9"/>
              </w:numPr>
              <w:autoSpaceDE/>
              <w:autoSpaceDN/>
              <w:ind w:left="567" w:hanging="567"/>
              <w:contextualSpacing/>
              <w:rPr>
                <w:lang w:eastAsia="ja-JP"/>
              </w:rPr>
            </w:pPr>
            <w:r w:rsidRPr="002B65F7">
              <w:rPr>
                <w:lang w:eastAsia="ja-JP"/>
              </w:rPr>
              <w:t>Re</w:t>
            </w:r>
            <w:r w:rsidR="00CB5F59" w:rsidRPr="002B65F7">
              <w:rPr>
                <w:lang w:eastAsia="ja-JP"/>
              </w:rPr>
              <w:t>plac</w:t>
            </w:r>
            <w:r w:rsidRPr="002B65F7">
              <w:rPr>
                <w:lang w:eastAsia="ja-JP"/>
              </w:rPr>
              <w:t xml:space="preserve">ez les seringues préremplies </w:t>
            </w:r>
            <w:r w:rsidR="00CB5F59" w:rsidRPr="002B65F7">
              <w:rPr>
                <w:lang w:eastAsia="ja-JP"/>
              </w:rPr>
              <w:t>in</w:t>
            </w:r>
            <w:r w:rsidRPr="002B65F7">
              <w:rPr>
                <w:lang w:eastAsia="ja-JP"/>
              </w:rPr>
              <w:t>utilisées au réfrigérateur</w:t>
            </w:r>
            <w:r w:rsidR="00C34F1D" w:rsidRPr="002B65F7">
              <w:rPr>
                <w:lang w:eastAsia="ja-JP"/>
              </w:rPr>
              <w:t>.</w:t>
            </w:r>
          </w:p>
          <w:p w14:paraId="4EB7C07A" w14:textId="77777777" w:rsidR="00C34F1D" w:rsidRPr="002B65F7" w:rsidRDefault="00C34F1D" w:rsidP="008850C6">
            <w:pPr>
              <w:rPr>
                <w:b/>
                <w:bCs/>
                <w:lang w:eastAsia="ja-JP"/>
              </w:rPr>
            </w:pPr>
          </w:p>
        </w:tc>
      </w:tr>
      <w:tr w:rsidR="00C34F1D" w:rsidRPr="002B65F7" w14:paraId="484DF591" w14:textId="77777777" w:rsidTr="001A0FB5">
        <w:trPr>
          <w:cantSplit/>
        </w:trPr>
        <w:tc>
          <w:tcPr>
            <w:tcW w:w="9304" w:type="dxa"/>
            <w:gridSpan w:val="3"/>
          </w:tcPr>
          <w:p w14:paraId="4CBEA1B2" w14:textId="776755A7" w:rsidR="00C34F1D" w:rsidRPr="002B65F7" w:rsidRDefault="00C34F1D" w:rsidP="00C8729B">
            <w:pPr>
              <w:rPr>
                <w:b/>
                <w:bCs/>
                <w:lang w:eastAsia="ja-JP"/>
              </w:rPr>
            </w:pPr>
            <w:r w:rsidRPr="002B65F7">
              <w:rPr>
                <w:b/>
                <w:bCs/>
                <w:lang w:eastAsia="ja-JP"/>
              </w:rPr>
              <w:t xml:space="preserve">2b </w:t>
            </w:r>
            <w:r w:rsidR="00CB5F59" w:rsidRPr="002B65F7">
              <w:rPr>
                <w:b/>
                <w:bCs/>
              </w:rPr>
              <w:t>Patientez 30 minutes afin que la seringue préremplie atteigne la température ambiante</w:t>
            </w:r>
            <w:r w:rsidR="00F25949" w:rsidRPr="002B65F7">
              <w:rPr>
                <w:b/>
                <w:bCs/>
                <w:lang w:eastAsia="ja-JP"/>
              </w:rPr>
              <w:t>.</w:t>
            </w:r>
            <w:r w:rsidRPr="002B65F7">
              <w:rPr>
                <w:b/>
                <w:bCs/>
                <w:lang w:eastAsia="ja-JP"/>
              </w:rPr>
              <w:t xml:space="preserve"> </w:t>
            </w:r>
          </w:p>
        </w:tc>
      </w:tr>
      <w:tr w:rsidR="00C34F1D" w:rsidRPr="002B65F7" w14:paraId="5287E352" w14:textId="77777777" w:rsidTr="001A0FB5">
        <w:trPr>
          <w:cantSplit/>
        </w:trPr>
        <w:tc>
          <w:tcPr>
            <w:tcW w:w="9304" w:type="dxa"/>
            <w:gridSpan w:val="3"/>
          </w:tcPr>
          <w:p w14:paraId="71D29596" w14:textId="77777777" w:rsidR="00C34F1D" w:rsidRPr="002B65F7" w:rsidRDefault="00C34F1D" w:rsidP="008850C6">
            <w:pPr>
              <w:rPr>
                <w:b/>
                <w:bCs/>
                <w:lang w:eastAsia="ja-JP"/>
              </w:rPr>
            </w:pPr>
          </w:p>
          <w:p w14:paraId="36C19A7F" w14:textId="3F74992D" w:rsidR="00C34F1D" w:rsidRPr="002B65F7" w:rsidRDefault="00CB5F59" w:rsidP="008850C6">
            <w:pPr>
              <w:jc w:val="center"/>
              <w:rPr>
                <w:b/>
                <w:bCs/>
                <w:lang w:val="en-GB" w:eastAsia="ja-JP"/>
              </w:rPr>
            </w:pPr>
            <w:r w:rsidRPr="002B65F7">
              <w:rPr>
                <w:b/>
                <w:bCs/>
                <w:lang w:val="en-GB" w:eastAsia="ja-JP"/>
              </w:rPr>
              <w:t>PATIENT</w:t>
            </w:r>
            <w:r w:rsidR="0006208F" w:rsidRPr="002B65F7">
              <w:rPr>
                <w:b/>
                <w:bCs/>
                <w:lang w:val="en-GB" w:eastAsia="ja-JP"/>
              </w:rPr>
              <w:t>EZ</w:t>
            </w:r>
          </w:p>
          <w:p w14:paraId="3C50CF7B" w14:textId="77777777" w:rsidR="00C34F1D" w:rsidRPr="002B65F7" w:rsidRDefault="00C34F1D" w:rsidP="008850C6">
            <w:pPr>
              <w:jc w:val="center"/>
              <w:rPr>
                <w:b/>
                <w:bCs/>
                <w:lang w:val="en-GB" w:eastAsia="ja-JP"/>
              </w:rPr>
            </w:pPr>
            <w:r w:rsidRPr="002B65F7">
              <w:rPr>
                <w:b/>
                <w:bCs/>
                <w:lang w:val="en-GB" w:eastAsia="ja-JP"/>
              </w:rPr>
              <w:t>30</w:t>
            </w:r>
          </w:p>
          <w:p w14:paraId="03347741" w14:textId="77777777" w:rsidR="00C34F1D" w:rsidRPr="002B65F7" w:rsidRDefault="00C34F1D" w:rsidP="008850C6">
            <w:pPr>
              <w:jc w:val="center"/>
              <w:rPr>
                <w:b/>
                <w:bCs/>
                <w:lang w:val="en-GB" w:eastAsia="ja-JP"/>
              </w:rPr>
            </w:pPr>
            <w:r w:rsidRPr="002B65F7">
              <w:rPr>
                <w:b/>
                <w:bCs/>
                <w:lang w:val="en-GB" w:eastAsia="ja-JP"/>
              </w:rPr>
              <w:t>minutes</w:t>
            </w:r>
          </w:p>
          <w:p w14:paraId="0ECFBCBA" w14:textId="77777777" w:rsidR="00C34F1D" w:rsidRPr="002B65F7" w:rsidRDefault="00C34F1D" w:rsidP="008850C6">
            <w:pPr>
              <w:rPr>
                <w:b/>
                <w:bCs/>
                <w:lang w:val="en-GB" w:eastAsia="ja-JP"/>
              </w:rPr>
            </w:pPr>
          </w:p>
        </w:tc>
      </w:tr>
      <w:tr w:rsidR="00C34F1D" w:rsidRPr="002B65F7" w14:paraId="2942955D" w14:textId="77777777" w:rsidTr="001A0FB5">
        <w:trPr>
          <w:cantSplit/>
        </w:trPr>
        <w:tc>
          <w:tcPr>
            <w:tcW w:w="9304" w:type="dxa"/>
            <w:gridSpan w:val="3"/>
            <w:shd w:val="clear" w:color="auto" w:fill="FFFFFF"/>
          </w:tcPr>
          <w:p w14:paraId="422890AA" w14:textId="2F36CC81" w:rsidR="00C34F1D" w:rsidRPr="002B65F7" w:rsidRDefault="00C34F1D" w:rsidP="004B12BC">
            <w:pPr>
              <w:widowControl/>
              <w:numPr>
                <w:ilvl w:val="0"/>
                <w:numId w:val="4"/>
              </w:numPr>
              <w:autoSpaceDE/>
              <w:autoSpaceDN/>
              <w:ind w:left="567" w:hanging="567"/>
              <w:contextualSpacing/>
              <w:rPr>
                <w:lang w:eastAsia="ja-JP"/>
              </w:rPr>
            </w:pPr>
            <w:r w:rsidRPr="002B65F7">
              <w:rPr>
                <w:lang w:eastAsia="ja-JP"/>
              </w:rPr>
              <w:t>L</w:t>
            </w:r>
            <w:r w:rsidR="0006208F" w:rsidRPr="002B65F7">
              <w:rPr>
                <w:lang w:eastAsia="ja-JP"/>
              </w:rPr>
              <w:t>aissez la seringue préremplie se réchauffer naturellement</w:t>
            </w:r>
            <w:r w:rsidRPr="002B65F7">
              <w:rPr>
                <w:lang w:eastAsia="ja-JP"/>
              </w:rPr>
              <w:t>.</w:t>
            </w:r>
          </w:p>
        </w:tc>
      </w:tr>
      <w:tr w:rsidR="00C34F1D" w:rsidRPr="002B65F7" w14:paraId="21D35DC7" w14:textId="77777777" w:rsidTr="001A0FB5">
        <w:trPr>
          <w:cantSplit/>
        </w:trPr>
        <w:tc>
          <w:tcPr>
            <w:tcW w:w="9304" w:type="dxa"/>
            <w:gridSpan w:val="3"/>
            <w:shd w:val="clear" w:color="auto" w:fill="FFFFFF"/>
          </w:tcPr>
          <w:p w14:paraId="7A68CED3" w14:textId="1E0E0AD7" w:rsidR="00C34F1D" w:rsidRPr="002B65F7" w:rsidRDefault="00CB5F59" w:rsidP="004B12BC">
            <w:pPr>
              <w:widowControl/>
              <w:numPr>
                <w:ilvl w:val="0"/>
                <w:numId w:val="4"/>
              </w:numPr>
              <w:autoSpaceDE/>
              <w:autoSpaceDN/>
              <w:ind w:left="567" w:hanging="567"/>
              <w:contextualSpacing/>
              <w:rPr>
                <w:lang w:eastAsia="ja-JP"/>
              </w:rPr>
            </w:pPr>
            <w:r w:rsidRPr="002B65F7">
              <w:rPr>
                <w:b/>
              </w:rPr>
              <w:t xml:space="preserve">N’essayez pas </w:t>
            </w:r>
            <w:r w:rsidRPr="002B65F7">
              <w:t>de la réchauffer en utilisant une source de chaleur comme de l’eau chaude, un four à micro</w:t>
            </w:r>
            <w:r w:rsidRPr="002B65F7">
              <w:noBreakHyphen/>
              <w:t>ondes ou la lumière directe du soleil</w:t>
            </w:r>
            <w:r w:rsidR="00C34F1D" w:rsidRPr="002B65F7">
              <w:rPr>
                <w:lang w:eastAsia="ja-JP"/>
              </w:rPr>
              <w:t>.</w:t>
            </w:r>
          </w:p>
        </w:tc>
      </w:tr>
      <w:tr w:rsidR="00C34F1D" w:rsidRPr="002B65F7" w14:paraId="6CA4050A" w14:textId="77777777" w:rsidTr="001A0FB5">
        <w:trPr>
          <w:cantSplit/>
        </w:trPr>
        <w:tc>
          <w:tcPr>
            <w:tcW w:w="9304" w:type="dxa"/>
            <w:gridSpan w:val="3"/>
            <w:shd w:val="clear" w:color="auto" w:fill="FFFFFF"/>
          </w:tcPr>
          <w:p w14:paraId="44C16F23" w14:textId="25865D53" w:rsidR="00C34F1D" w:rsidRPr="002B65F7" w:rsidRDefault="0006208F" w:rsidP="004B12BC">
            <w:pPr>
              <w:widowControl/>
              <w:numPr>
                <w:ilvl w:val="0"/>
                <w:numId w:val="4"/>
              </w:numPr>
              <w:autoSpaceDE/>
              <w:autoSpaceDN/>
              <w:ind w:left="567" w:hanging="567"/>
              <w:contextualSpacing/>
              <w:rPr>
                <w:lang w:eastAsia="ja-JP"/>
              </w:rPr>
            </w:pPr>
            <w:r w:rsidRPr="002B65F7">
              <w:rPr>
                <w:b/>
                <w:bCs/>
                <w:lang w:eastAsia="ja-JP"/>
              </w:rPr>
              <w:t xml:space="preserve">N’agitez jamais </w:t>
            </w:r>
            <w:r w:rsidRPr="002B65F7">
              <w:rPr>
                <w:lang w:eastAsia="ja-JP"/>
              </w:rPr>
              <w:t>la seringue préremplie</w:t>
            </w:r>
            <w:r w:rsidR="00C34F1D" w:rsidRPr="002B65F7">
              <w:rPr>
                <w:lang w:eastAsia="ja-JP"/>
              </w:rPr>
              <w:t>.</w:t>
            </w:r>
          </w:p>
          <w:p w14:paraId="4BD1755E" w14:textId="58CA804F" w:rsidR="00C34F1D" w:rsidRPr="002B65F7" w:rsidRDefault="0006208F" w:rsidP="004B12BC">
            <w:pPr>
              <w:widowControl/>
              <w:numPr>
                <w:ilvl w:val="0"/>
                <w:numId w:val="4"/>
              </w:numPr>
              <w:autoSpaceDE/>
              <w:autoSpaceDN/>
              <w:ind w:left="567" w:hanging="567"/>
              <w:contextualSpacing/>
              <w:rPr>
                <w:lang w:eastAsia="ja-JP"/>
              </w:rPr>
            </w:pPr>
            <w:r w:rsidRPr="002B65F7">
              <w:rPr>
                <w:lang w:eastAsia="ja-JP"/>
              </w:rPr>
              <w:t xml:space="preserve">L’utilisation de la seringue préremplie à température ambiante </w:t>
            </w:r>
            <w:r w:rsidR="00CB5F59" w:rsidRPr="002B65F7">
              <w:t xml:space="preserve">permet une </w:t>
            </w:r>
            <w:r w:rsidRPr="002B65F7">
              <w:rPr>
                <w:lang w:eastAsia="ja-JP"/>
              </w:rPr>
              <w:t>injection plus confortable</w:t>
            </w:r>
            <w:r w:rsidR="00C34F1D" w:rsidRPr="002B65F7">
              <w:rPr>
                <w:lang w:eastAsia="ja-JP"/>
              </w:rPr>
              <w:t>.</w:t>
            </w:r>
          </w:p>
          <w:p w14:paraId="3D908751" w14:textId="77777777" w:rsidR="00C34F1D" w:rsidRPr="002B65F7" w:rsidRDefault="00C34F1D" w:rsidP="004B12BC">
            <w:pPr>
              <w:tabs>
                <w:tab w:val="left" w:pos="6750"/>
              </w:tabs>
              <w:contextualSpacing/>
              <w:rPr>
                <w:lang w:eastAsia="ja-JP"/>
              </w:rPr>
            </w:pPr>
            <w:r w:rsidRPr="002B65F7">
              <w:rPr>
                <w:lang w:eastAsia="ja-JP"/>
              </w:rPr>
              <w:t xml:space="preserve"> </w:t>
            </w:r>
          </w:p>
        </w:tc>
      </w:tr>
      <w:tr w:rsidR="00C34F1D" w:rsidRPr="002B65F7" w14:paraId="35A1750B" w14:textId="77777777" w:rsidTr="001A0FB5">
        <w:trPr>
          <w:cantSplit/>
        </w:trPr>
        <w:tc>
          <w:tcPr>
            <w:tcW w:w="9304" w:type="dxa"/>
            <w:gridSpan w:val="3"/>
            <w:shd w:val="clear" w:color="auto" w:fill="FFFFFF"/>
          </w:tcPr>
          <w:p w14:paraId="6B624FEF" w14:textId="524DDA88" w:rsidR="00C34F1D" w:rsidRPr="002B65F7" w:rsidRDefault="00C34F1D" w:rsidP="005A61A5">
            <w:pPr>
              <w:suppressAutoHyphens/>
              <w:textAlignment w:val="center"/>
              <w:rPr>
                <w:noProof/>
                <w:color w:val="000000"/>
                <w:lang w:eastAsia="ja-JP"/>
              </w:rPr>
            </w:pPr>
            <w:r w:rsidRPr="002B65F7">
              <w:rPr>
                <w:b/>
                <w:bCs/>
                <w:lang w:eastAsia="ja-JP"/>
              </w:rPr>
              <w:t xml:space="preserve">2c </w:t>
            </w:r>
            <w:r w:rsidR="00EA2CA1" w:rsidRPr="002B65F7">
              <w:rPr>
                <w:b/>
                <w:bCs/>
                <w:lang w:eastAsia="ja-JP"/>
              </w:rPr>
              <w:t xml:space="preserve">Rassemblez et </w:t>
            </w:r>
            <w:r w:rsidR="00CB5F59" w:rsidRPr="002B65F7">
              <w:rPr>
                <w:b/>
                <w:bCs/>
              </w:rPr>
              <w:t>placez les éléments nécessaires pour pratiquer l’injection sur une surface propre et bien éclairée</w:t>
            </w:r>
            <w:r w:rsidRPr="002B65F7">
              <w:rPr>
                <w:b/>
                <w:bCs/>
                <w:lang w:eastAsia="ja-JP"/>
              </w:rPr>
              <w:t>.</w:t>
            </w:r>
          </w:p>
        </w:tc>
      </w:tr>
      <w:tr w:rsidR="00C34F1D" w:rsidRPr="002B65F7" w14:paraId="6753F7D0" w14:textId="77777777" w:rsidTr="001A0FB5">
        <w:trPr>
          <w:cantSplit/>
          <w:trHeight w:val="77"/>
        </w:trPr>
        <w:tc>
          <w:tcPr>
            <w:tcW w:w="2910" w:type="dxa"/>
            <w:vMerge w:val="restart"/>
            <w:shd w:val="clear" w:color="auto" w:fill="FFFFFF"/>
          </w:tcPr>
          <w:p w14:paraId="0E13EC29" w14:textId="77777777" w:rsidR="00C34F1D" w:rsidRPr="002B65F7" w:rsidRDefault="00C34F1D" w:rsidP="008850C6">
            <w:pPr>
              <w:suppressAutoHyphens/>
              <w:adjustRightInd w:val="0"/>
              <w:textAlignment w:val="center"/>
              <w:rPr>
                <w:b/>
                <w:bCs/>
                <w:lang w:eastAsia="ja-JP"/>
              </w:rPr>
            </w:pPr>
          </w:p>
        </w:tc>
        <w:tc>
          <w:tcPr>
            <w:tcW w:w="3197" w:type="dxa"/>
            <w:vMerge w:val="restart"/>
            <w:shd w:val="clear" w:color="auto" w:fill="FFFFFF"/>
          </w:tcPr>
          <w:p w14:paraId="2D57871C" w14:textId="5C46201D" w:rsidR="00C34F1D" w:rsidRPr="002B65F7" w:rsidRDefault="00A2167E" w:rsidP="008850C6">
            <w:pPr>
              <w:suppressAutoHyphens/>
              <w:adjustRightInd w:val="0"/>
              <w:textAlignment w:val="center"/>
              <w:rPr>
                <w:b/>
                <w:bCs/>
                <w:lang w:val="en-GB" w:eastAsia="ja-JP"/>
              </w:rPr>
            </w:pPr>
            <w:r>
              <w:rPr>
                <w:b/>
                <w:bCs/>
                <w:noProof/>
                <w:lang w:val="en-US" w:eastAsia="zh-CN"/>
              </w:rPr>
              <w:drawing>
                <wp:inline distT="0" distB="0" distL="0" distR="0" wp14:anchorId="66CD72BD" wp14:editId="76D515D6">
                  <wp:extent cx="1828800" cy="1428750"/>
                  <wp:effectExtent l="0" t="0" r="0" b="0"/>
                  <wp:docPr id="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800" cy="1428750"/>
                          </a:xfrm>
                          <a:prstGeom prst="rect">
                            <a:avLst/>
                          </a:prstGeom>
                          <a:noFill/>
                          <a:ln>
                            <a:noFill/>
                          </a:ln>
                        </pic:spPr>
                      </pic:pic>
                    </a:graphicData>
                  </a:graphic>
                </wp:inline>
              </w:drawing>
            </w:r>
          </w:p>
        </w:tc>
        <w:tc>
          <w:tcPr>
            <w:tcW w:w="3197" w:type="dxa"/>
            <w:shd w:val="clear" w:color="auto" w:fill="FFFFFF"/>
          </w:tcPr>
          <w:p w14:paraId="316A6578" w14:textId="77777777" w:rsidR="00CB5F59" w:rsidRPr="002B65F7" w:rsidRDefault="00CB5F59" w:rsidP="008850C6">
            <w:pPr>
              <w:rPr>
                <w:lang w:val="en-GB"/>
              </w:rPr>
            </w:pPr>
          </w:p>
          <w:p w14:paraId="11E70914" w14:textId="0533DB22" w:rsidR="00C34F1D" w:rsidRPr="002B65F7" w:rsidRDefault="00EA2CA1" w:rsidP="008850C6">
            <w:pPr>
              <w:rPr>
                <w:b/>
                <w:bCs/>
                <w:lang w:val="en-GB" w:eastAsia="ja-JP"/>
              </w:rPr>
            </w:pPr>
            <w:r w:rsidRPr="002B65F7">
              <w:rPr>
                <w:lang w:val="en-GB"/>
              </w:rPr>
              <w:t>Lingette alcoolisée</w:t>
            </w:r>
          </w:p>
        </w:tc>
      </w:tr>
      <w:tr w:rsidR="00C34F1D" w:rsidRPr="002B65F7" w14:paraId="71EFDA42" w14:textId="77777777" w:rsidTr="001A0FB5">
        <w:trPr>
          <w:cantSplit/>
          <w:trHeight w:val="77"/>
        </w:trPr>
        <w:tc>
          <w:tcPr>
            <w:tcW w:w="2910" w:type="dxa"/>
            <w:vMerge/>
            <w:shd w:val="clear" w:color="auto" w:fill="FFFFFF"/>
          </w:tcPr>
          <w:p w14:paraId="1B56E592" w14:textId="77777777" w:rsidR="00C34F1D" w:rsidRPr="002B65F7" w:rsidRDefault="00C34F1D" w:rsidP="008850C6">
            <w:pPr>
              <w:suppressAutoHyphens/>
              <w:adjustRightInd w:val="0"/>
              <w:textAlignment w:val="center"/>
              <w:rPr>
                <w:b/>
                <w:bCs/>
                <w:lang w:val="en-GB" w:eastAsia="ja-JP"/>
              </w:rPr>
            </w:pPr>
          </w:p>
        </w:tc>
        <w:tc>
          <w:tcPr>
            <w:tcW w:w="3197" w:type="dxa"/>
            <w:vMerge/>
            <w:shd w:val="clear" w:color="auto" w:fill="FFFFFF"/>
          </w:tcPr>
          <w:p w14:paraId="6FB1C0F1" w14:textId="77777777" w:rsidR="00C34F1D" w:rsidRPr="002B65F7" w:rsidRDefault="00C34F1D" w:rsidP="008850C6">
            <w:pPr>
              <w:suppressAutoHyphens/>
              <w:adjustRightInd w:val="0"/>
              <w:textAlignment w:val="center"/>
              <w:rPr>
                <w:b/>
                <w:bCs/>
                <w:lang w:val="en-GB" w:eastAsia="ja-JP"/>
              </w:rPr>
            </w:pPr>
          </w:p>
        </w:tc>
        <w:tc>
          <w:tcPr>
            <w:tcW w:w="3197" w:type="dxa"/>
            <w:shd w:val="clear" w:color="auto" w:fill="FFFFFF"/>
          </w:tcPr>
          <w:p w14:paraId="1B569350" w14:textId="77777777" w:rsidR="00CB5F59" w:rsidRPr="002B65F7" w:rsidRDefault="00CB5F59" w:rsidP="008850C6">
            <w:pPr>
              <w:rPr>
                <w:lang w:val="en-GB"/>
              </w:rPr>
            </w:pPr>
          </w:p>
          <w:p w14:paraId="01B2776B" w14:textId="77777777" w:rsidR="00CB5F59" w:rsidRPr="002B65F7" w:rsidRDefault="00CB5F59" w:rsidP="008850C6">
            <w:pPr>
              <w:rPr>
                <w:lang w:val="en-GB"/>
              </w:rPr>
            </w:pPr>
          </w:p>
          <w:p w14:paraId="1143D284" w14:textId="45F27655" w:rsidR="00C34F1D" w:rsidRPr="002B65F7" w:rsidRDefault="00C34F1D" w:rsidP="008850C6">
            <w:pPr>
              <w:rPr>
                <w:b/>
                <w:bCs/>
                <w:lang w:val="en-GB" w:eastAsia="ja-JP"/>
              </w:rPr>
            </w:pPr>
            <w:r w:rsidRPr="002B65F7">
              <w:rPr>
                <w:lang w:val="en-GB"/>
              </w:rPr>
              <w:t>P</w:t>
            </w:r>
            <w:r w:rsidR="00EA2CA1" w:rsidRPr="002B65F7">
              <w:rPr>
                <w:lang w:val="en-GB"/>
              </w:rPr>
              <w:t>ansement</w:t>
            </w:r>
          </w:p>
        </w:tc>
      </w:tr>
      <w:tr w:rsidR="00C34F1D" w:rsidRPr="002B65F7" w14:paraId="04EDA016" w14:textId="77777777" w:rsidTr="001A0FB5">
        <w:trPr>
          <w:cantSplit/>
          <w:trHeight w:val="77"/>
        </w:trPr>
        <w:tc>
          <w:tcPr>
            <w:tcW w:w="2910" w:type="dxa"/>
            <w:shd w:val="clear" w:color="auto" w:fill="FFFFFF"/>
          </w:tcPr>
          <w:p w14:paraId="1994FAAF" w14:textId="7C61344D" w:rsidR="00C34F1D" w:rsidRPr="002B65F7" w:rsidRDefault="00CB5F59" w:rsidP="008850C6">
            <w:pPr>
              <w:rPr>
                <w:b/>
                <w:bCs/>
                <w:lang w:val="en-GB" w:eastAsia="ja-JP"/>
              </w:rPr>
            </w:pPr>
            <w:r w:rsidRPr="002B65F7">
              <w:rPr>
                <w:lang w:val="en-GB"/>
              </w:rPr>
              <w:t>Conteneur à déchets tranchants</w:t>
            </w:r>
          </w:p>
        </w:tc>
        <w:tc>
          <w:tcPr>
            <w:tcW w:w="3197" w:type="dxa"/>
            <w:vMerge/>
            <w:shd w:val="clear" w:color="auto" w:fill="FFFFFF"/>
          </w:tcPr>
          <w:p w14:paraId="0361C3D9" w14:textId="77777777" w:rsidR="00C34F1D" w:rsidRPr="002B65F7" w:rsidRDefault="00C34F1D" w:rsidP="008850C6">
            <w:pPr>
              <w:suppressAutoHyphens/>
              <w:adjustRightInd w:val="0"/>
              <w:textAlignment w:val="center"/>
              <w:rPr>
                <w:b/>
                <w:bCs/>
                <w:lang w:val="en-GB" w:eastAsia="ja-JP"/>
              </w:rPr>
            </w:pPr>
          </w:p>
        </w:tc>
        <w:tc>
          <w:tcPr>
            <w:tcW w:w="3197" w:type="dxa"/>
            <w:shd w:val="clear" w:color="auto" w:fill="FFFFFF"/>
          </w:tcPr>
          <w:p w14:paraId="3CB03917" w14:textId="77777777" w:rsidR="00CB5F59" w:rsidRPr="002B65F7" w:rsidRDefault="00CB5F59" w:rsidP="008850C6"/>
          <w:p w14:paraId="58A31F1E" w14:textId="27E2A3BC" w:rsidR="00C34F1D" w:rsidRPr="002B65F7" w:rsidRDefault="00CB5F59" w:rsidP="008850C6">
            <w:pPr>
              <w:rPr>
                <w:b/>
                <w:bCs/>
                <w:lang w:eastAsia="ja-JP"/>
              </w:rPr>
            </w:pPr>
            <w:r w:rsidRPr="002B65F7">
              <w:t>C</w:t>
            </w:r>
            <w:r w:rsidR="00EA2CA1" w:rsidRPr="002B65F7">
              <w:t>oton ou gaze</w:t>
            </w:r>
          </w:p>
        </w:tc>
      </w:tr>
      <w:tr w:rsidR="00C34F1D" w:rsidRPr="002B65F7" w14:paraId="7F555AEC" w14:textId="77777777" w:rsidTr="001A0FB5">
        <w:trPr>
          <w:cantSplit/>
        </w:trPr>
        <w:tc>
          <w:tcPr>
            <w:tcW w:w="9304" w:type="dxa"/>
            <w:gridSpan w:val="3"/>
            <w:shd w:val="clear" w:color="auto" w:fill="FFFFFF"/>
          </w:tcPr>
          <w:p w14:paraId="2B232BD5" w14:textId="20118B9E" w:rsidR="00C34F1D" w:rsidRPr="002B65F7" w:rsidRDefault="00C34F1D" w:rsidP="00C8729B">
            <w:pPr>
              <w:tabs>
                <w:tab w:val="left" w:pos="890"/>
              </w:tabs>
              <w:ind w:left="567" w:hanging="567"/>
              <w:rPr>
                <w:b/>
                <w:bCs/>
                <w:lang w:eastAsia="ja-JP"/>
              </w:rPr>
            </w:pPr>
            <w:r w:rsidRPr="002B65F7">
              <w:t>•</w:t>
            </w:r>
            <w:r w:rsidRPr="002B65F7">
              <w:tab/>
            </w:r>
            <w:r w:rsidR="00EA2CA1" w:rsidRPr="002B65F7">
              <w:t xml:space="preserve">Seringue préremplie </w:t>
            </w:r>
            <w:r w:rsidRPr="002B65F7">
              <w:t>WEZENLA (</w:t>
            </w:r>
            <w:r w:rsidR="00CB5F59" w:rsidRPr="002B65F7">
              <w:t xml:space="preserve">à </w:t>
            </w:r>
            <w:r w:rsidR="00EA2CA1" w:rsidRPr="002B65F7">
              <w:t>température ambiante</w:t>
            </w:r>
            <w:r w:rsidRPr="002B65F7">
              <w:t>)</w:t>
            </w:r>
          </w:p>
        </w:tc>
      </w:tr>
      <w:tr w:rsidR="00C34F1D" w:rsidRPr="002B65F7" w14:paraId="4E8A4A8D" w14:textId="77777777" w:rsidTr="001A0FB5">
        <w:trPr>
          <w:cantSplit/>
        </w:trPr>
        <w:tc>
          <w:tcPr>
            <w:tcW w:w="9304" w:type="dxa"/>
            <w:gridSpan w:val="3"/>
            <w:shd w:val="clear" w:color="auto" w:fill="FFFFFF"/>
          </w:tcPr>
          <w:p w14:paraId="088E1A0E" w14:textId="7016B9FB" w:rsidR="00C34F1D" w:rsidRPr="002B65F7" w:rsidRDefault="00C34F1D" w:rsidP="00C8729B">
            <w:pPr>
              <w:tabs>
                <w:tab w:val="left" w:pos="890"/>
              </w:tabs>
              <w:ind w:left="567" w:hanging="567"/>
              <w:rPr>
                <w:b/>
                <w:bCs/>
                <w:lang w:val="en-GB" w:eastAsia="ja-JP"/>
              </w:rPr>
            </w:pPr>
            <w:r w:rsidRPr="002B65F7">
              <w:rPr>
                <w:lang w:val="en-GB"/>
              </w:rPr>
              <w:t>•</w:t>
            </w:r>
            <w:r w:rsidRPr="002B65F7">
              <w:rPr>
                <w:lang w:val="en-GB"/>
              </w:rPr>
              <w:tab/>
            </w:r>
            <w:r w:rsidR="00CB5F59" w:rsidRPr="002B65F7">
              <w:t>Conteneur à déchets tranchants</w:t>
            </w:r>
          </w:p>
        </w:tc>
      </w:tr>
      <w:tr w:rsidR="00C34F1D" w:rsidRPr="002B65F7" w14:paraId="7A022A70" w14:textId="77777777" w:rsidTr="001A0FB5">
        <w:trPr>
          <w:cantSplit/>
        </w:trPr>
        <w:tc>
          <w:tcPr>
            <w:tcW w:w="9304" w:type="dxa"/>
            <w:gridSpan w:val="3"/>
            <w:shd w:val="clear" w:color="auto" w:fill="FFFFFF"/>
          </w:tcPr>
          <w:p w14:paraId="2A5AD74B" w14:textId="1C28B5AE" w:rsidR="00C34F1D" w:rsidRPr="002B65F7" w:rsidRDefault="00C34F1D" w:rsidP="00C8729B">
            <w:pPr>
              <w:tabs>
                <w:tab w:val="left" w:pos="890"/>
              </w:tabs>
              <w:ind w:left="567" w:hanging="567"/>
              <w:rPr>
                <w:b/>
                <w:bCs/>
                <w:lang w:val="en-GB" w:eastAsia="ja-JP"/>
              </w:rPr>
            </w:pPr>
            <w:r w:rsidRPr="002B65F7">
              <w:rPr>
                <w:lang w:val="en-GB"/>
              </w:rPr>
              <w:t>•</w:t>
            </w:r>
            <w:r w:rsidRPr="002B65F7">
              <w:rPr>
                <w:lang w:val="en-GB"/>
              </w:rPr>
              <w:tab/>
            </w:r>
            <w:r w:rsidR="00EA2CA1" w:rsidRPr="002B65F7">
              <w:rPr>
                <w:lang w:val="en-GB"/>
              </w:rPr>
              <w:t>Lingette alcoolisée</w:t>
            </w:r>
          </w:p>
        </w:tc>
      </w:tr>
      <w:tr w:rsidR="00C34F1D" w:rsidRPr="002B65F7" w14:paraId="1CE3ED4D" w14:textId="77777777" w:rsidTr="001A0FB5">
        <w:trPr>
          <w:cantSplit/>
        </w:trPr>
        <w:tc>
          <w:tcPr>
            <w:tcW w:w="9304" w:type="dxa"/>
            <w:gridSpan w:val="3"/>
            <w:shd w:val="clear" w:color="auto" w:fill="FFFFFF"/>
          </w:tcPr>
          <w:p w14:paraId="402314DB" w14:textId="1FFD8458" w:rsidR="00C34F1D" w:rsidRPr="002B65F7" w:rsidRDefault="00C34F1D" w:rsidP="00C8729B">
            <w:pPr>
              <w:tabs>
                <w:tab w:val="left" w:pos="890"/>
              </w:tabs>
              <w:ind w:left="567" w:hanging="567"/>
              <w:rPr>
                <w:b/>
                <w:bCs/>
                <w:lang w:val="en-GB" w:eastAsia="ja-JP"/>
              </w:rPr>
            </w:pPr>
            <w:r w:rsidRPr="002B65F7">
              <w:rPr>
                <w:lang w:val="en-GB"/>
              </w:rPr>
              <w:t>•</w:t>
            </w:r>
            <w:r w:rsidRPr="002B65F7">
              <w:rPr>
                <w:lang w:val="en-GB"/>
              </w:rPr>
              <w:tab/>
            </w:r>
            <w:r w:rsidR="00EA2CA1" w:rsidRPr="002B65F7">
              <w:rPr>
                <w:lang w:val="en-GB"/>
              </w:rPr>
              <w:t>Pansement</w:t>
            </w:r>
          </w:p>
        </w:tc>
      </w:tr>
      <w:tr w:rsidR="00C34F1D" w:rsidRPr="002B65F7" w14:paraId="57F03D05" w14:textId="77777777" w:rsidTr="001A0FB5">
        <w:trPr>
          <w:cantSplit/>
        </w:trPr>
        <w:tc>
          <w:tcPr>
            <w:tcW w:w="9304" w:type="dxa"/>
            <w:gridSpan w:val="3"/>
            <w:shd w:val="clear" w:color="auto" w:fill="FFFFFF"/>
          </w:tcPr>
          <w:p w14:paraId="6F137158" w14:textId="3681AAC0" w:rsidR="00C34F1D" w:rsidRPr="002B65F7" w:rsidRDefault="00C34F1D" w:rsidP="00C8729B">
            <w:pPr>
              <w:tabs>
                <w:tab w:val="left" w:pos="890"/>
              </w:tabs>
              <w:ind w:left="567" w:hanging="567"/>
              <w:rPr>
                <w:b/>
                <w:bCs/>
                <w:lang w:eastAsia="ja-JP"/>
              </w:rPr>
            </w:pPr>
            <w:r w:rsidRPr="002B65F7">
              <w:t>•</w:t>
            </w:r>
            <w:r w:rsidRPr="002B65F7">
              <w:tab/>
            </w:r>
            <w:r w:rsidR="00CB5F59" w:rsidRPr="002B65F7">
              <w:t>Coton ou gaze</w:t>
            </w:r>
          </w:p>
        </w:tc>
      </w:tr>
    </w:tbl>
    <w:p w14:paraId="3661D2FE" w14:textId="77777777" w:rsidR="00C34F1D" w:rsidRPr="002B65F7" w:rsidRDefault="00C34F1D" w:rsidP="004B12BC"/>
    <w:tbl>
      <w:tblPr>
        <w:tblW w:w="9319" w:type="dxa"/>
        <w:tblLook w:val="04A0" w:firstRow="1" w:lastRow="0" w:firstColumn="1" w:lastColumn="0" w:noHBand="0" w:noVBand="1"/>
      </w:tblPr>
      <w:tblGrid>
        <w:gridCol w:w="9293"/>
        <w:gridCol w:w="13"/>
        <w:gridCol w:w="13"/>
      </w:tblGrid>
      <w:tr w:rsidR="00C34F1D" w:rsidRPr="002B65F7" w14:paraId="209A96F2" w14:textId="77777777" w:rsidTr="00B71C33">
        <w:trPr>
          <w:cantSplit/>
        </w:trPr>
        <w:tc>
          <w:tcPr>
            <w:tcW w:w="9319" w:type="dxa"/>
            <w:gridSpan w:val="3"/>
            <w:shd w:val="clear" w:color="auto" w:fill="8DB3E2"/>
          </w:tcPr>
          <w:p w14:paraId="61E81C82" w14:textId="2DDBB47B" w:rsidR="00C34F1D" w:rsidRPr="002B65F7" w:rsidRDefault="00C34F1D" w:rsidP="004B12BC">
            <w:pPr>
              <w:keepNext/>
              <w:tabs>
                <w:tab w:val="left" w:pos="888"/>
              </w:tabs>
              <w:suppressAutoHyphens/>
              <w:adjustRightInd w:val="0"/>
              <w:ind w:right="34"/>
              <w:contextualSpacing/>
              <w:textAlignment w:val="center"/>
              <w:rPr>
                <w:b/>
                <w:bCs/>
                <w:lang w:val="en-GB" w:eastAsia="ja-JP"/>
              </w:rPr>
            </w:pPr>
            <w:r w:rsidRPr="002B65F7">
              <w:rPr>
                <w:b/>
                <w:bCs/>
                <w:lang w:val="en-GB" w:eastAsia="ja-JP"/>
              </w:rPr>
              <w:lastRenderedPageBreak/>
              <w:t xml:space="preserve">3 </w:t>
            </w:r>
            <w:r w:rsidR="00CB5F59" w:rsidRPr="002B65F7">
              <w:rPr>
                <w:b/>
                <w:bCs/>
              </w:rPr>
              <w:t>Préparation pour votre</w:t>
            </w:r>
            <w:r w:rsidR="00CB5F59" w:rsidRPr="002B65F7">
              <w:t xml:space="preserve"> </w:t>
            </w:r>
            <w:r w:rsidRPr="002B65F7">
              <w:rPr>
                <w:b/>
                <w:bCs/>
                <w:lang w:val="en-GB" w:eastAsia="ja-JP"/>
              </w:rPr>
              <w:t>injection</w:t>
            </w:r>
          </w:p>
        </w:tc>
      </w:tr>
      <w:tr w:rsidR="00C34F1D" w:rsidRPr="002B65F7" w14:paraId="696D384B" w14:textId="77777777" w:rsidTr="004B12BC">
        <w:trPr>
          <w:cantSplit/>
        </w:trPr>
        <w:tc>
          <w:tcPr>
            <w:tcW w:w="9319" w:type="dxa"/>
            <w:gridSpan w:val="3"/>
            <w:shd w:val="clear" w:color="auto" w:fill="FFFFFF"/>
          </w:tcPr>
          <w:p w14:paraId="659D9515" w14:textId="1902FFD7" w:rsidR="00C34F1D" w:rsidRPr="002B65F7" w:rsidRDefault="00C34F1D" w:rsidP="004B12BC">
            <w:pPr>
              <w:keepNext/>
              <w:suppressAutoHyphens/>
              <w:textAlignment w:val="center"/>
              <w:rPr>
                <w:color w:val="000000"/>
                <w:lang w:eastAsia="ja-JP"/>
              </w:rPr>
            </w:pPr>
            <w:r w:rsidRPr="002B65F7">
              <w:rPr>
                <w:b/>
                <w:bCs/>
                <w:lang w:eastAsia="ja-JP"/>
              </w:rPr>
              <w:t xml:space="preserve">3a </w:t>
            </w:r>
            <w:r w:rsidR="00CB5F59" w:rsidRPr="002B65F7">
              <w:rPr>
                <w:b/>
                <w:bCs/>
                <w:color w:val="000000"/>
                <w:spacing w:val="-2"/>
                <w:lang w:eastAsia="ja-JP"/>
              </w:rPr>
              <w:t>Inspectez</w:t>
            </w:r>
            <w:r w:rsidR="00145BF4" w:rsidRPr="002B65F7">
              <w:rPr>
                <w:b/>
                <w:bCs/>
                <w:color w:val="000000"/>
                <w:spacing w:val="-2"/>
                <w:lang w:eastAsia="ja-JP"/>
              </w:rPr>
              <w:t xml:space="preserve"> le médicament. Il doit être clair à opalescent, incolore à jaune clair</w:t>
            </w:r>
            <w:r w:rsidRPr="002B65F7">
              <w:rPr>
                <w:b/>
                <w:bCs/>
                <w:color w:val="000000"/>
                <w:spacing w:val="-2"/>
                <w:lang w:eastAsia="ja-JP"/>
              </w:rPr>
              <w:t>.</w:t>
            </w:r>
          </w:p>
        </w:tc>
      </w:tr>
      <w:tr w:rsidR="00C34F1D" w:rsidRPr="002B65F7" w14:paraId="03FB6516" w14:textId="77777777" w:rsidTr="00420729">
        <w:trPr>
          <w:gridAfter w:val="1"/>
          <w:wAfter w:w="14" w:type="dxa"/>
          <w:trHeight w:val="1959"/>
        </w:trPr>
        <w:tc>
          <w:tcPr>
            <w:tcW w:w="9351" w:type="dxa"/>
            <w:gridSpan w:val="2"/>
          </w:tcPr>
          <w:tbl>
            <w:tblPr>
              <w:tblW w:w="8274" w:type="dxa"/>
              <w:tblInd w:w="566" w:type="dxa"/>
              <w:tblLook w:val="04A0" w:firstRow="1" w:lastRow="0" w:firstColumn="1" w:lastColumn="0" w:noHBand="0" w:noVBand="1"/>
            </w:tblPr>
            <w:tblGrid>
              <w:gridCol w:w="3585"/>
              <w:gridCol w:w="4689"/>
            </w:tblGrid>
            <w:tr w:rsidR="00C34F1D" w:rsidRPr="002B65F7" w14:paraId="6147A001" w14:textId="77777777" w:rsidTr="004105B2">
              <w:trPr>
                <w:trHeight w:val="1959"/>
              </w:trPr>
              <w:tc>
                <w:tcPr>
                  <w:tcW w:w="2892" w:type="dxa"/>
                </w:tcPr>
                <w:p w14:paraId="1E158424" w14:textId="6E8833A9" w:rsidR="00C34F1D" w:rsidRPr="002B65F7" w:rsidRDefault="00A2167E" w:rsidP="004B12BC">
                  <w:pPr>
                    <w:keepNext/>
                    <w:adjustRightInd w:val="0"/>
                    <w:snapToGrid w:val="0"/>
                    <w:rPr>
                      <w:b/>
                      <w:bCs/>
                      <w:sz w:val="24"/>
                      <w:szCs w:val="24"/>
                      <w:lang w:val="en-GB" w:eastAsia="ja-JP"/>
                    </w:rPr>
                  </w:pPr>
                  <w:r>
                    <w:rPr>
                      <w:b/>
                      <w:bCs/>
                      <w:noProof/>
                      <w:sz w:val="24"/>
                      <w:szCs w:val="24"/>
                      <w:lang w:val="en-US" w:eastAsia="zh-CN"/>
                    </w:rPr>
                    <w:drawing>
                      <wp:inline distT="0" distB="0" distL="0" distR="0" wp14:anchorId="6E3E6854" wp14:editId="267195AF">
                        <wp:extent cx="2139315" cy="1183640"/>
                        <wp:effectExtent l="0" t="0" r="0" b="0"/>
                        <wp:docPr id="17"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39315" cy="1183640"/>
                                </a:xfrm>
                                <a:prstGeom prst="rect">
                                  <a:avLst/>
                                </a:prstGeom>
                                <a:noFill/>
                                <a:ln>
                                  <a:noFill/>
                                </a:ln>
                              </pic:spPr>
                            </pic:pic>
                          </a:graphicData>
                        </a:graphic>
                      </wp:inline>
                    </w:drawing>
                  </w:r>
                </w:p>
              </w:tc>
              <w:tc>
                <w:tcPr>
                  <w:tcW w:w="5382" w:type="dxa"/>
                </w:tcPr>
                <w:p w14:paraId="14AA3B73" w14:textId="77777777" w:rsidR="00CF3F88" w:rsidRPr="002B65F7" w:rsidRDefault="00CF3F88" w:rsidP="004B12BC">
                  <w:pPr>
                    <w:keepNext/>
                    <w:adjustRightInd w:val="0"/>
                    <w:snapToGrid w:val="0"/>
                    <w:rPr>
                      <w:sz w:val="18"/>
                      <w:szCs w:val="18"/>
                      <w:lang w:val="en-GB" w:eastAsia="ja-JP"/>
                    </w:rPr>
                  </w:pPr>
                </w:p>
                <w:p w14:paraId="18F69114" w14:textId="77777777" w:rsidR="00CF3F88" w:rsidRPr="002B65F7" w:rsidRDefault="00CF3F88" w:rsidP="004B12BC">
                  <w:pPr>
                    <w:keepNext/>
                    <w:adjustRightInd w:val="0"/>
                    <w:snapToGrid w:val="0"/>
                    <w:rPr>
                      <w:sz w:val="20"/>
                      <w:szCs w:val="20"/>
                      <w:lang w:val="en-GB" w:eastAsia="ja-JP"/>
                    </w:rPr>
                  </w:pPr>
                </w:p>
                <w:p w14:paraId="3A7B2C53" w14:textId="466482B1" w:rsidR="00C34F1D" w:rsidRPr="002B65F7" w:rsidRDefault="00C34F1D" w:rsidP="004B12BC">
                  <w:pPr>
                    <w:keepNext/>
                    <w:adjustRightInd w:val="0"/>
                    <w:snapToGrid w:val="0"/>
                    <w:rPr>
                      <w:b/>
                      <w:bCs/>
                      <w:lang w:val="en-GB" w:eastAsia="ja-JP"/>
                    </w:rPr>
                  </w:pPr>
                  <w:r w:rsidRPr="002B65F7">
                    <w:rPr>
                      <w:lang w:val="en-GB" w:eastAsia="ja-JP"/>
                    </w:rPr>
                    <w:t>M</w:t>
                  </w:r>
                  <w:r w:rsidR="00145BF4" w:rsidRPr="002B65F7">
                    <w:rPr>
                      <w:lang w:val="en-GB" w:eastAsia="ja-JP"/>
                    </w:rPr>
                    <w:t>é</w:t>
                  </w:r>
                  <w:r w:rsidRPr="002B65F7">
                    <w:rPr>
                      <w:lang w:val="en-GB" w:eastAsia="ja-JP"/>
                    </w:rPr>
                    <w:t>dic</w:t>
                  </w:r>
                  <w:r w:rsidR="00145BF4" w:rsidRPr="002B65F7">
                    <w:rPr>
                      <w:lang w:val="en-GB" w:eastAsia="ja-JP"/>
                    </w:rPr>
                    <w:t>ament</w:t>
                  </w:r>
                </w:p>
                <w:p w14:paraId="22603E6D" w14:textId="77777777" w:rsidR="00C34F1D" w:rsidRPr="002B65F7" w:rsidRDefault="00C34F1D" w:rsidP="004B12BC">
                  <w:pPr>
                    <w:keepNext/>
                    <w:adjustRightInd w:val="0"/>
                    <w:snapToGrid w:val="0"/>
                    <w:rPr>
                      <w:sz w:val="20"/>
                      <w:szCs w:val="20"/>
                      <w:lang w:val="en-GB" w:eastAsia="ja-JP"/>
                    </w:rPr>
                  </w:pPr>
                </w:p>
              </w:tc>
            </w:tr>
          </w:tbl>
          <w:p w14:paraId="13D24059" w14:textId="77777777" w:rsidR="00C34F1D" w:rsidRPr="002B65F7" w:rsidRDefault="00C34F1D" w:rsidP="004B12BC">
            <w:pPr>
              <w:keepNext/>
              <w:adjustRightInd w:val="0"/>
              <w:snapToGrid w:val="0"/>
              <w:rPr>
                <w:b/>
                <w:bCs/>
                <w:sz w:val="24"/>
                <w:szCs w:val="24"/>
                <w:lang w:val="en-GB" w:eastAsia="ja-JP"/>
              </w:rPr>
            </w:pPr>
          </w:p>
        </w:tc>
      </w:tr>
      <w:tr w:rsidR="00C34F1D" w:rsidRPr="002B65F7" w14:paraId="642EE39A" w14:textId="77777777" w:rsidTr="00420729">
        <w:trPr>
          <w:gridAfter w:val="2"/>
          <w:wAfter w:w="14" w:type="dxa"/>
          <w:trHeight w:val="341"/>
        </w:trPr>
        <w:tc>
          <w:tcPr>
            <w:tcW w:w="9337" w:type="dxa"/>
          </w:tcPr>
          <w:p w14:paraId="5E61ACCB" w14:textId="0BD0B0AD" w:rsidR="00C34F1D" w:rsidRPr="002B65F7" w:rsidRDefault="00CB5F59" w:rsidP="004B12BC">
            <w:pPr>
              <w:keepNext/>
              <w:widowControl/>
              <w:numPr>
                <w:ilvl w:val="0"/>
                <w:numId w:val="5"/>
              </w:numPr>
              <w:suppressAutoHyphens/>
              <w:ind w:left="567" w:hanging="567"/>
              <w:textAlignment w:val="center"/>
              <w:rPr>
                <w:color w:val="000000"/>
                <w:lang w:eastAsia="ja-JP"/>
              </w:rPr>
            </w:pPr>
            <w:r w:rsidRPr="002B65F7">
              <w:t>La présence de bulles d’air dans la seringue préremplie n’est pas un problème</w:t>
            </w:r>
            <w:r w:rsidR="00C34F1D" w:rsidRPr="002B65F7">
              <w:rPr>
                <w:lang w:eastAsia="ja-JP"/>
              </w:rPr>
              <w:t>.</w:t>
            </w:r>
          </w:p>
        </w:tc>
      </w:tr>
      <w:tr w:rsidR="00C34F1D" w:rsidRPr="002B65F7" w14:paraId="71401401" w14:textId="77777777" w:rsidTr="00420729">
        <w:trPr>
          <w:gridAfter w:val="2"/>
          <w:wAfter w:w="14" w:type="dxa"/>
          <w:trHeight w:val="693"/>
        </w:trPr>
        <w:tc>
          <w:tcPr>
            <w:tcW w:w="9337" w:type="dxa"/>
          </w:tcPr>
          <w:p w14:paraId="75DE6E72" w14:textId="297DD491" w:rsidR="00C34F1D" w:rsidRPr="002B65F7" w:rsidRDefault="00F80259" w:rsidP="00302088">
            <w:pPr>
              <w:widowControl/>
              <w:numPr>
                <w:ilvl w:val="0"/>
                <w:numId w:val="5"/>
              </w:numPr>
              <w:suppressAutoHyphens/>
              <w:ind w:left="567" w:hanging="567"/>
              <w:textAlignment w:val="center"/>
              <w:rPr>
                <w:b/>
                <w:bCs/>
                <w:noProof/>
                <w:lang w:eastAsia="ja-JP"/>
              </w:rPr>
            </w:pPr>
            <w:r w:rsidRPr="002B65F7">
              <w:rPr>
                <w:b/>
                <w:bCs/>
                <w:lang w:eastAsia="ja-JP"/>
              </w:rPr>
              <w:t xml:space="preserve">N’utilisez pas la seringue préremplie </w:t>
            </w:r>
            <w:r w:rsidRPr="002B65F7">
              <w:rPr>
                <w:lang w:eastAsia="ja-JP"/>
              </w:rPr>
              <w:t xml:space="preserve">si le médicament est congelé, trouble, </w:t>
            </w:r>
            <w:r w:rsidR="00CB5F59" w:rsidRPr="002B65F7">
              <w:t>présente une coloration anormale</w:t>
            </w:r>
            <w:r w:rsidRPr="002B65F7">
              <w:rPr>
                <w:lang w:eastAsia="ja-JP"/>
              </w:rPr>
              <w:t xml:space="preserve"> ou contient des particules étrangères</w:t>
            </w:r>
            <w:r w:rsidR="00C34F1D" w:rsidRPr="002B65F7">
              <w:rPr>
                <w:lang w:eastAsia="ja-JP"/>
              </w:rPr>
              <w:t>.</w:t>
            </w:r>
          </w:p>
        </w:tc>
      </w:tr>
    </w:tbl>
    <w:p w14:paraId="424C6FA9" w14:textId="77777777" w:rsidR="00C34F1D" w:rsidRPr="002B65F7" w:rsidRDefault="00C34F1D" w:rsidP="008B24E2">
      <w:pPr>
        <w:rPr>
          <w:vanish/>
        </w:rPr>
      </w:pPr>
    </w:p>
    <w:tbl>
      <w:tblPr>
        <w:tblpPr w:leftFromText="180" w:rightFromText="180" w:vertAnchor="text" w:horzAnchor="margin" w:tblpX="-52" w:tblpY="228"/>
        <w:tblW w:w="9347" w:type="dxa"/>
        <w:tblLayout w:type="fixed"/>
        <w:tblLook w:val="04A0" w:firstRow="1" w:lastRow="0" w:firstColumn="1" w:lastColumn="0" w:noHBand="0" w:noVBand="1"/>
      </w:tblPr>
      <w:tblGrid>
        <w:gridCol w:w="9347"/>
      </w:tblGrid>
      <w:tr w:rsidR="00C34F1D" w:rsidRPr="002B65F7" w14:paraId="70674628" w14:textId="77777777" w:rsidTr="000F12C9">
        <w:trPr>
          <w:cantSplit/>
        </w:trPr>
        <w:tc>
          <w:tcPr>
            <w:tcW w:w="9347" w:type="dxa"/>
          </w:tcPr>
          <w:p w14:paraId="096485A2" w14:textId="4EA9FA34" w:rsidR="00C34F1D" w:rsidRPr="002B65F7" w:rsidRDefault="00C34F1D" w:rsidP="004105B2">
            <w:pPr>
              <w:keepNext/>
              <w:keepLines/>
              <w:suppressAutoHyphens/>
              <w:adjustRightInd w:val="0"/>
              <w:ind w:right="229"/>
              <w:textAlignment w:val="center"/>
              <w:rPr>
                <w:b/>
                <w:bCs/>
                <w:sz w:val="24"/>
                <w:szCs w:val="24"/>
                <w:lang w:eastAsia="ja-JP"/>
              </w:rPr>
            </w:pPr>
            <w:r w:rsidRPr="002B65F7">
              <w:rPr>
                <w:b/>
                <w:bCs/>
                <w:lang w:eastAsia="ja-JP"/>
              </w:rPr>
              <w:t xml:space="preserve">3b </w:t>
            </w:r>
            <w:r w:rsidR="00F80259" w:rsidRPr="002B65F7">
              <w:rPr>
                <w:b/>
                <w:bCs/>
                <w:color w:val="000000"/>
                <w:spacing w:val="-2"/>
                <w:lang w:eastAsia="ja-JP"/>
              </w:rPr>
              <w:t>Vérifiez la date de péremption</w:t>
            </w:r>
            <w:r w:rsidRPr="002B65F7">
              <w:rPr>
                <w:b/>
                <w:bCs/>
                <w:color w:val="000000"/>
                <w:spacing w:val="-2"/>
                <w:lang w:eastAsia="ja-JP"/>
              </w:rPr>
              <w:t xml:space="preserve"> (EXP)</w:t>
            </w:r>
            <w:r w:rsidR="00F80259" w:rsidRPr="002B65F7">
              <w:rPr>
                <w:b/>
                <w:bCs/>
                <w:color w:val="000000"/>
                <w:spacing w:val="-2"/>
                <w:lang w:eastAsia="ja-JP"/>
              </w:rPr>
              <w:t xml:space="preserve"> et </w:t>
            </w:r>
            <w:r w:rsidR="00CB5F59" w:rsidRPr="002B65F7">
              <w:rPr>
                <w:b/>
                <w:bCs/>
                <w:color w:val="000000"/>
                <w:spacing w:val="-2"/>
                <w:lang w:eastAsia="ja-JP"/>
              </w:rPr>
              <w:t>inspectez</w:t>
            </w:r>
            <w:r w:rsidR="00F80259" w:rsidRPr="002B65F7">
              <w:rPr>
                <w:b/>
                <w:bCs/>
                <w:color w:val="000000"/>
                <w:spacing w:val="-2"/>
                <w:lang w:eastAsia="ja-JP"/>
              </w:rPr>
              <w:t xml:space="preserve"> la seringue préremplie</w:t>
            </w:r>
            <w:r w:rsidRPr="002B65F7">
              <w:rPr>
                <w:b/>
                <w:bCs/>
                <w:color w:val="000000"/>
                <w:spacing w:val="-2"/>
                <w:lang w:eastAsia="ja-JP"/>
              </w:rPr>
              <w:t>.</w:t>
            </w:r>
          </w:p>
        </w:tc>
      </w:tr>
      <w:tr w:rsidR="00C34F1D" w:rsidRPr="002B65F7" w14:paraId="1DD4EE83" w14:textId="77777777" w:rsidTr="000F12C9">
        <w:trPr>
          <w:cantSplit/>
        </w:trPr>
        <w:tc>
          <w:tcPr>
            <w:tcW w:w="9347" w:type="dxa"/>
          </w:tcPr>
          <w:tbl>
            <w:tblPr>
              <w:tblW w:w="0" w:type="auto"/>
              <w:tblLayout w:type="fixed"/>
              <w:tblLook w:val="04A0" w:firstRow="1" w:lastRow="0" w:firstColumn="1" w:lastColumn="0" w:noHBand="0" w:noVBand="1"/>
            </w:tblPr>
            <w:tblGrid>
              <w:gridCol w:w="4395"/>
              <w:gridCol w:w="4225"/>
            </w:tblGrid>
            <w:tr w:rsidR="00C34F1D" w:rsidRPr="002B65F7" w14:paraId="0D63F7B6" w14:textId="77777777" w:rsidTr="00420729">
              <w:trPr>
                <w:trHeight w:val="2650"/>
              </w:trPr>
              <w:tc>
                <w:tcPr>
                  <w:tcW w:w="4395" w:type="dxa"/>
                </w:tcPr>
                <w:p w14:paraId="44FB501C" w14:textId="7F5C72D3" w:rsidR="00C34F1D" w:rsidRPr="002B65F7" w:rsidRDefault="00A2167E" w:rsidP="004105B2">
                  <w:pPr>
                    <w:keepNext/>
                    <w:keepLines/>
                    <w:framePr w:hSpace="180" w:wrap="around" w:vAnchor="text" w:hAnchor="margin" w:x="-52" w:y="228"/>
                    <w:tabs>
                      <w:tab w:val="left" w:pos="604"/>
                    </w:tabs>
                    <w:suppressAutoHyphens/>
                    <w:adjustRightInd w:val="0"/>
                    <w:textAlignment w:val="center"/>
                    <w:rPr>
                      <w:b/>
                      <w:bCs/>
                      <w:lang w:val="en-GB" w:eastAsia="ja-JP"/>
                    </w:rPr>
                  </w:pPr>
                  <w:r>
                    <w:rPr>
                      <w:b/>
                      <w:bCs/>
                      <w:noProof/>
                      <w:lang w:val="en-US" w:eastAsia="zh-CN"/>
                    </w:rPr>
                    <w:drawing>
                      <wp:inline distT="0" distB="0" distL="0" distR="0" wp14:anchorId="35E29A4E" wp14:editId="41734CF7">
                        <wp:extent cx="2546985" cy="1632585"/>
                        <wp:effectExtent l="0" t="0" r="0" b="0"/>
                        <wp:docPr id="1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6985" cy="1632585"/>
                                </a:xfrm>
                                <a:prstGeom prst="rect">
                                  <a:avLst/>
                                </a:prstGeom>
                                <a:noFill/>
                                <a:ln>
                                  <a:noFill/>
                                </a:ln>
                              </pic:spPr>
                            </pic:pic>
                          </a:graphicData>
                        </a:graphic>
                      </wp:inline>
                    </w:drawing>
                  </w:r>
                </w:p>
              </w:tc>
              <w:tc>
                <w:tcPr>
                  <w:tcW w:w="4225" w:type="dxa"/>
                </w:tcPr>
                <w:p w14:paraId="4FE865EF" w14:textId="77777777" w:rsidR="00CB5F59" w:rsidRPr="002B65F7" w:rsidRDefault="00CB5F59" w:rsidP="004105B2">
                  <w:pPr>
                    <w:keepNext/>
                    <w:keepLines/>
                    <w:framePr w:hSpace="180" w:wrap="around" w:vAnchor="text" w:hAnchor="margin" w:x="-52" w:y="228"/>
                    <w:tabs>
                      <w:tab w:val="left" w:pos="604"/>
                    </w:tabs>
                    <w:suppressAutoHyphens/>
                    <w:adjustRightInd w:val="0"/>
                    <w:textAlignment w:val="center"/>
                    <w:rPr>
                      <w:lang w:val="en-GB" w:eastAsia="ja-JP"/>
                    </w:rPr>
                  </w:pPr>
                </w:p>
                <w:p w14:paraId="6359F4EC" w14:textId="77777777" w:rsidR="00CB5F59" w:rsidRPr="002B65F7" w:rsidRDefault="00CB5F59" w:rsidP="004105B2">
                  <w:pPr>
                    <w:keepNext/>
                    <w:keepLines/>
                    <w:framePr w:hSpace="180" w:wrap="around" w:vAnchor="text" w:hAnchor="margin" w:x="-52" w:y="228"/>
                    <w:tabs>
                      <w:tab w:val="left" w:pos="604"/>
                    </w:tabs>
                    <w:suppressAutoHyphens/>
                    <w:adjustRightInd w:val="0"/>
                    <w:textAlignment w:val="center"/>
                    <w:rPr>
                      <w:lang w:val="en-GB" w:eastAsia="ja-JP"/>
                    </w:rPr>
                  </w:pPr>
                </w:p>
                <w:p w14:paraId="5FD43C54" w14:textId="77777777" w:rsidR="00CB5F59" w:rsidRPr="002B65F7" w:rsidRDefault="00CB5F59" w:rsidP="004105B2">
                  <w:pPr>
                    <w:keepNext/>
                    <w:keepLines/>
                    <w:framePr w:hSpace="180" w:wrap="around" w:vAnchor="text" w:hAnchor="margin" w:x="-52" w:y="228"/>
                    <w:tabs>
                      <w:tab w:val="left" w:pos="604"/>
                    </w:tabs>
                    <w:suppressAutoHyphens/>
                    <w:adjustRightInd w:val="0"/>
                    <w:textAlignment w:val="center"/>
                    <w:rPr>
                      <w:lang w:val="en-GB" w:eastAsia="ja-JP"/>
                    </w:rPr>
                  </w:pPr>
                </w:p>
                <w:p w14:paraId="70F6D6A0" w14:textId="77777777" w:rsidR="00CB5F59" w:rsidRPr="002B65F7" w:rsidRDefault="00CB5F59" w:rsidP="004105B2">
                  <w:pPr>
                    <w:keepNext/>
                    <w:keepLines/>
                    <w:framePr w:hSpace="180" w:wrap="around" w:vAnchor="text" w:hAnchor="margin" w:x="-52" w:y="228"/>
                    <w:tabs>
                      <w:tab w:val="left" w:pos="604"/>
                    </w:tabs>
                    <w:suppressAutoHyphens/>
                    <w:adjustRightInd w:val="0"/>
                    <w:textAlignment w:val="center"/>
                    <w:rPr>
                      <w:lang w:val="en-GB" w:eastAsia="ja-JP"/>
                    </w:rPr>
                  </w:pPr>
                </w:p>
                <w:p w14:paraId="2CF08E40" w14:textId="77777777" w:rsidR="00CB5F59" w:rsidRPr="002B65F7" w:rsidRDefault="00CB5F59" w:rsidP="004105B2">
                  <w:pPr>
                    <w:keepNext/>
                    <w:keepLines/>
                    <w:framePr w:hSpace="180" w:wrap="around" w:vAnchor="text" w:hAnchor="margin" w:x="-52" w:y="228"/>
                    <w:tabs>
                      <w:tab w:val="left" w:pos="604"/>
                    </w:tabs>
                    <w:suppressAutoHyphens/>
                    <w:adjustRightInd w:val="0"/>
                    <w:textAlignment w:val="center"/>
                    <w:rPr>
                      <w:lang w:val="en-GB" w:eastAsia="ja-JP"/>
                    </w:rPr>
                  </w:pPr>
                </w:p>
                <w:p w14:paraId="5DB8961E" w14:textId="3659C53D" w:rsidR="00C34F1D" w:rsidRPr="002B65F7" w:rsidRDefault="00F80259" w:rsidP="004105B2">
                  <w:pPr>
                    <w:keepNext/>
                    <w:keepLines/>
                    <w:framePr w:hSpace="180" w:wrap="around" w:vAnchor="text" w:hAnchor="margin" w:x="-52" w:y="228"/>
                    <w:tabs>
                      <w:tab w:val="left" w:pos="604"/>
                    </w:tabs>
                    <w:suppressAutoHyphens/>
                    <w:adjustRightInd w:val="0"/>
                    <w:textAlignment w:val="center"/>
                    <w:rPr>
                      <w:b/>
                      <w:bCs/>
                      <w:lang w:val="en-GB" w:eastAsia="ja-JP"/>
                    </w:rPr>
                  </w:pPr>
                  <w:r w:rsidRPr="002B65F7">
                    <w:rPr>
                      <w:lang w:val="en-GB" w:eastAsia="ja-JP"/>
                    </w:rPr>
                    <w:t>Date de péremption</w:t>
                  </w:r>
                </w:p>
              </w:tc>
            </w:tr>
          </w:tbl>
          <w:p w14:paraId="4F22A96E" w14:textId="77777777" w:rsidR="00C34F1D" w:rsidRPr="002B65F7" w:rsidRDefault="00C34F1D" w:rsidP="004105B2">
            <w:pPr>
              <w:keepNext/>
              <w:keepLines/>
              <w:tabs>
                <w:tab w:val="left" w:pos="604"/>
              </w:tabs>
              <w:suppressAutoHyphens/>
              <w:adjustRightInd w:val="0"/>
              <w:textAlignment w:val="center"/>
              <w:rPr>
                <w:b/>
                <w:bCs/>
                <w:lang w:val="en-GB" w:eastAsia="ja-JP"/>
              </w:rPr>
            </w:pPr>
          </w:p>
          <w:p w14:paraId="7FCAB028" w14:textId="55559149" w:rsidR="00C34F1D" w:rsidRPr="002B65F7" w:rsidRDefault="00F80259" w:rsidP="000F12C9">
            <w:pPr>
              <w:keepNext/>
              <w:keepLines/>
              <w:widowControl/>
              <w:numPr>
                <w:ilvl w:val="0"/>
                <w:numId w:val="7"/>
              </w:numPr>
              <w:suppressAutoHyphens/>
              <w:ind w:left="567" w:hanging="567"/>
              <w:textAlignment w:val="center"/>
              <w:rPr>
                <w:b/>
                <w:bCs/>
                <w:lang w:eastAsia="ja-JP"/>
              </w:rPr>
            </w:pPr>
            <w:r w:rsidRPr="002B65F7">
              <w:rPr>
                <w:b/>
                <w:bCs/>
                <w:lang w:eastAsia="ja-JP"/>
              </w:rPr>
              <w:t xml:space="preserve">N’utilisez pas </w:t>
            </w:r>
            <w:r w:rsidRPr="002B65F7">
              <w:rPr>
                <w:lang w:eastAsia="ja-JP"/>
              </w:rPr>
              <w:t>la seringue préremplie</w:t>
            </w:r>
            <w:r w:rsidR="00C34F1D" w:rsidRPr="002B65F7">
              <w:rPr>
                <w:lang w:eastAsia="ja-JP"/>
              </w:rPr>
              <w:t xml:space="preserve"> </w:t>
            </w:r>
            <w:r w:rsidRPr="002B65F7">
              <w:rPr>
                <w:lang w:eastAsia="ja-JP"/>
              </w:rPr>
              <w:t>si la date de péremption est dépassée</w:t>
            </w:r>
            <w:r w:rsidR="00C34F1D" w:rsidRPr="002B65F7">
              <w:rPr>
                <w:color w:val="000000"/>
                <w:lang w:eastAsia="ja-JP"/>
              </w:rPr>
              <w:t xml:space="preserve">. </w:t>
            </w:r>
          </w:p>
        </w:tc>
      </w:tr>
      <w:tr w:rsidR="00C34F1D" w:rsidRPr="002B65F7" w14:paraId="75B58CCF" w14:textId="77777777" w:rsidTr="000F12C9">
        <w:trPr>
          <w:cantSplit/>
        </w:trPr>
        <w:tc>
          <w:tcPr>
            <w:tcW w:w="9347" w:type="dxa"/>
          </w:tcPr>
          <w:p w14:paraId="0CCED45C" w14:textId="5B651F1B" w:rsidR="00C34F1D" w:rsidRPr="002B65F7" w:rsidRDefault="00F80259" w:rsidP="000F12C9">
            <w:pPr>
              <w:keepNext/>
              <w:keepLines/>
              <w:widowControl/>
              <w:numPr>
                <w:ilvl w:val="0"/>
                <w:numId w:val="6"/>
              </w:numPr>
              <w:autoSpaceDE/>
              <w:autoSpaceDN/>
              <w:ind w:left="567" w:hanging="567"/>
              <w:rPr>
                <w:b/>
                <w:bCs/>
                <w:lang w:eastAsia="ja-JP"/>
              </w:rPr>
            </w:pPr>
            <w:r w:rsidRPr="002B65F7">
              <w:rPr>
                <w:b/>
                <w:bCs/>
                <w:lang w:eastAsia="ja-JP"/>
              </w:rPr>
              <w:t xml:space="preserve">N’utilisez pas </w:t>
            </w:r>
            <w:r w:rsidRPr="002B65F7">
              <w:rPr>
                <w:lang w:eastAsia="ja-JP"/>
              </w:rPr>
              <w:t>la seringue préremplie si </w:t>
            </w:r>
            <w:r w:rsidR="00C34F1D" w:rsidRPr="002B65F7">
              <w:rPr>
                <w:lang w:eastAsia="ja-JP"/>
              </w:rPr>
              <w:t>:</w:t>
            </w:r>
          </w:p>
        </w:tc>
      </w:tr>
      <w:tr w:rsidR="00C34F1D" w:rsidRPr="002B65F7" w14:paraId="68D65426" w14:textId="77777777" w:rsidTr="000F12C9">
        <w:trPr>
          <w:cantSplit/>
        </w:trPr>
        <w:tc>
          <w:tcPr>
            <w:tcW w:w="9347" w:type="dxa"/>
          </w:tcPr>
          <w:p w14:paraId="50E7D4AA" w14:textId="7586CDDB" w:rsidR="00C34F1D" w:rsidRPr="002B65F7" w:rsidRDefault="00F80259" w:rsidP="000F12C9">
            <w:pPr>
              <w:keepNext/>
              <w:keepLines/>
              <w:widowControl/>
              <w:numPr>
                <w:ilvl w:val="0"/>
                <w:numId w:val="14"/>
              </w:numPr>
              <w:tabs>
                <w:tab w:val="left" w:pos="1029"/>
              </w:tabs>
              <w:suppressAutoHyphens/>
              <w:ind w:left="1134" w:hanging="567"/>
              <w:textAlignment w:val="center"/>
              <w:rPr>
                <w:b/>
                <w:bCs/>
                <w:lang w:eastAsia="ja-JP"/>
              </w:rPr>
            </w:pPr>
            <w:r w:rsidRPr="002B65F7">
              <w:rPr>
                <w:color w:val="000000"/>
                <w:lang w:eastAsia="ja-JP"/>
              </w:rPr>
              <w:t xml:space="preserve">Le </w:t>
            </w:r>
            <w:r w:rsidR="00087F10" w:rsidRPr="002B65F7">
              <w:rPr>
                <w:color w:val="000000"/>
                <w:lang w:eastAsia="ja-JP"/>
              </w:rPr>
              <w:t>capuchon</w:t>
            </w:r>
            <w:r w:rsidRPr="002B65F7">
              <w:rPr>
                <w:color w:val="000000"/>
                <w:lang w:eastAsia="ja-JP"/>
              </w:rPr>
              <w:t xml:space="preserve"> </w:t>
            </w:r>
            <w:r w:rsidR="00CB5F59" w:rsidRPr="002B65F7">
              <w:t>de l’aiguille est manquant ou mal fixé</w:t>
            </w:r>
            <w:r w:rsidR="00C34F1D" w:rsidRPr="002B65F7">
              <w:rPr>
                <w:color w:val="000000"/>
                <w:lang w:eastAsia="ja-JP"/>
              </w:rPr>
              <w:t>.</w:t>
            </w:r>
          </w:p>
        </w:tc>
      </w:tr>
      <w:tr w:rsidR="00C34F1D" w:rsidRPr="002B65F7" w14:paraId="6C4B4208" w14:textId="77777777" w:rsidTr="000F12C9">
        <w:trPr>
          <w:cantSplit/>
        </w:trPr>
        <w:tc>
          <w:tcPr>
            <w:tcW w:w="9347" w:type="dxa"/>
          </w:tcPr>
          <w:p w14:paraId="01672035" w14:textId="1C46E201" w:rsidR="00C34F1D" w:rsidRPr="002B65F7" w:rsidRDefault="00CB5F59" w:rsidP="000F12C9">
            <w:pPr>
              <w:keepNext/>
              <w:keepLines/>
              <w:widowControl/>
              <w:numPr>
                <w:ilvl w:val="0"/>
                <w:numId w:val="14"/>
              </w:numPr>
              <w:tabs>
                <w:tab w:val="left" w:pos="1029"/>
              </w:tabs>
              <w:suppressAutoHyphens/>
              <w:ind w:left="1134" w:hanging="567"/>
              <w:textAlignment w:val="center"/>
              <w:rPr>
                <w:color w:val="000000"/>
                <w:lang w:eastAsia="ja-JP"/>
              </w:rPr>
            </w:pPr>
            <w:r w:rsidRPr="002B65F7">
              <w:rPr>
                <w:color w:val="000000"/>
                <w:lang w:eastAsia="ja-JP"/>
              </w:rPr>
              <w:t>D</w:t>
            </w:r>
            <w:r w:rsidRPr="002B65F7">
              <w:t>es parties sont fissurées ou cassées</w:t>
            </w:r>
            <w:r w:rsidR="00C34F1D" w:rsidRPr="002B65F7">
              <w:rPr>
                <w:color w:val="000000"/>
                <w:lang w:eastAsia="ja-JP"/>
              </w:rPr>
              <w:t>.</w:t>
            </w:r>
          </w:p>
        </w:tc>
      </w:tr>
      <w:tr w:rsidR="00C34F1D" w:rsidRPr="002B65F7" w14:paraId="5B49BA2C" w14:textId="77777777" w:rsidTr="000F12C9">
        <w:trPr>
          <w:cantSplit/>
        </w:trPr>
        <w:tc>
          <w:tcPr>
            <w:tcW w:w="9347" w:type="dxa"/>
          </w:tcPr>
          <w:p w14:paraId="1E311044" w14:textId="6659061F" w:rsidR="00C34F1D" w:rsidRPr="002B65F7" w:rsidRDefault="00F80259">
            <w:pPr>
              <w:keepNext/>
              <w:keepLines/>
              <w:widowControl/>
              <w:numPr>
                <w:ilvl w:val="0"/>
                <w:numId w:val="14"/>
              </w:numPr>
              <w:tabs>
                <w:tab w:val="left" w:pos="1029"/>
              </w:tabs>
              <w:suppressAutoHyphens/>
              <w:adjustRightInd w:val="0"/>
              <w:ind w:left="1134" w:hanging="567"/>
              <w:contextualSpacing/>
              <w:textAlignment w:val="center"/>
              <w:rPr>
                <w:color w:val="000000"/>
                <w:lang w:eastAsia="ja-JP"/>
              </w:rPr>
            </w:pPr>
            <w:r w:rsidRPr="002B65F7">
              <w:rPr>
                <w:color w:val="000000"/>
                <w:lang w:eastAsia="ja-JP"/>
              </w:rPr>
              <w:t xml:space="preserve">Elle est tombée sur une </w:t>
            </w:r>
            <w:r w:rsidR="00C34F1D" w:rsidRPr="002B65F7">
              <w:rPr>
                <w:color w:val="000000"/>
                <w:lang w:eastAsia="ja-JP"/>
              </w:rPr>
              <w:t>surface</w:t>
            </w:r>
            <w:r w:rsidRPr="002B65F7">
              <w:rPr>
                <w:color w:val="000000"/>
                <w:lang w:eastAsia="ja-JP"/>
              </w:rPr>
              <w:t xml:space="preserve"> dure</w:t>
            </w:r>
            <w:r w:rsidR="00C34F1D" w:rsidRPr="002B65F7">
              <w:rPr>
                <w:color w:val="000000"/>
                <w:lang w:eastAsia="ja-JP"/>
              </w:rPr>
              <w:t>.</w:t>
            </w:r>
          </w:p>
        </w:tc>
      </w:tr>
      <w:tr w:rsidR="00C34F1D" w:rsidRPr="002B65F7" w14:paraId="6524C0B8" w14:textId="77777777" w:rsidTr="000F12C9">
        <w:trPr>
          <w:cantSplit/>
        </w:trPr>
        <w:tc>
          <w:tcPr>
            <w:tcW w:w="9347" w:type="dxa"/>
          </w:tcPr>
          <w:p w14:paraId="3678100A" w14:textId="7F342ED4" w:rsidR="00C34F1D" w:rsidRPr="002B65F7" w:rsidRDefault="00F80259" w:rsidP="004B12BC">
            <w:pPr>
              <w:keepNext/>
              <w:keepLines/>
              <w:widowControl/>
              <w:numPr>
                <w:ilvl w:val="0"/>
                <w:numId w:val="6"/>
              </w:numPr>
              <w:suppressAutoHyphens/>
              <w:adjustRightInd w:val="0"/>
              <w:ind w:left="567" w:hanging="567"/>
              <w:contextualSpacing/>
              <w:textAlignment w:val="center"/>
              <w:rPr>
                <w:color w:val="000000"/>
                <w:lang w:eastAsia="ja-JP"/>
              </w:rPr>
            </w:pPr>
            <w:r w:rsidRPr="002B65F7">
              <w:rPr>
                <w:color w:val="000000"/>
                <w:lang w:eastAsia="ja-JP"/>
              </w:rPr>
              <w:t>Vérifiez que vous avez bien le bon m</w:t>
            </w:r>
            <w:r w:rsidR="00C715CB" w:rsidRPr="002B65F7">
              <w:rPr>
                <w:color w:val="000000"/>
                <w:lang w:eastAsia="ja-JP"/>
              </w:rPr>
              <w:t>é</w:t>
            </w:r>
            <w:r w:rsidRPr="002B65F7">
              <w:rPr>
                <w:color w:val="000000"/>
                <w:lang w:eastAsia="ja-JP"/>
              </w:rPr>
              <w:t>dicament et la bonne dose</w:t>
            </w:r>
            <w:r w:rsidR="00C34F1D" w:rsidRPr="002B65F7">
              <w:rPr>
                <w:color w:val="000000"/>
                <w:lang w:eastAsia="ja-JP"/>
              </w:rPr>
              <w:t xml:space="preserve">. </w:t>
            </w:r>
          </w:p>
          <w:p w14:paraId="370C123F" w14:textId="77777777" w:rsidR="00C34F1D" w:rsidRPr="002B65F7" w:rsidRDefault="00C34F1D" w:rsidP="004105B2">
            <w:pPr>
              <w:keepNext/>
              <w:keepLines/>
              <w:suppressAutoHyphens/>
              <w:adjustRightInd w:val="0"/>
              <w:ind w:left="462" w:hanging="425"/>
              <w:textAlignment w:val="center"/>
              <w:rPr>
                <w:color w:val="000000"/>
                <w:lang w:eastAsia="ja-JP"/>
              </w:rPr>
            </w:pPr>
          </w:p>
        </w:tc>
      </w:tr>
      <w:tr w:rsidR="00C34F1D" w:rsidRPr="002B65F7" w14:paraId="4622741B" w14:textId="77777777" w:rsidTr="000F12C9">
        <w:trPr>
          <w:cantSplit/>
          <w:trHeight w:val="283"/>
        </w:trPr>
        <w:tc>
          <w:tcPr>
            <w:tcW w:w="9347" w:type="dxa"/>
          </w:tcPr>
          <w:p w14:paraId="4E0237C6" w14:textId="0742A924" w:rsidR="00C34F1D" w:rsidRPr="002B65F7" w:rsidRDefault="00C34F1D" w:rsidP="00C8729B">
            <w:pPr>
              <w:rPr>
                <w:b/>
                <w:bCs/>
                <w:lang w:eastAsia="ja-JP"/>
              </w:rPr>
            </w:pPr>
            <w:r w:rsidRPr="002B65F7">
              <w:rPr>
                <w:b/>
                <w:bCs/>
                <w:lang w:eastAsia="ja-JP"/>
              </w:rPr>
              <w:t xml:space="preserve">3c </w:t>
            </w:r>
            <w:r w:rsidR="00CB5F59" w:rsidRPr="002B65F7">
              <w:rPr>
                <w:b/>
                <w:bCs/>
              </w:rPr>
              <w:t>Effectuez l’injection dans l’une de ces zones</w:t>
            </w:r>
            <w:r w:rsidRPr="002B65F7">
              <w:rPr>
                <w:b/>
                <w:bCs/>
                <w:lang w:eastAsia="ja-JP"/>
              </w:rPr>
              <w:t xml:space="preserve">. </w:t>
            </w:r>
          </w:p>
        </w:tc>
      </w:tr>
      <w:tr w:rsidR="00C34F1D" w:rsidRPr="002B65F7" w14:paraId="0DBE7D35" w14:textId="77777777" w:rsidTr="000F12C9">
        <w:trPr>
          <w:cantSplit/>
        </w:trPr>
        <w:tc>
          <w:tcPr>
            <w:tcW w:w="9347" w:type="dxa"/>
          </w:tcPr>
          <w:tbl>
            <w:tblPr>
              <w:tblW w:w="0" w:type="auto"/>
              <w:tblLayout w:type="fixed"/>
              <w:tblLook w:val="04A0" w:firstRow="1" w:lastRow="0" w:firstColumn="1" w:lastColumn="0" w:noHBand="0" w:noVBand="1"/>
            </w:tblPr>
            <w:tblGrid>
              <w:gridCol w:w="4704"/>
              <w:gridCol w:w="4705"/>
            </w:tblGrid>
            <w:tr w:rsidR="00C34F1D" w:rsidRPr="002B65F7" w14:paraId="5A71B52E" w14:textId="77777777" w:rsidTr="00420729">
              <w:trPr>
                <w:trHeight w:val="850"/>
              </w:trPr>
              <w:tc>
                <w:tcPr>
                  <w:tcW w:w="4704" w:type="dxa"/>
                  <w:vMerge w:val="restart"/>
                </w:tcPr>
                <w:p w14:paraId="32CD0D18" w14:textId="27DE4C95" w:rsidR="00C34F1D" w:rsidRPr="002B65F7" w:rsidRDefault="00A2167E" w:rsidP="004105B2">
                  <w:pPr>
                    <w:framePr w:hSpace="180" w:wrap="around" w:vAnchor="text" w:hAnchor="margin" w:x="-52" w:y="228"/>
                    <w:jc w:val="right"/>
                    <w:rPr>
                      <w:b/>
                      <w:bCs/>
                      <w:lang w:val="en-GB"/>
                    </w:rPr>
                  </w:pPr>
                  <w:r>
                    <w:rPr>
                      <w:b/>
                      <w:bCs/>
                      <w:noProof/>
                      <w:lang w:val="en-US" w:eastAsia="zh-CN"/>
                    </w:rPr>
                    <w:drawing>
                      <wp:inline distT="0" distB="0" distL="0" distR="0" wp14:anchorId="42A811C9" wp14:editId="471B2130">
                        <wp:extent cx="1575435" cy="2139315"/>
                        <wp:effectExtent l="0" t="0" r="0" b="0"/>
                        <wp:docPr id="1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75435" cy="2139315"/>
                                </a:xfrm>
                                <a:prstGeom prst="rect">
                                  <a:avLst/>
                                </a:prstGeom>
                                <a:noFill/>
                                <a:ln>
                                  <a:noFill/>
                                </a:ln>
                              </pic:spPr>
                            </pic:pic>
                          </a:graphicData>
                        </a:graphic>
                      </wp:inline>
                    </w:drawing>
                  </w:r>
                </w:p>
              </w:tc>
              <w:tc>
                <w:tcPr>
                  <w:tcW w:w="4705" w:type="dxa"/>
                </w:tcPr>
                <w:p w14:paraId="5567F99B" w14:textId="77777777" w:rsidR="00CB5F59" w:rsidRPr="002B65F7" w:rsidRDefault="00CB5F59" w:rsidP="004105B2">
                  <w:pPr>
                    <w:framePr w:hSpace="180" w:wrap="around" w:vAnchor="text" w:hAnchor="margin" w:x="-52" w:y="228"/>
                    <w:rPr>
                      <w:lang w:val="en-GB"/>
                    </w:rPr>
                  </w:pPr>
                </w:p>
                <w:p w14:paraId="6A0ACDA2" w14:textId="77777777" w:rsidR="00CB5F59" w:rsidRPr="002B65F7" w:rsidRDefault="00CB5F59" w:rsidP="004105B2">
                  <w:pPr>
                    <w:framePr w:hSpace="180" w:wrap="around" w:vAnchor="text" w:hAnchor="margin" w:x="-52" w:y="228"/>
                    <w:rPr>
                      <w:lang w:val="en-GB"/>
                    </w:rPr>
                  </w:pPr>
                </w:p>
                <w:p w14:paraId="19049B3E" w14:textId="77777777" w:rsidR="00CB5F59" w:rsidRPr="002B65F7" w:rsidRDefault="00CB5F59" w:rsidP="004105B2">
                  <w:pPr>
                    <w:framePr w:hSpace="180" w:wrap="around" w:vAnchor="text" w:hAnchor="margin" w:x="-52" w:y="228"/>
                    <w:rPr>
                      <w:lang w:val="en-GB"/>
                    </w:rPr>
                  </w:pPr>
                </w:p>
                <w:p w14:paraId="7F7C3106" w14:textId="676140EC" w:rsidR="00C34F1D" w:rsidRPr="002B65F7" w:rsidRDefault="00C345CF" w:rsidP="004105B2">
                  <w:pPr>
                    <w:framePr w:hSpace="180" w:wrap="around" w:vAnchor="text" w:hAnchor="margin" w:x="-52" w:y="228"/>
                    <w:rPr>
                      <w:b/>
                      <w:bCs/>
                      <w:lang w:val="en-GB"/>
                    </w:rPr>
                  </w:pPr>
                  <w:r w:rsidRPr="002B65F7">
                    <w:rPr>
                      <w:lang w:val="en-GB"/>
                    </w:rPr>
                    <w:t>Haut du bras</w:t>
                  </w:r>
                </w:p>
              </w:tc>
            </w:tr>
            <w:tr w:rsidR="00C34F1D" w:rsidRPr="002B65F7" w14:paraId="1DBE3B46" w14:textId="77777777" w:rsidTr="00420729">
              <w:trPr>
                <w:trHeight w:val="285"/>
              </w:trPr>
              <w:tc>
                <w:tcPr>
                  <w:tcW w:w="4704" w:type="dxa"/>
                  <w:vMerge/>
                </w:tcPr>
                <w:p w14:paraId="5740853E" w14:textId="77777777" w:rsidR="00C34F1D" w:rsidRPr="002B65F7" w:rsidRDefault="00C34F1D" w:rsidP="004105B2">
                  <w:pPr>
                    <w:framePr w:hSpace="180" w:wrap="around" w:vAnchor="text" w:hAnchor="margin" w:x="-52" w:y="228"/>
                    <w:rPr>
                      <w:b/>
                      <w:bCs/>
                      <w:lang w:val="en-GB"/>
                    </w:rPr>
                  </w:pPr>
                </w:p>
              </w:tc>
              <w:tc>
                <w:tcPr>
                  <w:tcW w:w="4705" w:type="dxa"/>
                </w:tcPr>
                <w:p w14:paraId="645B55BB" w14:textId="77777777" w:rsidR="00CB5F59" w:rsidRPr="002B65F7" w:rsidRDefault="00CB5F59" w:rsidP="004105B2">
                  <w:pPr>
                    <w:framePr w:hSpace="180" w:wrap="around" w:vAnchor="text" w:hAnchor="margin" w:x="-52" w:y="228"/>
                    <w:rPr>
                      <w:lang w:val="en-GB"/>
                    </w:rPr>
                  </w:pPr>
                </w:p>
                <w:p w14:paraId="039B5968" w14:textId="77777777" w:rsidR="00CB5F59" w:rsidRPr="002B65F7" w:rsidRDefault="00CB5F59" w:rsidP="004105B2">
                  <w:pPr>
                    <w:framePr w:hSpace="180" w:wrap="around" w:vAnchor="text" w:hAnchor="margin" w:x="-52" w:y="228"/>
                    <w:rPr>
                      <w:lang w:val="en-GB"/>
                    </w:rPr>
                  </w:pPr>
                </w:p>
                <w:p w14:paraId="61448C10" w14:textId="67D8CF73" w:rsidR="00C34F1D" w:rsidRPr="002B65F7" w:rsidRDefault="00C345CF" w:rsidP="004105B2">
                  <w:pPr>
                    <w:framePr w:hSpace="180" w:wrap="around" w:vAnchor="text" w:hAnchor="margin" w:x="-52" w:y="228"/>
                    <w:rPr>
                      <w:lang w:val="en-GB"/>
                    </w:rPr>
                  </w:pPr>
                  <w:r w:rsidRPr="002B65F7">
                    <w:rPr>
                      <w:lang w:val="en-GB"/>
                    </w:rPr>
                    <w:t>Ventre</w:t>
                  </w:r>
                </w:p>
              </w:tc>
            </w:tr>
            <w:tr w:rsidR="00C34F1D" w:rsidRPr="002B65F7" w14:paraId="7EEF736D" w14:textId="77777777" w:rsidTr="00420729">
              <w:trPr>
                <w:trHeight w:val="1513"/>
              </w:trPr>
              <w:tc>
                <w:tcPr>
                  <w:tcW w:w="4704" w:type="dxa"/>
                  <w:vMerge/>
                </w:tcPr>
                <w:p w14:paraId="25F4B0C4" w14:textId="77777777" w:rsidR="00C34F1D" w:rsidRPr="002B65F7" w:rsidRDefault="00C34F1D" w:rsidP="004105B2">
                  <w:pPr>
                    <w:framePr w:hSpace="180" w:wrap="around" w:vAnchor="text" w:hAnchor="margin" w:x="-52" w:y="228"/>
                    <w:rPr>
                      <w:b/>
                      <w:bCs/>
                      <w:lang w:val="en-GB"/>
                    </w:rPr>
                  </w:pPr>
                </w:p>
              </w:tc>
              <w:tc>
                <w:tcPr>
                  <w:tcW w:w="4705" w:type="dxa"/>
                </w:tcPr>
                <w:p w14:paraId="48222F28" w14:textId="77777777" w:rsidR="00CB5F59" w:rsidRPr="002B65F7" w:rsidRDefault="00CB5F59" w:rsidP="004105B2">
                  <w:pPr>
                    <w:framePr w:hSpace="180" w:wrap="around" w:vAnchor="text" w:hAnchor="margin" w:x="-52" w:y="228"/>
                    <w:rPr>
                      <w:lang w:val="en-GB"/>
                    </w:rPr>
                  </w:pPr>
                </w:p>
                <w:p w14:paraId="2963057F" w14:textId="77777777" w:rsidR="00CB5F59" w:rsidRPr="002B65F7" w:rsidRDefault="00CB5F59" w:rsidP="004105B2">
                  <w:pPr>
                    <w:framePr w:hSpace="180" w:wrap="around" w:vAnchor="text" w:hAnchor="margin" w:x="-52" w:y="228"/>
                    <w:rPr>
                      <w:lang w:val="en-GB"/>
                    </w:rPr>
                  </w:pPr>
                </w:p>
                <w:p w14:paraId="0C947492" w14:textId="77777777" w:rsidR="00CB5F59" w:rsidRPr="002B65F7" w:rsidRDefault="00CB5F59" w:rsidP="004105B2">
                  <w:pPr>
                    <w:framePr w:hSpace="180" w:wrap="around" w:vAnchor="text" w:hAnchor="margin" w:x="-52" w:y="228"/>
                    <w:rPr>
                      <w:lang w:val="en-GB"/>
                    </w:rPr>
                  </w:pPr>
                </w:p>
                <w:p w14:paraId="372E1BDB" w14:textId="5B52A518" w:rsidR="00C34F1D" w:rsidRPr="002B65F7" w:rsidRDefault="00C345CF" w:rsidP="004105B2">
                  <w:pPr>
                    <w:framePr w:hSpace="180" w:wrap="around" w:vAnchor="text" w:hAnchor="margin" w:x="-52" w:y="228"/>
                    <w:rPr>
                      <w:lang w:val="en-GB"/>
                    </w:rPr>
                  </w:pPr>
                  <w:r w:rsidRPr="002B65F7">
                    <w:rPr>
                      <w:lang w:val="en-GB"/>
                    </w:rPr>
                    <w:t>Cuisse</w:t>
                  </w:r>
                </w:p>
              </w:tc>
            </w:tr>
          </w:tbl>
          <w:p w14:paraId="432C18C1" w14:textId="77777777" w:rsidR="00C34F1D" w:rsidRPr="002B65F7" w:rsidRDefault="00C34F1D" w:rsidP="004105B2">
            <w:pPr>
              <w:rPr>
                <w:b/>
                <w:bCs/>
                <w:lang w:val="en-GB" w:eastAsia="ja-JP"/>
              </w:rPr>
            </w:pPr>
          </w:p>
        </w:tc>
      </w:tr>
      <w:tr w:rsidR="00C34F1D" w:rsidRPr="002B65F7" w14:paraId="31AE728C" w14:textId="77777777" w:rsidTr="000F12C9">
        <w:trPr>
          <w:cantSplit/>
        </w:trPr>
        <w:tc>
          <w:tcPr>
            <w:tcW w:w="9347" w:type="dxa"/>
          </w:tcPr>
          <w:p w14:paraId="5FD60C9B" w14:textId="05609B94" w:rsidR="00C34F1D" w:rsidRPr="002B65F7" w:rsidRDefault="00C345CF" w:rsidP="000F12C9">
            <w:pPr>
              <w:widowControl/>
              <w:numPr>
                <w:ilvl w:val="0"/>
                <w:numId w:val="7"/>
              </w:numPr>
              <w:suppressAutoHyphens/>
              <w:ind w:left="567" w:hanging="567"/>
              <w:textAlignment w:val="center"/>
              <w:rPr>
                <w:b/>
                <w:bCs/>
                <w:lang w:eastAsia="ja-JP"/>
              </w:rPr>
            </w:pPr>
            <w:r w:rsidRPr="002B65F7">
              <w:rPr>
                <w:color w:val="000000"/>
                <w:lang w:eastAsia="ja-JP"/>
              </w:rPr>
              <w:t xml:space="preserve">Effectuez l’injection dans </w:t>
            </w:r>
            <w:r w:rsidR="00CB5F59" w:rsidRPr="002B65F7">
              <w:t>votre cuisse ou votre abdomen (à l</w:t>
            </w:r>
            <w:r w:rsidR="00F02BC2" w:rsidRPr="002B65F7">
              <w:t>’</w:t>
            </w:r>
            <w:r w:rsidR="00CB5F59" w:rsidRPr="002B65F7">
              <w:t>exception d</w:t>
            </w:r>
            <w:r w:rsidR="00F02BC2" w:rsidRPr="002B65F7">
              <w:t>’</w:t>
            </w:r>
            <w:r w:rsidR="00CB5F59" w:rsidRPr="002B65F7">
              <w:t>une zone de 5 cm de diamètre autour du nombril</w:t>
            </w:r>
            <w:r w:rsidRPr="002B65F7">
              <w:rPr>
                <w:color w:val="000000"/>
                <w:lang w:eastAsia="ja-JP"/>
              </w:rPr>
              <w:t>).</w:t>
            </w:r>
          </w:p>
        </w:tc>
      </w:tr>
      <w:tr w:rsidR="00C34F1D" w:rsidRPr="002B65F7" w14:paraId="5AB81387" w14:textId="77777777" w:rsidTr="000F12C9">
        <w:trPr>
          <w:cantSplit/>
        </w:trPr>
        <w:tc>
          <w:tcPr>
            <w:tcW w:w="9347" w:type="dxa"/>
          </w:tcPr>
          <w:p w14:paraId="0C6D2F57" w14:textId="0C3F918A" w:rsidR="00C34F1D" w:rsidRPr="002B65F7" w:rsidRDefault="00C34F1D" w:rsidP="000F12C9">
            <w:pPr>
              <w:widowControl/>
              <w:numPr>
                <w:ilvl w:val="0"/>
                <w:numId w:val="6"/>
              </w:numPr>
              <w:autoSpaceDE/>
              <w:autoSpaceDN/>
              <w:ind w:left="567" w:hanging="567"/>
              <w:rPr>
                <w:b/>
                <w:bCs/>
                <w:lang w:eastAsia="ja-JP"/>
              </w:rPr>
            </w:pPr>
            <w:r w:rsidRPr="002B65F7">
              <w:rPr>
                <w:lang w:eastAsia="ja-JP"/>
              </w:rPr>
              <w:t>Cho</w:t>
            </w:r>
            <w:r w:rsidR="00C345CF" w:rsidRPr="002B65F7">
              <w:rPr>
                <w:lang w:eastAsia="ja-JP"/>
              </w:rPr>
              <w:t>isissez un site différent</w:t>
            </w:r>
            <w:r w:rsidRPr="002B65F7">
              <w:rPr>
                <w:lang w:eastAsia="ja-JP"/>
              </w:rPr>
              <w:t xml:space="preserve"> </w:t>
            </w:r>
            <w:r w:rsidR="00C345CF" w:rsidRPr="002B65F7">
              <w:rPr>
                <w:lang w:eastAsia="ja-JP"/>
              </w:rPr>
              <w:t xml:space="preserve">pour chaque </w:t>
            </w:r>
            <w:r w:rsidRPr="002B65F7">
              <w:rPr>
                <w:lang w:eastAsia="ja-JP"/>
              </w:rPr>
              <w:t>injection.</w:t>
            </w:r>
          </w:p>
          <w:p w14:paraId="53BDE536" w14:textId="71951E37" w:rsidR="00C34F1D" w:rsidRPr="002B65F7" w:rsidRDefault="00CB5F59" w:rsidP="000F12C9">
            <w:pPr>
              <w:widowControl/>
              <w:numPr>
                <w:ilvl w:val="0"/>
                <w:numId w:val="6"/>
              </w:numPr>
              <w:autoSpaceDE/>
              <w:autoSpaceDN/>
              <w:ind w:left="567" w:hanging="567"/>
              <w:rPr>
                <w:lang w:eastAsia="ja-JP"/>
              </w:rPr>
            </w:pPr>
            <w:r w:rsidRPr="002B65F7">
              <w:t>Une autre personne peut effectuer l’injection dans votre cuisse, votre abdomen ou la partie extérieure du haut du bras</w:t>
            </w:r>
            <w:r w:rsidR="00C34F1D" w:rsidRPr="002B65F7">
              <w:rPr>
                <w:lang w:eastAsia="ja-JP"/>
              </w:rPr>
              <w:t xml:space="preserve">. </w:t>
            </w:r>
          </w:p>
          <w:p w14:paraId="4268C6D8" w14:textId="65F837D5" w:rsidR="00C34F1D" w:rsidRPr="002B65F7" w:rsidRDefault="00A2167E" w:rsidP="004105B2">
            <w:pPr>
              <w:contextualSpacing/>
              <w:rPr>
                <w:b/>
                <w:bCs/>
                <w:lang w:eastAsia="ja-JP"/>
              </w:rPr>
            </w:pPr>
            <w:r>
              <w:rPr>
                <w:noProof/>
              </w:rPr>
              <w:lastRenderedPageBreak/>
              <mc:AlternateContent>
                <mc:Choice Requires="wps">
                  <w:drawing>
                    <wp:anchor distT="45720" distB="45720" distL="114300" distR="114300" simplePos="0" relativeHeight="251657728" behindDoc="0" locked="0" layoutInCell="1" allowOverlap="1" wp14:anchorId="4EE2C5A4" wp14:editId="2B1529FA">
                      <wp:simplePos x="0" y="0"/>
                      <wp:positionH relativeFrom="column">
                        <wp:posOffset>-76200</wp:posOffset>
                      </wp:positionH>
                      <wp:positionV relativeFrom="paragraph">
                        <wp:posOffset>213995</wp:posOffset>
                      </wp:positionV>
                      <wp:extent cx="5875020" cy="592455"/>
                      <wp:effectExtent l="0" t="0" r="0" b="0"/>
                      <wp:wrapSquare wrapText="bothSides"/>
                      <wp:docPr id="331866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592455"/>
                              </a:xfrm>
                              <a:prstGeom prst="rect">
                                <a:avLst/>
                              </a:prstGeom>
                              <a:solidFill>
                                <a:srgbClr val="FFFFFF"/>
                              </a:solidFill>
                              <a:ln w="19050">
                                <a:solidFill>
                                  <a:srgbClr val="FF0000"/>
                                </a:solidFill>
                                <a:miter lim="800000"/>
                                <a:headEnd/>
                                <a:tailEnd/>
                              </a:ln>
                            </wps:spPr>
                            <wps:txbx>
                              <w:txbxContent>
                                <w:p w14:paraId="4C3B009B" w14:textId="316DDD10" w:rsidR="000238BD" w:rsidRPr="00861759" w:rsidRDefault="000238BD" w:rsidP="00C345CF">
                                  <w:pPr>
                                    <w:suppressAutoHyphens/>
                                    <w:adjustRightInd w:val="0"/>
                                    <w:textAlignment w:val="center"/>
                                  </w:pPr>
                                  <w:r w:rsidRPr="00C27136">
                                    <w:rPr>
                                      <w:b/>
                                      <w:bCs/>
                                      <w:color w:val="000000"/>
                                    </w:rPr>
                                    <w:t xml:space="preserve">Important : </w:t>
                                  </w:r>
                                  <w:r>
                                    <w:t>évitez les zones comportant des cicatrices, des vergetures, ou les zones où la peau est sensible, présente une ecchymose, une rougeur ou une induration</w:t>
                                  </w:r>
                                  <w:r w:rsidRPr="00C27136">
                                    <w:rPr>
                                      <w:color w:val="000000"/>
                                    </w:rPr>
                                    <w:t>. Si possible, n’utilisez pas de zones de peau présentant des signes de psoriasis</w:t>
                                  </w:r>
                                  <w:r w:rsidRPr="00C27136">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E2C5A4" id="Text Box 10" o:spid="_x0000_s1027" type="#_x0000_t202" style="position:absolute;margin-left:-6pt;margin-top:16.85pt;width:462.6pt;height:46.6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" strokecolor="red" strokeweight="1.5pt">
                      <v:textbox style="mso-fit-shape-to-text:t">
                        <w:txbxContent>
                          <w:p w14:paraId="4C3B009B" w14:textId="316DDD10" w:rsidR="000238BD" w:rsidRPr="00861759" w:rsidRDefault="000238BD" w:rsidP="00C345CF">
                            <w:pPr>
                              <w:suppressAutoHyphens/>
                              <w:adjustRightInd w:val="0"/>
                              <w:textAlignment w:val="center"/>
                            </w:pPr>
                            <w:r w:rsidRPr="00C27136">
                              <w:rPr>
                                <w:b/>
                                <w:bCs/>
                                <w:color w:val="000000"/>
                              </w:rPr>
                              <w:t xml:space="preserve">Important : </w:t>
                            </w:r>
                            <w:r>
                              <w:t>évitez les zones comportant des cicatrices, des vergetures, ou les zones où la peau est sensible, présente une ecchymose, une rougeur ou une induration</w:t>
                            </w:r>
                            <w:r w:rsidRPr="00C27136">
                              <w:rPr>
                                <w:color w:val="000000"/>
                              </w:rPr>
                              <w:t>. Si possible, n’utilisez pas de zones de peau présentant des signes de psoriasis</w:t>
                            </w:r>
                            <w:r w:rsidRPr="00C27136">
                              <w:t>.</w:t>
                            </w:r>
                          </w:p>
                        </w:txbxContent>
                      </v:textbox>
                      <w10:wrap type="square"/>
                    </v:shape>
                  </w:pict>
                </mc:Fallback>
              </mc:AlternateContent>
            </w:r>
          </w:p>
          <w:p w14:paraId="370F22D5" w14:textId="2F4AEE6C" w:rsidR="00C345CF" w:rsidRPr="002B65F7" w:rsidRDefault="00C345CF" w:rsidP="004105B2">
            <w:pPr>
              <w:contextualSpacing/>
              <w:rPr>
                <w:b/>
                <w:bCs/>
                <w:lang w:eastAsia="ja-JP"/>
              </w:rPr>
            </w:pPr>
          </w:p>
        </w:tc>
      </w:tr>
      <w:tr w:rsidR="00C34F1D" w:rsidRPr="002B65F7" w14:paraId="2F50E0E7" w14:textId="77777777" w:rsidTr="000F12C9">
        <w:trPr>
          <w:cantSplit/>
          <w:trHeight w:val="342"/>
        </w:trPr>
        <w:tc>
          <w:tcPr>
            <w:tcW w:w="9347" w:type="dxa"/>
          </w:tcPr>
          <w:p w14:paraId="62D20D30" w14:textId="1757E869" w:rsidR="00C34F1D" w:rsidRPr="002B65F7" w:rsidRDefault="00C34F1D" w:rsidP="004105B2">
            <w:pPr>
              <w:suppressAutoHyphens/>
              <w:adjustRightInd w:val="0"/>
              <w:textAlignment w:val="center"/>
              <w:rPr>
                <w:b/>
                <w:bCs/>
                <w:color w:val="000000"/>
                <w:lang w:eastAsia="ja-JP"/>
              </w:rPr>
            </w:pPr>
            <w:r w:rsidRPr="002B65F7">
              <w:rPr>
                <w:b/>
                <w:bCs/>
                <w:color w:val="000000"/>
                <w:lang w:eastAsia="ja-JP"/>
              </w:rPr>
              <w:lastRenderedPageBreak/>
              <w:t xml:space="preserve">3d </w:t>
            </w:r>
            <w:r w:rsidR="00C345CF" w:rsidRPr="002B65F7">
              <w:rPr>
                <w:b/>
                <w:bCs/>
                <w:color w:val="000000"/>
                <w:lang w:eastAsia="ja-JP"/>
              </w:rPr>
              <w:t xml:space="preserve">Lavez-vous soigneusement les mains </w:t>
            </w:r>
            <w:r w:rsidR="00F02BC2" w:rsidRPr="002B65F7">
              <w:rPr>
                <w:b/>
                <w:bCs/>
                <w:color w:val="000000"/>
                <w:lang w:eastAsia="ja-JP"/>
              </w:rPr>
              <w:t xml:space="preserve">au savon et </w:t>
            </w:r>
            <w:r w:rsidR="00C345CF" w:rsidRPr="002B65F7">
              <w:rPr>
                <w:b/>
                <w:bCs/>
                <w:color w:val="000000"/>
                <w:lang w:eastAsia="ja-JP"/>
              </w:rPr>
              <w:t>à l’eau</w:t>
            </w:r>
            <w:r w:rsidRPr="002B65F7">
              <w:rPr>
                <w:b/>
                <w:bCs/>
                <w:color w:val="000000"/>
                <w:lang w:eastAsia="ja-JP"/>
              </w:rPr>
              <w:t>.</w:t>
            </w:r>
          </w:p>
        </w:tc>
      </w:tr>
      <w:tr w:rsidR="00C34F1D" w:rsidRPr="002B65F7" w14:paraId="7E3215DA" w14:textId="77777777" w:rsidTr="000F12C9">
        <w:trPr>
          <w:cantSplit/>
          <w:trHeight w:val="342"/>
        </w:trPr>
        <w:tc>
          <w:tcPr>
            <w:tcW w:w="9347" w:type="dxa"/>
          </w:tcPr>
          <w:p w14:paraId="4CD0B810" w14:textId="77777777" w:rsidR="00C34F1D" w:rsidRPr="002B65F7" w:rsidRDefault="00C34F1D" w:rsidP="004105B2">
            <w:pPr>
              <w:suppressAutoHyphens/>
              <w:adjustRightInd w:val="0"/>
              <w:textAlignment w:val="center"/>
              <w:rPr>
                <w:b/>
                <w:bCs/>
                <w:color w:val="000000"/>
                <w:lang w:eastAsia="ja-JP"/>
              </w:rPr>
            </w:pPr>
          </w:p>
        </w:tc>
      </w:tr>
      <w:tr w:rsidR="00C34F1D" w:rsidRPr="002B65F7" w14:paraId="789E7CC4" w14:textId="77777777" w:rsidTr="000F12C9">
        <w:trPr>
          <w:cantSplit/>
        </w:trPr>
        <w:tc>
          <w:tcPr>
            <w:tcW w:w="9347" w:type="dxa"/>
          </w:tcPr>
          <w:p w14:paraId="627D3671" w14:textId="7662F041" w:rsidR="00C34F1D" w:rsidRPr="002B65F7" w:rsidRDefault="00C34F1D" w:rsidP="004105B2">
            <w:pPr>
              <w:tabs>
                <w:tab w:val="left" w:pos="810"/>
              </w:tabs>
              <w:suppressAutoHyphens/>
              <w:adjustRightInd w:val="0"/>
              <w:contextualSpacing/>
              <w:textAlignment w:val="center"/>
              <w:rPr>
                <w:b/>
                <w:bCs/>
                <w:color w:val="000000"/>
                <w:lang w:eastAsia="ja-JP"/>
              </w:rPr>
            </w:pPr>
            <w:r w:rsidRPr="002B65F7">
              <w:rPr>
                <w:b/>
                <w:bCs/>
                <w:color w:val="000000"/>
                <w:lang w:eastAsia="ja-JP"/>
              </w:rPr>
              <w:t xml:space="preserve">3e </w:t>
            </w:r>
            <w:r w:rsidR="00C345CF" w:rsidRPr="002B65F7">
              <w:rPr>
                <w:b/>
                <w:bCs/>
                <w:color w:val="000000"/>
                <w:lang w:eastAsia="ja-JP"/>
              </w:rPr>
              <w:t>Nettoyez le site d’</w:t>
            </w:r>
            <w:r w:rsidRPr="002B65F7">
              <w:rPr>
                <w:b/>
                <w:bCs/>
                <w:color w:val="000000"/>
                <w:lang w:eastAsia="ja-JP"/>
              </w:rPr>
              <w:t>injection</w:t>
            </w:r>
            <w:r w:rsidR="00C345CF" w:rsidRPr="002B65F7">
              <w:rPr>
                <w:b/>
                <w:bCs/>
                <w:color w:val="000000"/>
                <w:lang w:eastAsia="ja-JP"/>
              </w:rPr>
              <w:t xml:space="preserve"> avec une lingette alcoolisée</w:t>
            </w:r>
            <w:r w:rsidRPr="002B65F7">
              <w:rPr>
                <w:b/>
                <w:bCs/>
                <w:color w:val="000000"/>
                <w:lang w:eastAsia="ja-JP"/>
              </w:rPr>
              <w:t>.</w:t>
            </w:r>
          </w:p>
        </w:tc>
      </w:tr>
      <w:tr w:rsidR="00C34F1D" w:rsidRPr="002B65F7" w14:paraId="7C96721C" w14:textId="77777777" w:rsidTr="000F12C9">
        <w:trPr>
          <w:cantSplit/>
        </w:trPr>
        <w:tc>
          <w:tcPr>
            <w:tcW w:w="9347" w:type="dxa"/>
          </w:tcPr>
          <w:p w14:paraId="732564BC" w14:textId="52FE3317" w:rsidR="00C34F1D" w:rsidRPr="002B65F7" w:rsidRDefault="00740DA7" w:rsidP="000F12C9">
            <w:pPr>
              <w:widowControl/>
              <w:numPr>
                <w:ilvl w:val="0"/>
                <w:numId w:val="8"/>
              </w:numPr>
              <w:suppressAutoHyphens/>
              <w:ind w:left="567" w:hanging="567"/>
              <w:textAlignment w:val="center"/>
              <w:rPr>
                <w:color w:val="000000"/>
                <w:lang w:eastAsia="ja-JP"/>
              </w:rPr>
            </w:pPr>
            <w:r w:rsidRPr="002B65F7">
              <w:rPr>
                <w:color w:val="000000"/>
                <w:lang w:eastAsia="ja-JP"/>
              </w:rPr>
              <w:t>Laissez votre peau sécher naturellement</w:t>
            </w:r>
            <w:r w:rsidR="00C34F1D" w:rsidRPr="002B65F7">
              <w:rPr>
                <w:color w:val="000000"/>
                <w:lang w:eastAsia="ja-JP"/>
              </w:rPr>
              <w:t>.</w:t>
            </w:r>
          </w:p>
        </w:tc>
      </w:tr>
      <w:tr w:rsidR="00C34F1D" w:rsidRPr="002B65F7" w14:paraId="6F91664F" w14:textId="77777777" w:rsidTr="000F12C9">
        <w:trPr>
          <w:cantSplit/>
        </w:trPr>
        <w:tc>
          <w:tcPr>
            <w:tcW w:w="9347" w:type="dxa"/>
          </w:tcPr>
          <w:p w14:paraId="32A49914" w14:textId="550A8699" w:rsidR="00C34F1D" w:rsidRPr="002B65F7" w:rsidRDefault="00740DA7" w:rsidP="000F12C9">
            <w:pPr>
              <w:widowControl/>
              <w:numPr>
                <w:ilvl w:val="0"/>
                <w:numId w:val="8"/>
              </w:numPr>
              <w:suppressAutoHyphens/>
              <w:ind w:left="567" w:hanging="567"/>
              <w:textAlignment w:val="center"/>
              <w:rPr>
                <w:color w:val="000000"/>
                <w:lang w:eastAsia="ja-JP"/>
              </w:rPr>
            </w:pPr>
            <w:r w:rsidRPr="002B65F7">
              <w:rPr>
                <w:b/>
                <w:bCs/>
                <w:color w:val="000000"/>
                <w:lang w:eastAsia="ja-JP"/>
              </w:rPr>
              <w:t>Ne touchez pas</w:t>
            </w:r>
            <w:r w:rsidR="00C34F1D" w:rsidRPr="002B65F7">
              <w:rPr>
                <w:color w:val="000000"/>
                <w:lang w:eastAsia="ja-JP"/>
              </w:rPr>
              <w:t xml:space="preserve"> </w:t>
            </w:r>
            <w:r w:rsidRPr="002B65F7">
              <w:rPr>
                <w:color w:val="000000"/>
                <w:lang w:eastAsia="ja-JP"/>
              </w:rPr>
              <w:t>cette zone avant l’injection</w:t>
            </w:r>
            <w:r w:rsidR="00C34F1D" w:rsidRPr="002B65F7">
              <w:rPr>
                <w:color w:val="000000"/>
                <w:lang w:eastAsia="ja-JP"/>
              </w:rPr>
              <w:t>.</w:t>
            </w:r>
          </w:p>
        </w:tc>
      </w:tr>
    </w:tbl>
    <w:p w14:paraId="380EE0EE" w14:textId="77777777" w:rsidR="00C34F1D" w:rsidRPr="002B65F7" w:rsidRDefault="00C34F1D" w:rsidP="00C34F1D">
      <w:pPr>
        <w:tabs>
          <w:tab w:val="left" w:pos="810"/>
        </w:tabs>
        <w:suppressAutoHyphens/>
        <w:adjustRightInd w:val="0"/>
        <w:contextualSpacing/>
        <w:textAlignment w:val="center"/>
        <w:rPr>
          <w:noProof/>
          <w:color w:val="000000"/>
        </w:rPr>
      </w:pPr>
      <w:r w:rsidRPr="002B65F7">
        <w:rPr>
          <w:color w:val="000000"/>
          <w:lang w:eastAsia="ja-JP"/>
        </w:rPr>
        <w:t xml:space="preserve"> </w:t>
      </w:r>
    </w:p>
    <w:tbl>
      <w:tblPr>
        <w:tblW w:w="9351" w:type="dxa"/>
        <w:tblInd w:w="-60" w:type="dxa"/>
        <w:tblLayout w:type="fixed"/>
        <w:tblLook w:val="04A0" w:firstRow="1" w:lastRow="0" w:firstColumn="1" w:lastColumn="0" w:noHBand="0" w:noVBand="1"/>
      </w:tblPr>
      <w:tblGrid>
        <w:gridCol w:w="9351"/>
      </w:tblGrid>
      <w:tr w:rsidR="00C34F1D" w:rsidRPr="002B65F7" w14:paraId="4F4FA4C8" w14:textId="77777777" w:rsidTr="000F12C9">
        <w:trPr>
          <w:cantSplit/>
        </w:trPr>
        <w:tc>
          <w:tcPr>
            <w:tcW w:w="9351" w:type="dxa"/>
            <w:shd w:val="clear" w:color="auto" w:fill="8DB3E2"/>
          </w:tcPr>
          <w:p w14:paraId="2DD7EA98" w14:textId="007AAAFD" w:rsidR="00C34F1D" w:rsidRPr="002B65F7" w:rsidRDefault="00C34F1D" w:rsidP="004105B2">
            <w:pPr>
              <w:keepNext/>
              <w:tabs>
                <w:tab w:val="left" w:pos="810"/>
              </w:tabs>
              <w:suppressAutoHyphens/>
              <w:adjustRightInd w:val="0"/>
              <w:contextualSpacing/>
              <w:textAlignment w:val="center"/>
              <w:rPr>
                <w:b/>
                <w:bCs/>
                <w:color w:val="000000"/>
                <w:lang w:val="en-GB" w:eastAsia="ja-JP"/>
              </w:rPr>
            </w:pPr>
            <w:r w:rsidRPr="002B65F7">
              <w:rPr>
                <w:b/>
                <w:bCs/>
                <w:color w:val="000000"/>
                <w:lang w:val="en-GB" w:eastAsia="ja-JP"/>
              </w:rPr>
              <w:t>4 Inject</w:t>
            </w:r>
            <w:r w:rsidR="00CB5F59" w:rsidRPr="002B65F7">
              <w:rPr>
                <w:b/>
                <w:bCs/>
                <w:color w:val="000000"/>
                <w:lang w:val="en-GB" w:eastAsia="ja-JP"/>
              </w:rPr>
              <w:t>ion de</w:t>
            </w:r>
            <w:r w:rsidRPr="002B65F7">
              <w:rPr>
                <w:b/>
                <w:bCs/>
                <w:color w:val="000000"/>
                <w:lang w:val="en-GB" w:eastAsia="ja-JP"/>
              </w:rPr>
              <w:t xml:space="preserve"> WEZENLA</w:t>
            </w:r>
          </w:p>
        </w:tc>
      </w:tr>
      <w:tr w:rsidR="00C34F1D" w:rsidRPr="002B65F7" w14:paraId="42422A23" w14:textId="77777777" w:rsidTr="000F12C9">
        <w:trPr>
          <w:cantSplit/>
          <w:trHeight w:val="288"/>
        </w:trPr>
        <w:tc>
          <w:tcPr>
            <w:tcW w:w="9351" w:type="dxa"/>
          </w:tcPr>
          <w:p w14:paraId="3D716526" w14:textId="78715F19" w:rsidR="00C34F1D" w:rsidRPr="002B65F7" w:rsidRDefault="00C34F1D" w:rsidP="004105B2">
            <w:pPr>
              <w:keepNext/>
              <w:tabs>
                <w:tab w:val="left" w:pos="810"/>
              </w:tabs>
              <w:suppressAutoHyphens/>
              <w:adjustRightInd w:val="0"/>
              <w:contextualSpacing/>
              <w:textAlignment w:val="center"/>
              <w:rPr>
                <w:b/>
                <w:bCs/>
                <w:color w:val="000000"/>
                <w:lang w:eastAsia="ja-JP"/>
              </w:rPr>
            </w:pPr>
            <w:r w:rsidRPr="002B65F7">
              <w:rPr>
                <w:b/>
                <w:bCs/>
                <w:color w:val="000000"/>
                <w:lang w:eastAsia="ja-JP"/>
              </w:rPr>
              <w:t xml:space="preserve">4a </w:t>
            </w:r>
            <w:r w:rsidR="00F11F86" w:rsidRPr="002B65F7">
              <w:rPr>
                <w:b/>
                <w:bCs/>
              </w:rPr>
              <w:t>Retirez le capuchon de l’aiguille dans l’axe de la seringue tout en tenant le corps de la seringue préremplie</w:t>
            </w:r>
            <w:r w:rsidRPr="002B65F7">
              <w:rPr>
                <w:b/>
                <w:bCs/>
                <w:color w:val="000000"/>
                <w:lang w:eastAsia="ja-JP"/>
              </w:rPr>
              <w:t>.</w:t>
            </w:r>
          </w:p>
        </w:tc>
      </w:tr>
      <w:tr w:rsidR="00C34F1D" w:rsidRPr="002B65F7" w14:paraId="54C6D06E" w14:textId="77777777" w:rsidTr="000F12C9">
        <w:trPr>
          <w:cantSplit/>
        </w:trPr>
        <w:tc>
          <w:tcPr>
            <w:tcW w:w="9351" w:type="dxa"/>
          </w:tcPr>
          <w:p w14:paraId="7F57578E" w14:textId="208CD287" w:rsidR="00C34F1D" w:rsidRPr="002B65F7" w:rsidRDefault="00A2167E" w:rsidP="004105B2">
            <w:pPr>
              <w:tabs>
                <w:tab w:val="left" w:pos="810"/>
              </w:tabs>
              <w:suppressAutoHyphens/>
              <w:adjustRightInd w:val="0"/>
              <w:ind w:left="720"/>
              <w:contextualSpacing/>
              <w:textAlignment w:val="center"/>
              <w:rPr>
                <w:color w:val="000000"/>
                <w:lang w:val="en-GB" w:eastAsia="ja-JP"/>
              </w:rPr>
            </w:pPr>
            <w:r>
              <w:rPr>
                <w:noProof/>
              </w:rPr>
              <mc:AlternateContent>
                <mc:Choice Requires="wps">
                  <w:drawing>
                    <wp:anchor distT="45720" distB="45720" distL="114300" distR="114300" simplePos="0" relativeHeight="251653632" behindDoc="0" locked="0" layoutInCell="1" allowOverlap="1" wp14:anchorId="0074E415" wp14:editId="5644981F">
                      <wp:simplePos x="0" y="0"/>
                      <wp:positionH relativeFrom="column">
                        <wp:posOffset>-64135</wp:posOffset>
                      </wp:positionH>
                      <wp:positionV relativeFrom="paragraph">
                        <wp:posOffset>60960</wp:posOffset>
                      </wp:positionV>
                      <wp:extent cx="5848350" cy="431800"/>
                      <wp:effectExtent l="0" t="0" r="0" b="6350"/>
                      <wp:wrapSquare wrapText="bothSides"/>
                      <wp:docPr id="1361793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31800"/>
                              </a:xfrm>
                              <a:prstGeom prst="rect">
                                <a:avLst/>
                              </a:prstGeom>
                              <a:solidFill>
                                <a:srgbClr val="FFFFFF"/>
                              </a:solidFill>
                              <a:ln w="19050">
                                <a:solidFill>
                                  <a:srgbClr val="FF0000"/>
                                </a:solidFill>
                                <a:miter lim="800000"/>
                                <a:headEnd/>
                                <a:tailEnd/>
                              </a:ln>
                            </wps:spPr>
                            <wps:txbx>
                              <w:txbxContent>
                                <w:p w14:paraId="5D614A28" w14:textId="54978CE8" w:rsidR="000238BD" w:rsidRPr="00931120" w:rsidRDefault="000238BD" w:rsidP="00C34F1D">
                                  <w:r w:rsidRPr="00931120">
                                    <w:rPr>
                                      <w:b/>
                                      <w:bCs/>
                                    </w:rPr>
                                    <w:t>Important</w:t>
                                  </w:r>
                                  <w:r>
                                    <w:rPr>
                                      <w:b/>
                                      <w:bCs/>
                                    </w:rPr>
                                    <w:t> </w:t>
                                  </w:r>
                                  <w:r w:rsidRPr="00931120">
                                    <w:rPr>
                                      <w:b/>
                                      <w:bCs/>
                                    </w:rPr>
                                    <w:t>:</w:t>
                                  </w:r>
                                  <w:r w:rsidRPr="00931120">
                                    <w:t xml:space="preserve"> </w:t>
                                  </w:r>
                                  <w:r>
                                    <w:t>retirez le capuchon de l’aiguille seulement lorsque vous êtes prêt(e) à effectuer l’injection (dans les 5 minutes), car ceci pourrait assécher le médicament</w:t>
                                  </w:r>
                                  <w:r w:rsidRPr="00C27136">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74E415" id="Text Box 8" o:spid="_x0000_s1028" type="#_x0000_t202" style="position:absolute;left:0;text-align:left;margin-left:-5.05pt;margin-top:4.8pt;width:460.5pt;height:34pt;z-index:251653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" strokecolor="red" strokeweight="1.5pt">
                      <v:textbox style="mso-fit-shape-to-text:t">
                        <w:txbxContent>
                          <w:p w14:paraId="5D614A28" w14:textId="54978CE8" w:rsidR="000238BD" w:rsidRPr="00931120" w:rsidRDefault="000238BD" w:rsidP="00C34F1D">
                            <w:r w:rsidRPr="00931120">
                              <w:rPr>
                                <w:b/>
                                <w:bCs/>
                              </w:rPr>
                              <w:t>Important</w:t>
                            </w:r>
                            <w:r>
                              <w:rPr>
                                <w:b/>
                                <w:bCs/>
                              </w:rPr>
                              <w:t> </w:t>
                            </w:r>
                            <w:r w:rsidRPr="00931120">
                              <w:rPr>
                                <w:b/>
                                <w:bCs/>
                              </w:rPr>
                              <w:t>:</w:t>
                            </w:r>
                            <w:r w:rsidRPr="00931120">
                              <w:t xml:space="preserve"> </w:t>
                            </w:r>
                            <w:r>
                              <w:t>retirez le capuchon de l’aiguille seulement lorsque vous êtes prêt(e) à effectuer l’injection (dans les 5 minutes), car ceci pourrait assécher le médicament</w:t>
                            </w:r>
                            <w:r w:rsidRPr="00C27136">
                              <w:t>.</w:t>
                            </w:r>
                          </w:p>
                        </w:txbxContent>
                      </v:textbox>
                      <w10:wrap type="square"/>
                    </v:shape>
                  </w:pict>
                </mc:Fallback>
              </mc:AlternateContent>
            </w:r>
            <w:r w:rsidR="00C34F1D" w:rsidRPr="002B65F7">
              <w:rPr>
                <w:noProof/>
                <w:color w:val="000000"/>
                <w:lang w:eastAsia="ja-JP"/>
              </w:rPr>
              <w:t xml:space="preserve"> </w:t>
            </w:r>
            <w:r>
              <w:rPr>
                <w:noProof/>
                <w:color w:val="000000"/>
                <w:sz w:val="24"/>
                <w:szCs w:val="24"/>
                <w:lang w:val="en-US" w:eastAsia="zh-CN"/>
              </w:rPr>
              <w:drawing>
                <wp:inline distT="0" distB="0" distL="0" distR="0" wp14:anchorId="56401711" wp14:editId="547FF828">
                  <wp:extent cx="2106295" cy="1282065"/>
                  <wp:effectExtent l="0" t="0" r="0" b="0"/>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06295" cy="1282065"/>
                          </a:xfrm>
                          <a:prstGeom prst="rect">
                            <a:avLst/>
                          </a:prstGeom>
                          <a:noFill/>
                          <a:ln>
                            <a:noFill/>
                          </a:ln>
                        </pic:spPr>
                      </pic:pic>
                    </a:graphicData>
                  </a:graphic>
                </wp:inline>
              </w:drawing>
            </w:r>
          </w:p>
        </w:tc>
      </w:tr>
      <w:tr w:rsidR="00C34F1D" w:rsidRPr="002B65F7" w14:paraId="58C42801" w14:textId="77777777" w:rsidTr="000F12C9">
        <w:trPr>
          <w:cantSplit/>
        </w:trPr>
        <w:tc>
          <w:tcPr>
            <w:tcW w:w="9351" w:type="dxa"/>
          </w:tcPr>
          <w:p w14:paraId="6A36F0E3" w14:textId="56445B6B" w:rsidR="00C34F1D" w:rsidRPr="002B65F7" w:rsidRDefault="00931120" w:rsidP="000F12C9">
            <w:pPr>
              <w:widowControl/>
              <w:numPr>
                <w:ilvl w:val="0"/>
                <w:numId w:val="8"/>
              </w:numPr>
              <w:suppressAutoHyphens/>
              <w:ind w:left="567" w:hanging="567"/>
              <w:textAlignment w:val="center"/>
              <w:rPr>
                <w:sz w:val="20"/>
                <w:szCs w:val="20"/>
                <w:lang w:eastAsia="ja-JP"/>
              </w:rPr>
            </w:pPr>
            <w:r w:rsidRPr="002B65F7">
              <w:rPr>
                <w:b/>
                <w:color w:val="000000"/>
                <w:lang w:eastAsia="ja-JP"/>
              </w:rPr>
              <w:t xml:space="preserve">Ne tordez pas </w:t>
            </w:r>
            <w:r w:rsidRPr="002B65F7">
              <w:rPr>
                <w:bCs/>
                <w:color w:val="000000"/>
                <w:lang w:eastAsia="ja-JP"/>
              </w:rPr>
              <w:t>ou</w:t>
            </w:r>
            <w:r w:rsidRPr="002B65F7">
              <w:rPr>
                <w:b/>
                <w:color w:val="000000"/>
                <w:lang w:eastAsia="ja-JP"/>
              </w:rPr>
              <w:t xml:space="preserve"> ne pliez pas </w:t>
            </w:r>
            <w:r w:rsidRPr="002B65F7">
              <w:rPr>
                <w:bCs/>
                <w:color w:val="000000"/>
                <w:lang w:eastAsia="ja-JP"/>
              </w:rPr>
              <w:t xml:space="preserve">le </w:t>
            </w:r>
            <w:r w:rsidR="00294EC3" w:rsidRPr="002B65F7">
              <w:rPr>
                <w:bCs/>
                <w:color w:val="000000"/>
                <w:lang w:eastAsia="ja-JP"/>
              </w:rPr>
              <w:t>capuchon</w:t>
            </w:r>
            <w:r w:rsidR="00F11F86" w:rsidRPr="002B65F7">
              <w:rPr>
                <w:bCs/>
                <w:color w:val="000000"/>
                <w:lang w:eastAsia="ja-JP"/>
              </w:rPr>
              <w:t xml:space="preserve"> </w:t>
            </w:r>
            <w:r w:rsidR="00F11F86" w:rsidRPr="002B65F7">
              <w:t>de l’aiguille</w:t>
            </w:r>
            <w:r w:rsidR="00C34F1D" w:rsidRPr="002B65F7">
              <w:rPr>
                <w:color w:val="000000"/>
                <w:lang w:eastAsia="ja-JP"/>
              </w:rPr>
              <w:t>.</w:t>
            </w:r>
          </w:p>
        </w:tc>
      </w:tr>
      <w:tr w:rsidR="00C34F1D" w:rsidRPr="002B65F7" w14:paraId="1C65EDF2" w14:textId="77777777" w:rsidTr="000F12C9">
        <w:trPr>
          <w:cantSplit/>
        </w:trPr>
        <w:tc>
          <w:tcPr>
            <w:tcW w:w="9351" w:type="dxa"/>
          </w:tcPr>
          <w:p w14:paraId="783F8BA5" w14:textId="0F3FEF6A" w:rsidR="00C34F1D" w:rsidRPr="002B65F7" w:rsidRDefault="00C34F1D" w:rsidP="000F12C9">
            <w:pPr>
              <w:widowControl/>
              <w:numPr>
                <w:ilvl w:val="0"/>
                <w:numId w:val="8"/>
              </w:numPr>
              <w:suppressAutoHyphens/>
              <w:ind w:left="567" w:hanging="567"/>
              <w:textAlignment w:val="center"/>
              <w:rPr>
                <w:sz w:val="20"/>
                <w:szCs w:val="20"/>
                <w:lang w:eastAsia="ja-JP"/>
              </w:rPr>
            </w:pPr>
            <w:r w:rsidRPr="002B65F7">
              <w:rPr>
                <w:b/>
                <w:color w:val="000000"/>
                <w:lang w:eastAsia="ja-JP"/>
              </w:rPr>
              <w:t>Ne</w:t>
            </w:r>
            <w:r w:rsidR="00931120" w:rsidRPr="002B65F7">
              <w:rPr>
                <w:b/>
                <w:color w:val="000000"/>
                <w:lang w:eastAsia="ja-JP"/>
              </w:rPr>
              <w:t xml:space="preserve"> remettez jamais </w:t>
            </w:r>
            <w:r w:rsidR="00931120" w:rsidRPr="002B65F7">
              <w:rPr>
                <w:color w:val="000000"/>
                <w:lang w:eastAsia="ja-JP"/>
              </w:rPr>
              <w:t xml:space="preserve">le </w:t>
            </w:r>
            <w:r w:rsidR="00294EC3" w:rsidRPr="002B65F7">
              <w:rPr>
                <w:color w:val="000000"/>
                <w:lang w:eastAsia="ja-JP"/>
              </w:rPr>
              <w:t>capuchon</w:t>
            </w:r>
            <w:r w:rsidR="00F11F86" w:rsidRPr="002B65F7">
              <w:rPr>
                <w:color w:val="000000"/>
                <w:lang w:eastAsia="ja-JP"/>
              </w:rPr>
              <w:t xml:space="preserve"> </w:t>
            </w:r>
            <w:r w:rsidR="00F11F86" w:rsidRPr="002B65F7">
              <w:t>de l’aiguille</w:t>
            </w:r>
            <w:r w:rsidR="00931120" w:rsidRPr="002B65F7">
              <w:rPr>
                <w:color w:val="000000"/>
                <w:lang w:eastAsia="ja-JP"/>
              </w:rPr>
              <w:t xml:space="preserve">. Cela pourrait </w:t>
            </w:r>
            <w:r w:rsidR="00F11F86" w:rsidRPr="002B65F7">
              <w:rPr>
                <w:color w:val="000000"/>
                <w:lang w:eastAsia="ja-JP"/>
              </w:rPr>
              <w:t>endommager</w:t>
            </w:r>
            <w:r w:rsidR="00931120" w:rsidRPr="002B65F7">
              <w:rPr>
                <w:color w:val="000000"/>
                <w:lang w:eastAsia="ja-JP"/>
              </w:rPr>
              <w:t xml:space="preserve"> l’aiguille.</w:t>
            </w:r>
            <w:r w:rsidRPr="002B65F7">
              <w:rPr>
                <w:b/>
                <w:color w:val="000000"/>
                <w:lang w:eastAsia="ja-JP"/>
              </w:rPr>
              <w:t xml:space="preserve"> </w:t>
            </w:r>
          </w:p>
          <w:p w14:paraId="38DD3E9D" w14:textId="7C35DDC0" w:rsidR="00C34F1D" w:rsidRPr="002B65F7" w:rsidRDefault="00F11F86" w:rsidP="000F12C9">
            <w:pPr>
              <w:widowControl/>
              <w:numPr>
                <w:ilvl w:val="0"/>
                <w:numId w:val="8"/>
              </w:numPr>
              <w:suppressAutoHyphens/>
              <w:ind w:left="567" w:hanging="567"/>
              <w:textAlignment w:val="center"/>
              <w:rPr>
                <w:sz w:val="20"/>
                <w:szCs w:val="20"/>
                <w:lang w:eastAsia="ja-JP"/>
              </w:rPr>
            </w:pPr>
            <w:r w:rsidRPr="002B65F7">
              <w:rPr>
                <w:b/>
              </w:rPr>
              <w:t>Ne laissez rien</w:t>
            </w:r>
            <w:r w:rsidRPr="002B65F7">
              <w:t xml:space="preserve"> entrer en contact avec l’aiguille une fois que le capuchon de l’aiguille est retiré</w:t>
            </w:r>
            <w:r w:rsidR="00C34F1D" w:rsidRPr="002B65F7">
              <w:rPr>
                <w:bCs/>
                <w:lang w:eastAsia="ja-JP"/>
              </w:rPr>
              <w:t xml:space="preserve">. </w:t>
            </w:r>
          </w:p>
          <w:p w14:paraId="1AB7E8AD" w14:textId="7DB0D8EB" w:rsidR="00C34F1D" w:rsidRPr="002B65F7" w:rsidRDefault="00F11F86" w:rsidP="000F12C9">
            <w:pPr>
              <w:widowControl/>
              <w:numPr>
                <w:ilvl w:val="0"/>
                <w:numId w:val="8"/>
              </w:numPr>
              <w:suppressAutoHyphens/>
              <w:ind w:left="567" w:hanging="567"/>
              <w:textAlignment w:val="center"/>
              <w:rPr>
                <w:sz w:val="20"/>
                <w:szCs w:val="20"/>
                <w:lang w:eastAsia="ja-JP"/>
              </w:rPr>
            </w:pPr>
            <w:r w:rsidRPr="002B65F7">
              <w:rPr>
                <w:b/>
              </w:rPr>
              <w:t>Ne placez pas</w:t>
            </w:r>
            <w:r w:rsidRPr="002B65F7">
              <w:t xml:space="preserve"> la seringue préremplie sur une surface quelconque une fois que le capuchon de l’aiguille est retiré</w:t>
            </w:r>
            <w:r w:rsidR="00C34F1D" w:rsidRPr="002B65F7">
              <w:rPr>
                <w:bCs/>
                <w:lang w:eastAsia="ja-JP"/>
              </w:rPr>
              <w:t>.</w:t>
            </w:r>
          </w:p>
        </w:tc>
      </w:tr>
      <w:tr w:rsidR="00C34F1D" w:rsidRPr="002B65F7" w14:paraId="21EB42D8" w14:textId="77777777" w:rsidTr="000F12C9">
        <w:trPr>
          <w:cantSplit/>
        </w:trPr>
        <w:tc>
          <w:tcPr>
            <w:tcW w:w="9351" w:type="dxa"/>
          </w:tcPr>
          <w:p w14:paraId="0D662021" w14:textId="291E615F" w:rsidR="00C34F1D" w:rsidRPr="002B65F7" w:rsidRDefault="00F11F86" w:rsidP="000F12C9">
            <w:pPr>
              <w:widowControl/>
              <w:numPr>
                <w:ilvl w:val="0"/>
                <w:numId w:val="8"/>
              </w:numPr>
              <w:suppressAutoHyphens/>
              <w:ind w:left="567" w:hanging="567"/>
              <w:textAlignment w:val="center"/>
              <w:rPr>
                <w:bCs/>
                <w:color w:val="000000"/>
                <w:sz w:val="20"/>
                <w:szCs w:val="20"/>
                <w:lang w:val="en-GB" w:eastAsia="ja-JP"/>
              </w:rPr>
            </w:pPr>
            <w:r w:rsidRPr="002B65F7">
              <w:rPr>
                <w:b/>
              </w:rPr>
              <w:t>N’essayez pas</w:t>
            </w:r>
            <w:r w:rsidRPr="002B65F7">
              <w:t xml:space="preserve"> d’éliminer les bulles d’air de la seringue préremplie. La présence de bulles d’air n’est pas un problème</w:t>
            </w:r>
            <w:r w:rsidR="00C34F1D" w:rsidRPr="002B65F7">
              <w:rPr>
                <w:bCs/>
                <w:color w:val="000000"/>
                <w:lang w:val="en-GB" w:eastAsia="ja-JP"/>
              </w:rPr>
              <w:t xml:space="preserve">. </w:t>
            </w:r>
          </w:p>
        </w:tc>
      </w:tr>
      <w:tr w:rsidR="00C34F1D" w:rsidRPr="002B65F7" w14:paraId="3CFF7822" w14:textId="77777777" w:rsidTr="000F12C9">
        <w:trPr>
          <w:cantSplit/>
        </w:trPr>
        <w:tc>
          <w:tcPr>
            <w:tcW w:w="9351" w:type="dxa"/>
          </w:tcPr>
          <w:p w14:paraId="59701C6D" w14:textId="36093FFA" w:rsidR="00C34F1D" w:rsidRPr="002B65F7" w:rsidRDefault="00931120" w:rsidP="000F12C9">
            <w:pPr>
              <w:widowControl/>
              <w:numPr>
                <w:ilvl w:val="0"/>
                <w:numId w:val="8"/>
              </w:numPr>
              <w:suppressAutoHyphens/>
              <w:ind w:left="567" w:hanging="567"/>
              <w:textAlignment w:val="center"/>
              <w:rPr>
                <w:bCs/>
                <w:color w:val="000000"/>
                <w:sz w:val="20"/>
                <w:szCs w:val="20"/>
                <w:lang w:eastAsia="ja-JP"/>
              </w:rPr>
            </w:pPr>
            <w:r w:rsidRPr="002B65F7">
              <w:rPr>
                <w:bCs/>
                <w:color w:val="000000"/>
                <w:lang w:eastAsia="ja-JP"/>
              </w:rPr>
              <w:t xml:space="preserve">Il est normal </w:t>
            </w:r>
            <w:r w:rsidR="00F11F86" w:rsidRPr="002B65F7">
              <w:t xml:space="preserve">de voir une </w:t>
            </w:r>
            <w:r w:rsidRPr="002B65F7">
              <w:rPr>
                <w:bCs/>
                <w:color w:val="000000"/>
                <w:lang w:eastAsia="ja-JP"/>
              </w:rPr>
              <w:t>goutte de médicament</w:t>
            </w:r>
            <w:r w:rsidR="00C34F1D" w:rsidRPr="002B65F7">
              <w:rPr>
                <w:bCs/>
                <w:color w:val="000000"/>
                <w:lang w:eastAsia="ja-JP"/>
              </w:rPr>
              <w:t xml:space="preserve">. </w:t>
            </w:r>
          </w:p>
        </w:tc>
      </w:tr>
    </w:tbl>
    <w:p w14:paraId="2FB097D4" w14:textId="77777777" w:rsidR="00C34F1D" w:rsidRPr="002B65F7" w:rsidRDefault="00C34F1D" w:rsidP="00C34F1D">
      <w:pPr>
        <w:tabs>
          <w:tab w:val="left" w:pos="810"/>
        </w:tabs>
        <w:suppressAutoHyphens/>
        <w:adjustRightInd w:val="0"/>
        <w:contextualSpacing/>
        <w:textAlignment w:val="center"/>
        <w:rPr>
          <w:noProof/>
          <w:color w:val="000000"/>
          <w:sz w:val="20"/>
          <w:szCs w:val="20"/>
        </w:rPr>
      </w:pPr>
    </w:p>
    <w:tbl>
      <w:tblPr>
        <w:tblW w:w="9296" w:type="dxa"/>
        <w:tblInd w:w="-60" w:type="dxa"/>
        <w:tblLook w:val="04A0" w:firstRow="1" w:lastRow="0" w:firstColumn="1" w:lastColumn="0" w:noHBand="0" w:noVBand="1"/>
      </w:tblPr>
      <w:tblGrid>
        <w:gridCol w:w="9296"/>
      </w:tblGrid>
      <w:tr w:rsidR="00C34F1D" w:rsidRPr="002B65F7" w14:paraId="13158273" w14:textId="77777777" w:rsidTr="00B007D2">
        <w:trPr>
          <w:trHeight w:val="272"/>
        </w:trPr>
        <w:tc>
          <w:tcPr>
            <w:tcW w:w="9296" w:type="dxa"/>
          </w:tcPr>
          <w:p w14:paraId="24BD73F0" w14:textId="0CC5980A" w:rsidR="00C34F1D" w:rsidRPr="002B65F7" w:rsidRDefault="00C34F1D" w:rsidP="004105B2">
            <w:pPr>
              <w:tabs>
                <w:tab w:val="left" w:pos="810"/>
              </w:tabs>
              <w:suppressAutoHyphens/>
              <w:adjustRightInd w:val="0"/>
              <w:contextualSpacing/>
              <w:textAlignment w:val="center"/>
              <w:rPr>
                <w:b/>
                <w:bCs/>
                <w:color w:val="000000"/>
                <w:sz w:val="20"/>
                <w:szCs w:val="20"/>
                <w:lang w:eastAsia="ja-JP"/>
              </w:rPr>
            </w:pPr>
            <w:r w:rsidRPr="002B65F7">
              <w:rPr>
                <w:b/>
                <w:bCs/>
                <w:color w:val="000000"/>
                <w:lang w:eastAsia="ja-JP"/>
              </w:rPr>
              <w:t>4b Pinc</w:t>
            </w:r>
            <w:r w:rsidR="0011744A" w:rsidRPr="002B65F7">
              <w:rPr>
                <w:b/>
                <w:bCs/>
                <w:color w:val="000000"/>
                <w:lang w:eastAsia="ja-JP"/>
              </w:rPr>
              <w:t>ez la peau autour du site d’</w:t>
            </w:r>
            <w:r w:rsidRPr="002B65F7">
              <w:rPr>
                <w:b/>
                <w:bCs/>
                <w:color w:val="000000"/>
                <w:lang w:eastAsia="ja-JP"/>
              </w:rPr>
              <w:t>injection</w:t>
            </w:r>
            <w:r w:rsidR="0011744A" w:rsidRPr="002B65F7">
              <w:rPr>
                <w:b/>
                <w:bCs/>
                <w:color w:val="000000"/>
                <w:lang w:eastAsia="ja-JP"/>
              </w:rPr>
              <w:t xml:space="preserve"> avant </w:t>
            </w:r>
            <w:r w:rsidR="00F11F86" w:rsidRPr="002B65F7">
              <w:rPr>
                <w:b/>
                <w:bCs/>
              </w:rPr>
              <w:t>d’effectuer l’injection</w:t>
            </w:r>
            <w:r w:rsidRPr="002B65F7">
              <w:rPr>
                <w:b/>
                <w:bCs/>
                <w:color w:val="000000"/>
                <w:lang w:eastAsia="ja-JP"/>
              </w:rPr>
              <w:t xml:space="preserve">. </w:t>
            </w:r>
          </w:p>
        </w:tc>
      </w:tr>
      <w:tr w:rsidR="00C34F1D" w:rsidRPr="002B65F7" w14:paraId="4407F4DC" w14:textId="77777777" w:rsidTr="00B007D2">
        <w:trPr>
          <w:trHeight w:val="287"/>
        </w:trPr>
        <w:tc>
          <w:tcPr>
            <w:tcW w:w="9296" w:type="dxa"/>
          </w:tcPr>
          <w:p w14:paraId="3B3A3B76" w14:textId="1932DB7F" w:rsidR="00C34F1D" w:rsidRPr="002B65F7" w:rsidRDefault="00C34F1D" w:rsidP="004105B2">
            <w:pPr>
              <w:tabs>
                <w:tab w:val="left" w:pos="810"/>
              </w:tabs>
              <w:suppressAutoHyphens/>
              <w:adjustRightInd w:val="0"/>
              <w:ind w:right="5753"/>
              <w:contextualSpacing/>
              <w:jc w:val="center"/>
              <w:textAlignment w:val="center"/>
              <w:rPr>
                <w:b/>
                <w:bCs/>
                <w:color w:val="000000"/>
                <w:sz w:val="20"/>
                <w:szCs w:val="20"/>
                <w:lang w:val="en-GB" w:eastAsia="ja-JP"/>
              </w:rPr>
            </w:pPr>
            <w:r w:rsidRPr="002B65F7">
              <w:rPr>
                <w:b/>
                <w:bCs/>
                <w:color w:val="000000"/>
                <w:lang w:val="en-GB" w:eastAsia="ja-JP"/>
              </w:rPr>
              <w:t>PINC</w:t>
            </w:r>
            <w:r w:rsidR="0011744A" w:rsidRPr="002B65F7">
              <w:rPr>
                <w:b/>
                <w:bCs/>
                <w:color w:val="000000"/>
                <w:lang w:val="en-GB" w:eastAsia="ja-JP"/>
              </w:rPr>
              <w:t>EZ</w:t>
            </w:r>
          </w:p>
        </w:tc>
      </w:tr>
      <w:tr w:rsidR="00C34F1D" w:rsidRPr="002B65F7" w14:paraId="1C8DF325" w14:textId="77777777" w:rsidTr="00B007D2">
        <w:trPr>
          <w:trHeight w:val="2478"/>
        </w:trPr>
        <w:tc>
          <w:tcPr>
            <w:tcW w:w="9296" w:type="dxa"/>
          </w:tcPr>
          <w:p w14:paraId="00497158" w14:textId="59382DDD" w:rsidR="00C34F1D" w:rsidRPr="002B65F7" w:rsidRDefault="00A2167E" w:rsidP="004105B2">
            <w:pPr>
              <w:tabs>
                <w:tab w:val="left" w:pos="810"/>
              </w:tabs>
              <w:suppressAutoHyphens/>
              <w:adjustRightInd w:val="0"/>
              <w:contextualSpacing/>
              <w:textAlignment w:val="center"/>
              <w:rPr>
                <w:b/>
                <w:bCs/>
                <w:color w:val="000000"/>
                <w:lang w:val="en-GB" w:eastAsia="ja-JP"/>
              </w:rPr>
            </w:pPr>
            <w:r>
              <w:rPr>
                <w:b/>
                <w:bCs/>
                <w:noProof/>
                <w:color w:val="000000"/>
                <w:lang w:val="en-GB" w:eastAsia="ja-JP"/>
              </w:rPr>
              <w:drawing>
                <wp:inline distT="0" distB="0" distL="0" distR="0" wp14:anchorId="3F508BBB" wp14:editId="0A96E0BB">
                  <wp:extent cx="3208655" cy="1151255"/>
                  <wp:effectExtent l="0" t="0" r="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08655" cy="1151255"/>
                          </a:xfrm>
                          <a:prstGeom prst="rect">
                            <a:avLst/>
                          </a:prstGeom>
                          <a:noFill/>
                          <a:ln>
                            <a:noFill/>
                          </a:ln>
                        </pic:spPr>
                      </pic:pic>
                    </a:graphicData>
                  </a:graphic>
                </wp:inline>
              </w:drawing>
            </w:r>
          </w:p>
        </w:tc>
      </w:tr>
      <w:tr w:rsidR="00C34F1D" w:rsidRPr="002B65F7" w14:paraId="47A52C4C" w14:textId="77777777" w:rsidTr="00B007D2">
        <w:trPr>
          <w:trHeight w:val="559"/>
        </w:trPr>
        <w:tc>
          <w:tcPr>
            <w:tcW w:w="9296" w:type="dxa"/>
          </w:tcPr>
          <w:p w14:paraId="0CB5926F" w14:textId="6AD08D85" w:rsidR="00C34F1D" w:rsidRPr="002B65F7" w:rsidRDefault="00C34F1D" w:rsidP="00C8729B">
            <w:pPr>
              <w:widowControl/>
              <w:numPr>
                <w:ilvl w:val="0"/>
                <w:numId w:val="8"/>
              </w:numPr>
              <w:suppressAutoHyphens/>
              <w:adjustRightInd w:val="0"/>
              <w:ind w:left="567" w:hanging="567"/>
              <w:contextualSpacing/>
              <w:textAlignment w:val="center"/>
              <w:rPr>
                <w:lang w:eastAsia="ja-JP"/>
              </w:rPr>
            </w:pPr>
            <w:r w:rsidRPr="002B65F7">
              <w:rPr>
                <w:lang w:eastAsia="ja-JP"/>
              </w:rPr>
              <w:t>Pinc</w:t>
            </w:r>
            <w:r w:rsidR="0011744A" w:rsidRPr="002B65F7">
              <w:rPr>
                <w:lang w:eastAsia="ja-JP"/>
              </w:rPr>
              <w:t xml:space="preserve">ez la peau entre le pouce et l’index afin de créer </w:t>
            </w:r>
            <w:r w:rsidR="00F11F86" w:rsidRPr="002B65F7">
              <w:rPr>
                <w:lang w:eastAsia="ja-JP"/>
              </w:rPr>
              <w:t>une bosse pour</w:t>
            </w:r>
            <w:r w:rsidR="0011744A" w:rsidRPr="002B65F7">
              <w:rPr>
                <w:lang w:eastAsia="ja-JP"/>
              </w:rPr>
              <w:t xml:space="preserve"> l’injection</w:t>
            </w:r>
            <w:r w:rsidRPr="002B65F7">
              <w:rPr>
                <w:lang w:eastAsia="ja-JP"/>
              </w:rPr>
              <w:t>.</w:t>
            </w:r>
          </w:p>
          <w:p w14:paraId="2CBF72D5" w14:textId="2129E001" w:rsidR="00C34F1D" w:rsidRPr="002B65F7" w:rsidRDefault="0011744A">
            <w:pPr>
              <w:widowControl/>
              <w:numPr>
                <w:ilvl w:val="0"/>
                <w:numId w:val="8"/>
              </w:numPr>
              <w:suppressAutoHyphens/>
              <w:adjustRightInd w:val="0"/>
              <w:ind w:left="567" w:hanging="567"/>
              <w:contextualSpacing/>
              <w:textAlignment w:val="center"/>
              <w:rPr>
                <w:noProof/>
                <w:lang w:eastAsia="ja-JP"/>
              </w:rPr>
            </w:pPr>
            <w:r w:rsidRPr="002B65F7">
              <w:rPr>
                <w:lang w:eastAsia="ja-JP"/>
              </w:rPr>
              <w:t xml:space="preserve">Si </w:t>
            </w:r>
            <w:r w:rsidR="00C34F1D" w:rsidRPr="002B65F7">
              <w:rPr>
                <w:lang w:eastAsia="ja-JP"/>
              </w:rPr>
              <w:t xml:space="preserve">possible, </w:t>
            </w:r>
            <w:r w:rsidR="00F11F86" w:rsidRPr="002B65F7">
              <w:rPr>
                <w:lang w:eastAsia="ja-JP"/>
              </w:rPr>
              <w:t>la bosse</w:t>
            </w:r>
            <w:r w:rsidRPr="002B65F7">
              <w:rPr>
                <w:lang w:eastAsia="ja-JP"/>
              </w:rPr>
              <w:t xml:space="preserve"> doit </w:t>
            </w:r>
            <w:r w:rsidR="00F11F86" w:rsidRPr="002B65F7">
              <w:rPr>
                <w:lang w:eastAsia="ja-JP"/>
              </w:rPr>
              <w:t xml:space="preserve">faire </w:t>
            </w:r>
            <w:r w:rsidRPr="002B65F7">
              <w:rPr>
                <w:lang w:eastAsia="ja-JP"/>
              </w:rPr>
              <w:t xml:space="preserve">environ </w:t>
            </w:r>
            <w:r w:rsidR="00C34F1D" w:rsidRPr="002B65F7">
              <w:rPr>
                <w:lang w:eastAsia="ja-JP"/>
              </w:rPr>
              <w:t>5</w:t>
            </w:r>
            <w:r w:rsidRPr="002B65F7">
              <w:rPr>
                <w:lang w:eastAsia="ja-JP"/>
              </w:rPr>
              <w:t> </w:t>
            </w:r>
            <w:r w:rsidR="00C34F1D" w:rsidRPr="002B65F7">
              <w:rPr>
                <w:lang w:eastAsia="ja-JP"/>
              </w:rPr>
              <w:t>cm</w:t>
            </w:r>
            <w:r w:rsidRPr="002B65F7">
              <w:rPr>
                <w:lang w:eastAsia="ja-JP"/>
              </w:rPr>
              <w:t xml:space="preserve"> de large</w:t>
            </w:r>
            <w:r w:rsidR="00F11F86" w:rsidRPr="002B65F7">
              <w:rPr>
                <w:lang w:eastAsia="ja-JP"/>
              </w:rPr>
              <w:t>ur</w:t>
            </w:r>
            <w:r w:rsidR="00C34F1D" w:rsidRPr="002B65F7">
              <w:rPr>
                <w:lang w:eastAsia="ja-JP"/>
              </w:rPr>
              <w:t xml:space="preserve">. </w:t>
            </w:r>
          </w:p>
        </w:tc>
      </w:tr>
      <w:tr w:rsidR="00C34F1D" w:rsidRPr="002B65F7" w14:paraId="1070D61C" w14:textId="77777777" w:rsidTr="00B007D2">
        <w:trPr>
          <w:trHeight w:val="783"/>
        </w:trPr>
        <w:tc>
          <w:tcPr>
            <w:tcW w:w="9296" w:type="dxa"/>
          </w:tcPr>
          <w:p w14:paraId="26A12E10" w14:textId="3E93C9E4" w:rsidR="00C34F1D" w:rsidRPr="002B65F7" w:rsidRDefault="00A2167E" w:rsidP="004105B2">
            <w:pPr>
              <w:suppressAutoHyphens/>
              <w:adjustRightInd w:val="0"/>
              <w:ind w:left="720"/>
              <w:contextualSpacing/>
              <w:textAlignment w:val="center"/>
              <w:rPr>
                <w:lang w:eastAsia="ja-JP"/>
              </w:rPr>
            </w:pPr>
            <w:r>
              <w:rPr>
                <w:noProof/>
              </w:rPr>
              <mc:AlternateContent>
                <mc:Choice Requires="wps">
                  <w:drawing>
                    <wp:anchor distT="45720" distB="45720" distL="114300" distR="114300" simplePos="0" relativeHeight="251656704" behindDoc="0" locked="0" layoutInCell="1" allowOverlap="1" wp14:anchorId="7DD581D8" wp14:editId="2352E7D0">
                      <wp:simplePos x="0" y="0"/>
                      <wp:positionH relativeFrom="column">
                        <wp:posOffset>-46990</wp:posOffset>
                      </wp:positionH>
                      <wp:positionV relativeFrom="paragraph">
                        <wp:posOffset>93345</wp:posOffset>
                      </wp:positionV>
                      <wp:extent cx="5735955" cy="274320"/>
                      <wp:effectExtent l="0" t="0" r="0" b="0"/>
                      <wp:wrapSquare wrapText="bothSides"/>
                      <wp:docPr id="264796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74320"/>
                              </a:xfrm>
                              <a:prstGeom prst="rect">
                                <a:avLst/>
                              </a:prstGeom>
                              <a:solidFill>
                                <a:srgbClr val="FFFFFF"/>
                              </a:solidFill>
                              <a:ln w="19050">
                                <a:solidFill>
                                  <a:srgbClr val="FF0000"/>
                                </a:solidFill>
                                <a:miter lim="800000"/>
                                <a:headEnd/>
                                <a:tailEnd/>
                              </a:ln>
                            </wps:spPr>
                            <wps:txbx>
                              <w:txbxContent>
                                <w:p w14:paraId="1C6F6D7E" w14:textId="0394DD8A" w:rsidR="000238BD" w:rsidRPr="00C27136" w:rsidRDefault="000238BD" w:rsidP="00C34F1D">
                                  <w:pPr>
                                    <w:pStyle w:val="BULLETED"/>
                                    <w:numPr>
                                      <w:ilvl w:val="0"/>
                                      <w:numId w:val="0"/>
                                    </w:numPr>
                                    <w:spacing w:before="0" w:line="240" w:lineRule="auto"/>
                                    <w:rPr>
                                      <w:sz w:val="22"/>
                                      <w:szCs w:val="22"/>
                                      <w:lang w:val="fr-FR"/>
                                    </w:rPr>
                                  </w:pPr>
                                  <w:r w:rsidRPr="00C27136">
                                    <w:rPr>
                                      <w:b/>
                                      <w:bCs/>
                                      <w:sz w:val="22"/>
                                      <w:szCs w:val="22"/>
                                      <w:lang w:val="fr-FR"/>
                                    </w:rPr>
                                    <w:t>Important </w:t>
                                  </w:r>
                                  <w:r w:rsidRPr="00C27136">
                                    <w:rPr>
                                      <w:b/>
                                      <w:bCs/>
                                      <w:lang w:val="fr-FR"/>
                                    </w:rPr>
                                    <w:t>:</w:t>
                                  </w:r>
                                  <w:r w:rsidRPr="00C27136">
                                    <w:rPr>
                                      <w:lang w:val="fr-FR"/>
                                    </w:rPr>
                                    <w:t xml:space="preserve"> </w:t>
                                  </w:r>
                                  <w:r w:rsidRPr="00C27136">
                                    <w:rPr>
                                      <w:sz w:val="22"/>
                                      <w:szCs w:val="22"/>
                                      <w:lang w:val="fr-FR"/>
                                    </w:rPr>
                                    <w:t>continuez à pincer la peau jusqu’à la fin de l’injection.</w:t>
                                  </w:r>
                                </w:p>
                                <w:p w14:paraId="79C829C0" w14:textId="77777777" w:rsidR="000238BD" w:rsidRPr="00815100" w:rsidRDefault="000238BD" w:rsidP="00C34F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581D8" id="Text Box 7" o:spid="_x0000_s1029" type="#_x0000_t202" style="position:absolute;left:0;text-align:left;margin-left:-3.7pt;margin-top:7.35pt;width:451.65pt;height:21.6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" strokecolor="red" strokeweight="1.5pt">
                      <v:textbox>
                        <w:txbxContent>
                          <w:p w14:paraId="1C6F6D7E" w14:textId="0394DD8A" w:rsidR="000238BD" w:rsidRPr="00C27136" w:rsidRDefault="000238BD" w:rsidP="00C34F1D">
                            <w:pPr>
                              <w:pStyle w:val="BULLETED"/>
                              <w:numPr>
                                <w:ilvl w:val="0"/>
                                <w:numId w:val="0"/>
                              </w:numPr>
                              <w:spacing w:before="0" w:line="240" w:lineRule="auto"/>
                              <w:rPr>
                                <w:sz w:val="22"/>
                                <w:szCs w:val="22"/>
                                <w:lang w:val="fr-FR"/>
                              </w:rPr>
                            </w:pPr>
                            <w:r w:rsidRPr="00C27136">
                              <w:rPr>
                                <w:b/>
                                <w:bCs/>
                                <w:sz w:val="22"/>
                                <w:szCs w:val="22"/>
                                <w:lang w:val="fr-FR"/>
                              </w:rPr>
                              <w:t>Important </w:t>
                            </w:r>
                            <w:r w:rsidRPr="00C27136">
                              <w:rPr>
                                <w:b/>
                                <w:bCs/>
                                <w:lang w:val="fr-FR"/>
                              </w:rPr>
                              <w:t>:</w:t>
                            </w:r>
                            <w:r w:rsidRPr="00C27136">
                              <w:rPr>
                                <w:lang w:val="fr-FR"/>
                              </w:rPr>
                              <w:t xml:space="preserve"> </w:t>
                            </w:r>
                            <w:r w:rsidRPr="00C27136">
                              <w:rPr>
                                <w:sz w:val="22"/>
                                <w:szCs w:val="22"/>
                                <w:lang w:val="fr-FR"/>
                              </w:rPr>
                              <w:t>continuez à pincer la peau jusqu’à la fin de l’injection.</w:t>
                            </w:r>
                          </w:p>
                          <w:p w14:paraId="79C829C0" w14:textId="77777777" w:rsidR="000238BD" w:rsidRPr="00815100" w:rsidRDefault="000238BD" w:rsidP="00C34F1D"/>
                        </w:txbxContent>
                      </v:textbox>
                      <w10:wrap type="square"/>
                    </v:shape>
                  </w:pict>
                </mc:Fallback>
              </mc:AlternateContent>
            </w:r>
          </w:p>
        </w:tc>
      </w:tr>
      <w:tr w:rsidR="00BB66E5" w:rsidRPr="002B65F7" w14:paraId="35A32BDA" w14:textId="77777777" w:rsidTr="00B007D2">
        <w:trPr>
          <w:trHeight w:val="66"/>
        </w:trPr>
        <w:tc>
          <w:tcPr>
            <w:tcW w:w="9296" w:type="dxa"/>
          </w:tcPr>
          <w:p w14:paraId="37759A09" w14:textId="77777777" w:rsidR="00BB66E5" w:rsidRPr="002B65F7" w:rsidRDefault="00BB66E5" w:rsidP="004105B2">
            <w:pPr>
              <w:suppressAutoHyphens/>
              <w:adjustRightInd w:val="0"/>
              <w:ind w:left="720"/>
              <w:contextualSpacing/>
              <w:textAlignment w:val="center"/>
              <w:rPr>
                <w:noProof/>
                <w:sz w:val="6"/>
                <w:szCs w:val="6"/>
              </w:rPr>
            </w:pPr>
          </w:p>
        </w:tc>
      </w:tr>
      <w:tr w:rsidR="00C34F1D" w:rsidRPr="002B65F7" w14:paraId="54AE9406" w14:textId="77777777" w:rsidTr="00B007D2">
        <w:trPr>
          <w:trHeight w:val="272"/>
        </w:trPr>
        <w:tc>
          <w:tcPr>
            <w:tcW w:w="9296" w:type="dxa"/>
          </w:tcPr>
          <w:p w14:paraId="53D2AFC9" w14:textId="703EB647" w:rsidR="00C34F1D" w:rsidRPr="002B65F7" w:rsidRDefault="00C34F1D" w:rsidP="00C343A4">
            <w:pPr>
              <w:keepNext/>
              <w:keepLines/>
              <w:tabs>
                <w:tab w:val="left" w:pos="810"/>
              </w:tabs>
              <w:suppressAutoHyphens/>
              <w:textAlignment w:val="center"/>
              <w:rPr>
                <w:b/>
                <w:bCs/>
                <w:color w:val="000000"/>
                <w:lang w:eastAsia="ja-JP"/>
              </w:rPr>
            </w:pPr>
            <w:r w:rsidRPr="002B65F7">
              <w:rPr>
                <w:b/>
                <w:bCs/>
                <w:color w:val="000000"/>
                <w:lang w:eastAsia="ja-JP"/>
              </w:rPr>
              <w:lastRenderedPageBreak/>
              <w:t xml:space="preserve">4c </w:t>
            </w:r>
            <w:r w:rsidR="00F11F86" w:rsidRPr="002B65F7">
              <w:rPr>
                <w:b/>
                <w:bCs/>
                <w:color w:val="000000"/>
                <w:lang w:eastAsia="ja-JP"/>
              </w:rPr>
              <w:t>Insérez</w:t>
            </w:r>
            <w:r w:rsidR="0011744A" w:rsidRPr="002B65F7">
              <w:rPr>
                <w:b/>
                <w:bCs/>
                <w:color w:val="000000"/>
                <w:lang w:eastAsia="ja-JP"/>
              </w:rPr>
              <w:t xml:space="preserve"> l’aiguille dans la peau pincée</w:t>
            </w:r>
            <w:r w:rsidRPr="002B65F7">
              <w:rPr>
                <w:b/>
                <w:bCs/>
                <w:color w:val="000000"/>
                <w:lang w:eastAsia="ja-JP"/>
              </w:rPr>
              <w:t xml:space="preserve">. </w:t>
            </w:r>
          </w:p>
        </w:tc>
      </w:tr>
      <w:tr w:rsidR="00C34F1D" w:rsidRPr="002B65F7" w14:paraId="4940DEB1" w14:textId="77777777" w:rsidTr="00B007D2">
        <w:trPr>
          <w:trHeight w:val="287"/>
        </w:trPr>
        <w:tc>
          <w:tcPr>
            <w:tcW w:w="9296" w:type="dxa"/>
          </w:tcPr>
          <w:p w14:paraId="48719A7F" w14:textId="48F24D43" w:rsidR="00C34F1D" w:rsidRPr="002B65F7" w:rsidRDefault="00F11F86" w:rsidP="00C343A4">
            <w:pPr>
              <w:keepNext/>
              <w:keepLines/>
              <w:suppressAutoHyphens/>
              <w:ind w:left="1985"/>
              <w:textAlignment w:val="center"/>
              <w:rPr>
                <w:b/>
                <w:bCs/>
                <w:color w:val="000000"/>
                <w:lang w:val="en-GB" w:eastAsia="ja-JP"/>
              </w:rPr>
            </w:pPr>
            <w:r w:rsidRPr="002B65F7">
              <w:rPr>
                <w:b/>
                <w:bCs/>
              </w:rPr>
              <w:t>INSÉREZ</w:t>
            </w:r>
          </w:p>
        </w:tc>
      </w:tr>
      <w:tr w:rsidR="00C34F1D" w:rsidRPr="002B65F7" w14:paraId="30BB7C7B" w14:textId="77777777" w:rsidTr="00B007D2">
        <w:trPr>
          <w:trHeight w:val="2629"/>
        </w:trPr>
        <w:tc>
          <w:tcPr>
            <w:tcW w:w="9296" w:type="dxa"/>
          </w:tcPr>
          <w:p w14:paraId="58ABFCFF" w14:textId="7B9B4019" w:rsidR="00C34F1D" w:rsidRPr="002B65F7" w:rsidRDefault="00A2167E" w:rsidP="00C343A4">
            <w:pPr>
              <w:keepNext/>
              <w:keepLines/>
              <w:suppressAutoHyphens/>
              <w:ind w:left="720"/>
              <w:textAlignment w:val="center"/>
              <w:rPr>
                <w:lang w:val="en-GB" w:eastAsia="ja-JP"/>
              </w:rPr>
            </w:pPr>
            <w:r>
              <w:rPr>
                <w:noProof/>
                <w:sz w:val="24"/>
                <w:szCs w:val="24"/>
                <w:lang w:val="en-US" w:eastAsia="zh-CN"/>
              </w:rPr>
              <w:drawing>
                <wp:inline distT="0" distB="0" distL="0" distR="0" wp14:anchorId="623DFF1B" wp14:editId="62FE0BE4">
                  <wp:extent cx="3208655" cy="1363345"/>
                  <wp:effectExtent l="0" t="0" r="0" b="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08655" cy="1363345"/>
                          </a:xfrm>
                          <a:prstGeom prst="rect">
                            <a:avLst/>
                          </a:prstGeom>
                          <a:noFill/>
                          <a:ln>
                            <a:noFill/>
                          </a:ln>
                        </pic:spPr>
                      </pic:pic>
                    </a:graphicData>
                  </a:graphic>
                </wp:inline>
              </w:drawing>
            </w:r>
          </w:p>
          <w:p w14:paraId="5915B487" w14:textId="1CFE71B3" w:rsidR="00C34F1D" w:rsidRPr="002B65F7" w:rsidRDefault="00F11F86" w:rsidP="00C343A4">
            <w:pPr>
              <w:keepNext/>
              <w:keepLines/>
              <w:widowControl/>
              <w:numPr>
                <w:ilvl w:val="0"/>
                <w:numId w:val="8"/>
              </w:numPr>
              <w:suppressAutoHyphens/>
              <w:ind w:left="567" w:hanging="567"/>
              <w:textAlignment w:val="center"/>
              <w:rPr>
                <w:lang w:eastAsia="ja-JP"/>
              </w:rPr>
            </w:pPr>
            <w:r w:rsidRPr="002B65F7">
              <w:t xml:space="preserve">Insérez </w:t>
            </w:r>
            <w:r w:rsidR="0011744A" w:rsidRPr="002B65F7">
              <w:rPr>
                <w:lang w:eastAsia="ja-JP"/>
              </w:rPr>
              <w:t xml:space="preserve">l’aiguille dans la peau pincée </w:t>
            </w:r>
            <w:r w:rsidRPr="002B65F7">
              <w:rPr>
                <w:lang w:eastAsia="ja-JP"/>
              </w:rPr>
              <w:t>selon</w:t>
            </w:r>
            <w:r w:rsidR="0011744A" w:rsidRPr="002B65F7">
              <w:rPr>
                <w:lang w:eastAsia="ja-JP"/>
              </w:rPr>
              <w:t xml:space="preserve"> un angle de</w:t>
            </w:r>
            <w:r w:rsidR="00C34F1D" w:rsidRPr="002B65F7">
              <w:rPr>
                <w:lang w:eastAsia="ja-JP"/>
              </w:rPr>
              <w:t xml:space="preserve"> 45</w:t>
            </w:r>
            <w:r w:rsidR="0011744A" w:rsidRPr="002B65F7">
              <w:rPr>
                <w:lang w:eastAsia="ja-JP"/>
              </w:rPr>
              <w:t> degrés</w:t>
            </w:r>
            <w:r w:rsidR="00C34F1D" w:rsidRPr="002B65F7">
              <w:rPr>
                <w:lang w:eastAsia="ja-JP"/>
              </w:rPr>
              <w:t>.</w:t>
            </w:r>
          </w:p>
        </w:tc>
      </w:tr>
      <w:tr w:rsidR="00C34F1D" w:rsidRPr="002B65F7" w14:paraId="49172B12" w14:textId="77777777" w:rsidTr="00B007D2">
        <w:trPr>
          <w:trHeight w:val="559"/>
        </w:trPr>
        <w:tc>
          <w:tcPr>
            <w:tcW w:w="9296" w:type="dxa"/>
          </w:tcPr>
          <w:p w14:paraId="23A34191" w14:textId="6C837C25" w:rsidR="00C34F1D" w:rsidRPr="002B65F7" w:rsidRDefault="0011744A" w:rsidP="00A85B18">
            <w:pPr>
              <w:widowControl/>
              <w:numPr>
                <w:ilvl w:val="0"/>
                <w:numId w:val="8"/>
              </w:numPr>
              <w:suppressAutoHyphens/>
              <w:ind w:left="567" w:hanging="567"/>
              <w:textAlignment w:val="center"/>
              <w:rPr>
                <w:lang w:eastAsia="ja-JP"/>
              </w:rPr>
            </w:pPr>
            <w:r w:rsidRPr="002B65F7">
              <w:rPr>
                <w:b/>
                <w:bCs/>
                <w:lang w:eastAsia="ja-JP"/>
              </w:rPr>
              <w:t xml:space="preserve">Ne </w:t>
            </w:r>
            <w:r w:rsidR="00F11F86" w:rsidRPr="002B65F7">
              <w:rPr>
                <w:b/>
                <w:bCs/>
                <w:lang w:eastAsia="ja-JP"/>
              </w:rPr>
              <w:t>placez</w:t>
            </w:r>
            <w:r w:rsidRPr="002B65F7">
              <w:rPr>
                <w:b/>
                <w:bCs/>
                <w:lang w:eastAsia="ja-JP"/>
              </w:rPr>
              <w:t xml:space="preserve"> pas </w:t>
            </w:r>
            <w:r w:rsidR="00F11F86" w:rsidRPr="002B65F7">
              <w:rPr>
                <w:lang w:eastAsia="ja-JP"/>
              </w:rPr>
              <w:t>votr</w:t>
            </w:r>
            <w:r w:rsidRPr="002B65F7">
              <w:rPr>
                <w:lang w:eastAsia="ja-JP"/>
              </w:rPr>
              <w:t xml:space="preserve">e doigt sur la tige du piston pendant que vous </w:t>
            </w:r>
            <w:r w:rsidR="00F11F86" w:rsidRPr="002B65F7">
              <w:rPr>
                <w:lang w:eastAsia="ja-JP"/>
              </w:rPr>
              <w:t>insérez</w:t>
            </w:r>
            <w:r w:rsidRPr="002B65F7">
              <w:rPr>
                <w:lang w:eastAsia="ja-JP"/>
              </w:rPr>
              <w:t xml:space="preserve"> l’aiguille, car cela pourrait entrainer une perte de médicament</w:t>
            </w:r>
            <w:r w:rsidR="00C34F1D" w:rsidRPr="002B65F7">
              <w:rPr>
                <w:lang w:eastAsia="ja-JP"/>
              </w:rPr>
              <w:t xml:space="preserve">. </w:t>
            </w:r>
          </w:p>
        </w:tc>
      </w:tr>
    </w:tbl>
    <w:p w14:paraId="18DC31C0" w14:textId="77777777" w:rsidR="00C34F1D" w:rsidRPr="002B65F7" w:rsidRDefault="00C34F1D" w:rsidP="00C34F1D">
      <w:pPr>
        <w:tabs>
          <w:tab w:val="left" w:pos="810"/>
        </w:tabs>
        <w:suppressAutoHyphens/>
        <w:adjustRightInd w:val="0"/>
        <w:contextualSpacing/>
        <w:textAlignment w:val="center"/>
        <w:rPr>
          <w:color w:val="000000"/>
          <w:lang w:eastAsia="ja-JP"/>
        </w:rPr>
      </w:pPr>
    </w:p>
    <w:tbl>
      <w:tblPr>
        <w:tblW w:w="9382" w:type="dxa"/>
        <w:tblInd w:w="-60" w:type="dxa"/>
        <w:tblLayout w:type="fixed"/>
        <w:tblLook w:val="04A0" w:firstRow="1" w:lastRow="0" w:firstColumn="1" w:lastColumn="0" w:noHBand="0" w:noVBand="1"/>
      </w:tblPr>
      <w:tblGrid>
        <w:gridCol w:w="9382"/>
      </w:tblGrid>
      <w:tr w:rsidR="00C34F1D" w:rsidRPr="002B65F7" w14:paraId="467961BE" w14:textId="77777777" w:rsidTr="00B007D2">
        <w:tc>
          <w:tcPr>
            <w:tcW w:w="9382" w:type="dxa"/>
          </w:tcPr>
          <w:p w14:paraId="526D4EEB" w14:textId="150FB647" w:rsidR="00C34F1D" w:rsidRPr="002B65F7" w:rsidRDefault="00C34F1D" w:rsidP="004105B2">
            <w:pPr>
              <w:keepNext/>
              <w:tabs>
                <w:tab w:val="left" w:pos="810"/>
              </w:tabs>
              <w:suppressAutoHyphens/>
              <w:adjustRightInd w:val="0"/>
              <w:contextualSpacing/>
              <w:textAlignment w:val="center"/>
              <w:rPr>
                <w:b/>
                <w:bCs/>
                <w:color w:val="000000"/>
                <w:lang w:eastAsia="ja-JP"/>
              </w:rPr>
            </w:pPr>
            <w:r w:rsidRPr="002B65F7">
              <w:rPr>
                <w:b/>
                <w:bCs/>
                <w:color w:val="000000"/>
                <w:lang w:eastAsia="ja-JP"/>
              </w:rPr>
              <w:t xml:space="preserve">4d </w:t>
            </w:r>
            <w:r w:rsidR="00F11F86" w:rsidRPr="002B65F7">
              <w:rPr>
                <w:b/>
                <w:bCs/>
              </w:rPr>
              <w:t>Appuyez lentement sur la tête du piston jusqu’à ce qu’elle se trouve entièrement entre les attaches du dispositif de protection de l’aiguille</w:t>
            </w:r>
            <w:r w:rsidRPr="002B65F7">
              <w:rPr>
                <w:b/>
                <w:bCs/>
                <w:color w:val="000000"/>
                <w:lang w:eastAsia="ja-JP"/>
              </w:rPr>
              <w:t xml:space="preserve">. </w:t>
            </w:r>
          </w:p>
        </w:tc>
      </w:tr>
      <w:tr w:rsidR="00C34F1D" w:rsidRPr="002B65F7" w14:paraId="28C2B625" w14:textId="77777777" w:rsidTr="00B007D2">
        <w:tc>
          <w:tcPr>
            <w:tcW w:w="9382" w:type="dxa"/>
          </w:tcPr>
          <w:p w14:paraId="39A77DBB" w14:textId="77777777" w:rsidR="00C34F1D" w:rsidRPr="002B65F7" w:rsidRDefault="00C34F1D" w:rsidP="004105B2">
            <w:pPr>
              <w:keepNext/>
              <w:suppressAutoHyphens/>
              <w:adjustRightInd w:val="0"/>
              <w:textAlignment w:val="center"/>
              <w:rPr>
                <w:b/>
                <w:bCs/>
                <w:lang w:eastAsia="ja-JP"/>
              </w:rPr>
            </w:pPr>
          </w:p>
          <w:p w14:paraId="698F4240" w14:textId="17E8ED81" w:rsidR="00C34F1D" w:rsidRPr="002B65F7" w:rsidRDefault="00C34F1D" w:rsidP="004105B2">
            <w:pPr>
              <w:keepNext/>
              <w:suppressAutoHyphens/>
              <w:adjustRightInd w:val="0"/>
              <w:ind w:left="3544" w:hanging="1984"/>
              <w:textAlignment w:val="center"/>
              <w:rPr>
                <w:b/>
                <w:bCs/>
                <w:lang w:val="en-GB" w:eastAsia="ja-JP"/>
              </w:rPr>
            </w:pPr>
            <w:r w:rsidRPr="002B65F7">
              <w:rPr>
                <w:b/>
                <w:bCs/>
                <w:lang w:val="en-GB" w:eastAsia="ja-JP"/>
              </w:rPr>
              <w:t>INJECT</w:t>
            </w:r>
            <w:r w:rsidR="0011744A" w:rsidRPr="002B65F7">
              <w:rPr>
                <w:b/>
                <w:bCs/>
                <w:lang w:val="en-GB" w:eastAsia="ja-JP"/>
              </w:rPr>
              <w:t>EZ</w:t>
            </w:r>
          </w:p>
          <w:p w14:paraId="37ED90DB" w14:textId="59D0D965" w:rsidR="00C34F1D" w:rsidRPr="002B65F7" w:rsidRDefault="00A2167E" w:rsidP="004105B2">
            <w:pPr>
              <w:keepNext/>
              <w:suppressAutoHyphens/>
              <w:adjustRightInd w:val="0"/>
              <w:textAlignment w:val="center"/>
              <w:rPr>
                <w:b/>
                <w:bCs/>
                <w:lang w:val="en-GB" w:eastAsia="ja-JP"/>
              </w:rPr>
            </w:pPr>
            <w:r>
              <w:rPr>
                <w:b/>
                <w:bCs/>
                <w:noProof/>
                <w:lang w:val="en-US" w:eastAsia="zh-CN"/>
              </w:rPr>
              <w:drawing>
                <wp:inline distT="0" distB="0" distL="0" distR="0" wp14:anchorId="67A68FAA" wp14:editId="5DDF84FF">
                  <wp:extent cx="3208655" cy="1689735"/>
                  <wp:effectExtent l="0" t="0" r="0" b="0"/>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08655" cy="1689735"/>
                          </a:xfrm>
                          <a:prstGeom prst="rect">
                            <a:avLst/>
                          </a:prstGeom>
                          <a:noFill/>
                          <a:ln>
                            <a:noFill/>
                          </a:ln>
                        </pic:spPr>
                      </pic:pic>
                    </a:graphicData>
                  </a:graphic>
                </wp:inline>
              </w:drawing>
            </w:r>
          </w:p>
          <w:p w14:paraId="2FDAE1D9" w14:textId="77777777" w:rsidR="00C34F1D" w:rsidRPr="002B65F7" w:rsidRDefault="00C34F1D" w:rsidP="004105B2">
            <w:pPr>
              <w:keepNext/>
              <w:suppressAutoHyphens/>
              <w:adjustRightInd w:val="0"/>
              <w:textAlignment w:val="center"/>
              <w:rPr>
                <w:lang w:val="en-GB" w:eastAsia="ja-JP"/>
              </w:rPr>
            </w:pPr>
          </w:p>
          <w:p w14:paraId="7B1715D3" w14:textId="36763FC7" w:rsidR="00C34F1D" w:rsidRPr="002B65F7" w:rsidRDefault="00F11F86">
            <w:pPr>
              <w:keepNext/>
              <w:widowControl/>
              <w:numPr>
                <w:ilvl w:val="0"/>
                <w:numId w:val="12"/>
              </w:numPr>
              <w:suppressAutoHyphens/>
              <w:adjustRightInd w:val="0"/>
              <w:ind w:left="567" w:hanging="567"/>
              <w:contextualSpacing/>
              <w:textAlignment w:val="center"/>
              <w:rPr>
                <w:lang w:eastAsia="ja-JP"/>
              </w:rPr>
            </w:pPr>
            <w:r w:rsidRPr="002B65F7">
              <w:rPr>
                <w:b/>
              </w:rPr>
              <w:t>Ne relâchez</w:t>
            </w:r>
            <w:r w:rsidRPr="002B65F7">
              <w:t xml:space="preserve"> à aucun moment la pression sur le piston</w:t>
            </w:r>
            <w:r w:rsidR="00C34F1D" w:rsidRPr="002B65F7">
              <w:rPr>
                <w:lang w:eastAsia="ja-JP"/>
              </w:rPr>
              <w:t xml:space="preserve">. </w:t>
            </w:r>
          </w:p>
          <w:p w14:paraId="3FAD313E" w14:textId="399CEEFF" w:rsidR="00C34F1D" w:rsidRPr="002B65F7" w:rsidRDefault="00F11F86">
            <w:pPr>
              <w:keepNext/>
              <w:widowControl/>
              <w:numPr>
                <w:ilvl w:val="0"/>
                <w:numId w:val="12"/>
              </w:numPr>
              <w:suppressAutoHyphens/>
              <w:adjustRightInd w:val="0"/>
              <w:ind w:left="567" w:hanging="567"/>
              <w:contextualSpacing/>
              <w:textAlignment w:val="center"/>
              <w:rPr>
                <w:lang w:eastAsia="ja-JP"/>
              </w:rPr>
            </w:pPr>
            <w:r w:rsidRPr="002B65F7">
              <w:rPr>
                <w:b/>
              </w:rPr>
              <w:t>Ne retirez pas</w:t>
            </w:r>
            <w:r w:rsidRPr="002B65F7">
              <w:t xml:space="preserve"> l’aiguille avant que tout le médicament ne soit injecté</w:t>
            </w:r>
            <w:r w:rsidR="00C34F1D" w:rsidRPr="002B65F7">
              <w:rPr>
                <w:lang w:eastAsia="ja-JP"/>
              </w:rPr>
              <w:t>.</w:t>
            </w:r>
          </w:p>
          <w:p w14:paraId="7246FF72" w14:textId="77777777" w:rsidR="00C34F1D" w:rsidRPr="002B65F7" w:rsidRDefault="00C34F1D" w:rsidP="004105B2">
            <w:pPr>
              <w:keepNext/>
              <w:suppressAutoHyphens/>
              <w:adjustRightInd w:val="0"/>
              <w:textAlignment w:val="center"/>
              <w:rPr>
                <w:lang w:eastAsia="ja-JP"/>
              </w:rPr>
            </w:pPr>
          </w:p>
        </w:tc>
      </w:tr>
      <w:tr w:rsidR="00C34F1D" w:rsidRPr="002B65F7" w14:paraId="35D84047" w14:textId="77777777" w:rsidTr="00B007D2">
        <w:trPr>
          <w:trHeight w:val="314"/>
        </w:trPr>
        <w:tc>
          <w:tcPr>
            <w:tcW w:w="9382" w:type="dxa"/>
          </w:tcPr>
          <w:p w14:paraId="50D27B7D" w14:textId="197F5A3C" w:rsidR="00C34F1D" w:rsidRPr="002B65F7" w:rsidRDefault="00C34F1D" w:rsidP="004105B2">
            <w:pPr>
              <w:suppressAutoHyphens/>
              <w:adjustRightInd w:val="0"/>
              <w:textAlignment w:val="center"/>
              <w:rPr>
                <w:b/>
                <w:color w:val="000000"/>
                <w:lang w:eastAsia="ja-JP"/>
              </w:rPr>
            </w:pPr>
            <w:r w:rsidRPr="002B65F7">
              <w:rPr>
                <w:b/>
                <w:color w:val="000000"/>
                <w:lang w:eastAsia="ja-JP"/>
              </w:rPr>
              <w:t xml:space="preserve">4e </w:t>
            </w:r>
            <w:r w:rsidR="0011744A" w:rsidRPr="002B65F7">
              <w:rPr>
                <w:b/>
                <w:color w:val="000000"/>
                <w:lang w:eastAsia="ja-JP"/>
              </w:rPr>
              <w:t xml:space="preserve">Continuez à </w:t>
            </w:r>
            <w:r w:rsidR="00F11F86" w:rsidRPr="002B65F7">
              <w:rPr>
                <w:b/>
                <w:bCs/>
              </w:rPr>
              <w:t>appliquer une pression</w:t>
            </w:r>
            <w:r w:rsidR="00F11F86" w:rsidRPr="002B65F7">
              <w:t xml:space="preserve"> </w:t>
            </w:r>
            <w:r w:rsidR="0011744A" w:rsidRPr="002B65F7">
              <w:rPr>
                <w:b/>
                <w:color w:val="000000"/>
                <w:lang w:eastAsia="ja-JP"/>
              </w:rPr>
              <w:t>sur la tête du piston et retirez l’aiguille de la peau</w:t>
            </w:r>
            <w:r w:rsidRPr="002B65F7">
              <w:rPr>
                <w:b/>
                <w:color w:val="000000"/>
                <w:lang w:eastAsia="ja-JP"/>
              </w:rPr>
              <w:t>.</w:t>
            </w:r>
          </w:p>
        </w:tc>
      </w:tr>
      <w:tr w:rsidR="00C34F1D" w:rsidRPr="002B65F7" w14:paraId="6AABF61A" w14:textId="77777777" w:rsidTr="00B007D2">
        <w:trPr>
          <w:trHeight w:val="314"/>
        </w:trPr>
        <w:tc>
          <w:tcPr>
            <w:tcW w:w="9382" w:type="dxa"/>
          </w:tcPr>
          <w:p w14:paraId="4426C3C7" w14:textId="282D4945" w:rsidR="00C34F1D" w:rsidRPr="002B65F7" w:rsidRDefault="002077C1" w:rsidP="004105B2">
            <w:pPr>
              <w:suppressAutoHyphens/>
              <w:adjustRightInd w:val="0"/>
              <w:ind w:left="2410" w:right="3472" w:hanging="284"/>
              <w:jc w:val="both"/>
              <w:textAlignment w:val="center"/>
              <w:rPr>
                <w:b/>
                <w:bCs/>
                <w:color w:val="000000"/>
                <w:lang w:val="en-GB" w:eastAsia="ja-JP"/>
              </w:rPr>
            </w:pPr>
            <w:r w:rsidRPr="002B65F7">
              <w:rPr>
                <w:b/>
                <w:bCs/>
              </w:rPr>
              <w:t>RETIREZ</w:t>
            </w:r>
          </w:p>
          <w:p w14:paraId="1E3176EC" w14:textId="7C7FE89D" w:rsidR="00C34F1D" w:rsidRPr="002B65F7" w:rsidRDefault="00A2167E" w:rsidP="004105B2">
            <w:pPr>
              <w:suppressAutoHyphens/>
              <w:adjustRightInd w:val="0"/>
              <w:jc w:val="both"/>
              <w:textAlignment w:val="center"/>
              <w:rPr>
                <w:b/>
                <w:color w:val="000000"/>
                <w:lang w:val="en-GB" w:eastAsia="ja-JP"/>
              </w:rPr>
            </w:pPr>
            <w:r>
              <w:rPr>
                <w:b/>
                <w:noProof/>
                <w:color w:val="000000"/>
                <w:lang w:val="en-US" w:eastAsia="zh-CN"/>
              </w:rPr>
              <w:drawing>
                <wp:inline distT="0" distB="0" distL="0" distR="0" wp14:anchorId="38928139" wp14:editId="499B1773">
                  <wp:extent cx="3208655" cy="1828800"/>
                  <wp:effectExtent l="0" t="0" r="0" b="0"/>
                  <wp:docPr id="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08655" cy="1828800"/>
                          </a:xfrm>
                          <a:prstGeom prst="rect">
                            <a:avLst/>
                          </a:prstGeom>
                          <a:noFill/>
                          <a:ln>
                            <a:noFill/>
                          </a:ln>
                        </pic:spPr>
                      </pic:pic>
                    </a:graphicData>
                  </a:graphic>
                </wp:inline>
              </w:drawing>
            </w:r>
          </w:p>
        </w:tc>
      </w:tr>
      <w:tr w:rsidR="00C34F1D" w:rsidRPr="002B65F7" w14:paraId="577EB9BB" w14:textId="77777777" w:rsidTr="00B007D2">
        <w:trPr>
          <w:trHeight w:val="777"/>
        </w:trPr>
        <w:tc>
          <w:tcPr>
            <w:tcW w:w="9382" w:type="dxa"/>
          </w:tcPr>
          <w:p w14:paraId="620D3064" w14:textId="02DA5FA6" w:rsidR="00C34F1D" w:rsidRPr="002B65F7" w:rsidRDefault="00F11F86" w:rsidP="00EA148F">
            <w:pPr>
              <w:widowControl/>
              <w:numPr>
                <w:ilvl w:val="0"/>
                <w:numId w:val="8"/>
              </w:numPr>
              <w:ind w:left="567" w:hanging="567"/>
              <w:rPr>
                <w:bCs/>
                <w:color w:val="221E1F"/>
                <w:lang w:eastAsia="ja-JP"/>
              </w:rPr>
            </w:pPr>
            <w:r w:rsidRPr="002B65F7">
              <w:t>Continuez à appliquer une pression sur la tête du piston et retirez l’aiguille de la peau</w:t>
            </w:r>
            <w:r w:rsidR="00C34F1D" w:rsidRPr="002B65F7">
              <w:rPr>
                <w:bCs/>
                <w:color w:val="221E1F"/>
                <w:lang w:eastAsia="ja-JP"/>
              </w:rPr>
              <w:t>.</w:t>
            </w:r>
          </w:p>
          <w:p w14:paraId="2F064A37" w14:textId="6B9A2EF3" w:rsidR="00C34F1D" w:rsidRPr="002B65F7" w:rsidRDefault="00B83194" w:rsidP="00EA148F">
            <w:pPr>
              <w:widowControl/>
              <w:numPr>
                <w:ilvl w:val="0"/>
                <w:numId w:val="8"/>
              </w:numPr>
              <w:ind w:left="567" w:hanging="567"/>
              <w:rPr>
                <w:color w:val="221E1F"/>
                <w:lang w:eastAsia="ja-JP"/>
              </w:rPr>
            </w:pPr>
            <w:r w:rsidRPr="002B65F7">
              <w:rPr>
                <w:color w:val="221E1F"/>
                <w:lang w:eastAsia="ja-JP"/>
              </w:rPr>
              <w:t xml:space="preserve">Relâchez la peau une fois l’aiguille </w:t>
            </w:r>
            <w:r w:rsidR="00F11F86" w:rsidRPr="002B65F7">
              <w:t>retirée</w:t>
            </w:r>
            <w:r w:rsidR="00C34F1D" w:rsidRPr="002B65F7">
              <w:rPr>
                <w:color w:val="221E1F"/>
                <w:lang w:eastAsia="ja-JP"/>
              </w:rPr>
              <w:t>.</w:t>
            </w:r>
          </w:p>
          <w:p w14:paraId="1F59EA50" w14:textId="3096869F" w:rsidR="00C34F1D" w:rsidRPr="002B65F7" w:rsidRDefault="00F11F86" w:rsidP="00EA148F">
            <w:pPr>
              <w:widowControl/>
              <w:numPr>
                <w:ilvl w:val="0"/>
                <w:numId w:val="8"/>
              </w:numPr>
              <w:ind w:left="567" w:hanging="567"/>
              <w:rPr>
                <w:bCs/>
                <w:color w:val="000000"/>
                <w:lang w:eastAsia="ja-JP"/>
              </w:rPr>
            </w:pPr>
            <w:r w:rsidRPr="002B65F7">
              <w:t>Retirez lentement votre pouce de la tige du piston. Cela permettra à la seringue préremplie vide de remonter jusqu’à ce que la totalité de l’aiguille soit protégée par la protection de l’aiguille</w:t>
            </w:r>
            <w:r w:rsidR="00A362BE" w:rsidRPr="002B65F7">
              <w:rPr>
                <w:color w:val="221E1F"/>
                <w:lang w:eastAsia="ja-JP"/>
              </w:rPr>
              <w:t>.</w:t>
            </w:r>
            <w:r w:rsidR="00C34F1D" w:rsidRPr="002B65F7">
              <w:rPr>
                <w:color w:val="221E1F"/>
                <w:lang w:eastAsia="ja-JP"/>
              </w:rPr>
              <w:t xml:space="preserve"> </w:t>
            </w:r>
          </w:p>
        </w:tc>
      </w:tr>
      <w:tr w:rsidR="00C34F1D" w:rsidRPr="002B65F7" w14:paraId="0B2A5ACA" w14:textId="77777777" w:rsidTr="00B007D2">
        <w:trPr>
          <w:trHeight w:val="251"/>
        </w:trPr>
        <w:tc>
          <w:tcPr>
            <w:tcW w:w="9382" w:type="dxa"/>
          </w:tcPr>
          <w:p w14:paraId="33A81D64" w14:textId="77777777" w:rsidR="00C34F1D" w:rsidRPr="002B65F7" w:rsidRDefault="00C34F1D" w:rsidP="004B12BC">
            <w:pPr>
              <w:keepNext/>
              <w:adjustRightInd w:val="0"/>
              <w:jc w:val="center"/>
              <w:rPr>
                <w:b/>
                <w:bCs/>
                <w:color w:val="221E1F"/>
                <w:lang w:eastAsia="ja-JP"/>
              </w:rPr>
            </w:pPr>
          </w:p>
          <w:p w14:paraId="537C52BA" w14:textId="74FEB5D5" w:rsidR="00C34F1D" w:rsidRPr="002B65F7" w:rsidRDefault="00A362BE" w:rsidP="004B12BC">
            <w:pPr>
              <w:keepNext/>
              <w:adjustRightInd w:val="0"/>
              <w:jc w:val="center"/>
              <w:rPr>
                <w:b/>
                <w:bCs/>
                <w:color w:val="221E1F"/>
                <w:lang w:eastAsia="ja-JP"/>
              </w:rPr>
            </w:pPr>
            <w:r w:rsidRPr="002B65F7">
              <w:rPr>
                <w:b/>
                <w:bCs/>
                <w:color w:val="221E1F"/>
                <w:lang w:eastAsia="ja-JP"/>
              </w:rPr>
              <w:t>S’il faut une deuxième</w:t>
            </w:r>
            <w:r w:rsidR="00C34F1D" w:rsidRPr="002B65F7">
              <w:rPr>
                <w:b/>
                <w:bCs/>
                <w:color w:val="221E1F"/>
                <w:lang w:eastAsia="ja-JP"/>
              </w:rPr>
              <w:t xml:space="preserve"> injection…</w:t>
            </w:r>
          </w:p>
          <w:p w14:paraId="637E9BC2" w14:textId="77777777" w:rsidR="00C34F1D" w:rsidRPr="002B65F7" w:rsidRDefault="00C34F1D" w:rsidP="004B12BC">
            <w:pPr>
              <w:keepNext/>
              <w:adjustRightInd w:val="0"/>
              <w:ind w:left="720"/>
              <w:contextualSpacing/>
              <w:jc w:val="center"/>
              <w:rPr>
                <w:b/>
                <w:bCs/>
                <w:color w:val="221E1F"/>
                <w:lang w:eastAsia="ja-JP"/>
              </w:rPr>
            </w:pPr>
          </w:p>
        </w:tc>
      </w:tr>
      <w:tr w:rsidR="00C34F1D" w:rsidRPr="002B65F7" w14:paraId="09BCA68E" w14:textId="77777777" w:rsidTr="00B007D2">
        <w:trPr>
          <w:trHeight w:val="224"/>
        </w:trPr>
        <w:tc>
          <w:tcPr>
            <w:tcW w:w="9382" w:type="dxa"/>
          </w:tcPr>
          <w:p w14:paraId="72E9ADC7" w14:textId="23B27201" w:rsidR="00C34F1D" w:rsidRPr="002B65F7" w:rsidRDefault="00C34F1D" w:rsidP="004105B2">
            <w:pPr>
              <w:keepNext/>
              <w:keepLines/>
              <w:adjustRightInd w:val="0"/>
              <w:rPr>
                <w:b/>
                <w:bCs/>
                <w:color w:val="221E1F"/>
                <w:lang w:eastAsia="ja-JP"/>
              </w:rPr>
            </w:pPr>
            <w:r w:rsidRPr="002B65F7">
              <w:rPr>
                <w:b/>
                <w:bCs/>
                <w:color w:val="221E1F"/>
                <w:lang w:eastAsia="ja-JP"/>
              </w:rPr>
              <w:t xml:space="preserve">4f </w:t>
            </w:r>
            <w:r w:rsidR="003A6F46" w:rsidRPr="002B65F7">
              <w:rPr>
                <w:b/>
                <w:bCs/>
                <w:color w:val="221E1F"/>
                <w:lang w:eastAsia="ja-JP"/>
              </w:rPr>
              <w:t>S’il faut une deuxième injection, répétez les étapes</w:t>
            </w:r>
            <w:r w:rsidR="00F02BC2" w:rsidRPr="002B65F7">
              <w:rPr>
                <w:b/>
                <w:bCs/>
                <w:color w:val="221E1F"/>
                <w:lang w:eastAsia="ja-JP"/>
              </w:rPr>
              <w:t> </w:t>
            </w:r>
            <w:r w:rsidRPr="002B65F7">
              <w:rPr>
                <w:b/>
                <w:bCs/>
                <w:color w:val="221E1F"/>
                <w:lang w:eastAsia="ja-JP"/>
              </w:rPr>
              <w:t>2a</w:t>
            </w:r>
            <w:r w:rsidR="003A6F46" w:rsidRPr="002B65F7">
              <w:rPr>
                <w:b/>
                <w:bCs/>
                <w:color w:val="221E1F"/>
                <w:lang w:eastAsia="ja-JP"/>
              </w:rPr>
              <w:t xml:space="preserve"> à</w:t>
            </w:r>
            <w:r w:rsidR="00F02BC2" w:rsidRPr="002B65F7">
              <w:rPr>
                <w:b/>
                <w:bCs/>
                <w:color w:val="221E1F"/>
                <w:lang w:eastAsia="ja-JP"/>
              </w:rPr>
              <w:t> </w:t>
            </w:r>
            <w:r w:rsidRPr="002B65F7">
              <w:rPr>
                <w:b/>
                <w:bCs/>
                <w:color w:val="221E1F"/>
                <w:lang w:eastAsia="ja-JP"/>
              </w:rPr>
              <w:t>4e.</w:t>
            </w:r>
          </w:p>
        </w:tc>
      </w:tr>
      <w:tr w:rsidR="00C34F1D" w:rsidRPr="002B65F7" w14:paraId="4F1E8997" w14:textId="77777777" w:rsidTr="00B007D2">
        <w:trPr>
          <w:trHeight w:val="224"/>
        </w:trPr>
        <w:tc>
          <w:tcPr>
            <w:tcW w:w="9382" w:type="dxa"/>
          </w:tcPr>
          <w:p w14:paraId="254E416C" w14:textId="55D4F6B7" w:rsidR="00C34F1D" w:rsidRPr="002B65F7" w:rsidRDefault="003A6F46" w:rsidP="00EA148F">
            <w:pPr>
              <w:keepNext/>
              <w:keepLines/>
              <w:widowControl/>
              <w:numPr>
                <w:ilvl w:val="0"/>
                <w:numId w:val="10"/>
              </w:numPr>
              <w:ind w:left="567" w:hanging="567"/>
              <w:rPr>
                <w:color w:val="221E1F"/>
                <w:lang w:eastAsia="ja-JP"/>
              </w:rPr>
            </w:pPr>
            <w:r w:rsidRPr="002B65F7">
              <w:rPr>
                <w:color w:val="221E1F"/>
                <w:lang w:eastAsia="ja-JP"/>
              </w:rPr>
              <w:t>Consultez votre ordonnance pour connaître votre dose. Si votre dose est de 90 mg, vous recevrez soit une seringue préremplie de 90 mg, soit deux seringues préremplies de 45 mg</w:t>
            </w:r>
            <w:r w:rsidR="00C34F1D" w:rsidRPr="002B65F7">
              <w:rPr>
                <w:color w:val="221E1F"/>
                <w:lang w:eastAsia="ja-JP"/>
              </w:rPr>
              <w:t xml:space="preserve">. </w:t>
            </w:r>
          </w:p>
          <w:p w14:paraId="463089AD" w14:textId="21AEF16C" w:rsidR="00C34F1D" w:rsidRPr="002B65F7" w:rsidRDefault="003A6F46" w:rsidP="00EA148F">
            <w:pPr>
              <w:keepNext/>
              <w:keepLines/>
              <w:widowControl/>
              <w:numPr>
                <w:ilvl w:val="0"/>
                <w:numId w:val="11"/>
              </w:numPr>
              <w:ind w:left="1134" w:hanging="567"/>
              <w:rPr>
                <w:color w:val="221E1F"/>
                <w:lang w:eastAsia="ja-JP"/>
              </w:rPr>
            </w:pPr>
            <w:r w:rsidRPr="002B65F7">
              <w:rPr>
                <w:color w:val="221E1F"/>
                <w:lang w:eastAsia="ja-JP"/>
              </w:rPr>
              <w:t>Si vous recevez deux seringues préremplies de 45 mg pour une dose de 90 mg, vous devrez vous faire une deuxième injection immédiatement après la première</w:t>
            </w:r>
            <w:r w:rsidR="00C34F1D" w:rsidRPr="002B65F7">
              <w:rPr>
                <w:color w:val="221E1F"/>
                <w:lang w:eastAsia="ja-JP"/>
              </w:rPr>
              <w:t xml:space="preserve">. </w:t>
            </w:r>
          </w:p>
        </w:tc>
      </w:tr>
      <w:tr w:rsidR="00C34F1D" w:rsidRPr="002B65F7" w14:paraId="1A8D9520" w14:textId="77777777" w:rsidTr="00B007D2">
        <w:trPr>
          <w:trHeight w:val="251"/>
        </w:trPr>
        <w:tc>
          <w:tcPr>
            <w:tcW w:w="9382" w:type="dxa"/>
          </w:tcPr>
          <w:p w14:paraId="6191343B" w14:textId="603D0586" w:rsidR="00C34F1D" w:rsidRPr="00E102E6" w:rsidRDefault="003A6F46" w:rsidP="00EA148F">
            <w:pPr>
              <w:keepNext/>
              <w:keepLines/>
              <w:widowControl/>
              <w:numPr>
                <w:ilvl w:val="0"/>
                <w:numId w:val="10"/>
              </w:numPr>
              <w:ind w:left="567" w:hanging="567"/>
              <w:rPr>
                <w:color w:val="221E1F"/>
                <w:lang w:eastAsia="ja-JP"/>
              </w:rPr>
            </w:pPr>
            <w:r w:rsidRPr="002B65F7">
              <w:rPr>
                <w:color w:val="221E1F"/>
                <w:lang w:eastAsia="ja-JP"/>
              </w:rPr>
              <w:t>Répétez les étapes</w:t>
            </w:r>
            <w:r w:rsidR="00F02BC2" w:rsidRPr="002B65F7">
              <w:rPr>
                <w:color w:val="221E1F"/>
                <w:lang w:eastAsia="ja-JP"/>
              </w:rPr>
              <w:t> </w:t>
            </w:r>
            <w:r w:rsidR="00C34F1D" w:rsidRPr="002B65F7">
              <w:rPr>
                <w:color w:val="221E1F"/>
                <w:lang w:eastAsia="ja-JP"/>
              </w:rPr>
              <w:t>2a</w:t>
            </w:r>
            <w:r w:rsidRPr="002B65F7">
              <w:rPr>
                <w:color w:val="221E1F"/>
                <w:lang w:eastAsia="ja-JP"/>
              </w:rPr>
              <w:t xml:space="preserve"> à</w:t>
            </w:r>
            <w:r w:rsidR="00F02BC2" w:rsidRPr="002B65F7">
              <w:rPr>
                <w:color w:val="221E1F"/>
                <w:lang w:eastAsia="ja-JP"/>
              </w:rPr>
              <w:t> </w:t>
            </w:r>
            <w:r w:rsidR="00C34F1D" w:rsidRPr="002B65F7">
              <w:rPr>
                <w:color w:val="221E1F"/>
                <w:lang w:eastAsia="ja-JP"/>
              </w:rPr>
              <w:t xml:space="preserve">4e </w:t>
            </w:r>
            <w:r w:rsidRPr="002B65F7">
              <w:rPr>
                <w:color w:val="221E1F"/>
                <w:lang w:eastAsia="ja-JP"/>
              </w:rPr>
              <w:t xml:space="preserve">pour la deuxième injection en utilisant une nouvelle seringue préremplie. </w:t>
            </w:r>
            <w:r w:rsidRPr="00E102E6">
              <w:rPr>
                <w:color w:val="221E1F"/>
                <w:lang w:eastAsia="ja-JP"/>
              </w:rPr>
              <w:t>Choisissez un site différent pour la deuxième injection.</w:t>
            </w:r>
          </w:p>
        </w:tc>
      </w:tr>
    </w:tbl>
    <w:p w14:paraId="449EB05C" w14:textId="77777777" w:rsidR="00C34F1D" w:rsidRPr="00E102E6" w:rsidRDefault="00C34F1D" w:rsidP="00C34F1D">
      <w:pPr>
        <w:rPr>
          <w:b/>
          <w:color w:val="000000"/>
          <w:lang w:eastAsia="ja-JP"/>
        </w:rPr>
      </w:pPr>
    </w:p>
    <w:tbl>
      <w:tblPr>
        <w:tblW w:w="9365" w:type="dxa"/>
        <w:tblInd w:w="-60" w:type="dxa"/>
        <w:tblLook w:val="04A0" w:firstRow="1" w:lastRow="0" w:firstColumn="1" w:lastColumn="0" w:noHBand="0" w:noVBand="1"/>
      </w:tblPr>
      <w:tblGrid>
        <w:gridCol w:w="9365"/>
      </w:tblGrid>
      <w:tr w:rsidR="00C34F1D" w:rsidRPr="002B65F7" w14:paraId="1378A81C" w14:textId="77777777" w:rsidTr="00F57E88">
        <w:trPr>
          <w:cantSplit/>
        </w:trPr>
        <w:tc>
          <w:tcPr>
            <w:tcW w:w="9365" w:type="dxa"/>
          </w:tcPr>
          <w:p w14:paraId="16E09B0E" w14:textId="5F1EA3EC" w:rsidR="00C34F1D" w:rsidRPr="002B65F7" w:rsidRDefault="00C34F1D" w:rsidP="004105B2">
            <w:pPr>
              <w:keepNext/>
              <w:shd w:val="clear" w:color="auto" w:fill="8DB3E2"/>
              <w:tabs>
                <w:tab w:val="left" w:pos="810"/>
              </w:tabs>
              <w:suppressAutoHyphens/>
              <w:adjustRightInd w:val="0"/>
              <w:contextualSpacing/>
              <w:textAlignment w:val="center"/>
              <w:rPr>
                <w:b/>
                <w:bCs/>
                <w:color w:val="000000"/>
                <w:lang w:eastAsia="ja-JP"/>
              </w:rPr>
            </w:pPr>
            <w:r w:rsidRPr="002B65F7">
              <w:rPr>
                <w:b/>
                <w:bCs/>
                <w:color w:val="000000"/>
                <w:lang w:eastAsia="ja-JP"/>
              </w:rPr>
              <w:t xml:space="preserve">5 </w:t>
            </w:r>
            <w:r w:rsidR="003F4933" w:rsidRPr="002B65F7">
              <w:rPr>
                <w:b/>
                <w:bCs/>
                <w:color w:val="000000"/>
                <w:lang w:eastAsia="ja-JP"/>
              </w:rPr>
              <w:t xml:space="preserve">Finalisation et </w:t>
            </w:r>
            <w:r w:rsidR="00F11F86" w:rsidRPr="002B65F7">
              <w:rPr>
                <w:b/>
                <w:bCs/>
                <w:color w:val="000000"/>
                <w:lang w:eastAsia="ja-JP"/>
              </w:rPr>
              <w:t>é</w:t>
            </w:r>
            <w:r w:rsidR="003F4933" w:rsidRPr="002B65F7">
              <w:rPr>
                <w:b/>
                <w:bCs/>
                <w:color w:val="000000"/>
                <w:lang w:eastAsia="ja-JP"/>
              </w:rPr>
              <w:t>limination de</w:t>
            </w:r>
            <w:r w:rsidRPr="002B65F7">
              <w:rPr>
                <w:b/>
                <w:bCs/>
                <w:color w:val="000000"/>
                <w:lang w:eastAsia="ja-JP"/>
              </w:rPr>
              <w:t xml:space="preserve"> WEZENLA</w:t>
            </w:r>
          </w:p>
          <w:p w14:paraId="41A93590" w14:textId="185DD9E2" w:rsidR="00C34F1D" w:rsidRPr="002B65F7" w:rsidRDefault="00A2167E" w:rsidP="004105B2">
            <w:pPr>
              <w:keepNext/>
              <w:tabs>
                <w:tab w:val="left" w:pos="810"/>
              </w:tabs>
              <w:suppressAutoHyphens/>
              <w:adjustRightInd w:val="0"/>
              <w:contextualSpacing/>
              <w:textAlignment w:val="center"/>
              <w:rPr>
                <w:b/>
                <w:bCs/>
                <w:color w:val="000000"/>
                <w:lang w:eastAsia="ja-JP"/>
              </w:rPr>
            </w:pPr>
            <w:r>
              <w:rPr>
                <w:noProof/>
              </w:rPr>
              <mc:AlternateContent>
                <mc:Choice Requires="wps">
                  <w:drawing>
                    <wp:anchor distT="45720" distB="45720" distL="114300" distR="114300" simplePos="0" relativeHeight="251655680" behindDoc="0" locked="0" layoutInCell="1" allowOverlap="1" wp14:anchorId="5D1F7B8E" wp14:editId="7553512B">
                      <wp:simplePos x="0" y="0"/>
                      <wp:positionH relativeFrom="column">
                        <wp:posOffset>-6350</wp:posOffset>
                      </wp:positionH>
                      <wp:positionV relativeFrom="paragraph">
                        <wp:posOffset>99060</wp:posOffset>
                      </wp:positionV>
                      <wp:extent cx="5536565" cy="267335"/>
                      <wp:effectExtent l="0" t="0" r="6985" b="0"/>
                      <wp:wrapSquare wrapText="bothSides"/>
                      <wp:docPr id="636564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6565" cy="267335"/>
                              </a:xfrm>
                              <a:prstGeom prst="rect">
                                <a:avLst/>
                              </a:prstGeom>
                              <a:solidFill>
                                <a:srgbClr val="FFFFFF"/>
                              </a:solidFill>
                              <a:ln w="19050">
                                <a:solidFill>
                                  <a:srgbClr val="FF0000"/>
                                </a:solidFill>
                                <a:miter lim="800000"/>
                                <a:headEnd/>
                                <a:tailEnd/>
                              </a:ln>
                            </wps:spPr>
                            <wps:txbx>
                              <w:txbxContent>
                                <w:p w14:paraId="27654BD6" w14:textId="41FA2951" w:rsidR="000238BD" w:rsidRPr="00C27136" w:rsidRDefault="000238BD" w:rsidP="00C34F1D">
                                  <w:pPr>
                                    <w:pStyle w:val="SUBSTEP"/>
                                    <w:tabs>
                                      <w:tab w:val="clear" w:pos="240"/>
                                      <w:tab w:val="clear" w:pos="360"/>
                                      <w:tab w:val="clear" w:pos="660"/>
                                      <w:tab w:val="clear" w:pos="780"/>
                                    </w:tabs>
                                    <w:spacing w:before="0" w:line="240" w:lineRule="auto"/>
                                    <w:ind w:left="0" w:firstLine="0"/>
                                    <w:rPr>
                                      <w:b w:val="0"/>
                                      <w:szCs w:val="22"/>
                                      <w:lang w:val="fr-FR"/>
                                    </w:rPr>
                                  </w:pPr>
                                  <w:r w:rsidRPr="00C27136">
                                    <w:rPr>
                                      <w:bCs w:val="0"/>
                                      <w:szCs w:val="22"/>
                                      <w:lang w:val="fr-FR"/>
                                    </w:rPr>
                                    <w:t xml:space="preserve">Important : </w:t>
                                  </w:r>
                                  <w:r w:rsidRPr="00C27136">
                                    <w:rPr>
                                      <w:b w:val="0"/>
                                      <w:szCs w:val="22"/>
                                      <w:lang w:val="fr-FR"/>
                                    </w:rPr>
                                    <w:t xml:space="preserve">ne remettez jamais le </w:t>
                                  </w:r>
                                  <w:r w:rsidRPr="00C27136">
                                    <w:rPr>
                                      <w:b w:val="0"/>
                                      <w:bCs w:val="0"/>
                                      <w:lang w:val="fr-FR"/>
                                    </w:rPr>
                                    <w:t>capuchon de l’aiguille</w:t>
                                  </w:r>
                                  <w:r w:rsidRPr="00C27136">
                                    <w:rPr>
                                      <w:b w:val="0"/>
                                      <w:szCs w:val="22"/>
                                      <w:lang w:val="fr-FR"/>
                                    </w:rPr>
                                    <w:t>.</w:t>
                                  </w:r>
                                </w:p>
                                <w:p w14:paraId="741B166C" w14:textId="77777777" w:rsidR="000238BD" w:rsidRPr="00815100" w:rsidRDefault="000238BD" w:rsidP="00C34F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F7B8E" id="Text Box 6" o:spid="_x0000_s1030" type="#_x0000_t202" style="position:absolute;margin-left:-.5pt;margin-top:7.8pt;width:435.95pt;height:21.0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" strokecolor="red" strokeweight="1.5pt">
                      <v:textbox>
                        <w:txbxContent>
                          <w:p w14:paraId="27654BD6" w14:textId="41FA2951" w:rsidR="000238BD" w:rsidRPr="00C27136" w:rsidRDefault="000238BD" w:rsidP="00C34F1D">
                            <w:pPr>
                              <w:pStyle w:val="SUBSTEP"/>
                              <w:tabs>
                                <w:tab w:val="clear" w:pos="240"/>
                                <w:tab w:val="clear" w:pos="360"/>
                                <w:tab w:val="clear" w:pos="660"/>
                                <w:tab w:val="clear" w:pos="780"/>
                              </w:tabs>
                              <w:spacing w:before="0" w:line="240" w:lineRule="auto"/>
                              <w:ind w:left="0" w:firstLine="0"/>
                              <w:rPr>
                                <w:b w:val="0"/>
                                <w:szCs w:val="22"/>
                                <w:lang w:val="fr-FR"/>
                              </w:rPr>
                            </w:pPr>
                            <w:r w:rsidRPr="00C27136">
                              <w:rPr>
                                <w:bCs w:val="0"/>
                                <w:szCs w:val="22"/>
                                <w:lang w:val="fr-FR"/>
                              </w:rPr>
                              <w:t xml:space="preserve">Important : </w:t>
                            </w:r>
                            <w:r w:rsidRPr="00C27136">
                              <w:rPr>
                                <w:b w:val="0"/>
                                <w:szCs w:val="22"/>
                                <w:lang w:val="fr-FR"/>
                              </w:rPr>
                              <w:t xml:space="preserve">ne remettez jamais le </w:t>
                            </w:r>
                            <w:r w:rsidRPr="00C27136">
                              <w:rPr>
                                <w:b w:val="0"/>
                                <w:bCs w:val="0"/>
                                <w:lang w:val="fr-FR"/>
                              </w:rPr>
                              <w:t>capuchon de l’aiguille</w:t>
                            </w:r>
                            <w:r w:rsidRPr="00C27136">
                              <w:rPr>
                                <w:b w:val="0"/>
                                <w:szCs w:val="22"/>
                                <w:lang w:val="fr-FR"/>
                              </w:rPr>
                              <w:t>.</w:t>
                            </w:r>
                          </w:p>
                          <w:p w14:paraId="741B166C" w14:textId="77777777" w:rsidR="000238BD" w:rsidRPr="00815100" w:rsidRDefault="000238BD" w:rsidP="00C34F1D"/>
                        </w:txbxContent>
                      </v:textbox>
                      <w10:wrap type="square"/>
                    </v:shape>
                  </w:pict>
                </mc:Fallback>
              </mc:AlternateContent>
            </w:r>
          </w:p>
        </w:tc>
      </w:tr>
      <w:tr w:rsidR="00C34F1D" w:rsidRPr="002B65F7" w14:paraId="2C23FBC6" w14:textId="77777777" w:rsidTr="00F57E88">
        <w:trPr>
          <w:cantSplit/>
          <w:trHeight w:val="270"/>
        </w:trPr>
        <w:tc>
          <w:tcPr>
            <w:tcW w:w="9365" w:type="dxa"/>
          </w:tcPr>
          <w:p w14:paraId="16D60900" w14:textId="5DF4D47F" w:rsidR="00C34F1D" w:rsidRPr="002B65F7" w:rsidRDefault="00C34F1D" w:rsidP="004105B2">
            <w:pPr>
              <w:keepNext/>
              <w:tabs>
                <w:tab w:val="left" w:pos="810"/>
              </w:tabs>
              <w:suppressAutoHyphens/>
              <w:adjustRightInd w:val="0"/>
              <w:contextualSpacing/>
              <w:textAlignment w:val="center"/>
              <w:rPr>
                <w:b/>
                <w:bCs/>
                <w:color w:val="000000"/>
                <w:lang w:eastAsia="ja-JP"/>
              </w:rPr>
            </w:pPr>
            <w:r w:rsidRPr="002B65F7">
              <w:rPr>
                <w:b/>
                <w:bCs/>
                <w:color w:val="000000"/>
                <w:lang w:eastAsia="ja-JP"/>
              </w:rPr>
              <w:t xml:space="preserve">5a </w:t>
            </w:r>
            <w:r w:rsidR="00F11F86" w:rsidRPr="002B65F7">
              <w:rPr>
                <w:b/>
                <w:bCs/>
              </w:rPr>
              <w:t>Jetez la seringue préremplie usagée et le capuchon de l’aiguille dans le conteneur à déchets tranchants</w:t>
            </w:r>
            <w:r w:rsidRPr="002B65F7">
              <w:rPr>
                <w:b/>
                <w:bCs/>
                <w:color w:val="000000"/>
                <w:lang w:eastAsia="ja-JP"/>
              </w:rPr>
              <w:t xml:space="preserve">. </w:t>
            </w:r>
          </w:p>
        </w:tc>
      </w:tr>
      <w:tr w:rsidR="00C34F1D" w:rsidRPr="002B65F7" w14:paraId="45A4E9DA" w14:textId="77777777" w:rsidTr="00F57E88">
        <w:trPr>
          <w:cantSplit/>
          <w:trHeight w:val="2248"/>
        </w:trPr>
        <w:tc>
          <w:tcPr>
            <w:tcW w:w="9365" w:type="dxa"/>
          </w:tcPr>
          <w:p w14:paraId="7B7EAC4C" w14:textId="2899DEA0" w:rsidR="00C34F1D" w:rsidRPr="002B65F7" w:rsidRDefault="00A2167E" w:rsidP="004105B2">
            <w:pPr>
              <w:keepNext/>
              <w:tabs>
                <w:tab w:val="left" w:pos="810"/>
              </w:tabs>
              <w:suppressAutoHyphens/>
              <w:adjustRightInd w:val="0"/>
              <w:ind w:left="720"/>
              <w:contextualSpacing/>
              <w:textAlignment w:val="center"/>
              <w:rPr>
                <w:color w:val="000000"/>
                <w:lang w:val="en-GB" w:eastAsia="ja-JP"/>
              </w:rPr>
            </w:pPr>
            <w:r>
              <w:rPr>
                <w:noProof/>
                <w:lang w:val="en-US" w:eastAsia="zh-CN"/>
              </w:rPr>
              <w:drawing>
                <wp:inline distT="0" distB="0" distL="0" distR="0" wp14:anchorId="0C6FEF12" wp14:editId="3D84BED6">
                  <wp:extent cx="1869440" cy="1379855"/>
                  <wp:effectExtent l="0" t="0" r="0" b="0"/>
                  <wp:docPr id="25"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69440" cy="1379855"/>
                          </a:xfrm>
                          <a:prstGeom prst="rect">
                            <a:avLst/>
                          </a:prstGeom>
                          <a:noFill/>
                          <a:ln>
                            <a:noFill/>
                          </a:ln>
                        </pic:spPr>
                      </pic:pic>
                    </a:graphicData>
                  </a:graphic>
                </wp:inline>
              </w:drawing>
            </w:r>
          </w:p>
        </w:tc>
      </w:tr>
      <w:tr w:rsidR="00C34F1D" w:rsidRPr="002B65F7" w14:paraId="02932469" w14:textId="77777777" w:rsidTr="00F57E88">
        <w:trPr>
          <w:cantSplit/>
        </w:trPr>
        <w:tc>
          <w:tcPr>
            <w:tcW w:w="9365" w:type="dxa"/>
          </w:tcPr>
          <w:p w14:paraId="62AC2EFA" w14:textId="0FC113E2" w:rsidR="00C34F1D" w:rsidRPr="002B65F7" w:rsidRDefault="00815100" w:rsidP="00F57E88">
            <w:pPr>
              <w:widowControl/>
              <w:numPr>
                <w:ilvl w:val="0"/>
                <w:numId w:val="8"/>
              </w:numPr>
              <w:suppressAutoHyphens/>
              <w:ind w:left="567" w:hanging="567"/>
              <w:textAlignment w:val="center"/>
              <w:rPr>
                <w:lang w:eastAsia="ja-JP"/>
              </w:rPr>
            </w:pPr>
            <w:r w:rsidRPr="002B65F7">
              <w:rPr>
                <w:b/>
                <w:color w:val="000000"/>
                <w:lang w:eastAsia="ja-JP"/>
              </w:rPr>
              <w:t>Ne réutilisez pas</w:t>
            </w:r>
            <w:r w:rsidR="00C34F1D" w:rsidRPr="002B65F7">
              <w:rPr>
                <w:color w:val="000000"/>
                <w:lang w:eastAsia="ja-JP"/>
              </w:rPr>
              <w:t xml:space="preserve"> </w:t>
            </w:r>
            <w:r w:rsidRPr="002B65F7">
              <w:rPr>
                <w:color w:val="000000"/>
                <w:lang w:eastAsia="ja-JP"/>
              </w:rPr>
              <w:t>la seringue préremplie</w:t>
            </w:r>
            <w:r w:rsidR="00C34F1D" w:rsidRPr="002B65F7">
              <w:rPr>
                <w:color w:val="000000"/>
                <w:lang w:eastAsia="ja-JP"/>
              </w:rPr>
              <w:t xml:space="preserve">. </w:t>
            </w:r>
          </w:p>
        </w:tc>
      </w:tr>
    </w:tbl>
    <w:p w14:paraId="61E87FB9" w14:textId="64BF0787" w:rsidR="00C34F1D" w:rsidRPr="002B65F7" w:rsidRDefault="00A2167E" w:rsidP="00C34F1D">
      <w:pPr>
        <w:rPr>
          <w:b/>
          <w:color w:val="000000"/>
          <w:lang w:eastAsia="ja-JP"/>
        </w:rPr>
      </w:pPr>
      <w:r>
        <w:rPr>
          <w:noProof/>
        </w:rPr>
        <mc:AlternateContent>
          <mc:Choice Requires="wps">
            <w:drawing>
              <wp:anchor distT="45720" distB="45720" distL="114300" distR="114300" simplePos="0" relativeHeight="251654656" behindDoc="0" locked="0" layoutInCell="1" allowOverlap="1" wp14:anchorId="155EAF81" wp14:editId="6D07F140">
                <wp:simplePos x="0" y="0"/>
                <wp:positionH relativeFrom="column">
                  <wp:posOffset>-87630</wp:posOffset>
                </wp:positionH>
                <wp:positionV relativeFrom="paragraph">
                  <wp:posOffset>67945</wp:posOffset>
                </wp:positionV>
                <wp:extent cx="5697220" cy="267335"/>
                <wp:effectExtent l="0" t="0" r="0" b="0"/>
                <wp:wrapSquare wrapText="bothSides"/>
                <wp:docPr id="1759653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220" cy="267335"/>
                        </a:xfrm>
                        <a:prstGeom prst="rect">
                          <a:avLst/>
                        </a:prstGeom>
                        <a:solidFill>
                          <a:srgbClr val="FFFFFF"/>
                        </a:solidFill>
                        <a:ln w="19050">
                          <a:solidFill>
                            <a:srgbClr val="FF0000"/>
                          </a:solidFill>
                          <a:miter lim="800000"/>
                          <a:headEnd/>
                          <a:tailEnd/>
                        </a:ln>
                      </wps:spPr>
                      <wps:txbx>
                        <w:txbxContent>
                          <w:p w14:paraId="5BC6B859" w14:textId="488F497F" w:rsidR="000238BD" w:rsidRPr="00C27136" w:rsidRDefault="000238BD" w:rsidP="00C34F1D">
                            <w:pPr>
                              <w:pStyle w:val="SUBSTEP"/>
                              <w:tabs>
                                <w:tab w:val="clear" w:pos="240"/>
                                <w:tab w:val="clear" w:pos="360"/>
                                <w:tab w:val="clear" w:pos="660"/>
                                <w:tab w:val="clear" w:pos="780"/>
                              </w:tabs>
                              <w:spacing w:before="0" w:line="240" w:lineRule="auto"/>
                              <w:ind w:left="0" w:firstLine="0"/>
                              <w:rPr>
                                <w:b w:val="0"/>
                                <w:szCs w:val="22"/>
                                <w:lang w:val="fr-FR"/>
                              </w:rPr>
                            </w:pPr>
                            <w:r w:rsidRPr="00C27136">
                              <w:rPr>
                                <w:bCs w:val="0"/>
                                <w:szCs w:val="22"/>
                                <w:lang w:val="fr-FR"/>
                              </w:rPr>
                              <w:t>Ne jetez pas</w:t>
                            </w:r>
                            <w:r w:rsidRPr="00C27136">
                              <w:rPr>
                                <w:b w:val="0"/>
                                <w:szCs w:val="22"/>
                                <w:lang w:val="fr-FR"/>
                              </w:rPr>
                              <w:t xml:space="preserve"> la seringue préremplie </w:t>
                            </w:r>
                            <w:r w:rsidRPr="00C27136">
                              <w:rPr>
                                <w:b w:val="0"/>
                                <w:bCs w:val="0"/>
                                <w:lang w:val="fr-FR"/>
                              </w:rPr>
                              <w:t>avec les ordures ménagères</w:t>
                            </w:r>
                            <w:r w:rsidRPr="00C27136">
                              <w:rPr>
                                <w:b w:val="0"/>
                                <w:szCs w:val="22"/>
                                <w:lang w:val="fr-FR"/>
                              </w:rPr>
                              <w:t>.</w:t>
                            </w:r>
                          </w:p>
                          <w:p w14:paraId="719B11D6" w14:textId="77777777" w:rsidR="000238BD" w:rsidRPr="00815100" w:rsidRDefault="000238BD" w:rsidP="00C34F1D">
                            <w:pPr>
                              <w:ind w:left="27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EAF81" id="Text Box 5" o:spid="_x0000_s1031" type="#_x0000_t202" style="position:absolute;margin-left:-6.9pt;margin-top:5.35pt;width:448.6pt;height:21.0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" strokecolor="red" strokeweight="1.5pt">
                <v:textbox>
                  <w:txbxContent>
                    <w:p w14:paraId="5BC6B859" w14:textId="488F497F" w:rsidR="000238BD" w:rsidRPr="00C27136" w:rsidRDefault="000238BD" w:rsidP="00C34F1D">
                      <w:pPr>
                        <w:pStyle w:val="SUBSTEP"/>
                        <w:tabs>
                          <w:tab w:val="clear" w:pos="240"/>
                          <w:tab w:val="clear" w:pos="360"/>
                          <w:tab w:val="clear" w:pos="660"/>
                          <w:tab w:val="clear" w:pos="780"/>
                        </w:tabs>
                        <w:spacing w:before="0" w:line="240" w:lineRule="auto"/>
                        <w:ind w:left="0" w:firstLine="0"/>
                        <w:rPr>
                          <w:b w:val="0"/>
                          <w:szCs w:val="22"/>
                          <w:lang w:val="fr-FR"/>
                        </w:rPr>
                      </w:pPr>
                      <w:r w:rsidRPr="00C27136">
                        <w:rPr>
                          <w:bCs w:val="0"/>
                          <w:szCs w:val="22"/>
                          <w:lang w:val="fr-FR"/>
                        </w:rPr>
                        <w:t>Ne jetez pas</w:t>
                      </w:r>
                      <w:r w:rsidRPr="00C27136">
                        <w:rPr>
                          <w:b w:val="0"/>
                          <w:szCs w:val="22"/>
                          <w:lang w:val="fr-FR"/>
                        </w:rPr>
                        <w:t xml:space="preserve"> la seringue préremplie </w:t>
                      </w:r>
                      <w:r w:rsidRPr="00C27136">
                        <w:rPr>
                          <w:b w:val="0"/>
                          <w:bCs w:val="0"/>
                          <w:lang w:val="fr-FR"/>
                        </w:rPr>
                        <w:t>avec les ordures ménagères</w:t>
                      </w:r>
                      <w:r w:rsidRPr="00C27136">
                        <w:rPr>
                          <w:b w:val="0"/>
                          <w:szCs w:val="22"/>
                          <w:lang w:val="fr-FR"/>
                        </w:rPr>
                        <w:t>.</w:t>
                      </w:r>
                    </w:p>
                    <w:p w14:paraId="719B11D6" w14:textId="77777777" w:rsidR="000238BD" w:rsidRPr="00815100" w:rsidRDefault="000238BD" w:rsidP="00C34F1D">
                      <w:pPr>
                        <w:ind w:left="270"/>
                      </w:pPr>
                    </w:p>
                  </w:txbxContent>
                </v:textbox>
                <w10:wrap type="square"/>
              </v:shape>
            </w:pict>
          </mc:Fallback>
        </mc:AlternateContent>
      </w:r>
    </w:p>
    <w:tbl>
      <w:tblPr>
        <w:tblW w:w="9365" w:type="dxa"/>
        <w:tblInd w:w="-60" w:type="dxa"/>
        <w:tblLook w:val="04A0" w:firstRow="1" w:lastRow="0" w:firstColumn="1" w:lastColumn="0" w:noHBand="0" w:noVBand="1"/>
      </w:tblPr>
      <w:tblGrid>
        <w:gridCol w:w="9365"/>
      </w:tblGrid>
      <w:tr w:rsidR="00C34F1D" w:rsidRPr="002B65F7" w14:paraId="46E3DC67" w14:textId="77777777" w:rsidTr="00420729">
        <w:tc>
          <w:tcPr>
            <w:tcW w:w="9365" w:type="dxa"/>
          </w:tcPr>
          <w:p w14:paraId="2F78C32A" w14:textId="60C41C3E" w:rsidR="00C34F1D" w:rsidRPr="002B65F7" w:rsidRDefault="00C34F1D" w:rsidP="004105B2">
            <w:pPr>
              <w:tabs>
                <w:tab w:val="left" w:pos="888"/>
              </w:tabs>
              <w:suppressAutoHyphens/>
              <w:adjustRightInd w:val="0"/>
              <w:contextualSpacing/>
              <w:textAlignment w:val="center"/>
              <w:rPr>
                <w:b/>
                <w:bCs/>
                <w:noProof/>
                <w:color w:val="000000"/>
                <w:lang w:eastAsia="ja-JP"/>
              </w:rPr>
            </w:pPr>
            <w:r w:rsidRPr="002B65F7">
              <w:rPr>
                <w:b/>
                <w:bCs/>
                <w:noProof/>
                <w:color w:val="000000"/>
                <w:lang w:eastAsia="ja-JP"/>
              </w:rPr>
              <w:t xml:space="preserve">5b </w:t>
            </w:r>
            <w:r w:rsidR="00815100" w:rsidRPr="002B65F7">
              <w:rPr>
                <w:b/>
                <w:bCs/>
                <w:color w:val="000000"/>
                <w:lang w:eastAsia="ja-JP"/>
              </w:rPr>
              <w:t>Examinez le site d’</w:t>
            </w:r>
            <w:r w:rsidRPr="002B65F7">
              <w:rPr>
                <w:b/>
                <w:bCs/>
                <w:color w:val="000000"/>
                <w:lang w:eastAsia="ja-JP"/>
              </w:rPr>
              <w:t>injectio</w:t>
            </w:r>
            <w:r w:rsidR="00815100" w:rsidRPr="002B65F7">
              <w:rPr>
                <w:b/>
                <w:bCs/>
                <w:color w:val="000000"/>
                <w:lang w:eastAsia="ja-JP"/>
              </w:rPr>
              <w:t>n</w:t>
            </w:r>
            <w:r w:rsidRPr="002B65F7">
              <w:rPr>
                <w:b/>
                <w:bCs/>
                <w:color w:val="000000"/>
                <w:lang w:eastAsia="ja-JP"/>
              </w:rPr>
              <w:t>.</w:t>
            </w:r>
          </w:p>
        </w:tc>
      </w:tr>
      <w:tr w:rsidR="00C34F1D" w:rsidRPr="002B65F7" w14:paraId="2D41F9C1" w14:textId="77777777" w:rsidTr="00420729">
        <w:tc>
          <w:tcPr>
            <w:tcW w:w="9365" w:type="dxa"/>
          </w:tcPr>
          <w:p w14:paraId="2E8B3376" w14:textId="0B0718EB" w:rsidR="00C34F1D" w:rsidRPr="002B65F7" w:rsidRDefault="00A2167E" w:rsidP="004105B2">
            <w:pPr>
              <w:tabs>
                <w:tab w:val="left" w:pos="810"/>
              </w:tabs>
              <w:suppressAutoHyphens/>
              <w:adjustRightInd w:val="0"/>
              <w:ind w:left="720"/>
              <w:contextualSpacing/>
              <w:textAlignment w:val="center"/>
              <w:rPr>
                <w:color w:val="000000"/>
                <w:lang w:val="en-GB" w:eastAsia="ja-JP"/>
              </w:rPr>
            </w:pPr>
            <w:r>
              <w:rPr>
                <w:noProof/>
                <w:color w:val="000000"/>
                <w:lang w:val="en-US" w:eastAsia="zh-CN"/>
              </w:rPr>
              <w:drawing>
                <wp:inline distT="0" distB="0" distL="0" distR="0" wp14:anchorId="2F60D44B" wp14:editId="68EDEF6D">
                  <wp:extent cx="1665605" cy="1665605"/>
                  <wp:effectExtent l="0" t="0" r="0" b="0"/>
                  <wp:docPr id="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65605" cy="1665605"/>
                          </a:xfrm>
                          <a:prstGeom prst="rect">
                            <a:avLst/>
                          </a:prstGeom>
                          <a:noFill/>
                          <a:ln>
                            <a:noFill/>
                          </a:ln>
                        </pic:spPr>
                      </pic:pic>
                    </a:graphicData>
                  </a:graphic>
                </wp:inline>
              </w:drawing>
            </w:r>
          </w:p>
        </w:tc>
      </w:tr>
      <w:tr w:rsidR="00C34F1D" w:rsidRPr="002B65F7" w14:paraId="2EBF5106" w14:textId="77777777" w:rsidTr="00420729">
        <w:tc>
          <w:tcPr>
            <w:tcW w:w="9365" w:type="dxa"/>
          </w:tcPr>
          <w:p w14:paraId="57172A51" w14:textId="532A3BCD" w:rsidR="00C34F1D" w:rsidRPr="002B65F7" w:rsidRDefault="00815100" w:rsidP="00F57E88">
            <w:pPr>
              <w:widowControl/>
              <w:numPr>
                <w:ilvl w:val="0"/>
                <w:numId w:val="8"/>
              </w:numPr>
              <w:suppressAutoHyphens/>
              <w:ind w:left="567" w:hanging="567"/>
              <w:textAlignment w:val="center"/>
              <w:rPr>
                <w:lang w:eastAsia="ja-JP"/>
              </w:rPr>
            </w:pPr>
            <w:r w:rsidRPr="002B65F7">
              <w:rPr>
                <w:b/>
                <w:color w:val="000000"/>
                <w:lang w:eastAsia="ja-JP"/>
              </w:rPr>
              <w:t>Ne frottez pas</w:t>
            </w:r>
            <w:r w:rsidR="00C34F1D" w:rsidRPr="002B65F7">
              <w:rPr>
                <w:color w:val="000000"/>
                <w:lang w:eastAsia="ja-JP"/>
              </w:rPr>
              <w:t xml:space="preserve"> </w:t>
            </w:r>
            <w:r w:rsidRPr="002B65F7">
              <w:rPr>
                <w:color w:val="000000"/>
                <w:lang w:eastAsia="ja-JP"/>
              </w:rPr>
              <w:t>l</w:t>
            </w:r>
            <w:r w:rsidR="00C34F1D" w:rsidRPr="002B65F7">
              <w:rPr>
                <w:color w:val="000000"/>
                <w:lang w:eastAsia="ja-JP"/>
              </w:rPr>
              <w:t xml:space="preserve">e </w:t>
            </w:r>
            <w:r w:rsidRPr="002B65F7">
              <w:rPr>
                <w:color w:val="000000"/>
                <w:lang w:eastAsia="ja-JP"/>
              </w:rPr>
              <w:t>site d’</w:t>
            </w:r>
            <w:r w:rsidR="00C34F1D" w:rsidRPr="002B65F7">
              <w:rPr>
                <w:color w:val="000000"/>
                <w:lang w:eastAsia="ja-JP"/>
              </w:rPr>
              <w:t xml:space="preserve">injection. </w:t>
            </w:r>
          </w:p>
        </w:tc>
      </w:tr>
      <w:tr w:rsidR="00C34F1D" w:rsidRPr="002B65F7" w14:paraId="5A9E755A" w14:textId="77777777" w:rsidTr="00420729">
        <w:tc>
          <w:tcPr>
            <w:tcW w:w="9365" w:type="dxa"/>
          </w:tcPr>
          <w:p w14:paraId="7C9426B9" w14:textId="07FDC35D" w:rsidR="00C34F1D" w:rsidRPr="002B65F7" w:rsidRDefault="00F11F86" w:rsidP="00F57E88">
            <w:pPr>
              <w:widowControl/>
              <w:numPr>
                <w:ilvl w:val="0"/>
                <w:numId w:val="8"/>
              </w:numPr>
              <w:suppressAutoHyphens/>
              <w:ind w:left="567" w:hanging="567"/>
              <w:textAlignment w:val="center"/>
              <w:rPr>
                <w:bCs/>
                <w:color w:val="000000"/>
                <w:spacing w:val="-2"/>
                <w:lang w:eastAsia="ja-JP"/>
              </w:rPr>
            </w:pPr>
            <w:r w:rsidRPr="002B65F7">
              <w:t>En cas de saignement, appliquez du coton ou de la gaze sur votre site d’injection. Appliquez un pansement si nécessaire</w:t>
            </w:r>
            <w:r w:rsidR="00C34F1D" w:rsidRPr="002B65F7">
              <w:rPr>
                <w:bCs/>
                <w:color w:val="000000"/>
                <w:spacing w:val="-2"/>
                <w:lang w:eastAsia="ja-JP"/>
              </w:rPr>
              <w:t xml:space="preserve">. </w:t>
            </w:r>
          </w:p>
        </w:tc>
      </w:tr>
    </w:tbl>
    <w:p w14:paraId="0C08D823" w14:textId="77777777" w:rsidR="00C34F1D" w:rsidRPr="002B65F7" w:rsidRDefault="00C34F1D" w:rsidP="00C34F1D">
      <w:pPr>
        <w:rPr>
          <w:lang w:eastAsia="ja-JP"/>
        </w:rPr>
      </w:pPr>
    </w:p>
    <w:p w14:paraId="6B88F5E0" w14:textId="2481A177" w:rsidR="00BF70DA" w:rsidRPr="002B65F7" w:rsidRDefault="00815100" w:rsidP="00496255">
      <w:pPr>
        <w:keepNext/>
        <w:widowControl/>
        <w:rPr>
          <w:b/>
          <w:bCs/>
        </w:rPr>
      </w:pPr>
      <w:r w:rsidRPr="002B65F7">
        <w:t xml:space="preserve">Tout produit non utilisé restant dans la seringue doit être jeté. Ne jetez aucun médicament </w:t>
      </w:r>
      <w:r w:rsidR="001A22BD" w:rsidRPr="002B65F7">
        <w:t>au tout à l’égout</w:t>
      </w:r>
      <w:r w:rsidRPr="002B65F7">
        <w:t xml:space="preserve"> ou</w:t>
      </w:r>
      <w:r w:rsidR="001A22BD" w:rsidRPr="002B65F7">
        <w:t xml:space="preserve"> avec</w:t>
      </w:r>
      <w:r w:rsidRPr="002B65F7">
        <w:t xml:space="preserve"> les ordures ménagères. Demandez à votre pharmacien </w:t>
      </w:r>
      <w:r w:rsidR="001A22BD" w:rsidRPr="002B65F7">
        <w:t>d’</w:t>
      </w:r>
      <w:r w:rsidR="00F11F86" w:rsidRPr="002B65F7">
        <w:t xml:space="preserve">éliminer des médicaments </w:t>
      </w:r>
      <w:r w:rsidR="001A22BD" w:rsidRPr="002B65F7">
        <w:t>que vous n’utilisez plus</w:t>
      </w:r>
      <w:r w:rsidR="00F11F86" w:rsidRPr="002B65F7">
        <w:t>. Ces mesures contribueront à protéger l’environnement</w:t>
      </w:r>
      <w:r w:rsidR="00C34F1D" w:rsidRPr="002B65F7">
        <w:t>.</w:t>
      </w:r>
    </w:p>
    <w:p w14:paraId="181E181A" w14:textId="77777777" w:rsidR="00BF70DA" w:rsidRPr="002B65F7" w:rsidRDefault="00BF70DA" w:rsidP="00496255">
      <w:pPr>
        <w:keepNext/>
        <w:widowControl/>
        <w:rPr>
          <w:b/>
          <w:bCs/>
        </w:rPr>
      </w:pPr>
    </w:p>
    <w:p w14:paraId="0FB9973A" w14:textId="7507E42C" w:rsidR="00841282" w:rsidRPr="002B65F7" w:rsidRDefault="00E46E7D" w:rsidP="00841282">
      <w:pPr>
        <w:keepNext/>
        <w:keepLines/>
        <w:jc w:val="center"/>
        <w:outlineLvl w:val="0"/>
        <w:rPr>
          <w:b/>
          <w:bCs/>
        </w:rPr>
      </w:pPr>
      <w:r w:rsidRPr="002B65F7">
        <w:rPr>
          <w:sz w:val="20"/>
        </w:rPr>
        <w:br w:type="page"/>
      </w:r>
      <w:r w:rsidR="00841282" w:rsidRPr="002B65F7">
        <w:rPr>
          <w:b/>
          <w:bCs/>
        </w:rPr>
        <w:lastRenderedPageBreak/>
        <w:t>Notice : Information de l’utilisateur</w:t>
      </w:r>
    </w:p>
    <w:p w14:paraId="5DEB4145" w14:textId="77777777" w:rsidR="00841282" w:rsidRPr="002B65F7" w:rsidRDefault="00841282" w:rsidP="00841282">
      <w:pPr>
        <w:widowControl/>
        <w:jc w:val="center"/>
        <w:rPr>
          <w:b/>
          <w:bCs/>
        </w:rPr>
      </w:pPr>
    </w:p>
    <w:p w14:paraId="2533CC8F" w14:textId="77777777" w:rsidR="00841282" w:rsidRPr="002B65F7" w:rsidRDefault="00841282" w:rsidP="00841282">
      <w:pPr>
        <w:widowControl/>
        <w:jc w:val="center"/>
        <w:rPr>
          <w:b/>
          <w:bCs/>
        </w:rPr>
      </w:pPr>
      <w:r w:rsidRPr="002B65F7">
        <w:rPr>
          <w:b/>
          <w:bCs/>
        </w:rPr>
        <w:t>WEZENLA 45 mg solution injectable en stylo prérempli</w:t>
      </w:r>
    </w:p>
    <w:p w14:paraId="4F3B5148" w14:textId="77777777" w:rsidR="00841282" w:rsidRPr="002B65F7" w:rsidRDefault="00841282" w:rsidP="00841282">
      <w:pPr>
        <w:widowControl/>
        <w:jc w:val="center"/>
        <w:rPr>
          <w:b/>
          <w:bCs/>
        </w:rPr>
      </w:pPr>
      <w:r w:rsidRPr="002B65F7">
        <w:rPr>
          <w:b/>
          <w:bCs/>
        </w:rPr>
        <w:t>WEZENLA 90 mg solution injectable en stylo prérempli</w:t>
      </w:r>
    </w:p>
    <w:p w14:paraId="31AA0E00" w14:textId="77777777" w:rsidR="00841282" w:rsidRPr="002B65F7" w:rsidRDefault="00841282" w:rsidP="00841282">
      <w:pPr>
        <w:widowControl/>
        <w:jc w:val="center"/>
      </w:pPr>
      <w:r w:rsidRPr="002B65F7">
        <w:t>ustekinumab</w:t>
      </w:r>
    </w:p>
    <w:p w14:paraId="63E7DD7B" w14:textId="77777777" w:rsidR="00841282" w:rsidRPr="002B65F7" w:rsidRDefault="00841282" w:rsidP="00841282">
      <w:pPr>
        <w:widowControl/>
      </w:pPr>
    </w:p>
    <w:p w14:paraId="51289C76" w14:textId="7158C39D" w:rsidR="00841282" w:rsidRPr="002B65F7" w:rsidRDefault="00A2167E" w:rsidP="00841282">
      <w:pPr>
        <w:widowControl/>
        <w:rPr>
          <w:b/>
          <w:bCs/>
        </w:rPr>
      </w:pPr>
      <w:r>
        <w:rPr>
          <w:noProof/>
          <w:lang w:val="en-US" w:eastAsia="zh-CN"/>
        </w:rPr>
        <w:drawing>
          <wp:inline distT="0" distB="0" distL="0" distR="0" wp14:anchorId="036BC3B0" wp14:editId="752396B0">
            <wp:extent cx="196215" cy="236855"/>
            <wp:effectExtent l="0" t="0" r="0" b="0"/>
            <wp:docPr id="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 cy="236855"/>
                    </a:xfrm>
                    <a:prstGeom prst="rect">
                      <a:avLst/>
                    </a:prstGeom>
                    <a:noFill/>
                    <a:ln>
                      <a:noFill/>
                    </a:ln>
                  </pic:spPr>
                </pic:pic>
              </a:graphicData>
            </a:graphic>
          </wp:inline>
        </w:drawing>
      </w:r>
      <w:r w:rsidR="00841282" w:rsidRPr="002B65F7">
        <w:t>Ce médicament fait l’objet d’une surveillance supplémentaire qui permettra l’identification rapide de nouvelles informations relatives à la sécurité. Vous pouvez y contribuer en signalant tout effet indésirable que vous observez. Voir en fin de rubrique 4 comment déclarer les effets indésirables.</w:t>
      </w:r>
    </w:p>
    <w:p w14:paraId="1E074079" w14:textId="77777777" w:rsidR="00841282" w:rsidRPr="002B65F7" w:rsidRDefault="00841282" w:rsidP="00841282">
      <w:pPr>
        <w:widowControl/>
        <w:rPr>
          <w:b/>
          <w:bCs/>
        </w:rPr>
      </w:pPr>
    </w:p>
    <w:p w14:paraId="17412120" w14:textId="77777777" w:rsidR="00841282" w:rsidRPr="002B65F7" w:rsidRDefault="00841282" w:rsidP="00841282">
      <w:pPr>
        <w:widowControl/>
        <w:rPr>
          <w:b/>
          <w:bCs/>
        </w:rPr>
      </w:pPr>
      <w:r w:rsidRPr="002B65F7">
        <w:rPr>
          <w:b/>
          <w:bCs/>
        </w:rPr>
        <w:t>Veuillez lire attentivement cette notice avant d’utiliser ce médicament car elle contient des informations importantes pour vous.</w:t>
      </w:r>
    </w:p>
    <w:p w14:paraId="38A080D2" w14:textId="77777777" w:rsidR="00841282" w:rsidRPr="002B65F7" w:rsidRDefault="00841282" w:rsidP="00841282">
      <w:pPr>
        <w:widowControl/>
        <w:rPr>
          <w:b/>
          <w:bCs/>
        </w:rPr>
      </w:pPr>
    </w:p>
    <w:p w14:paraId="007ADAF9" w14:textId="4F839839" w:rsidR="00841282" w:rsidRPr="002B65F7" w:rsidRDefault="00841282" w:rsidP="00841282">
      <w:pPr>
        <w:keepNext/>
        <w:widowControl/>
        <w:rPr>
          <w:b/>
          <w:bCs/>
        </w:rPr>
      </w:pPr>
      <w:r w:rsidRPr="002B65F7">
        <w:rPr>
          <w:b/>
          <w:bCs/>
        </w:rPr>
        <w:t>Cette notice a été écrite pour la personne prenant le médicament.</w:t>
      </w:r>
    </w:p>
    <w:p w14:paraId="042F3E67" w14:textId="77777777" w:rsidR="00841282" w:rsidRPr="002B65F7" w:rsidRDefault="00841282" w:rsidP="00841282">
      <w:pPr>
        <w:keepNext/>
        <w:widowControl/>
      </w:pPr>
    </w:p>
    <w:p w14:paraId="2379B4E3" w14:textId="77777777" w:rsidR="00841282" w:rsidRPr="002B65F7" w:rsidRDefault="00841282" w:rsidP="00841282">
      <w:pPr>
        <w:widowControl/>
        <w:tabs>
          <w:tab w:val="left" w:pos="567"/>
        </w:tabs>
        <w:ind w:left="567" w:hanging="567"/>
      </w:pPr>
      <w:r w:rsidRPr="002B65F7">
        <w:t>-</w:t>
      </w:r>
      <w:r w:rsidRPr="002B65F7">
        <w:tab/>
        <w:t>Gardez cette notice. Vous pourriez avoir besoin de la relire.</w:t>
      </w:r>
    </w:p>
    <w:p w14:paraId="0F1D21AC" w14:textId="77777777" w:rsidR="00841282" w:rsidRPr="002B65F7" w:rsidRDefault="00841282" w:rsidP="00841282">
      <w:pPr>
        <w:widowControl/>
        <w:tabs>
          <w:tab w:val="left" w:pos="567"/>
        </w:tabs>
        <w:ind w:left="567" w:hanging="567"/>
      </w:pPr>
      <w:r w:rsidRPr="002B65F7">
        <w:t>-</w:t>
      </w:r>
      <w:r w:rsidRPr="002B65F7">
        <w:tab/>
        <w:t>Si vous avez d’autres questions, interrogez votre médecin ou votre pharmacien.</w:t>
      </w:r>
    </w:p>
    <w:p w14:paraId="6BA17652" w14:textId="77777777" w:rsidR="00841282" w:rsidRPr="002B65F7" w:rsidRDefault="00841282" w:rsidP="00841282">
      <w:pPr>
        <w:widowControl/>
        <w:tabs>
          <w:tab w:val="left" w:pos="567"/>
        </w:tabs>
        <w:ind w:left="567" w:hanging="567"/>
      </w:pPr>
      <w:r w:rsidRPr="002B65F7">
        <w:t>-</w:t>
      </w:r>
      <w:r w:rsidRPr="002B65F7">
        <w:tab/>
        <w:t>Ce médicament vous a été personnellement prescrit. Ne le donnez pas à d’autres personnes. Il pourrait leur être nocif, même si les signes de leur maladie sont identiques aux vôtres.</w:t>
      </w:r>
    </w:p>
    <w:p w14:paraId="2C451E24" w14:textId="77777777" w:rsidR="00841282" w:rsidRPr="002B65F7" w:rsidRDefault="00841282" w:rsidP="00841282">
      <w:pPr>
        <w:widowControl/>
        <w:tabs>
          <w:tab w:val="left" w:pos="567"/>
        </w:tabs>
        <w:ind w:left="567" w:hanging="567"/>
      </w:pPr>
      <w:r w:rsidRPr="002B65F7">
        <w:t>-</w:t>
      </w:r>
      <w:r w:rsidRPr="002B65F7">
        <w:tab/>
        <w:t>Si vous ressentez un quelconque effet indésirable, parlez-en à votre médecin ou votre pharmacien. Ceci s’applique aussi à tout effet indésirable qui ne serait pas mentionné dans cette notice. Voir rubrique 4.</w:t>
      </w:r>
    </w:p>
    <w:p w14:paraId="72A20DFC" w14:textId="77777777" w:rsidR="00841282" w:rsidRPr="002B65F7" w:rsidRDefault="00841282" w:rsidP="00841282">
      <w:pPr>
        <w:widowControl/>
      </w:pPr>
    </w:p>
    <w:p w14:paraId="4DFF849E" w14:textId="77777777" w:rsidR="00841282" w:rsidRPr="002B65F7" w:rsidRDefault="00841282" w:rsidP="00841282">
      <w:pPr>
        <w:keepNext/>
        <w:widowControl/>
        <w:rPr>
          <w:b/>
          <w:bCs/>
        </w:rPr>
      </w:pPr>
      <w:r w:rsidRPr="002B65F7">
        <w:rPr>
          <w:b/>
          <w:bCs/>
        </w:rPr>
        <w:t>Que contient cette notice ?:</w:t>
      </w:r>
    </w:p>
    <w:p w14:paraId="5E8F75D7" w14:textId="77777777" w:rsidR="00841282" w:rsidRPr="002B65F7" w:rsidRDefault="00841282" w:rsidP="00841282">
      <w:pPr>
        <w:keepNext/>
        <w:widowControl/>
      </w:pPr>
    </w:p>
    <w:p w14:paraId="40A8AE25" w14:textId="77777777" w:rsidR="00841282" w:rsidRPr="002B65F7" w:rsidRDefault="00841282" w:rsidP="00841282">
      <w:pPr>
        <w:widowControl/>
        <w:tabs>
          <w:tab w:val="left" w:pos="567"/>
        </w:tabs>
        <w:ind w:left="567" w:hanging="567"/>
      </w:pPr>
      <w:r w:rsidRPr="002B65F7">
        <w:t>1.</w:t>
      </w:r>
      <w:r w:rsidRPr="002B65F7">
        <w:tab/>
        <w:t>Qu’est-ce que WEZENLA et dans quel cas est-il utilisé</w:t>
      </w:r>
    </w:p>
    <w:p w14:paraId="222D90A5" w14:textId="77777777" w:rsidR="00841282" w:rsidRPr="002B65F7" w:rsidRDefault="00841282" w:rsidP="00841282">
      <w:pPr>
        <w:widowControl/>
        <w:tabs>
          <w:tab w:val="left" w:pos="567"/>
        </w:tabs>
        <w:ind w:left="567" w:hanging="567"/>
      </w:pPr>
      <w:r w:rsidRPr="002B65F7">
        <w:t>2.</w:t>
      </w:r>
      <w:r w:rsidRPr="002B65F7">
        <w:tab/>
        <w:t>Quelles sont les informations à connaître avant d’utiliser WEZENLA</w:t>
      </w:r>
    </w:p>
    <w:p w14:paraId="4912BD31" w14:textId="77777777" w:rsidR="00841282" w:rsidRPr="002B65F7" w:rsidRDefault="00841282" w:rsidP="00841282">
      <w:pPr>
        <w:widowControl/>
        <w:tabs>
          <w:tab w:val="left" w:pos="567"/>
        </w:tabs>
        <w:ind w:left="567" w:hanging="567"/>
      </w:pPr>
      <w:r w:rsidRPr="002B65F7">
        <w:t>3.</w:t>
      </w:r>
      <w:r w:rsidRPr="002B65F7">
        <w:tab/>
        <w:t>Comment utiliser WEZENLA</w:t>
      </w:r>
    </w:p>
    <w:p w14:paraId="6EF0E3EE" w14:textId="77777777" w:rsidR="00841282" w:rsidRPr="002B65F7" w:rsidRDefault="00841282" w:rsidP="00841282">
      <w:pPr>
        <w:widowControl/>
        <w:tabs>
          <w:tab w:val="left" w:pos="567"/>
        </w:tabs>
        <w:ind w:left="567" w:hanging="567"/>
      </w:pPr>
      <w:r w:rsidRPr="002B65F7">
        <w:t>4.</w:t>
      </w:r>
      <w:r w:rsidRPr="002B65F7">
        <w:tab/>
        <w:t>Quels sont les effets indésirables éventuels</w:t>
      </w:r>
    </w:p>
    <w:p w14:paraId="2A650737" w14:textId="77777777" w:rsidR="00841282" w:rsidRPr="002B65F7" w:rsidRDefault="00841282" w:rsidP="00841282">
      <w:pPr>
        <w:widowControl/>
        <w:tabs>
          <w:tab w:val="left" w:pos="567"/>
        </w:tabs>
        <w:ind w:left="567" w:hanging="567"/>
      </w:pPr>
      <w:r w:rsidRPr="002B65F7">
        <w:t>5.</w:t>
      </w:r>
      <w:r w:rsidRPr="002B65F7">
        <w:tab/>
        <w:t>Comment conserver WEZENLA</w:t>
      </w:r>
    </w:p>
    <w:p w14:paraId="00D2963C" w14:textId="77777777" w:rsidR="00841282" w:rsidRPr="002B65F7" w:rsidRDefault="00841282" w:rsidP="00841282">
      <w:pPr>
        <w:widowControl/>
        <w:tabs>
          <w:tab w:val="left" w:pos="567"/>
        </w:tabs>
        <w:ind w:left="567" w:hanging="567"/>
      </w:pPr>
      <w:r w:rsidRPr="002B65F7">
        <w:t>6.</w:t>
      </w:r>
      <w:r w:rsidRPr="002B65F7">
        <w:tab/>
        <w:t>Contenu de l’emballage et autres informations</w:t>
      </w:r>
    </w:p>
    <w:p w14:paraId="29DA39B0" w14:textId="77777777" w:rsidR="00841282" w:rsidRPr="002B65F7" w:rsidRDefault="00841282" w:rsidP="00841282">
      <w:pPr>
        <w:widowControl/>
      </w:pPr>
    </w:p>
    <w:p w14:paraId="33E3F021" w14:textId="77777777" w:rsidR="00841282" w:rsidRPr="002B65F7" w:rsidRDefault="00841282" w:rsidP="00841282">
      <w:pPr>
        <w:widowControl/>
      </w:pPr>
    </w:p>
    <w:p w14:paraId="4A7FE323" w14:textId="77777777" w:rsidR="00841282" w:rsidRPr="002B65F7" w:rsidRDefault="00841282" w:rsidP="00841282">
      <w:pPr>
        <w:keepNext/>
        <w:widowControl/>
        <w:tabs>
          <w:tab w:val="left" w:pos="567"/>
        </w:tabs>
        <w:ind w:left="567" w:hanging="567"/>
        <w:rPr>
          <w:b/>
          <w:bCs/>
        </w:rPr>
      </w:pPr>
      <w:r w:rsidRPr="002B65F7">
        <w:rPr>
          <w:b/>
          <w:bCs/>
        </w:rPr>
        <w:t>1.</w:t>
      </w:r>
      <w:r w:rsidRPr="002B65F7">
        <w:rPr>
          <w:b/>
          <w:bCs/>
        </w:rPr>
        <w:tab/>
        <w:t>Qu’est-ce que WEZENLA et dans quel cas est-il utilisé ?</w:t>
      </w:r>
    </w:p>
    <w:p w14:paraId="2739A04D" w14:textId="77777777" w:rsidR="00841282" w:rsidRPr="002B65F7" w:rsidRDefault="00841282" w:rsidP="00841282">
      <w:pPr>
        <w:keepNext/>
        <w:widowControl/>
      </w:pPr>
    </w:p>
    <w:p w14:paraId="68C77F64" w14:textId="77777777" w:rsidR="00841282" w:rsidRPr="002B65F7" w:rsidRDefault="00841282" w:rsidP="00841282">
      <w:pPr>
        <w:keepNext/>
        <w:widowControl/>
        <w:rPr>
          <w:b/>
          <w:bCs/>
        </w:rPr>
      </w:pPr>
      <w:r w:rsidRPr="002B65F7">
        <w:rPr>
          <w:b/>
          <w:bCs/>
        </w:rPr>
        <w:t>Qu’est-ce que WEZENLA</w:t>
      </w:r>
    </w:p>
    <w:p w14:paraId="486EFBDD" w14:textId="77777777" w:rsidR="00841282" w:rsidRPr="002B65F7" w:rsidRDefault="00841282" w:rsidP="00841282">
      <w:pPr>
        <w:widowControl/>
      </w:pPr>
      <w:r w:rsidRPr="002B65F7">
        <w:t>WEZENLA contient une substance active qui s’appelle ustekinumab, un anticorps monoclonal. Les anticorps monoclonaux sont des protéines qui reconnaissent et se lient spécifiquement à certaines protéines dans le corps.</w:t>
      </w:r>
    </w:p>
    <w:p w14:paraId="64C133A3" w14:textId="77777777" w:rsidR="00841282" w:rsidRPr="002B65F7" w:rsidRDefault="00841282" w:rsidP="00841282">
      <w:pPr>
        <w:widowControl/>
      </w:pPr>
    </w:p>
    <w:p w14:paraId="62E6D2B3" w14:textId="77777777" w:rsidR="00841282" w:rsidRPr="002B65F7" w:rsidRDefault="00841282" w:rsidP="00841282">
      <w:pPr>
        <w:widowControl/>
      </w:pPr>
      <w:r w:rsidRPr="002B65F7">
        <w:t>WEZENLA appartient à un groupe de médicaments appelés « immunosuppresseurs ». Ces médicaments agissent en affaiblissant partiellement le système immunitaire.</w:t>
      </w:r>
    </w:p>
    <w:p w14:paraId="4C2DF8BD" w14:textId="77777777" w:rsidR="00841282" w:rsidRPr="002B65F7" w:rsidRDefault="00841282" w:rsidP="00841282">
      <w:pPr>
        <w:widowControl/>
      </w:pPr>
    </w:p>
    <w:p w14:paraId="1AAC5117" w14:textId="77777777" w:rsidR="00841282" w:rsidRPr="002B65F7" w:rsidRDefault="00841282" w:rsidP="00841282">
      <w:pPr>
        <w:keepNext/>
        <w:widowControl/>
        <w:rPr>
          <w:b/>
          <w:bCs/>
        </w:rPr>
      </w:pPr>
      <w:r w:rsidRPr="002B65F7">
        <w:rPr>
          <w:b/>
          <w:bCs/>
        </w:rPr>
        <w:t>Dans quel cas WEZENLA est-il utilisé</w:t>
      </w:r>
    </w:p>
    <w:p w14:paraId="5FAF9E72" w14:textId="77777777" w:rsidR="00841282" w:rsidRPr="002B65F7" w:rsidRDefault="00841282" w:rsidP="00841282">
      <w:pPr>
        <w:keepNext/>
        <w:widowControl/>
      </w:pPr>
      <w:r w:rsidRPr="002B65F7">
        <w:t>WEZENLA est utilisé pour le traitement des maladies inflammatoires suivantes :</w:t>
      </w:r>
    </w:p>
    <w:p w14:paraId="6F5E5301" w14:textId="0673985B" w:rsidR="00841282" w:rsidRPr="002B65F7" w:rsidRDefault="00841282" w:rsidP="00841282">
      <w:pPr>
        <w:pStyle w:val="ListParagraph"/>
        <w:widowControl/>
        <w:numPr>
          <w:ilvl w:val="1"/>
          <w:numId w:val="49"/>
        </w:numPr>
        <w:tabs>
          <w:tab w:val="left" w:pos="567"/>
        </w:tabs>
        <w:ind w:left="567" w:hanging="567"/>
      </w:pPr>
      <w:r w:rsidRPr="002B65F7">
        <w:t>Psoriasis en plaques (chez les adultes)</w:t>
      </w:r>
    </w:p>
    <w:p w14:paraId="10A3342B" w14:textId="77777777" w:rsidR="00841282" w:rsidRPr="002B65F7" w:rsidRDefault="00841282" w:rsidP="00841282">
      <w:pPr>
        <w:pStyle w:val="ListParagraph"/>
        <w:widowControl/>
        <w:numPr>
          <w:ilvl w:val="1"/>
          <w:numId w:val="49"/>
        </w:numPr>
        <w:tabs>
          <w:tab w:val="left" w:pos="567"/>
        </w:tabs>
        <w:ind w:left="567" w:hanging="567"/>
      </w:pPr>
      <w:r w:rsidRPr="002B65F7">
        <w:t>Rhumatisme psoriasique (chez les adultes)</w:t>
      </w:r>
    </w:p>
    <w:p w14:paraId="60151130" w14:textId="77777777" w:rsidR="00841282" w:rsidRPr="002B65F7" w:rsidRDefault="00841282" w:rsidP="00841282">
      <w:pPr>
        <w:pStyle w:val="ListParagraph"/>
        <w:widowControl/>
        <w:numPr>
          <w:ilvl w:val="1"/>
          <w:numId w:val="49"/>
        </w:numPr>
        <w:tabs>
          <w:tab w:val="left" w:pos="567"/>
        </w:tabs>
        <w:ind w:left="567" w:hanging="567"/>
      </w:pPr>
      <w:r w:rsidRPr="002B65F7">
        <w:t>Maladie de Crohn modérée à sévère (chez les adultes)</w:t>
      </w:r>
    </w:p>
    <w:p w14:paraId="234147CA" w14:textId="77777777" w:rsidR="00841282" w:rsidRPr="002B65F7" w:rsidRDefault="00841282" w:rsidP="00841282">
      <w:pPr>
        <w:widowControl/>
      </w:pPr>
    </w:p>
    <w:p w14:paraId="1A6BD2B2" w14:textId="77777777" w:rsidR="00841282" w:rsidRPr="002B65F7" w:rsidRDefault="00841282" w:rsidP="00841282">
      <w:pPr>
        <w:keepNext/>
        <w:widowControl/>
        <w:rPr>
          <w:b/>
          <w:bCs/>
        </w:rPr>
      </w:pPr>
      <w:r w:rsidRPr="002B65F7">
        <w:rPr>
          <w:b/>
          <w:bCs/>
        </w:rPr>
        <w:t>Psoriasis en plaques</w:t>
      </w:r>
    </w:p>
    <w:p w14:paraId="357EC6FD" w14:textId="77777777" w:rsidR="00841282" w:rsidRPr="002B65F7" w:rsidRDefault="00841282" w:rsidP="00841282">
      <w:pPr>
        <w:widowControl/>
      </w:pPr>
      <w:r w:rsidRPr="002B65F7">
        <w:t>Le psoriasis en plaques est une maladie de la peau qui provoque une inflammation affectant la peau et les ongles. WEZENLA réduira l’inflammation ainsi que d’autres signes de la maladie.</w:t>
      </w:r>
    </w:p>
    <w:p w14:paraId="5BA4A6F5" w14:textId="77777777" w:rsidR="00841282" w:rsidRPr="002B65F7" w:rsidRDefault="00841282" w:rsidP="00841282">
      <w:pPr>
        <w:widowControl/>
      </w:pPr>
    </w:p>
    <w:p w14:paraId="56A5F70B" w14:textId="77777777" w:rsidR="00841282" w:rsidRPr="002B65F7" w:rsidRDefault="00841282" w:rsidP="00841282">
      <w:pPr>
        <w:widowControl/>
      </w:pPr>
      <w:r w:rsidRPr="002B65F7">
        <w:t>WEZENLA est utilisé chez les patients adultes souffrant de psoriasis en plaques modéré à sévère, qui ne peuvent pas utiliser la ciclosporine, le méthotrexate ou la photothérapie, ou lorsque ces traitements n’ont pas été efficaces.</w:t>
      </w:r>
    </w:p>
    <w:p w14:paraId="38034C5F" w14:textId="77777777" w:rsidR="00841282" w:rsidRPr="002B65F7" w:rsidRDefault="00841282" w:rsidP="00841282">
      <w:pPr>
        <w:widowControl/>
      </w:pPr>
    </w:p>
    <w:p w14:paraId="7E57E14C" w14:textId="77777777" w:rsidR="00841282" w:rsidRPr="002B65F7" w:rsidRDefault="00841282" w:rsidP="00841282">
      <w:pPr>
        <w:keepNext/>
        <w:widowControl/>
        <w:rPr>
          <w:b/>
          <w:bCs/>
        </w:rPr>
      </w:pPr>
      <w:r w:rsidRPr="002B65F7">
        <w:rPr>
          <w:b/>
          <w:bCs/>
        </w:rPr>
        <w:t>Rhumatisme psoriasique</w:t>
      </w:r>
    </w:p>
    <w:p w14:paraId="0C6B2DA1" w14:textId="77777777" w:rsidR="00841282" w:rsidRPr="002B65F7" w:rsidRDefault="00841282" w:rsidP="00841282">
      <w:pPr>
        <w:keepNext/>
        <w:widowControl/>
      </w:pPr>
      <w:r w:rsidRPr="002B65F7">
        <w:t>Le rhumatisme psoriasique est une maladie inflammatoire des articulations, habituellement associée à du psoriasis. Si vous avez un rhumatisme psoriasique actif, vous recevrez d’abord d’autres médicaments. Si vous ne répondez pas suffisamment bien à ces médicaments, vous pourrez recevoir WEZENLA afin de :</w:t>
      </w:r>
    </w:p>
    <w:p w14:paraId="06C22746" w14:textId="77777777" w:rsidR="00841282" w:rsidRPr="002B65F7" w:rsidRDefault="00841282" w:rsidP="00841282">
      <w:pPr>
        <w:pStyle w:val="ListParagraph"/>
        <w:keepNext/>
        <w:widowControl/>
        <w:numPr>
          <w:ilvl w:val="1"/>
          <w:numId w:val="50"/>
        </w:numPr>
        <w:tabs>
          <w:tab w:val="left" w:pos="567"/>
        </w:tabs>
        <w:ind w:left="567" w:hanging="567"/>
      </w:pPr>
      <w:r w:rsidRPr="002B65F7">
        <w:t>Réduire les signes et symptômes de votre maladie.</w:t>
      </w:r>
    </w:p>
    <w:p w14:paraId="61695B3B" w14:textId="77777777" w:rsidR="00841282" w:rsidRPr="002B65F7" w:rsidRDefault="00841282" w:rsidP="00841282">
      <w:pPr>
        <w:pStyle w:val="ListParagraph"/>
        <w:keepNext/>
        <w:widowControl/>
        <w:numPr>
          <w:ilvl w:val="1"/>
          <w:numId w:val="50"/>
        </w:numPr>
        <w:tabs>
          <w:tab w:val="left" w:pos="567"/>
        </w:tabs>
        <w:ind w:left="567" w:hanging="567"/>
      </w:pPr>
      <w:r w:rsidRPr="002B65F7">
        <w:t>Améliorer votre état physique.</w:t>
      </w:r>
    </w:p>
    <w:p w14:paraId="21DDC61F" w14:textId="77777777" w:rsidR="00841282" w:rsidRPr="002B65F7" w:rsidRDefault="00841282" w:rsidP="00841282">
      <w:pPr>
        <w:pStyle w:val="ListParagraph"/>
        <w:widowControl/>
        <w:numPr>
          <w:ilvl w:val="1"/>
          <w:numId w:val="50"/>
        </w:numPr>
        <w:tabs>
          <w:tab w:val="left" w:pos="567"/>
        </w:tabs>
        <w:ind w:left="567" w:hanging="567"/>
      </w:pPr>
      <w:r w:rsidRPr="002B65F7">
        <w:t>Ralentir les atteintes de vos articulations.</w:t>
      </w:r>
    </w:p>
    <w:p w14:paraId="54064503" w14:textId="77777777" w:rsidR="00841282" w:rsidRPr="002B65F7" w:rsidRDefault="00841282" w:rsidP="00841282">
      <w:pPr>
        <w:widowControl/>
      </w:pPr>
    </w:p>
    <w:p w14:paraId="0F92754F" w14:textId="77777777" w:rsidR="00841282" w:rsidRPr="002B65F7" w:rsidRDefault="00841282" w:rsidP="00841282">
      <w:pPr>
        <w:keepNext/>
        <w:widowControl/>
        <w:rPr>
          <w:b/>
          <w:bCs/>
        </w:rPr>
      </w:pPr>
      <w:r w:rsidRPr="002B65F7">
        <w:rPr>
          <w:b/>
          <w:bCs/>
        </w:rPr>
        <w:t>Maladie de Crohn</w:t>
      </w:r>
    </w:p>
    <w:p w14:paraId="00AB1CCA" w14:textId="77777777" w:rsidR="00841282" w:rsidRPr="002B65F7" w:rsidRDefault="00841282" w:rsidP="00841282">
      <w:pPr>
        <w:widowControl/>
      </w:pPr>
      <w:r w:rsidRPr="002B65F7">
        <w:t>La maladie de Crohn est une maladie inflammatoire des intestins. Si vous êtes atteint de la maladie de Crohn, vous recevrez d’abord d’autres médicaments. Si vous ne répondez pas suffisamment bien à ces médicaments ou que vous y êtes intolérants, WEZENLA pourra vous être administré afin de réduire les signes et les symptômes de votre maladie.</w:t>
      </w:r>
    </w:p>
    <w:p w14:paraId="3F7C10A1" w14:textId="77777777" w:rsidR="00841282" w:rsidRPr="002B65F7" w:rsidRDefault="00841282" w:rsidP="00841282">
      <w:pPr>
        <w:widowControl/>
      </w:pPr>
    </w:p>
    <w:p w14:paraId="1596C084" w14:textId="77777777" w:rsidR="00841282" w:rsidRPr="002B65F7" w:rsidRDefault="00841282" w:rsidP="00841282">
      <w:pPr>
        <w:widowControl/>
      </w:pPr>
    </w:p>
    <w:p w14:paraId="53644698" w14:textId="77777777" w:rsidR="00841282" w:rsidRPr="002B65F7" w:rsidRDefault="00841282" w:rsidP="00841282">
      <w:pPr>
        <w:keepNext/>
        <w:widowControl/>
        <w:tabs>
          <w:tab w:val="left" w:pos="567"/>
        </w:tabs>
        <w:ind w:left="567" w:hanging="567"/>
        <w:rPr>
          <w:b/>
          <w:bCs/>
        </w:rPr>
      </w:pPr>
      <w:r w:rsidRPr="002B65F7">
        <w:rPr>
          <w:b/>
          <w:bCs/>
        </w:rPr>
        <w:t>2.</w:t>
      </w:r>
      <w:r w:rsidRPr="002B65F7">
        <w:rPr>
          <w:b/>
          <w:bCs/>
        </w:rPr>
        <w:tab/>
        <w:t>Quelles sont les informations à connaître avant d’utiliser WEZENLA ?</w:t>
      </w:r>
    </w:p>
    <w:p w14:paraId="48F5095D" w14:textId="77777777" w:rsidR="00841282" w:rsidRPr="002B65F7" w:rsidRDefault="00841282" w:rsidP="00841282">
      <w:pPr>
        <w:keepNext/>
        <w:widowControl/>
      </w:pPr>
    </w:p>
    <w:p w14:paraId="7B750DF2" w14:textId="77777777" w:rsidR="00841282" w:rsidRPr="002B65F7" w:rsidRDefault="00841282" w:rsidP="00841282">
      <w:pPr>
        <w:widowControl/>
        <w:rPr>
          <w:b/>
          <w:bCs/>
        </w:rPr>
      </w:pPr>
      <w:r w:rsidRPr="002B65F7">
        <w:rPr>
          <w:b/>
          <w:bCs/>
        </w:rPr>
        <w:t>N’utilisez jamais WEZENLA</w:t>
      </w:r>
    </w:p>
    <w:p w14:paraId="54A502F6" w14:textId="77777777" w:rsidR="00841282" w:rsidRPr="002B65F7" w:rsidRDefault="00841282" w:rsidP="00841282">
      <w:pPr>
        <w:pStyle w:val="ListParagraph"/>
        <w:widowControl/>
        <w:numPr>
          <w:ilvl w:val="1"/>
          <w:numId w:val="51"/>
        </w:numPr>
        <w:tabs>
          <w:tab w:val="left" w:pos="567"/>
        </w:tabs>
        <w:ind w:left="567" w:hanging="567"/>
      </w:pPr>
      <w:r w:rsidRPr="002B65F7">
        <w:rPr>
          <w:b/>
          <w:bCs/>
        </w:rPr>
        <w:t>Si vous êtes allergique à l’ustekinumab</w:t>
      </w:r>
      <w:r w:rsidRPr="002B65F7">
        <w:t xml:space="preserve"> ou à l’un des autres composants contenus dans ce médicament (mentionnés dans la rubrique 6).</w:t>
      </w:r>
    </w:p>
    <w:p w14:paraId="596F6F8E" w14:textId="77777777" w:rsidR="00841282" w:rsidRPr="002B65F7" w:rsidRDefault="00841282" w:rsidP="00841282">
      <w:pPr>
        <w:pStyle w:val="ListParagraph"/>
        <w:widowControl/>
        <w:numPr>
          <w:ilvl w:val="1"/>
          <w:numId w:val="51"/>
        </w:numPr>
        <w:tabs>
          <w:tab w:val="left" w:pos="567"/>
        </w:tabs>
        <w:ind w:left="567" w:hanging="567"/>
      </w:pPr>
      <w:r w:rsidRPr="002B65F7">
        <w:rPr>
          <w:b/>
          <w:bCs/>
        </w:rPr>
        <w:t>Si vous avez une infection évolutive</w:t>
      </w:r>
      <w:r w:rsidRPr="002B65F7">
        <w:t xml:space="preserve"> que votre médecin considère importante.</w:t>
      </w:r>
    </w:p>
    <w:p w14:paraId="231792C6" w14:textId="77777777" w:rsidR="00841282" w:rsidRPr="002B65F7" w:rsidRDefault="00841282" w:rsidP="00841282">
      <w:pPr>
        <w:widowControl/>
      </w:pPr>
    </w:p>
    <w:p w14:paraId="5A6676E4" w14:textId="77777777" w:rsidR="00841282" w:rsidRPr="002B65F7" w:rsidRDefault="00841282" w:rsidP="00841282">
      <w:pPr>
        <w:widowControl/>
      </w:pPr>
      <w:r w:rsidRPr="002B65F7">
        <w:t>Si vous n’êtes pas sûr que l’une des situations ci-dessus s’applique à vous, parlez-en avec votre médecin ou pharmacien avant d’utiliser WEZENLA.</w:t>
      </w:r>
    </w:p>
    <w:p w14:paraId="27EBF52D" w14:textId="77777777" w:rsidR="00841282" w:rsidRPr="002B65F7" w:rsidRDefault="00841282" w:rsidP="00841282">
      <w:pPr>
        <w:widowControl/>
      </w:pPr>
    </w:p>
    <w:p w14:paraId="22298BDA" w14:textId="77777777" w:rsidR="00841282" w:rsidRPr="002B65F7" w:rsidRDefault="00841282" w:rsidP="00841282">
      <w:pPr>
        <w:keepNext/>
        <w:widowControl/>
        <w:rPr>
          <w:b/>
          <w:bCs/>
        </w:rPr>
      </w:pPr>
      <w:r w:rsidRPr="002B65F7">
        <w:rPr>
          <w:b/>
          <w:bCs/>
        </w:rPr>
        <w:t>Avertissements et précautions</w:t>
      </w:r>
    </w:p>
    <w:p w14:paraId="2EE6EF21" w14:textId="77777777" w:rsidR="00841282" w:rsidRPr="002B65F7" w:rsidRDefault="00841282" w:rsidP="00841282">
      <w:pPr>
        <w:widowControl/>
      </w:pPr>
      <w:r w:rsidRPr="002B65F7">
        <w:t>Adressez-vous à votre médecin ou pharmacien avant d’utiliser WEZENLA. Votre médecin va vérifier votre état de santé avant chaque traitement. Assurez-vous d’informer votre médecin de toutes les maladies dont vous souffrez avant chaque traitement. Informez également votre médecin si vous avez été récemment à proximité de quelqu’un qui pourrait avoir la tuberculose. Votre médecin vous examinera et fera un test pour la tuberculose avant que vous preniez WEZENLA. Si votre médecin pense que vous êtes à risque pour la tuberculose, vous pourrez recevoir des médicaments pour la traiter.</w:t>
      </w:r>
    </w:p>
    <w:p w14:paraId="6C70A305" w14:textId="77777777" w:rsidR="00841282" w:rsidRPr="002B65F7" w:rsidRDefault="00841282" w:rsidP="00841282">
      <w:pPr>
        <w:widowControl/>
      </w:pPr>
    </w:p>
    <w:p w14:paraId="382AF572" w14:textId="77777777" w:rsidR="00841282" w:rsidRPr="002B65F7" w:rsidRDefault="00841282" w:rsidP="00841282">
      <w:pPr>
        <w:keepNext/>
        <w:widowControl/>
        <w:rPr>
          <w:b/>
          <w:bCs/>
        </w:rPr>
      </w:pPr>
      <w:r w:rsidRPr="002B65F7">
        <w:rPr>
          <w:b/>
          <w:bCs/>
        </w:rPr>
        <w:t>Faites attention aux effets indésirables graves :</w:t>
      </w:r>
    </w:p>
    <w:p w14:paraId="6316EF5A" w14:textId="77777777" w:rsidR="00841282" w:rsidRPr="002B65F7" w:rsidRDefault="00841282" w:rsidP="00841282">
      <w:pPr>
        <w:widowControl/>
      </w:pPr>
      <w:r w:rsidRPr="002B65F7">
        <w:t>WEZENLA peut provoquer des effets indésirables graves, incluant des réactions allergiques et des infections. Vous devez faire attention à certains signes de maladie pendant que vous prenez WEZENLA. Consultez le paragraphe « Effets indésirables graves » dans la rubrique 4 pour une liste complète de ces effets indésirables.</w:t>
      </w:r>
    </w:p>
    <w:p w14:paraId="01E940D7" w14:textId="77777777" w:rsidR="00841282" w:rsidRPr="002B65F7" w:rsidRDefault="00841282" w:rsidP="00841282">
      <w:pPr>
        <w:widowControl/>
      </w:pPr>
    </w:p>
    <w:p w14:paraId="6C693638" w14:textId="77777777" w:rsidR="00841282" w:rsidRPr="002B65F7" w:rsidRDefault="00841282" w:rsidP="00841282">
      <w:pPr>
        <w:keepNext/>
        <w:widowControl/>
        <w:rPr>
          <w:b/>
          <w:bCs/>
        </w:rPr>
      </w:pPr>
      <w:r w:rsidRPr="002B65F7">
        <w:rPr>
          <w:b/>
          <w:bCs/>
        </w:rPr>
        <w:t>Avant d’utiliser WEZENLA, informez votre médecin :</w:t>
      </w:r>
    </w:p>
    <w:p w14:paraId="1B51F271" w14:textId="77777777" w:rsidR="00841282" w:rsidRPr="002B65F7" w:rsidRDefault="00841282" w:rsidP="00841282">
      <w:pPr>
        <w:pStyle w:val="ListParagraph"/>
        <w:widowControl/>
        <w:numPr>
          <w:ilvl w:val="1"/>
          <w:numId w:val="52"/>
        </w:numPr>
        <w:tabs>
          <w:tab w:val="left" w:pos="567"/>
        </w:tabs>
        <w:ind w:left="567" w:hanging="567"/>
      </w:pPr>
      <w:r w:rsidRPr="002B65F7">
        <w:rPr>
          <w:b/>
          <w:bCs/>
        </w:rPr>
        <w:t>Si vous avez déjà eu une réaction allergique</w:t>
      </w:r>
      <w:r w:rsidRPr="002D0EDD">
        <w:rPr>
          <w:b/>
          <w:bCs/>
        </w:rPr>
        <w:t xml:space="preserve"> à WEZENLA</w:t>
      </w:r>
      <w:r w:rsidRPr="00451F74">
        <w:rPr>
          <w:b/>
          <w:bCs/>
        </w:rPr>
        <w:t>.</w:t>
      </w:r>
      <w:r w:rsidRPr="002B65F7">
        <w:t xml:space="preserve"> Si vous n’êtes pas sûr, demandez à votre médecin.</w:t>
      </w:r>
    </w:p>
    <w:p w14:paraId="31CE996A" w14:textId="77777777" w:rsidR="00841282" w:rsidRPr="002B65F7" w:rsidRDefault="00841282" w:rsidP="00841282">
      <w:pPr>
        <w:pStyle w:val="ListParagraph"/>
        <w:widowControl/>
        <w:numPr>
          <w:ilvl w:val="1"/>
          <w:numId w:val="52"/>
        </w:numPr>
        <w:tabs>
          <w:tab w:val="left" w:pos="567"/>
        </w:tabs>
        <w:ind w:left="567" w:hanging="567"/>
      </w:pPr>
      <w:r w:rsidRPr="002B65F7">
        <w:rPr>
          <w:b/>
          <w:bCs/>
        </w:rPr>
        <w:t>Si vous avez déjà eu un cancer quel qu’en soit le type</w:t>
      </w:r>
      <w:r w:rsidRPr="002B65F7">
        <w:t xml:space="preserve"> – car les immunosuppresseurs comme WEZENLA affaiblissent partiellement le système immunitaire. Ceci peut augmenter le risque de cancer.</w:t>
      </w:r>
    </w:p>
    <w:p w14:paraId="5DE05278" w14:textId="77777777" w:rsidR="00841282" w:rsidRPr="002B65F7" w:rsidRDefault="00841282" w:rsidP="00841282">
      <w:pPr>
        <w:pStyle w:val="ListParagraph"/>
        <w:widowControl/>
        <w:numPr>
          <w:ilvl w:val="1"/>
          <w:numId w:val="52"/>
        </w:numPr>
        <w:tabs>
          <w:tab w:val="left" w:pos="567"/>
        </w:tabs>
        <w:ind w:left="567" w:hanging="567"/>
      </w:pPr>
      <w:r w:rsidRPr="002B65F7">
        <w:rPr>
          <w:b/>
          <w:bCs/>
        </w:rPr>
        <w:t>Si vous avez été traité pour un psoriasis avec d’autres médicaments biologiques (un médicament produit à partir d’une source biologique et habituellement administré par injection)</w:t>
      </w:r>
      <w:r w:rsidRPr="002B65F7">
        <w:t xml:space="preserve"> – le risque de cancer peut être plus élevé.</w:t>
      </w:r>
    </w:p>
    <w:p w14:paraId="01C8B311" w14:textId="77777777" w:rsidR="00841282" w:rsidRPr="002B65F7" w:rsidRDefault="00841282" w:rsidP="00841282">
      <w:pPr>
        <w:pStyle w:val="ListParagraph"/>
        <w:widowControl/>
        <w:numPr>
          <w:ilvl w:val="1"/>
          <w:numId w:val="52"/>
        </w:numPr>
        <w:tabs>
          <w:tab w:val="left" w:pos="567"/>
        </w:tabs>
        <w:ind w:left="567" w:hanging="567"/>
        <w:rPr>
          <w:b/>
          <w:bCs/>
        </w:rPr>
      </w:pPr>
      <w:r w:rsidRPr="002B65F7">
        <w:rPr>
          <w:b/>
          <w:bCs/>
        </w:rPr>
        <w:t>Si vous avez ou avez récemment eu une infection.</w:t>
      </w:r>
    </w:p>
    <w:p w14:paraId="0B8A551E" w14:textId="77777777" w:rsidR="00841282" w:rsidRPr="002B65F7" w:rsidRDefault="00841282" w:rsidP="00841282">
      <w:pPr>
        <w:pStyle w:val="ListParagraph"/>
        <w:widowControl/>
        <w:numPr>
          <w:ilvl w:val="1"/>
          <w:numId w:val="52"/>
        </w:numPr>
        <w:tabs>
          <w:tab w:val="left" w:pos="567"/>
        </w:tabs>
        <w:ind w:left="567" w:hanging="567"/>
      </w:pPr>
      <w:r w:rsidRPr="002B65F7">
        <w:rPr>
          <w:b/>
          <w:bCs/>
        </w:rPr>
        <w:t>Si vous avez de nouvelles lésions ou des lésions qui évoluent</w:t>
      </w:r>
      <w:r w:rsidRPr="002B65F7">
        <w:t xml:space="preserve"> sur les zones de psoriasis ou sur la peau saine.</w:t>
      </w:r>
    </w:p>
    <w:p w14:paraId="54F00D62" w14:textId="77777777" w:rsidR="00841282" w:rsidRPr="002B65F7" w:rsidRDefault="00841282" w:rsidP="00841282">
      <w:pPr>
        <w:pStyle w:val="ListParagraph"/>
        <w:widowControl/>
        <w:numPr>
          <w:ilvl w:val="1"/>
          <w:numId w:val="52"/>
        </w:numPr>
        <w:tabs>
          <w:tab w:val="left" w:pos="567"/>
        </w:tabs>
        <w:ind w:left="567" w:hanging="567"/>
      </w:pPr>
      <w:r w:rsidRPr="002B65F7">
        <w:rPr>
          <w:b/>
          <w:bCs/>
        </w:rPr>
        <w:t>Si vous prenez d’autres traitements pour le psoriasis et/ou le rhumatisme psoriasique</w:t>
      </w:r>
      <w:r w:rsidRPr="002B65F7">
        <w:t xml:space="preserve"> – tels qu’un autre immunosuppresseur ou une photothérapie (quand votre corps est traité avec un type </w:t>
      </w:r>
      <w:r w:rsidRPr="002B65F7">
        <w:lastRenderedPageBreak/>
        <w:t>de lumière ultra-violet (UV)). Ces traitements peuvent également affaiblir partiellement le système immunitaire. L’utilisation simultanée de ces traitements avec WEZENLA n’a pas été étudiée. Cependant, il est possible que cela augmente le risque de maladies liées à un système immunitaire plus faible.</w:t>
      </w:r>
    </w:p>
    <w:p w14:paraId="183E3CE4" w14:textId="77777777" w:rsidR="00841282" w:rsidRPr="002B65F7" w:rsidRDefault="00841282" w:rsidP="00841282">
      <w:pPr>
        <w:pStyle w:val="ListParagraph"/>
        <w:widowControl/>
        <w:numPr>
          <w:ilvl w:val="1"/>
          <w:numId w:val="52"/>
        </w:numPr>
        <w:tabs>
          <w:tab w:val="left" w:pos="567"/>
        </w:tabs>
        <w:ind w:left="567" w:hanging="567"/>
      </w:pPr>
      <w:r w:rsidRPr="002B65F7">
        <w:rPr>
          <w:b/>
          <w:bCs/>
        </w:rPr>
        <w:t>Si vous recevez ou avez déjà reçu des injections pour traiter les allergies</w:t>
      </w:r>
      <w:r w:rsidRPr="002B65F7">
        <w:t xml:space="preserve"> – on ne sait pas si WEZENLA peut les affecter.</w:t>
      </w:r>
    </w:p>
    <w:p w14:paraId="26B2A848" w14:textId="77777777" w:rsidR="00841282" w:rsidRPr="002B65F7" w:rsidRDefault="00841282" w:rsidP="00841282">
      <w:pPr>
        <w:pStyle w:val="ListParagraph"/>
        <w:widowControl/>
        <w:numPr>
          <w:ilvl w:val="1"/>
          <w:numId w:val="52"/>
        </w:numPr>
        <w:tabs>
          <w:tab w:val="left" w:pos="567"/>
        </w:tabs>
        <w:ind w:left="567" w:hanging="567"/>
      </w:pPr>
      <w:r w:rsidRPr="002B65F7">
        <w:rPr>
          <w:b/>
          <w:bCs/>
        </w:rPr>
        <w:t>Si vous avez 65 ans ou plus</w:t>
      </w:r>
      <w:r w:rsidRPr="002B65F7">
        <w:t xml:space="preserve"> – vous pouvez être plus sujet aux infections.</w:t>
      </w:r>
    </w:p>
    <w:p w14:paraId="2EEEA780" w14:textId="77777777" w:rsidR="00841282" w:rsidRPr="002B65F7" w:rsidRDefault="00841282" w:rsidP="00841282">
      <w:pPr>
        <w:widowControl/>
      </w:pPr>
    </w:p>
    <w:p w14:paraId="149CAF12" w14:textId="77777777" w:rsidR="00841282" w:rsidRPr="002B65F7" w:rsidRDefault="00841282" w:rsidP="00841282">
      <w:pPr>
        <w:widowControl/>
      </w:pPr>
      <w:r w:rsidRPr="002B65F7">
        <w:t>Si vous n’êtes pas sûr que l’une des situations ci-dessus s’applique à vous, parlez-en avec votre médecin ou pharmacien avant d’utiliser WEZENLA.</w:t>
      </w:r>
    </w:p>
    <w:p w14:paraId="59F509A6" w14:textId="77777777" w:rsidR="00841282" w:rsidRPr="002B65F7" w:rsidRDefault="00841282" w:rsidP="00841282">
      <w:pPr>
        <w:widowControl/>
      </w:pPr>
    </w:p>
    <w:p w14:paraId="2880036B" w14:textId="77777777" w:rsidR="00841282" w:rsidRPr="002B65F7" w:rsidRDefault="00841282" w:rsidP="00841282">
      <w:pPr>
        <w:widowControl/>
      </w:pPr>
      <w:r w:rsidRPr="002B65F7">
        <w:t>Certains patients ont présenté des réactions de type lupus, notamment un lupus cutané ou un syndrome de type lupus, au cours du traitement par ustekinumab. Consultez immédiatement un médecin si vous développez une éruption cutanée rouge, en relief, squameuse, comportant parfois une bordure plus foncée, sur les zones de peau exposées au soleil ou associée à des douleurs articulaires.</w:t>
      </w:r>
    </w:p>
    <w:p w14:paraId="520FD8BE" w14:textId="77777777" w:rsidR="00841282" w:rsidRPr="002B65F7" w:rsidRDefault="00841282" w:rsidP="00841282">
      <w:pPr>
        <w:widowControl/>
      </w:pPr>
    </w:p>
    <w:p w14:paraId="44FAC5B1" w14:textId="77777777" w:rsidR="00841282" w:rsidRPr="002B65F7" w:rsidRDefault="00841282" w:rsidP="00841282">
      <w:pPr>
        <w:keepNext/>
        <w:widowControl/>
        <w:rPr>
          <w:b/>
          <w:bCs/>
        </w:rPr>
      </w:pPr>
      <w:r w:rsidRPr="002B65F7">
        <w:rPr>
          <w:b/>
          <w:bCs/>
        </w:rPr>
        <w:t>Crise cardiaque et accident vasculaire cérébral (AVC)</w:t>
      </w:r>
    </w:p>
    <w:p w14:paraId="637EFAE1" w14:textId="77777777" w:rsidR="00841282" w:rsidRPr="002B65F7" w:rsidRDefault="00841282" w:rsidP="00841282">
      <w:pPr>
        <w:widowControl/>
      </w:pPr>
      <w:r w:rsidRPr="002B65F7">
        <w:t>Des crises cardiaques et des AVC ont été observés dans une étude chez des patients atteints de psoriasis traités par ustekinumab. Votre médecin vérifiera régulièrement vos facteurs de risque de maladie cardiaque et d’AVC afin de s’assurer qu’ils sont traités de manière adéquate. Consultez immédiatement un médecin si vous développez des douleurs thoraciques, une faiblesse ou des sensations anormales d’un côté de votre corps, un affaissement du visage ou des anomalies de la parole ou de la vue.</w:t>
      </w:r>
    </w:p>
    <w:p w14:paraId="196B72F1" w14:textId="77777777" w:rsidR="00841282" w:rsidRPr="002B65F7" w:rsidRDefault="00841282" w:rsidP="00841282">
      <w:pPr>
        <w:widowControl/>
      </w:pPr>
    </w:p>
    <w:p w14:paraId="4A253BED" w14:textId="77777777" w:rsidR="00841282" w:rsidRPr="002B65F7" w:rsidRDefault="00841282" w:rsidP="00841282">
      <w:pPr>
        <w:keepNext/>
        <w:widowControl/>
        <w:rPr>
          <w:b/>
          <w:bCs/>
        </w:rPr>
      </w:pPr>
      <w:r w:rsidRPr="002B65F7">
        <w:rPr>
          <w:b/>
          <w:bCs/>
        </w:rPr>
        <w:t>Enfants et adolescents</w:t>
      </w:r>
    </w:p>
    <w:p w14:paraId="265B2751" w14:textId="78A157C8" w:rsidR="009C0EC2" w:rsidRPr="005B002B" w:rsidRDefault="009C0EC2" w:rsidP="009C0EC2">
      <w:pPr>
        <w:widowControl/>
      </w:pPr>
      <w:r w:rsidRPr="005B002B">
        <w:t>L’utilisation du stylo prérempli de WEZENLA n’est pas recommandée chez les enfants et les adolescents</w:t>
      </w:r>
      <w:r>
        <w:t xml:space="preserve"> </w:t>
      </w:r>
      <w:r w:rsidRPr="005B002B">
        <w:t xml:space="preserve">âgés de moins de 18 ans atteints de psoriasis </w:t>
      </w:r>
      <w:r w:rsidR="000B59C0">
        <w:rPr>
          <w:noProof/>
          <w:lang w:eastAsia="nl-BE"/>
        </w:rPr>
        <w:t xml:space="preserve">ou de la maladie de Crohn </w:t>
      </w:r>
      <w:r w:rsidRPr="005B002B">
        <w:t>car il n’a pas été étudié dans cette tranche d’âge. Il</w:t>
      </w:r>
      <w:r>
        <w:t xml:space="preserve"> </w:t>
      </w:r>
      <w:r w:rsidRPr="005B002B">
        <w:t>convient d’utiliser plutôt la seringue préremplie ou le flacon chez les enfants âgés de 6 ans et plus et</w:t>
      </w:r>
      <w:r>
        <w:t xml:space="preserve"> </w:t>
      </w:r>
      <w:r w:rsidRPr="005B002B">
        <w:t>les adolescents atteints de psoriasis.</w:t>
      </w:r>
      <w:r w:rsidR="001339FD">
        <w:rPr>
          <w:noProof/>
          <w:lang w:val="fr-BE" w:eastAsia="nl-BE"/>
        </w:rPr>
        <w:t xml:space="preserve"> Il convient plutôt d’utiliser l</w:t>
      </w:r>
      <w:r w:rsidR="001339FD">
        <w:rPr>
          <w:noProof/>
          <w:lang w:eastAsia="nl-BE"/>
        </w:rPr>
        <w:t>a solution pour perfusion, le flacon ou la seringue préremplis pour les enfants pesant au moins 40 kg et atteints de la maladie de Crohn.</w:t>
      </w:r>
    </w:p>
    <w:p w14:paraId="39744133" w14:textId="77777777" w:rsidR="009C0EC2" w:rsidRDefault="009C0EC2" w:rsidP="009C0EC2">
      <w:pPr>
        <w:widowControl/>
      </w:pPr>
    </w:p>
    <w:p w14:paraId="60533E99" w14:textId="6794CCEF" w:rsidR="009C0EC2" w:rsidRPr="005B002B" w:rsidRDefault="00DA0ED2" w:rsidP="009C0EC2">
      <w:pPr>
        <w:widowControl/>
      </w:pPr>
      <w:r w:rsidRPr="00C704B9">
        <w:t>WEZENLA</w:t>
      </w:r>
      <w:r w:rsidR="009C0EC2" w:rsidRPr="005B002B">
        <w:t xml:space="preserve"> n’est pas recommandé chez les enfants et les adolescents âgés de moins de 18 ans atteints de</w:t>
      </w:r>
      <w:r w:rsidR="009C0EC2">
        <w:t xml:space="preserve"> </w:t>
      </w:r>
      <w:r w:rsidR="009C0EC2" w:rsidRPr="005B002B">
        <w:t xml:space="preserve">rhumatisme psoriasique </w:t>
      </w:r>
      <w:r w:rsidR="00952770">
        <w:rPr>
          <w:noProof/>
          <w:lang w:eastAsia="nl-BE"/>
        </w:rPr>
        <w:t>ou chez les enfants atteints de la maladie de Crohn pesant moins de 40 kg</w:t>
      </w:r>
      <w:r w:rsidR="00952770" w:rsidRPr="005B002B">
        <w:t xml:space="preserve"> </w:t>
      </w:r>
      <w:r w:rsidR="009C0EC2" w:rsidRPr="005B002B">
        <w:t>car il n’a pas été</w:t>
      </w:r>
      <w:r w:rsidR="009C0EC2">
        <w:t xml:space="preserve"> </w:t>
      </w:r>
      <w:r w:rsidR="009C0EC2" w:rsidRPr="005B002B">
        <w:t>étudié dans cette tranche d’âge.</w:t>
      </w:r>
    </w:p>
    <w:p w14:paraId="622A070E" w14:textId="77777777" w:rsidR="00841282" w:rsidRPr="002B65F7" w:rsidRDefault="00841282" w:rsidP="00841282">
      <w:pPr>
        <w:widowControl/>
        <w:rPr>
          <w:b/>
          <w:bCs/>
        </w:rPr>
      </w:pPr>
    </w:p>
    <w:p w14:paraId="015D9D2D" w14:textId="77777777" w:rsidR="00841282" w:rsidRPr="002B65F7" w:rsidRDefault="00841282" w:rsidP="00841282">
      <w:pPr>
        <w:keepNext/>
        <w:widowControl/>
        <w:rPr>
          <w:b/>
          <w:bCs/>
        </w:rPr>
      </w:pPr>
      <w:r w:rsidRPr="002B65F7">
        <w:rPr>
          <w:b/>
          <w:bCs/>
        </w:rPr>
        <w:t>Autres médicaments, vaccins et WEZENLA</w:t>
      </w:r>
    </w:p>
    <w:p w14:paraId="7F6368D6" w14:textId="77777777" w:rsidR="00841282" w:rsidRPr="002B65F7" w:rsidRDefault="00841282" w:rsidP="00841282">
      <w:pPr>
        <w:keepNext/>
        <w:widowControl/>
      </w:pPr>
      <w:r w:rsidRPr="002B65F7">
        <w:t>Informez votre médecin ou pharmacien :</w:t>
      </w:r>
    </w:p>
    <w:p w14:paraId="23B9E15E" w14:textId="77777777" w:rsidR="00841282" w:rsidRPr="002B65F7" w:rsidRDefault="00841282" w:rsidP="00841282">
      <w:pPr>
        <w:pStyle w:val="ListParagraph"/>
        <w:keepNext/>
        <w:widowControl/>
        <w:numPr>
          <w:ilvl w:val="1"/>
          <w:numId w:val="53"/>
        </w:numPr>
        <w:tabs>
          <w:tab w:val="left" w:pos="567"/>
        </w:tabs>
        <w:ind w:left="567" w:hanging="567"/>
      </w:pPr>
      <w:r w:rsidRPr="002B65F7">
        <w:t>Si vous prenez, avez pris récemment ou pourriez prendre tout autre médicament.</w:t>
      </w:r>
    </w:p>
    <w:p w14:paraId="2D078953" w14:textId="77777777" w:rsidR="00841282" w:rsidRPr="002B65F7" w:rsidRDefault="00841282" w:rsidP="00841282">
      <w:pPr>
        <w:pStyle w:val="ListParagraph"/>
        <w:keepNext/>
        <w:widowControl/>
        <w:numPr>
          <w:ilvl w:val="1"/>
          <w:numId w:val="53"/>
        </w:numPr>
        <w:tabs>
          <w:tab w:val="left" w:pos="567"/>
        </w:tabs>
        <w:ind w:left="567" w:hanging="567"/>
      </w:pPr>
      <w:r w:rsidRPr="002B65F7">
        <w:t>Si vous vous êtes récemment fait ou allez-vous faire vacciner. Certains types de vaccins (vaccins vivants) ne doivent pas être administrés pendant l’utilisation de WEZENLA.</w:t>
      </w:r>
    </w:p>
    <w:p w14:paraId="152BF525" w14:textId="77777777" w:rsidR="00841282" w:rsidRPr="002B65F7" w:rsidRDefault="00841282" w:rsidP="00841282">
      <w:pPr>
        <w:pStyle w:val="ListParagraph"/>
        <w:widowControl/>
        <w:numPr>
          <w:ilvl w:val="1"/>
          <w:numId w:val="53"/>
        </w:numPr>
        <w:tabs>
          <w:tab w:val="left" w:pos="567"/>
        </w:tabs>
        <w:ind w:left="567" w:hanging="567"/>
      </w:pPr>
      <w:r w:rsidRPr="002B65F7">
        <w:t xml:space="preserve">Si vous avez reçu WEZENLA pendant votre grossesse, informez le médecin s’occupant de votre bébé de votre traitement par WEZENLA avant que votre bébé ne reçoive un vaccin quel qu’il soit, notamment les vaccins vivants, tels que le vaccin BCG (utilisé pour prévenir la tuberculose). Les vaccins vivants ne sont pas recommandés pour votre bébé au cours </w:t>
      </w:r>
      <w:r w:rsidRPr="005A6877">
        <w:t xml:space="preserve">des </w:t>
      </w:r>
      <w:r>
        <w:t>douze</w:t>
      </w:r>
      <w:r w:rsidRPr="005A6877">
        <w:t xml:space="preserve"> premiers </w:t>
      </w:r>
      <w:r w:rsidRPr="002B65F7">
        <w:t>mois après la naissance si vous avez reçu WEZENLA pendant la grossesse, à moins que le médecin de votre bébé ne recommande le contraire.</w:t>
      </w:r>
    </w:p>
    <w:p w14:paraId="52684490" w14:textId="77777777" w:rsidR="00841282" w:rsidRPr="002B65F7" w:rsidRDefault="00841282" w:rsidP="00841282">
      <w:pPr>
        <w:widowControl/>
        <w:ind w:left="567" w:hanging="567"/>
      </w:pPr>
    </w:p>
    <w:p w14:paraId="051B2407" w14:textId="77777777" w:rsidR="00841282" w:rsidRPr="002B65F7" w:rsidRDefault="00841282" w:rsidP="00841282">
      <w:pPr>
        <w:keepNext/>
        <w:widowControl/>
        <w:rPr>
          <w:b/>
          <w:bCs/>
        </w:rPr>
      </w:pPr>
      <w:r w:rsidRPr="002B65F7">
        <w:rPr>
          <w:b/>
          <w:bCs/>
        </w:rPr>
        <w:t>Grossesse et allaitement</w:t>
      </w:r>
    </w:p>
    <w:p w14:paraId="7D41E09A" w14:textId="77777777" w:rsidR="00841282" w:rsidRDefault="00841282" w:rsidP="00841282">
      <w:pPr>
        <w:pStyle w:val="ListParagraph"/>
        <w:widowControl/>
        <w:numPr>
          <w:ilvl w:val="1"/>
          <w:numId w:val="54"/>
        </w:numPr>
        <w:tabs>
          <w:tab w:val="left" w:pos="567"/>
        </w:tabs>
        <w:ind w:left="567" w:hanging="567"/>
      </w:pPr>
      <w:r w:rsidRPr="00F132E3">
        <w:t>Si vous êtes enceinte, si vous pensez être enceinte ou planifiez une grossesse, demandez conseil à votre médecin avant de prendre ce médicament.</w:t>
      </w:r>
    </w:p>
    <w:p w14:paraId="63527FC2" w14:textId="77777777" w:rsidR="00841282" w:rsidRDefault="00841282" w:rsidP="00841282">
      <w:pPr>
        <w:pStyle w:val="ListParagraph"/>
        <w:widowControl/>
        <w:numPr>
          <w:ilvl w:val="1"/>
          <w:numId w:val="54"/>
        </w:numPr>
        <w:tabs>
          <w:tab w:val="left" w:pos="567"/>
        </w:tabs>
        <w:ind w:left="567" w:hanging="567"/>
      </w:pPr>
      <w:r>
        <w:t xml:space="preserve">Il n’a pas été observé de risque accru de malformations congénitales chez les bébés exposés à WEZENLA in utero. Cependant, l’expérience clinique avec WEZENLA chez les femmes enceintes est limitée. </w:t>
      </w:r>
      <w:r w:rsidRPr="005A6877">
        <w:t>Il est</w:t>
      </w:r>
      <w:r>
        <w:t xml:space="preserve"> ainsi</w:t>
      </w:r>
      <w:r w:rsidRPr="005A6877">
        <w:t xml:space="preserve"> préférable d’éviter l’utilisation de </w:t>
      </w:r>
      <w:r>
        <w:t>WEZENLA</w:t>
      </w:r>
      <w:r w:rsidRPr="005A6877">
        <w:t xml:space="preserve"> en cas de grossesse. </w:t>
      </w:r>
    </w:p>
    <w:p w14:paraId="6EFC3394" w14:textId="77777777" w:rsidR="00841282" w:rsidRPr="005A6877" w:rsidRDefault="00841282" w:rsidP="00841282">
      <w:pPr>
        <w:pStyle w:val="ListParagraph"/>
        <w:widowControl/>
        <w:numPr>
          <w:ilvl w:val="1"/>
          <w:numId w:val="54"/>
        </w:numPr>
        <w:tabs>
          <w:tab w:val="left" w:pos="567"/>
        </w:tabs>
        <w:ind w:left="567" w:hanging="567"/>
      </w:pPr>
      <w:r w:rsidRPr="005A6877">
        <w:lastRenderedPageBreak/>
        <w:t xml:space="preserve">Si vous êtes une femme en âge de procréer, vous devez éviter de tomber enceinte et vous devez prendre une contraception adaptée pendant toute l’utilisation de </w:t>
      </w:r>
      <w:r>
        <w:t>WEZENLA</w:t>
      </w:r>
      <w:r w:rsidRPr="005A6877">
        <w:t xml:space="preserve"> et jusqu’à 15</w:t>
      </w:r>
      <w:r>
        <w:t> </w:t>
      </w:r>
      <w:r w:rsidRPr="005A6877">
        <w:t xml:space="preserve">semaines au moins après le dernier traitement par </w:t>
      </w:r>
      <w:r>
        <w:t>WEZENLA</w:t>
      </w:r>
      <w:r w:rsidRPr="005A6877">
        <w:t>.</w:t>
      </w:r>
    </w:p>
    <w:p w14:paraId="5C53A981" w14:textId="77777777" w:rsidR="00841282" w:rsidRPr="005A6877" w:rsidRDefault="00841282" w:rsidP="00841282">
      <w:pPr>
        <w:pStyle w:val="ListParagraph"/>
        <w:widowControl/>
        <w:numPr>
          <w:ilvl w:val="1"/>
          <w:numId w:val="54"/>
        </w:numPr>
        <w:tabs>
          <w:tab w:val="left" w:pos="567"/>
        </w:tabs>
        <w:ind w:left="567" w:hanging="567"/>
      </w:pPr>
      <w:r>
        <w:t>WEZENLA</w:t>
      </w:r>
      <w:r w:rsidRPr="005A6877">
        <w:t xml:space="preserve"> peut traverser la barrière placentaire et passer chez le bébé à naître. Si vous recevez </w:t>
      </w:r>
      <w:r>
        <w:t>WEZENLA</w:t>
      </w:r>
      <w:r w:rsidRPr="005A6877">
        <w:t xml:space="preserve"> au cours de votre grossesse, votre bébé peut présenter un risque plus élevé de contracter une infection.</w:t>
      </w:r>
    </w:p>
    <w:p w14:paraId="109A93B5" w14:textId="77777777" w:rsidR="00841282" w:rsidRPr="002B65F7" w:rsidRDefault="00841282" w:rsidP="00841282">
      <w:pPr>
        <w:pStyle w:val="ListParagraph"/>
        <w:widowControl/>
        <w:numPr>
          <w:ilvl w:val="1"/>
          <w:numId w:val="54"/>
        </w:numPr>
        <w:tabs>
          <w:tab w:val="left" w:pos="567"/>
        </w:tabs>
        <w:ind w:left="567" w:hanging="567"/>
      </w:pPr>
      <w:r w:rsidRPr="005A6877">
        <w:t xml:space="preserve">Si vous avez reçu </w:t>
      </w:r>
      <w:r>
        <w:t>WEZENLA</w:t>
      </w:r>
      <w:r w:rsidRPr="005A6877">
        <w:t xml:space="preserve"> pendant votre grossesse, il est important que vous informiez les médecins et les autres professionnels de santé s’occupant de votre bébé avant qu’il ne re</w:t>
      </w:r>
      <w:r>
        <w:t>ç</w:t>
      </w:r>
      <w:r w:rsidRPr="005A6877">
        <w:t xml:space="preserve">oive un vaccin quel qu’il soit. Les vaccins vivants, tels que le vaccin BCG (utilisé pour prévenir la tuberculose), ne sont pas recommandés pour votre bébé au cours des </w:t>
      </w:r>
      <w:r>
        <w:t>douze</w:t>
      </w:r>
      <w:r w:rsidRPr="005A6877">
        <w:t xml:space="preserve"> premiers mois après la naissance si vous avez reçu </w:t>
      </w:r>
      <w:r>
        <w:t>WEZENLA</w:t>
      </w:r>
      <w:r w:rsidRPr="005A6877">
        <w:t xml:space="preserve"> pendant la grossesse, à moins que le médecin de votre bébé ne recommande le contraire.</w:t>
      </w:r>
    </w:p>
    <w:p w14:paraId="15213211" w14:textId="77777777" w:rsidR="00841282" w:rsidRPr="002B65F7" w:rsidRDefault="00841282" w:rsidP="00841282">
      <w:pPr>
        <w:pStyle w:val="ListParagraph"/>
        <w:widowControl/>
        <w:numPr>
          <w:ilvl w:val="1"/>
          <w:numId w:val="54"/>
        </w:numPr>
        <w:tabs>
          <w:tab w:val="left" w:pos="567"/>
        </w:tabs>
        <w:ind w:left="567" w:hanging="567"/>
      </w:pPr>
      <w:r w:rsidRPr="002B65F7">
        <w:t>L’ustekinumab peut passer en très faible quantité dans le lait maternel. Si vous allaitez ou pensez allaiter, demandez conseil à votre médecin. Vous devez décider avec lui si vous devez plutôt allaiter ou utiliser WEZENLA. Ne faites pas les deux.</w:t>
      </w:r>
    </w:p>
    <w:p w14:paraId="358A6934" w14:textId="77777777" w:rsidR="00841282" w:rsidRPr="002B65F7" w:rsidRDefault="00841282" w:rsidP="00841282">
      <w:pPr>
        <w:widowControl/>
      </w:pPr>
    </w:p>
    <w:p w14:paraId="19F2BE1E" w14:textId="77777777" w:rsidR="00841282" w:rsidRPr="002B65F7" w:rsidRDefault="00841282" w:rsidP="00841282">
      <w:pPr>
        <w:keepNext/>
        <w:widowControl/>
        <w:rPr>
          <w:b/>
          <w:bCs/>
        </w:rPr>
      </w:pPr>
      <w:r w:rsidRPr="002B65F7">
        <w:rPr>
          <w:b/>
          <w:bCs/>
        </w:rPr>
        <w:t>Conduite de véhicules et utilisation de machines</w:t>
      </w:r>
    </w:p>
    <w:p w14:paraId="107450A7" w14:textId="77777777" w:rsidR="00841282" w:rsidRPr="002B65F7" w:rsidRDefault="00841282" w:rsidP="00841282">
      <w:pPr>
        <w:widowControl/>
      </w:pPr>
      <w:r w:rsidRPr="002B65F7">
        <w:t>WEZENLA n’a aucun effet ou qu’un effet négligeable sur l’aptitude à conduire des véhicules et à utiliser des machines.</w:t>
      </w:r>
    </w:p>
    <w:p w14:paraId="5946E2A5" w14:textId="77777777" w:rsidR="00841282" w:rsidRDefault="00841282" w:rsidP="00841282">
      <w:pPr>
        <w:widowControl/>
      </w:pPr>
    </w:p>
    <w:p w14:paraId="7CCECF07" w14:textId="320C14C6" w:rsidR="00F20739" w:rsidRPr="009354DA" w:rsidRDefault="00F20739" w:rsidP="00F20739">
      <w:pPr>
        <w:widowControl/>
        <w:rPr>
          <w:b/>
          <w:bCs/>
        </w:rPr>
      </w:pPr>
      <w:r w:rsidRPr="009354DA">
        <w:rPr>
          <w:b/>
          <w:bCs/>
        </w:rPr>
        <w:t>WEZENLA contient du polysor</w:t>
      </w:r>
      <w:r w:rsidR="00936576">
        <w:rPr>
          <w:b/>
          <w:bCs/>
        </w:rPr>
        <w:t>b</w:t>
      </w:r>
      <w:r w:rsidRPr="009354DA">
        <w:rPr>
          <w:b/>
          <w:bCs/>
        </w:rPr>
        <w:t>ate</w:t>
      </w:r>
      <w:r w:rsidRPr="002B65F7">
        <w:t> </w:t>
      </w:r>
      <w:r w:rsidRPr="009354DA">
        <w:rPr>
          <w:b/>
          <w:bCs/>
        </w:rPr>
        <w:t>80</w:t>
      </w:r>
    </w:p>
    <w:p w14:paraId="24E942E5" w14:textId="77777777" w:rsidR="00F20739" w:rsidRDefault="00F20739" w:rsidP="00F20739">
      <w:pPr>
        <w:widowControl/>
      </w:pPr>
      <w:r>
        <w:t>WEZENLA</w:t>
      </w:r>
      <w:r w:rsidRPr="00214D55">
        <w:t xml:space="preserve"> contient 0,02</w:t>
      </w:r>
      <w:r w:rsidRPr="002B65F7">
        <w:t> </w:t>
      </w:r>
      <w:r w:rsidRPr="00214D55">
        <w:t>mg</w:t>
      </w:r>
      <w:r>
        <w:t xml:space="preserve"> (45</w:t>
      </w:r>
      <w:r w:rsidRPr="002B65F7">
        <w:t> </w:t>
      </w:r>
      <w:r>
        <w:t>mg/0,5</w:t>
      </w:r>
      <w:r w:rsidRPr="002B65F7">
        <w:t> </w:t>
      </w:r>
      <w:r>
        <w:t>mL)</w:t>
      </w:r>
      <w:r w:rsidRPr="00214D55">
        <w:t xml:space="preserve"> </w:t>
      </w:r>
      <w:r>
        <w:t>ou 0,04</w:t>
      </w:r>
      <w:r w:rsidRPr="002B65F7">
        <w:t> </w:t>
      </w:r>
      <w:r>
        <w:t>mg (90</w:t>
      </w:r>
      <w:r w:rsidRPr="002B65F7">
        <w:t> </w:t>
      </w:r>
      <w:r>
        <w:t>mg/1,0</w:t>
      </w:r>
      <w:r w:rsidRPr="002B65F7">
        <w:t> </w:t>
      </w:r>
      <w:r>
        <w:t xml:space="preserve">mL) </w:t>
      </w:r>
      <w:r w:rsidRPr="00214D55">
        <w:t>de polysorbate</w:t>
      </w:r>
      <w:r w:rsidRPr="002B65F7">
        <w:t> </w:t>
      </w:r>
      <w:r w:rsidRPr="00214D55">
        <w:t>80 (E</w:t>
      </w:r>
      <w:r w:rsidRPr="002B65F7">
        <w:t> </w:t>
      </w:r>
      <w:r w:rsidRPr="00214D55">
        <w:t>433) par dose équivalent à 0,04</w:t>
      </w:r>
      <w:r w:rsidRPr="002B65F7">
        <w:t> </w:t>
      </w:r>
      <w:r w:rsidRPr="00214D55">
        <w:t>mg/mL. Les polysorbates peuvent provoquer des réactions allergiques. Informez votre médecin si vous avez déjà présenté une allergie.</w:t>
      </w:r>
    </w:p>
    <w:p w14:paraId="2ADD269B" w14:textId="77777777" w:rsidR="00F20739" w:rsidRPr="002B65F7" w:rsidRDefault="00F20739" w:rsidP="00841282">
      <w:pPr>
        <w:widowControl/>
      </w:pPr>
    </w:p>
    <w:p w14:paraId="0F71B4D4" w14:textId="77777777" w:rsidR="00841282" w:rsidRPr="002B65F7" w:rsidRDefault="00841282" w:rsidP="00841282">
      <w:pPr>
        <w:widowControl/>
      </w:pPr>
    </w:p>
    <w:p w14:paraId="1832D72D" w14:textId="77777777" w:rsidR="00841282" w:rsidRPr="002B65F7" w:rsidRDefault="00841282" w:rsidP="00841282">
      <w:pPr>
        <w:keepNext/>
        <w:widowControl/>
        <w:ind w:left="567" w:hanging="567"/>
        <w:rPr>
          <w:b/>
          <w:bCs/>
        </w:rPr>
      </w:pPr>
      <w:r w:rsidRPr="002B65F7">
        <w:rPr>
          <w:b/>
          <w:bCs/>
        </w:rPr>
        <w:t>3.</w:t>
      </w:r>
      <w:r w:rsidRPr="002B65F7">
        <w:rPr>
          <w:b/>
          <w:bCs/>
        </w:rPr>
        <w:tab/>
        <w:t>Comment utiliser WEZENLA ?</w:t>
      </w:r>
    </w:p>
    <w:p w14:paraId="717588A0" w14:textId="77777777" w:rsidR="00841282" w:rsidRPr="002B65F7" w:rsidRDefault="00841282" w:rsidP="00841282">
      <w:pPr>
        <w:keepNext/>
        <w:widowControl/>
      </w:pPr>
    </w:p>
    <w:p w14:paraId="45075391" w14:textId="77777777" w:rsidR="00841282" w:rsidRPr="002B65F7" w:rsidRDefault="00841282" w:rsidP="00841282">
      <w:pPr>
        <w:widowControl/>
      </w:pPr>
      <w:r w:rsidRPr="002B65F7">
        <w:t>WEZENLA doit être utilisé sous la responsabilité et la surveillance d’un médecin expérimenté dans le diagnostic et le traitement des maladies pour lesquelles WEZENLA est destiné.</w:t>
      </w:r>
    </w:p>
    <w:p w14:paraId="451DBBD1" w14:textId="77777777" w:rsidR="00841282" w:rsidRPr="002B65F7" w:rsidRDefault="00841282" w:rsidP="00841282">
      <w:pPr>
        <w:widowControl/>
      </w:pPr>
    </w:p>
    <w:p w14:paraId="20BB081C" w14:textId="77777777" w:rsidR="00841282" w:rsidRPr="002B65F7" w:rsidRDefault="00841282" w:rsidP="00841282">
      <w:pPr>
        <w:widowControl/>
      </w:pPr>
      <w:r w:rsidRPr="002B65F7">
        <w:t>Veillez à toujours utiliser ce médicament en suivant exactement les indications de votre médecin. Vérifiez auprès de votre médecin en cas de doute. Parlez avec votre médecin afin de savoir quand vous recevrez vos injections et quand vous aurez vos rendez-vous de suivi.</w:t>
      </w:r>
    </w:p>
    <w:p w14:paraId="4232E314" w14:textId="77777777" w:rsidR="00841282" w:rsidRPr="002B65F7" w:rsidRDefault="00841282" w:rsidP="00841282">
      <w:pPr>
        <w:widowControl/>
        <w:rPr>
          <w:b/>
          <w:bCs/>
        </w:rPr>
      </w:pPr>
    </w:p>
    <w:p w14:paraId="353E45FE" w14:textId="77777777" w:rsidR="00841282" w:rsidRPr="002B65F7" w:rsidRDefault="00841282" w:rsidP="00841282">
      <w:pPr>
        <w:keepNext/>
        <w:widowControl/>
        <w:rPr>
          <w:b/>
          <w:bCs/>
        </w:rPr>
      </w:pPr>
      <w:r w:rsidRPr="002B65F7">
        <w:rPr>
          <w:b/>
          <w:bCs/>
        </w:rPr>
        <w:t>Quelle quantité de WEZENLA est administrée ?</w:t>
      </w:r>
    </w:p>
    <w:p w14:paraId="310FDEF1" w14:textId="77777777" w:rsidR="00841282" w:rsidRPr="002B65F7" w:rsidRDefault="00841282" w:rsidP="00841282">
      <w:pPr>
        <w:widowControl/>
      </w:pPr>
      <w:r w:rsidRPr="002B65F7">
        <w:t>Votre médecin déterminera la quantité de WEZENLA dont vous avez besoin et la durée du traitement.</w:t>
      </w:r>
    </w:p>
    <w:p w14:paraId="48E889D5" w14:textId="77777777" w:rsidR="00841282" w:rsidRPr="002B65F7" w:rsidRDefault="00841282" w:rsidP="00841282">
      <w:pPr>
        <w:widowControl/>
      </w:pPr>
    </w:p>
    <w:p w14:paraId="1BFC98C2" w14:textId="77777777" w:rsidR="00841282" w:rsidRPr="002B65F7" w:rsidRDefault="00841282" w:rsidP="00841282">
      <w:pPr>
        <w:keepNext/>
        <w:widowControl/>
        <w:rPr>
          <w:b/>
          <w:bCs/>
        </w:rPr>
      </w:pPr>
      <w:r w:rsidRPr="002B65F7">
        <w:rPr>
          <w:b/>
          <w:bCs/>
        </w:rPr>
        <w:t>Adultes âgés de 18 ans et plus</w:t>
      </w:r>
    </w:p>
    <w:p w14:paraId="447CFEED" w14:textId="77777777" w:rsidR="00841282" w:rsidRPr="002B65F7" w:rsidRDefault="00841282" w:rsidP="00841282">
      <w:pPr>
        <w:keepNext/>
        <w:widowControl/>
        <w:rPr>
          <w:b/>
          <w:bCs/>
        </w:rPr>
      </w:pPr>
      <w:r w:rsidRPr="002B65F7">
        <w:rPr>
          <w:b/>
          <w:bCs/>
        </w:rPr>
        <w:t>Psoriasis ou Rhumatisme psoriasique</w:t>
      </w:r>
    </w:p>
    <w:p w14:paraId="0A4CA9A3" w14:textId="77777777" w:rsidR="00841282" w:rsidRPr="002B65F7" w:rsidRDefault="00841282" w:rsidP="00841282">
      <w:pPr>
        <w:pStyle w:val="ListParagraph"/>
        <w:keepNext/>
        <w:widowControl/>
        <w:numPr>
          <w:ilvl w:val="1"/>
          <w:numId w:val="55"/>
        </w:numPr>
        <w:tabs>
          <w:tab w:val="left" w:pos="567"/>
        </w:tabs>
        <w:ind w:left="567" w:hanging="567"/>
      </w:pPr>
      <w:r w:rsidRPr="002B65F7">
        <w:t>La dose initiale recommandée est 45 mg de WEZENLA. Pour les patients pesant plus de 100 kilogrammes (kg), la dose initiale est de 90 mg au lieu de 45 mg.</w:t>
      </w:r>
    </w:p>
    <w:p w14:paraId="3A147608" w14:textId="77777777" w:rsidR="00841282" w:rsidRPr="002B65F7" w:rsidRDefault="00841282" w:rsidP="00841282">
      <w:pPr>
        <w:pStyle w:val="ListParagraph"/>
        <w:widowControl/>
        <w:numPr>
          <w:ilvl w:val="1"/>
          <w:numId w:val="55"/>
        </w:numPr>
        <w:tabs>
          <w:tab w:val="left" w:pos="567"/>
        </w:tabs>
        <w:ind w:left="567" w:hanging="567"/>
      </w:pPr>
      <w:r w:rsidRPr="002B65F7">
        <w:t>Après la dose initiale, vous recevrez la dose suivante 4 semaines après, puis ensuite toutes les 12 semaines. Les doses suivantes sont en général les mêmes que la dose initiale.</w:t>
      </w:r>
    </w:p>
    <w:p w14:paraId="3E00E401" w14:textId="77777777" w:rsidR="00841282" w:rsidRPr="002B65F7" w:rsidRDefault="00841282" w:rsidP="00841282">
      <w:pPr>
        <w:widowControl/>
      </w:pPr>
    </w:p>
    <w:p w14:paraId="4337BEB3" w14:textId="77777777" w:rsidR="00841282" w:rsidRPr="002B65F7" w:rsidRDefault="00841282" w:rsidP="00841282">
      <w:pPr>
        <w:widowControl/>
        <w:rPr>
          <w:b/>
          <w:bCs/>
        </w:rPr>
      </w:pPr>
      <w:r w:rsidRPr="002B65F7">
        <w:rPr>
          <w:b/>
          <w:bCs/>
        </w:rPr>
        <w:t>Maladie de Crohn</w:t>
      </w:r>
    </w:p>
    <w:p w14:paraId="4C9BA5AE" w14:textId="77777777" w:rsidR="00841282" w:rsidRPr="002B65F7" w:rsidRDefault="00841282" w:rsidP="00841282">
      <w:pPr>
        <w:pStyle w:val="ListParagraph"/>
        <w:widowControl/>
        <w:numPr>
          <w:ilvl w:val="1"/>
          <w:numId w:val="56"/>
        </w:numPr>
        <w:tabs>
          <w:tab w:val="left" w:pos="567"/>
        </w:tabs>
        <w:ind w:left="567" w:hanging="567"/>
      </w:pPr>
      <w:r w:rsidRPr="002B65F7">
        <w:t>Pendant le traitement, la première dose d'environ 6 mg/kg de WEZENLA sera administrée par votre médecin à l’aide d’une perfusion dans une veine de votre bras (perfusion intraveineuse). Après la dose initiale, vous recevrez la dose suivante de 90 mg de WEZENLA par une injection sous la peau (« sous-cutanée ») après 8 semaines, puis toutes les 12 semaines par la suite.</w:t>
      </w:r>
    </w:p>
    <w:p w14:paraId="0A2FD716" w14:textId="77777777" w:rsidR="00841282" w:rsidRPr="002B65F7" w:rsidRDefault="00841282" w:rsidP="00841282">
      <w:pPr>
        <w:pStyle w:val="ListParagraph"/>
        <w:widowControl/>
        <w:numPr>
          <w:ilvl w:val="1"/>
          <w:numId w:val="56"/>
        </w:numPr>
        <w:tabs>
          <w:tab w:val="left" w:pos="567"/>
        </w:tabs>
        <w:ind w:left="567" w:hanging="567"/>
      </w:pPr>
      <w:r w:rsidRPr="002B65F7">
        <w:t>Chez certains patients, après la première injection sous la peau, WEZENLA 90 mg peut être administré toutes les 8 semaines. Votre médecin décidera quand vous devez recevoir votre prochaine dose.</w:t>
      </w:r>
    </w:p>
    <w:p w14:paraId="685B166B" w14:textId="77777777" w:rsidR="00841282" w:rsidRPr="002B65F7" w:rsidRDefault="00841282" w:rsidP="00841282">
      <w:pPr>
        <w:widowControl/>
      </w:pPr>
    </w:p>
    <w:p w14:paraId="46A86790" w14:textId="77777777" w:rsidR="00841282" w:rsidRPr="002B65F7" w:rsidRDefault="00841282" w:rsidP="00841282">
      <w:pPr>
        <w:keepNext/>
        <w:widowControl/>
        <w:rPr>
          <w:b/>
          <w:bCs/>
        </w:rPr>
      </w:pPr>
      <w:r w:rsidRPr="002B65F7">
        <w:rPr>
          <w:b/>
          <w:bCs/>
        </w:rPr>
        <w:lastRenderedPageBreak/>
        <w:t>Comment WEZENLA est administré</w:t>
      </w:r>
    </w:p>
    <w:p w14:paraId="4599D39B" w14:textId="77777777" w:rsidR="00841282" w:rsidRPr="002B65F7" w:rsidRDefault="00841282" w:rsidP="00841282">
      <w:pPr>
        <w:pStyle w:val="ListParagraph"/>
        <w:keepNext/>
        <w:widowControl/>
        <w:numPr>
          <w:ilvl w:val="1"/>
          <w:numId w:val="58"/>
        </w:numPr>
        <w:tabs>
          <w:tab w:val="left" w:pos="567"/>
        </w:tabs>
        <w:ind w:left="567" w:hanging="567"/>
      </w:pPr>
      <w:r w:rsidRPr="002B65F7">
        <w:t>WEZENLA est administré par injection sous la peau (« sous-cutanée »). Au début de votre traitement, le personnel médical ou une infirmière pourra réaliser l’injection de WEZENLA.</w:t>
      </w:r>
    </w:p>
    <w:p w14:paraId="3957C869" w14:textId="77777777" w:rsidR="00841282" w:rsidRPr="002B65F7" w:rsidRDefault="00841282" w:rsidP="00841282">
      <w:pPr>
        <w:pStyle w:val="ListParagraph"/>
        <w:keepNext/>
        <w:widowControl/>
        <w:numPr>
          <w:ilvl w:val="1"/>
          <w:numId w:val="58"/>
        </w:numPr>
        <w:tabs>
          <w:tab w:val="left" w:pos="567"/>
        </w:tabs>
        <w:ind w:left="567" w:hanging="567"/>
      </w:pPr>
      <w:r w:rsidRPr="002B65F7">
        <w:t>Cependant, vous et votre médecin pouvez décider que vous réaliserez vous-même vos injections de WEZENLA. Dans ce cas vous recevrez une formation qui vous apprendra comment vous injecter WEZENLA vous-même.</w:t>
      </w:r>
    </w:p>
    <w:p w14:paraId="77B03B95" w14:textId="77777777" w:rsidR="00841282" w:rsidRPr="002B65F7" w:rsidRDefault="00841282" w:rsidP="00841282">
      <w:pPr>
        <w:pStyle w:val="ListParagraph"/>
        <w:widowControl/>
        <w:numPr>
          <w:ilvl w:val="1"/>
          <w:numId w:val="58"/>
        </w:numPr>
        <w:tabs>
          <w:tab w:val="left" w:pos="567"/>
        </w:tabs>
        <w:ind w:left="567" w:hanging="567"/>
      </w:pPr>
      <w:r w:rsidRPr="002B65F7">
        <w:t>Pour les instructions sur comment injecter WEZENLA, consultez la rubrique « Instructions pour l’utilisation » à la fin de cette notice.</w:t>
      </w:r>
    </w:p>
    <w:p w14:paraId="3EEAC25C" w14:textId="77777777" w:rsidR="00841282" w:rsidRPr="002B65F7" w:rsidRDefault="00841282" w:rsidP="00841282">
      <w:pPr>
        <w:widowControl/>
      </w:pPr>
      <w:r w:rsidRPr="002B65F7">
        <w:t>Parlez à votre médecin de toute question sur l’auto-injection de WEZENLA.</w:t>
      </w:r>
    </w:p>
    <w:p w14:paraId="4F2F0762" w14:textId="77777777" w:rsidR="00841282" w:rsidRPr="002B65F7" w:rsidRDefault="00841282" w:rsidP="00841282">
      <w:pPr>
        <w:widowControl/>
      </w:pPr>
    </w:p>
    <w:p w14:paraId="5A3B0AC6" w14:textId="77777777" w:rsidR="00841282" w:rsidRPr="002B65F7" w:rsidRDefault="00841282" w:rsidP="00841282">
      <w:pPr>
        <w:keepNext/>
        <w:widowControl/>
        <w:rPr>
          <w:b/>
          <w:bCs/>
        </w:rPr>
      </w:pPr>
      <w:r w:rsidRPr="002B65F7">
        <w:rPr>
          <w:b/>
          <w:bCs/>
        </w:rPr>
        <w:t>Si vous avez utilisé plus de WEZENLA que vous n’auriez dû</w:t>
      </w:r>
    </w:p>
    <w:p w14:paraId="26193568" w14:textId="77777777" w:rsidR="00841282" w:rsidRPr="002B65F7" w:rsidRDefault="00841282" w:rsidP="00841282">
      <w:pPr>
        <w:widowControl/>
      </w:pPr>
      <w:r w:rsidRPr="002B65F7">
        <w:t>Si vous avez utilisé plus de WEZENLA ou si vous en avez trop reçu, parlez-en immédiatement à un médecin ou un pharmacien. Gardez toujours sur vous l’emballage extérieur, même s’il est vide.</w:t>
      </w:r>
    </w:p>
    <w:p w14:paraId="3022AAB4" w14:textId="77777777" w:rsidR="00841282" w:rsidRPr="002B65F7" w:rsidRDefault="00841282" w:rsidP="00841282">
      <w:pPr>
        <w:widowControl/>
        <w:rPr>
          <w:b/>
          <w:bCs/>
        </w:rPr>
      </w:pPr>
    </w:p>
    <w:p w14:paraId="3CFB7FA7" w14:textId="77777777" w:rsidR="00841282" w:rsidRPr="002B65F7" w:rsidRDefault="00841282" w:rsidP="00841282">
      <w:pPr>
        <w:keepNext/>
        <w:widowControl/>
        <w:rPr>
          <w:b/>
          <w:bCs/>
        </w:rPr>
      </w:pPr>
      <w:r w:rsidRPr="002B65F7">
        <w:rPr>
          <w:b/>
          <w:bCs/>
        </w:rPr>
        <w:t>Si vous oubliez d’utiliser WEZENLA</w:t>
      </w:r>
    </w:p>
    <w:p w14:paraId="175CEF5B" w14:textId="77777777" w:rsidR="00841282" w:rsidRPr="002B65F7" w:rsidRDefault="00841282" w:rsidP="00841282">
      <w:pPr>
        <w:widowControl/>
      </w:pPr>
      <w:r w:rsidRPr="002B65F7">
        <w:t>Si vous oubliez une dose, contactez votre médecin ou pharmacien. Ne prenez pas de dose double pour compenser la dose que vous avez oublié de prendre.</w:t>
      </w:r>
    </w:p>
    <w:p w14:paraId="635726AF" w14:textId="77777777" w:rsidR="00841282" w:rsidRPr="002B65F7" w:rsidRDefault="00841282" w:rsidP="00841282">
      <w:pPr>
        <w:widowControl/>
        <w:rPr>
          <w:b/>
          <w:bCs/>
        </w:rPr>
      </w:pPr>
    </w:p>
    <w:p w14:paraId="2174035C" w14:textId="77777777" w:rsidR="00841282" w:rsidRPr="002B65F7" w:rsidRDefault="00841282" w:rsidP="00841282">
      <w:pPr>
        <w:keepNext/>
        <w:widowControl/>
        <w:rPr>
          <w:b/>
          <w:bCs/>
        </w:rPr>
      </w:pPr>
      <w:r w:rsidRPr="002B65F7">
        <w:rPr>
          <w:b/>
          <w:bCs/>
        </w:rPr>
        <w:t>Si vous arrêtez d’utiliser WEZENLA</w:t>
      </w:r>
    </w:p>
    <w:p w14:paraId="7AB19697" w14:textId="77777777" w:rsidR="00841282" w:rsidRPr="002B65F7" w:rsidRDefault="00841282" w:rsidP="00841282">
      <w:pPr>
        <w:widowControl/>
      </w:pPr>
      <w:r w:rsidRPr="002B65F7">
        <w:t>Il n’est pas dangereux d’arrêter d’utiliser WEZENLA. Cependant, si vous arrêtez, vos symptômes peuvent revenir.</w:t>
      </w:r>
    </w:p>
    <w:p w14:paraId="09EB2B93" w14:textId="77777777" w:rsidR="00841282" w:rsidRPr="002B65F7" w:rsidRDefault="00841282" w:rsidP="00841282">
      <w:pPr>
        <w:widowControl/>
      </w:pPr>
    </w:p>
    <w:p w14:paraId="1DF35EAD" w14:textId="77777777" w:rsidR="00841282" w:rsidRPr="002B65F7" w:rsidRDefault="00841282" w:rsidP="00841282">
      <w:pPr>
        <w:widowControl/>
      </w:pPr>
      <w:r w:rsidRPr="002B65F7">
        <w:t>Si vous avez d’autres questions sur l’utilisation de ce médicament, demandez plus d’informations à votre médecin ou à votre pharmacien.</w:t>
      </w:r>
    </w:p>
    <w:p w14:paraId="1C83D623" w14:textId="77777777" w:rsidR="00841282" w:rsidRPr="002B65F7" w:rsidRDefault="00841282" w:rsidP="00841282">
      <w:pPr>
        <w:widowControl/>
      </w:pPr>
    </w:p>
    <w:p w14:paraId="08BAB48A" w14:textId="77777777" w:rsidR="00841282" w:rsidRPr="002B65F7" w:rsidRDefault="00841282" w:rsidP="00841282">
      <w:pPr>
        <w:widowControl/>
      </w:pPr>
    </w:p>
    <w:p w14:paraId="7DACD1F8" w14:textId="77777777" w:rsidR="00841282" w:rsidRPr="002B65F7" w:rsidRDefault="00841282" w:rsidP="00841282">
      <w:pPr>
        <w:keepNext/>
        <w:widowControl/>
        <w:tabs>
          <w:tab w:val="left" w:pos="567"/>
        </w:tabs>
        <w:ind w:left="567" w:hanging="567"/>
        <w:rPr>
          <w:b/>
          <w:bCs/>
        </w:rPr>
      </w:pPr>
      <w:r w:rsidRPr="002B65F7">
        <w:rPr>
          <w:b/>
          <w:bCs/>
        </w:rPr>
        <w:t>4.</w:t>
      </w:r>
      <w:r w:rsidRPr="002B65F7">
        <w:rPr>
          <w:b/>
          <w:bCs/>
        </w:rPr>
        <w:tab/>
        <w:t>Quels sont les effets indésirables éventuels ?</w:t>
      </w:r>
    </w:p>
    <w:p w14:paraId="6A000E01" w14:textId="77777777" w:rsidR="00841282" w:rsidRPr="002B65F7" w:rsidRDefault="00841282" w:rsidP="00841282">
      <w:pPr>
        <w:keepNext/>
        <w:widowControl/>
        <w:rPr>
          <w:b/>
          <w:bCs/>
        </w:rPr>
      </w:pPr>
    </w:p>
    <w:p w14:paraId="1F262065" w14:textId="77777777" w:rsidR="00841282" w:rsidRPr="002B65F7" w:rsidRDefault="00841282" w:rsidP="00841282">
      <w:pPr>
        <w:widowControl/>
      </w:pPr>
      <w:r w:rsidRPr="002B65F7">
        <w:t>Comme tous les médicaments, ce médicament peut provoquer des effets indésirables, mais ils ne surviennent pas systématiquement chez tout le monde.</w:t>
      </w:r>
    </w:p>
    <w:p w14:paraId="14B588FA" w14:textId="77777777" w:rsidR="00841282" w:rsidRPr="002B65F7" w:rsidRDefault="00841282" w:rsidP="00841282">
      <w:pPr>
        <w:widowControl/>
      </w:pPr>
    </w:p>
    <w:p w14:paraId="1354A0D6" w14:textId="77777777" w:rsidR="00841282" w:rsidRPr="002B65F7" w:rsidRDefault="00841282" w:rsidP="00841282">
      <w:pPr>
        <w:keepNext/>
        <w:widowControl/>
        <w:rPr>
          <w:b/>
          <w:bCs/>
        </w:rPr>
      </w:pPr>
      <w:r w:rsidRPr="002B65F7">
        <w:rPr>
          <w:b/>
          <w:bCs/>
        </w:rPr>
        <w:t>Effets indésirables graves</w:t>
      </w:r>
    </w:p>
    <w:p w14:paraId="30AAE631" w14:textId="77777777" w:rsidR="00841282" w:rsidRPr="002B65F7" w:rsidRDefault="00841282" w:rsidP="00841282">
      <w:pPr>
        <w:widowControl/>
      </w:pPr>
      <w:r w:rsidRPr="002B65F7">
        <w:t>Certains patients peuvent avoir des effets indésirables graves qui peuvent nécessiter un traitement urgent.</w:t>
      </w:r>
    </w:p>
    <w:p w14:paraId="274DC556" w14:textId="77777777" w:rsidR="00841282" w:rsidRPr="002B65F7" w:rsidRDefault="00841282" w:rsidP="00841282">
      <w:pPr>
        <w:widowControl/>
      </w:pPr>
    </w:p>
    <w:p w14:paraId="6D983E6B" w14:textId="77777777" w:rsidR="00841282" w:rsidRPr="002B65F7" w:rsidRDefault="00841282" w:rsidP="00841282">
      <w:pPr>
        <w:widowControl/>
        <w:rPr>
          <w:b/>
          <w:bCs/>
        </w:rPr>
      </w:pPr>
      <w:r w:rsidRPr="002B65F7">
        <w:rPr>
          <w:b/>
          <w:bCs/>
        </w:rPr>
        <w:t>Réactions allergiques – elles peuvent nécessiter un traitement urgent. Informez votre médecin ou cherchez immédiatement une aide médicale d’urgence si vous constatez l’un des signes suivants.</w:t>
      </w:r>
    </w:p>
    <w:p w14:paraId="049F8855" w14:textId="77777777" w:rsidR="00841282" w:rsidRPr="002B65F7" w:rsidRDefault="00841282" w:rsidP="00841282">
      <w:pPr>
        <w:pStyle w:val="ListParagraph"/>
        <w:widowControl/>
        <w:numPr>
          <w:ilvl w:val="1"/>
          <w:numId w:val="59"/>
        </w:numPr>
        <w:tabs>
          <w:tab w:val="left" w:pos="567"/>
        </w:tabs>
        <w:ind w:left="567" w:hanging="567"/>
      </w:pPr>
      <w:r w:rsidRPr="002B65F7">
        <w:t>Les réactions allergiques graves (anaphylaxie) sont rares chez les personnes prenant de l’ustekinumab (peuvent affecter jusqu’à 1 personne sur 1 000). Les signes incluent :</w:t>
      </w:r>
    </w:p>
    <w:p w14:paraId="773DE949" w14:textId="77777777" w:rsidR="00841282" w:rsidRPr="002B65F7" w:rsidRDefault="00841282" w:rsidP="00841282">
      <w:pPr>
        <w:widowControl/>
        <w:ind w:left="1134" w:hanging="567"/>
      </w:pPr>
      <w:r w:rsidRPr="002B65F7">
        <w:t>-</w:t>
      </w:r>
      <w:r w:rsidRPr="002B65F7">
        <w:tab/>
        <w:t>difficultés à respirer ou à avaler</w:t>
      </w:r>
    </w:p>
    <w:p w14:paraId="1D2B8F81" w14:textId="77777777" w:rsidR="00841282" w:rsidRPr="002B65F7" w:rsidRDefault="00841282" w:rsidP="00841282">
      <w:pPr>
        <w:widowControl/>
        <w:ind w:left="1134" w:hanging="567"/>
      </w:pPr>
      <w:r w:rsidRPr="002B65F7">
        <w:t>-</w:t>
      </w:r>
      <w:r w:rsidRPr="002B65F7">
        <w:tab/>
        <w:t>pression sanguine basse, ce qui peut provoquer des vertiges et des légers étourdissements</w:t>
      </w:r>
    </w:p>
    <w:p w14:paraId="2B2D169D" w14:textId="77777777" w:rsidR="00841282" w:rsidRPr="002B65F7" w:rsidRDefault="00841282" w:rsidP="00841282">
      <w:pPr>
        <w:widowControl/>
        <w:ind w:left="1134" w:hanging="567"/>
      </w:pPr>
      <w:r w:rsidRPr="002B65F7">
        <w:t>-</w:t>
      </w:r>
      <w:r w:rsidRPr="002B65F7">
        <w:tab/>
        <w:t>gonflement de la face, des lèvres, de la bouche ou de la gorge.</w:t>
      </w:r>
    </w:p>
    <w:p w14:paraId="7BC95B33" w14:textId="77777777" w:rsidR="00841282" w:rsidRPr="002B65F7" w:rsidRDefault="00841282" w:rsidP="00841282">
      <w:pPr>
        <w:pStyle w:val="ListParagraph"/>
        <w:widowControl/>
        <w:numPr>
          <w:ilvl w:val="1"/>
          <w:numId w:val="59"/>
        </w:numPr>
        <w:tabs>
          <w:tab w:val="left" w:pos="567"/>
        </w:tabs>
        <w:ind w:left="567" w:hanging="567"/>
      </w:pPr>
      <w:r w:rsidRPr="002B65F7">
        <w:t>Les signes fréquents d’une réaction allergique incluent éruptions cutanées et urticaire (ils peuvent affecter jusqu’à 1 personne sur 100).</w:t>
      </w:r>
    </w:p>
    <w:p w14:paraId="76BCAF61" w14:textId="77777777" w:rsidR="00841282" w:rsidRPr="002B65F7" w:rsidRDefault="00841282" w:rsidP="00841282">
      <w:pPr>
        <w:widowControl/>
        <w:rPr>
          <w:b/>
          <w:bCs/>
        </w:rPr>
      </w:pPr>
    </w:p>
    <w:p w14:paraId="3FA1262E" w14:textId="77777777" w:rsidR="00841282" w:rsidRPr="002B65F7" w:rsidRDefault="00841282" w:rsidP="00841282">
      <w:pPr>
        <w:widowControl/>
        <w:rPr>
          <w:b/>
          <w:bCs/>
        </w:rPr>
      </w:pPr>
      <w:r w:rsidRPr="002B65F7">
        <w:rPr>
          <w:b/>
          <w:bCs/>
        </w:rPr>
        <w:t>Dans de rares cas, des réactions allergiques pulmonaires et une inflammation pulmonaire ont été signalées chez des patients traités par ustekinumab. Informez immédiatement votre médecin si vous présentez des symptômes comme la toux, l’essoufflement et la fièvre.</w:t>
      </w:r>
    </w:p>
    <w:p w14:paraId="24429BFD" w14:textId="77777777" w:rsidR="00841282" w:rsidRPr="002B65F7" w:rsidRDefault="00841282" w:rsidP="00841282">
      <w:pPr>
        <w:widowControl/>
        <w:rPr>
          <w:b/>
          <w:bCs/>
        </w:rPr>
      </w:pPr>
    </w:p>
    <w:p w14:paraId="2A66F441" w14:textId="77777777" w:rsidR="00841282" w:rsidRPr="002B65F7" w:rsidRDefault="00841282" w:rsidP="00841282">
      <w:pPr>
        <w:widowControl/>
      </w:pPr>
      <w:r w:rsidRPr="002B65F7">
        <w:t>Si vous avez une réaction allergique grave, votre médecin peut décider que vous ne devez plus utiliser WEZENLA.</w:t>
      </w:r>
    </w:p>
    <w:p w14:paraId="4AB5360F" w14:textId="77777777" w:rsidR="00841282" w:rsidRPr="002B65F7" w:rsidRDefault="00841282" w:rsidP="00841282">
      <w:pPr>
        <w:widowControl/>
      </w:pPr>
    </w:p>
    <w:p w14:paraId="24E7AC20" w14:textId="77777777" w:rsidR="00841282" w:rsidRPr="002B65F7" w:rsidRDefault="00841282" w:rsidP="00841282">
      <w:pPr>
        <w:keepNext/>
        <w:widowControl/>
        <w:rPr>
          <w:b/>
          <w:bCs/>
        </w:rPr>
      </w:pPr>
      <w:r w:rsidRPr="002B65F7">
        <w:rPr>
          <w:b/>
          <w:bCs/>
        </w:rPr>
        <w:t>Infections - elles peuvent nécessiter un traitement urgent. Informez votre médecin immédiatement si vous constatez l’un des signes suivants.</w:t>
      </w:r>
    </w:p>
    <w:p w14:paraId="66C316D2" w14:textId="77777777" w:rsidR="00841282" w:rsidRPr="002B65F7" w:rsidRDefault="00841282" w:rsidP="00841282">
      <w:pPr>
        <w:pStyle w:val="ListParagraph"/>
        <w:widowControl/>
        <w:numPr>
          <w:ilvl w:val="1"/>
          <w:numId w:val="59"/>
        </w:numPr>
        <w:tabs>
          <w:tab w:val="left" w:pos="567"/>
        </w:tabs>
        <w:ind w:left="567" w:hanging="567"/>
      </w:pPr>
      <w:r w:rsidRPr="002B65F7">
        <w:t>Les infections du nez ou de la gorge et les rhumes sont fréquents (peuvent affecter jusqu’à 1 personne sur 10)</w:t>
      </w:r>
    </w:p>
    <w:p w14:paraId="654F7644" w14:textId="77777777" w:rsidR="00841282" w:rsidRPr="002B65F7" w:rsidRDefault="00841282" w:rsidP="00841282">
      <w:pPr>
        <w:pStyle w:val="ListParagraph"/>
        <w:widowControl/>
        <w:numPr>
          <w:ilvl w:val="1"/>
          <w:numId w:val="59"/>
        </w:numPr>
        <w:tabs>
          <w:tab w:val="left" w:pos="567"/>
        </w:tabs>
        <w:ind w:left="567" w:hanging="567"/>
      </w:pPr>
      <w:r w:rsidRPr="002B65F7">
        <w:t>Les infections thoraciques sont peu fréquentes (peuvent affecter jusqu’à 1 personne sur 100)</w:t>
      </w:r>
    </w:p>
    <w:p w14:paraId="3478F1D6" w14:textId="77777777" w:rsidR="00841282" w:rsidRPr="002B65F7" w:rsidRDefault="00841282" w:rsidP="00841282">
      <w:pPr>
        <w:pStyle w:val="ListParagraph"/>
        <w:widowControl/>
        <w:numPr>
          <w:ilvl w:val="1"/>
          <w:numId w:val="59"/>
        </w:numPr>
        <w:tabs>
          <w:tab w:val="left" w:pos="567"/>
        </w:tabs>
        <w:ind w:left="567" w:hanging="567"/>
      </w:pPr>
      <w:r w:rsidRPr="002B65F7">
        <w:lastRenderedPageBreak/>
        <w:t>L’inflammation des tissus sous la peau (cellulite) est peu fréquente (peut affecter jusqu’à 1 personne sur 100)</w:t>
      </w:r>
    </w:p>
    <w:p w14:paraId="1EE25E22" w14:textId="77777777" w:rsidR="00841282" w:rsidRPr="002B65F7" w:rsidRDefault="00841282" w:rsidP="00841282">
      <w:pPr>
        <w:pStyle w:val="ListParagraph"/>
        <w:widowControl/>
        <w:numPr>
          <w:ilvl w:val="1"/>
          <w:numId w:val="59"/>
        </w:numPr>
        <w:tabs>
          <w:tab w:val="left" w:pos="567"/>
        </w:tabs>
        <w:ind w:left="567" w:hanging="567"/>
      </w:pPr>
      <w:r w:rsidRPr="002B65F7">
        <w:t>Les zona (un type d’éruption cutanée douloureuse avec des cloques) sont peu fréquents (peuvent affecter jusqu’à 1 personne sur 100)</w:t>
      </w:r>
    </w:p>
    <w:p w14:paraId="6D420B73" w14:textId="77777777" w:rsidR="00841282" w:rsidRPr="002B65F7" w:rsidRDefault="00841282" w:rsidP="00841282">
      <w:pPr>
        <w:widowControl/>
        <w:ind w:left="567" w:hanging="567"/>
      </w:pPr>
    </w:p>
    <w:p w14:paraId="19BE3776" w14:textId="77777777" w:rsidR="00841282" w:rsidRPr="002B65F7" w:rsidRDefault="00841282" w:rsidP="00841282">
      <w:pPr>
        <w:widowControl/>
      </w:pPr>
      <w:r w:rsidRPr="002B65F7">
        <w:t>WEZENLA peut altérer votre capacité à lutter contre les infections. Certaines infections peuvent devenir graves et peuvent comprendre des infections d’origine virale, fongique, bactérienne (notamment la tuberculose), ou parasitaire, y compris des infections survenant principalement chez les personnes présentant un système immunitaire plus faible (infections opportunistes). Des infections opportunistes du cerveau (encéphalite, méningite), des poumons et des yeux ont été rapportées chez des patients recevant un traitement par ustekinumab.</w:t>
      </w:r>
    </w:p>
    <w:p w14:paraId="316266EF" w14:textId="77777777" w:rsidR="00841282" w:rsidRPr="002B65F7" w:rsidRDefault="00841282" w:rsidP="00841282">
      <w:pPr>
        <w:widowControl/>
      </w:pPr>
    </w:p>
    <w:p w14:paraId="2713BA17" w14:textId="77777777" w:rsidR="00841282" w:rsidRPr="002B65F7" w:rsidRDefault="00841282" w:rsidP="00841282">
      <w:pPr>
        <w:keepNext/>
        <w:widowControl/>
      </w:pPr>
      <w:r w:rsidRPr="002B65F7">
        <w:t>Vous devez faire attention aux signes d’infection pendant que vous utilisez WEZENLA. Ceux-ci incluent :</w:t>
      </w:r>
    </w:p>
    <w:p w14:paraId="3AD6C0F9" w14:textId="77777777" w:rsidR="00841282" w:rsidRPr="002B65F7" w:rsidRDefault="00841282" w:rsidP="00841282">
      <w:pPr>
        <w:pStyle w:val="ListParagraph"/>
        <w:widowControl/>
        <w:numPr>
          <w:ilvl w:val="1"/>
          <w:numId w:val="59"/>
        </w:numPr>
        <w:tabs>
          <w:tab w:val="left" w:pos="567"/>
        </w:tabs>
        <w:ind w:left="567" w:hanging="567"/>
      </w:pPr>
      <w:r w:rsidRPr="002B65F7">
        <w:t>Fièvre, symptômes pseudo-grippaux, sueurs nocturnes, perte de poids</w:t>
      </w:r>
    </w:p>
    <w:p w14:paraId="5BB5E846" w14:textId="77777777" w:rsidR="00841282" w:rsidRPr="002B65F7" w:rsidRDefault="00841282" w:rsidP="00841282">
      <w:pPr>
        <w:pStyle w:val="ListParagraph"/>
        <w:widowControl/>
        <w:numPr>
          <w:ilvl w:val="1"/>
          <w:numId w:val="59"/>
        </w:numPr>
        <w:tabs>
          <w:tab w:val="left" w:pos="567"/>
        </w:tabs>
        <w:ind w:left="567" w:hanging="567"/>
      </w:pPr>
      <w:r w:rsidRPr="002B65F7">
        <w:t>Sensation de fatigue ou d’essoufflement ; toux qui ne passe pas</w:t>
      </w:r>
    </w:p>
    <w:p w14:paraId="6C9C9AC5" w14:textId="77777777" w:rsidR="00841282" w:rsidRPr="002B65F7" w:rsidRDefault="00841282" w:rsidP="00841282">
      <w:pPr>
        <w:pStyle w:val="ListParagraph"/>
        <w:widowControl/>
        <w:numPr>
          <w:ilvl w:val="1"/>
          <w:numId w:val="59"/>
        </w:numPr>
        <w:tabs>
          <w:tab w:val="left" w:pos="567"/>
        </w:tabs>
        <w:ind w:left="567" w:hanging="567"/>
      </w:pPr>
      <w:r w:rsidRPr="002B65F7">
        <w:t>Peau chaude, rouge et douloureuse, ou une éruption cutanée douloureuse avec des cloques</w:t>
      </w:r>
    </w:p>
    <w:p w14:paraId="4EEA737F" w14:textId="77777777" w:rsidR="00841282" w:rsidRPr="002B65F7" w:rsidRDefault="00841282" w:rsidP="00841282">
      <w:pPr>
        <w:pStyle w:val="ListParagraph"/>
        <w:widowControl/>
        <w:numPr>
          <w:ilvl w:val="1"/>
          <w:numId w:val="59"/>
        </w:numPr>
        <w:tabs>
          <w:tab w:val="left" w:pos="567"/>
        </w:tabs>
        <w:ind w:left="567" w:hanging="567"/>
      </w:pPr>
      <w:r w:rsidRPr="002B65F7">
        <w:t>Sensation de brûlure lorsque vous urinez</w:t>
      </w:r>
    </w:p>
    <w:p w14:paraId="135DB9C3" w14:textId="77777777" w:rsidR="00841282" w:rsidRPr="002B65F7" w:rsidRDefault="00841282" w:rsidP="00841282">
      <w:pPr>
        <w:pStyle w:val="ListParagraph"/>
        <w:widowControl/>
        <w:numPr>
          <w:ilvl w:val="1"/>
          <w:numId w:val="59"/>
        </w:numPr>
        <w:tabs>
          <w:tab w:val="left" w:pos="567"/>
        </w:tabs>
        <w:ind w:left="567" w:hanging="567"/>
      </w:pPr>
      <w:r w:rsidRPr="002B65F7">
        <w:t>Diarrhées</w:t>
      </w:r>
    </w:p>
    <w:p w14:paraId="0DAC3387" w14:textId="77777777" w:rsidR="00841282" w:rsidRPr="002B65F7" w:rsidRDefault="00841282" w:rsidP="00841282">
      <w:pPr>
        <w:pStyle w:val="ListParagraph"/>
        <w:widowControl/>
        <w:numPr>
          <w:ilvl w:val="1"/>
          <w:numId w:val="59"/>
        </w:numPr>
        <w:tabs>
          <w:tab w:val="left" w:pos="567"/>
        </w:tabs>
        <w:ind w:left="567" w:hanging="567"/>
      </w:pPr>
      <w:r w:rsidRPr="002B65F7">
        <w:t>Troubles visuels ou perte de la vue</w:t>
      </w:r>
    </w:p>
    <w:p w14:paraId="224172AC" w14:textId="77777777" w:rsidR="00841282" w:rsidRPr="002B65F7" w:rsidRDefault="00841282" w:rsidP="00841282">
      <w:pPr>
        <w:pStyle w:val="ListParagraph"/>
        <w:widowControl/>
        <w:numPr>
          <w:ilvl w:val="1"/>
          <w:numId w:val="59"/>
        </w:numPr>
        <w:tabs>
          <w:tab w:val="left" w:pos="567"/>
        </w:tabs>
        <w:ind w:left="567" w:hanging="567"/>
      </w:pPr>
      <w:r w:rsidRPr="002B65F7">
        <w:t>Maux de tête, raideur de la nuque, sensibilité à la lumière, nausées ou confusion.</w:t>
      </w:r>
    </w:p>
    <w:p w14:paraId="43D905E7" w14:textId="77777777" w:rsidR="00841282" w:rsidRPr="002B65F7" w:rsidRDefault="00841282" w:rsidP="00841282">
      <w:pPr>
        <w:widowControl/>
        <w:ind w:left="567" w:hanging="567"/>
      </w:pPr>
    </w:p>
    <w:p w14:paraId="77C44B74" w14:textId="77777777" w:rsidR="00841282" w:rsidRPr="002B65F7" w:rsidRDefault="00841282" w:rsidP="00841282">
      <w:pPr>
        <w:widowControl/>
      </w:pPr>
      <w:r w:rsidRPr="002B65F7">
        <w:t>Informez votre médecin immédiatement si vous constatez l’un de ces signes d’infection. Ils peuvent être des signes d’infections telles que des infections thoraciques, des infections de la peau, un zona ou des infections opportunistes, qui pourraient conduire à des complications graves. Informez votre médecin si vous avez une infection qui ne passe pas ou qui revient. Votre médecin peut décider que vous ne devez plus utiliser WEZENLA jusqu’à ce que l’infection soit partie. Informez également votre médecin si vous avez des coupures ou des plaies ouvertes car elles pourraient s’infecter.</w:t>
      </w:r>
    </w:p>
    <w:p w14:paraId="408F877E" w14:textId="77777777" w:rsidR="00841282" w:rsidRPr="002B65F7" w:rsidRDefault="00841282" w:rsidP="00841282">
      <w:pPr>
        <w:widowControl/>
      </w:pPr>
    </w:p>
    <w:p w14:paraId="5D4DCB68" w14:textId="77777777" w:rsidR="00841282" w:rsidRPr="002B65F7" w:rsidRDefault="00841282" w:rsidP="00841282">
      <w:pPr>
        <w:widowControl/>
        <w:rPr>
          <w:b/>
          <w:bCs/>
        </w:rPr>
      </w:pPr>
      <w:r w:rsidRPr="002B65F7">
        <w:rPr>
          <w:b/>
          <w:bCs/>
        </w:rPr>
        <w:t>Desquamation de la peau – l’augmentation de la rougeur et de la desquamation de la peau sur une surface corporelle plus étendue peuvent être des symptômes de psoriasis érythrodermique ou d’érythrodermie, qui sont des atteintes graves de la peau. Vous devez informer immédiatement votre médecin si vous remarquez un de ces signes.</w:t>
      </w:r>
    </w:p>
    <w:p w14:paraId="0C813E6F" w14:textId="77777777" w:rsidR="00841282" w:rsidRPr="002B65F7" w:rsidRDefault="00841282" w:rsidP="00841282">
      <w:pPr>
        <w:widowControl/>
      </w:pPr>
    </w:p>
    <w:p w14:paraId="5544E025" w14:textId="77777777" w:rsidR="00841282" w:rsidRPr="002B65F7" w:rsidRDefault="00841282" w:rsidP="00841282">
      <w:pPr>
        <w:keepNext/>
        <w:widowControl/>
        <w:rPr>
          <w:b/>
          <w:bCs/>
        </w:rPr>
      </w:pPr>
      <w:r w:rsidRPr="002B65F7">
        <w:rPr>
          <w:b/>
          <w:bCs/>
        </w:rPr>
        <w:t>Autres effets indésirables</w:t>
      </w:r>
    </w:p>
    <w:p w14:paraId="4E57D1A5" w14:textId="77777777" w:rsidR="00841282" w:rsidRPr="002B65F7" w:rsidRDefault="00841282" w:rsidP="00841282">
      <w:pPr>
        <w:keepNext/>
        <w:widowControl/>
      </w:pPr>
    </w:p>
    <w:p w14:paraId="1A12777E" w14:textId="77777777" w:rsidR="00841282" w:rsidRPr="002B65F7" w:rsidRDefault="00841282" w:rsidP="00841282">
      <w:pPr>
        <w:keepNext/>
        <w:widowControl/>
      </w:pPr>
      <w:r w:rsidRPr="002B65F7">
        <w:rPr>
          <w:b/>
          <w:bCs/>
        </w:rPr>
        <w:t>Effets indésirables fréquents</w:t>
      </w:r>
      <w:r w:rsidRPr="002B65F7">
        <w:t xml:space="preserve"> (peuvent affecter jusqu’à 1 personne sur 10) :</w:t>
      </w:r>
    </w:p>
    <w:p w14:paraId="517EDA5D" w14:textId="77777777" w:rsidR="00841282" w:rsidRPr="002B65F7" w:rsidRDefault="00841282" w:rsidP="00841282">
      <w:pPr>
        <w:pStyle w:val="ListParagraph"/>
        <w:widowControl/>
        <w:numPr>
          <w:ilvl w:val="1"/>
          <w:numId w:val="59"/>
        </w:numPr>
        <w:tabs>
          <w:tab w:val="left" w:pos="567"/>
        </w:tabs>
        <w:ind w:left="567" w:hanging="567"/>
      </w:pPr>
      <w:r w:rsidRPr="002B65F7">
        <w:t>Diarrhées</w:t>
      </w:r>
    </w:p>
    <w:p w14:paraId="0A8C0777" w14:textId="77777777" w:rsidR="00841282" w:rsidRPr="002B65F7" w:rsidRDefault="00841282" w:rsidP="00841282">
      <w:pPr>
        <w:pStyle w:val="ListParagraph"/>
        <w:widowControl/>
        <w:numPr>
          <w:ilvl w:val="1"/>
          <w:numId w:val="59"/>
        </w:numPr>
        <w:tabs>
          <w:tab w:val="left" w:pos="567"/>
        </w:tabs>
        <w:ind w:left="567" w:hanging="567"/>
      </w:pPr>
      <w:r w:rsidRPr="002B65F7">
        <w:t>Nausées</w:t>
      </w:r>
    </w:p>
    <w:p w14:paraId="3907265D" w14:textId="77777777" w:rsidR="00841282" w:rsidRPr="002B65F7" w:rsidRDefault="00841282" w:rsidP="00841282">
      <w:pPr>
        <w:pStyle w:val="ListParagraph"/>
        <w:widowControl/>
        <w:numPr>
          <w:ilvl w:val="1"/>
          <w:numId w:val="59"/>
        </w:numPr>
        <w:tabs>
          <w:tab w:val="left" w:pos="567"/>
        </w:tabs>
        <w:ind w:left="567" w:hanging="567"/>
      </w:pPr>
      <w:r w:rsidRPr="002B65F7">
        <w:t>Vomissements</w:t>
      </w:r>
    </w:p>
    <w:p w14:paraId="62579839" w14:textId="77777777" w:rsidR="00841282" w:rsidRPr="002B65F7" w:rsidRDefault="00841282" w:rsidP="00841282">
      <w:pPr>
        <w:pStyle w:val="ListParagraph"/>
        <w:widowControl/>
        <w:numPr>
          <w:ilvl w:val="1"/>
          <w:numId w:val="59"/>
        </w:numPr>
        <w:tabs>
          <w:tab w:val="left" w:pos="567"/>
        </w:tabs>
        <w:ind w:left="567" w:hanging="567"/>
      </w:pPr>
      <w:r w:rsidRPr="002B65F7">
        <w:t>Sensations de fatigue</w:t>
      </w:r>
    </w:p>
    <w:p w14:paraId="5577A5C3" w14:textId="77777777" w:rsidR="00841282" w:rsidRPr="002B65F7" w:rsidRDefault="00841282" w:rsidP="00841282">
      <w:pPr>
        <w:pStyle w:val="ListParagraph"/>
        <w:widowControl/>
        <w:numPr>
          <w:ilvl w:val="1"/>
          <w:numId w:val="59"/>
        </w:numPr>
        <w:tabs>
          <w:tab w:val="left" w:pos="567"/>
        </w:tabs>
        <w:ind w:left="567" w:hanging="567"/>
      </w:pPr>
      <w:r w:rsidRPr="002B65F7">
        <w:t>Vertiges</w:t>
      </w:r>
    </w:p>
    <w:p w14:paraId="6A1F089F" w14:textId="77777777" w:rsidR="00841282" w:rsidRPr="002B65F7" w:rsidRDefault="00841282" w:rsidP="00841282">
      <w:pPr>
        <w:pStyle w:val="ListParagraph"/>
        <w:widowControl/>
        <w:numPr>
          <w:ilvl w:val="1"/>
          <w:numId w:val="59"/>
        </w:numPr>
        <w:tabs>
          <w:tab w:val="left" w:pos="567"/>
        </w:tabs>
        <w:ind w:left="567" w:hanging="567"/>
      </w:pPr>
      <w:r w:rsidRPr="002B65F7">
        <w:t>Mal de tête</w:t>
      </w:r>
    </w:p>
    <w:p w14:paraId="439AB359" w14:textId="77777777" w:rsidR="00841282" w:rsidRPr="002B65F7" w:rsidRDefault="00841282" w:rsidP="00841282">
      <w:pPr>
        <w:pStyle w:val="ListParagraph"/>
        <w:widowControl/>
        <w:numPr>
          <w:ilvl w:val="1"/>
          <w:numId w:val="59"/>
        </w:numPr>
        <w:tabs>
          <w:tab w:val="left" w:pos="567"/>
        </w:tabs>
        <w:ind w:left="567" w:hanging="567"/>
      </w:pPr>
      <w:r w:rsidRPr="002B65F7">
        <w:t>Démangeaisons (prurit)</w:t>
      </w:r>
    </w:p>
    <w:p w14:paraId="20DF3347" w14:textId="77777777" w:rsidR="00841282" w:rsidRPr="002B65F7" w:rsidRDefault="00841282" w:rsidP="00841282">
      <w:pPr>
        <w:pStyle w:val="ListParagraph"/>
        <w:widowControl/>
        <w:numPr>
          <w:ilvl w:val="1"/>
          <w:numId w:val="59"/>
        </w:numPr>
        <w:tabs>
          <w:tab w:val="left" w:pos="567"/>
        </w:tabs>
        <w:ind w:left="567" w:hanging="567"/>
      </w:pPr>
      <w:r w:rsidRPr="002B65F7">
        <w:t>Douleurs du dos, des muscles ou des articulations</w:t>
      </w:r>
    </w:p>
    <w:p w14:paraId="2DBEEB62" w14:textId="77777777" w:rsidR="00841282" w:rsidRPr="002B65F7" w:rsidRDefault="00841282" w:rsidP="00841282">
      <w:pPr>
        <w:pStyle w:val="ListParagraph"/>
        <w:widowControl/>
        <w:numPr>
          <w:ilvl w:val="1"/>
          <w:numId w:val="59"/>
        </w:numPr>
        <w:tabs>
          <w:tab w:val="left" w:pos="567"/>
        </w:tabs>
        <w:ind w:left="567" w:hanging="567"/>
      </w:pPr>
      <w:r w:rsidRPr="002B65F7">
        <w:t>Mal de gorge</w:t>
      </w:r>
    </w:p>
    <w:p w14:paraId="1058D81C" w14:textId="77777777" w:rsidR="00841282" w:rsidRPr="002B65F7" w:rsidRDefault="00841282" w:rsidP="00841282">
      <w:pPr>
        <w:pStyle w:val="ListParagraph"/>
        <w:widowControl/>
        <w:numPr>
          <w:ilvl w:val="1"/>
          <w:numId w:val="59"/>
        </w:numPr>
        <w:tabs>
          <w:tab w:val="left" w:pos="567"/>
        </w:tabs>
        <w:ind w:left="567" w:hanging="567"/>
      </w:pPr>
      <w:r w:rsidRPr="002B65F7">
        <w:t>Rougeur et douleur au site d’injection</w:t>
      </w:r>
    </w:p>
    <w:p w14:paraId="3B6764EB" w14:textId="77777777" w:rsidR="00841282" w:rsidRPr="002B65F7" w:rsidRDefault="00841282" w:rsidP="00841282">
      <w:pPr>
        <w:pStyle w:val="ListParagraph"/>
        <w:widowControl/>
        <w:numPr>
          <w:ilvl w:val="1"/>
          <w:numId w:val="59"/>
        </w:numPr>
        <w:tabs>
          <w:tab w:val="left" w:pos="567"/>
        </w:tabs>
        <w:ind w:left="567" w:hanging="567"/>
      </w:pPr>
      <w:r w:rsidRPr="002B65F7">
        <w:t>Infection des sinus</w:t>
      </w:r>
    </w:p>
    <w:p w14:paraId="08974E70" w14:textId="77777777" w:rsidR="00841282" w:rsidRPr="002B65F7" w:rsidRDefault="00841282" w:rsidP="00841282">
      <w:pPr>
        <w:widowControl/>
        <w:ind w:left="567" w:hanging="567"/>
      </w:pPr>
    </w:p>
    <w:p w14:paraId="2FA8C19B" w14:textId="77777777" w:rsidR="00841282" w:rsidRPr="002B65F7" w:rsidRDefault="00841282" w:rsidP="00841282">
      <w:pPr>
        <w:keepNext/>
        <w:widowControl/>
        <w:ind w:left="567" w:hanging="567"/>
      </w:pPr>
      <w:r w:rsidRPr="002B65F7">
        <w:rPr>
          <w:b/>
          <w:bCs/>
        </w:rPr>
        <w:t xml:space="preserve">Effets indésirables peu fréquents </w:t>
      </w:r>
      <w:r w:rsidRPr="002B65F7">
        <w:t>(peuvent affecter jusqu’à 1 personne sur 100) :</w:t>
      </w:r>
    </w:p>
    <w:p w14:paraId="78182382" w14:textId="77777777" w:rsidR="00841282" w:rsidRPr="002B65F7" w:rsidRDefault="00841282" w:rsidP="00841282">
      <w:pPr>
        <w:pStyle w:val="ListParagraph"/>
        <w:keepNext/>
        <w:widowControl/>
        <w:numPr>
          <w:ilvl w:val="1"/>
          <w:numId w:val="59"/>
        </w:numPr>
        <w:tabs>
          <w:tab w:val="left" w:pos="567"/>
        </w:tabs>
        <w:ind w:left="567" w:hanging="567"/>
      </w:pPr>
      <w:r w:rsidRPr="002B65F7">
        <w:t>Infections dentaires</w:t>
      </w:r>
    </w:p>
    <w:p w14:paraId="51172803" w14:textId="77777777" w:rsidR="00841282" w:rsidRPr="002B65F7" w:rsidRDefault="00841282" w:rsidP="00841282">
      <w:pPr>
        <w:pStyle w:val="ListParagraph"/>
        <w:widowControl/>
        <w:numPr>
          <w:ilvl w:val="1"/>
          <w:numId w:val="59"/>
        </w:numPr>
        <w:tabs>
          <w:tab w:val="left" w:pos="567"/>
        </w:tabs>
        <w:ind w:left="567" w:hanging="567"/>
      </w:pPr>
      <w:r w:rsidRPr="002B65F7">
        <w:t>Infection mycotique vaginale</w:t>
      </w:r>
    </w:p>
    <w:p w14:paraId="0066E99D" w14:textId="77777777" w:rsidR="00841282" w:rsidRPr="002B65F7" w:rsidRDefault="00841282" w:rsidP="00841282">
      <w:pPr>
        <w:pStyle w:val="ListParagraph"/>
        <w:widowControl/>
        <w:numPr>
          <w:ilvl w:val="1"/>
          <w:numId w:val="59"/>
        </w:numPr>
        <w:tabs>
          <w:tab w:val="left" w:pos="567"/>
        </w:tabs>
        <w:ind w:left="567" w:hanging="567"/>
      </w:pPr>
      <w:r w:rsidRPr="002B65F7">
        <w:t>Dépression</w:t>
      </w:r>
    </w:p>
    <w:p w14:paraId="071CDC71" w14:textId="77777777" w:rsidR="00841282" w:rsidRPr="002B65F7" w:rsidRDefault="00841282" w:rsidP="00841282">
      <w:pPr>
        <w:pStyle w:val="ListParagraph"/>
        <w:widowControl/>
        <w:numPr>
          <w:ilvl w:val="1"/>
          <w:numId w:val="59"/>
        </w:numPr>
        <w:tabs>
          <w:tab w:val="left" w:pos="567"/>
        </w:tabs>
        <w:ind w:left="567" w:hanging="567"/>
      </w:pPr>
      <w:r w:rsidRPr="002B65F7">
        <w:t>Nez bouché ou congestionné</w:t>
      </w:r>
    </w:p>
    <w:p w14:paraId="79419B90" w14:textId="77777777" w:rsidR="00841282" w:rsidRPr="002B65F7" w:rsidRDefault="00841282" w:rsidP="00841282">
      <w:pPr>
        <w:pStyle w:val="ListParagraph"/>
        <w:widowControl/>
        <w:numPr>
          <w:ilvl w:val="1"/>
          <w:numId w:val="59"/>
        </w:numPr>
        <w:tabs>
          <w:tab w:val="left" w:pos="567"/>
        </w:tabs>
        <w:ind w:left="567" w:hanging="567"/>
      </w:pPr>
      <w:r w:rsidRPr="002B65F7">
        <w:t>Saignement, ecchymose (bleu), induration, gonflement et démangeaisons au site d’injection</w:t>
      </w:r>
    </w:p>
    <w:p w14:paraId="64F9DA96" w14:textId="77777777" w:rsidR="00841282" w:rsidRPr="002B65F7" w:rsidRDefault="00841282" w:rsidP="00841282">
      <w:pPr>
        <w:pStyle w:val="ListParagraph"/>
        <w:widowControl/>
        <w:numPr>
          <w:ilvl w:val="1"/>
          <w:numId w:val="59"/>
        </w:numPr>
        <w:tabs>
          <w:tab w:val="left" w:pos="567"/>
        </w:tabs>
        <w:ind w:left="567" w:hanging="567"/>
      </w:pPr>
      <w:r w:rsidRPr="002B65F7">
        <w:lastRenderedPageBreak/>
        <w:t>Sensation de faiblesse</w:t>
      </w:r>
    </w:p>
    <w:p w14:paraId="6043A427" w14:textId="77777777" w:rsidR="00841282" w:rsidRPr="002B65F7" w:rsidRDefault="00841282" w:rsidP="00841282">
      <w:pPr>
        <w:pStyle w:val="ListParagraph"/>
        <w:widowControl/>
        <w:numPr>
          <w:ilvl w:val="1"/>
          <w:numId w:val="59"/>
        </w:numPr>
        <w:tabs>
          <w:tab w:val="left" w:pos="567"/>
        </w:tabs>
        <w:ind w:left="567" w:hanging="567"/>
      </w:pPr>
      <w:r w:rsidRPr="002B65F7">
        <w:t>Paupière tombante et muscles affaissés sur un côté du visage (« paralysie faciale » ou « paralysie dite de Bell »), ce qui est généralement temporaire</w:t>
      </w:r>
    </w:p>
    <w:p w14:paraId="1DFD4915" w14:textId="77777777" w:rsidR="00841282" w:rsidRPr="002B65F7" w:rsidRDefault="00841282" w:rsidP="00841282">
      <w:pPr>
        <w:pStyle w:val="ListParagraph"/>
        <w:widowControl/>
        <w:numPr>
          <w:ilvl w:val="1"/>
          <w:numId w:val="59"/>
        </w:numPr>
        <w:tabs>
          <w:tab w:val="left" w:pos="567"/>
        </w:tabs>
        <w:ind w:left="567" w:hanging="567"/>
      </w:pPr>
      <w:r w:rsidRPr="002B65F7">
        <w:t>Un changement de l’aspect du psoriasis avec rougeur et apparition de petites vésicules jaunes ou blanches, parfois accompagnées de fièvre (psoriasis pustuleux).</w:t>
      </w:r>
    </w:p>
    <w:p w14:paraId="18E96719" w14:textId="77777777" w:rsidR="00841282" w:rsidRPr="002B65F7" w:rsidRDefault="00841282" w:rsidP="00841282">
      <w:pPr>
        <w:pStyle w:val="ListParagraph"/>
        <w:widowControl/>
        <w:numPr>
          <w:ilvl w:val="1"/>
          <w:numId w:val="59"/>
        </w:numPr>
        <w:tabs>
          <w:tab w:val="left" w:pos="567"/>
        </w:tabs>
        <w:ind w:left="567" w:hanging="567"/>
      </w:pPr>
      <w:r w:rsidRPr="002B65F7">
        <w:t>Peau qui pèle (desquamation de la peau)</w:t>
      </w:r>
    </w:p>
    <w:p w14:paraId="4D24F3F6" w14:textId="77777777" w:rsidR="00841282" w:rsidRPr="002B65F7" w:rsidRDefault="00841282" w:rsidP="00841282">
      <w:pPr>
        <w:pStyle w:val="ListParagraph"/>
        <w:widowControl/>
        <w:numPr>
          <w:ilvl w:val="1"/>
          <w:numId w:val="59"/>
        </w:numPr>
        <w:tabs>
          <w:tab w:val="left" w:pos="567"/>
        </w:tabs>
        <w:ind w:left="567" w:hanging="567"/>
      </w:pPr>
      <w:r w:rsidRPr="002B65F7">
        <w:t>Acné</w:t>
      </w:r>
    </w:p>
    <w:p w14:paraId="1DB001F4" w14:textId="77777777" w:rsidR="00841282" w:rsidRPr="002B65F7" w:rsidRDefault="00841282" w:rsidP="00841282">
      <w:pPr>
        <w:widowControl/>
      </w:pPr>
    </w:p>
    <w:p w14:paraId="0447C277" w14:textId="77777777" w:rsidR="00841282" w:rsidRPr="002B65F7" w:rsidRDefault="00841282" w:rsidP="00E82841">
      <w:pPr>
        <w:keepNext/>
        <w:widowControl/>
      </w:pPr>
      <w:r w:rsidRPr="002B65F7">
        <w:rPr>
          <w:b/>
          <w:bCs/>
        </w:rPr>
        <w:t>Effets indésirables rares</w:t>
      </w:r>
      <w:r w:rsidRPr="002B65F7">
        <w:t xml:space="preserve"> (peuvent affecter jusqu’à 1 personne sur 1 000) :</w:t>
      </w:r>
    </w:p>
    <w:p w14:paraId="4FFBF405" w14:textId="77777777" w:rsidR="00841282" w:rsidRPr="002B65F7" w:rsidRDefault="00841282" w:rsidP="00841282">
      <w:pPr>
        <w:pStyle w:val="ListParagraph"/>
        <w:keepNext/>
        <w:widowControl/>
        <w:numPr>
          <w:ilvl w:val="1"/>
          <w:numId w:val="60"/>
        </w:numPr>
        <w:tabs>
          <w:tab w:val="left" w:pos="567"/>
        </w:tabs>
        <w:ind w:left="567" w:hanging="567"/>
      </w:pPr>
      <w:r w:rsidRPr="002B65F7">
        <w:t>Rougeur et desquamation de la peau sur une surface corporelle plus étendue, qui peut démanger ou être douloureuse (érythrodermie). Des symptômes semblables se développent parfois dans le cadre de l’évolution naturelle de la maladie (psoriasis érythrodermique).</w:t>
      </w:r>
    </w:p>
    <w:p w14:paraId="0FCD44C7" w14:textId="77777777" w:rsidR="00841282" w:rsidRPr="002B65F7" w:rsidRDefault="00841282" w:rsidP="00841282">
      <w:pPr>
        <w:pStyle w:val="ListParagraph"/>
        <w:widowControl/>
        <w:numPr>
          <w:ilvl w:val="1"/>
          <w:numId w:val="60"/>
        </w:numPr>
        <w:tabs>
          <w:tab w:val="left" w:pos="567"/>
        </w:tabs>
        <w:ind w:left="567" w:hanging="567"/>
      </w:pPr>
      <w:r w:rsidRPr="002B65F7">
        <w:t>Inflammation des petits vaisseaux sanguins, pouvant entraîner une éruption cutanée accompagnée de petits boutons rouges ou violets, de la fièvre ou des douleurs articulaires (vascularite).</w:t>
      </w:r>
    </w:p>
    <w:p w14:paraId="50D43B6B" w14:textId="77777777" w:rsidR="00841282" w:rsidRPr="002B65F7" w:rsidRDefault="00841282" w:rsidP="00841282">
      <w:pPr>
        <w:widowControl/>
      </w:pPr>
    </w:p>
    <w:p w14:paraId="78F84964" w14:textId="77777777" w:rsidR="00841282" w:rsidRPr="002B65F7" w:rsidRDefault="00841282" w:rsidP="00841282">
      <w:pPr>
        <w:keepNext/>
        <w:widowControl/>
      </w:pPr>
      <w:r w:rsidRPr="002B65F7">
        <w:rPr>
          <w:b/>
          <w:bCs/>
        </w:rPr>
        <w:t>Effets indésirables très rares</w:t>
      </w:r>
      <w:r w:rsidRPr="002B65F7">
        <w:t xml:space="preserve"> (peuvent affecter jusqu’à 1 personne sur 10 000) :</w:t>
      </w:r>
    </w:p>
    <w:p w14:paraId="68247324" w14:textId="77777777" w:rsidR="00841282" w:rsidRPr="002B65F7" w:rsidRDefault="00841282" w:rsidP="00841282">
      <w:pPr>
        <w:pStyle w:val="ListParagraph"/>
        <w:keepNext/>
        <w:widowControl/>
        <w:numPr>
          <w:ilvl w:val="1"/>
          <w:numId w:val="61"/>
        </w:numPr>
        <w:tabs>
          <w:tab w:val="left" w:pos="567"/>
        </w:tabs>
        <w:ind w:left="567" w:hanging="567"/>
      </w:pPr>
      <w:r w:rsidRPr="002B65F7">
        <w:t>Formation de cloques sur la peau, potentiellement accompagnées d’une rougeur, de démangeaisons et de douleurs (pemphigoïde bulleuse).</w:t>
      </w:r>
    </w:p>
    <w:p w14:paraId="596228FB" w14:textId="77777777" w:rsidR="00841282" w:rsidRPr="002B65F7" w:rsidRDefault="00841282" w:rsidP="00841282">
      <w:pPr>
        <w:pStyle w:val="ListParagraph"/>
        <w:widowControl/>
        <w:numPr>
          <w:ilvl w:val="1"/>
          <w:numId w:val="61"/>
        </w:numPr>
        <w:tabs>
          <w:tab w:val="left" w:pos="567"/>
        </w:tabs>
        <w:ind w:left="567" w:hanging="567"/>
      </w:pPr>
      <w:r w:rsidRPr="002B65F7">
        <w:t>Lupus cutané ou syndrome de type lupus (éruption cutanée rouge, en relief, squameuse sur les zones de peau exposées au soleil, éventuellement associée à des douleurs articulaires).</w:t>
      </w:r>
    </w:p>
    <w:p w14:paraId="25CB1D85" w14:textId="77777777" w:rsidR="00841282" w:rsidRPr="002B65F7" w:rsidRDefault="00841282" w:rsidP="00841282">
      <w:pPr>
        <w:widowControl/>
      </w:pPr>
    </w:p>
    <w:p w14:paraId="7C384636" w14:textId="77777777" w:rsidR="00841282" w:rsidRPr="002B65F7" w:rsidRDefault="00841282" w:rsidP="00841282">
      <w:pPr>
        <w:keepNext/>
        <w:widowControl/>
        <w:rPr>
          <w:b/>
          <w:bCs/>
        </w:rPr>
      </w:pPr>
      <w:r w:rsidRPr="002B65F7">
        <w:rPr>
          <w:b/>
          <w:bCs/>
        </w:rPr>
        <w:t>Déclaration des effets secondaires</w:t>
      </w:r>
    </w:p>
    <w:p w14:paraId="15EA9016" w14:textId="77777777" w:rsidR="00841282" w:rsidRPr="002B65F7" w:rsidRDefault="00841282" w:rsidP="00841282">
      <w:pPr>
        <w:widowControl/>
      </w:pPr>
      <w:r w:rsidRPr="002B65F7">
        <w:t xml:space="preserve">Si vous ressentez un quelconque effet indésirable, parlez-en à votre médecin ou votre pharmacien. Ceci s’applique aussi à tout effet indésirable qui ne serait pas mentionné dans cette notice. Vous pouvez également déclarer les effets indésirables directement via le </w:t>
      </w:r>
      <w:r>
        <w:rPr>
          <w:highlight w:val="lightGray"/>
        </w:rPr>
        <w:t xml:space="preserve">système national de déclaration décrit en </w:t>
      </w:r>
      <w:hyperlink r:id="rId44" w:history="1">
        <w:r>
          <w:rPr>
            <w:rStyle w:val="Hyperlink"/>
            <w:highlight w:val="lightGray"/>
          </w:rPr>
          <w:t>Annexe V</w:t>
        </w:r>
      </w:hyperlink>
      <w:r w:rsidRPr="002B65F7">
        <w:t>. En signalant les effets indésirables, vous contribuez à fournir davantage d’informations sur la sécurité du médicament.</w:t>
      </w:r>
    </w:p>
    <w:p w14:paraId="62A6693E" w14:textId="77777777" w:rsidR="00841282" w:rsidRPr="002B65F7" w:rsidRDefault="00841282" w:rsidP="00841282">
      <w:pPr>
        <w:widowControl/>
      </w:pPr>
    </w:p>
    <w:p w14:paraId="252053C8" w14:textId="77777777" w:rsidR="00841282" w:rsidRPr="002B65F7" w:rsidRDefault="00841282" w:rsidP="00841282">
      <w:pPr>
        <w:widowControl/>
      </w:pPr>
    </w:p>
    <w:p w14:paraId="643AD47B" w14:textId="77777777" w:rsidR="00841282" w:rsidRPr="002B65F7" w:rsidRDefault="00841282" w:rsidP="00841282">
      <w:pPr>
        <w:keepNext/>
        <w:widowControl/>
        <w:tabs>
          <w:tab w:val="left" w:pos="567"/>
        </w:tabs>
        <w:ind w:left="567" w:hanging="567"/>
        <w:rPr>
          <w:b/>
          <w:bCs/>
        </w:rPr>
      </w:pPr>
      <w:r w:rsidRPr="002B65F7">
        <w:rPr>
          <w:b/>
          <w:bCs/>
        </w:rPr>
        <w:t>5.</w:t>
      </w:r>
      <w:r w:rsidRPr="002B65F7">
        <w:rPr>
          <w:b/>
          <w:bCs/>
        </w:rPr>
        <w:tab/>
        <w:t>Comment conserver WEZENLA</w:t>
      </w:r>
    </w:p>
    <w:p w14:paraId="3FF64EB2" w14:textId="77777777" w:rsidR="00841282" w:rsidRPr="002B65F7" w:rsidRDefault="00841282" w:rsidP="00841282">
      <w:pPr>
        <w:keepNext/>
        <w:widowControl/>
      </w:pPr>
    </w:p>
    <w:p w14:paraId="6735DE99" w14:textId="77777777" w:rsidR="00841282" w:rsidRPr="002B65F7" w:rsidRDefault="00841282" w:rsidP="00841282">
      <w:pPr>
        <w:pStyle w:val="ListParagraph"/>
        <w:widowControl/>
        <w:numPr>
          <w:ilvl w:val="1"/>
          <w:numId w:val="62"/>
        </w:numPr>
        <w:tabs>
          <w:tab w:val="left" w:pos="567"/>
        </w:tabs>
        <w:ind w:left="567" w:hanging="567"/>
      </w:pPr>
      <w:r w:rsidRPr="002B65F7">
        <w:t>Tenir ce médicament hors de la vue et de la portée des enfants.</w:t>
      </w:r>
    </w:p>
    <w:p w14:paraId="18A98EEB" w14:textId="77777777" w:rsidR="00841282" w:rsidRPr="002B65F7" w:rsidRDefault="00841282" w:rsidP="00841282">
      <w:pPr>
        <w:pStyle w:val="ListParagraph"/>
        <w:widowControl/>
        <w:numPr>
          <w:ilvl w:val="1"/>
          <w:numId w:val="62"/>
        </w:numPr>
        <w:tabs>
          <w:tab w:val="left" w:pos="567"/>
        </w:tabs>
        <w:ind w:left="567" w:hanging="567"/>
      </w:pPr>
      <w:r w:rsidRPr="002B65F7">
        <w:t>A conserver au réfrigérateur (entre 2°C et 8°C). Ne pas congeler.</w:t>
      </w:r>
    </w:p>
    <w:p w14:paraId="3BDC8019" w14:textId="77777777" w:rsidR="00841282" w:rsidRPr="002B65F7" w:rsidRDefault="00841282" w:rsidP="00841282">
      <w:pPr>
        <w:pStyle w:val="ListParagraph"/>
        <w:widowControl/>
        <w:numPr>
          <w:ilvl w:val="1"/>
          <w:numId w:val="62"/>
        </w:numPr>
        <w:tabs>
          <w:tab w:val="left" w:pos="567"/>
        </w:tabs>
        <w:ind w:left="567" w:hanging="567"/>
      </w:pPr>
      <w:r w:rsidRPr="002B65F7">
        <w:t>Conserver le stylo prérempli dans l’emballage extérieur à l’abri de la lumière.</w:t>
      </w:r>
    </w:p>
    <w:p w14:paraId="152B17CD" w14:textId="77777777" w:rsidR="00841282" w:rsidRPr="002B65F7" w:rsidRDefault="00841282" w:rsidP="00841282">
      <w:pPr>
        <w:pStyle w:val="ListParagraph"/>
        <w:widowControl/>
        <w:numPr>
          <w:ilvl w:val="1"/>
          <w:numId w:val="62"/>
        </w:numPr>
        <w:tabs>
          <w:tab w:val="left" w:pos="567"/>
        </w:tabs>
        <w:ind w:left="567" w:hanging="567"/>
      </w:pPr>
      <w:r w:rsidRPr="002B65F7">
        <w:t>Si nécessaire, les stylos préremplis individuels peuvent aussi être conservés à température ambiante jusqu’à 30°C pendant une période unique de 30 jours maximum dans le carton d’origine à l’abri de la lumière. Inscrire la date à laquelle le stylo prérempli est retiré du réfrigérateur et la date à laquelle il ne doit plus être utilisé. La date à laquelle le stylo ne doit plus être utilisé ne doit pas dépasser la date de péremption initiale imprimée sur le carton. Une fois qu’un stylo prérempli a été conservé à température ambiante (jusqu'à 30°C), il ne doit pas être remis au réfrigérateur. Jeter le stylo prérempli s’il n'est pas utilisé dans les 30 jours suivant sa conservation à température ambiante ou à la date de péremption initiale, si celle-ci est antérieure.</w:t>
      </w:r>
    </w:p>
    <w:p w14:paraId="313CC959" w14:textId="77777777" w:rsidR="00841282" w:rsidRPr="002B65F7" w:rsidRDefault="00841282" w:rsidP="00841282">
      <w:pPr>
        <w:pStyle w:val="ListParagraph"/>
        <w:widowControl/>
        <w:numPr>
          <w:ilvl w:val="1"/>
          <w:numId w:val="62"/>
        </w:numPr>
        <w:tabs>
          <w:tab w:val="left" w:pos="567"/>
        </w:tabs>
        <w:ind w:left="567" w:hanging="567"/>
      </w:pPr>
      <w:r w:rsidRPr="002B65F7">
        <w:t>Ne pas agiter les stylos préremplis de WEZENLA. Une agitation prolongée et vigoureuse peut endommager le médicament.</w:t>
      </w:r>
    </w:p>
    <w:p w14:paraId="040525D1" w14:textId="77777777" w:rsidR="00841282" w:rsidRPr="002B65F7" w:rsidRDefault="00841282" w:rsidP="00841282">
      <w:pPr>
        <w:widowControl/>
      </w:pPr>
    </w:p>
    <w:p w14:paraId="5488652B" w14:textId="77777777" w:rsidR="00841282" w:rsidRPr="002B65F7" w:rsidRDefault="00841282" w:rsidP="00841282">
      <w:pPr>
        <w:keepNext/>
        <w:widowControl/>
        <w:rPr>
          <w:b/>
          <w:bCs/>
        </w:rPr>
      </w:pPr>
      <w:r w:rsidRPr="002B65F7">
        <w:rPr>
          <w:b/>
          <w:bCs/>
        </w:rPr>
        <w:t>N’utilisez pas ce médicament</w:t>
      </w:r>
    </w:p>
    <w:p w14:paraId="0F9DFCD7" w14:textId="77777777" w:rsidR="00841282" w:rsidRPr="002B65F7" w:rsidRDefault="00841282" w:rsidP="00841282">
      <w:pPr>
        <w:pStyle w:val="ListParagraph"/>
        <w:widowControl/>
        <w:numPr>
          <w:ilvl w:val="1"/>
          <w:numId w:val="62"/>
        </w:numPr>
        <w:tabs>
          <w:tab w:val="left" w:pos="567"/>
        </w:tabs>
        <w:ind w:left="567" w:hanging="567"/>
      </w:pPr>
      <w:r w:rsidRPr="002B65F7">
        <w:t>Après la date de péremption indiquée sur l’emballage après “EXP”. La date de péremption fait référence au dernier jour de ce mois.</w:t>
      </w:r>
    </w:p>
    <w:p w14:paraId="3AF96BE5" w14:textId="77777777" w:rsidR="00841282" w:rsidRPr="002B65F7" w:rsidRDefault="00841282" w:rsidP="00841282">
      <w:pPr>
        <w:pStyle w:val="ListParagraph"/>
        <w:widowControl/>
        <w:numPr>
          <w:ilvl w:val="1"/>
          <w:numId w:val="62"/>
        </w:numPr>
        <w:tabs>
          <w:tab w:val="left" w:pos="567"/>
        </w:tabs>
        <w:ind w:left="567" w:hanging="567"/>
      </w:pPr>
      <w:r w:rsidRPr="002B65F7">
        <w:t>Si vous remarquez que le liquide est décoloré, laiteux ou si vous voyez des particules étrangères qui flottent (voir rubrique 6 « Comment se présente WEZENLA et contenu de l’emballage extérieur »).</w:t>
      </w:r>
    </w:p>
    <w:p w14:paraId="0DACF4FB" w14:textId="77777777" w:rsidR="00841282" w:rsidRPr="002B65F7" w:rsidRDefault="00841282" w:rsidP="00841282">
      <w:pPr>
        <w:pStyle w:val="ListParagraph"/>
        <w:keepNext/>
        <w:widowControl/>
        <w:numPr>
          <w:ilvl w:val="1"/>
          <w:numId w:val="62"/>
        </w:numPr>
        <w:tabs>
          <w:tab w:val="left" w:pos="567"/>
        </w:tabs>
        <w:ind w:left="567" w:hanging="567"/>
      </w:pPr>
      <w:r w:rsidRPr="002B65F7">
        <w:t>Si vous savez ou pensez que le produit a pu être exposé à des températures extrêmes (telles qu’une congélation ou un réchauffement accidentel).</w:t>
      </w:r>
    </w:p>
    <w:p w14:paraId="3F3EEAEB" w14:textId="77777777" w:rsidR="00841282" w:rsidRPr="002B65F7" w:rsidRDefault="00841282" w:rsidP="00841282">
      <w:pPr>
        <w:pStyle w:val="ListParagraph"/>
        <w:widowControl/>
        <w:numPr>
          <w:ilvl w:val="1"/>
          <w:numId w:val="62"/>
        </w:numPr>
        <w:tabs>
          <w:tab w:val="left" w:pos="567"/>
        </w:tabs>
        <w:ind w:left="567" w:hanging="567"/>
      </w:pPr>
      <w:r w:rsidRPr="002B65F7">
        <w:t>Si le produit a été vigoureusement agité.</w:t>
      </w:r>
    </w:p>
    <w:p w14:paraId="6BC719E0" w14:textId="77777777" w:rsidR="00841282" w:rsidRPr="002B65F7" w:rsidRDefault="00841282" w:rsidP="00841282">
      <w:pPr>
        <w:widowControl/>
      </w:pPr>
    </w:p>
    <w:p w14:paraId="5038A4C7" w14:textId="77777777" w:rsidR="00841282" w:rsidRPr="002B65F7" w:rsidRDefault="00841282" w:rsidP="00841282">
      <w:pPr>
        <w:widowControl/>
      </w:pPr>
      <w:r w:rsidRPr="002B65F7">
        <w:t>WEZENLA est à usage unique. Tout produit inutilisé restant dans le stylo prérempli doit être jeté. Ne jetez aucun médicament au tout à l’égout ou avec les ordures ménagères. Demandez à votre pharmacien d’éliminer les médicaments que vous n’utilisez plus. Ces mesures contribueront à protéger l’environnement.</w:t>
      </w:r>
    </w:p>
    <w:p w14:paraId="2816509E" w14:textId="77777777" w:rsidR="00841282" w:rsidRPr="002B65F7" w:rsidRDefault="00841282" w:rsidP="00841282">
      <w:pPr>
        <w:widowControl/>
      </w:pPr>
    </w:p>
    <w:p w14:paraId="7B1F8D92" w14:textId="77777777" w:rsidR="00841282" w:rsidRPr="002B65F7" w:rsidRDefault="00841282" w:rsidP="00841282">
      <w:pPr>
        <w:widowControl/>
        <w:rPr>
          <w:b/>
          <w:bCs/>
        </w:rPr>
      </w:pPr>
    </w:p>
    <w:p w14:paraId="04870185" w14:textId="77777777" w:rsidR="00841282" w:rsidRPr="002B65F7" w:rsidRDefault="00841282" w:rsidP="00841282">
      <w:pPr>
        <w:keepNext/>
        <w:widowControl/>
        <w:tabs>
          <w:tab w:val="left" w:pos="567"/>
        </w:tabs>
        <w:ind w:left="567" w:hanging="567"/>
        <w:rPr>
          <w:b/>
          <w:bCs/>
        </w:rPr>
      </w:pPr>
      <w:r w:rsidRPr="002B65F7">
        <w:rPr>
          <w:b/>
          <w:bCs/>
        </w:rPr>
        <w:t>6.</w:t>
      </w:r>
      <w:r w:rsidRPr="002B65F7">
        <w:rPr>
          <w:b/>
          <w:bCs/>
        </w:rPr>
        <w:tab/>
        <w:t>Contenu de l’emballage et autres informations</w:t>
      </w:r>
    </w:p>
    <w:p w14:paraId="4A51F8F3" w14:textId="77777777" w:rsidR="00841282" w:rsidRPr="002B65F7" w:rsidRDefault="00841282" w:rsidP="00841282">
      <w:pPr>
        <w:keepNext/>
        <w:widowControl/>
        <w:rPr>
          <w:b/>
          <w:bCs/>
        </w:rPr>
      </w:pPr>
    </w:p>
    <w:p w14:paraId="45C84D81" w14:textId="77777777" w:rsidR="00841282" w:rsidRPr="002B65F7" w:rsidRDefault="00841282" w:rsidP="00841282">
      <w:pPr>
        <w:keepNext/>
        <w:widowControl/>
        <w:rPr>
          <w:b/>
          <w:bCs/>
        </w:rPr>
      </w:pPr>
      <w:r w:rsidRPr="002B65F7">
        <w:rPr>
          <w:b/>
          <w:bCs/>
        </w:rPr>
        <w:t>Ce que contient WEZENLA</w:t>
      </w:r>
    </w:p>
    <w:p w14:paraId="305235CA" w14:textId="77777777" w:rsidR="00841282" w:rsidRPr="002B65F7" w:rsidRDefault="00841282" w:rsidP="00841282">
      <w:pPr>
        <w:widowControl/>
      </w:pPr>
    </w:p>
    <w:p w14:paraId="5CE65DBF" w14:textId="77777777" w:rsidR="00841282" w:rsidRPr="002B65F7" w:rsidRDefault="00841282" w:rsidP="00841282">
      <w:pPr>
        <w:pStyle w:val="ListParagraph"/>
        <w:widowControl/>
        <w:numPr>
          <w:ilvl w:val="1"/>
          <w:numId w:val="62"/>
        </w:numPr>
        <w:tabs>
          <w:tab w:val="left" w:pos="567"/>
        </w:tabs>
        <w:ind w:left="567" w:hanging="567"/>
      </w:pPr>
      <w:r w:rsidRPr="002B65F7">
        <w:t>La substance active est l’ustekinumab. Chaque stylo prérempli contient 45 mg d’ustekinumab dans 0,5 mL ou 90 mg d’ustekinumab dans 1 mL.</w:t>
      </w:r>
    </w:p>
    <w:p w14:paraId="0CA760A6" w14:textId="5F97C427" w:rsidR="00841282" w:rsidRPr="002B65F7" w:rsidRDefault="00841282" w:rsidP="00841282">
      <w:pPr>
        <w:pStyle w:val="ListParagraph"/>
        <w:widowControl/>
        <w:numPr>
          <w:ilvl w:val="1"/>
          <w:numId w:val="62"/>
        </w:numPr>
        <w:tabs>
          <w:tab w:val="left" w:pos="567"/>
        </w:tabs>
        <w:ind w:left="567" w:hanging="567"/>
      </w:pPr>
      <w:r w:rsidRPr="002B65F7">
        <w:t>Les autres composants sont : L-histidine, chlorhydrate monohydraté de L-histidine, polysorbate 80</w:t>
      </w:r>
      <w:r w:rsidR="00F20739">
        <w:t xml:space="preserve"> (E</w:t>
      </w:r>
      <w:r w:rsidR="00F20739" w:rsidRPr="002B65F7">
        <w:t> </w:t>
      </w:r>
      <w:r w:rsidR="00F20739">
        <w:t>433)</w:t>
      </w:r>
      <w:r w:rsidRPr="002B65F7">
        <w:t>, saccharose et eau pour préparations injectables.</w:t>
      </w:r>
    </w:p>
    <w:p w14:paraId="0C33883D" w14:textId="77777777" w:rsidR="00841282" w:rsidRPr="002B65F7" w:rsidRDefault="00841282" w:rsidP="00841282">
      <w:pPr>
        <w:widowControl/>
      </w:pPr>
    </w:p>
    <w:p w14:paraId="2FFE4E06" w14:textId="77777777" w:rsidR="00841282" w:rsidRPr="002B65F7" w:rsidRDefault="00841282" w:rsidP="00841282">
      <w:pPr>
        <w:keepNext/>
        <w:widowControl/>
        <w:rPr>
          <w:b/>
          <w:bCs/>
        </w:rPr>
      </w:pPr>
      <w:r w:rsidRPr="002B65F7">
        <w:rPr>
          <w:b/>
          <w:bCs/>
        </w:rPr>
        <w:t>Comment se présente WEZENLA et contenu de l’emballage extérieur</w:t>
      </w:r>
    </w:p>
    <w:p w14:paraId="4A04090E" w14:textId="77777777" w:rsidR="00841282" w:rsidRPr="002B65F7" w:rsidRDefault="00841282" w:rsidP="00841282">
      <w:pPr>
        <w:widowControl/>
      </w:pPr>
      <w:r w:rsidRPr="002B65F7">
        <w:t>WEZENLA est une solution injectable limpide à opalescente, incolore à jaune clair. Elle est fournie dans un emballage cartonné contenant un stylo prérempli unidose en verre de 1 mL. Chaque stylo prérempli contient 45 mg d’ustekinumab dans 0,5 mL ou 90 mg d’ustekinumab dans 1 mL de solution injectable.</w:t>
      </w:r>
    </w:p>
    <w:p w14:paraId="17DC45DD" w14:textId="77777777" w:rsidR="00841282" w:rsidRPr="002B65F7" w:rsidRDefault="00841282" w:rsidP="00841282">
      <w:pPr>
        <w:widowControl/>
      </w:pPr>
    </w:p>
    <w:p w14:paraId="7870F8B6" w14:textId="77777777" w:rsidR="00841282" w:rsidRPr="002B65F7" w:rsidRDefault="00841282" w:rsidP="00841282">
      <w:pPr>
        <w:keepNext/>
        <w:widowControl/>
        <w:rPr>
          <w:b/>
          <w:bCs/>
        </w:rPr>
      </w:pPr>
      <w:r w:rsidRPr="002B65F7">
        <w:rPr>
          <w:b/>
          <w:bCs/>
        </w:rPr>
        <w:t>Titulaire de l’Autorisation de mise sur le marché et fabricant</w:t>
      </w:r>
    </w:p>
    <w:p w14:paraId="21025E9F" w14:textId="77777777" w:rsidR="00841282" w:rsidRPr="002B65F7" w:rsidRDefault="00841282" w:rsidP="00841282">
      <w:pPr>
        <w:rPr>
          <w:lang w:val="en-GB"/>
        </w:rPr>
      </w:pPr>
      <w:r w:rsidRPr="002B65F7">
        <w:rPr>
          <w:lang w:val="en-GB"/>
        </w:rPr>
        <w:t>Amgen Technology (Ireland) UC,</w:t>
      </w:r>
    </w:p>
    <w:p w14:paraId="72F4C104" w14:textId="77777777" w:rsidR="00841282" w:rsidRPr="002B65F7" w:rsidRDefault="00841282" w:rsidP="00841282">
      <w:pPr>
        <w:rPr>
          <w:lang w:val="en-GB"/>
        </w:rPr>
      </w:pPr>
      <w:r w:rsidRPr="002B65F7">
        <w:rPr>
          <w:lang w:val="en-GB"/>
        </w:rPr>
        <w:t>Pottery Road,</w:t>
      </w:r>
    </w:p>
    <w:p w14:paraId="329DACB1" w14:textId="77777777" w:rsidR="00841282" w:rsidRPr="002B65F7" w:rsidRDefault="00841282" w:rsidP="00841282">
      <w:r w:rsidRPr="002B65F7">
        <w:t>Dun Laoghaire,</w:t>
      </w:r>
    </w:p>
    <w:p w14:paraId="65F6CE0D" w14:textId="77777777" w:rsidR="00841282" w:rsidRPr="002B65F7" w:rsidRDefault="00841282" w:rsidP="00841282">
      <w:r w:rsidRPr="002B65F7">
        <w:t>Co Dublin,</w:t>
      </w:r>
    </w:p>
    <w:p w14:paraId="484BBB10" w14:textId="77777777" w:rsidR="00841282" w:rsidRPr="002B65F7" w:rsidRDefault="00841282" w:rsidP="00841282">
      <w:r w:rsidRPr="002B65F7">
        <w:t>Irlande</w:t>
      </w:r>
    </w:p>
    <w:p w14:paraId="1C5435B3" w14:textId="77777777" w:rsidR="00841282" w:rsidRPr="002B65F7" w:rsidRDefault="00841282" w:rsidP="00841282">
      <w:pPr>
        <w:widowControl/>
      </w:pPr>
    </w:p>
    <w:p w14:paraId="659CC22E" w14:textId="77777777" w:rsidR="00841282" w:rsidRDefault="00841282" w:rsidP="00841282">
      <w:pPr>
        <w:widowControl/>
        <w:rPr>
          <w:b/>
          <w:bCs/>
          <w:highlight w:val="lightGray"/>
        </w:rPr>
      </w:pPr>
      <w:r>
        <w:rPr>
          <w:b/>
          <w:bCs/>
          <w:highlight w:val="lightGray"/>
        </w:rPr>
        <w:t>Titulaire de l’Autorisation de mise sur le marché</w:t>
      </w:r>
    </w:p>
    <w:p w14:paraId="49D25AB8" w14:textId="77777777" w:rsidR="00841282" w:rsidRDefault="00841282" w:rsidP="00841282">
      <w:pPr>
        <w:rPr>
          <w:highlight w:val="lightGray"/>
          <w:lang w:val="en-GB"/>
        </w:rPr>
      </w:pPr>
      <w:r>
        <w:rPr>
          <w:highlight w:val="lightGray"/>
          <w:lang w:val="en-GB"/>
        </w:rPr>
        <w:t>Amgen Technology (Ireland) UC,</w:t>
      </w:r>
    </w:p>
    <w:p w14:paraId="25EF0FEC" w14:textId="77777777" w:rsidR="00841282" w:rsidRDefault="00841282" w:rsidP="00841282">
      <w:pPr>
        <w:rPr>
          <w:highlight w:val="lightGray"/>
          <w:lang w:val="en-GB"/>
        </w:rPr>
      </w:pPr>
      <w:r>
        <w:rPr>
          <w:highlight w:val="lightGray"/>
          <w:lang w:val="en-GB"/>
        </w:rPr>
        <w:t>Pottery Road,</w:t>
      </w:r>
    </w:p>
    <w:p w14:paraId="5F42AAB9" w14:textId="77777777" w:rsidR="00841282" w:rsidRDefault="00841282" w:rsidP="00841282">
      <w:pPr>
        <w:rPr>
          <w:highlight w:val="lightGray"/>
          <w:lang w:val="it-IT"/>
        </w:rPr>
      </w:pPr>
      <w:r>
        <w:rPr>
          <w:highlight w:val="lightGray"/>
          <w:lang w:val="it-IT"/>
        </w:rPr>
        <w:t>Dun Laoghaire,</w:t>
      </w:r>
    </w:p>
    <w:p w14:paraId="1B9C5AD1" w14:textId="77777777" w:rsidR="00841282" w:rsidRDefault="00841282" w:rsidP="00841282">
      <w:pPr>
        <w:rPr>
          <w:highlight w:val="lightGray"/>
          <w:lang w:val="it-IT"/>
        </w:rPr>
      </w:pPr>
      <w:r>
        <w:rPr>
          <w:highlight w:val="lightGray"/>
          <w:lang w:val="it-IT"/>
        </w:rPr>
        <w:t>Co Dublin,</w:t>
      </w:r>
    </w:p>
    <w:p w14:paraId="5854D512" w14:textId="77777777" w:rsidR="00841282" w:rsidRPr="0065709C" w:rsidRDefault="00841282" w:rsidP="00841282">
      <w:pPr>
        <w:rPr>
          <w:lang w:val="it-IT"/>
        </w:rPr>
      </w:pPr>
      <w:r>
        <w:rPr>
          <w:highlight w:val="lightGray"/>
          <w:lang w:val="it-IT"/>
        </w:rPr>
        <w:t>Irlande</w:t>
      </w:r>
    </w:p>
    <w:p w14:paraId="497F08E0" w14:textId="77777777" w:rsidR="00841282" w:rsidRPr="0065709C" w:rsidRDefault="00841282" w:rsidP="00841282">
      <w:pPr>
        <w:widowControl/>
        <w:rPr>
          <w:lang w:val="it-IT"/>
        </w:rPr>
      </w:pPr>
    </w:p>
    <w:p w14:paraId="29846473" w14:textId="77777777" w:rsidR="00841282" w:rsidRPr="0065709C" w:rsidRDefault="00841282" w:rsidP="00841282">
      <w:pPr>
        <w:keepNext/>
        <w:widowControl/>
        <w:rPr>
          <w:b/>
          <w:bCs/>
          <w:lang w:val="it-IT"/>
        </w:rPr>
      </w:pPr>
      <w:r>
        <w:rPr>
          <w:b/>
          <w:bCs/>
          <w:highlight w:val="lightGray"/>
          <w:lang w:val="it-IT"/>
        </w:rPr>
        <w:t>Fabricant</w:t>
      </w:r>
    </w:p>
    <w:p w14:paraId="570E58E8" w14:textId="77777777" w:rsidR="00841282" w:rsidRDefault="00841282" w:rsidP="00841282">
      <w:pPr>
        <w:keepNext/>
        <w:rPr>
          <w:highlight w:val="lightGray"/>
          <w:lang w:val="it-IT"/>
        </w:rPr>
      </w:pPr>
      <w:r>
        <w:rPr>
          <w:highlight w:val="lightGray"/>
          <w:lang w:val="it-IT"/>
        </w:rPr>
        <w:t>Amgen NV</w:t>
      </w:r>
    </w:p>
    <w:p w14:paraId="5C75A0E9" w14:textId="77777777" w:rsidR="00841282" w:rsidRDefault="00841282" w:rsidP="00841282">
      <w:pPr>
        <w:keepNext/>
        <w:rPr>
          <w:highlight w:val="lightGray"/>
          <w:lang w:val="it-IT"/>
        </w:rPr>
      </w:pPr>
      <w:r>
        <w:rPr>
          <w:highlight w:val="lightGray"/>
          <w:lang w:val="it-IT"/>
        </w:rPr>
        <w:t>Telecomlaan 5-7</w:t>
      </w:r>
    </w:p>
    <w:p w14:paraId="27AAE250" w14:textId="77777777" w:rsidR="00841282" w:rsidRDefault="00841282" w:rsidP="00841282">
      <w:pPr>
        <w:keepNext/>
        <w:rPr>
          <w:highlight w:val="lightGray"/>
        </w:rPr>
      </w:pPr>
      <w:r>
        <w:rPr>
          <w:highlight w:val="lightGray"/>
        </w:rPr>
        <w:t>1831 Diegem</w:t>
      </w:r>
    </w:p>
    <w:p w14:paraId="61B8DE78" w14:textId="77777777" w:rsidR="00841282" w:rsidRPr="002B65F7" w:rsidRDefault="00841282" w:rsidP="00841282">
      <w:r>
        <w:rPr>
          <w:highlight w:val="lightGray"/>
        </w:rPr>
        <w:t>Belgique</w:t>
      </w:r>
    </w:p>
    <w:p w14:paraId="0C3B7F68" w14:textId="77777777" w:rsidR="00841282" w:rsidRPr="002B65F7" w:rsidRDefault="00841282" w:rsidP="00841282">
      <w:pPr>
        <w:widowControl/>
      </w:pPr>
    </w:p>
    <w:p w14:paraId="61937C24" w14:textId="77777777" w:rsidR="00841282" w:rsidRPr="002B65F7" w:rsidRDefault="00841282" w:rsidP="00E657B4">
      <w:pPr>
        <w:keepNext/>
        <w:keepLines/>
        <w:widowControl/>
      </w:pPr>
      <w:r w:rsidRPr="002B65F7">
        <w:t>Pour toute information complémentaire concernant ce médicament, veuillez prendre contact avec le représentant local du titulaire de l’autorisation de mise sur le marché :</w:t>
      </w:r>
    </w:p>
    <w:p w14:paraId="720E563B" w14:textId="77777777" w:rsidR="00841282" w:rsidRPr="002B65F7" w:rsidRDefault="00841282" w:rsidP="00E657B4">
      <w:pPr>
        <w:keepNext/>
        <w:keepLines/>
        <w:widowControl/>
      </w:pPr>
    </w:p>
    <w:tbl>
      <w:tblPr>
        <w:tblW w:w="9360" w:type="dxa"/>
        <w:tblInd w:w="-34" w:type="dxa"/>
        <w:tblLayout w:type="fixed"/>
        <w:tblLook w:val="04A0" w:firstRow="1" w:lastRow="0" w:firstColumn="1" w:lastColumn="0" w:noHBand="0" w:noVBand="1"/>
      </w:tblPr>
      <w:tblGrid>
        <w:gridCol w:w="4680"/>
        <w:gridCol w:w="4680"/>
      </w:tblGrid>
      <w:tr w:rsidR="00841282" w:rsidRPr="002B65F7" w14:paraId="0F439181" w14:textId="77777777" w:rsidTr="00CE7E90">
        <w:trPr>
          <w:cantSplit/>
          <w:trHeight w:val="57"/>
        </w:trPr>
        <w:tc>
          <w:tcPr>
            <w:tcW w:w="4680" w:type="dxa"/>
          </w:tcPr>
          <w:p w14:paraId="2B0EF784" w14:textId="77777777" w:rsidR="00841282" w:rsidRPr="002B65F7" w:rsidRDefault="00841282" w:rsidP="00E657B4">
            <w:pPr>
              <w:keepNext/>
              <w:keepLines/>
              <w:rPr>
                <w:b/>
                <w:bCs/>
              </w:rPr>
            </w:pPr>
            <w:r w:rsidRPr="002B65F7">
              <w:rPr>
                <w:b/>
                <w:bCs/>
              </w:rPr>
              <w:t>België/Belgique/Belgien</w:t>
            </w:r>
          </w:p>
          <w:p w14:paraId="783A53F3" w14:textId="77777777" w:rsidR="00841282" w:rsidRPr="002B65F7" w:rsidRDefault="00841282" w:rsidP="00E657B4">
            <w:pPr>
              <w:keepNext/>
              <w:keepLines/>
            </w:pPr>
            <w:r w:rsidRPr="002B65F7">
              <w:t>s.a. Amgen n.v.</w:t>
            </w:r>
          </w:p>
          <w:p w14:paraId="70B378AD" w14:textId="77777777" w:rsidR="00841282" w:rsidRPr="002B65F7" w:rsidRDefault="00841282" w:rsidP="00E657B4">
            <w:pPr>
              <w:keepNext/>
              <w:keepLines/>
            </w:pPr>
            <w:r w:rsidRPr="002B65F7">
              <w:t>Tél/Tel: +32 (0)2 7752711</w:t>
            </w:r>
          </w:p>
          <w:p w14:paraId="3029782A" w14:textId="77777777" w:rsidR="00841282" w:rsidRPr="002B65F7" w:rsidRDefault="00841282" w:rsidP="00E657B4">
            <w:pPr>
              <w:keepNext/>
              <w:keepLines/>
            </w:pPr>
          </w:p>
        </w:tc>
        <w:tc>
          <w:tcPr>
            <w:tcW w:w="4680" w:type="dxa"/>
          </w:tcPr>
          <w:p w14:paraId="41F3ABB7" w14:textId="77777777" w:rsidR="00841282" w:rsidRPr="002B65F7" w:rsidRDefault="00841282" w:rsidP="00E657B4">
            <w:pPr>
              <w:keepNext/>
              <w:keepLines/>
              <w:rPr>
                <w:b/>
                <w:bCs/>
              </w:rPr>
            </w:pPr>
            <w:r w:rsidRPr="002B65F7">
              <w:rPr>
                <w:b/>
                <w:bCs/>
              </w:rPr>
              <w:t>Lietuva</w:t>
            </w:r>
          </w:p>
          <w:p w14:paraId="3C0F57C2" w14:textId="77777777" w:rsidR="00841282" w:rsidRPr="002B65F7" w:rsidRDefault="00841282" w:rsidP="00E657B4">
            <w:pPr>
              <w:keepNext/>
              <w:keepLines/>
            </w:pPr>
            <w:r w:rsidRPr="002B65F7">
              <w:t>Amgen Switzerland AG Vilniaus filialas</w:t>
            </w:r>
          </w:p>
          <w:p w14:paraId="33A683DF" w14:textId="77777777" w:rsidR="00841282" w:rsidRPr="00CE7E90" w:rsidRDefault="00841282" w:rsidP="00E657B4">
            <w:pPr>
              <w:keepNext/>
              <w:keepLines/>
            </w:pPr>
            <w:r w:rsidRPr="00CE7E90">
              <w:t>Tél: +370 5 219 7474</w:t>
            </w:r>
          </w:p>
          <w:p w14:paraId="161DC60D" w14:textId="77777777" w:rsidR="00841282" w:rsidRPr="00CE7E90" w:rsidRDefault="00841282" w:rsidP="00E657B4">
            <w:pPr>
              <w:keepNext/>
              <w:keepLines/>
            </w:pPr>
          </w:p>
        </w:tc>
      </w:tr>
      <w:tr w:rsidR="00841282" w:rsidRPr="002B65F7" w14:paraId="2B37AFFE" w14:textId="77777777" w:rsidTr="00CE7E90">
        <w:trPr>
          <w:cantSplit/>
          <w:trHeight w:val="57"/>
        </w:trPr>
        <w:tc>
          <w:tcPr>
            <w:tcW w:w="4680" w:type="dxa"/>
          </w:tcPr>
          <w:p w14:paraId="2E31BEDB" w14:textId="77777777" w:rsidR="00841282" w:rsidRPr="002B65F7" w:rsidRDefault="00841282" w:rsidP="00CE7E90">
            <w:pPr>
              <w:rPr>
                <w:b/>
                <w:bCs/>
                <w:lang w:val="ru-RU"/>
              </w:rPr>
            </w:pPr>
            <w:r w:rsidRPr="002B65F7">
              <w:rPr>
                <w:b/>
                <w:bCs/>
                <w:lang w:val="ru-RU"/>
              </w:rPr>
              <w:t>България</w:t>
            </w:r>
          </w:p>
          <w:p w14:paraId="4573ABDA" w14:textId="77777777" w:rsidR="00841282" w:rsidRPr="002B65F7" w:rsidRDefault="00841282" w:rsidP="00CE7E90">
            <w:pPr>
              <w:rPr>
                <w:lang w:val="ru-RU"/>
              </w:rPr>
            </w:pPr>
            <w:r w:rsidRPr="002B65F7">
              <w:rPr>
                <w:lang w:val="ru-RU"/>
              </w:rPr>
              <w:t>Амджен България ЕООД</w:t>
            </w:r>
          </w:p>
          <w:p w14:paraId="0194B14D" w14:textId="77777777" w:rsidR="00841282" w:rsidRPr="002B65F7" w:rsidRDefault="00841282" w:rsidP="00CE7E90">
            <w:pPr>
              <w:rPr>
                <w:lang w:val="ru-RU"/>
              </w:rPr>
            </w:pPr>
            <w:r w:rsidRPr="002B65F7">
              <w:rPr>
                <w:lang w:val="ru-RU"/>
              </w:rPr>
              <w:t>Тел.: +359 (0)2 424 7440</w:t>
            </w:r>
          </w:p>
          <w:p w14:paraId="4062880D" w14:textId="77777777" w:rsidR="00841282" w:rsidRPr="002B65F7" w:rsidRDefault="00841282" w:rsidP="00CE7E90">
            <w:pPr>
              <w:rPr>
                <w:lang w:val="ru-RU"/>
              </w:rPr>
            </w:pPr>
          </w:p>
        </w:tc>
        <w:tc>
          <w:tcPr>
            <w:tcW w:w="4680" w:type="dxa"/>
          </w:tcPr>
          <w:p w14:paraId="1F0A3397" w14:textId="77777777" w:rsidR="00841282" w:rsidRPr="002B65F7" w:rsidRDefault="00841282" w:rsidP="00CE7E90">
            <w:pPr>
              <w:rPr>
                <w:b/>
                <w:bCs/>
                <w:lang w:val="de-DE"/>
              </w:rPr>
            </w:pPr>
            <w:r w:rsidRPr="002B65F7">
              <w:rPr>
                <w:b/>
                <w:bCs/>
                <w:lang w:val="de-DE"/>
              </w:rPr>
              <w:t>Luxembourg/Luxemburg</w:t>
            </w:r>
          </w:p>
          <w:p w14:paraId="6569F721" w14:textId="77777777" w:rsidR="00841282" w:rsidRPr="002B65F7" w:rsidRDefault="00841282" w:rsidP="00CE7E90">
            <w:pPr>
              <w:rPr>
                <w:lang w:val="de-DE"/>
              </w:rPr>
            </w:pPr>
            <w:r w:rsidRPr="002B65F7">
              <w:rPr>
                <w:lang w:val="de-DE"/>
              </w:rPr>
              <w:t>s.a. Amgen</w:t>
            </w:r>
          </w:p>
          <w:p w14:paraId="2D3A8D93" w14:textId="77777777" w:rsidR="00841282" w:rsidRPr="002B65F7" w:rsidRDefault="00841282" w:rsidP="00CE7E90">
            <w:pPr>
              <w:rPr>
                <w:lang w:val="de-DE"/>
              </w:rPr>
            </w:pPr>
            <w:r w:rsidRPr="002B65F7">
              <w:rPr>
                <w:lang w:val="de-DE"/>
              </w:rPr>
              <w:t>Belgique/Belgien</w:t>
            </w:r>
          </w:p>
          <w:p w14:paraId="3A55F90C" w14:textId="77777777" w:rsidR="00841282" w:rsidRPr="002B65F7" w:rsidRDefault="00841282" w:rsidP="00CE7E90">
            <w:pPr>
              <w:rPr>
                <w:lang w:val="en-GB"/>
              </w:rPr>
            </w:pPr>
            <w:r w:rsidRPr="002B65F7">
              <w:rPr>
                <w:lang w:val="en-GB"/>
              </w:rPr>
              <w:t>Tél/Tel: +32 (0)2 7752711</w:t>
            </w:r>
          </w:p>
          <w:p w14:paraId="0F40277D" w14:textId="77777777" w:rsidR="00841282" w:rsidRPr="002B65F7" w:rsidRDefault="00841282" w:rsidP="00CE7E90">
            <w:pPr>
              <w:rPr>
                <w:bCs/>
                <w:lang w:val="en-GB"/>
              </w:rPr>
            </w:pPr>
          </w:p>
        </w:tc>
      </w:tr>
      <w:tr w:rsidR="00841282" w:rsidRPr="002B65F7" w14:paraId="2FECE0C3" w14:textId="77777777" w:rsidTr="00CE7E90">
        <w:trPr>
          <w:cantSplit/>
          <w:trHeight w:val="57"/>
        </w:trPr>
        <w:tc>
          <w:tcPr>
            <w:tcW w:w="4680" w:type="dxa"/>
          </w:tcPr>
          <w:p w14:paraId="126764FD" w14:textId="77777777" w:rsidR="00841282" w:rsidRPr="002B65F7" w:rsidRDefault="00841282" w:rsidP="00CE7E90">
            <w:pPr>
              <w:rPr>
                <w:b/>
                <w:bCs/>
                <w:lang w:val="sv-SE"/>
              </w:rPr>
            </w:pPr>
            <w:r w:rsidRPr="002B65F7">
              <w:rPr>
                <w:b/>
                <w:bCs/>
                <w:lang w:val="sv-SE"/>
              </w:rPr>
              <w:lastRenderedPageBreak/>
              <w:t>Česká republika</w:t>
            </w:r>
          </w:p>
          <w:p w14:paraId="2399FCDA" w14:textId="77777777" w:rsidR="00841282" w:rsidRPr="002B65F7" w:rsidRDefault="00841282" w:rsidP="00CE7E90">
            <w:pPr>
              <w:rPr>
                <w:lang w:val="sv-SE"/>
              </w:rPr>
            </w:pPr>
            <w:r w:rsidRPr="002B65F7">
              <w:rPr>
                <w:lang w:val="sv-SE"/>
              </w:rPr>
              <w:t>Amgen s.r.o.</w:t>
            </w:r>
          </w:p>
          <w:p w14:paraId="658600D9" w14:textId="77777777" w:rsidR="00841282" w:rsidRPr="002B65F7" w:rsidRDefault="00841282" w:rsidP="00CE7E90">
            <w:pPr>
              <w:rPr>
                <w:lang w:val="es-ES"/>
              </w:rPr>
            </w:pPr>
            <w:r w:rsidRPr="002B65F7">
              <w:rPr>
                <w:lang w:val="es-ES"/>
              </w:rPr>
              <w:t>Tel: +420 221 773 500</w:t>
            </w:r>
          </w:p>
          <w:p w14:paraId="60DB73E0" w14:textId="77777777" w:rsidR="00841282" w:rsidRPr="002B65F7" w:rsidRDefault="00841282" w:rsidP="00CE7E90">
            <w:pPr>
              <w:rPr>
                <w:bCs/>
                <w:lang w:val="es-ES"/>
              </w:rPr>
            </w:pPr>
          </w:p>
        </w:tc>
        <w:tc>
          <w:tcPr>
            <w:tcW w:w="4680" w:type="dxa"/>
          </w:tcPr>
          <w:p w14:paraId="5DF9398E" w14:textId="77777777" w:rsidR="00841282" w:rsidRPr="002B65F7" w:rsidRDefault="00841282" w:rsidP="00CE7E90">
            <w:pPr>
              <w:rPr>
                <w:b/>
                <w:bCs/>
                <w:lang w:val="en-GB"/>
              </w:rPr>
            </w:pPr>
            <w:r w:rsidRPr="002B65F7">
              <w:rPr>
                <w:b/>
                <w:bCs/>
                <w:lang w:val="en-GB"/>
              </w:rPr>
              <w:t>Magyarország</w:t>
            </w:r>
          </w:p>
          <w:p w14:paraId="3D21ECFB" w14:textId="77777777" w:rsidR="00841282" w:rsidRPr="002B65F7" w:rsidRDefault="00841282" w:rsidP="00CE7E90">
            <w:pPr>
              <w:rPr>
                <w:lang w:val="en-GB"/>
              </w:rPr>
            </w:pPr>
            <w:r w:rsidRPr="002B65F7">
              <w:rPr>
                <w:lang w:val="en-GB"/>
              </w:rPr>
              <w:t>Amgen Kft.</w:t>
            </w:r>
          </w:p>
          <w:p w14:paraId="598D1E57" w14:textId="77777777" w:rsidR="00841282" w:rsidRPr="002B65F7" w:rsidRDefault="00841282" w:rsidP="00CE7E90">
            <w:pPr>
              <w:rPr>
                <w:lang w:val="en-GB"/>
              </w:rPr>
            </w:pPr>
            <w:r w:rsidRPr="002B65F7">
              <w:rPr>
                <w:lang w:val="en-GB"/>
              </w:rPr>
              <w:t>Tél.: +36 1 35 44 700</w:t>
            </w:r>
          </w:p>
          <w:p w14:paraId="15D1E28C" w14:textId="77777777" w:rsidR="00841282" w:rsidRPr="002B65F7" w:rsidRDefault="00841282" w:rsidP="00CE7E90">
            <w:pPr>
              <w:rPr>
                <w:lang w:val="en-GB"/>
              </w:rPr>
            </w:pPr>
          </w:p>
        </w:tc>
      </w:tr>
      <w:tr w:rsidR="00841282" w:rsidRPr="002B65F7" w14:paraId="1F5E701D" w14:textId="77777777" w:rsidTr="00CE7E90">
        <w:trPr>
          <w:cantSplit/>
          <w:trHeight w:val="57"/>
        </w:trPr>
        <w:tc>
          <w:tcPr>
            <w:tcW w:w="4680" w:type="dxa"/>
          </w:tcPr>
          <w:p w14:paraId="2D7772C1" w14:textId="77777777" w:rsidR="00841282" w:rsidRPr="002B65F7" w:rsidRDefault="00841282" w:rsidP="00CE7E90">
            <w:pPr>
              <w:rPr>
                <w:b/>
                <w:bCs/>
                <w:lang w:val="da-DK"/>
              </w:rPr>
            </w:pPr>
            <w:r w:rsidRPr="002B65F7">
              <w:rPr>
                <w:b/>
                <w:bCs/>
                <w:lang w:val="da-DK"/>
              </w:rPr>
              <w:t>Danmark</w:t>
            </w:r>
          </w:p>
          <w:p w14:paraId="5A7A2EC1" w14:textId="77777777" w:rsidR="00841282" w:rsidRPr="002B65F7" w:rsidRDefault="00841282" w:rsidP="00CE7E90">
            <w:pPr>
              <w:rPr>
                <w:lang w:val="da-DK"/>
              </w:rPr>
            </w:pPr>
            <w:r w:rsidRPr="002B65F7">
              <w:rPr>
                <w:lang w:val="da-DK"/>
              </w:rPr>
              <w:t>Amgen, filial af Amgen AB, Sverige</w:t>
            </w:r>
          </w:p>
          <w:p w14:paraId="1C607762" w14:textId="77777777" w:rsidR="00841282" w:rsidRPr="002B65F7" w:rsidRDefault="00841282" w:rsidP="00CE7E90">
            <w:pPr>
              <w:rPr>
                <w:lang w:val="en-GB"/>
              </w:rPr>
            </w:pPr>
            <w:r w:rsidRPr="002B65F7">
              <w:rPr>
                <w:lang w:val="en-GB"/>
              </w:rPr>
              <w:t>Tlf.: +45 39617500</w:t>
            </w:r>
          </w:p>
          <w:p w14:paraId="3BD0B934" w14:textId="77777777" w:rsidR="00841282" w:rsidRPr="002B65F7" w:rsidRDefault="00841282" w:rsidP="00CE7E90">
            <w:pPr>
              <w:pStyle w:val="lbltxt"/>
              <w:ind w:left="0" w:firstLine="0"/>
              <w:rPr>
                <w:noProof w:val="0"/>
                <w:szCs w:val="22"/>
              </w:rPr>
            </w:pPr>
          </w:p>
        </w:tc>
        <w:tc>
          <w:tcPr>
            <w:tcW w:w="4680" w:type="dxa"/>
          </w:tcPr>
          <w:p w14:paraId="515DC81F" w14:textId="77777777" w:rsidR="00841282" w:rsidRPr="00BB6F00" w:rsidRDefault="00841282" w:rsidP="00CE7E90">
            <w:pPr>
              <w:rPr>
                <w:b/>
                <w:bCs/>
                <w:lang w:val="de-DE"/>
              </w:rPr>
            </w:pPr>
            <w:r w:rsidRPr="00BB6F00">
              <w:rPr>
                <w:b/>
                <w:bCs/>
                <w:lang w:val="de-DE"/>
              </w:rPr>
              <w:t>Malte</w:t>
            </w:r>
          </w:p>
          <w:p w14:paraId="15D32B00" w14:textId="77777777" w:rsidR="00841282" w:rsidRPr="00BB6F00" w:rsidRDefault="00841282" w:rsidP="00CE7E90">
            <w:pPr>
              <w:rPr>
                <w:lang w:val="de-DE"/>
              </w:rPr>
            </w:pPr>
            <w:r w:rsidRPr="00BB6F00">
              <w:rPr>
                <w:lang w:val="de-DE"/>
              </w:rPr>
              <w:t>Amgen S.r.l.</w:t>
            </w:r>
          </w:p>
          <w:p w14:paraId="61255B64" w14:textId="77777777" w:rsidR="00841282" w:rsidRPr="00BB6F00" w:rsidRDefault="00841282" w:rsidP="00CE7E90">
            <w:pPr>
              <w:rPr>
                <w:lang w:val="de-DE"/>
              </w:rPr>
            </w:pPr>
            <w:r w:rsidRPr="00BB6F00">
              <w:rPr>
                <w:lang w:val="de-DE"/>
              </w:rPr>
              <w:t>Italy</w:t>
            </w:r>
          </w:p>
          <w:p w14:paraId="712FF49A" w14:textId="77777777" w:rsidR="00841282" w:rsidRPr="002B65F7" w:rsidRDefault="00841282" w:rsidP="00CE7E90">
            <w:pPr>
              <w:rPr>
                <w:lang w:val="en-GB"/>
              </w:rPr>
            </w:pPr>
            <w:r w:rsidRPr="002B65F7">
              <w:rPr>
                <w:lang w:val="en-GB"/>
              </w:rPr>
              <w:t>Tél: +39 02 6241121</w:t>
            </w:r>
          </w:p>
          <w:p w14:paraId="57C799A7" w14:textId="77777777" w:rsidR="00841282" w:rsidRPr="002B65F7" w:rsidRDefault="00841282" w:rsidP="00CE7E90">
            <w:pPr>
              <w:pStyle w:val="lbltxt"/>
              <w:ind w:left="0" w:firstLine="0"/>
              <w:rPr>
                <w:b/>
                <w:noProof w:val="0"/>
                <w:szCs w:val="22"/>
              </w:rPr>
            </w:pPr>
          </w:p>
        </w:tc>
      </w:tr>
      <w:tr w:rsidR="00841282" w:rsidRPr="00C93DAC" w14:paraId="5DB87659" w14:textId="77777777" w:rsidTr="00CE7E90">
        <w:trPr>
          <w:cantSplit/>
          <w:trHeight w:val="57"/>
        </w:trPr>
        <w:tc>
          <w:tcPr>
            <w:tcW w:w="4680" w:type="dxa"/>
          </w:tcPr>
          <w:p w14:paraId="04FFD737" w14:textId="77777777" w:rsidR="00841282" w:rsidRPr="002B65F7" w:rsidRDefault="00841282" w:rsidP="00CE7E90">
            <w:pPr>
              <w:rPr>
                <w:b/>
                <w:bCs/>
                <w:lang w:val="en-GB"/>
              </w:rPr>
            </w:pPr>
            <w:r w:rsidRPr="002B65F7">
              <w:rPr>
                <w:b/>
                <w:bCs/>
                <w:lang w:val="en-GB"/>
              </w:rPr>
              <w:t>Deutschland</w:t>
            </w:r>
          </w:p>
          <w:p w14:paraId="65F001D0" w14:textId="77777777" w:rsidR="00841282" w:rsidRPr="002B65F7" w:rsidRDefault="00841282" w:rsidP="00CE7E90">
            <w:pPr>
              <w:rPr>
                <w:lang w:val="en-GB"/>
              </w:rPr>
            </w:pPr>
            <w:r w:rsidRPr="002B65F7">
              <w:rPr>
                <w:lang w:val="en-GB"/>
              </w:rPr>
              <w:t>Amgen GmbH</w:t>
            </w:r>
          </w:p>
          <w:p w14:paraId="4382888A" w14:textId="77777777" w:rsidR="00841282" w:rsidRPr="002B65F7" w:rsidRDefault="00841282" w:rsidP="00CE7E90">
            <w:pPr>
              <w:rPr>
                <w:lang w:val="en-GB"/>
              </w:rPr>
            </w:pPr>
            <w:r w:rsidRPr="002B65F7">
              <w:rPr>
                <w:lang w:val="en-GB"/>
              </w:rPr>
              <w:t>Tél: +49 89 1490960</w:t>
            </w:r>
          </w:p>
          <w:p w14:paraId="01BCF944" w14:textId="77777777" w:rsidR="00841282" w:rsidRPr="002B65F7" w:rsidRDefault="00841282" w:rsidP="00CE7E90">
            <w:pPr>
              <w:pStyle w:val="lbltxt"/>
              <w:ind w:left="0" w:firstLine="0"/>
              <w:rPr>
                <w:b/>
                <w:noProof w:val="0"/>
                <w:szCs w:val="22"/>
              </w:rPr>
            </w:pPr>
          </w:p>
        </w:tc>
        <w:tc>
          <w:tcPr>
            <w:tcW w:w="4680" w:type="dxa"/>
          </w:tcPr>
          <w:p w14:paraId="49B36518" w14:textId="77777777" w:rsidR="00841282" w:rsidRPr="002B65F7" w:rsidRDefault="00841282" w:rsidP="00CE7E90">
            <w:pPr>
              <w:rPr>
                <w:b/>
                <w:bCs/>
                <w:lang w:val="de-DE"/>
              </w:rPr>
            </w:pPr>
            <w:r w:rsidRPr="002B65F7">
              <w:rPr>
                <w:b/>
                <w:bCs/>
                <w:lang w:val="de-DE"/>
              </w:rPr>
              <w:t>Nederland</w:t>
            </w:r>
          </w:p>
          <w:p w14:paraId="023A16D4" w14:textId="77777777" w:rsidR="00841282" w:rsidRPr="002B65F7" w:rsidRDefault="00841282" w:rsidP="00CE7E90">
            <w:pPr>
              <w:rPr>
                <w:lang w:val="de-DE"/>
              </w:rPr>
            </w:pPr>
            <w:r w:rsidRPr="002B65F7">
              <w:rPr>
                <w:lang w:val="de-DE"/>
              </w:rPr>
              <w:t>Amgen B.V.</w:t>
            </w:r>
          </w:p>
          <w:p w14:paraId="098A639D" w14:textId="77777777" w:rsidR="00841282" w:rsidRPr="002B65F7" w:rsidRDefault="00841282" w:rsidP="00CE7E90">
            <w:pPr>
              <w:rPr>
                <w:lang w:val="de-DE"/>
              </w:rPr>
            </w:pPr>
            <w:r w:rsidRPr="002B65F7">
              <w:rPr>
                <w:lang w:val="de-DE"/>
              </w:rPr>
              <w:t>Tél: +31 (0)76 5732500</w:t>
            </w:r>
          </w:p>
          <w:p w14:paraId="1D1C320A" w14:textId="77777777" w:rsidR="00841282" w:rsidRPr="002B65F7" w:rsidRDefault="00841282" w:rsidP="00CE7E90">
            <w:pPr>
              <w:pStyle w:val="lbltxt"/>
              <w:ind w:left="0" w:firstLine="0"/>
              <w:rPr>
                <w:noProof w:val="0"/>
                <w:szCs w:val="22"/>
                <w:lang w:val="de-DE"/>
              </w:rPr>
            </w:pPr>
          </w:p>
        </w:tc>
      </w:tr>
      <w:tr w:rsidR="00841282" w:rsidRPr="002B65F7" w14:paraId="7700E469" w14:textId="77777777" w:rsidTr="00CE7E90">
        <w:trPr>
          <w:cantSplit/>
          <w:trHeight w:val="57"/>
        </w:trPr>
        <w:tc>
          <w:tcPr>
            <w:tcW w:w="4680" w:type="dxa"/>
          </w:tcPr>
          <w:p w14:paraId="08A1254A" w14:textId="77777777" w:rsidR="00841282" w:rsidRPr="00B007D2" w:rsidRDefault="00841282" w:rsidP="00CE7E90">
            <w:pPr>
              <w:rPr>
                <w:b/>
                <w:bCs/>
                <w:lang w:val="da-DK"/>
              </w:rPr>
            </w:pPr>
            <w:r w:rsidRPr="00B007D2">
              <w:rPr>
                <w:b/>
                <w:bCs/>
                <w:lang w:val="da-DK"/>
              </w:rPr>
              <w:t>Eesti</w:t>
            </w:r>
          </w:p>
          <w:p w14:paraId="292047B9" w14:textId="77777777" w:rsidR="00841282" w:rsidRPr="00B007D2" w:rsidRDefault="00841282" w:rsidP="00CE7E90">
            <w:pPr>
              <w:rPr>
                <w:lang w:val="da-DK"/>
              </w:rPr>
            </w:pPr>
            <w:r w:rsidRPr="00B007D2">
              <w:rPr>
                <w:lang w:val="da-DK"/>
              </w:rPr>
              <w:t>Amgen Switzerland AG Vilniaus filialas</w:t>
            </w:r>
          </w:p>
          <w:p w14:paraId="566C54C1" w14:textId="77777777" w:rsidR="00841282" w:rsidRPr="002B65F7" w:rsidRDefault="00841282" w:rsidP="00CE7E90">
            <w:pPr>
              <w:rPr>
                <w:lang w:val="en-GB"/>
              </w:rPr>
            </w:pPr>
            <w:r w:rsidRPr="002B65F7">
              <w:rPr>
                <w:lang w:val="en-GB"/>
              </w:rPr>
              <w:t>Tél: +372 586 09553</w:t>
            </w:r>
          </w:p>
          <w:p w14:paraId="14FC5412" w14:textId="77777777" w:rsidR="00841282" w:rsidRPr="002B65F7" w:rsidRDefault="00841282" w:rsidP="00CE7E90">
            <w:pPr>
              <w:rPr>
                <w:b/>
                <w:lang w:val="en-GB"/>
              </w:rPr>
            </w:pPr>
          </w:p>
        </w:tc>
        <w:tc>
          <w:tcPr>
            <w:tcW w:w="4680" w:type="dxa"/>
          </w:tcPr>
          <w:p w14:paraId="2F31F5DB" w14:textId="77777777" w:rsidR="00841282" w:rsidRPr="002B65F7" w:rsidRDefault="00841282" w:rsidP="00CE7E90">
            <w:pPr>
              <w:rPr>
                <w:b/>
                <w:bCs/>
                <w:lang w:val="en-GB"/>
              </w:rPr>
            </w:pPr>
            <w:r w:rsidRPr="002B65F7">
              <w:rPr>
                <w:b/>
                <w:bCs/>
                <w:lang w:val="en-GB"/>
              </w:rPr>
              <w:t>Norge</w:t>
            </w:r>
          </w:p>
          <w:p w14:paraId="2AB198B1" w14:textId="77777777" w:rsidR="00841282" w:rsidRPr="002B65F7" w:rsidRDefault="00841282" w:rsidP="00CE7E90">
            <w:pPr>
              <w:rPr>
                <w:lang w:val="en-GB"/>
              </w:rPr>
            </w:pPr>
            <w:r w:rsidRPr="002B65F7">
              <w:rPr>
                <w:lang w:val="en-GB"/>
              </w:rPr>
              <w:t>Amgen AB</w:t>
            </w:r>
          </w:p>
          <w:p w14:paraId="7A3B98BC" w14:textId="77777777" w:rsidR="00841282" w:rsidRPr="002B65F7" w:rsidRDefault="00841282" w:rsidP="00CE7E90">
            <w:pPr>
              <w:rPr>
                <w:lang w:val="en-GB"/>
              </w:rPr>
            </w:pPr>
            <w:r w:rsidRPr="002B65F7">
              <w:rPr>
                <w:lang w:val="en-GB"/>
              </w:rPr>
              <w:t>Tlf: +47 23308000</w:t>
            </w:r>
          </w:p>
          <w:p w14:paraId="5B5F6DB7" w14:textId="77777777" w:rsidR="00841282" w:rsidRPr="002B65F7" w:rsidRDefault="00841282" w:rsidP="00CE7E90">
            <w:pPr>
              <w:pStyle w:val="lbltxt"/>
              <w:ind w:left="0" w:firstLine="0"/>
              <w:rPr>
                <w:noProof w:val="0"/>
                <w:szCs w:val="22"/>
              </w:rPr>
            </w:pPr>
          </w:p>
        </w:tc>
      </w:tr>
      <w:tr w:rsidR="00841282" w:rsidRPr="002B65F7" w14:paraId="746D26D6" w14:textId="77777777" w:rsidTr="00CE7E90">
        <w:trPr>
          <w:cantSplit/>
          <w:trHeight w:val="57"/>
        </w:trPr>
        <w:tc>
          <w:tcPr>
            <w:tcW w:w="4680" w:type="dxa"/>
          </w:tcPr>
          <w:p w14:paraId="784795AA" w14:textId="77777777" w:rsidR="00841282" w:rsidRPr="002B65F7" w:rsidRDefault="00841282" w:rsidP="00CE7E90">
            <w:pPr>
              <w:rPr>
                <w:b/>
                <w:bCs/>
                <w:lang w:val="el-GR"/>
              </w:rPr>
            </w:pPr>
            <w:r w:rsidRPr="002B65F7">
              <w:rPr>
                <w:b/>
                <w:bCs/>
                <w:lang w:val="el-GR"/>
              </w:rPr>
              <w:t>Ελλάδα</w:t>
            </w:r>
          </w:p>
          <w:p w14:paraId="6D458EF8" w14:textId="77777777" w:rsidR="00841282" w:rsidRPr="002B65F7" w:rsidRDefault="00841282" w:rsidP="00CE7E90">
            <w:pPr>
              <w:rPr>
                <w:lang w:val="el-GR"/>
              </w:rPr>
            </w:pPr>
            <w:r w:rsidRPr="002B65F7">
              <w:t>Amgen</w:t>
            </w:r>
            <w:r w:rsidRPr="002B65F7">
              <w:rPr>
                <w:lang w:val="el-GR"/>
              </w:rPr>
              <w:t xml:space="preserve"> Ελλάς Φαρμακευτικά Ε.Π.Ε.</w:t>
            </w:r>
          </w:p>
          <w:p w14:paraId="208AB5CF" w14:textId="77777777" w:rsidR="00841282" w:rsidRPr="002B65F7" w:rsidRDefault="00841282" w:rsidP="00CE7E90">
            <w:pPr>
              <w:rPr>
                <w:lang w:val="en-GB"/>
              </w:rPr>
            </w:pPr>
            <w:r w:rsidRPr="002B65F7">
              <w:rPr>
                <w:lang w:val="en-GB"/>
              </w:rPr>
              <w:t>Τηλ: +30 210 3447000</w:t>
            </w:r>
          </w:p>
          <w:p w14:paraId="046D8777" w14:textId="77777777" w:rsidR="00841282" w:rsidRPr="002B65F7" w:rsidRDefault="00841282" w:rsidP="00CE7E90">
            <w:pPr>
              <w:pStyle w:val="lbltxt"/>
              <w:ind w:left="0" w:firstLine="0"/>
              <w:rPr>
                <w:noProof w:val="0"/>
                <w:szCs w:val="22"/>
              </w:rPr>
            </w:pPr>
          </w:p>
        </w:tc>
        <w:tc>
          <w:tcPr>
            <w:tcW w:w="4680" w:type="dxa"/>
          </w:tcPr>
          <w:p w14:paraId="78F29BB8" w14:textId="77777777" w:rsidR="00841282" w:rsidRPr="002B65F7" w:rsidRDefault="00841282" w:rsidP="00CE7E90">
            <w:pPr>
              <w:rPr>
                <w:b/>
                <w:bCs/>
                <w:lang w:val="en-GB"/>
              </w:rPr>
            </w:pPr>
            <w:r w:rsidRPr="002B65F7">
              <w:rPr>
                <w:b/>
                <w:bCs/>
                <w:lang w:val="en-GB"/>
              </w:rPr>
              <w:t>Österreich</w:t>
            </w:r>
          </w:p>
          <w:p w14:paraId="0E4CEA97" w14:textId="77777777" w:rsidR="00841282" w:rsidRPr="002B65F7" w:rsidRDefault="00841282" w:rsidP="00CE7E90">
            <w:pPr>
              <w:rPr>
                <w:lang w:val="en-GB"/>
              </w:rPr>
            </w:pPr>
            <w:r w:rsidRPr="002B65F7">
              <w:rPr>
                <w:lang w:val="en-GB"/>
              </w:rPr>
              <w:t>Amgen GmbH</w:t>
            </w:r>
          </w:p>
          <w:p w14:paraId="37D0695D" w14:textId="77777777" w:rsidR="00841282" w:rsidRPr="002B65F7" w:rsidRDefault="00841282" w:rsidP="00CE7E90">
            <w:pPr>
              <w:rPr>
                <w:lang w:val="en-GB"/>
              </w:rPr>
            </w:pPr>
            <w:r w:rsidRPr="002B65F7">
              <w:rPr>
                <w:lang w:val="en-GB"/>
              </w:rPr>
              <w:t>Tél: +43 (0)1 50 217</w:t>
            </w:r>
          </w:p>
          <w:p w14:paraId="5166EBB4" w14:textId="77777777" w:rsidR="00841282" w:rsidRPr="002B65F7" w:rsidRDefault="00841282" w:rsidP="00CE7E90">
            <w:pPr>
              <w:pStyle w:val="lbltxt"/>
              <w:ind w:left="0" w:firstLine="0"/>
              <w:rPr>
                <w:b/>
                <w:noProof w:val="0"/>
                <w:szCs w:val="22"/>
              </w:rPr>
            </w:pPr>
          </w:p>
        </w:tc>
      </w:tr>
      <w:tr w:rsidR="00841282" w:rsidRPr="002B65F7" w14:paraId="22D1BC3D" w14:textId="77777777" w:rsidTr="00CE7E90">
        <w:trPr>
          <w:cantSplit/>
          <w:trHeight w:val="57"/>
        </w:trPr>
        <w:tc>
          <w:tcPr>
            <w:tcW w:w="4680" w:type="dxa"/>
          </w:tcPr>
          <w:p w14:paraId="1A77E6C4" w14:textId="77777777" w:rsidR="00841282" w:rsidRPr="002B65F7" w:rsidRDefault="00841282" w:rsidP="00CE7E90">
            <w:pPr>
              <w:rPr>
                <w:b/>
                <w:bCs/>
                <w:lang w:val="es-ES"/>
              </w:rPr>
            </w:pPr>
            <w:r w:rsidRPr="002B65F7">
              <w:rPr>
                <w:b/>
                <w:bCs/>
                <w:lang w:val="es-ES"/>
              </w:rPr>
              <w:t>España</w:t>
            </w:r>
          </w:p>
          <w:p w14:paraId="04DCACF9" w14:textId="77777777" w:rsidR="00841282" w:rsidRPr="002B65F7" w:rsidRDefault="00841282" w:rsidP="00CE7E90">
            <w:pPr>
              <w:rPr>
                <w:lang w:val="es-ES"/>
              </w:rPr>
            </w:pPr>
            <w:r w:rsidRPr="002B65F7">
              <w:rPr>
                <w:lang w:val="es-ES"/>
              </w:rPr>
              <w:t>Amgen S.A.</w:t>
            </w:r>
          </w:p>
          <w:p w14:paraId="20E46FAD" w14:textId="77777777" w:rsidR="00841282" w:rsidRPr="002B65F7" w:rsidRDefault="00841282" w:rsidP="00CE7E90">
            <w:pPr>
              <w:rPr>
                <w:lang w:val="es-ES"/>
              </w:rPr>
            </w:pPr>
            <w:r w:rsidRPr="002B65F7">
              <w:rPr>
                <w:lang w:val="es-ES"/>
              </w:rPr>
              <w:t>Tél: +34 93 600 18 60</w:t>
            </w:r>
          </w:p>
          <w:p w14:paraId="769D018F" w14:textId="77777777" w:rsidR="00841282" w:rsidRPr="002B65F7" w:rsidRDefault="00841282" w:rsidP="00CE7E90">
            <w:pPr>
              <w:pStyle w:val="lbltxt"/>
              <w:ind w:left="0" w:firstLine="0"/>
              <w:rPr>
                <w:bCs/>
                <w:noProof w:val="0"/>
                <w:szCs w:val="22"/>
                <w:lang w:val="es-ES"/>
              </w:rPr>
            </w:pPr>
          </w:p>
        </w:tc>
        <w:tc>
          <w:tcPr>
            <w:tcW w:w="4680" w:type="dxa"/>
          </w:tcPr>
          <w:p w14:paraId="0051B042" w14:textId="77777777" w:rsidR="00841282" w:rsidRPr="002B65F7" w:rsidRDefault="00841282" w:rsidP="00CE7E90">
            <w:pPr>
              <w:rPr>
                <w:b/>
                <w:bCs/>
                <w:lang w:val="pl-PL"/>
              </w:rPr>
            </w:pPr>
            <w:r w:rsidRPr="002B65F7">
              <w:rPr>
                <w:b/>
                <w:bCs/>
                <w:lang w:val="pl-PL"/>
              </w:rPr>
              <w:t>Polska</w:t>
            </w:r>
          </w:p>
          <w:p w14:paraId="58E37744" w14:textId="77777777" w:rsidR="00841282" w:rsidRPr="002B65F7" w:rsidRDefault="00841282" w:rsidP="00CE7E90">
            <w:pPr>
              <w:rPr>
                <w:lang w:val="pl-PL"/>
              </w:rPr>
            </w:pPr>
            <w:r w:rsidRPr="002B65F7">
              <w:rPr>
                <w:lang w:val="pl-PL"/>
              </w:rPr>
              <w:t>Amgen Biotechnologia Sp. z o.o.</w:t>
            </w:r>
          </w:p>
          <w:p w14:paraId="29635AC0" w14:textId="77777777" w:rsidR="00841282" w:rsidRPr="002B65F7" w:rsidRDefault="00841282" w:rsidP="00CE7E90">
            <w:pPr>
              <w:rPr>
                <w:lang w:val="en-GB"/>
              </w:rPr>
            </w:pPr>
            <w:r w:rsidRPr="002B65F7">
              <w:rPr>
                <w:lang w:val="en-GB"/>
              </w:rPr>
              <w:t>Tél.: +48 22 581 3000</w:t>
            </w:r>
          </w:p>
          <w:p w14:paraId="639D40F4" w14:textId="77777777" w:rsidR="00841282" w:rsidRPr="002B65F7" w:rsidRDefault="00841282" w:rsidP="00CE7E90">
            <w:pPr>
              <w:rPr>
                <w:lang w:val="en-GB"/>
              </w:rPr>
            </w:pPr>
          </w:p>
        </w:tc>
      </w:tr>
      <w:tr w:rsidR="00841282" w:rsidRPr="00747845" w14:paraId="70BFC746" w14:textId="77777777" w:rsidTr="00CE7E90">
        <w:trPr>
          <w:cantSplit/>
          <w:trHeight w:val="57"/>
        </w:trPr>
        <w:tc>
          <w:tcPr>
            <w:tcW w:w="4680" w:type="dxa"/>
          </w:tcPr>
          <w:p w14:paraId="632F43B4" w14:textId="77777777" w:rsidR="00841282" w:rsidRPr="002B65F7" w:rsidRDefault="00841282" w:rsidP="00CE7E90">
            <w:pPr>
              <w:rPr>
                <w:b/>
                <w:bCs/>
              </w:rPr>
            </w:pPr>
            <w:r w:rsidRPr="002B65F7">
              <w:rPr>
                <w:b/>
                <w:bCs/>
              </w:rPr>
              <w:t>France</w:t>
            </w:r>
          </w:p>
          <w:p w14:paraId="27453E89" w14:textId="77777777" w:rsidR="00841282" w:rsidRPr="002B65F7" w:rsidRDefault="00841282" w:rsidP="00CE7E90">
            <w:r w:rsidRPr="002B65F7">
              <w:t>Amgen S.A.S.</w:t>
            </w:r>
          </w:p>
          <w:p w14:paraId="267CE80F" w14:textId="77777777" w:rsidR="00841282" w:rsidRPr="002B65F7" w:rsidRDefault="00841282" w:rsidP="00CE7E90">
            <w:r w:rsidRPr="002B65F7">
              <w:t>Tél: +33 (0)9 69 363 363</w:t>
            </w:r>
          </w:p>
          <w:p w14:paraId="20DF5C92" w14:textId="77777777" w:rsidR="00841282" w:rsidRPr="002B65F7" w:rsidRDefault="00841282" w:rsidP="00CE7E90">
            <w:pPr>
              <w:rPr>
                <w:b/>
              </w:rPr>
            </w:pPr>
          </w:p>
        </w:tc>
        <w:tc>
          <w:tcPr>
            <w:tcW w:w="4680" w:type="dxa"/>
          </w:tcPr>
          <w:p w14:paraId="33EF0DB4" w14:textId="77777777" w:rsidR="00841282" w:rsidRPr="002B65F7" w:rsidRDefault="00841282" w:rsidP="00CE7E90">
            <w:pPr>
              <w:rPr>
                <w:b/>
                <w:bCs/>
                <w:lang w:val="es-ES"/>
              </w:rPr>
            </w:pPr>
            <w:r w:rsidRPr="002B65F7">
              <w:rPr>
                <w:b/>
                <w:bCs/>
                <w:lang w:val="es-ES"/>
              </w:rPr>
              <w:t>Portugal</w:t>
            </w:r>
          </w:p>
          <w:p w14:paraId="74ED82DC" w14:textId="77777777" w:rsidR="00841282" w:rsidRPr="002B65F7" w:rsidRDefault="00841282" w:rsidP="00CE7E90">
            <w:pPr>
              <w:rPr>
                <w:lang w:val="es-ES"/>
              </w:rPr>
            </w:pPr>
            <w:r w:rsidRPr="002B65F7">
              <w:rPr>
                <w:lang w:val="es-ES"/>
              </w:rPr>
              <w:t>Amgen Biofarmacêutica, Lda.</w:t>
            </w:r>
          </w:p>
          <w:p w14:paraId="56C23545" w14:textId="77777777" w:rsidR="00841282" w:rsidRPr="002B65F7" w:rsidRDefault="00841282" w:rsidP="00CE7E90">
            <w:pPr>
              <w:rPr>
                <w:lang w:val="es-ES"/>
              </w:rPr>
            </w:pPr>
            <w:r w:rsidRPr="002B65F7">
              <w:rPr>
                <w:lang w:val="es-ES"/>
              </w:rPr>
              <w:t>Tél: +351 21 4220606</w:t>
            </w:r>
          </w:p>
          <w:p w14:paraId="738281F0" w14:textId="77777777" w:rsidR="00841282" w:rsidRPr="002B65F7" w:rsidRDefault="00841282" w:rsidP="00CE7E90">
            <w:pPr>
              <w:pStyle w:val="lbltxt"/>
              <w:ind w:left="0" w:firstLine="0"/>
              <w:rPr>
                <w:noProof w:val="0"/>
                <w:szCs w:val="22"/>
                <w:lang w:val="es-ES"/>
              </w:rPr>
            </w:pPr>
          </w:p>
        </w:tc>
      </w:tr>
      <w:tr w:rsidR="00841282" w:rsidRPr="00BB6B52" w14:paraId="19050F0D" w14:textId="77777777" w:rsidTr="00CE7E90">
        <w:trPr>
          <w:cantSplit/>
          <w:trHeight w:val="57"/>
        </w:trPr>
        <w:tc>
          <w:tcPr>
            <w:tcW w:w="4680" w:type="dxa"/>
          </w:tcPr>
          <w:p w14:paraId="084CC8A3" w14:textId="77777777" w:rsidR="00841282" w:rsidRPr="002B65F7" w:rsidRDefault="00841282" w:rsidP="00CE7E90">
            <w:pPr>
              <w:rPr>
                <w:b/>
                <w:bCs/>
                <w:lang w:val="sv-SE"/>
              </w:rPr>
            </w:pPr>
            <w:r w:rsidRPr="002B65F7">
              <w:rPr>
                <w:b/>
                <w:bCs/>
                <w:lang w:val="sv-SE"/>
              </w:rPr>
              <w:t>Hrvatska</w:t>
            </w:r>
          </w:p>
          <w:p w14:paraId="04B9C09A" w14:textId="77777777" w:rsidR="00841282" w:rsidRPr="002B65F7" w:rsidRDefault="00841282" w:rsidP="00CE7E90">
            <w:pPr>
              <w:rPr>
                <w:lang w:val="sv-SE"/>
              </w:rPr>
            </w:pPr>
            <w:r w:rsidRPr="002B65F7">
              <w:rPr>
                <w:lang w:val="sv-SE"/>
              </w:rPr>
              <w:t>Amgen d.o.o.</w:t>
            </w:r>
          </w:p>
          <w:p w14:paraId="651E8DF0" w14:textId="77777777" w:rsidR="00841282" w:rsidRPr="002B65F7" w:rsidRDefault="00841282" w:rsidP="00CE7E90">
            <w:pPr>
              <w:rPr>
                <w:lang w:val="en-GB"/>
              </w:rPr>
            </w:pPr>
            <w:r w:rsidRPr="002B65F7">
              <w:rPr>
                <w:lang w:val="en-GB"/>
              </w:rPr>
              <w:t>Tél: +385 (0)1 562 57 20</w:t>
            </w:r>
          </w:p>
          <w:p w14:paraId="603820A7" w14:textId="77777777" w:rsidR="00841282" w:rsidRPr="002B65F7" w:rsidRDefault="00841282" w:rsidP="00CE7E90">
            <w:pPr>
              <w:rPr>
                <w:lang w:val="en-GB"/>
              </w:rPr>
            </w:pPr>
          </w:p>
        </w:tc>
        <w:tc>
          <w:tcPr>
            <w:tcW w:w="4680" w:type="dxa"/>
          </w:tcPr>
          <w:p w14:paraId="64499928" w14:textId="77777777" w:rsidR="00841282" w:rsidRPr="002B65F7" w:rsidRDefault="00841282" w:rsidP="00CE7E90">
            <w:pPr>
              <w:rPr>
                <w:b/>
                <w:bCs/>
                <w:lang w:val="es-ES"/>
              </w:rPr>
            </w:pPr>
            <w:r w:rsidRPr="002B65F7">
              <w:rPr>
                <w:b/>
                <w:bCs/>
                <w:lang w:val="es-ES"/>
              </w:rPr>
              <w:t>România</w:t>
            </w:r>
          </w:p>
          <w:p w14:paraId="76858259" w14:textId="77777777" w:rsidR="00841282" w:rsidRPr="002B65F7" w:rsidRDefault="00841282" w:rsidP="00CE7E90">
            <w:pPr>
              <w:rPr>
                <w:lang w:val="es-ES"/>
              </w:rPr>
            </w:pPr>
            <w:r w:rsidRPr="002B65F7">
              <w:rPr>
                <w:lang w:val="es-ES"/>
              </w:rPr>
              <w:t>Amgen România SRL</w:t>
            </w:r>
          </w:p>
          <w:p w14:paraId="7AE682F8" w14:textId="77777777" w:rsidR="00841282" w:rsidRPr="002B65F7" w:rsidRDefault="00841282" w:rsidP="00CE7E90">
            <w:pPr>
              <w:rPr>
                <w:lang w:val="es-ES"/>
              </w:rPr>
            </w:pPr>
            <w:r w:rsidRPr="002B65F7">
              <w:rPr>
                <w:lang w:val="es-ES"/>
              </w:rPr>
              <w:t>Tél: +4021 527 3000</w:t>
            </w:r>
          </w:p>
          <w:p w14:paraId="783B60FF" w14:textId="77777777" w:rsidR="00841282" w:rsidRPr="002B65F7" w:rsidRDefault="00841282" w:rsidP="00CE7E90">
            <w:pPr>
              <w:pStyle w:val="lbltxt"/>
              <w:ind w:left="0" w:firstLine="0"/>
              <w:rPr>
                <w:noProof w:val="0"/>
                <w:szCs w:val="22"/>
                <w:lang w:val="es-ES"/>
              </w:rPr>
            </w:pPr>
          </w:p>
        </w:tc>
      </w:tr>
      <w:tr w:rsidR="00841282" w:rsidRPr="0065709C" w14:paraId="63E27852" w14:textId="77777777" w:rsidTr="00CE7E90">
        <w:trPr>
          <w:cantSplit/>
          <w:trHeight w:val="57"/>
        </w:trPr>
        <w:tc>
          <w:tcPr>
            <w:tcW w:w="4680" w:type="dxa"/>
          </w:tcPr>
          <w:p w14:paraId="721F154D" w14:textId="77777777" w:rsidR="00841282" w:rsidRPr="002B65F7" w:rsidRDefault="00841282" w:rsidP="00CE7E90">
            <w:pPr>
              <w:rPr>
                <w:b/>
                <w:bCs/>
                <w:lang w:val="en-IN"/>
              </w:rPr>
            </w:pPr>
            <w:r w:rsidRPr="002B65F7">
              <w:rPr>
                <w:b/>
                <w:bCs/>
                <w:lang w:val="en-IN"/>
              </w:rPr>
              <w:t>Ireland</w:t>
            </w:r>
          </w:p>
          <w:p w14:paraId="2D8111ED" w14:textId="77777777" w:rsidR="00841282" w:rsidRPr="002B65F7" w:rsidRDefault="00841282" w:rsidP="00CE7E90">
            <w:pPr>
              <w:rPr>
                <w:lang w:val="en-IN"/>
              </w:rPr>
            </w:pPr>
            <w:r w:rsidRPr="002B65F7">
              <w:rPr>
                <w:lang w:val="en-IN"/>
              </w:rPr>
              <w:t>Amgen Ireland Limited</w:t>
            </w:r>
          </w:p>
          <w:p w14:paraId="4B997AC0" w14:textId="77777777" w:rsidR="00841282" w:rsidRPr="002B65F7" w:rsidRDefault="00841282" w:rsidP="00CE7E90">
            <w:pPr>
              <w:rPr>
                <w:lang w:val="en-IN"/>
              </w:rPr>
            </w:pPr>
            <w:r w:rsidRPr="002B65F7">
              <w:rPr>
                <w:lang w:val="en-IN"/>
              </w:rPr>
              <w:t>Tél: +353 1 8527400</w:t>
            </w:r>
          </w:p>
          <w:p w14:paraId="5A0706CB" w14:textId="77777777" w:rsidR="00841282" w:rsidRPr="002B65F7" w:rsidRDefault="00841282" w:rsidP="00CE7E90">
            <w:pPr>
              <w:rPr>
                <w:lang w:val="en-IN"/>
              </w:rPr>
            </w:pPr>
          </w:p>
        </w:tc>
        <w:tc>
          <w:tcPr>
            <w:tcW w:w="4680" w:type="dxa"/>
          </w:tcPr>
          <w:p w14:paraId="5A9C7AED" w14:textId="77777777" w:rsidR="00841282" w:rsidRPr="00CE7E90" w:rsidRDefault="00841282" w:rsidP="00CE7E90">
            <w:pPr>
              <w:rPr>
                <w:b/>
                <w:bCs/>
                <w:lang w:val="fi-FI"/>
              </w:rPr>
            </w:pPr>
            <w:r w:rsidRPr="00CE7E90">
              <w:rPr>
                <w:b/>
                <w:bCs/>
                <w:lang w:val="fi-FI"/>
              </w:rPr>
              <w:t>Slovenija</w:t>
            </w:r>
          </w:p>
          <w:p w14:paraId="4024C67E" w14:textId="77777777" w:rsidR="00841282" w:rsidRPr="00CE7E90" w:rsidRDefault="00841282" w:rsidP="00CE7E90">
            <w:pPr>
              <w:rPr>
                <w:lang w:val="fi-FI"/>
              </w:rPr>
            </w:pPr>
            <w:r w:rsidRPr="00CE7E90">
              <w:rPr>
                <w:lang w:val="fi-FI"/>
              </w:rPr>
              <w:t>AMGEN zdravila d.o.o.</w:t>
            </w:r>
          </w:p>
          <w:p w14:paraId="5DDF94EE" w14:textId="77777777" w:rsidR="00841282" w:rsidRPr="002B65F7" w:rsidRDefault="00841282" w:rsidP="00CE7E90">
            <w:pPr>
              <w:rPr>
                <w:lang w:val="en-GB"/>
              </w:rPr>
            </w:pPr>
            <w:r w:rsidRPr="002B65F7">
              <w:rPr>
                <w:lang w:val="en-GB"/>
              </w:rPr>
              <w:t>Tél: +386 (0)1 585 1767</w:t>
            </w:r>
          </w:p>
          <w:p w14:paraId="65616166" w14:textId="77777777" w:rsidR="00841282" w:rsidRPr="002B65F7" w:rsidRDefault="00841282" w:rsidP="00CE7E90">
            <w:pPr>
              <w:rPr>
                <w:lang w:val="en-GB"/>
              </w:rPr>
            </w:pPr>
          </w:p>
        </w:tc>
      </w:tr>
      <w:tr w:rsidR="00841282" w:rsidRPr="002B65F7" w14:paraId="60B6BEC0" w14:textId="77777777" w:rsidTr="00CE7E90">
        <w:trPr>
          <w:cantSplit/>
          <w:trHeight w:val="57"/>
        </w:trPr>
        <w:tc>
          <w:tcPr>
            <w:tcW w:w="4680" w:type="dxa"/>
          </w:tcPr>
          <w:p w14:paraId="022EBBB5" w14:textId="77777777" w:rsidR="00841282" w:rsidRPr="002B65F7" w:rsidRDefault="00841282" w:rsidP="00CE7E90">
            <w:pPr>
              <w:rPr>
                <w:b/>
                <w:bCs/>
                <w:lang w:val="en-GB"/>
              </w:rPr>
            </w:pPr>
            <w:r w:rsidRPr="002B65F7">
              <w:rPr>
                <w:b/>
                <w:bCs/>
                <w:lang w:val="en-GB"/>
              </w:rPr>
              <w:t>Ísland</w:t>
            </w:r>
          </w:p>
          <w:p w14:paraId="55E3C108" w14:textId="1485C7D3" w:rsidR="00841282" w:rsidRPr="002B65F7" w:rsidRDefault="00841282" w:rsidP="00CE7E90">
            <w:pPr>
              <w:rPr>
                <w:lang w:val="en-GB"/>
              </w:rPr>
            </w:pPr>
            <w:r w:rsidRPr="002B65F7">
              <w:rPr>
                <w:lang w:val="en-GB"/>
              </w:rPr>
              <w:t>Vistor</w:t>
            </w:r>
          </w:p>
          <w:p w14:paraId="1D71252E" w14:textId="77777777" w:rsidR="00841282" w:rsidRPr="002B65F7" w:rsidRDefault="00841282" w:rsidP="00CE7E90">
            <w:pPr>
              <w:rPr>
                <w:lang w:val="en-GB"/>
              </w:rPr>
            </w:pPr>
            <w:r w:rsidRPr="002B65F7">
              <w:rPr>
                <w:lang w:val="en-GB"/>
              </w:rPr>
              <w:t>Sími: +354 535 7000</w:t>
            </w:r>
          </w:p>
          <w:p w14:paraId="18AC14F4" w14:textId="77777777" w:rsidR="00841282" w:rsidRPr="002B65F7" w:rsidRDefault="00841282" w:rsidP="00CE7E90">
            <w:pPr>
              <w:pStyle w:val="lbltxt"/>
              <w:ind w:left="0" w:firstLine="0"/>
              <w:rPr>
                <w:b/>
                <w:bCs/>
                <w:noProof w:val="0"/>
                <w:szCs w:val="22"/>
              </w:rPr>
            </w:pPr>
          </w:p>
        </w:tc>
        <w:tc>
          <w:tcPr>
            <w:tcW w:w="4680" w:type="dxa"/>
          </w:tcPr>
          <w:p w14:paraId="1CAC93CF" w14:textId="77777777" w:rsidR="00841282" w:rsidRPr="00CE7E90" w:rsidRDefault="00841282" w:rsidP="00CE7E90">
            <w:pPr>
              <w:rPr>
                <w:b/>
                <w:bCs/>
                <w:lang w:val="nb-NO"/>
              </w:rPr>
            </w:pPr>
            <w:r w:rsidRPr="00CE7E90">
              <w:rPr>
                <w:b/>
                <w:bCs/>
                <w:lang w:val="nb-NO"/>
              </w:rPr>
              <w:t>Slovenská republika</w:t>
            </w:r>
          </w:p>
          <w:p w14:paraId="23AF2466" w14:textId="77777777" w:rsidR="00841282" w:rsidRPr="00CE7E90" w:rsidRDefault="00841282" w:rsidP="00CE7E90">
            <w:pPr>
              <w:rPr>
                <w:lang w:val="nb-NO"/>
              </w:rPr>
            </w:pPr>
            <w:r w:rsidRPr="00CE7E90">
              <w:rPr>
                <w:lang w:val="nb-NO"/>
              </w:rPr>
              <w:t>Amgen Slovakia s.r.o.</w:t>
            </w:r>
          </w:p>
          <w:p w14:paraId="11141960" w14:textId="77777777" w:rsidR="00841282" w:rsidRPr="002B65F7" w:rsidRDefault="00841282" w:rsidP="00CE7E90">
            <w:pPr>
              <w:rPr>
                <w:lang w:val="en-GB"/>
              </w:rPr>
            </w:pPr>
            <w:r w:rsidRPr="002B65F7">
              <w:rPr>
                <w:lang w:val="en-GB"/>
              </w:rPr>
              <w:t>Tél: +421 2 321 114 49</w:t>
            </w:r>
          </w:p>
          <w:p w14:paraId="4B1E33D1" w14:textId="77777777" w:rsidR="00841282" w:rsidRPr="002B65F7" w:rsidRDefault="00841282" w:rsidP="00CE7E90">
            <w:pPr>
              <w:pStyle w:val="lbltxt"/>
              <w:ind w:left="0" w:firstLine="0"/>
              <w:rPr>
                <w:noProof w:val="0"/>
                <w:szCs w:val="22"/>
              </w:rPr>
            </w:pPr>
          </w:p>
        </w:tc>
      </w:tr>
      <w:tr w:rsidR="00841282" w:rsidRPr="002B65F7" w14:paraId="3043CA72" w14:textId="77777777" w:rsidTr="00CE7E90">
        <w:trPr>
          <w:cantSplit/>
          <w:trHeight w:val="57"/>
        </w:trPr>
        <w:tc>
          <w:tcPr>
            <w:tcW w:w="4680" w:type="dxa"/>
          </w:tcPr>
          <w:p w14:paraId="5DC0C62E" w14:textId="77777777" w:rsidR="00841282" w:rsidRPr="002B65F7" w:rsidRDefault="00841282" w:rsidP="00CE7E90">
            <w:pPr>
              <w:rPr>
                <w:b/>
                <w:bCs/>
                <w:lang w:val="es-ES"/>
              </w:rPr>
            </w:pPr>
            <w:r w:rsidRPr="002B65F7">
              <w:rPr>
                <w:b/>
                <w:bCs/>
                <w:lang w:val="es-ES"/>
              </w:rPr>
              <w:t>Italia</w:t>
            </w:r>
          </w:p>
          <w:p w14:paraId="477FCB45" w14:textId="77777777" w:rsidR="00841282" w:rsidRPr="002B65F7" w:rsidRDefault="00841282" w:rsidP="00CE7E90">
            <w:pPr>
              <w:rPr>
                <w:lang w:val="es-ES"/>
              </w:rPr>
            </w:pPr>
            <w:r w:rsidRPr="002B65F7">
              <w:rPr>
                <w:lang w:val="es-ES"/>
              </w:rPr>
              <w:t>Amgen S.r.l.</w:t>
            </w:r>
          </w:p>
          <w:p w14:paraId="0CA5F9E0" w14:textId="77777777" w:rsidR="00841282" w:rsidRPr="002B65F7" w:rsidRDefault="00841282" w:rsidP="00CE7E90">
            <w:r w:rsidRPr="002B65F7">
              <w:t>Tél: +39 02 6241121</w:t>
            </w:r>
          </w:p>
          <w:p w14:paraId="566FB7C0" w14:textId="77777777" w:rsidR="00841282" w:rsidRPr="002B65F7" w:rsidRDefault="00841282" w:rsidP="00CE7E90"/>
        </w:tc>
        <w:tc>
          <w:tcPr>
            <w:tcW w:w="4680" w:type="dxa"/>
          </w:tcPr>
          <w:p w14:paraId="16E9357E" w14:textId="77777777" w:rsidR="00841282" w:rsidRPr="00B50E78" w:rsidRDefault="00841282" w:rsidP="00CE7E90">
            <w:pPr>
              <w:rPr>
                <w:b/>
                <w:bCs/>
              </w:rPr>
            </w:pPr>
            <w:r w:rsidRPr="00B50E78">
              <w:rPr>
                <w:b/>
                <w:bCs/>
              </w:rPr>
              <w:t>Suomi/Finland</w:t>
            </w:r>
          </w:p>
          <w:p w14:paraId="0BB5D61A" w14:textId="77777777" w:rsidR="00841282" w:rsidRPr="00B50E78" w:rsidRDefault="00841282" w:rsidP="00CE7E90">
            <w:r w:rsidRPr="00B50E78">
              <w:t>Amgen AB, sivuliike Suomessa/Amgen AB, filial i Finland</w:t>
            </w:r>
          </w:p>
          <w:p w14:paraId="59E3672E" w14:textId="77777777" w:rsidR="00841282" w:rsidRPr="00CE7E90" w:rsidRDefault="00841282" w:rsidP="00CE7E90">
            <w:r w:rsidRPr="00CE7E90">
              <w:t>Puh/Tél.: +358 (0)9 54900500</w:t>
            </w:r>
          </w:p>
          <w:p w14:paraId="03FA3159" w14:textId="77777777" w:rsidR="00841282" w:rsidRPr="00CE7E90" w:rsidRDefault="00841282" w:rsidP="00CE7E90">
            <w:pPr>
              <w:pStyle w:val="lbltxt"/>
              <w:ind w:left="0" w:firstLine="0"/>
              <w:rPr>
                <w:b/>
                <w:noProof w:val="0"/>
                <w:szCs w:val="22"/>
                <w:lang w:val="fr-FR"/>
              </w:rPr>
            </w:pPr>
          </w:p>
        </w:tc>
      </w:tr>
      <w:tr w:rsidR="00841282" w:rsidRPr="002B65F7" w14:paraId="57435575" w14:textId="77777777" w:rsidTr="00CE7E90">
        <w:trPr>
          <w:cantSplit/>
          <w:trHeight w:val="57"/>
        </w:trPr>
        <w:tc>
          <w:tcPr>
            <w:tcW w:w="4680" w:type="dxa"/>
          </w:tcPr>
          <w:p w14:paraId="33BA4A36" w14:textId="77777777" w:rsidR="00841282" w:rsidRPr="002B65F7" w:rsidRDefault="00841282" w:rsidP="00CE7E90">
            <w:pPr>
              <w:rPr>
                <w:b/>
                <w:bCs/>
              </w:rPr>
            </w:pPr>
            <w:r w:rsidRPr="002B65F7">
              <w:rPr>
                <w:b/>
                <w:bCs/>
              </w:rPr>
              <w:t>K</w:t>
            </w:r>
            <w:r w:rsidRPr="002B65F7">
              <w:rPr>
                <w:b/>
                <w:bCs/>
                <w:lang w:val="en-GB"/>
              </w:rPr>
              <w:t>ύπρος</w:t>
            </w:r>
          </w:p>
          <w:p w14:paraId="0CBDC872" w14:textId="77777777" w:rsidR="00841282" w:rsidRPr="002B65F7" w:rsidRDefault="00841282" w:rsidP="00CE7E90">
            <w:r w:rsidRPr="002B65F7">
              <w:t>C.A. Papaellinas Ltd</w:t>
            </w:r>
          </w:p>
          <w:p w14:paraId="67BF742F" w14:textId="77777777" w:rsidR="00841282" w:rsidRPr="002B65F7" w:rsidRDefault="00841282" w:rsidP="00CE7E90">
            <w:r w:rsidRPr="002B65F7">
              <w:rPr>
                <w:lang w:val="en-GB"/>
              </w:rPr>
              <w:t>Τηλ</w:t>
            </w:r>
            <w:r w:rsidRPr="002B65F7">
              <w:t>: +357 22741 741</w:t>
            </w:r>
          </w:p>
          <w:p w14:paraId="36D926CF" w14:textId="77777777" w:rsidR="00841282" w:rsidRPr="002B65F7" w:rsidRDefault="00841282" w:rsidP="00CE7E90"/>
        </w:tc>
        <w:tc>
          <w:tcPr>
            <w:tcW w:w="4680" w:type="dxa"/>
          </w:tcPr>
          <w:p w14:paraId="43B2B714" w14:textId="77777777" w:rsidR="00841282" w:rsidRPr="002B65F7" w:rsidRDefault="00841282" w:rsidP="00CE7E90">
            <w:pPr>
              <w:rPr>
                <w:b/>
                <w:bCs/>
                <w:lang w:val="en-GB"/>
              </w:rPr>
            </w:pPr>
            <w:r w:rsidRPr="002B65F7">
              <w:rPr>
                <w:b/>
                <w:bCs/>
                <w:lang w:val="en-GB"/>
              </w:rPr>
              <w:t>Sverige</w:t>
            </w:r>
          </w:p>
          <w:p w14:paraId="3A2658FA" w14:textId="77777777" w:rsidR="00841282" w:rsidRPr="002B65F7" w:rsidRDefault="00841282" w:rsidP="00CE7E90">
            <w:pPr>
              <w:rPr>
                <w:lang w:val="en-GB"/>
              </w:rPr>
            </w:pPr>
            <w:r w:rsidRPr="002B65F7">
              <w:rPr>
                <w:lang w:val="en-GB"/>
              </w:rPr>
              <w:t>Amgen AB</w:t>
            </w:r>
          </w:p>
          <w:p w14:paraId="6C303912" w14:textId="77777777" w:rsidR="00841282" w:rsidRPr="002B65F7" w:rsidRDefault="00841282" w:rsidP="00CE7E90">
            <w:pPr>
              <w:rPr>
                <w:lang w:val="en-GB"/>
              </w:rPr>
            </w:pPr>
            <w:r w:rsidRPr="002B65F7">
              <w:rPr>
                <w:lang w:val="en-GB"/>
              </w:rPr>
              <w:t>Tél: +46 (0)8 6951100</w:t>
            </w:r>
          </w:p>
          <w:p w14:paraId="110A67F8" w14:textId="77777777" w:rsidR="00841282" w:rsidRPr="002B65F7" w:rsidRDefault="00841282" w:rsidP="00CE7E90">
            <w:pPr>
              <w:pStyle w:val="lbltxt"/>
              <w:ind w:left="0" w:firstLine="0"/>
              <w:rPr>
                <w:bCs/>
                <w:noProof w:val="0"/>
                <w:szCs w:val="22"/>
              </w:rPr>
            </w:pPr>
          </w:p>
        </w:tc>
      </w:tr>
      <w:tr w:rsidR="00841282" w:rsidRPr="002B65F7" w14:paraId="1A29B905" w14:textId="77777777" w:rsidTr="00CE7E90">
        <w:trPr>
          <w:cantSplit/>
          <w:trHeight w:val="57"/>
        </w:trPr>
        <w:tc>
          <w:tcPr>
            <w:tcW w:w="4680" w:type="dxa"/>
          </w:tcPr>
          <w:p w14:paraId="4D324477" w14:textId="77777777" w:rsidR="00841282" w:rsidRPr="0056554F" w:rsidRDefault="00841282" w:rsidP="00CE7E90">
            <w:pPr>
              <w:rPr>
                <w:b/>
                <w:bCs/>
              </w:rPr>
            </w:pPr>
            <w:r w:rsidRPr="0056554F">
              <w:rPr>
                <w:b/>
                <w:bCs/>
              </w:rPr>
              <w:t>Latvija</w:t>
            </w:r>
          </w:p>
          <w:p w14:paraId="1C7976B4" w14:textId="77777777" w:rsidR="00841282" w:rsidRPr="0056554F" w:rsidRDefault="00841282" w:rsidP="00CE7E90">
            <w:r w:rsidRPr="0056554F">
              <w:t>Amgen Switzerland AG Rīgas filiāle</w:t>
            </w:r>
          </w:p>
          <w:p w14:paraId="7ACB9953" w14:textId="77777777" w:rsidR="00841282" w:rsidRPr="002B65F7" w:rsidRDefault="00841282" w:rsidP="00CE7E90">
            <w:pPr>
              <w:rPr>
                <w:lang w:val="en-GB"/>
              </w:rPr>
            </w:pPr>
            <w:r w:rsidRPr="002B65F7">
              <w:rPr>
                <w:lang w:val="en-GB"/>
              </w:rPr>
              <w:t>Tel: +371 257 25888</w:t>
            </w:r>
          </w:p>
          <w:p w14:paraId="6FC5FF5C" w14:textId="77777777" w:rsidR="00841282" w:rsidRPr="002B65F7" w:rsidRDefault="00841282" w:rsidP="00CE7E90">
            <w:pPr>
              <w:rPr>
                <w:b/>
                <w:lang w:val="en-GB"/>
              </w:rPr>
            </w:pPr>
          </w:p>
        </w:tc>
        <w:tc>
          <w:tcPr>
            <w:tcW w:w="4680" w:type="dxa"/>
          </w:tcPr>
          <w:p w14:paraId="19E25027" w14:textId="77777777" w:rsidR="00841282" w:rsidRPr="002B65F7" w:rsidRDefault="00841282" w:rsidP="00CE7E90">
            <w:pPr>
              <w:rPr>
                <w:bCs/>
                <w:lang w:val="en-GB"/>
              </w:rPr>
            </w:pPr>
          </w:p>
        </w:tc>
      </w:tr>
    </w:tbl>
    <w:p w14:paraId="4DABA7EB" w14:textId="77777777" w:rsidR="00841282" w:rsidRPr="002B65F7" w:rsidRDefault="00841282" w:rsidP="00841282">
      <w:pPr>
        <w:widowControl/>
      </w:pPr>
    </w:p>
    <w:p w14:paraId="4D55B790" w14:textId="77777777" w:rsidR="00841282" w:rsidRPr="002B65F7" w:rsidRDefault="00841282" w:rsidP="00841282">
      <w:pPr>
        <w:keepNext/>
        <w:keepLines/>
        <w:widowControl/>
        <w:rPr>
          <w:b/>
          <w:bCs/>
        </w:rPr>
      </w:pPr>
      <w:r w:rsidRPr="002B65F7">
        <w:rPr>
          <w:b/>
          <w:bCs/>
        </w:rPr>
        <w:lastRenderedPageBreak/>
        <w:t>La dernière date à laquelle cette notice a été révisée est</w:t>
      </w:r>
    </w:p>
    <w:p w14:paraId="6C6FFD4E" w14:textId="77777777" w:rsidR="00841282" w:rsidRPr="002B65F7" w:rsidRDefault="00841282" w:rsidP="00841282">
      <w:pPr>
        <w:keepNext/>
        <w:keepLines/>
        <w:widowControl/>
      </w:pPr>
    </w:p>
    <w:p w14:paraId="1F558C0E" w14:textId="77777777" w:rsidR="00841282" w:rsidRPr="002B65F7" w:rsidRDefault="00841282" w:rsidP="00841282">
      <w:pPr>
        <w:keepNext/>
        <w:rPr>
          <w:b/>
          <w:bCs/>
          <w:position w:val="-1"/>
        </w:rPr>
      </w:pPr>
      <w:r w:rsidRPr="002B65F7">
        <w:rPr>
          <w:b/>
          <w:bCs/>
        </w:rPr>
        <w:t>Autres sources d’informations</w:t>
      </w:r>
    </w:p>
    <w:p w14:paraId="2FEAAC29" w14:textId="77777777" w:rsidR="00841282" w:rsidRPr="002B65F7" w:rsidRDefault="00841282" w:rsidP="00841282">
      <w:pPr>
        <w:keepNext/>
        <w:keepLines/>
        <w:widowControl/>
      </w:pPr>
    </w:p>
    <w:p w14:paraId="58DB67C7" w14:textId="30F700D9" w:rsidR="00841282" w:rsidRPr="002B65F7" w:rsidRDefault="00841282" w:rsidP="00841282">
      <w:pPr>
        <w:keepNext/>
        <w:keepLines/>
        <w:widowControl/>
      </w:pPr>
      <w:r w:rsidRPr="002B65F7">
        <w:t xml:space="preserve">Des informations détaillées sur ce médicament sont disponibles sur le site internet de l’Agence européenne des médicaments </w:t>
      </w:r>
      <w:hyperlink r:id="rId45" w:history="1">
        <w:r w:rsidR="00D06682">
          <w:rPr>
            <w:rStyle w:val="Hyperlink"/>
          </w:rPr>
          <w:t>https://www.ema.europa.eu</w:t>
        </w:r>
      </w:hyperlink>
      <w:r w:rsidRPr="002B65F7">
        <w:t>.</w:t>
      </w:r>
    </w:p>
    <w:p w14:paraId="742910AF" w14:textId="77777777" w:rsidR="00841282" w:rsidRPr="002B65F7" w:rsidRDefault="00841282" w:rsidP="008B77EB"/>
    <w:p w14:paraId="66721025" w14:textId="0AB288A8" w:rsidR="00841282" w:rsidRDefault="00435E7C" w:rsidP="00841282">
      <w:r>
        <w:t>------------------------------------------------------------------------------------------------------------------------</w:t>
      </w:r>
    </w:p>
    <w:p w14:paraId="43AB6984" w14:textId="77777777" w:rsidR="00435E7C" w:rsidRPr="002B65F7" w:rsidRDefault="00435E7C" w:rsidP="00841282"/>
    <w:p w14:paraId="40E23DF9" w14:textId="77777777" w:rsidR="00841282" w:rsidRPr="002B65F7" w:rsidRDefault="00841282" w:rsidP="00841282">
      <w:pPr>
        <w:pStyle w:val="BodyText"/>
        <w:widowControl/>
        <w:rPr>
          <w:sz w:val="20"/>
        </w:rPr>
      </w:pPr>
      <w:r w:rsidRPr="002B65F7">
        <w:rPr>
          <w:b/>
          <w:kern w:val="28"/>
          <w:lang w:eastAsia="x-none"/>
        </w:rPr>
        <w:br w:type="page"/>
      </w:r>
    </w:p>
    <w:tbl>
      <w:tblPr>
        <w:tblW w:w="5000" w:type="pct"/>
        <w:tblLook w:val="04A0" w:firstRow="1" w:lastRow="0" w:firstColumn="1" w:lastColumn="0" w:noHBand="0" w:noVBand="1"/>
      </w:tblPr>
      <w:tblGrid>
        <w:gridCol w:w="9071"/>
      </w:tblGrid>
      <w:tr w:rsidR="00841282" w:rsidRPr="002B65F7" w14:paraId="1D24DD88" w14:textId="77777777" w:rsidTr="00CE7E90">
        <w:trPr>
          <w:trHeight w:val="470"/>
        </w:trPr>
        <w:tc>
          <w:tcPr>
            <w:tcW w:w="5000" w:type="pct"/>
          </w:tcPr>
          <w:p w14:paraId="42704DD4" w14:textId="77777777" w:rsidR="00841282" w:rsidRPr="002B65F7" w:rsidRDefault="00841282" w:rsidP="00CE7E90">
            <w:pPr>
              <w:adjustRightInd w:val="0"/>
              <w:jc w:val="center"/>
              <w:rPr>
                <w:rFonts w:eastAsia="Malgun Gothic"/>
                <w:b/>
                <w:bCs/>
                <w:color w:val="000000"/>
                <w:lang w:val="en-IN" w:eastAsia="ko-KR" w:bidi="he-IL"/>
              </w:rPr>
            </w:pPr>
            <w:r w:rsidRPr="002B65F7">
              <w:rPr>
                <w:rFonts w:eastAsia="Malgun Gothic"/>
                <w:b/>
                <w:bCs/>
                <w:color w:val="000000"/>
                <w:lang w:val="en-IN" w:eastAsia="ko-KR" w:bidi="he-IL"/>
              </w:rPr>
              <w:lastRenderedPageBreak/>
              <w:t>INSTRUCTIONS D’UTILISATION</w:t>
            </w:r>
          </w:p>
          <w:p w14:paraId="696685B8" w14:textId="77777777" w:rsidR="00841282" w:rsidRPr="002B65F7" w:rsidRDefault="00841282" w:rsidP="00CE7E90">
            <w:pPr>
              <w:adjustRightInd w:val="0"/>
              <w:jc w:val="center"/>
              <w:rPr>
                <w:lang w:val="en-GB"/>
              </w:rPr>
            </w:pPr>
          </w:p>
        </w:tc>
      </w:tr>
      <w:tr w:rsidR="00841282" w:rsidRPr="002B65F7" w14:paraId="5B2E79CF" w14:textId="77777777" w:rsidTr="00CE7E90">
        <w:trPr>
          <w:trHeight w:val="375"/>
        </w:trPr>
        <w:tc>
          <w:tcPr>
            <w:tcW w:w="5000" w:type="pct"/>
          </w:tcPr>
          <w:p w14:paraId="2A535D49" w14:textId="68AAA864" w:rsidR="00841282" w:rsidRPr="00600870" w:rsidRDefault="00841282" w:rsidP="00CE7E90">
            <w:pPr>
              <w:adjustRightInd w:val="0"/>
              <w:rPr>
                <w:rFonts w:eastAsia="Malgun Gothic"/>
                <w:color w:val="000000"/>
                <w:lang w:eastAsia="ko-KR" w:bidi="he-IL"/>
              </w:rPr>
            </w:pPr>
            <w:r w:rsidRPr="002B65F7">
              <w:rPr>
                <w:color w:val="231F20"/>
                <w:lang w:eastAsia="ja-JP"/>
              </w:rPr>
              <w:t>Ces instructions d’utilisation contiennent des informations sur la manière d’injecter WEZENLA à l’aide d’un stylo prérempli (ConfiPen)</w:t>
            </w:r>
            <w:r w:rsidRPr="002B65F7">
              <w:rPr>
                <w:color w:val="231F20"/>
                <w:spacing w:val="-2"/>
                <w:w w:val="105"/>
                <w:lang w:eastAsia="ja-JP"/>
              </w:rPr>
              <w:t>.</w:t>
            </w:r>
          </w:p>
        </w:tc>
      </w:tr>
      <w:tr w:rsidR="00841282" w:rsidRPr="002B65F7" w14:paraId="2A0A1F65" w14:textId="77777777" w:rsidTr="00CE7E90">
        <w:trPr>
          <w:trHeight w:val="283"/>
        </w:trPr>
        <w:tc>
          <w:tcPr>
            <w:tcW w:w="5000" w:type="pct"/>
          </w:tcPr>
          <w:p w14:paraId="2103CE32" w14:textId="77777777" w:rsidR="00841282" w:rsidRPr="00600870" w:rsidRDefault="00841282" w:rsidP="00CE7E90">
            <w:pPr>
              <w:adjustRightInd w:val="0"/>
              <w:jc w:val="both"/>
              <w:rPr>
                <w:rFonts w:eastAsia="Malgun Gothic"/>
                <w:color w:val="000000"/>
                <w:lang w:eastAsia="ko-KR" w:bidi="he-IL"/>
              </w:rPr>
            </w:pPr>
            <w:r w:rsidRPr="002B65F7">
              <w:rPr>
                <w:color w:val="000000"/>
                <w:lang w:eastAsia="ja-JP"/>
              </w:rPr>
              <w:t>Ce stylo prérempli délivre WEZENLA par injection sous-cutanée (sous la peau). Voir la notice pour plus d’informations sur le médicament.</w:t>
            </w:r>
          </w:p>
        </w:tc>
      </w:tr>
    </w:tbl>
    <w:p w14:paraId="61632740" w14:textId="77777777" w:rsidR="00841282" w:rsidRPr="00600870" w:rsidRDefault="00841282" w:rsidP="00841282">
      <w:pPr>
        <w:tabs>
          <w:tab w:val="left" w:pos="567"/>
        </w:tabs>
        <w:jc w:val="both"/>
      </w:pPr>
    </w:p>
    <w:tbl>
      <w:tblPr>
        <w:tblW w:w="9322" w:type="dxa"/>
        <w:tblLook w:val="04A0" w:firstRow="1" w:lastRow="0" w:firstColumn="1" w:lastColumn="0" w:noHBand="0" w:noVBand="1"/>
      </w:tblPr>
      <w:tblGrid>
        <w:gridCol w:w="2934"/>
        <w:gridCol w:w="3067"/>
        <w:gridCol w:w="3321"/>
      </w:tblGrid>
      <w:tr w:rsidR="00841282" w:rsidRPr="002B65F7" w14:paraId="1002D215" w14:textId="77777777" w:rsidTr="00CE7E90">
        <w:tc>
          <w:tcPr>
            <w:tcW w:w="9322" w:type="dxa"/>
            <w:gridSpan w:val="3"/>
          </w:tcPr>
          <w:p w14:paraId="33E5BFFB" w14:textId="77777777" w:rsidR="00841282" w:rsidRPr="00600870" w:rsidRDefault="00841282" w:rsidP="00CE7E90">
            <w:pPr>
              <w:tabs>
                <w:tab w:val="left" w:pos="567"/>
              </w:tabs>
              <w:rPr>
                <w:b/>
                <w:bCs/>
              </w:rPr>
            </w:pPr>
            <w:r w:rsidRPr="00600870">
              <w:rPr>
                <w:b/>
                <w:bCs/>
                <w:color w:val="000000"/>
              </w:rPr>
              <w:t>Se familiariser avec le stylo prérempli</w:t>
            </w:r>
          </w:p>
        </w:tc>
      </w:tr>
      <w:tr w:rsidR="00841282" w:rsidRPr="002B65F7" w14:paraId="48FC85B9" w14:textId="77777777" w:rsidTr="00CE7E90">
        <w:trPr>
          <w:trHeight w:val="2069"/>
        </w:trPr>
        <w:tc>
          <w:tcPr>
            <w:tcW w:w="2934" w:type="dxa"/>
          </w:tcPr>
          <w:p w14:paraId="5742378F" w14:textId="77777777" w:rsidR="00841282" w:rsidRPr="00600870" w:rsidRDefault="00841282" w:rsidP="00CE7E90">
            <w:pPr>
              <w:adjustRightInd w:val="0"/>
              <w:jc w:val="right"/>
              <w:rPr>
                <w:rFonts w:eastAsia="Malgun Gothic"/>
                <w:color w:val="000000"/>
                <w:lang w:eastAsia="ko-KR" w:bidi="he-IL"/>
              </w:rPr>
            </w:pPr>
          </w:p>
          <w:p w14:paraId="225A512D" w14:textId="77777777" w:rsidR="00841282" w:rsidRPr="00600870" w:rsidRDefault="00841282" w:rsidP="00CE7E90">
            <w:pPr>
              <w:tabs>
                <w:tab w:val="left" w:pos="567"/>
              </w:tabs>
              <w:jc w:val="right"/>
            </w:pPr>
          </w:p>
        </w:tc>
        <w:tc>
          <w:tcPr>
            <w:tcW w:w="3067" w:type="dxa"/>
            <w:vMerge w:val="restart"/>
            <w:vAlign w:val="center"/>
          </w:tcPr>
          <w:p w14:paraId="7DE8F838" w14:textId="06988D52" w:rsidR="00841282" w:rsidRPr="002B65F7" w:rsidRDefault="00A2167E" w:rsidP="00CE7E90">
            <w:pPr>
              <w:tabs>
                <w:tab w:val="left" w:pos="567"/>
              </w:tabs>
              <w:jc w:val="center"/>
              <w:rPr>
                <w:lang w:val="en-GB"/>
              </w:rPr>
            </w:pPr>
            <w:r>
              <w:rPr>
                <w:noProof/>
                <w:lang w:val="en-US" w:eastAsia="zh-CN"/>
              </w:rPr>
              <w:drawing>
                <wp:inline distT="0" distB="0" distL="0" distR="0" wp14:anchorId="583ED668" wp14:editId="68D835F6">
                  <wp:extent cx="1453515" cy="3796665"/>
                  <wp:effectExtent l="0" t="0" r="0" b="0"/>
                  <wp:docPr id="28" name="Picture 14" descr="A diagram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diagram of a test tube&#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53515" cy="3796665"/>
                          </a:xfrm>
                          <a:prstGeom prst="rect">
                            <a:avLst/>
                          </a:prstGeom>
                          <a:noFill/>
                          <a:ln>
                            <a:noFill/>
                          </a:ln>
                        </pic:spPr>
                      </pic:pic>
                    </a:graphicData>
                  </a:graphic>
                </wp:inline>
              </w:drawing>
            </w:r>
          </w:p>
        </w:tc>
        <w:tc>
          <w:tcPr>
            <w:tcW w:w="3321" w:type="dxa"/>
          </w:tcPr>
          <w:p w14:paraId="6D878A7B" w14:textId="77777777" w:rsidR="00841282" w:rsidRPr="00600870" w:rsidRDefault="00841282" w:rsidP="00CE7E90">
            <w:pPr>
              <w:tabs>
                <w:tab w:val="left" w:pos="567"/>
              </w:tabs>
              <w:jc w:val="both"/>
            </w:pPr>
          </w:p>
          <w:p w14:paraId="03D8808E" w14:textId="77777777" w:rsidR="00841282" w:rsidRPr="00600870" w:rsidRDefault="00841282" w:rsidP="00CE7E90">
            <w:pPr>
              <w:tabs>
                <w:tab w:val="left" w:pos="567"/>
              </w:tabs>
              <w:jc w:val="both"/>
            </w:pPr>
          </w:p>
          <w:p w14:paraId="23C88268" w14:textId="77777777" w:rsidR="00841282" w:rsidRPr="00600870" w:rsidRDefault="00841282" w:rsidP="00CE7E90">
            <w:pPr>
              <w:tabs>
                <w:tab w:val="left" w:pos="567"/>
              </w:tabs>
              <w:jc w:val="both"/>
            </w:pPr>
          </w:p>
          <w:p w14:paraId="5E3F99CF" w14:textId="77777777" w:rsidR="00841282" w:rsidRPr="00600870" w:rsidRDefault="00841282" w:rsidP="00CE7E90">
            <w:pPr>
              <w:tabs>
                <w:tab w:val="left" w:pos="567"/>
              </w:tabs>
            </w:pPr>
            <w:r w:rsidRPr="00600870">
              <w:rPr>
                <w:color w:val="000000"/>
              </w:rPr>
              <w:t>Date de péremption</w:t>
            </w:r>
          </w:p>
        </w:tc>
      </w:tr>
      <w:tr w:rsidR="00841282" w:rsidRPr="002B65F7" w14:paraId="47259B3E" w14:textId="77777777" w:rsidTr="00CE7E90">
        <w:trPr>
          <w:trHeight w:val="2420"/>
        </w:trPr>
        <w:tc>
          <w:tcPr>
            <w:tcW w:w="2934" w:type="dxa"/>
          </w:tcPr>
          <w:p w14:paraId="1AA2D6C9" w14:textId="77777777" w:rsidR="00841282" w:rsidRPr="002B65F7" w:rsidRDefault="00841282" w:rsidP="00CE7E90">
            <w:pPr>
              <w:tabs>
                <w:tab w:val="left" w:pos="567"/>
              </w:tabs>
              <w:jc w:val="right"/>
              <w:rPr>
                <w:lang w:val="en-GB"/>
              </w:rPr>
            </w:pPr>
          </w:p>
          <w:p w14:paraId="7416A8EB" w14:textId="77777777" w:rsidR="00841282" w:rsidRPr="002B65F7" w:rsidRDefault="00841282" w:rsidP="00CE7E90">
            <w:pPr>
              <w:tabs>
                <w:tab w:val="left" w:pos="567"/>
              </w:tabs>
              <w:jc w:val="right"/>
              <w:rPr>
                <w:lang w:val="en-GB"/>
              </w:rPr>
            </w:pPr>
          </w:p>
          <w:p w14:paraId="245B3FA6" w14:textId="77777777" w:rsidR="00841282" w:rsidRPr="002B65F7" w:rsidRDefault="00841282" w:rsidP="00CE7E90">
            <w:pPr>
              <w:tabs>
                <w:tab w:val="left" w:pos="567"/>
              </w:tabs>
              <w:jc w:val="right"/>
              <w:rPr>
                <w:lang w:val="en-GB"/>
              </w:rPr>
            </w:pPr>
          </w:p>
          <w:p w14:paraId="5BA59BF2" w14:textId="77777777" w:rsidR="00841282" w:rsidRPr="002B65F7" w:rsidRDefault="00841282" w:rsidP="00CE7E90">
            <w:pPr>
              <w:tabs>
                <w:tab w:val="left" w:pos="567"/>
              </w:tabs>
              <w:jc w:val="right"/>
              <w:rPr>
                <w:lang w:val="en-GB"/>
              </w:rPr>
            </w:pPr>
          </w:p>
          <w:p w14:paraId="7B5C682E" w14:textId="77777777" w:rsidR="00841282" w:rsidRPr="002B65F7" w:rsidRDefault="00841282" w:rsidP="00CE7E90">
            <w:pPr>
              <w:tabs>
                <w:tab w:val="left" w:pos="567"/>
              </w:tabs>
              <w:jc w:val="right"/>
              <w:rPr>
                <w:lang w:val="en-GB"/>
              </w:rPr>
            </w:pPr>
          </w:p>
          <w:p w14:paraId="2315A1AD" w14:textId="77777777" w:rsidR="00841282" w:rsidRPr="002B65F7" w:rsidRDefault="00841282" w:rsidP="00CE7E90">
            <w:pPr>
              <w:tabs>
                <w:tab w:val="left" w:pos="567"/>
              </w:tabs>
              <w:jc w:val="right"/>
              <w:rPr>
                <w:lang w:val="en-GB"/>
              </w:rPr>
            </w:pPr>
          </w:p>
          <w:p w14:paraId="0FE83228" w14:textId="77777777" w:rsidR="00841282" w:rsidRPr="00600870" w:rsidRDefault="00841282" w:rsidP="00CE7E90">
            <w:pPr>
              <w:tabs>
                <w:tab w:val="left" w:pos="567"/>
              </w:tabs>
              <w:jc w:val="right"/>
            </w:pPr>
            <w:r w:rsidRPr="00600870">
              <w:t>Fenêtre</w:t>
            </w:r>
          </w:p>
        </w:tc>
        <w:tc>
          <w:tcPr>
            <w:tcW w:w="3067" w:type="dxa"/>
            <w:vMerge/>
          </w:tcPr>
          <w:p w14:paraId="59D8E6DF" w14:textId="77777777" w:rsidR="00841282" w:rsidRPr="002B65F7" w:rsidRDefault="00841282" w:rsidP="00CE7E90">
            <w:pPr>
              <w:tabs>
                <w:tab w:val="left" w:pos="567"/>
              </w:tabs>
              <w:rPr>
                <w:noProof/>
                <w:lang w:val="en-GB"/>
              </w:rPr>
            </w:pPr>
          </w:p>
        </w:tc>
        <w:tc>
          <w:tcPr>
            <w:tcW w:w="3321" w:type="dxa"/>
          </w:tcPr>
          <w:p w14:paraId="711DD7A5" w14:textId="77777777" w:rsidR="00841282" w:rsidRPr="00600870" w:rsidRDefault="00841282" w:rsidP="00CE7E90">
            <w:pPr>
              <w:tabs>
                <w:tab w:val="left" w:pos="567"/>
              </w:tabs>
              <w:rPr>
                <w:color w:val="000000"/>
              </w:rPr>
            </w:pPr>
            <w:r w:rsidRPr="002B65F7">
              <w:rPr>
                <w:rFonts w:eastAsia="PMingLiU"/>
                <w:szCs w:val="20"/>
              </w:rPr>
              <w:t>Piston (peut être visible dans la fenêtre ; l’emplacement peut varier)</w:t>
            </w:r>
          </w:p>
          <w:p w14:paraId="20E6BE98" w14:textId="77777777" w:rsidR="00841282" w:rsidRPr="00600870" w:rsidRDefault="00841282" w:rsidP="00CE7E90">
            <w:pPr>
              <w:tabs>
                <w:tab w:val="left" w:pos="567"/>
              </w:tabs>
              <w:jc w:val="both"/>
              <w:rPr>
                <w:color w:val="000000"/>
              </w:rPr>
            </w:pPr>
          </w:p>
          <w:p w14:paraId="4F2A8531" w14:textId="77777777" w:rsidR="00841282" w:rsidRPr="00600870" w:rsidRDefault="00841282" w:rsidP="00CE7E90">
            <w:pPr>
              <w:tabs>
                <w:tab w:val="left" w:pos="567"/>
              </w:tabs>
              <w:jc w:val="both"/>
              <w:rPr>
                <w:color w:val="000000"/>
              </w:rPr>
            </w:pPr>
          </w:p>
          <w:p w14:paraId="2D447694" w14:textId="77777777" w:rsidR="00841282" w:rsidRPr="0024506C" w:rsidRDefault="00841282" w:rsidP="00CE7E90">
            <w:pPr>
              <w:tabs>
                <w:tab w:val="left" w:pos="567"/>
              </w:tabs>
              <w:jc w:val="both"/>
              <w:rPr>
                <w:color w:val="000000"/>
                <w:sz w:val="28"/>
                <w:szCs w:val="28"/>
              </w:rPr>
            </w:pPr>
          </w:p>
          <w:p w14:paraId="3685D413" w14:textId="77777777" w:rsidR="00841282" w:rsidRPr="00600870" w:rsidRDefault="00841282" w:rsidP="00CE7E90">
            <w:pPr>
              <w:tabs>
                <w:tab w:val="left" w:pos="567"/>
              </w:tabs>
              <w:rPr>
                <w:color w:val="000000"/>
              </w:rPr>
            </w:pPr>
            <w:r w:rsidRPr="00600870">
              <w:rPr>
                <w:color w:val="000000"/>
              </w:rPr>
              <w:t>Médicament</w:t>
            </w:r>
          </w:p>
        </w:tc>
      </w:tr>
      <w:tr w:rsidR="00841282" w:rsidRPr="002B65F7" w14:paraId="1603CBC8" w14:textId="77777777" w:rsidTr="00CE7E90">
        <w:trPr>
          <w:trHeight w:val="756"/>
        </w:trPr>
        <w:tc>
          <w:tcPr>
            <w:tcW w:w="2934" w:type="dxa"/>
          </w:tcPr>
          <w:p w14:paraId="08C17829" w14:textId="77777777" w:rsidR="00841282" w:rsidRPr="002B65F7" w:rsidRDefault="00841282" w:rsidP="00CE7E90">
            <w:pPr>
              <w:tabs>
                <w:tab w:val="left" w:pos="567"/>
              </w:tabs>
              <w:jc w:val="right"/>
              <w:rPr>
                <w:lang w:val="en-GB"/>
              </w:rPr>
            </w:pPr>
          </w:p>
          <w:p w14:paraId="012B802F" w14:textId="77777777" w:rsidR="00841282" w:rsidRPr="002B65F7" w:rsidRDefault="00841282" w:rsidP="00CE7E90">
            <w:pPr>
              <w:tabs>
                <w:tab w:val="left" w:pos="567"/>
              </w:tabs>
              <w:jc w:val="right"/>
              <w:rPr>
                <w:lang w:val="en-GB"/>
              </w:rPr>
            </w:pPr>
          </w:p>
        </w:tc>
        <w:tc>
          <w:tcPr>
            <w:tcW w:w="3067" w:type="dxa"/>
            <w:vMerge/>
          </w:tcPr>
          <w:p w14:paraId="7CE142E4" w14:textId="77777777" w:rsidR="00841282" w:rsidRPr="002B65F7" w:rsidRDefault="00841282" w:rsidP="00CE7E90">
            <w:pPr>
              <w:tabs>
                <w:tab w:val="left" w:pos="567"/>
              </w:tabs>
              <w:rPr>
                <w:noProof/>
                <w:lang w:val="en-GB"/>
              </w:rPr>
            </w:pPr>
          </w:p>
        </w:tc>
        <w:tc>
          <w:tcPr>
            <w:tcW w:w="3321" w:type="dxa"/>
          </w:tcPr>
          <w:p w14:paraId="68D03165" w14:textId="77777777" w:rsidR="00841282" w:rsidRPr="00600870" w:rsidRDefault="00841282" w:rsidP="00CE7E90">
            <w:pPr>
              <w:tabs>
                <w:tab w:val="left" w:pos="567"/>
              </w:tabs>
              <w:jc w:val="both"/>
            </w:pPr>
          </w:p>
        </w:tc>
      </w:tr>
      <w:tr w:rsidR="00841282" w:rsidRPr="002B65F7" w14:paraId="6606BB29" w14:textId="77777777" w:rsidTr="00CE7E90">
        <w:trPr>
          <w:trHeight w:val="900"/>
        </w:trPr>
        <w:tc>
          <w:tcPr>
            <w:tcW w:w="2934" w:type="dxa"/>
          </w:tcPr>
          <w:p w14:paraId="2AAD7433" w14:textId="77777777" w:rsidR="00841282" w:rsidRPr="00600870" w:rsidRDefault="00841282" w:rsidP="00CE7E90">
            <w:pPr>
              <w:tabs>
                <w:tab w:val="left" w:pos="567"/>
              </w:tabs>
              <w:jc w:val="right"/>
            </w:pPr>
            <w:r w:rsidRPr="002B65F7">
              <w:rPr>
                <w:color w:val="000000"/>
              </w:rPr>
              <w:t>Protection</w:t>
            </w:r>
            <w:r w:rsidRPr="00600870">
              <w:rPr>
                <w:color w:val="000000"/>
              </w:rPr>
              <w:t xml:space="preserve"> jaune sous le capuchon (aiguille à l’intérieur)</w:t>
            </w:r>
          </w:p>
        </w:tc>
        <w:tc>
          <w:tcPr>
            <w:tcW w:w="3067" w:type="dxa"/>
            <w:vMerge/>
          </w:tcPr>
          <w:p w14:paraId="5B4F9960" w14:textId="77777777" w:rsidR="00841282" w:rsidRPr="00600870" w:rsidRDefault="00841282" w:rsidP="00CE7E90">
            <w:pPr>
              <w:tabs>
                <w:tab w:val="left" w:pos="567"/>
              </w:tabs>
              <w:rPr>
                <w:noProof/>
              </w:rPr>
            </w:pPr>
          </w:p>
        </w:tc>
        <w:tc>
          <w:tcPr>
            <w:tcW w:w="3321" w:type="dxa"/>
          </w:tcPr>
          <w:p w14:paraId="17BBD158" w14:textId="77777777" w:rsidR="00841282" w:rsidRPr="00600870" w:rsidRDefault="00841282" w:rsidP="00CE7E90">
            <w:pPr>
              <w:tabs>
                <w:tab w:val="left" w:pos="567"/>
              </w:tabs>
              <w:jc w:val="both"/>
              <w:rPr>
                <w:color w:val="000000"/>
              </w:rPr>
            </w:pPr>
          </w:p>
          <w:p w14:paraId="1B5ACBCD" w14:textId="77777777" w:rsidR="00841282" w:rsidRPr="00600870" w:rsidRDefault="00841282" w:rsidP="00CE7E90">
            <w:pPr>
              <w:tabs>
                <w:tab w:val="left" w:pos="567"/>
              </w:tabs>
              <w:jc w:val="both"/>
              <w:rPr>
                <w:color w:val="000000"/>
              </w:rPr>
            </w:pPr>
          </w:p>
          <w:p w14:paraId="05493F1C" w14:textId="77777777" w:rsidR="00841282" w:rsidRPr="00600870" w:rsidRDefault="00841282" w:rsidP="00CE7E90">
            <w:pPr>
              <w:tabs>
                <w:tab w:val="left" w:pos="567"/>
              </w:tabs>
            </w:pPr>
            <w:r w:rsidRPr="00600870">
              <w:rPr>
                <w:color w:val="000000"/>
              </w:rPr>
              <w:t>Capuchon</w:t>
            </w:r>
          </w:p>
        </w:tc>
      </w:tr>
    </w:tbl>
    <w:p w14:paraId="2B46F142" w14:textId="77777777" w:rsidR="00841282" w:rsidRPr="002B65F7" w:rsidRDefault="00841282" w:rsidP="00841282">
      <w:pPr>
        <w:tabs>
          <w:tab w:val="left" w:pos="567"/>
        </w:tabs>
        <w:jc w:val="both"/>
        <w:rPr>
          <w:lang w:val="en-GB"/>
        </w:rPr>
      </w:pPr>
    </w:p>
    <w:tbl>
      <w:tblPr>
        <w:tblW w:w="5018" w:type="pct"/>
        <w:tblInd w:w="1" w:type="dxa"/>
        <w:tblLayout w:type="fixed"/>
        <w:tblLook w:val="04A0" w:firstRow="1" w:lastRow="0" w:firstColumn="1" w:lastColumn="0" w:noHBand="0" w:noVBand="1"/>
      </w:tblPr>
      <w:tblGrid>
        <w:gridCol w:w="36"/>
        <w:gridCol w:w="13"/>
        <w:gridCol w:w="450"/>
        <w:gridCol w:w="31"/>
        <w:gridCol w:w="4075"/>
        <w:gridCol w:w="1018"/>
        <w:gridCol w:w="38"/>
        <w:gridCol w:w="3443"/>
      </w:tblGrid>
      <w:tr w:rsidR="00841282" w:rsidRPr="002B65F7" w14:paraId="783A7257" w14:textId="77777777" w:rsidTr="00BB6F00">
        <w:trPr>
          <w:gridBefore w:val="1"/>
          <w:wBefore w:w="20" w:type="pct"/>
          <w:cantSplit/>
          <w:trHeight w:val="360"/>
        </w:trPr>
        <w:tc>
          <w:tcPr>
            <w:tcW w:w="4980" w:type="pct"/>
            <w:gridSpan w:val="7"/>
            <w:shd w:val="clear" w:color="auto" w:fill="9CC2E5"/>
            <w:vAlign w:val="center"/>
          </w:tcPr>
          <w:p w14:paraId="5BA230E4" w14:textId="77777777" w:rsidR="00841282" w:rsidRPr="00600870" w:rsidRDefault="00841282" w:rsidP="00CE7E90">
            <w:pPr>
              <w:keepNext/>
              <w:tabs>
                <w:tab w:val="left" w:pos="567"/>
              </w:tabs>
              <w:rPr>
                <w:b/>
                <w:bCs/>
              </w:rPr>
            </w:pPr>
            <w:r w:rsidRPr="002B65F7">
              <w:rPr>
                <w:b/>
                <w:lang w:eastAsia="ja-JP"/>
              </w:rPr>
              <w:lastRenderedPageBreak/>
              <w:t>Informations importantes à connaître avant l’injection de WEZENLA</w:t>
            </w:r>
            <w:r w:rsidRPr="00600870" w:rsidDel="005C4D4F">
              <w:rPr>
                <w:b/>
                <w:bCs/>
                <w:color w:val="000000"/>
              </w:rPr>
              <w:t xml:space="preserve"> </w:t>
            </w:r>
          </w:p>
        </w:tc>
      </w:tr>
      <w:tr w:rsidR="00841282" w:rsidRPr="002B65F7" w14:paraId="6BEA9399" w14:textId="77777777" w:rsidTr="00BB6F00">
        <w:trPr>
          <w:gridBefore w:val="1"/>
          <w:wBefore w:w="20" w:type="pct"/>
          <w:cantSplit/>
          <w:trHeight w:val="238"/>
        </w:trPr>
        <w:tc>
          <w:tcPr>
            <w:tcW w:w="4980" w:type="pct"/>
            <w:gridSpan w:val="7"/>
          </w:tcPr>
          <w:p w14:paraId="754179CD" w14:textId="77777777" w:rsidR="00841282" w:rsidRPr="002B65F7" w:rsidRDefault="00841282" w:rsidP="00CE7E90">
            <w:pPr>
              <w:keepNext/>
              <w:tabs>
                <w:tab w:val="left" w:pos="567"/>
              </w:tabs>
              <w:jc w:val="both"/>
              <w:rPr>
                <w:b/>
                <w:bCs/>
                <w:lang w:val="en-GB"/>
              </w:rPr>
            </w:pPr>
            <w:r w:rsidRPr="002B65F7">
              <w:rPr>
                <w:b/>
                <w:bCs/>
                <w:color w:val="000000"/>
                <w:lang w:val="en-GB"/>
              </w:rPr>
              <w:t>Posologie :</w:t>
            </w:r>
          </w:p>
        </w:tc>
      </w:tr>
      <w:tr w:rsidR="00841282" w:rsidRPr="002B65F7" w14:paraId="7D950B2D" w14:textId="77777777" w:rsidTr="00BB6F00">
        <w:trPr>
          <w:gridBefore w:val="1"/>
          <w:wBefore w:w="20" w:type="pct"/>
          <w:cantSplit/>
          <w:trHeight w:val="550"/>
        </w:trPr>
        <w:tc>
          <w:tcPr>
            <w:tcW w:w="271" w:type="pct"/>
            <w:gridSpan w:val="3"/>
          </w:tcPr>
          <w:p w14:paraId="212D449A" w14:textId="77777777" w:rsidR="00841282" w:rsidRPr="002B65F7" w:rsidRDefault="00841282" w:rsidP="00CE7E90">
            <w:pPr>
              <w:keepNext/>
              <w:numPr>
                <w:ilvl w:val="0"/>
                <w:numId w:val="66"/>
              </w:numPr>
              <w:tabs>
                <w:tab w:val="left" w:pos="567"/>
              </w:tabs>
              <w:autoSpaceDE/>
              <w:autoSpaceDN/>
              <w:ind w:left="0" w:firstLine="0"/>
              <w:jc w:val="both"/>
              <w:rPr>
                <w:lang w:val="en-GB"/>
              </w:rPr>
            </w:pPr>
          </w:p>
        </w:tc>
        <w:tc>
          <w:tcPr>
            <w:tcW w:w="4709" w:type="pct"/>
            <w:gridSpan w:val="4"/>
          </w:tcPr>
          <w:p w14:paraId="60AD90B3" w14:textId="77777777" w:rsidR="00841282" w:rsidRPr="00600870" w:rsidRDefault="00841282" w:rsidP="00CE7E90">
            <w:pPr>
              <w:keepNext/>
              <w:adjustRightInd w:val="0"/>
              <w:rPr>
                <w:rFonts w:eastAsia="Malgun Gothic"/>
                <w:color w:val="000000"/>
                <w:lang w:eastAsia="ko-KR" w:bidi="he-IL"/>
              </w:rPr>
            </w:pPr>
            <w:r w:rsidRPr="002B65F7">
              <w:rPr>
                <w:color w:val="000000"/>
                <w:lang w:eastAsia="ja-JP"/>
              </w:rPr>
              <w:t>WEZENLA est disponible en deux doses différentes : 45 mg/0,5 mL et 90 mg/1,0 mL. Vérifiez l’ordonnance pour vous assurer que vous avez bien la bonne dose.</w:t>
            </w:r>
          </w:p>
        </w:tc>
      </w:tr>
      <w:tr w:rsidR="00841282" w:rsidRPr="002B65F7" w14:paraId="78905288" w14:textId="77777777" w:rsidTr="00BB6F00">
        <w:trPr>
          <w:gridBefore w:val="1"/>
          <w:wBefore w:w="20" w:type="pct"/>
          <w:cantSplit/>
          <w:trHeight w:val="624"/>
        </w:trPr>
        <w:tc>
          <w:tcPr>
            <w:tcW w:w="271" w:type="pct"/>
            <w:gridSpan w:val="3"/>
          </w:tcPr>
          <w:p w14:paraId="59DAA99E" w14:textId="77777777" w:rsidR="00841282" w:rsidRPr="00600870" w:rsidRDefault="00841282" w:rsidP="00CE7E90">
            <w:pPr>
              <w:keepNext/>
              <w:numPr>
                <w:ilvl w:val="0"/>
                <w:numId w:val="66"/>
              </w:numPr>
              <w:tabs>
                <w:tab w:val="left" w:pos="567"/>
              </w:tabs>
              <w:autoSpaceDE/>
              <w:autoSpaceDN/>
              <w:ind w:left="0" w:firstLine="0"/>
              <w:jc w:val="both"/>
              <w:rPr>
                <w:color w:val="000000"/>
              </w:rPr>
            </w:pPr>
          </w:p>
        </w:tc>
        <w:tc>
          <w:tcPr>
            <w:tcW w:w="4709" w:type="pct"/>
            <w:gridSpan w:val="4"/>
          </w:tcPr>
          <w:p w14:paraId="34A9FE5F" w14:textId="77777777" w:rsidR="00841282" w:rsidRPr="00600870" w:rsidRDefault="00841282" w:rsidP="00CE7E90">
            <w:pPr>
              <w:keepNext/>
              <w:adjustRightInd w:val="0"/>
              <w:rPr>
                <w:rFonts w:eastAsia="Malgun Gothic"/>
                <w:color w:val="000000"/>
                <w:lang w:eastAsia="ko-KR" w:bidi="he-IL"/>
              </w:rPr>
            </w:pPr>
            <w:r w:rsidRPr="00600870">
              <w:rPr>
                <w:rFonts w:eastAsia="Malgun Gothic"/>
                <w:color w:val="000000"/>
                <w:lang w:eastAsia="ko-KR" w:bidi="he-IL"/>
              </w:rPr>
              <w:t xml:space="preserve">La couleur de l’étiquette et la taille de la fenêtre du stylo prérempli seront </w:t>
            </w:r>
            <w:r w:rsidRPr="002B65F7">
              <w:rPr>
                <w:color w:val="000000"/>
                <w:lang w:eastAsia="ja-JP"/>
              </w:rPr>
              <w:t>différentes pour chaque dose. La quantité de médicament contenue dans le stylo prérempli sera également différente pour chaque dose.</w:t>
            </w:r>
            <w:r w:rsidRPr="00600870">
              <w:rPr>
                <w:rFonts w:eastAsia="Malgun Gothic"/>
                <w:color w:val="000000"/>
                <w:lang w:eastAsia="ko-KR" w:bidi="he-IL"/>
              </w:rPr>
              <w:t xml:space="preserve"> </w:t>
            </w:r>
          </w:p>
        </w:tc>
      </w:tr>
      <w:tr w:rsidR="00841282" w:rsidRPr="002B65F7" w14:paraId="14F79FC9" w14:textId="77777777" w:rsidTr="00BB6F00">
        <w:trPr>
          <w:gridBefore w:val="1"/>
          <w:wBefore w:w="20" w:type="pct"/>
          <w:cantSplit/>
          <w:trHeight w:val="624"/>
        </w:trPr>
        <w:tc>
          <w:tcPr>
            <w:tcW w:w="2509" w:type="pct"/>
            <w:gridSpan w:val="4"/>
          </w:tcPr>
          <w:p w14:paraId="53BB2B4F" w14:textId="02F3A0B6" w:rsidR="00841282" w:rsidRPr="002B65F7" w:rsidRDefault="00A2167E" w:rsidP="00CE7E90">
            <w:pPr>
              <w:keepNext/>
              <w:tabs>
                <w:tab w:val="left" w:pos="567"/>
              </w:tabs>
              <w:jc w:val="center"/>
              <w:rPr>
                <w:noProof/>
                <w:color w:val="000000"/>
                <w:lang w:val="en-GB"/>
              </w:rPr>
            </w:pPr>
            <w:r>
              <w:rPr>
                <w:noProof/>
                <w:color w:val="000000"/>
                <w:lang w:val="en-US" w:eastAsia="zh-CN"/>
              </w:rPr>
              <w:drawing>
                <wp:inline distT="0" distB="0" distL="0" distR="0" wp14:anchorId="7DB438B5" wp14:editId="4691F7B2">
                  <wp:extent cx="457200" cy="2220595"/>
                  <wp:effectExtent l="0" t="0" r="0" b="0"/>
                  <wp:docPr id="29" name="Picture 13" descr="A white rectangular object with a blac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white rectangular object with a black circle&#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7200" cy="2220595"/>
                          </a:xfrm>
                          <a:prstGeom prst="rect">
                            <a:avLst/>
                          </a:prstGeom>
                          <a:noFill/>
                          <a:ln>
                            <a:noFill/>
                          </a:ln>
                        </pic:spPr>
                      </pic:pic>
                    </a:graphicData>
                  </a:graphic>
                </wp:inline>
              </w:drawing>
            </w:r>
          </w:p>
          <w:p w14:paraId="4E7951EF" w14:textId="77777777" w:rsidR="00841282" w:rsidRPr="002B65F7" w:rsidRDefault="00841282" w:rsidP="00CE7E90">
            <w:pPr>
              <w:keepNext/>
              <w:tabs>
                <w:tab w:val="left" w:pos="567"/>
              </w:tabs>
              <w:jc w:val="center"/>
              <w:rPr>
                <w:color w:val="000000"/>
                <w:lang w:val="en-GB"/>
              </w:rPr>
            </w:pPr>
            <w:r w:rsidRPr="002B65F7">
              <w:rPr>
                <w:color w:val="000000"/>
                <w:lang w:val="en-GB"/>
              </w:rPr>
              <w:t>45 mg/0,5 mL</w:t>
            </w:r>
          </w:p>
        </w:tc>
        <w:tc>
          <w:tcPr>
            <w:tcW w:w="2471" w:type="pct"/>
            <w:gridSpan w:val="3"/>
          </w:tcPr>
          <w:p w14:paraId="1F492EAB" w14:textId="0665D116" w:rsidR="00841282" w:rsidRPr="002B65F7" w:rsidRDefault="00A2167E" w:rsidP="00CE7E90">
            <w:pPr>
              <w:keepNext/>
              <w:adjustRightInd w:val="0"/>
              <w:jc w:val="center"/>
              <w:rPr>
                <w:rFonts w:eastAsia="Malgun Gothic"/>
                <w:noProof/>
                <w:color w:val="000000"/>
                <w:lang w:val="en-IN" w:eastAsia="ko-KR" w:bidi="he-IL"/>
              </w:rPr>
            </w:pPr>
            <w:r>
              <w:rPr>
                <w:rFonts w:eastAsia="Malgun Gothic"/>
                <w:noProof/>
                <w:color w:val="000000"/>
                <w:sz w:val="24"/>
                <w:szCs w:val="24"/>
                <w:lang w:val="en-US" w:eastAsia="zh-CN"/>
              </w:rPr>
              <w:drawing>
                <wp:inline distT="0" distB="0" distL="0" distR="0" wp14:anchorId="05F06B4C" wp14:editId="21474796">
                  <wp:extent cx="514350" cy="2228850"/>
                  <wp:effectExtent l="0" t="0" r="0" b="0"/>
                  <wp:docPr id="30" name="Picture 12" descr="A black and white drawing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black and white drawing of a comput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4350" cy="2228850"/>
                          </a:xfrm>
                          <a:prstGeom prst="rect">
                            <a:avLst/>
                          </a:prstGeom>
                          <a:noFill/>
                          <a:ln>
                            <a:noFill/>
                          </a:ln>
                        </pic:spPr>
                      </pic:pic>
                    </a:graphicData>
                  </a:graphic>
                </wp:inline>
              </w:drawing>
            </w:r>
          </w:p>
          <w:p w14:paraId="55901EBA" w14:textId="77777777" w:rsidR="00841282" w:rsidRPr="002B65F7" w:rsidRDefault="00841282" w:rsidP="00CE7E90">
            <w:pPr>
              <w:keepNext/>
              <w:adjustRightInd w:val="0"/>
              <w:jc w:val="center"/>
              <w:rPr>
                <w:rFonts w:eastAsia="Malgun Gothic"/>
                <w:color w:val="000000"/>
                <w:lang w:val="en-IN" w:eastAsia="ko-KR" w:bidi="he-IL"/>
              </w:rPr>
            </w:pPr>
            <w:r w:rsidRPr="002B65F7">
              <w:rPr>
                <w:rFonts w:eastAsia="Malgun Gothic"/>
                <w:color w:val="000000"/>
                <w:lang w:val="en-IN" w:eastAsia="ko-KR" w:bidi="he-IL"/>
              </w:rPr>
              <w:t>90 mg/1,0 mL</w:t>
            </w:r>
          </w:p>
        </w:tc>
      </w:tr>
      <w:tr w:rsidR="00841282" w:rsidRPr="002B65F7" w14:paraId="40A84CC5" w14:textId="77777777" w:rsidTr="00BB6F00">
        <w:trPr>
          <w:gridBefore w:val="1"/>
          <w:wBefore w:w="20" w:type="pct"/>
          <w:cantSplit/>
          <w:trHeight w:val="2547"/>
        </w:trPr>
        <w:tc>
          <w:tcPr>
            <w:tcW w:w="4980" w:type="pct"/>
            <w:gridSpan w:val="7"/>
          </w:tcPr>
          <w:p w14:paraId="7AB9B02B" w14:textId="779A932C" w:rsidR="00841282" w:rsidRPr="00600870" w:rsidRDefault="00A2167E" w:rsidP="00CE7E90">
            <w:pPr>
              <w:tabs>
                <w:tab w:val="left" w:pos="567"/>
              </w:tabs>
              <w:jc w:val="both"/>
              <w:rPr>
                <w:b/>
                <w:bCs/>
                <w:shd w:val="clear" w:color="auto" w:fill="FFFFFF"/>
              </w:rPr>
            </w:pPr>
            <w:r>
              <w:rPr>
                <w:b/>
                <w:bCs/>
                <w:noProof/>
                <w:color w:val="000000"/>
                <w:spacing w:val="-4"/>
                <w:lang w:val="en-US" w:eastAsia="zh-CN"/>
              </w:rPr>
              <mc:AlternateContent>
                <mc:Choice Requires="wps">
                  <w:drawing>
                    <wp:anchor distT="45720" distB="45720" distL="114300" distR="114300" simplePos="0" relativeHeight="251662848" behindDoc="1" locked="0" layoutInCell="1" allowOverlap="1" wp14:anchorId="7D4B983A" wp14:editId="19E815D7">
                      <wp:simplePos x="0" y="0"/>
                      <wp:positionH relativeFrom="column">
                        <wp:posOffset>-52705</wp:posOffset>
                      </wp:positionH>
                      <wp:positionV relativeFrom="paragraph">
                        <wp:posOffset>183515</wp:posOffset>
                      </wp:positionV>
                      <wp:extent cx="5656580" cy="1477010"/>
                      <wp:effectExtent l="0" t="0" r="1270" b="8890"/>
                      <wp:wrapSquare wrapText="bothSides"/>
                      <wp:docPr id="158311266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6580" cy="1477010"/>
                              </a:xfrm>
                              <a:prstGeom prst="rect">
                                <a:avLst/>
                              </a:prstGeom>
                              <a:solidFill>
                                <a:srgbClr val="FFFFFF"/>
                              </a:solidFill>
                              <a:ln w="15875">
                                <a:solidFill>
                                  <a:srgbClr val="FF0000"/>
                                </a:solidFill>
                                <a:miter lim="800000"/>
                                <a:headEnd/>
                                <a:tailEnd/>
                              </a:ln>
                            </wps:spPr>
                            <wps:txbx>
                              <w:txbxContent>
                                <w:p w14:paraId="2FC6F2DE" w14:textId="77777777" w:rsidR="00841282" w:rsidRDefault="00841282" w:rsidP="00841282">
                                  <w:pPr>
                                    <w:spacing w:before="40"/>
                                    <w:rPr>
                                      <w:b/>
                                      <w:bCs/>
                                    </w:rPr>
                                  </w:pPr>
                                  <w:r>
                                    <w:rPr>
                                      <w:b/>
                                      <w:bCs/>
                                    </w:rPr>
                                    <w:t>Important :</w:t>
                                  </w:r>
                                </w:p>
                                <w:p w14:paraId="7E5FEEEF" w14:textId="77777777" w:rsidR="00841282" w:rsidRPr="00600870" w:rsidRDefault="00841282" w:rsidP="00841282">
                                  <w:pPr>
                                    <w:widowControl/>
                                    <w:numPr>
                                      <w:ilvl w:val="0"/>
                                      <w:numId w:val="64"/>
                                    </w:numPr>
                                    <w:tabs>
                                      <w:tab w:val="left" w:pos="567"/>
                                    </w:tabs>
                                    <w:autoSpaceDE/>
                                    <w:autoSpaceDN/>
                                    <w:ind w:left="567" w:hanging="567"/>
                                  </w:pPr>
                                  <w:r w:rsidRPr="00C27136">
                                    <w:rPr>
                                      <w:color w:val="221E1F"/>
                                      <w:lang w:eastAsia="ja-JP"/>
                                    </w:rPr>
                                    <w:t xml:space="preserve">Si </w:t>
                                  </w:r>
                                  <w:r>
                                    <w:rPr>
                                      <w:color w:val="221E1F"/>
                                      <w:lang w:eastAsia="ja-JP"/>
                                    </w:rPr>
                                    <w:t>votre</w:t>
                                  </w:r>
                                  <w:r w:rsidRPr="00C27136">
                                    <w:rPr>
                                      <w:color w:val="221E1F"/>
                                      <w:lang w:eastAsia="ja-JP"/>
                                    </w:rPr>
                                    <w:t xml:space="preserve"> dose est de 90 mg, vous recevrez soit un s</w:t>
                                  </w:r>
                                  <w:r>
                                    <w:rPr>
                                      <w:color w:val="221E1F"/>
                                      <w:lang w:eastAsia="ja-JP"/>
                                    </w:rPr>
                                    <w:t>tylo</w:t>
                                  </w:r>
                                  <w:r w:rsidRPr="00C27136">
                                    <w:rPr>
                                      <w:color w:val="221E1F"/>
                                      <w:lang w:eastAsia="ja-JP"/>
                                    </w:rPr>
                                    <w:t xml:space="preserve"> prérempli de 90 mg, soit deux </w:t>
                                  </w:r>
                                  <w:r>
                                    <w:rPr>
                                      <w:color w:val="221E1F"/>
                                      <w:lang w:eastAsia="ja-JP"/>
                                    </w:rPr>
                                    <w:t>stylos</w:t>
                                  </w:r>
                                  <w:r w:rsidRPr="00C27136">
                                    <w:rPr>
                                      <w:color w:val="221E1F"/>
                                      <w:lang w:eastAsia="ja-JP"/>
                                    </w:rPr>
                                    <w:t xml:space="preserve"> préremplis de 45 mg.</w:t>
                                  </w:r>
                                </w:p>
                                <w:p w14:paraId="415E412F" w14:textId="77777777" w:rsidR="00841282" w:rsidRPr="00CE7E90" w:rsidRDefault="00841282" w:rsidP="00841282">
                                  <w:pPr>
                                    <w:widowControl/>
                                    <w:numPr>
                                      <w:ilvl w:val="0"/>
                                      <w:numId w:val="67"/>
                                    </w:numPr>
                                    <w:autoSpaceDE/>
                                    <w:autoSpaceDN/>
                                    <w:ind w:left="1134" w:hanging="567"/>
                                  </w:pPr>
                                  <w:r w:rsidRPr="00C27136">
                                    <w:rPr>
                                      <w:color w:val="221E1F"/>
                                      <w:lang w:eastAsia="ja-JP"/>
                                    </w:rPr>
                                    <w:t xml:space="preserve">Si vous recevez deux </w:t>
                                  </w:r>
                                  <w:r>
                                    <w:rPr>
                                      <w:color w:val="221E1F"/>
                                      <w:lang w:eastAsia="ja-JP"/>
                                    </w:rPr>
                                    <w:t>stylos</w:t>
                                  </w:r>
                                  <w:r w:rsidRPr="00C27136">
                                    <w:rPr>
                                      <w:color w:val="221E1F"/>
                                      <w:lang w:eastAsia="ja-JP"/>
                                    </w:rPr>
                                    <w:t xml:space="preserve"> préremplis de 45 mg pour une dose de 90 mg, vous devrez vous faire une deuxième injection immédiatement après la première. </w:t>
                                  </w:r>
                                </w:p>
                                <w:p w14:paraId="57F77360" w14:textId="77777777" w:rsidR="00841282" w:rsidRPr="00600870" w:rsidRDefault="00841282" w:rsidP="00841282">
                                  <w:pPr>
                                    <w:widowControl/>
                                    <w:numPr>
                                      <w:ilvl w:val="0"/>
                                      <w:numId w:val="67"/>
                                    </w:numPr>
                                    <w:autoSpaceDE/>
                                    <w:autoSpaceDN/>
                                    <w:ind w:left="1134" w:hanging="567"/>
                                  </w:pPr>
                                  <w:r w:rsidRPr="00600870">
                                    <w:t xml:space="preserve">Répétez les étapes 1 à 14 </w:t>
                                  </w:r>
                                  <w:r w:rsidRPr="00C27136">
                                    <w:rPr>
                                      <w:color w:val="221E1F"/>
                                      <w:lang w:eastAsia="ja-JP"/>
                                    </w:rPr>
                                    <w:t>pour la deuxième injection en utilisant un nouve</w:t>
                                  </w:r>
                                  <w:r>
                                    <w:rPr>
                                      <w:color w:val="221E1F"/>
                                      <w:lang w:eastAsia="ja-JP"/>
                                    </w:rPr>
                                    <w:t>au stylo</w:t>
                                  </w:r>
                                  <w:r w:rsidRPr="00C27136">
                                    <w:rPr>
                                      <w:color w:val="221E1F"/>
                                      <w:lang w:eastAsia="ja-JP"/>
                                    </w:rPr>
                                    <w:t xml:space="preserve"> prérempli.</w:t>
                                  </w:r>
                                </w:p>
                                <w:p w14:paraId="4B1218C5" w14:textId="77777777" w:rsidR="00841282" w:rsidRPr="00600870" w:rsidRDefault="00841282" w:rsidP="00841282">
                                  <w:pPr>
                                    <w:widowControl/>
                                    <w:numPr>
                                      <w:ilvl w:val="0"/>
                                      <w:numId w:val="67"/>
                                    </w:numPr>
                                    <w:autoSpaceDE/>
                                    <w:autoSpaceDN/>
                                    <w:ind w:left="1134" w:hanging="567"/>
                                  </w:pPr>
                                  <w:r w:rsidRPr="00600870">
                                    <w:rPr>
                                      <w:color w:val="221E1F"/>
                                      <w:lang w:eastAsia="ja-JP"/>
                                    </w:rPr>
                                    <w:t>Choisissez un site différent pour la deuxième injection.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4B983A" id="Text Box 23" o:spid="_x0000_s1032" type="#_x0000_t202" style="position:absolute;left:0;text-align:left;margin-left:-4.15pt;margin-top:14.45pt;width:445.4pt;height:116.3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" strokecolor="red" strokeweight="1.25pt">
                      <v:textbox>
                        <w:txbxContent>
                          <w:p w14:paraId="2FC6F2DE" w14:textId="77777777" w:rsidR="00841282" w:rsidRDefault="00841282" w:rsidP="00841282">
                            <w:pPr>
                              <w:spacing w:before="40"/>
                              <w:rPr>
                                <w:b/>
                                <w:bCs/>
                              </w:rPr>
                            </w:pPr>
                            <w:r>
                              <w:rPr>
                                <w:b/>
                                <w:bCs/>
                              </w:rPr>
                              <w:t>Important :</w:t>
                            </w:r>
                          </w:p>
                          <w:p w14:paraId="7E5FEEEF" w14:textId="77777777" w:rsidR="00841282" w:rsidRPr="00600870" w:rsidRDefault="00841282" w:rsidP="00841282">
                            <w:pPr>
                              <w:widowControl/>
                              <w:numPr>
                                <w:ilvl w:val="0"/>
                                <w:numId w:val="64"/>
                              </w:numPr>
                              <w:tabs>
                                <w:tab w:val="left" w:pos="567"/>
                              </w:tabs>
                              <w:autoSpaceDE/>
                              <w:autoSpaceDN/>
                              <w:ind w:left="567" w:hanging="567"/>
                            </w:pPr>
                            <w:r w:rsidRPr="00C27136">
                              <w:rPr>
                                <w:color w:val="221E1F"/>
                                <w:lang w:eastAsia="ja-JP"/>
                              </w:rPr>
                              <w:t xml:space="preserve">Si </w:t>
                            </w:r>
                            <w:r>
                              <w:rPr>
                                <w:color w:val="221E1F"/>
                                <w:lang w:eastAsia="ja-JP"/>
                              </w:rPr>
                              <w:t>votre</w:t>
                            </w:r>
                            <w:r w:rsidRPr="00C27136">
                              <w:rPr>
                                <w:color w:val="221E1F"/>
                                <w:lang w:eastAsia="ja-JP"/>
                              </w:rPr>
                              <w:t xml:space="preserve"> dose est de 90 mg, vous recevrez soit un s</w:t>
                            </w:r>
                            <w:r>
                              <w:rPr>
                                <w:color w:val="221E1F"/>
                                <w:lang w:eastAsia="ja-JP"/>
                              </w:rPr>
                              <w:t>tylo</w:t>
                            </w:r>
                            <w:r w:rsidRPr="00C27136">
                              <w:rPr>
                                <w:color w:val="221E1F"/>
                                <w:lang w:eastAsia="ja-JP"/>
                              </w:rPr>
                              <w:t xml:space="preserve"> prérempli de 90 mg, soit deux </w:t>
                            </w:r>
                            <w:r>
                              <w:rPr>
                                <w:color w:val="221E1F"/>
                                <w:lang w:eastAsia="ja-JP"/>
                              </w:rPr>
                              <w:t>stylos</w:t>
                            </w:r>
                            <w:r w:rsidRPr="00C27136">
                              <w:rPr>
                                <w:color w:val="221E1F"/>
                                <w:lang w:eastAsia="ja-JP"/>
                              </w:rPr>
                              <w:t xml:space="preserve"> préremplis de 45 mg.</w:t>
                            </w:r>
                          </w:p>
                          <w:p w14:paraId="415E412F" w14:textId="77777777" w:rsidR="00841282" w:rsidRPr="00CE7E90" w:rsidRDefault="00841282" w:rsidP="00841282">
                            <w:pPr>
                              <w:widowControl/>
                              <w:numPr>
                                <w:ilvl w:val="0"/>
                                <w:numId w:val="67"/>
                              </w:numPr>
                              <w:autoSpaceDE/>
                              <w:autoSpaceDN/>
                              <w:ind w:left="1134" w:hanging="567"/>
                            </w:pPr>
                            <w:r w:rsidRPr="00C27136">
                              <w:rPr>
                                <w:color w:val="221E1F"/>
                                <w:lang w:eastAsia="ja-JP"/>
                              </w:rPr>
                              <w:t xml:space="preserve">Si vous recevez deux </w:t>
                            </w:r>
                            <w:r>
                              <w:rPr>
                                <w:color w:val="221E1F"/>
                                <w:lang w:eastAsia="ja-JP"/>
                              </w:rPr>
                              <w:t>stylos</w:t>
                            </w:r>
                            <w:r w:rsidRPr="00C27136">
                              <w:rPr>
                                <w:color w:val="221E1F"/>
                                <w:lang w:eastAsia="ja-JP"/>
                              </w:rPr>
                              <w:t xml:space="preserve"> préremplis de 45 mg pour une dose de 90 mg, vous devrez vous faire une deuxième injection immédiatement après la première. </w:t>
                            </w:r>
                          </w:p>
                          <w:p w14:paraId="57F77360" w14:textId="77777777" w:rsidR="00841282" w:rsidRPr="00600870" w:rsidRDefault="00841282" w:rsidP="00841282">
                            <w:pPr>
                              <w:widowControl/>
                              <w:numPr>
                                <w:ilvl w:val="0"/>
                                <w:numId w:val="67"/>
                              </w:numPr>
                              <w:autoSpaceDE/>
                              <w:autoSpaceDN/>
                              <w:ind w:left="1134" w:hanging="567"/>
                            </w:pPr>
                            <w:r w:rsidRPr="00600870">
                              <w:t xml:space="preserve">Répétez les étapes 1 à 14 </w:t>
                            </w:r>
                            <w:r w:rsidRPr="00C27136">
                              <w:rPr>
                                <w:color w:val="221E1F"/>
                                <w:lang w:eastAsia="ja-JP"/>
                              </w:rPr>
                              <w:t>pour la deuxième injection en utilisant un nouve</w:t>
                            </w:r>
                            <w:r>
                              <w:rPr>
                                <w:color w:val="221E1F"/>
                                <w:lang w:eastAsia="ja-JP"/>
                              </w:rPr>
                              <w:t>au stylo</w:t>
                            </w:r>
                            <w:r w:rsidRPr="00C27136">
                              <w:rPr>
                                <w:color w:val="221E1F"/>
                                <w:lang w:eastAsia="ja-JP"/>
                              </w:rPr>
                              <w:t xml:space="preserve"> prérempli.</w:t>
                            </w:r>
                          </w:p>
                          <w:p w14:paraId="4B1218C5" w14:textId="77777777" w:rsidR="00841282" w:rsidRPr="00600870" w:rsidRDefault="00841282" w:rsidP="00841282">
                            <w:pPr>
                              <w:widowControl/>
                              <w:numPr>
                                <w:ilvl w:val="0"/>
                                <w:numId w:val="67"/>
                              </w:numPr>
                              <w:autoSpaceDE/>
                              <w:autoSpaceDN/>
                              <w:ind w:left="1134" w:hanging="567"/>
                            </w:pPr>
                            <w:r w:rsidRPr="00600870">
                              <w:rPr>
                                <w:color w:val="221E1F"/>
                                <w:lang w:eastAsia="ja-JP"/>
                              </w:rPr>
                              <w:t>Choisissez un site différent pour la deuxième injection.</w:t>
                            </w:r>
                          </w:p>
                        </w:txbxContent>
                      </v:textbox>
                      <w10:wrap type="square"/>
                    </v:shape>
                  </w:pict>
                </mc:Fallback>
              </mc:AlternateContent>
            </w:r>
            <w:r w:rsidR="00841282" w:rsidRPr="002B65F7">
              <w:rPr>
                <w:b/>
                <w:bCs/>
                <w:color w:val="000000"/>
                <w:spacing w:val="-4"/>
                <w:lang w:eastAsia="ja-JP"/>
              </w:rPr>
              <w:t>Utilisation de votre stylo prérempli WEZENLA :</w:t>
            </w:r>
          </w:p>
        </w:tc>
      </w:tr>
      <w:tr w:rsidR="00841282" w:rsidRPr="002B65F7" w14:paraId="6895C786" w14:textId="77777777" w:rsidTr="00BB6F00">
        <w:trPr>
          <w:gridBefore w:val="1"/>
          <w:wBefore w:w="20" w:type="pct"/>
          <w:cantSplit/>
          <w:trHeight w:val="488"/>
        </w:trPr>
        <w:tc>
          <w:tcPr>
            <w:tcW w:w="271" w:type="pct"/>
            <w:gridSpan w:val="3"/>
          </w:tcPr>
          <w:p w14:paraId="1395F1D1" w14:textId="77777777" w:rsidR="00841282" w:rsidRPr="00600870" w:rsidRDefault="00841282" w:rsidP="00CE7E90">
            <w:pPr>
              <w:widowControl/>
              <w:numPr>
                <w:ilvl w:val="0"/>
                <w:numId w:val="65"/>
              </w:numPr>
              <w:tabs>
                <w:tab w:val="left" w:pos="567"/>
              </w:tabs>
              <w:adjustRightInd w:val="0"/>
              <w:ind w:left="0" w:right="-1" w:firstLine="0"/>
              <w:rPr>
                <w:rFonts w:eastAsia="Malgun Gothic"/>
                <w:color w:val="000000"/>
                <w:lang w:eastAsia="ko-KR" w:bidi="he-IL"/>
              </w:rPr>
            </w:pPr>
          </w:p>
        </w:tc>
        <w:tc>
          <w:tcPr>
            <w:tcW w:w="4709" w:type="pct"/>
            <w:gridSpan w:val="4"/>
          </w:tcPr>
          <w:p w14:paraId="7A6AA701" w14:textId="77777777" w:rsidR="00841282" w:rsidRPr="00600870" w:rsidRDefault="00841282" w:rsidP="00CE7E90">
            <w:pPr>
              <w:tabs>
                <w:tab w:val="left" w:pos="567"/>
              </w:tabs>
              <w:adjustRightInd w:val="0"/>
              <w:rPr>
                <w:rFonts w:eastAsia="Malgun Gothic"/>
                <w:color w:val="000000"/>
                <w:lang w:eastAsia="ko-KR" w:bidi="he-IL"/>
              </w:rPr>
            </w:pPr>
            <w:r w:rsidRPr="002B65F7">
              <w:rPr>
                <w:color w:val="000000"/>
                <w:lang w:eastAsia="ja-JP"/>
              </w:rPr>
              <w:t>Il est important que vous ou votre aidant n’essayiez pas d’effectuer l’injection à moins d’avoir été formé(e) par un médecin ou un professionnel de santé.</w:t>
            </w:r>
            <w:r w:rsidRPr="00600870">
              <w:rPr>
                <w:rFonts w:eastAsia="Malgun Gothic"/>
                <w:color w:val="000000"/>
                <w:lang w:eastAsia="ko-KR" w:bidi="he-IL"/>
              </w:rPr>
              <w:t xml:space="preserve"> </w:t>
            </w:r>
          </w:p>
        </w:tc>
      </w:tr>
      <w:tr w:rsidR="00841282" w:rsidRPr="002B65F7" w14:paraId="6498FD9D" w14:textId="77777777" w:rsidTr="00BB6F00">
        <w:trPr>
          <w:gridBefore w:val="1"/>
          <w:wBefore w:w="20" w:type="pct"/>
          <w:cantSplit/>
          <w:trHeight w:val="284"/>
        </w:trPr>
        <w:tc>
          <w:tcPr>
            <w:tcW w:w="271" w:type="pct"/>
            <w:gridSpan w:val="3"/>
          </w:tcPr>
          <w:p w14:paraId="67B151D5" w14:textId="77777777" w:rsidR="00841282" w:rsidRPr="00600870" w:rsidRDefault="00841282" w:rsidP="00CE7E90">
            <w:pPr>
              <w:widowControl/>
              <w:numPr>
                <w:ilvl w:val="0"/>
                <w:numId w:val="65"/>
              </w:numPr>
              <w:tabs>
                <w:tab w:val="left" w:pos="567"/>
              </w:tabs>
              <w:adjustRightInd w:val="0"/>
              <w:ind w:left="0" w:firstLine="0"/>
              <w:rPr>
                <w:rFonts w:eastAsia="Malgun Gothic"/>
                <w:color w:val="000000"/>
                <w:lang w:eastAsia="ko-KR" w:bidi="he-IL"/>
              </w:rPr>
            </w:pPr>
          </w:p>
        </w:tc>
        <w:tc>
          <w:tcPr>
            <w:tcW w:w="4709" w:type="pct"/>
            <w:gridSpan w:val="4"/>
          </w:tcPr>
          <w:p w14:paraId="189D4627" w14:textId="77777777" w:rsidR="00841282" w:rsidRPr="00600870" w:rsidRDefault="00841282" w:rsidP="00CE7E90">
            <w:pPr>
              <w:adjustRightInd w:val="0"/>
              <w:rPr>
                <w:rFonts w:eastAsia="Malgun Gothic"/>
                <w:color w:val="000000"/>
                <w:lang w:eastAsia="ko-KR" w:bidi="he-IL"/>
              </w:rPr>
            </w:pPr>
            <w:r w:rsidRPr="002B65F7">
              <w:rPr>
                <w:b/>
                <w:bCs/>
                <w:color w:val="000000"/>
                <w:lang w:eastAsia="ja-JP"/>
              </w:rPr>
              <w:t xml:space="preserve">N’utilisez pas </w:t>
            </w:r>
            <w:r w:rsidRPr="002B65F7">
              <w:rPr>
                <w:color w:val="000000"/>
                <w:lang w:eastAsia="ja-JP"/>
              </w:rPr>
              <w:t>le stylo prérempli si l’emballage extérieur est endommagé ou si le dispositif anti-effraction est rompu.</w:t>
            </w:r>
          </w:p>
        </w:tc>
      </w:tr>
      <w:tr w:rsidR="00841282" w:rsidRPr="002B65F7" w14:paraId="7DFE9E91" w14:textId="77777777" w:rsidTr="00BB6F00">
        <w:trPr>
          <w:gridBefore w:val="1"/>
          <w:wBefore w:w="20" w:type="pct"/>
          <w:cantSplit/>
          <w:trHeight w:val="244"/>
        </w:trPr>
        <w:tc>
          <w:tcPr>
            <w:tcW w:w="271" w:type="pct"/>
            <w:gridSpan w:val="3"/>
          </w:tcPr>
          <w:p w14:paraId="5C4659C2" w14:textId="77777777" w:rsidR="00841282" w:rsidRPr="00600870" w:rsidRDefault="00841282" w:rsidP="00CE7E90">
            <w:pPr>
              <w:widowControl/>
              <w:numPr>
                <w:ilvl w:val="0"/>
                <w:numId w:val="65"/>
              </w:numPr>
              <w:tabs>
                <w:tab w:val="left" w:pos="567"/>
              </w:tabs>
              <w:adjustRightInd w:val="0"/>
              <w:ind w:left="0" w:firstLine="0"/>
              <w:rPr>
                <w:rFonts w:eastAsia="Malgun Gothic"/>
                <w:color w:val="000000"/>
                <w:lang w:eastAsia="ko-KR" w:bidi="he-IL"/>
              </w:rPr>
            </w:pPr>
          </w:p>
        </w:tc>
        <w:tc>
          <w:tcPr>
            <w:tcW w:w="4709" w:type="pct"/>
            <w:gridSpan w:val="4"/>
          </w:tcPr>
          <w:p w14:paraId="11EE4CA2" w14:textId="77777777" w:rsidR="00841282" w:rsidRPr="00600870" w:rsidRDefault="00841282" w:rsidP="00CE7E90">
            <w:pPr>
              <w:widowControl/>
              <w:suppressAutoHyphens/>
              <w:adjustRightInd w:val="0"/>
              <w:contextualSpacing/>
              <w:textAlignment w:val="center"/>
              <w:rPr>
                <w:rFonts w:eastAsia="Malgun Gothic"/>
                <w:color w:val="000000"/>
                <w:lang w:eastAsia="ko-KR" w:bidi="he-IL"/>
              </w:rPr>
            </w:pPr>
            <w:r w:rsidRPr="002B65F7">
              <w:rPr>
                <w:b/>
                <w:bCs/>
                <w:color w:val="000000"/>
                <w:lang w:eastAsia="ja-JP"/>
              </w:rPr>
              <w:t xml:space="preserve">N’utilisez pas </w:t>
            </w:r>
            <w:r w:rsidRPr="002B65F7">
              <w:rPr>
                <w:color w:val="000000"/>
                <w:lang w:eastAsia="ja-JP"/>
              </w:rPr>
              <w:t>le stylo prérempli après la date de péremption figurant sur l’étiquette</w:t>
            </w:r>
            <w:r w:rsidRPr="002B65F7">
              <w:rPr>
                <w:color w:val="000000"/>
                <w:spacing w:val="-4"/>
                <w:lang w:eastAsia="ja-JP"/>
              </w:rPr>
              <w:t>.</w:t>
            </w:r>
          </w:p>
        </w:tc>
      </w:tr>
      <w:tr w:rsidR="00841282" w:rsidRPr="002B65F7" w14:paraId="739E418B" w14:textId="77777777" w:rsidTr="00BB6F00">
        <w:trPr>
          <w:gridBefore w:val="1"/>
          <w:wBefore w:w="20" w:type="pct"/>
          <w:cantSplit/>
          <w:trHeight w:val="284"/>
        </w:trPr>
        <w:tc>
          <w:tcPr>
            <w:tcW w:w="271" w:type="pct"/>
            <w:gridSpan w:val="3"/>
          </w:tcPr>
          <w:p w14:paraId="2C1617F7" w14:textId="77777777" w:rsidR="00841282" w:rsidRPr="00600870" w:rsidRDefault="00841282" w:rsidP="00CE7E90">
            <w:pPr>
              <w:widowControl/>
              <w:numPr>
                <w:ilvl w:val="0"/>
                <w:numId w:val="65"/>
              </w:numPr>
              <w:tabs>
                <w:tab w:val="left" w:pos="567"/>
              </w:tabs>
              <w:adjustRightInd w:val="0"/>
              <w:ind w:left="0" w:firstLine="0"/>
              <w:rPr>
                <w:rFonts w:eastAsia="Malgun Gothic"/>
                <w:b/>
                <w:bCs/>
                <w:color w:val="000000"/>
                <w:lang w:eastAsia="ko-KR" w:bidi="he-IL"/>
              </w:rPr>
            </w:pPr>
          </w:p>
        </w:tc>
        <w:tc>
          <w:tcPr>
            <w:tcW w:w="4709" w:type="pct"/>
            <w:gridSpan w:val="4"/>
          </w:tcPr>
          <w:p w14:paraId="66A218CC" w14:textId="77777777" w:rsidR="00841282" w:rsidRPr="00600870" w:rsidRDefault="00841282" w:rsidP="00CE7E90">
            <w:pPr>
              <w:tabs>
                <w:tab w:val="left" w:pos="567"/>
              </w:tabs>
              <w:adjustRightInd w:val="0"/>
              <w:rPr>
                <w:rFonts w:eastAsia="Malgun Gothic"/>
                <w:b/>
                <w:bCs/>
                <w:color w:val="000000"/>
                <w:lang w:eastAsia="ko-KR" w:bidi="he-IL"/>
              </w:rPr>
            </w:pPr>
            <w:r w:rsidRPr="002B65F7">
              <w:rPr>
                <w:b/>
                <w:color w:val="000000"/>
                <w:lang w:eastAsia="ja-JP"/>
              </w:rPr>
              <w:t xml:space="preserve">N’agitez pas </w:t>
            </w:r>
            <w:r w:rsidRPr="002B65F7">
              <w:rPr>
                <w:color w:val="000000"/>
                <w:lang w:eastAsia="ja-JP"/>
              </w:rPr>
              <w:t>le stylo prérempli.</w:t>
            </w:r>
          </w:p>
        </w:tc>
      </w:tr>
      <w:tr w:rsidR="00841282" w:rsidRPr="002B65F7" w14:paraId="4065674F" w14:textId="77777777" w:rsidTr="00BB6F00">
        <w:trPr>
          <w:gridBefore w:val="1"/>
          <w:wBefore w:w="20" w:type="pct"/>
          <w:cantSplit/>
          <w:trHeight w:val="233"/>
        </w:trPr>
        <w:tc>
          <w:tcPr>
            <w:tcW w:w="271" w:type="pct"/>
            <w:gridSpan w:val="3"/>
          </w:tcPr>
          <w:p w14:paraId="19455FDE" w14:textId="77777777" w:rsidR="00841282" w:rsidRPr="00600870" w:rsidRDefault="00841282" w:rsidP="00CE7E90">
            <w:pPr>
              <w:widowControl/>
              <w:numPr>
                <w:ilvl w:val="0"/>
                <w:numId w:val="65"/>
              </w:numPr>
              <w:tabs>
                <w:tab w:val="left" w:pos="567"/>
              </w:tabs>
              <w:adjustRightInd w:val="0"/>
              <w:ind w:left="0" w:firstLine="0"/>
              <w:rPr>
                <w:rFonts w:eastAsia="Malgun Gothic"/>
                <w:b/>
                <w:bCs/>
                <w:color w:val="000000"/>
                <w:lang w:eastAsia="ko-KR" w:bidi="he-IL"/>
              </w:rPr>
            </w:pPr>
          </w:p>
        </w:tc>
        <w:tc>
          <w:tcPr>
            <w:tcW w:w="4709" w:type="pct"/>
            <w:gridSpan w:val="4"/>
          </w:tcPr>
          <w:p w14:paraId="157B908E" w14:textId="77777777" w:rsidR="00841282" w:rsidRPr="00600870" w:rsidRDefault="00841282" w:rsidP="00CE7E90">
            <w:pPr>
              <w:tabs>
                <w:tab w:val="left" w:pos="567"/>
              </w:tabs>
              <w:adjustRightInd w:val="0"/>
              <w:rPr>
                <w:rFonts w:eastAsia="Malgun Gothic"/>
                <w:b/>
                <w:bCs/>
                <w:color w:val="000000"/>
                <w:lang w:eastAsia="ko-KR" w:bidi="he-IL"/>
              </w:rPr>
            </w:pPr>
            <w:r w:rsidRPr="002B65F7">
              <w:rPr>
                <w:b/>
                <w:bCs/>
              </w:rPr>
              <w:t>Ne retirez pas</w:t>
            </w:r>
            <w:r w:rsidRPr="002B65F7">
              <w:t xml:space="preserve"> le capuchon de l’aiguille du stylo prérempli avant d’être prêt(e) à effectuer l’injection</w:t>
            </w:r>
            <w:r w:rsidRPr="002B65F7">
              <w:rPr>
                <w:color w:val="000000"/>
                <w:lang w:eastAsia="ja-JP"/>
              </w:rPr>
              <w:t>.</w:t>
            </w:r>
            <w:r w:rsidRPr="00600870">
              <w:rPr>
                <w:rFonts w:eastAsia="Malgun Gothic"/>
                <w:color w:val="000000"/>
                <w:lang w:eastAsia="ko-KR" w:bidi="he-IL"/>
              </w:rPr>
              <w:t xml:space="preserve"> </w:t>
            </w:r>
          </w:p>
        </w:tc>
      </w:tr>
      <w:tr w:rsidR="00841282" w:rsidRPr="002B65F7" w14:paraId="345E4F5B" w14:textId="77777777" w:rsidTr="00BB6F00">
        <w:trPr>
          <w:gridBefore w:val="1"/>
          <w:wBefore w:w="20" w:type="pct"/>
          <w:cantSplit/>
          <w:trHeight w:val="213"/>
        </w:trPr>
        <w:tc>
          <w:tcPr>
            <w:tcW w:w="271" w:type="pct"/>
            <w:gridSpan w:val="3"/>
          </w:tcPr>
          <w:p w14:paraId="0D3925BB" w14:textId="77777777" w:rsidR="00841282" w:rsidRPr="00600870" w:rsidRDefault="00841282" w:rsidP="00CE7E90">
            <w:pPr>
              <w:widowControl/>
              <w:numPr>
                <w:ilvl w:val="0"/>
                <w:numId w:val="65"/>
              </w:numPr>
              <w:tabs>
                <w:tab w:val="left" w:pos="567"/>
              </w:tabs>
              <w:adjustRightInd w:val="0"/>
              <w:ind w:left="0" w:firstLine="0"/>
              <w:rPr>
                <w:rFonts w:eastAsia="Malgun Gothic"/>
                <w:b/>
                <w:bCs/>
                <w:color w:val="000000"/>
                <w:lang w:eastAsia="ko-KR" w:bidi="he-IL"/>
              </w:rPr>
            </w:pPr>
          </w:p>
        </w:tc>
        <w:tc>
          <w:tcPr>
            <w:tcW w:w="4709" w:type="pct"/>
            <w:gridSpan w:val="4"/>
          </w:tcPr>
          <w:p w14:paraId="64693D37" w14:textId="77777777" w:rsidR="00841282" w:rsidRPr="00600870" w:rsidRDefault="00841282" w:rsidP="00CE7E90">
            <w:pPr>
              <w:tabs>
                <w:tab w:val="left" w:pos="567"/>
              </w:tabs>
              <w:adjustRightInd w:val="0"/>
              <w:rPr>
                <w:rFonts w:eastAsia="Malgun Gothic"/>
                <w:b/>
                <w:bCs/>
                <w:color w:val="000000"/>
                <w:lang w:eastAsia="ko-KR" w:bidi="he-IL"/>
              </w:rPr>
            </w:pPr>
            <w:r w:rsidRPr="002B65F7">
              <w:rPr>
                <w:b/>
                <w:bCs/>
                <w:color w:val="000000"/>
                <w:lang w:eastAsia="ja-JP"/>
              </w:rPr>
              <w:t xml:space="preserve">N’utilisez pas </w:t>
            </w:r>
            <w:r w:rsidRPr="002B65F7">
              <w:rPr>
                <w:color w:val="000000"/>
                <w:lang w:eastAsia="ja-JP"/>
              </w:rPr>
              <w:t>le stylo prérempli s’il a été congelé</w:t>
            </w:r>
            <w:r w:rsidRPr="00600870">
              <w:rPr>
                <w:rFonts w:eastAsia="Malgun Gothic"/>
                <w:color w:val="000000"/>
                <w:lang w:eastAsia="ko-KR" w:bidi="he-IL"/>
              </w:rPr>
              <w:t xml:space="preserve">. </w:t>
            </w:r>
          </w:p>
        </w:tc>
      </w:tr>
      <w:tr w:rsidR="00841282" w:rsidRPr="002B65F7" w14:paraId="4393570A" w14:textId="77777777" w:rsidTr="00BB6F00">
        <w:trPr>
          <w:gridBefore w:val="1"/>
          <w:wBefore w:w="20" w:type="pct"/>
          <w:cantSplit/>
          <w:trHeight w:val="964"/>
        </w:trPr>
        <w:tc>
          <w:tcPr>
            <w:tcW w:w="271" w:type="pct"/>
            <w:gridSpan w:val="3"/>
          </w:tcPr>
          <w:p w14:paraId="211730E0" w14:textId="77777777" w:rsidR="00841282" w:rsidRPr="00600870" w:rsidRDefault="00841282" w:rsidP="00CE7E90">
            <w:pPr>
              <w:widowControl/>
              <w:numPr>
                <w:ilvl w:val="0"/>
                <w:numId w:val="65"/>
              </w:numPr>
              <w:tabs>
                <w:tab w:val="left" w:pos="567"/>
              </w:tabs>
              <w:adjustRightInd w:val="0"/>
              <w:ind w:left="0" w:firstLine="0"/>
              <w:rPr>
                <w:rFonts w:eastAsia="Malgun Gothic"/>
                <w:b/>
                <w:bCs/>
                <w:color w:val="000000"/>
                <w:lang w:eastAsia="ko-KR" w:bidi="he-IL"/>
              </w:rPr>
            </w:pPr>
          </w:p>
        </w:tc>
        <w:tc>
          <w:tcPr>
            <w:tcW w:w="4709" w:type="pct"/>
            <w:gridSpan w:val="4"/>
          </w:tcPr>
          <w:p w14:paraId="11BABA8C" w14:textId="77777777" w:rsidR="00841282" w:rsidRPr="00600870" w:rsidRDefault="00841282" w:rsidP="00CE7E90">
            <w:pPr>
              <w:tabs>
                <w:tab w:val="left" w:pos="567"/>
              </w:tabs>
              <w:adjustRightInd w:val="0"/>
              <w:rPr>
                <w:rFonts w:eastAsia="Malgun Gothic"/>
                <w:b/>
                <w:bCs/>
                <w:color w:val="000000"/>
                <w:lang w:eastAsia="ko-KR" w:bidi="he-IL"/>
              </w:rPr>
            </w:pPr>
            <w:r w:rsidRPr="002B65F7">
              <w:rPr>
                <w:b/>
                <w:bCs/>
                <w:color w:val="000000"/>
                <w:lang w:eastAsia="ja-JP"/>
              </w:rPr>
              <w:t xml:space="preserve">N’utilisez pas </w:t>
            </w:r>
            <w:r w:rsidRPr="002B65F7">
              <w:rPr>
                <w:color w:val="000000"/>
                <w:lang w:eastAsia="ja-JP"/>
              </w:rPr>
              <w:t xml:space="preserve">le stylo prérempli s’il est tombé sur une surface dure. Une partie du stylo prérempli peut être cassée même </w:t>
            </w:r>
            <w:r w:rsidRPr="002B65F7">
              <w:t>si cela n’est pas visible. Si un nouveau stylo prérempli est disponible, utilisez</w:t>
            </w:r>
            <w:r w:rsidRPr="002B65F7">
              <w:noBreakHyphen/>
              <w:t>le et contactez votre médecin ou votre professionnel de santé</w:t>
            </w:r>
            <w:r w:rsidRPr="002B65F7">
              <w:rPr>
                <w:color w:val="000000"/>
                <w:lang w:eastAsia="ja-JP"/>
              </w:rPr>
              <w:t>.</w:t>
            </w:r>
          </w:p>
        </w:tc>
      </w:tr>
      <w:tr w:rsidR="00841282" w:rsidRPr="002B65F7" w14:paraId="4E72E345" w14:textId="77777777" w:rsidTr="00BB6F00">
        <w:trPr>
          <w:gridBefore w:val="1"/>
          <w:wBefore w:w="20" w:type="pct"/>
          <w:cantSplit/>
          <w:trHeight w:val="805"/>
        </w:trPr>
        <w:tc>
          <w:tcPr>
            <w:tcW w:w="4980" w:type="pct"/>
            <w:gridSpan w:val="7"/>
          </w:tcPr>
          <w:p w14:paraId="067EEDBB" w14:textId="483DF3D5" w:rsidR="00841282" w:rsidRPr="00600870" w:rsidRDefault="00A2167E" w:rsidP="00CE7E90">
            <w:pPr>
              <w:tabs>
                <w:tab w:val="left" w:pos="567"/>
              </w:tabs>
              <w:jc w:val="both"/>
              <w:rPr>
                <w:b/>
                <w:bCs/>
                <w:shd w:val="clear" w:color="auto" w:fill="FFFFFF"/>
              </w:rPr>
            </w:pPr>
            <w:r>
              <w:rPr>
                <w:noProof/>
              </w:rPr>
              <mc:AlternateContent>
                <mc:Choice Requires="wps">
                  <w:drawing>
                    <wp:anchor distT="45720" distB="45720" distL="114300" distR="114300" simplePos="0" relativeHeight="251659776" behindDoc="0" locked="0" layoutInCell="1" allowOverlap="1" wp14:anchorId="581BE6F3" wp14:editId="084B3507">
                      <wp:simplePos x="0" y="0"/>
                      <wp:positionH relativeFrom="column">
                        <wp:posOffset>-66040</wp:posOffset>
                      </wp:positionH>
                      <wp:positionV relativeFrom="paragraph">
                        <wp:posOffset>11430</wp:posOffset>
                      </wp:positionV>
                      <wp:extent cx="5655945" cy="478155"/>
                      <wp:effectExtent l="0" t="0" r="1905" b="0"/>
                      <wp:wrapSquare wrapText="bothSides"/>
                      <wp:docPr id="540302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478155"/>
                              </a:xfrm>
                              <a:prstGeom prst="rect">
                                <a:avLst/>
                              </a:prstGeom>
                              <a:solidFill>
                                <a:srgbClr val="FFFFFF"/>
                              </a:solidFill>
                              <a:ln w="15875">
                                <a:solidFill>
                                  <a:srgbClr val="FF0000"/>
                                </a:solidFill>
                                <a:miter lim="800000"/>
                                <a:headEnd/>
                                <a:tailEnd/>
                              </a:ln>
                            </wps:spPr>
                            <wps:txbx>
                              <w:txbxContent>
                                <w:p w14:paraId="778ACDD5" w14:textId="77777777" w:rsidR="00841282" w:rsidRPr="00600870" w:rsidRDefault="00841282" w:rsidP="00841282">
                                  <w:r>
                                    <w:rPr>
                                      <w:b/>
                                      <w:bCs/>
                                    </w:rPr>
                                    <w:t>Important :</w:t>
                                  </w:r>
                                  <w:r w:rsidRPr="00600870">
                                    <w:t xml:space="preserve"> </w:t>
                                  </w:r>
                                  <w:r>
                                    <w:t>tenez le stylo prérempli et le conteneur à déchets tranchants hors de la vue et de la portée des enfants</w:t>
                                  </w:r>
                                  <w:r w:rsidRPr="00C27136">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BE6F3" id="Text Box 3" o:spid="_x0000_s1033" type="#_x0000_t202" style="position:absolute;left:0;text-align:left;margin-left:-5.2pt;margin-top:.9pt;width:445.35pt;height:37.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" strokecolor="red" strokeweight="1.25pt">
                      <v:textbox>
                        <w:txbxContent>
                          <w:p w14:paraId="778ACDD5" w14:textId="77777777" w:rsidR="00841282" w:rsidRPr="00600870" w:rsidRDefault="00841282" w:rsidP="00841282">
                            <w:r>
                              <w:rPr>
                                <w:b/>
                                <w:bCs/>
                              </w:rPr>
                              <w:t>Important :</w:t>
                            </w:r>
                            <w:r w:rsidRPr="00600870">
                              <w:t xml:space="preserve"> </w:t>
                            </w:r>
                            <w:r>
                              <w:t>tenez le stylo prérempli et le conteneur à déchets tranchants hors de la vue et de la portée des enfants</w:t>
                            </w:r>
                            <w:r w:rsidRPr="00C27136">
                              <w:t>.</w:t>
                            </w:r>
                          </w:p>
                        </w:txbxContent>
                      </v:textbox>
                      <w10:wrap type="square"/>
                    </v:shape>
                  </w:pict>
                </mc:Fallback>
              </mc:AlternateContent>
            </w:r>
          </w:p>
        </w:tc>
      </w:tr>
      <w:tr w:rsidR="00841282" w:rsidRPr="002B65F7" w14:paraId="288D57B7" w14:textId="77777777" w:rsidTr="00BB6F00">
        <w:tblPrEx>
          <w:tblCellMar>
            <w:left w:w="28" w:type="dxa"/>
          </w:tblCellMar>
        </w:tblPrEx>
        <w:trPr>
          <w:cantSplit/>
          <w:trHeight w:val="360"/>
        </w:trPr>
        <w:tc>
          <w:tcPr>
            <w:tcW w:w="5000" w:type="pct"/>
            <w:gridSpan w:val="8"/>
            <w:shd w:val="clear" w:color="auto" w:fill="9CC2E5"/>
            <w:tcMar>
              <w:top w:w="28" w:type="dxa"/>
              <w:left w:w="57" w:type="dxa"/>
              <w:bottom w:w="28" w:type="dxa"/>
              <w:right w:w="57" w:type="dxa"/>
            </w:tcMar>
            <w:vAlign w:val="center"/>
          </w:tcPr>
          <w:p w14:paraId="28859AB8" w14:textId="77777777" w:rsidR="00841282" w:rsidRPr="00600870" w:rsidRDefault="00841282" w:rsidP="00CE7E90">
            <w:pPr>
              <w:keepNext/>
              <w:keepLines/>
              <w:tabs>
                <w:tab w:val="left" w:pos="375"/>
              </w:tabs>
              <w:adjustRightInd w:val="0"/>
              <w:textAlignment w:val="center"/>
              <w:rPr>
                <w:b/>
                <w:bCs/>
                <w:color w:val="000000"/>
              </w:rPr>
            </w:pPr>
            <w:r w:rsidRPr="002B65F7">
              <w:rPr>
                <w:b/>
                <w:lang w:eastAsia="ja-JP"/>
              </w:rPr>
              <w:lastRenderedPageBreak/>
              <w:t>Préparation de l’injection de WEZENLA</w:t>
            </w:r>
          </w:p>
        </w:tc>
      </w:tr>
      <w:tr w:rsidR="00841282" w:rsidRPr="002B65F7" w14:paraId="1E6CAA2A" w14:textId="77777777" w:rsidTr="00BB6F00">
        <w:tblPrEx>
          <w:tblCellMar>
            <w:left w:w="28" w:type="dxa"/>
          </w:tblCellMar>
        </w:tblPrEx>
        <w:trPr>
          <w:cantSplit/>
        </w:trPr>
        <w:tc>
          <w:tcPr>
            <w:tcW w:w="291" w:type="pct"/>
            <w:gridSpan w:val="4"/>
            <w:tcMar>
              <w:top w:w="28" w:type="dxa"/>
              <w:left w:w="57" w:type="dxa"/>
              <w:bottom w:w="28" w:type="dxa"/>
              <w:right w:w="57" w:type="dxa"/>
            </w:tcMar>
          </w:tcPr>
          <w:p w14:paraId="516ADD46" w14:textId="77777777" w:rsidR="00841282" w:rsidRPr="002B65F7" w:rsidRDefault="00841282" w:rsidP="00CE7E90">
            <w:pPr>
              <w:keepNext/>
              <w:tabs>
                <w:tab w:val="left" w:pos="0"/>
              </w:tabs>
              <w:adjustRightInd w:val="0"/>
              <w:textAlignment w:val="center"/>
              <w:rPr>
                <w:b/>
                <w:bCs/>
                <w:shd w:val="clear" w:color="auto" w:fill="FFFFFF"/>
                <w:lang w:val="en-GB"/>
              </w:rPr>
            </w:pPr>
            <w:r w:rsidRPr="002B65F7">
              <w:rPr>
                <w:b/>
                <w:bCs/>
                <w:lang w:val="en-GB"/>
              </w:rPr>
              <w:t>1</w:t>
            </w:r>
          </w:p>
        </w:tc>
        <w:tc>
          <w:tcPr>
            <w:tcW w:w="4709" w:type="pct"/>
            <w:gridSpan w:val="4"/>
          </w:tcPr>
          <w:p w14:paraId="0BB79F73" w14:textId="77777777" w:rsidR="00841282" w:rsidRPr="00600870" w:rsidRDefault="00841282" w:rsidP="00CE7E90">
            <w:pPr>
              <w:keepNext/>
              <w:tabs>
                <w:tab w:val="left" w:pos="567"/>
              </w:tabs>
              <w:adjustRightInd w:val="0"/>
              <w:textAlignment w:val="center"/>
              <w:rPr>
                <w:b/>
                <w:bCs/>
              </w:rPr>
            </w:pPr>
            <w:r w:rsidRPr="002B65F7">
              <w:rPr>
                <w:b/>
                <w:bCs/>
              </w:rPr>
              <w:t>Patientez 30 minutes afin que le stylo prérempli atteigne la température ambiante</w:t>
            </w:r>
            <w:r w:rsidRPr="002B65F7">
              <w:rPr>
                <w:b/>
                <w:bCs/>
                <w:lang w:eastAsia="ja-JP"/>
              </w:rPr>
              <w:t>.</w:t>
            </w:r>
          </w:p>
        </w:tc>
      </w:tr>
      <w:tr w:rsidR="00841282" w:rsidRPr="002B65F7" w14:paraId="704C0FC8" w14:textId="77777777" w:rsidTr="00BB6F00">
        <w:tblPrEx>
          <w:tblCellMar>
            <w:left w:w="28" w:type="dxa"/>
          </w:tblCellMar>
        </w:tblPrEx>
        <w:trPr>
          <w:cantSplit/>
        </w:trPr>
        <w:tc>
          <w:tcPr>
            <w:tcW w:w="5000" w:type="pct"/>
            <w:gridSpan w:val="8"/>
            <w:tcMar>
              <w:top w:w="28" w:type="dxa"/>
              <w:left w:w="57" w:type="dxa"/>
              <w:bottom w:w="28" w:type="dxa"/>
              <w:right w:w="57" w:type="dxa"/>
            </w:tcMar>
          </w:tcPr>
          <w:p w14:paraId="49C8C741" w14:textId="77777777" w:rsidR="00841282" w:rsidRPr="00600870" w:rsidRDefault="00841282" w:rsidP="00CE7E90">
            <w:pPr>
              <w:tabs>
                <w:tab w:val="left" w:pos="567"/>
              </w:tabs>
              <w:jc w:val="center"/>
              <w:rPr>
                <w:b/>
                <w:bCs/>
                <w:lang w:eastAsia="ja-JP"/>
              </w:rPr>
            </w:pPr>
          </w:p>
          <w:p w14:paraId="3690D2B8" w14:textId="77777777" w:rsidR="00841282" w:rsidRPr="002B65F7" w:rsidRDefault="00841282" w:rsidP="00CE7E90">
            <w:pPr>
              <w:tabs>
                <w:tab w:val="left" w:pos="567"/>
              </w:tabs>
              <w:jc w:val="center"/>
              <w:rPr>
                <w:b/>
                <w:bCs/>
                <w:lang w:val="en-IN" w:eastAsia="ja-JP"/>
              </w:rPr>
            </w:pPr>
            <w:r w:rsidRPr="002B65F7">
              <w:rPr>
                <w:b/>
                <w:bCs/>
                <w:lang w:val="en-IN" w:eastAsia="ja-JP"/>
              </w:rPr>
              <w:t>PATIENTEZ</w:t>
            </w:r>
          </w:p>
          <w:p w14:paraId="6CF0A8F8" w14:textId="77777777" w:rsidR="00841282" w:rsidRPr="002B65F7" w:rsidRDefault="00841282" w:rsidP="00CE7E90">
            <w:pPr>
              <w:tabs>
                <w:tab w:val="left" w:pos="567"/>
              </w:tabs>
              <w:jc w:val="center"/>
              <w:rPr>
                <w:b/>
                <w:bCs/>
                <w:lang w:val="en-IN" w:eastAsia="ja-JP"/>
              </w:rPr>
            </w:pPr>
            <w:r w:rsidRPr="002B65F7">
              <w:rPr>
                <w:b/>
                <w:bCs/>
                <w:lang w:val="en-IN" w:eastAsia="ja-JP"/>
              </w:rPr>
              <w:t>30</w:t>
            </w:r>
          </w:p>
          <w:p w14:paraId="678F20E9" w14:textId="77777777" w:rsidR="00841282" w:rsidRPr="002B65F7" w:rsidRDefault="00841282" w:rsidP="00CE7E90">
            <w:pPr>
              <w:tabs>
                <w:tab w:val="left" w:pos="567"/>
              </w:tabs>
              <w:jc w:val="center"/>
              <w:rPr>
                <w:b/>
                <w:bCs/>
                <w:lang w:val="en-IN" w:eastAsia="ja-JP"/>
              </w:rPr>
            </w:pPr>
            <w:r w:rsidRPr="002B65F7">
              <w:rPr>
                <w:b/>
                <w:bCs/>
                <w:lang w:val="en-IN" w:eastAsia="ja-JP"/>
              </w:rPr>
              <w:t>minutes</w:t>
            </w:r>
          </w:p>
          <w:p w14:paraId="78EE7D5B" w14:textId="77777777" w:rsidR="00841282" w:rsidRPr="002B65F7" w:rsidRDefault="00841282" w:rsidP="00CE7E90">
            <w:pPr>
              <w:ind w:left="360"/>
              <w:contextualSpacing/>
              <w:jc w:val="both"/>
              <w:rPr>
                <w:shd w:val="clear" w:color="auto" w:fill="FFFFFF"/>
                <w:lang w:val="en-GB" w:eastAsia="en-GB"/>
              </w:rPr>
            </w:pPr>
          </w:p>
        </w:tc>
      </w:tr>
      <w:tr w:rsidR="00841282" w:rsidRPr="002B65F7" w14:paraId="5A87D528" w14:textId="77777777" w:rsidTr="00BB6F00">
        <w:tblPrEx>
          <w:tblCellMar>
            <w:left w:w="28" w:type="dxa"/>
          </w:tblCellMar>
        </w:tblPrEx>
        <w:trPr>
          <w:cantSplit/>
        </w:trPr>
        <w:tc>
          <w:tcPr>
            <w:tcW w:w="5000" w:type="pct"/>
            <w:gridSpan w:val="8"/>
            <w:tcMar>
              <w:top w:w="28" w:type="dxa"/>
              <w:left w:w="57" w:type="dxa"/>
              <w:bottom w:w="28" w:type="dxa"/>
              <w:right w:w="57" w:type="dxa"/>
            </w:tcMar>
          </w:tcPr>
          <w:p w14:paraId="31065216" w14:textId="77777777" w:rsidR="00841282" w:rsidRPr="00600870" w:rsidRDefault="00841282" w:rsidP="00CE7E90">
            <w:pPr>
              <w:widowControl/>
              <w:numPr>
                <w:ilvl w:val="0"/>
                <w:numId w:val="68"/>
              </w:numPr>
              <w:autoSpaceDE/>
              <w:autoSpaceDN/>
              <w:ind w:left="567" w:hanging="567"/>
              <w:contextualSpacing/>
              <w:rPr>
                <w:color w:val="000000"/>
                <w:lang w:eastAsia="en-GB"/>
              </w:rPr>
            </w:pPr>
            <w:r w:rsidRPr="002B65F7">
              <w:rPr>
                <w:lang w:eastAsia="ja-JP"/>
              </w:rPr>
              <w:t>Sortez du réfrigérateur le nombre de stylos préremplis dont vous avez besoin pour votre injection</w:t>
            </w:r>
          </w:p>
        </w:tc>
      </w:tr>
      <w:tr w:rsidR="00841282" w:rsidRPr="002B65F7" w14:paraId="059FDB0A" w14:textId="77777777" w:rsidTr="00BB6F00">
        <w:tblPrEx>
          <w:tblCellMar>
            <w:left w:w="28" w:type="dxa"/>
          </w:tblCellMar>
        </w:tblPrEx>
        <w:trPr>
          <w:cantSplit/>
        </w:trPr>
        <w:tc>
          <w:tcPr>
            <w:tcW w:w="5000" w:type="pct"/>
            <w:gridSpan w:val="8"/>
            <w:tcMar>
              <w:top w:w="28" w:type="dxa"/>
              <w:left w:w="57" w:type="dxa"/>
              <w:bottom w:w="28" w:type="dxa"/>
              <w:right w:w="57" w:type="dxa"/>
            </w:tcMar>
          </w:tcPr>
          <w:p w14:paraId="28093E18" w14:textId="77777777" w:rsidR="00841282" w:rsidRPr="00600870" w:rsidRDefault="00841282" w:rsidP="00CE7E90">
            <w:pPr>
              <w:widowControl/>
              <w:numPr>
                <w:ilvl w:val="0"/>
                <w:numId w:val="68"/>
              </w:numPr>
              <w:autoSpaceDE/>
              <w:autoSpaceDN/>
              <w:ind w:left="567" w:hanging="567"/>
              <w:contextualSpacing/>
              <w:rPr>
                <w:color w:val="000000"/>
                <w:lang w:eastAsia="en-GB"/>
              </w:rPr>
            </w:pPr>
            <w:r w:rsidRPr="002B65F7">
              <w:rPr>
                <w:lang w:eastAsia="ja-JP"/>
              </w:rPr>
              <w:t>Laissez le stylo prérempli se réchauffer naturellement.</w:t>
            </w:r>
          </w:p>
        </w:tc>
      </w:tr>
      <w:tr w:rsidR="00841282" w:rsidRPr="002B65F7" w14:paraId="60424F3A" w14:textId="77777777" w:rsidTr="00BB6F00">
        <w:tblPrEx>
          <w:tblCellMar>
            <w:left w:w="28" w:type="dxa"/>
          </w:tblCellMar>
        </w:tblPrEx>
        <w:trPr>
          <w:cantSplit/>
        </w:trPr>
        <w:tc>
          <w:tcPr>
            <w:tcW w:w="5000" w:type="pct"/>
            <w:gridSpan w:val="8"/>
            <w:tcMar>
              <w:top w:w="28" w:type="dxa"/>
              <w:left w:w="57" w:type="dxa"/>
              <w:bottom w:w="28" w:type="dxa"/>
              <w:right w:w="57" w:type="dxa"/>
            </w:tcMar>
          </w:tcPr>
          <w:p w14:paraId="60A2CA93" w14:textId="77777777" w:rsidR="00841282" w:rsidRPr="00600870" w:rsidRDefault="00841282" w:rsidP="00CE7E90">
            <w:pPr>
              <w:widowControl/>
              <w:numPr>
                <w:ilvl w:val="0"/>
                <w:numId w:val="68"/>
              </w:numPr>
              <w:autoSpaceDE/>
              <w:autoSpaceDN/>
              <w:ind w:left="567" w:hanging="567"/>
              <w:contextualSpacing/>
              <w:rPr>
                <w:color w:val="000000"/>
                <w:lang w:eastAsia="en-GB"/>
              </w:rPr>
            </w:pPr>
            <w:r w:rsidRPr="002B65F7">
              <w:rPr>
                <w:b/>
              </w:rPr>
              <w:t xml:space="preserve">N’essayez pas </w:t>
            </w:r>
            <w:r w:rsidRPr="002B65F7">
              <w:t>de réchauffer le stylo prérempli en utilisant de l’eau chaude, un four à micro</w:t>
            </w:r>
            <w:r w:rsidRPr="002B65F7">
              <w:noBreakHyphen/>
              <w:t>ondes ou la lumière directe du soleil</w:t>
            </w:r>
            <w:r w:rsidRPr="002B65F7">
              <w:rPr>
                <w:lang w:eastAsia="ja-JP"/>
              </w:rPr>
              <w:t>.</w:t>
            </w:r>
          </w:p>
        </w:tc>
      </w:tr>
      <w:tr w:rsidR="00841282" w:rsidRPr="002B65F7" w14:paraId="22C44D10" w14:textId="77777777" w:rsidTr="00BB6F00">
        <w:tblPrEx>
          <w:tblCellMar>
            <w:left w:w="28" w:type="dxa"/>
          </w:tblCellMar>
        </w:tblPrEx>
        <w:trPr>
          <w:cantSplit/>
        </w:trPr>
        <w:tc>
          <w:tcPr>
            <w:tcW w:w="5000" w:type="pct"/>
            <w:gridSpan w:val="8"/>
            <w:tcMar>
              <w:top w:w="28" w:type="dxa"/>
              <w:left w:w="57" w:type="dxa"/>
              <w:bottom w:w="28" w:type="dxa"/>
              <w:right w:w="57" w:type="dxa"/>
            </w:tcMar>
          </w:tcPr>
          <w:p w14:paraId="6AE65E80" w14:textId="77777777" w:rsidR="00841282" w:rsidRPr="00600870" w:rsidRDefault="00841282" w:rsidP="00CE7E90">
            <w:pPr>
              <w:widowControl/>
              <w:numPr>
                <w:ilvl w:val="0"/>
                <w:numId w:val="68"/>
              </w:numPr>
              <w:autoSpaceDE/>
              <w:autoSpaceDN/>
              <w:ind w:left="567" w:hanging="567"/>
              <w:contextualSpacing/>
              <w:rPr>
                <w:b/>
                <w:bCs/>
                <w:shd w:val="clear" w:color="auto" w:fill="FFFFFF"/>
                <w:lang w:eastAsia="en-GB"/>
              </w:rPr>
            </w:pPr>
            <w:r w:rsidRPr="00600870">
              <w:rPr>
                <w:color w:val="000000"/>
                <w:lang w:eastAsia="en-GB"/>
              </w:rPr>
              <w:t>Une fois que le stylo prérempli a atteint la temp</w:t>
            </w:r>
            <w:r w:rsidRPr="002B65F7">
              <w:rPr>
                <w:color w:val="000000"/>
                <w:lang w:eastAsia="en-GB"/>
              </w:rPr>
              <w:t>é</w:t>
            </w:r>
            <w:r w:rsidRPr="00600870">
              <w:rPr>
                <w:color w:val="000000"/>
                <w:lang w:eastAsia="en-GB"/>
              </w:rPr>
              <w:t xml:space="preserve">rature ambiante, </w:t>
            </w:r>
            <w:r w:rsidRPr="00600870">
              <w:rPr>
                <w:b/>
                <w:bCs/>
                <w:color w:val="000000"/>
                <w:lang w:eastAsia="en-GB"/>
              </w:rPr>
              <w:t xml:space="preserve">ne le remettez pas </w:t>
            </w:r>
            <w:r w:rsidRPr="00600870">
              <w:rPr>
                <w:color w:val="000000"/>
                <w:lang w:eastAsia="en-GB"/>
              </w:rPr>
              <w:t>au réfrigérateur.</w:t>
            </w:r>
          </w:p>
        </w:tc>
      </w:tr>
      <w:tr w:rsidR="00841282" w:rsidRPr="002B65F7" w14:paraId="5AC4A139" w14:textId="77777777" w:rsidTr="00BB6F00">
        <w:tblPrEx>
          <w:tblCellMar>
            <w:left w:w="28" w:type="dxa"/>
          </w:tblCellMar>
        </w:tblPrEx>
        <w:trPr>
          <w:cantSplit/>
        </w:trPr>
        <w:tc>
          <w:tcPr>
            <w:tcW w:w="5000" w:type="pct"/>
            <w:gridSpan w:val="8"/>
            <w:tcMar>
              <w:top w:w="28" w:type="dxa"/>
              <w:left w:w="57" w:type="dxa"/>
              <w:bottom w:w="28" w:type="dxa"/>
              <w:right w:w="57" w:type="dxa"/>
            </w:tcMar>
          </w:tcPr>
          <w:p w14:paraId="5FCD1C54" w14:textId="77777777" w:rsidR="00841282" w:rsidRPr="00600870" w:rsidRDefault="00841282" w:rsidP="00CE7E90">
            <w:pPr>
              <w:widowControl/>
              <w:numPr>
                <w:ilvl w:val="0"/>
                <w:numId w:val="68"/>
              </w:numPr>
              <w:autoSpaceDE/>
              <w:autoSpaceDN/>
              <w:ind w:left="567" w:hanging="567"/>
              <w:contextualSpacing/>
              <w:rPr>
                <w:color w:val="000000"/>
                <w:lang w:eastAsia="en-GB"/>
              </w:rPr>
            </w:pPr>
            <w:r w:rsidRPr="002B65F7">
              <w:rPr>
                <w:b/>
                <w:bCs/>
                <w:lang w:eastAsia="ja-JP"/>
              </w:rPr>
              <w:t xml:space="preserve">N’agitez jamais </w:t>
            </w:r>
            <w:r w:rsidRPr="002B65F7">
              <w:rPr>
                <w:lang w:eastAsia="ja-JP"/>
              </w:rPr>
              <w:t>le stylo prérempli.</w:t>
            </w:r>
          </w:p>
        </w:tc>
      </w:tr>
      <w:tr w:rsidR="00841282" w:rsidRPr="002B65F7" w14:paraId="30686238" w14:textId="77777777" w:rsidTr="00BB6F00">
        <w:tblPrEx>
          <w:tblCellMar>
            <w:left w:w="28" w:type="dxa"/>
          </w:tblCellMar>
        </w:tblPrEx>
        <w:trPr>
          <w:cantSplit/>
          <w:trHeight w:val="599"/>
        </w:trPr>
        <w:tc>
          <w:tcPr>
            <w:tcW w:w="5000" w:type="pct"/>
            <w:gridSpan w:val="8"/>
            <w:tcMar>
              <w:top w:w="28" w:type="dxa"/>
              <w:left w:w="57" w:type="dxa"/>
              <w:bottom w:w="28" w:type="dxa"/>
              <w:right w:w="57" w:type="dxa"/>
            </w:tcMar>
          </w:tcPr>
          <w:p w14:paraId="4469F853" w14:textId="77777777" w:rsidR="00841282" w:rsidRPr="00600870" w:rsidRDefault="00841282" w:rsidP="00CE7E90">
            <w:pPr>
              <w:widowControl/>
              <w:numPr>
                <w:ilvl w:val="0"/>
                <w:numId w:val="68"/>
              </w:numPr>
              <w:autoSpaceDE/>
              <w:autoSpaceDN/>
              <w:ind w:left="567" w:hanging="567"/>
              <w:contextualSpacing/>
              <w:rPr>
                <w:b/>
                <w:bCs/>
                <w:shd w:val="clear" w:color="auto" w:fill="FFFFFF"/>
                <w:lang w:eastAsia="en-GB"/>
              </w:rPr>
            </w:pPr>
            <w:r w:rsidRPr="002B65F7">
              <w:rPr>
                <w:lang w:eastAsia="ja-JP"/>
              </w:rPr>
              <w:t xml:space="preserve">L’utilisation du stylo prérempli à température ambiante garantit l’administration d’une dose complète et </w:t>
            </w:r>
            <w:r w:rsidRPr="002B65F7">
              <w:t xml:space="preserve">permet une </w:t>
            </w:r>
            <w:r w:rsidRPr="002B65F7">
              <w:rPr>
                <w:lang w:eastAsia="ja-JP"/>
              </w:rPr>
              <w:t>injection plus confortable.</w:t>
            </w:r>
          </w:p>
        </w:tc>
      </w:tr>
      <w:tr w:rsidR="00841282" w:rsidRPr="002B65F7" w14:paraId="71280AEC" w14:textId="77777777" w:rsidTr="00BB6F00">
        <w:tblPrEx>
          <w:tblCellMar>
            <w:left w:w="28" w:type="dxa"/>
          </w:tblCellMar>
        </w:tblPrEx>
        <w:trPr>
          <w:gridBefore w:val="2"/>
          <w:wBefore w:w="27" w:type="pct"/>
          <w:cantSplit/>
        </w:trPr>
        <w:tc>
          <w:tcPr>
            <w:tcW w:w="3082" w:type="pct"/>
            <w:gridSpan w:val="5"/>
            <w:tcMar>
              <w:top w:w="28" w:type="dxa"/>
              <w:left w:w="57" w:type="dxa"/>
              <w:bottom w:w="28" w:type="dxa"/>
              <w:right w:w="57" w:type="dxa"/>
            </w:tcMar>
            <w:vAlign w:val="center"/>
          </w:tcPr>
          <w:p w14:paraId="2F8CBE8F" w14:textId="0001692A" w:rsidR="00841282" w:rsidRPr="002B65F7" w:rsidRDefault="00A2167E" w:rsidP="00CE7E90">
            <w:pPr>
              <w:keepNext/>
              <w:keepLines/>
              <w:adjustRightInd w:val="0"/>
              <w:jc w:val="right"/>
              <w:rPr>
                <w:b/>
                <w:bCs/>
                <w:lang w:val="en-GB"/>
              </w:rPr>
            </w:pPr>
            <w:r>
              <w:rPr>
                <w:b/>
                <w:noProof/>
                <w:lang w:val="en-US" w:eastAsia="zh-CN"/>
              </w:rPr>
              <w:drawing>
                <wp:inline distT="0" distB="0" distL="0" distR="0" wp14:anchorId="7350F9AE" wp14:editId="17B8A2B9">
                  <wp:extent cx="2073910" cy="1632585"/>
                  <wp:effectExtent l="0" t="0" r="0" b="0"/>
                  <wp:docPr id="31" name="Picture 11" descr="A diagram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diagram of a test tub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73910" cy="1632585"/>
                          </a:xfrm>
                          <a:prstGeom prst="rect">
                            <a:avLst/>
                          </a:prstGeom>
                          <a:noFill/>
                          <a:ln>
                            <a:noFill/>
                          </a:ln>
                        </pic:spPr>
                      </pic:pic>
                    </a:graphicData>
                  </a:graphic>
                </wp:inline>
              </w:drawing>
            </w:r>
          </w:p>
        </w:tc>
        <w:tc>
          <w:tcPr>
            <w:tcW w:w="1891" w:type="pct"/>
          </w:tcPr>
          <w:p w14:paraId="457740FA" w14:textId="77777777" w:rsidR="00841282" w:rsidRPr="002B65F7" w:rsidRDefault="00841282" w:rsidP="00CE7E90">
            <w:pPr>
              <w:adjustRightInd w:val="0"/>
              <w:rPr>
                <w:b/>
                <w:bCs/>
                <w:lang w:val="en-GB"/>
              </w:rPr>
            </w:pPr>
          </w:p>
          <w:p w14:paraId="0B04862C" w14:textId="77777777" w:rsidR="00841282" w:rsidRPr="002B65F7" w:rsidRDefault="00841282" w:rsidP="00CE7E90">
            <w:pPr>
              <w:adjustRightInd w:val="0"/>
              <w:rPr>
                <w:b/>
                <w:bCs/>
                <w:lang w:val="en-GB"/>
              </w:rPr>
            </w:pPr>
          </w:p>
          <w:p w14:paraId="479C072C" w14:textId="77777777" w:rsidR="00841282" w:rsidRPr="002B65F7" w:rsidRDefault="00841282" w:rsidP="00CE7E90">
            <w:pPr>
              <w:adjustRightInd w:val="0"/>
              <w:rPr>
                <w:b/>
                <w:bCs/>
                <w:lang w:val="en-GB"/>
              </w:rPr>
            </w:pPr>
          </w:p>
          <w:p w14:paraId="47CBFDDF" w14:textId="77777777" w:rsidR="00841282" w:rsidRPr="002B65F7" w:rsidRDefault="00841282" w:rsidP="00CE7E90">
            <w:pPr>
              <w:adjustRightInd w:val="0"/>
              <w:rPr>
                <w:b/>
                <w:bCs/>
                <w:lang w:val="en-GB"/>
              </w:rPr>
            </w:pPr>
          </w:p>
          <w:p w14:paraId="77D73A83" w14:textId="77777777" w:rsidR="00841282" w:rsidRPr="002B65F7" w:rsidRDefault="00841282" w:rsidP="00CE7E90">
            <w:pPr>
              <w:adjustRightInd w:val="0"/>
              <w:rPr>
                <w:b/>
                <w:bCs/>
                <w:lang w:val="en-GB"/>
              </w:rPr>
            </w:pPr>
          </w:p>
          <w:p w14:paraId="16ECA004" w14:textId="77777777" w:rsidR="00841282" w:rsidRPr="002B65F7" w:rsidRDefault="00841282" w:rsidP="00CE7E90">
            <w:pPr>
              <w:adjustRightInd w:val="0"/>
              <w:spacing w:before="160"/>
              <w:rPr>
                <w:shd w:val="clear" w:color="auto" w:fill="FFFFFF"/>
              </w:rPr>
            </w:pPr>
            <w:r w:rsidRPr="002B65F7">
              <w:rPr>
                <w:shd w:val="clear" w:color="auto" w:fill="FFFFFF"/>
              </w:rPr>
              <w:t>Médicament</w:t>
            </w:r>
          </w:p>
          <w:p w14:paraId="0EC366A3" w14:textId="77777777" w:rsidR="00841282" w:rsidRPr="002B65F7" w:rsidRDefault="00841282" w:rsidP="00CE7E90">
            <w:pPr>
              <w:adjustRightInd w:val="0"/>
              <w:rPr>
                <w:b/>
                <w:bCs/>
                <w:lang w:val="en-GB"/>
              </w:rPr>
            </w:pPr>
          </w:p>
          <w:p w14:paraId="794542FE" w14:textId="77777777" w:rsidR="00841282" w:rsidRPr="002B65F7" w:rsidRDefault="00841282" w:rsidP="00CE7E90">
            <w:pPr>
              <w:adjustRightInd w:val="0"/>
              <w:rPr>
                <w:b/>
                <w:bCs/>
                <w:lang w:val="en-GB"/>
              </w:rPr>
            </w:pPr>
          </w:p>
        </w:tc>
      </w:tr>
      <w:tr w:rsidR="00841282" w:rsidRPr="002B65F7" w14:paraId="30C5EAF6" w14:textId="77777777" w:rsidTr="00BB6F00">
        <w:tblPrEx>
          <w:tblCellMar>
            <w:left w:w="28" w:type="dxa"/>
          </w:tblCellMar>
        </w:tblPrEx>
        <w:trPr>
          <w:gridBefore w:val="2"/>
          <w:wBefore w:w="27" w:type="pct"/>
          <w:cantSplit/>
        </w:trPr>
        <w:tc>
          <w:tcPr>
            <w:tcW w:w="247" w:type="pct"/>
            <w:tcMar>
              <w:top w:w="28" w:type="dxa"/>
              <w:left w:w="57" w:type="dxa"/>
              <w:bottom w:w="28" w:type="dxa"/>
              <w:right w:w="57" w:type="dxa"/>
            </w:tcMar>
          </w:tcPr>
          <w:p w14:paraId="2837FB4B" w14:textId="77777777" w:rsidR="00841282" w:rsidRPr="002B65F7" w:rsidRDefault="00841282" w:rsidP="00CE7E90">
            <w:pPr>
              <w:keepNext/>
              <w:tabs>
                <w:tab w:val="left" w:pos="567"/>
              </w:tabs>
              <w:adjustRightInd w:val="0"/>
              <w:textAlignment w:val="center"/>
              <w:rPr>
                <w:b/>
                <w:bCs/>
                <w:lang w:val="en-GB"/>
              </w:rPr>
            </w:pPr>
            <w:r w:rsidRPr="002B65F7">
              <w:rPr>
                <w:b/>
                <w:bCs/>
                <w:lang w:val="en-GB"/>
              </w:rPr>
              <w:t>2</w:t>
            </w:r>
          </w:p>
        </w:tc>
        <w:tc>
          <w:tcPr>
            <w:tcW w:w="4726" w:type="pct"/>
            <w:gridSpan w:val="5"/>
          </w:tcPr>
          <w:p w14:paraId="06B033F5" w14:textId="77777777" w:rsidR="00841282" w:rsidRPr="00600870" w:rsidRDefault="00841282" w:rsidP="00CE7E90">
            <w:pPr>
              <w:tabs>
                <w:tab w:val="left" w:pos="567"/>
              </w:tabs>
              <w:adjustRightInd w:val="0"/>
              <w:textAlignment w:val="center"/>
              <w:rPr>
                <w:b/>
                <w:bCs/>
              </w:rPr>
            </w:pPr>
            <w:r w:rsidRPr="002B65F7">
              <w:rPr>
                <w:b/>
                <w:bCs/>
                <w:color w:val="000000"/>
                <w:spacing w:val="-2"/>
                <w:lang w:eastAsia="ja-JP"/>
              </w:rPr>
              <w:t>Inspectez le médicament. Il doit être clair à opalescent, incolore à jaune clair.</w:t>
            </w:r>
          </w:p>
        </w:tc>
      </w:tr>
      <w:tr w:rsidR="00841282" w:rsidRPr="002B65F7" w14:paraId="5C5DF8F5" w14:textId="77777777" w:rsidTr="00BB6F00">
        <w:tblPrEx>
          <w:tblCellMar>
            <w:left w:w="28" w:type="dxa"/>
          </w:tblCellMar>
        </w:tblPrEx>
        <w:trPr>
          <w:gridBefore w:val="2"/>
          <w:wBefore w:w="27" w:type="pct"/>
          <w:cantSplit/>
        </w:trPr>
        <w:tc>
          <w:tcPr>
            <w:tcW w:w="4973" w:type="pct"/>
            <w:gridSpan w:val="6"/>
            <w:tcMar>
              <w:top w:w="28" w:type="dxa"/>
              <w:left w:w="57" w:type="dxa"/>
              <w:bottom w:w="28" w:type="dxa"/>
              <w:right w:w="57" w:type="dxa"/>
            </w:tcMar>
          </w:tcPr>
          <w:p w14:paraId="33D3B89C" w14:textId="77777777" w:rsidR="00841282" w:rsidRPr="00600870" w:rsidRDefault="00841282" w:rsidP="00CE7E90">
            <w:pPr>
              <w:widowControl/>
              <w:numPr>
                <w:ilvl w:val="0"/>
                <w:numId w:val="69"/>
              </w:numPr>
              <w:autoSpaceDE/>
              <w:autoSpaceDN/>
              <w:ind w:left="567" w:hanging="567"/>
              <w:contextualSpacing/>
              <w:rPr>
                <w:color w:val="000000"/>
                <w:lang w:eastAsia="en-GB"/>
              </w:rPr>
            </w:pPr>
            <w:r w:rsidRPr="002B65F7">
              <w:t>La présence de bulles d’air dans le stylo prérempli n’est pas un problème</w:t>
            </w:r>
            <w:r w:rsidRPr="002B65F7">
              <w:rPr>
                <w:lang w:eastAsia="ja-JP"/>
              </w:rPr>
              <w:t>.</w:t>
            </w:r>
          </w:p>
        </w:tc>
      </w:tr>
      <w:tr w:rsidR="00841282" w:rsidRPr="002B65F7" w14:paraId="4A4DC003" w14:textId="77777777" w:rsidTr="00BB6F00">
        <w:tblPrEx>
          <w:tblCellMar>
            <w:left w:w="28" w:type="dxa"/>
          </w:tblCellMar>
        </w:tblPrEx>
        <w:trPr>
          <w:gridBefore w:val="2"/>
          <w:wBefore w:w="27" w:type="pct"/>
          <w:cantSplit/>
          <w:trHeight w:val="567"/>
        </w:trPr>
        <w:tc>
          <w:tcPr>
            <w:tcW w:w="4973" w:type="pct"/>
            <w:gridSpan w:val="6"/>
            <w:tcMar>
              <w:top w:w="28" w:type="dxa"/>
              <w:left w:w="57" w:type="dxa"/>
              <w:bottom w:w="28" w:type="dxa"/>
              <w:right w:w="57" w:type="dxa"/>
            </w:tcMar>
          </w:tcPr>
          <w:p w14:paraId="1C24C95D" w14:textId="77777777" w:rsidR="00841282" w:rsidRPr="00600870" w:rsidRDefault="00841282" w:rsidP="00CE7E90">
            <w:pPr>
              <w:widowControl/>
              <w:numPr>
                <w:ilvl w:val="0"/>
                <w:numId w:val="69"/>
              </w:numPr>
              <w:autoSpaceDE/>
              <w:autoSpaceDN/>
              <w:ind w:left="567" w:hanging="567"/>
              <w:contextualSpacing/>
              <w:rPr>
                <w:color w:val="000000"/>
                <w:lang w:eastAsia="en-GB"/>
              </w:rPr>
            </w:pPr>
            <w:r w:rsidRPr="002B65F7">
              <w:rPr>
                <w:b/>
                <w:bCs/>
                <w:lang w:eastAsia="ja-JP"/>
              </w:rPr>
              <w:t xml:space="preserve">N’utilisez pas </w:t>
            </w:r>
            <w:r w:rsidRPr="002B65F7">
              <w:rPr>
                <w:lang w:eastAsia="ja-JP"/>
              </w:rPr>
              <w:t xml:space="preserve">WEZENLA si le médicament est congelé, trouble, </w:t>
            </w:r>
            <w:r w:rsidRPr="002B65F7">
              <w:t>présente une coloration anormale</w:t>
            </w:r>
            <w:r w:rsidRPr="002B65F7">
              <w:rPr>
                <w:lang w:eastAsia="ja-JP"/>
              </w:rPr>
              <w:t xml:space="preserve"> ou contient des particules étrangères.</w:t>
            </w:r>
          </w:p>
        </w:tc>
      </w:tr>
      <w:tr w:rsidR="00841282" w:rsidRPr="002B65F7" w14:paraId="513E7818" w14:textId="77777777" w:rsidTr="00BB6F00">
        <w:tblPrEx>
          <w:tblCellMar>
            <w:left w:w="28" w:type="dxa"/>
          </w:tblCellMar>
        </w:tblPrEx>
        <w:trPr>
          <w:gridBefore w:val="2"/>
          <w:wBefore w:w="27" w:type="pct"/>
          <w:trHeight w:val="2767"/>
        </w:trPr>
        <w:tc>
          <w:tcPr>
            <w:tcW w:w="3061" w:type="pct"/>
            <w:gridSpan w:val="4"/>
            <w:tcMar>
              <w:top w:w="28" w:type="dxa"/>
              <w:left w:w="57" w:type="dxa"/>
              <w:bottom w:w="28" w:type="dxa"/>
              <w:right w:w="57" w:type="dxa"/>
            </w:tcMar>
            <w:vAlign w:val="center"/>
          </w:tcPr>
          <w:p w14:paraId="23CC1B04" w14:textId="2DC10F5D" w:rsidR="00841282" w:rsidRPr="002B65F7" w:rsidRDefault="00A2167E" w:rsidP="00CE7E90">
            <w:pPr>
              <w:adjustRightInd w:val="0"/>
              <w:jc w:val="right"/>
              <w:rPr>
                <w:b/>
                <w:bCs/>
                <w:lang w:val="en-GB"/>
              </w:rPr>
            </w:pPr>
            <w:r>
              <w:rPr>
                <w:b/>
                <w:noProof/>
                <w:lang w:val="en-US" w:eastAsia="zh-CN"/>
              </w:rPr>
              <w:drawing>
                <wp:inline distT="0" distB="0" distL="0" distR="0" wp14:anchorId="04877576" wp14:editId="489C42F2">
                  <wp:extent cx="2146935" cy="1714500"/>
                  <wp:effectExtent l="0" t="0" r="0" b="0"/>
                  <wp:docPr id="32" name="Picture 10" descr="A diagram of a white cylin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diagram of a white cylinder&#10;&#10;Description automatically generated with medium confidenc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46935" cy="1714500"/>
                          </a:xfrm>
                          <a:prstGeom prst="rect">
                            <a:avLst/>
                          </a:prstGeom>
                          <a:noFill/>
                          <a:ln>
                            <a:noFill/>
                          </a:ln>
                        </pic:spPr>
                      </pic:pic>
                    </a:graphicData>
                  </a:graphic>
                </wp:inline>
              </w:drawing>
            </w:r>
          </w:p>
        </w:tc>
        <w:tc>
          <w:tcPr>
            <w:tcW w:w="1912" w:type="pct"/>
            <w:gridSpan w:val="2"/>
          </w:tcPr>
          <w:p w14:paraId="68353FD1" w14:textId="77777777" w:rsidR="00841282" w:rsidRPr="002B65F7" w:rsidRDefault="00841282" w:rsidP="00CE7E90">
            <w:pPr>
              <w:keepNext/>
              <w:keepLines/>
              <w:adjustRightInd w:val="0"/>
              <w:rPr>
                <w:b/>
                <w:bCs/>
                <w:lang w:val="en-GB"/>
              </w:rPr>
            </w:pPr>
          </w:p>
          <w:p w14:paraId="5DDE2D2F" w14:textId="77777777" w:rsidR="00841282" w:rsidRPr="002B65F7" w:rsidRDefault="00841282" w:rsidP="00CE7E90">
            <w:pPr>
              <w:keepNext/>
              <w:keepLines/>
              <w:adjustRightInd w:val="0"/>
              <w:rPr>
                <w:b/>
                <w:bCs/>
                <w:lang w:val="en-GB"/>
              </w:rPr>
            </w:pPr>
          </w:p>
          <w:p w14:paraId="2F78525F" w14:textId="77777777" w:rsidR="00841282" w:rsidRPr="002B65F7" w:rsidRDefault="00841282" w:rsidP="00CE7E90">
            <w:pPr>
              <w:keepNext/>
              <w:keepLines/>
              <w:adjustRightInd w:val="0"/>
              <w:rPr>
                <w:b/>
                <w:bCs/>
                <w:lang w:val="en-GB"/>
              </w:rPr>
            </w:pPr>
          </w:p>
          <w:p w14:paraId="35FCC860" w14:textId="77777777" w:rsidR="00841282" w:rsidRPr="002B65F7" w:rsidRDefault="00841282" w:rsidP="00CE7E90">
            <w:pPr>
              <w:keepNext/>
              <w:keepLines/>
              <w:adjustRightInd w:val="0"/>
              <w:rPr>
                <w:b/>
                <w:bCs/>
                <w:lang w:val="en-GB"/>
              </w:rPr>
            </w:pPr>
          </w:p>
          <w:p w14:paraId="3D9FD7C0" w14:textId="77777777" w:rsidR="00841282" w:rsidRPr="002B65F7" w:rsidRDefault="00841282" w:rsidP="00CE7E90">
            <w:pPr>
              <w:keepNext/>
              <w:keepLines/>
              <w:adjustRightInd w:val="0"/>
              <w:spacing w:before="160"/>
              <w:rPr>
                <w:shd w:val="clear" w:color="auto" w:fill="FFFFFF"/>
              </w:rPr>
            </w:pPr>
            <w:r w:rsidRPr="002B65F7">
              <w:rPr>
                <w:shd w:val="clear" w:color="auto" w:fill="FFFFFF"/>
              </w:rPr>
              <w:t>Date de péremption</w:t>
            </w:r>
          </w:p>
          <w:p w14:paraId="3824C887" w14:textId="77777777" w:rsidR="00841282" w:rsidRPr="002B65F7" w:rsidRDefault="00841282" w:rsidP="00CE7E90">
            <w:pPr>
              <w:keepNext/>
              <w:keepLines/>
              <w:adjustRightInd w:val="0"/>
              <w:rPr>
                <w:b/>
                <w:bCs/>
                <w:lang w:val="en-GB"/>
              </w:rPr>
            </w:pPr>
          </w:p>
          <w:p w14:paraId="762DAC78" w14:textId="77777777" w:rsidR="00841282" w:rsidRPr="002B65F7" w:rsidRDefault="00841282" w:rsidP="00CE7E90">
            <w:pPr>
              <w:keepNext/>
              <w:keepLines/>
              <w:adjustRightInd w:val="0"/>
              <w:rPr>
                <w:b/>
                <w:bCs/>
                <w:lang w:val="en-GB"/>
              </w:rPr>
            </w:pPr>
          </w:p>
        </w:tc>
      </w:tr>
      <w:tr w:rsidR="00841282" w:rsidRPr="002B65F7" w14:paraId="02989D4A" w14:textId="77777777" w:rsidTr="00BB6F00">
        <w:tblPrEx>
          <w:tblCellMar>
            <w:left w:w="28" w:type="dxa"/>
          </w:tblCellMar>
        </w:tblPrEx>
        <w:trPr>
          <w:gridBefore w:val="2"/>
          <w:wBefore w:w="27" w:type="pct"/>
          <w:trHeight w:val="249"/>
        </w:trPr>
        <w:tc>
          <w:tcPr>
            <w:tcW w:w="247" w:type="pct"/>
            <w:tcMar>
              <w:top w:w="28" w:type="dxa"/>
              <w:left w:w="57" w:type="dxa"/>
              <w:bottom w:w="28" w:type="dxa"/>
              <w:right w:w="57" w:type="dxa"/>
            </w:tcMar>
          </w:tcPr>
          <w:p w14:paraId="64921E56" w14:textId="77777777" w:rsidR="00841282" w:rsidRPr="002B65F7" w:rsidRDefault="00841282" w:rsidP="00CE7E90">
            <w:pPr>
              <w:keepNext/>
              <w:keepLines/>
              <w:tabs>
                <w:tab w:val="left" w:pos="567"/>
              </w:tabs>
              <w:adjustRightInd w:val="0"/>
              <w:textAlignment w:val="center"/>
              <w:rPr>
                <w:b/>
                <w:bCs/>
                <w:lang w:val="en-GB"/>
              </w:rPr>
            </w:pPr>
            <w:r w:rsidRPr="002B65F7">
              <w:rPr>
                <w:b/>
                <w:bCs/>
                <w:lang w:val="en-GB"/>
              </w:rPr>
              <w:t xml:space="preserve">3 </w:t>
            </w:r>
          </w:p>
        </w:tc>
        <w:tc>
          <w:tcPr>
            <w:tcW w:w="4726" w:type="pct"/>
            <w:gridSpan w:val="5"/>
          </w:tcPr>
          <w:p w14:paraId="54A2BF7A" w14:textId="77777777" w:rsidR="00841282" w:rsidRPr="00600870" w:rsidRDefault="00841282" w:rsidP="00CE7E90">
            <w:pPr>
              <w:keepNext/>
              <w:keepLines/>
              <w:tabs>
                <w:tab w:val="left" w:pos="567"/>
              </w:tabs>
              <w:adjustRightInd w:val="0"/>
              <w:textAlignment w:val="center"/>
              <w:rPr>
                <w:b/>
                <w:bCs/>
              </w:rPr>
            </w:pPr>
            <w:r w:rsidRPr="002B65F7">
              <w:rPr>
                <w:b/>
                <w:bCs/>
                <w:color w:val="000000"/>
                <w:spacing w:val="-2"/>
                <w:lang w:eastAsia="ja-JP"/>
              </w:rPr>
              <w:t>Vérifiez la date de péremption (EXP) et inspectez le stylo prérempli pour vérifier qu’il n’est pas endommagé.</w:t>
            </w:r>
          </w:p>
        </w:tc>
      </w:tr>
      <w:tr w:rsidR="00841282" w:rsidRPr="002B65F7" w14:paraId="550C8FDC" w14:textId="77777777" w:rsidTr="00BB6F00">
        <w:tblPrEx>
          <w:tblCellMar>
            <w:left w:w="28" w:type="dxa"/>
          </w:tblCellMar>
        </w:tblPrEx>
        <w:trPr>
          <w:gridBefore w:val="2"/>
          <w:wBefore w:w="27" w:type="pct"/>
          <w:trHeight w:val="262"/>
        </w:trPr>
        <w:tc>
          <w:tcPr>
            <w:tcW w:w="4973" w:type="pct"/>
            <w:gridSpan w:val="6"/>
            <w:tcMar>
              <w:top w:w="28" w:type="dxa"/>
              <w:left w:w="57" w:type="dxa"/>
              <w:bottom w:w="28" w:type="dxa"/>
              <w:right w:w="57" w:type="dxa"/>
            </w:tcMar>
          </w:tcPr>
          <w:p w14:paraId="33D6DDED" w14:textId="77777777" w:rsidR="00841282" w:rsidRPr="00600870" w:rsidRDefault="00841282" w:rsidP="00CE7E90">
            <w:pPr>
              <w:keepNext/>
              <w:keepLines/>
              <w:widowControl/>
              <w:numPr>
                <w:ilvl w:val="0"/>
                <w:numId w:val="70"/>
              </w:numPr>
              <w:autoSpaceDE/>
              <w:autoSpaceDN/>
              <w:ind w:left="567" w:hanging="567"/>
              <w:contextualSpacing/>
              <w:rPr>
                <w:color w:val="000000"/>
                <w:lang w:eastAsia="en-GB"/>
              </w:rPr>
            </w:pPr>
            <w:r w:rsidRPr="002B65F7">
              <w:rPr>
                <w:b/>
                <w:bCs/>
                <w:lang w:eastAsia="ja-JP"/>
              </w:rPr>
              <w:t xml:space="preserve">N’utilisez pas </w:t>
            </w:r>
            <w:r w:rsidRPr="002B65F7">
              <w:rPr>
                <w:lang w:eastAsia="ja-JP"/>
              </w:rPr>
              <w:t>le stylo prérempli si la date de péremption est dépassée</w:t>
            </w:r>
            <w:r w:rsidRPr="00600870">
              <w:rPr>
                <w:shd w:val="clear" w:color="auto" w:fill="FFFFFF"/>
                <w:lang w:eastAsia="en-GB"/>
              </w:rPr>
              <w:t>.</w:t>
            </w:r>
          </w:p>
        </w:tc>
      </w:tr>
      <w:tr w:rsidR="00841282" w:rsidRPr="002B65F7" w14:paraId="07CDE14A" w14:textId="77777777" w:rsidTr="00BB6F00">
        <w:tblPrEx>
          <w:tblCellMar>
            <w:left w:w="28" w:type="dxa"/>
          </w:tblCellMar>
        </w:tblPrEx>
        <w:trPr>
          <w:gridBefore w:val="2"/>
          <w:wBefore w:w="27" w:type="pct"/>
          <w:trHeight w:val="262"/>
        </w:trPr>
        <w:tc>
          <w:tcPr>
            <w:tcW w:w="4973" w:type="pct"/>
            <w:gridSpan w:val="6"/>
            <w:tcMar>
              <w:top w:w="28" w:type="dxa"/>
              <w:left w:w="57" w:type="dxa"/>
              <w:bottom w:w="28" w:type="dxa"/>
              <w:right w:w="57" w:type="dxa"/>
            </w:tcMar>
          </w:tcPr>
          <w:p w14:paraId="5DF7D5B1" w14:textId="77777777" w:rsidR="00841282" w:rsidRPr="00600870" w:rsidRDefault="00841282" w:rsidP="00CE7E90">
            <w:pPr>
              <w:keepNext/>
              <w:keepLines/>
              <w:widowControl/>
              <w:numPr>
                <w:ilvl w:val="0"/>
                <w:numId w:val="70"/>
              </w:numPr>
              <w:autoSpaceDE/>
              <w:autoSpaceDN/>
              <w:ind w:left="567" w:hanging="567"/>
              <w:contextualSpacing/>
              <w:rPr>
                <w:color w:val="000000"/>
                <w:lang w:eastAsia="en-GB"/>
              </w:rPr>
            </w:pPr>
            <w:r w:rsidRPr="002B65F7">
              <w:rPr>
                <w:b/>
                <w:bCs/>
                <w:lang w:eastAsia="ja-JP"/>
              </w:rPr>
              <w:t xml:space="preserve">N’utilisez pas </w:t>
            </w:r>
            <w:r w:rsidRPr="002B65F7">
              <w:rPr>
                <w:lang w:eastAsia="ja-JP"/>
              </w:rPr>
              <w:t>le stylo prérempli si :</w:t>
            </w:r>
          </w:p>
        </w:tc>
      </w:tr>
      <w:tr w:rsidR="00841282" w:rsidRPr="002B65F7" w14:paraId="77D4393B" w14:textId="77777777" w:rsidTr="00BB6F00">
        <w:tblPrEx>
          <w:tblCellMar>
            <w:left w:w="28" w:type="dxa"/>
          </w:tblCellMar>
        </w:tblPrEx>
        <w:trPr>
          <w:gridBefore w:val="2"/>
          <w:wBefore w:w="27" w:type="pct"/>
          <w:trHeight w:val="236"/>
        </w:trPr>
        <w:tc>
          <w:tcPr>
            <w:tcW w:w="4973" w:type="pct"/>
            <w:gridSpan w:val="6"/>
            <w:tcMar>
              <w:top w:w="28" w:type="dxa"/>
              <w:left w:w="57" w:type="dxa"/>
              <w:bottom w:w="28" w:type="dxa"/>
              <w:right w:w="57" w:type="dxa"/>
            </w:tcMar>
          </w:tcPr>
          <w:p w14:paraId="00487C46" w14:textId="77777777" w:rsidR="00841282" w:rsidRPr="00600870" w:rsidRDefault="00841282" w:rsidP="00CE7E90">
            <w:pPr>
              <w:keepNext/>
              <w:keepLines/>
              <w:widowControl/>
              <w:numPr>
                <w:ilvl w:val="0"/>
                <w:numId w:val="63"/>
              </w:numPr>
              <w:adjustRightInd w:val="0"/>
              <w:ind w:left="1134" w:hanging="567"/>
              <w:contextualSpacing/>
              <w:textAlignment w:val="center"/>
              <w:rPr>
                <w:shd w:val="clear" w:color="auto" w:fill="FFFFFF"/>
                <w:lang w:eastAsia="en-GB"/>
              </w:rPr>
            </w:pPr>
            <w:r>
              <w:rPr>
                <w:color w:val="000000"/>
                <w:lang w:eastAsia="ja-JP"/>
              </w:rPr>
              <w:t>l</w:t>
            </w:r>
            <w:r w:rsidRPr="002B65F7">
              <w:rPr>
                <w:color w:val="000000"/>
                <w:lang w:eastAsia="ja-JP"/>
              </w:rPr>
              <w:t xml:space="preserve">e capuchon </w:t>
            </w:r>
            <w:r w:rsidRPr="002B65F7">
              <w:t>de l’aiguille est manquant ou mal fixé</w:t>
            </w:r>
            <w:r>
              <w:t>,</w:t>
            </w:r>
          </w:p>
        </w:tc>
      </w:tr>
      <w:tr w:rsidR="00841282" w:rsidRPr="002B65F7" w14:paraId="7A0D70D8" w14:textId="77777777" w:rsidTr="00BB6F00">
        <w:tblPrEx>
          <w:tblCellMar>
            <w:left w:w="28" w:type="dxa"/>
          </w:tblCellMar>
        </w:tblPrEx>
        <w:trPr>
          <w:gridBefore w:val="2"/>
          <w:wBefore w:w="27" w:type="pct"/>
          <w:trHeight w:val="249"/>
        </w:trPr>
        <w:tc>
          <w:tcPr>
            <w:tcW w:w="4973" w:type="pct"/>
            <w:gridSpan w:val="6"/>
            <w:tcMar>
              <w:top w:w="28" w:type="dxa"/>
              <w:left w:w="57" w:type="dxa"/>
              <w:bottom w:w="28" w:type="dxa"/>
              <w:right w:w="57" w:type="dxa"/>
            </w:tcMar>
          </w:tcPr>
          <w:p w14:paraId="23A4884B" w14:textId="77777777" w:rsidR="00841282" w:rsidRPr="00600870" w:rsidRDefault="00841282" w:rsidP="00CE7E90">
            <w:pPr>
              <w:keepNext/>
              <w:keepLines/>
              <w:widowControl/>
              <w:numPr>
                <w:ilvl w:val="0"/>
                <w:numId w:val="63"/>
              </w:numPr>
              <w:adjustRightInd w:val="0"/>
              <w:ind w:left="1134" w:hanging="567"/>
              <w:contextualSpacing/>
              <w:textAlignment w:val="center"/>
              <w:rPr>
                <w:shd w:val="clear" w:color="auto" w:fill="FFFFFF"/>
                <w:lang w:eastAsia="en-GB"/>
              </w:rPr>
            </w:pPr>
            <w:r>
              <w:rPr>
                <w:color w:val="000000"/>
                <w:lang w:eastAsia="ja-JP"/>
              </w:rPr>
              <w:t>d</w:t>
            </w:r>
            <w:r w:rsidRPr="002B65F7">
              <w:t>es parties sont fissurées ou cassées</w:t>
            </w:r>
            <w:r>
              <w:rPr>
                <w:color w:val="000000"/>
                <w:lang w:eastAsia="ja-JP"/>
              </w:rPr>
              <w:t xml:space="preserve"> ou</w:t>
            </w:r>
          </w:p>
        </w:tc>
      </w:tr>
      <w:tr w:rsidR="00841282" w:rsidRPr="002B65F7" w14:paraId="0867FBED" w14:textId="77777777" w:rsidTr="00BB6F00">
        <w:tblPrEx>
          <w:tblCellMar>
            <w:left w:w="28" w:type="dxa"/>
          </w:tblCellMar>
        </w:tblPrEx>
        <w:trPr>
          <w:gridBefore w:val="2"/>
          <w:wBefore w:w="27" w:type="pct"/>
          <w:trHeight w:val="249"/>
        </w:trPr>
        <w:tc>
          <w:tcPr>
            <w:tcW w:w="4973" w:type="pct"/>
            <w:gridSpan w:val="6"/>
            <w:tcMar>
              <w:top w:w="28" w:type="dxa"/>
              <w:left w:w="57" w:type="dxa"/>
              <w:bottom w:w="28" w:type="dxa"/>
              <w:right w:w="57" w:type="dxa"/>
            </w:tcMar>
          </w:tcPr>
          <w:p w14:paraId="70AF193C" w14:textId="77777777" w:rsidR="00841282" w:rsidRPr="00600870" w:rsidRDefault="00841282" w:rsidP="00CE7E90">
            <w:pPr>
              <w:keepNext/>
              <w:keepLines/>
              <w:widowControl/>
              <w:numPr>
                <w:ilvl w:val="0"/>
                <w:numId w:val="63"/>
              </w:numPr>
              <w:adjustRightInd w:val="0"/>
              <w:ind w:left="1134" w:hanging="567"/>
              <w:contextualSpacing/>
              <w:textAlignment w:val="center"/>
              <w:rPr>
                <w:shd w:val="clear" w:color="auto" w:fill="FFFFFF"/>
                <w:lang w:eastAsia="en-GB"/>
              </w:rPr>
            </w:pPr>
            <w:r>
              <w:rPr>
                <w:color w:val="000000"/>
                <w:lang w:eastAsia="ja-JP"/>
              </w:rPr>
              <w:t>i</w:t>
            </w:r>
            <w:r w:rsidRPr="002B65F7">
              <w:rPr>
                <w:color w:val="000000"/>
                <w:lang w:eastAsia="ja-JP"/>
              </w:rPr>
              <w:t>l est tombé sur une surface dure.</w:t>
            </w:r>
          </w:p>
        </w:tc>
      </w:tr>
      <w:tr w:rsidR="00841282" w:rsidRPr="002B65F7" w14:paraId="45DDF16C" w14:textId="77777777" w:rsidTr="00BB6F00">
        <w:tblPrEx>
          <w:tblCellMar>
            <w:left w:w="28" w:type="dxa"/>
          </w:tblCellMar>
        </w:tblPrEx>
        <w:trPr>
          <w:gridBefore w:val="2"/>
          <w:wBefore w:w="27" w:type="pct"/>
          <w:trHeight w:val="413"/>
        </w:trPr>
        <w:tc>
          <w:tcPr>
            <w:tcW w:w="4973" w:type="pct"/>
            <w:gridSpan w:val="6"/>
            <w:tcMar>
              <w:top w:w="28" w:type="dxa"/>
              <w:left w:w="57" w:type="dxa"/>
              <w:bottom w:w="28" w:type="dxa"/>
              <w:right w:w="57" w:type="dxa"/>
            </w:tcMar>
          </w:tcPr>
          <w:p w14:paraId="18386095" w14:textId="77777777" w:rsidR="00841282" w:rsidRPr="00600870" w:rsidRDefault="00841282" w:rsidP="00CE7E90">
            <w:pPr>
              <w:widowControl/>
              <w:numPr>
                <w:ilvl w:val="0"/>
                <w:numId w:val="71"/>
              </w:numPr>
              <w:autoSpaceDE/>
              <w:autoSpaceDN/>
              <w:ind w:left="567" w:hanging="567"/>
              <w:contextualSpacing/>
              <w:rPr>
                <w:color w:val="000000"/>
                <w:lang w:eastAsia="en-GB"/>
              </w:rPr>
            </w:pPr>
            <w:r w:rsidRPr="002B65F7">
              <w:rPr>
                <w:color w:val="000000"/>
                <w:lang w:eastAsia="ja-JP"/>
              </w:rPr>
              <w:t>Vérifiez que vous avez bien le bon médicament et la bonne dose.</w:t>
            </w:r>
          </w:p>
        </w:tc>
      </w:tr>
    </w:tbl>
    <w:p w14:paraId="6E838609" w14:textId="77777777" w:rsidR="00841282" w:rsidRPr="00600870" w:rsidRDefault="00841282" w:rsidP="00841282">
      <w:pPr>
        <w:tabs>
          <w:tab w:val="left" w:pos="567"/>
        </w:tabs>
        <w:jc w:val="both"/>
      </w:pPr>
    </w:p>
    <w:tbl>
      <w:tblPr>
        <w:tblW w:w="5054" w:type="pct"/>
        <w:tblCellMar>
          <w:left w:w="28" w:type="dxa"/>
        </w:tblCellMar>
        <w:tblLook w:val="04A0" w:firstRow="1" w:lastRow="0" w:firstColumn="1" w:lastColumn="0" w:noHBand="0" w:noVBand="1"/>
      </w:tblPr>
      <w:tblGrid>
        <w:gridCol w:w="458"/>
        <w:gridCol w:w="5144"/>
        <w:gridCol w:w="3567"/>
      </w:tblGrid>
      <w:tr w:rsidR="00841282" w:rsidRPr="002B65F7" w14:paraId="6941E430" w14:textId="77777777" w:rsidTr="00CE7E90">
        <w:trPr>
          <w:trHeight w:val="360"/>
        </w:trPr>
        <w:tc>
          <w:tcPr>
            <w:tcW w:w="5000" w:type="pct"/>
            <w:gridSpan w:val="3"/>
            <w:shd w:val="clear" w:color="auto" w:fill="9CC2E5"/>
            <w:tcMar>
              <w:top w:w="28" w:type="dxa"/>
              <w:left w:w="57" w:type="dxa"/>
              <w:bottom w:w="28" w:type="dxa"/>
              <w:right w:w="57" w:type="dxa"/>
            </w:tcMar>
            <w:vAlign w:val="center"/>
          </w:tcPr>
          <w:p w14:paraId="46BA0440" w14:textId="77777777" w:rsidR="00841282" w:rsidRPr="00600870" w:rsidRDefault="00841282" w:rsidP="00CE7E90">
            <w:pPr>
              <w:keepNext/>
              <w:keepLines/>
              <w:adjustRightInd w:val="0"/>
              <w:rPr>
                <w:b/>
                <w:bCs/>
                <w:color w:val="000000"/>
              </w:rPr>
            </w:pPr>
            <w:r w:rsidRPr="00600870">
              <w:rPr>
                <w:b/>
                <w:bCs/>
              </w:rPr>
              <w:t>Se pr</w:t>
            </w:r>
            <w:r w:rsidRPr="002B65F7">
              <w:rPr>
                <w:b/>
                <w:bCs/>
              </w:rPr>
              <w:t>é</w:t>
            </w:r>
            <w:r w:rsidRPr="00600870">
              <w:rPr>
                <w:b/>
                <w:bCs/>
              </w:rPr>
              <w:t>parer à l’injection de</w:t>
            </w:r>
            <w:r w:rsidRPr="002B65F7">
              <w:rPr>
                <w:b/>
                <w:bCs/>
              </w:rPr>
              <w:t xml:space="preserve"> WEZENLA</w:t>
            </w:r>
          </w:p>
        </w:tc>
      </w:tr>
      <w:tr w:rsidR="00841282" w:rsidRPr="002B65F7" w14:paraId="154B64DF" w14:textId="77777777" w:rsidTr="00CE7E90">
        <w:trPr>
          <w:trHeight w:val="1236"/>
        </w:trPr>
        <w:tc>
          <w:tcPr>
            <w:tcW w:w="3055" w:type="pct"/>
            <w:gridSpan w:val="2"/>
            <w:vMerge w:val="restart"/>
            <w:tcMar>
              <w:top w:w="28" w:type="dxa"/>
              <w:left w:w="57" w:type="dxa"/>
              <w:bottom w:w="28" w:type="dxa"/>
              <w:right w:w="57" w:type="dxa"/>
            </w:tcMar>
          </w:tcPr>
          <w:p w14:paraId="1FDBF695" w14:textId="77777777" w:rsidR="00841282" w:rsidRPr="00600870" w:rsidRDefault="00841282" w:rsidP="00CE7E90">
            <w:pPr>
              <w:keepNext/>
              <w:keepLines/>
              <w:adjustRightInd w:val="0"/>
              <w:jc w:val="right"/>
            </w:pPr>
          </w:p>
          <w:p w14:paraId="548F703E" w14:textId="77777777" w:rsidR="00841282" w:rsidRPr="00600870" w:rsidRDefault="00841282" w:rsidP="00CE7E90">
            <w:pPr>
              <w:keepNext/>
              <w:keepLines/>
              <w:adjustRightInd w:val="0"/>
              <w:jc w:val="right"/>
            </w:pPr>
          </w:p>
          <w:p w14:paraId="1DD1EA9E" w14:textId="433C5A5A" w:rsidR="00841282" w:rsidRPr="002B65F7" w:rsidRDefault="00A2167E" w:rsidP="00CE7E90">
            <w:pPr>
              <w:keepNext/>
              <w:keepLines/>
              <w:adjustRightInd w:val="0"/>
              <w:jc w:val="right"/>
              <w:rPr>
                <w:lang w:val="en-GB"/>
              </w:rPr>
            </w:pPr>
            <w:r>
              <w:rPr>
                <w:noProof/>
              </w:rPr>
              <mc:AlternateContent>
                <mc:Choice Requires="wps">
                  <w:drawing>
                    <wp:anchor distT="0" distB="0" distL="114300" distR="114300" simplePos="0" relativeHeight="251661824" behindDoc="0" locked="0" layoutInCell="1" allowOverlap="1" wp14:anchorId="4177D81C" wp14:editId="2E06501E">
                      <wp:simplePos x="0" y="0"/>
                      <wp:positionH relativeFrom="column">
                        <wp:posOffset>696595</wp:posOffset>
                      </wp:positionH>
                      <wp:positionV relativeFrom="paragraph">
                        <wp:posOffset>866140</wp:posOffset>
                      </wp:positionV>
                      <wp:extent cx="1163955" cy="666115"/>
                      <wp:effectExtent l="0" t="0" r="0" b="0"/>
                      <wp:wrapNone/>
                      <wp:docPr id="941825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3955" cy="666115"/>
                              </a:xfrm>
                              <a:prstGeom prst="rect">
                                <a:avLst/>
                              </a:prstGeom>
                              <a:noFill/>
                              <a:ln w="6350">
                                <a:noFill/>
                              </a:ln>
                            </wps:spPr>
                            <wps:txbx>
                              <w:txbxContent>
                                <w:p w14:paraId="6A745EDC" w14:textId="235B9A08" w:rsidR="00841282" w:rsidRDefault="001E2BD2" w:rsidP="00841282">
                                  <w:r>
                                    <w:rPr>
                                      <w:lang w:val="en-GB"/>
                                    </w:rPr>
                                    <w:t>Conteneur à déchets tranchants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77D81C" id="Text Box 2" o:spid="_x0000_s1034" type="#_x0000_t202" style="position:absolute;left:0;text-align:left;margin-left:54.85pt;margin-top:68.2pt;width:91.65pt;height:52.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" filled="f" stroked="f" strokeweight=".5pt">
                      <v:textbox>
                        <w:txbxContent>
                          <w:p w14:paraId="6A745EDC" w14:textId="235B9A08" w:rsidR="00841282" w:rsidRDefault="001E2BD2" w:rsidP="00841282">
                            <w:r>
                              <w:rPr>
                                <w:lang w:val="en-GB"/>
                              </w:rPr>
                              <w:t>Conteneur à déchets tranchants</w:t>
                            </w:r>
                          </w:p>
                        </w:txbxContent>
                      </v:textbox>
                    </v:shape>
                  </w:pict>
                </mc:Fallback>
              </mc:AlternateContent>
            </w:r>
            <w:r>
              <w:rPr>
                <w:b/>
                <w:noProof/>
                <w:lang w:val="en-US" w:eastAsia="zh-CN"/>
              </w:rPr>
              <w:drawing>
                <wp:inline distT="0" distB="0" distL="0" distR="0" wp14:anchorId="5BB1DD0C" wp14:editId="4DD25AB8">
                  <wp:extent cx="1959610" cy="1567815"/>
                  <wp:effectExtent l="0" t="0" r="0" b="0"/>
                  <wp:docPr id="33"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a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59610" cy="1567815"/>
                          </a:xfrm>
                          <a:prstGeom prst="rect">
                            <a:avLst/>
                          </a:prstGeom>
                          <a:noFill/>
                          <a:ln>
                            <a:noFill/>
                          </a:ln>
                        </pic:spPr>
                      </pic:pic>
                    </a:graphicData>
                  </a:graphic>
                </wp:inline>
              </w:drawing>
            </w:r>
          </w:p>
          <w:p w14:paraId="19227F0D" w14:textId="77777777" w:rsidR="00841282" w:rsidRPr="002B65F7" w:rsidRDefault="00841282" w:rsidP="00CE7E90">
            <w:pPr>
              <w:keepNext/>
              <w:keepLines/>
              <w:adjustRightInd w:val="0"/>
              <w:jc w:val="center"/>
              <w:rPr>
                <w:b/>
                <w:bCs/>
                <w:lang w:val="en-GB"/>
              </w:rPr>
            </w:pPr>
          </w:p>
        </w:tc>
        <w:tc>
          <w:tcPr>
            <w:tcW w:w="1945" w:type="pct"/>
          </w:tcPr>
          <w:p w14:paraId="5B70CC6B" w14:textId="77777777" w:rsidR="00841282" w:rsidRPr="002B65F7" w:rsidRDefault="00841282" w:rsidP="00CE7E90">
            <w:pPr>
              <w:keepNext/>
              <w:keepLines/>
              <w:adjustRightInd w:val="0"/>
              <w:rPr>
                <w:shd w:val="clear" w:color="auto" w:fill="FFFFFF"/>
                <w:lang w:val="en-GB"/>
              </w:rPr>
            </w:pPr>
          </w:p>
          <w:p w14:paraId="115F15A4" w14:textId="77777777" w:rsidR="00841282" w:rsidRPr="002B65F7" w:rsidRDefault="00841282" w:rsidP="00CE7E90">
            <w:pPr>
              <w:keepNext/>
              <w:keepLines/>
              <w:adjustRightInd w:val="0"/>
              <w:rPr>
                <w:shd w:val="clear" w:color="auto" w:fill="FFFFFF"/>
                <w:lang w:val="en-GB"/>
              </w:rPr>
            </w:pPr>
          </w:p>
          <w:p w14:paraId="07CDF638" w14:textId="77777777" w:rsidR="00841282" w:rsidRPr="002B65F7" w:rsidRDefault="00841282" w:rsidP="00CE7E90">
            <w:pPr>
              <w:keepNext/>
              <w:keepLines/>
              <w:adjustRightInd w:val="0"/>
              <w:rPr>
                <w:shd w:val="clear" w:color="auto" w:fill="FFFFFF"/>
                <w:lang w:val="en-GB"/>
              </w:rPr>
            </w:pPr>
          </w:p>
          <w:p w14:paraId="036B7A52" w14:textId="77777777" w:rsidR="00841282" w:rsidRPr="002B65F7" w:rsidRDefault="00841282" w:rsidP="00CE7E90">
            <w:pPr>
              <w:keepNext/>
              <w:keepLines/>
              <w:adjustRightInd w:val="0"/>
              <w:rPr>
                <w:shd w:val="clear" w:color="auto" w:fill="FFFFFF"/>
                <w:lang w:val="en-GB"/>
              </w:rPr>
            </w:pPr>
            <w:r w:rsidRPr="002B65F7">
              <w:rPr>
                <w:lang w:val="en-GB"/>
              </w:rPr>
              <w:t>Lingette alcoolisée</w:t>
            </w:r>
            <w:r w:rsidRPr="002B65F7" w:rsidDel="00001762">
              <w:rPr>
                <w:shd w:val="clear" w:color="auto" w:fill="FFFFFF"/>
                <w:lang w:val="en-GB"/>
              </w:rPr>
              <w:t xml:space="preserve"> </w:t>
            </w:r>
          </w:p>
          <w:p w14:paraId="4D404333" w14:textId="77777777" w:rsidR="00841282" w:rsidRPr="002B65F7" w:rsidRDefault="00841282" w:rsidP="00CE7E90">
            <w:pPr>
              <w:keepNext/>
              <w:keepLines/>
              <w:adjustRightInd w:val="0"/>
              <w:rPr>
                <w:lang w:val="en-GB"/>
              </w:rPr>
            </w:pPr>
          </w:p>
          <w:p w14:paraId="355EEA33" w14:textId="77777777" w:rsidR="00841282" w:rsidRPr="002B65F7" w:rsidRDefault="00841282" w:rsidP="00CE7E90">
            <w:pPr>
              <w:keepNext/>
              <w:keepLines/>
              <w:adjustRightInd w:val="0"/>
              <w:rPr>
                <w:b/>
                <w:bCs/>
                <w:lang w:val="en-GB"/>
              </w:rPr>
            </w:pPr>
          </w:p>
        </w:tc>
      </w:tr>
      <w:tr w:rsidR="00841282" w:rsidRPr="002B65F7" w14:paraId="38033306" w14:textId="77777777" w:rsidTr="00CE7E90">
        <w:trPr>
          <w:trHeight w:val="513"/>
        </w:trPr>
        <w:tc>
          <w:tcPr>
            <w:tcW w:w="3055" w:type="pct"/>
            <w:gridSpan w:val="2"/>
            <w:vMerge/>
            <w:tcMar>
              <w:top w:w="28" w:type="dxa"/>
              <w:left w:w="57" w:type="dxa"/>
              <w:bottom w:w="28" w:type="dxa"/>
              <w:right w:w="57" w:type="dxa"/>
            </w:tcMar>
          </w:tcPr>
          <w:p w14:paraId="08697749" w14:textId="77777777" w:rsidR="00841282" w:rsidRPr="002B65F7" w:rsidRDefault="00841282" w:rsidP="00CE7E90">
            <w:pPr>
              <w:adjustRightInd w:val="0"/>
              <w:jc w:val="right"/>
              <w:rPr>
                <w:lang w:val="en-GB"/>
              </w:rPr>
            </w:pPr>
          </w:p>
        </w:tc>
        <w:tc>
          <w:tcPr>
            <w:tcW w:w="1945" w:type="pct"/>
          </w:tcPr>
          <w:p w14:paraId="5111EECE" w14:textId="77777777" w:rsidR="00841282" w:rsidRPr="002B65F7" w:rsidRDefault="00841282" w:rsidP="00CE7E90">
            <w:pPr>
              <w:adjustRightInd w:val="0"/>
              <w:rPr>
                <w:b/>
                <w:bCs/>
                <w:lang w:val="en-GB"/>
              </w:rPr>
            </w:pPr>
            <w:r w:rsidRPr="002B65F7">
              <w:rPr>
                <w:shd w:val="clear" w:color="auto" w:fill="FFFFFF"/>
                <w:lang w:val="en-GB"/>
              </w:rPr>
              <w:t>Pansement</w:t>
            </w:r>
          </w:p>
        </w:tc>
      </w:tr>
      <w:tr w:rsidR="00841282" w:rsidRPr="002B65F7" w14:paraId="3E9578D1" w14:textId="77777777" w:rsidTr="00CE7E90">
        <w:trPr>
          <w:trHeight w:val="581"/>
        </w:trPr>
        <w:tc>
          <w:tcPr>
            <w:tcW w:w="3055" w:type="pct"/>
            <w:gridSpan w:val="2"/>
            <w:vMerge/>
            <w:tcMar>
              <w:top w:w="28" w:type="dxa"/>
              <w:left w:w="57" w:type="dxa"/>
              <w:bottom w:w="28" w:type="dxa"/>
              <w:right w:w="57" w:type="dxa"/>
            </w:tcMar>
          </w:tcPr>
          <w:p w14:paraId="6DC92D04" w14:textId="77777777" w:rsidR="00841282" w:rsidRPr="002B65F7" w:rsidRDefault="00841282" w:rsidP="00CE7E90">
            <w:pPr>
              <w:adjustRightInd w:val="0"/>
              <w:jc w:val="right"/>
              <w:rPr>
                <w:lang w:val="en-GB"/>
              </w:rPr>
            </w:pPr>
          </w:p>
        </w:tc>
        <w:tc>
          <w:tcPr>
            <w:tcW w:w="1945" w:type="pct"/>
          </w:tcPr>
          <w:p w14:paraId="59D0E95D" w14:textId="77777777" w:rsidR="00841282" w:rsidRPr="002B65F7" w:rsidRDefault="00841282" w:rsidP="00CE7E90">
            <w:pPr>
              <w:adjustRightInd w:val="0"/>
              <w:rPr>
                <w:b/>
                <w:bCs/>
                <w:lang w:val="en-GB"/>
              </w:rPr>
            </w:pPr>
            <w:r w:rsidRPr="002B65F7">
              <w:rPr>
                <w:shd w:val="clear" w:color="auto" w:fill="FFFFFF"/>
                <w:lang w:val="en-GB"/>
              </w:rPr>
              <w:t>Coton ou gaze</w:t>
            </w:r>
          </w:p>
        </w:tc>
      </w:tr>
      <w:tr w:rsidR="00841282" w:rsidRPr="002B65F7" w14:paraId="3BF0004D" w14:textId="77777777" w:rsidTr="00CE7E90">
        <w:tc>
          <w:tcPr>
            <w:tcW w:w="250" w:type="pct"/>
            <w:tcMar>
              <w:top w:w="28" w:type="dxa"/>
              <w:left w:w="57" w:type="dxa"/>
              <w:bottom w:w="28" w:type="dxa"/>
              <w:right w:w="57" w:type="dxa"/>
            </w:tcMar>
          </w:tcPr>
          <w:p w14:paraId="0748B036" w14:textId="77777777" w:rsidR="00841282" w:rsidRPr="002B65F7" w:rsidRDefault="00841282" w:rsidP="00CE7E90">
            <w:pPr>
              <w:keepNext/>
              <w:tabs>
                <w:tab w:val="left" w:pos="567"/>
              </w:tabs>
              <w:adjustRightInd w:val="0"/>
              <w:textAlignment w:val="center"/>
              <w:rPr>
                <w:b/>
                <w:bCs/>
                <w:lang w:val="en-GB"/>
              </w:rPr>
            </w:pPr>
            <w:r w:rsidRPr="002B65F7">
              <w:rPr>
                <w:b/>
                <w:bCs/>
                <w:lang w:val="en-GB"/>
              </w:rPr>
              <w:t>4</w:t>
            </w:r>
          </w:p>
        </w:tc>
        <w:tc>
          <w:tcPr>
            <w:tcW w:w="4750" w:type="pct"/>
            <w:gridSpan w:val="2"/>
          </w:tcPr>
          <w:p w14:paraId="0A9CC9A2" w14:textId="77777777" w:rsidR="00841282" w:rsidRPr="00600870" w:rsidRDefault="00841282" w:rsidP="00CE7E90">
            <w:pPr>
              <w:keepNext/>
              <w:tabs>
                <w:tab w:val="left" w:pos="567"/>
              </w:tabs>
              <w:adjustRightInd w:val="0"/>
              <w:textAlignment w:val="center"/>
              <w:rPr>
                <w:b/>
                <w:bCs/>
              </w:rPr>
            </w:pPr>
            <w:r w:rsidRPr="002B65F7">
              <w:rPr>
                <w:b/>
                <w:bCs/>
                <w:lang w:eastAsia="ja-JP"/>
              </w:rPr>
              <w:t xml:space="preserve">Rassemblez et </w:t>
            </w:r>
            <w:r w:rsidRPr="002B65F7">
              <w:rPr>
                <w:b/>
                <w:bCs/>
              </w:rPr>
              <w:t>placez les éléments suivants nécessaires pour pratiquer l’injection sur une surface plate, propre et bien éclairée :</w:t>
            </w:r>
          </w:p>
        </w:tc>
      </w:tr>
      <w:tr w:rsidR="00841282" w:rsidRPr="002B65F7" w14:paraId="52046A68" w14:textId="77777777" w:rsidTr="00CE7E90">
        <w:tc>
          <w:tcPr>
            <w:tcW w:w="5000" w:type="pct"/>
            <w:gridSpan w:val="3"/>
            <w:tcMar>
              <w:top w:w="28" w:type="dxa"/>
              <w:left w:w="57" w:type="dxa"/>
              <w:bottom w:w="28" w:type="dxa"/>
              <w:right w:w="57" w:type="dxa"/>
            </w:tcMar>
          </w:tcPr>
          <w:p w14:paraId="01486983" w14:textId="77777777" w:rsidR="00841282" w:rsidRPr="00600870" w:rsidRDefault="00841282" w:rsidP="00CE7E90">
            <w:pPr>
              <w:keepNext/>
              <w:widowControl/>
              <w:numPr>
                <w:ilvl w:val="0"/>
                <w:numId w:val="71"/>
              </w:numPr>
              <w:autoSpaceDE/>
              <w:autoSpaceDN/>
              <w:ind w:left="567" w:hanging="567"/>
              <w:rPr>
                <w:color w:val="000000"/>
                <w:lang w:eastAsia="en-GB"/>
              </w:rPr>
            </w:pPr>
            <w:r w:rsidRPr="00600870">
              <w:rPr>
                <w:shd w:val="clear" w:color="auto" w:fill="FFFFFF"/>
                <w:lang w:eastAsia="en-GB"/>
              </w:rPr>
              <w:t xml:space="preserve">Stylo prérempli </w:t>
            </w:r>
            <w:r w:rsidRPr="002B65F7">
              <w:rPr>
                <w:shd w:val="clear" w:color="auto" w:fill="FFFFFF"/>
                <w:lang w:eastAsia="en-GB"/>
              </w:rPr>
              <w:t>WEZENLA (</w:t>
            </w:r>
            <w:r w:rsidRPr="00600870">
              <w:rPr>
                <w:shd w:val="clear" w:color="auto" w:fill="FFFFFF"/>
                <w:lang w:eastAsia="en-GB"/>
              </w:rPr>
              <w:t>à temp</w:t>
            </w:r>
            <w:r w:rsidRPr="002B65F7">
              <w:rPr>
                <w:shd w:val="clear" w:color="auto" w:fill="FFFFFF"/>
                <w:lang w:eastAsia="en-GB"/>
              </w:rPr>
              <w:t>é</w:t>
            </w:r>
            <w:r w:rsidRPr="00600870">
              <w:rPr>
                <w:shd w:val="clear" w:color="auto" w:fill="FFFFFF"/>
                <w:lang w:eastAsia="en-GB"/>
              </w:rPr>
              <w:t>rature ambiante</w:t>
            </w:r>
            <w:r w:rsidRPr="002B65F7">
              <w:rPr>
                <w:shd w:val="clear" w:color="auto" w:fill="FFFFFF"/>
                <w:lang w:eastAsia="en-GB"/>
              </w:rPr>
              <w:t>),</w:t>
            </w:r>
          </w:p>
        </w:tc>
      </w:tr>
      <w:tr w:rsidR="00841282" w:rsidRPr="002B65F7" w14:paraId="69A98989" w14:textId="77777777" w:rsidTr="00CE7E90">
        <w:tc>
          <w:tcPr>
            <w:tcW w:w="5000" w:type="pct"/>
            <w:gridSpan w:val="3"/>
            <w:tcMar>
              <w:top w:w="28" w:type="dxa"/>
              <w:left w:w="57" w:type="dxa"/>
              <w:bottom w:w="28" w:type="dxa"/>
              <w:right w:w="57" w:type="dxa"/>
            </w:tcMar>
          </w:tcPr>
          <w:p w14:paraId="0E72EAE2" w14:textId="77777777" w:rsidR="00841282" w:rsidRPr="00600870" w:rsidRDefault="00841282" w:rsidP="00CE7E90">
            <w:pPr>
              <w:widowControl/>
              <w:numPr>
                <w:ilvl w:val="0"/>
                <w:numId w:val="71"/>
              </w:numPr>
              <w:autoSpaceDE/>
              <w:autoSpaceDN/>
              <w:ind w:left="567" w:hanging="567"/>
              <w:rPr>
                <w:color w:val="000000"/>
                <w:lang w:eastAsia="en-GB"/>
              </w:rPr>
            </w:pPr>
            <w:r w:rsidRPr="002B65F7">
              <w:t>Conteneur à déchets tranchants,</w:t>
            </w:r>
          </w:p>
        </w:tc>
      </w:tr>
      <w:tr w:rsidR="00841282" w:rsidRPr="002B65F7" w14:paraId="447E42BA" w14:textId="77777777" w:rsidTr="00CE7E90">
        <w:tc>
          <w:tcPr>
            <w:tcW w:w="5000" w:type="pct"/>
            <w:gridSpan w:val="3"/>
            <w:tcMar>
              <w:top w:w="28" w:type="dxa"/>
              <w:left w:w="57" w:type="dxa"/>
              <w:bottom w:w="28" w:type="dxa"/>
              <w:right w:w="57" w:type="dxa"/>
            </w:tcMar>
          </w:tcPr>
          <w:p w14:paraId="280E37C5" w14:textId="77777777" w:rsidR="00841282" w:rsidRPr="00600870" w:rsidRDefault="00841282" w:rsidP="00CE7E90">
            <w:pPr>
              <w:widowControl/>
              <w:numPr>
                <w:ilvl w:val="0"/>
                <w:numId w:val="71"/>
              </w:numPr>
              <w:autoSpaceDE/>
              <w:autoSpaceDN/>
              <w:ind w:left="567" w:hanging="567"/>
              <w:rPr>
                <w:color w:val="000000"/>
                <w:lang w:eastAsia="en-GB"/>
              </w:rPr>
            </w:pPr>
            <w:r w:rsidRPr="00600870">
              <w:t>Lingette alcoolisée</w:t>
            </w:r>
            <w:r w:rsidRPr="00600870">
              <w:rPr>
                <w:shd w:val="clear" w:color="auto" w:fill="FFFFFF"/>
                <w:lang w:eastAsia="en-GB"/>
              </w:rPr>
              <w:t>,</w:t>
            </w:r>
          </w:p>
        </w:tc>
      </w:tr>
      <w:tr w:rsidR="00841282" w:rsidRPr="002B65F7" w14:paraId="42759B15" w14:textId="77777777" w:rsidTr="00CE7E90">
        <w:tc>
          <w:tcPr>
            <w:tcW w:w="5000" w:type="pct"/>
            <w:gridSpan w:val="3"/>
            <w:tcMar>
              <w:top w:w="28" w:type="dxa"/>
              <w:left w:w="57" w:type="dxa"/>
              <w:bottom w:w="28" w:type="dxa"/>
              <w:right w:w="57" w:type="dxa"/>
            </w:tcMar>
          </w:tcPr>
          <w:p w14:paraId="3AD2C252" w14:textId="77777777" w:rsidR="00841282" w:rsidRPr="00600870" w:rsidRDefault="00841282" w:rsidP="00CE7E90">
            <w:pPr>
              <w:widowControl/>
              <w:numPr>
                <w:ilvl w:val="0"/>
                <w:numId w:val="71"/>
              </w:numPr>
              <w:autoSpaceDE/>
              <w:autoSpaceDN/>
              <w:ind w:left="567" w:hanging="567"/>
              <w:rPr>
                <w:color w:val="000000"/>
                <w:lang w:eastAsia="en-GB"/>
              </w:rPr>
            </w:pPr>
            <w:r w:rsidRPr="00600870">
              <w:rPr>
                <w:shd w:val="clear" w:color="auto" w:fill="FFFFFF"/>
                <w:lang w:eastAsia="en-GB"/>
              </w:rPr>
              <w:t>Pansement et</w:t>
            </w:r>
          </w:p>
        </w:tc>
      </w:tr>
      <w:tr w:rsidR="00841282" w:rsidRPr="002B65F7" w14:paraId="74521D00" w14:textId="77777777" w:rsidTr="00CE7E90">
        <w:trPr>
          <w:trHeight w:val="283"/>
        </w:trPr>
        <w:tc>
          <w:tcPr>
            <w:tcW w:w="5000" w:type="pct"/>
            <w:gridSpan w:val="3"/>
            <w:tcMar>
              <w:top w:w="28" w:type="dxa"/>
              <w:left w:w="57" w:type="dxa"/>
              <w:bottom w:w="28" w:type="dxa"/>
              <w:right w:w="57" w:type="dxa"/>
            </w:tcMar>
          </w:tcPr>
          <w:p w14:paraId="34CB3F8F" w14:textId="77777777" w:rsidR="00841282" w:rsidRPr="00600870" w:rsidRDefault="00841282" w:rsidP="00CE7E90">
            <w:pPr>
              <w:widowControl/>
              <w:numPr>
                <w:ilvl w:val="0"/>
                <w:numId w:val="71"/>
              </w:numPr>
              <w:autoSpaceDE/>
              <w:autoSpaceDN/>
              <w:ind w:left="567" w:hanging="567"/>
              <w:rPr>
                <w:color w:val="000000"/>
                <w:lang w:eastAsia="en-GB"/>
              </w:rPr>
            </w:pPr>
            <w:r w:rsidRPr="00600870">
              <w:rPr>
                <w:shd w:val="clear" w:color="auto" w:fill="FFFFFF"/>
                <w:lang w:eastAsia="en-GB"/>
              </w:rPr>
              <w:t>Coton ou gaze.</w:t>
            </w:r>
          </w:p>
        </w:tc>
      </w:tr>
      <w:tr w:rsidR="00841282" w:rsidRPr="002B65F7" w14:paraId="759D7275" w14:textId="77777777" w:rsidTr="00CE7E90">
        <w:trPr>
          <w:trHeight w:val="2948"/>
        </w:trPr>
        <w:tc>
          <w:tcPr>
            <w:tcW w:w="5000" w:type="pct"/>
            <w:gridSpan w:val="3"/>
            <w:tcMar>
              <w:top w:w="28" w:type="dxa"/>
              <w:left w:w="57" w:type="dxa"/>
              <w:bottom w:w="28" w:type="dxa"/>
              <w:right w:w="57" w:type="dxa"/>
            </w:tcMar>
          </w:tcPr>
          <w:tbl>
            <w:tblPr>
              <w:tblW w:w="0" w:type="auto"/>
              <w:tblLook w:val="04A0" w:firstRow="1" w:lastRow="0" w:firstColumn="1" w:lastColumn="0" w:noHBand="0" w:noVBand="1"/>
            </w:tblPr>
            <w:tblGrid>
              <w:gridCol w:w="4598"/>
              <w:gridCol w:w="4457"/>
            </w:tblGrid>
            <w:tr w:rsidR="00841282" w:rsidRPr="002B65F7" w14:paraId="7073BC38" w14:textId="77777777" w:rsidTr="00CE7E90">
              <w:trPr>
                <w:trHeight w:val="850"/>
              </w:trPr>
              <w:tc>
                <w:tcPr>
                  <w:tcW w:w="4704" w:type="dxa"/>
                  <w:vMerge w:val="restart"/>
                </w:tcPr>
                <w:p w14:paraId="0D2F70DB" w14:textId="52A09EBE" w:rsidR="00841282" w:rsidRPr="00600870" w:rsidRDefault="00A2167E" w:rsidP="00CE7E90">
                  <w:pPr>
                    <w:tabs>
                      <w:tab w:val="left" w:pos="567"/>
                    </w:tabs>
                    <w:jc w:val="right"/>
                    <w:rPr>
                      <w:b/>
                      <w:bCs/>
                    </w:rPr>
                  </w:pPr>
                  <w:r>
                    <w:rPr>
                      <w:b/>
                      <w:noProof/>
                      <w:lang w:val="en-US" w:eastAsia="zh-CN"/>
                    </w:rPr>
                    <w:drawing>
                      <wp:inline distT="0" distB="0" distL="0" distR="0" wp14:anchorId="517A0381" wp14:editId="76117B6B">
                        <wp:extent cx="1788160" cy="2277745"/>
                        <wp:effectExtent l="0" t="0" r="0" b="0"/>
                        <wp:docPr id="34" name="Picture 8" descr="A person with a body with blue patch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person with a body with blue patches&#10;&#10;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88160" cy="2277745"/>
                                </a:xfrm>
                                <a:prstGeom prst="rect">
                                  <a:avLst/>
                                </a:prstGeom>
                                <a:noFill/>
                                <a:ln>
                                  <a:noFill/>
                                </a:ln>
                              </pic:spPr>
                            </pic:pic>
                          </a:graphicData>
                        </a:graphic>
                      </wp:inline>
                    </w:drawing>
                  </w:r>
                </w:p>
              </w:tc>
              <w:tc>
                <w:tcPr>
                  <w:tcW w:w="4705" w:type="dxa"/>
                </w:tcPr>
                <w:p w14:paraId="70092BBE" w14:textId="77777777" w:rsidR="00841282" w:rsidRPr="00600870" w:rsidRDefault="00841282" w:rsidP="00CE7E90">
                  <w:pPr>
                    <w:tabs>
                      <w:tab w:val="left" w:pos="567"/>
                    </w:tabs>
                  </w:pPr>
                </w:p>
                <w:p w14:paraId="2ADFFBFB" w14:textId="77777777" w:rsidR="00841282" w:rsidRPr="00600870" w:rsidRDefault="00841282" w:rsidP="00CE7E90">
                  <w:pPr>
                    <w:tabs>
                      <w:tab w:val="left" w:pos="567"/>
                    </w:tabs>
                  </w:pPr>
                </w:p>
                <w:p w14:paraId="6DD28BA5" w14:textId="77777777" w:rsidR="00841282" w:rsidRPr="00600870" w:rsidRDefault="00841282" w:rsidP="00CE7E90">
                  <w:pPr>
                    <w:tabs>
                      <w:tab w:val="left" w:pos="567"/>
                    </w:tabs>
                  </w:pPr>
                </w:p>
                <w:p w14:paraId="41443360" w14:textId="77777777" w:rsidR="00841282" w:rsidRPr="00600870" w:rsidRDefault="00841282" w:rsidP="00CE7E90">
                  <w:pPr>
                    <w:tabs>
                      <w:tab w:val="left" w:pos="567"/>
                    </w:tabs>
                    <w:rPr>
                      <w:b/>
                      <w:bCs/>
                    </w:rPr>
                  </w:pPr>
                </w:p>
              </w:tc>
            </w:tr>
            <w:tr w:rsidR="00841282" w:rsidRPr="002B65F7" w14:paraId="315F7469" w14:textId="77777777" w:rsidTr="00CE7E90">
              <w:trPr>
                <w:trHeight w:val="444"/>
              </w:trPr>
              <w:tc>
                <w:tcPr>
                  <w:tcW w:w="4704" w:type="dxa"/>
                  <w:vMerge/>
                </w:tcPr>
                <w:p w14:paraId="2308A216" w14:textId="77777777" w:rsidR="00841282" w:rsidRPr="00600870" w:rsidRDefault="00841282" w:rsidP="00CE7E90">
                  <w:pPr>
                    <w:tabs>
                      <w:tab w:val="left" w:pos="567"/>
                    </w:tabs>
                    <w:rPr>
                      <w:b/>
                      <w:bCs/>
                    </w:rPr>
                  </w:pPr>
                </w:p>
              </w:tc>
              <w:tc>
                <w:tcPr>
                  <w:tcW w:w="4705" w:type="dxa"/>
                </w:tcPr>
                <w:p w14:paraId="1D3EF5A5" w14:textId="77777777" w:rsidR="00841282" w:rsidRPr="00600870" w:rsidRDefault="00841282" w:rsidP="00CE7E90">
                  <w:pPr>
                    <w:tabs>
                      <w:tab w:val="left" w:pos="567"/>
                    </w:tabs>
                  </w:pPr>
                </w:p>
                <w:p w14:paraId="136271A4" w14:textId="77777777" w:rsidR="00841282" w:rsidRPr="00600870" w:rsidRDefault="00841282" w:rsidP="00CE7E90">
                  <w:pPr>
                    <w:tabs>
                      <w:tab w:val="left" w:pos="567"/>
                    </w:tabs>
                  </w:pPr>
                </w:p>
                <w:p w14:paraId="42AE6AFB" w14:textId="77777777" w:rsidR="00841282" w:rsidRPr="00600870" w:rsidRDefault="00841282" w:rsidP="00CE7E90">
                  <w:pPr>
                    <w:tabs>
                      <w:tab w:val="left" w:pos="567"/>
                    </w:tabs>
                    <w:rPr>
                      <w:sz w:val="16"/>
                      <w:szCs w:val="16"/>
                    </w:rPr>
                  </w:pPr>
                </w:p>
                <w:p w14:paraId="384B072F" w14:textId="77777777" w:rsidR="00841282" w:rsidRPr="00600870" w:rsidRDefault="00841282" w:rsidP="00CE7E90">
                  <w:pPr>
                    <w:tabs>
                      <w:tab w:val="left" w:pos="567"/>
                    </w:tabs>
                    <w:rPr>
                      <w:b/>
                      <w:bCs/>
                    </w:rPr>
                  </w:pPr>
                  <w:r w:rsidRPr="00600870">
                    <w:t>Ventre</w:t>
                  </w:r>
                </w:p>
              </w:tc>
            </w:tr>
            <w:tr w:rsidR="00841282" w:rsidRPr="002B65F7" w14:paraId="7E821F5C" w14:textId="77777777" w:rsidTr="00CE7E90">
              <w:trPr>
                <w:trHeight w:val="1513"/>
              </w:trPr>
              <w:tc>
                <w:tcPr>
                  <w:tcW w:w="4704" w:type="dxa"/>
                  <w:vMerge/>
                </w:tcPr>
                <w:p w14:paraId="3601ADEC" w14:textId="77777777" w:rsidR="00841282" w:rsidRPr="00600870" w:rsidRDefault="00841282" w:rsidP="00CE7E90">
                  <w:pPr>
                    <w:tabs>
                      <w:tab w:val="left" w:pos="567"/>
                    </w:tabs>
                    <w:rPr>
                      <w:b/>
                      <w:bCs/>
                    </w:rPr>
                  </w:pPr>
                </w:p>
              </w:tc>
              <w:tc>
                <w:tcPr>
                  <w:tcW w:w="4705" w:type="dxa"/>
                </w:tcPr>
                <w:p w14:paraId="7979FF09" w14:textId="77777777" w:rsidR="00841282" w:rsidRPr="00600870" w:rsidRDefault="00841282" w:rsidP="00CE7E90">
                  <w:pPr>
                    <w:tabs>
                      <w:tab w:val="left" w:pos="567"/>
                    </w:tabs>
                  </w:pPr>
                </w:p>
                <w:p w14:paraId="583A0756" w14:textId="77777777" w:rsidR="00841282" w:rsidRPr="00600870" w:rsidRDefault="00841282" w:rsidP="00CE7E90">
                  <w:pPr>
                    <w:tabs>
                      <w:tab w:val="left" w:pos="567"/>
                    </w:tabs>
                  </w:pPr>
                </w:p>
                <w:p w14:paraId="45384CE0" w14:textId="77777777" w:rsidR="00841282" w:rsidRPr="00600870" w:rsidRDefault="00841282" w:rsidP="00CE7E90">
                  <w:pPr>
                    <w:tabs>
                      <w:tab w:val="left" w:pos="567"/>
                    </w:tabs>
                  </w:pPr>
                </w:p>
                <w:p w14:paraId="1BEA1707" w14:textId="77777777" w:rsidR="00841282" w:rsidRPr="00600870" w:rsidRDefault="00841282" w:rsidP="00CE7E90">
                  <w:pPr>
                    <w:tabs>
                      <w:tab w:val="left" w:pos="567"/>
                    </w:tabs>
                    <w:rPr>
                      <w:b/>
                      <w:bCs/>
                    </w:rPr>
                  </w:pPr>
                  <w:r w:rsidRPr="00600870">
                    <w:t>Cuisse</w:t>
                  </w:r>
                </w:p>
              </w:tc>
            </w:tr>
          </w:tbl>
          <w:p w14:paraId="60FA18FC" w14:textId="77777777" w:rsidR="00841282" w:rsidRPr="00600870" w:rsidRDefault="00841282" w:rsidP="00CE7E90">
            <w:pPr>
              <w:keepLines/>
              <w:adjustRightInd w:val="0"/>
              <w:jc w:val="center"/>
              <w:rPr>
                <w:b/>
                <w:bCs/>
              </w:rPr>
            </w:pPr>
          </w:p>
        </w:tc>
      </w:tr>
    </w:tbl>
    <w:p w14:paraId="343CD676" w14:textId="77777777" w:rsidR="00841282" w:rsidRPr="002B65F7" w:rsidRDefault="00841282" w:rsidP="00841282"/>
    <w:tbl>
      <w:tblPr>
        <w:tblW w:w="5028" w:type="pct"/>
        <w:tblCellMar>
          <w:left w:w="28" w:type="dxa"/>
        </w:tblCellMar>
        <w:tblLook w:val="04A0" w:firstRow="1" w:lastRow="0" w:firstColumn="1" w:lastColumn="0" w:noHBand="0" w:noVBand="1"/>
      </w:tblPr>
      <w:tblGrid>
        <w:gridCol w:w="456"/>
        <w:gridCol w:w="8666"/>
      </w:tblGrid>
      <w:tr w:rsidR="00841282" w:rsidRPr="002B65F7" w14:paraId="0155187A" w14:textId="77777777" w:rsidTr="00CE7E90">
        <w:trPr>
          <w:cantSplit/>
        </w:trPr>
        <w:tc>
          <w:tcPr>
            <w:tcW w:w="250" w:type="pct"/>
            <w:tcMar>
              <w:top w:w="28" w:type="dxa"/>
              <w:left w:w="57" w:type="dxa"/>
              <w:bottom w:w="28" w:type="dxa"/>
              <w:right w:w="57" w:type="dxa"/>
            </w:tcMar>
          </w:tcPr>
          <w:p w14:paraId="1CFC2C55" w14:textId="77777777" w:rsidR="00841282" w:rsidRPr="002B65F7" w:rsidRDefault="00841282" w:rsidP="00CE7E90">
            <w:pPr>
              <w:keepLines/>
              <w:tabs>
                <w:tab w:val="left" w:pos="567"/>
              </w:tabs>
              <w:adjustRightInd w:val="0"/>
              <w:textAlignment w:val="center"/>
              <w:rPr>
                <w:b/>
                <w:bCs/>
                <w:lang w:val="en-GB"/>
              </w:rPr>
            </w:pPr>
            <w:r w:rsidRPr="002B65F7">
              <w:rPr>
                <w:b/>
                <w:bCs/>
                <w:lang w:val="en-GB"/>
              </w:rPr>
              <w:t>5</w:t>
            </w:r>
          </w:p>
        </w:tc>
        <w:tc>
          <w:tcPr>
            <w:tcW w:w="4750" w:type="pct"/>
            <w:tcMar>
              <w:left w:w="57" w:type="dxa"/>
            </w:tcMar>
          </w:tcPr>
          <w:p w14:paraId="113D8CF4" w14:textId="77777777" w:rsidR="00841282" w:rsidRPr="00600870" w:rsidRDefault="00841282" w:rsidP="00CE7E90">
            <w:pPr>
              <w:keepLines/>
              <w:adjustRightInd w:val="0"/>
              <w:jc w:val="both"/>
              <w:rPr>
                <w:b/>
                <w:bCs/>
                <w:noProof/>
              </w:rPr>
            </w:pPr>
            <w:r w:rsidRPr="002B65F7">
              <w:rPr>
                <w:b/>
                <w:bCs/>
              </w:rPr>
              <w:t>Choisissez l’une de ces zones d’injection</w:t>
            </w:r>
            <w:r w:rsidRPr="002B65F7">
              <w:rPr>
                <w:b/>
                <w:bCs/>
                <w:lang w:eastAsia="ja-JP"/>
              </w:rPr>
              <w:t xml:space="preserve">. </w:t>
            </w:r>
          </w:p>
        </w:tc>
      </w:tr>
      <w:tr w:rsidR="00841282" w:rsidRPr="002B65F7" w14:paraId="56B4B995" w14:textId="77777777" w:rsidTr="00CE7E90">
        <w:trPr>
          <w:cantSplit/>
        </w:trPr>
        <w:tc>
          <w:tcPr>
            <w:tcW w:w="5000" w:type="pct"/>
            <w:gridSpan w:val="2"/>
            <w:tcMar>
              <w:top w:w="28" w:type="dxa"/>
              <w:left w:w="57" w:type="dxa"/>
              <w:bottom w:w="28" w:type="dxa"/>
              <w:right w:w="57" w:type="dxa"/>
            </w:tcMar>
          </w:tcPr>
          <w:p w14:paraId="3898BDC3" w14:textId="77777777" w:rsidR="00841282" w:rsidRPr="00600870" w:rsidRDefault="00841282" w:rsidP="00CE7E90">
            <w:pPr>
              <w:keepLines/>
              <w:widowControl/>
              <w:numPr>
                <w:ilvl w:val="0"/>
                <w:numId w:val="72"/>
              </w:numPr>
              <w:adjustRightInd w:val="0"/>
              <w:ind w:left="567" w:hanging="567"/>
              <w:contextualSpacing/>
              <w:textAlignment w:val="center"/>
              <w:rPr>
                <w:color w:val="000000"/>
                <w:lang w:eastAsia="en-GB"/>
              </w:rPr>
            </w:pPr>
            <w:r w:rsidRPr="00600870">
              <w:rPr>
                <w:shd w:val="clear" w:color="auto" w:fill="FFFFFF"/>
                <w:lang w:eastAsia="en-GB"/>
              </w:rPr>
              <w:t xml:space="preserve">Choisissez l’avant de l’une de vos cuisses ou votre ventre </w:t>
            </w:r>
            <w:r w:rsidRPr="002B65F7">
              <w:t>(à l’exception d’une zone de 5 cm de diamètre autour du nombril</w:t>
            </w:r>
            <w:r w:rsidRPr="002B65F7">
              <w:rPr>
                <w:color w:val="000000"/>
                <w:lang w:eastAsia="ja-JP"/>
              </w:rPr>
              <w:t>).</w:t>
            </w:r>
          </w:p>
        </w:tc>
      </w:tr>
      <w:tr w:rsidR="00841282" w:rsidRPr="002B65F7" w14:paraId="372195C4" w14:textId="77777777" w:rsidTr="00CE7E90">
        <w:trPr>
          <w:cantSplit/>
        </w:trPr>
        <w:tc>
          <w:tcPr>
            <w:tcW w:w="5000" w:type="pct"/>
            <w:gridSpan w:val="2"/>
            <w:tcMar>
              <w:top w:w="28" w:type="dxa"/>
              <w:left w:w="57" w:type="dxa"/>
              <w:bottom w:w="28" w:type="dxa"/>
              <w:right w:w="57" w:type="dxa"/>
            </w:tcMar>
          </w:tcPr>
          <w:p w14:paraId="6E4062F7" w14:textId="77777777" w:rsidR="00841282" w:rsidRPr="002B65F7" w:rsidRDefault="00841282" w:rsidP="00CE7E90">
            <w:pPr>
              <w:keepLines/>
              <w:widowControl/>
              <w:numPr>
                <w:ilvl w:val="0"/>
                <w:numId w:val="72"/>
              </w:numPr>
              <w:adjustRightInd w:val="0"/>
              <w:ind w:left="567" w:hanging="567"/>
              <w:contextualSpacing/>
              <w:textAlignment w:val="center"/>
              <w:rPr>
                <w:color w:val="000000"/>
                <w:lang w:eastAsia="en-GB"/>
              </w:rPr>
            </w:pPr>
            <w:r w:rsidRPr="002B65F7">
              <w:t>Une autre personne peut effectuer l’injection dans votre cuisse ou votre abdomen</w:t>
            </w:r>
            <w:r w:rsidRPr="002B65F7">
              <w:rPr>
                <w:lang w:eastAsia="ja-JP"/>
              </w:rPr>
              <w:t>.</w:t>
            </w:r>
          </w:p>
        </w:tc>
      </w:tr>
      <w:tr w:rsidR="00841282" w:rsidRPr="002B65F7" w14:paraId="7D2EAA2F" w14:textId="77777777" w:rsidTr="00CE7E90">
        <w:trPr>
          <w:cantSplit/>
        </w:trPr>
        <w:tc>
          <w:tcPr>
            <w:tcW w:w="5000" w:type="pct"/>
            <w:gridSpan w:val="2"/>
            <w:tcMar>
              <w:top w:w="28" w:type="dxa"/>
              <w:left w:w="57" w:type="dxa"/>
              <w:bottom w:w="28" w:type="dxa"/>
              <w:right w:w="57" w:type="dxa"/>
            </w:tcMar>
          </w:tcPr>
          <w:p w14:paraId="1E7B59BF" w14:textId="77777777" w:rsidR="00841282" w:rsidRPr="00600870" w:rsidRDefault="00841282" w:rsidP="00CE7E90">
            <w:pPr>
              <w:keepLines/>
              <w:adjustRightInd w:val="0"/>
              <w:contextualSpacing/>
              <w:jc w:val="both"/>
              <w:textAlignment w:val="center"/>
              <w:rPr>
                <w:shd w:val="clear" w:color="auto" w:fill="FFFFFF"/>
                <w:lang w:eastAsia="en-GB"/>
              </w:rPr>
            </w:pPr>
          </w:p>
        </w:tc>
      </w:tr>
      <w:tr w:rsidR="00841282" w:rsidRPr="002B65F7" w14:paraId="7ACE5513" w14:textId="77777777" w:rsidTr="00CE7E90">
        <w:trPr>
          <w:cantSplit/>
          <w:trHeight w:val="360"/>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0243B6F4" w14:textId="77777777" w:rsidR="00841282" w:rsidRPr="00600870" w:rsidRDefault="00841282" w:rsidP="00CE7E90">
            <w:pPr>
              <w:keepLines/>
              <w:adjustRightInd w:val="0"/>
              <w:ind w:left="72"/>
              <w:contextualSpacing/>
              <w:textAlignment w:val="center"/>
              <w:rPr>
                <w:shd w:val="clear" w:color="auto" w:fill="FFFFFF"/>
                <w:lang w:eastAsia="en-GB"/>
              </w:rPr>
            </w:pPr>
            <w:r w:rsidRPr="002B65F7">
              <w:rPr>
                <w:b/>
                <w:bCs/>
                <w:shd w:val="clear" w:color="auto" w:fill="FFFFFF"/>
                <w:lang w:eastAsia="en-GB"/>
              </w:rPr>
              <w:t>Important :</w:t>
            </w:r>
            <w:r w:rsidRPr="002B65F7">
              <w:rPr>
                <w:shd w:val="clear" w:color="auto" w:fill="FFFFFF"/>
                <w:lang w:eastAsia="en-GB"/>
              </w:rPr>
              <w:t xml:space="preserve"> </w:t>
            </w:r>
            <w:r w:rsidRPr="002B65F7">
              <w:t>évitez les zones comportant des cicatrices, des vergetures, ou les zones où la peau est sensible, présente une ecchymose, une rougeur ou une induration</w:t>
            </w:r>
            <w:r w:rsidRPr="002B65F7">
              <w:rPr>
                <w:color w:val="000000"/>
              </w:rPr>
              <w:t>. Si possible, n’utilisez pas de zones de peau présentant des signes de psoriasis</w:t>
            </w:r>
            <w:r w:rsidRPr="00600870">
              <w:rPr>
                <w:shd w:val="clear" w:color="auto" w:fill="FFFFFF"/>
                <w:lang w:eastAsia="en-GB"/>
              </w:rPr>
              <w:t>.</w:t>
            </w:r>
          </w:p>
        </w:tc>
      </w:tr>
    </w:tbl>
    <w:p w14:paraId="58A2C113" w14:textId="77777777" w:rsidR="00841282" w:rsidRPr="00600870" w:rsidRDefault="00841282" w:rsidP="00841282">
      <w:pPr>
        <w:keepLines/>
        <w:tabs>
          <w:tab w:val="left" w:pos="567"/>
        </w:tabs>
      </w:pPr>
    </w:p>
    <w:tbl>
      <w:tblPr>
        <w:tblW w:w="5000" w:type="pct"/>
        <w:tblCellMar>
          <w:left w:w="28" w:type="dxa"/>
        </w:tblCellMar>
        <w:tblLook w:val="04A0" w:firstRow="1" w:lastRow="0" w:firstColumn="1" w:lastColumn="0" w:noHBand="0" w:noVBand="1"/>
      </w:tblPr>
      <w:tblGrid>
        <w:gridCol w:w="452"/>
        <w:gridCol w:w="8619"/>
      </w:tblGrid>
      <w:tr w:rsidR="00841282" w:rsidRPr="002B65F7" w14:paraId="3A717F76" w14:textId="77777777" w:rsidTr="00CE7E90">
        <w:trPr>
          <w:trHeight w:val="283"/>
        </w:trPr>
        <w:tc>
          <w:tcPr>
            <w:tcW w:w="249" w:type="pct"/>
            <w:tcMar>
              <w:top w:w="28" w:type="dxa"/>
              <w:left w:w="57" w:type="dxa"/>
              <w:bottom w:w="28" w:type="dxa"/>
              <w:right w:w="57" w:type="dxa"/>
            </w:tcMar>
          </w:tcPr>
          <w:p w14:paraId="76D5DA87" w14:textId="77777777" w:rsidR="00841282" w:rsidRPr="002B65F7" w:rsidRDefault="00841282" w:rsidP="00CE7E90">
            <w:pPr>
              <w:keepLines/>
              <w:tabs>
                <w:tab w:val="left" w:pos="567"/>
              </w:tabs>
              <w:adjustRightInd w:val="0"/>
              <w:textAlignment w:val="center"/>
              <w:rPr>
                <w:b/>
                <w:bCs/>
                <w:lang w:val="en-GB"/>
              </w:rPr>
            </w:pPr>
            <w:r w:rsidRPr="002B65F7">
              <w:rPr>
                <w:b/>
                <w:bCs/>
                <w:lang w:val="en-GB"/>
              </w:rPr>
              <w:t>6</w:t>
            </w:r>
          </w:p>
        </w:tc>
        <w:tc>
          <w:tcPr>
            <w:tcW w:w="4751" w:type="pct"/>
            <w:tcMar>
              <w:left w:w="57" w:type="dxa"/>
            </w:tcMar>
          </w:tcPr>
          <w:p w14:paraId="052D6B14" w14:textId="77777777" w:rsidR="00841282" w:rsidRPr="002B65F7" w:rsidRDefault="00841282" w:rsidP="00CE7E90">
            <w:pPr>
              <w:keepLines/>
              <w:adjustRightInd w:val="0"/>
              <w:rPr>
                <w:b/>
                <w:bCs/>
                <w:noProof/>
              </w:rPr>
            </w:pPr>
            <w:r w:rsidRPr="002B65F7">
              <w:rPr>
                <w:b/>
                <w:bCs/>
                <w:color w:val="000000"/>
                <w:lang w:eastAsia="ja-JP"/>
              </w:rPr>
              <w:t>Lavez-vous soigneusement les mains au savon et à l’eau.</w:t>
            </w:r>
          </w:p>
        </w:tc>
      </w:tr>
    </w:tbl>
    <w:p w14:paraId="2F339741" w14:textId="77777777" w:rsidR="00841282" w:rsidRPr="00600870" w:rsidRDefault="00841282" w:rsidP="00841282">
      <w:pPr>
        <w:tabs>
          <w:tab w:val="left" w:pos="567"/>
        </w:tabs>
      </w:pPr>
    </w:p>
    <w:tbl>
      <w:tblPr>
        <w:tblW w:w="5028" w:type="pct"/>
        <w:tblCellMar>
          <w:left w:w="28" w:type="dxa"/>
        </w:tblCellMar>
        <w:tblLook w:val="04A0" w:firstRow="1" w:lastRow="0" w:firstColumn="1" w:lastColumn="0" w:noHBand="0" w:noVBand="1"/>
      </w:tblPr>
      <w:tblGrid>
        <w:gridCol w:w="452"/>
        <w:gridCol w:w="8670"/>
      </w:tblGrid>
      <w:tr w:rsidR="00841282" w:rsidRPr="002B65F7" w14:paraId="1E2276C8" w14:textId="77777777" w:rsidTr="00CE7E90">
        <w:tc>
          <w:tcPr>
            <w:tcW w:w="248" w:type="pct"/>
            <w:tcMar>
              <w:top w:w="28" w:type="dxa"/>
              <w:left w:w="57" w:type="dxa"/>
              <w:bottom w:w="28" w:type="dxa"/>
              <w:right w:w="57" w:type="dxa"/>
            </w:tcMar>
          </w:tcPr>
          <w:p w14:paraId="693E53BB" w14:textId="77777777" w:rsidR="00841282" w:rsidRPr="002B65F7" w:rsidRDefault="00841282" w:rsidP="00CE7E90">
            <w:pPr>
              <w:tabs>
                <w:tab w:val="left" w:pos="567"/>
              </w:tabs>
              <w:adjustRightInd w:val="0"/>
              <w:textAlignment w:val="center"/>
              <w:rPr>
                <w:b/>
                <w:bCs/>
                <w:lang w:val="en-GB"/>
              </w:rPr>
            </w:pPr>
            <w:r w:rsidRPr="002B65F7">
              <w:rPr>
                <w:b/>
                <w:bCs/>
                <w:shd w:val="clear" w:color="auto" w:fill="FFFFFF"/>
                <w:lang w:val="en-GB"/>
              </w:rPr>
              <w:t>7</w:t>
            </w:r>
          </w:p>
        </w:tc>
        <w:tc>
          <w:tcPr>
            <w:tcW w:w="4752" w:type="pct"/>
          </w:tcPr>
          <w:p w14:paraId="171F12D7" w14:textId="77777777" w:rsidR="00841282" w:rsidRPr="002B65F7" w:rsidRDefault="00841282" w:rsidP="00CE7E90">
            <w:pPr>
              <w:tabs>
                <w:tab w:val="left" w:pos="567"/>
              </w:tabs>
              <w:adjustRightInd w:val="0"/>
              <w:textAlignment w:val="center"/>
              <w:rPr>
                <w:b/>
                <w:bCs/>
              </w:rPr>
            </w:pPr>
            <w:r w:rsidRPr="002B65F7">
              <w:rPr>
                <w:b/>
                <w:bCs/>
                <w:color w:val="000000"/>
                <w:lang w:eastAsia="ja-JP"/>
              </w:rPr>
              <w:t>Nettoyez le site d’injection avec une lingette alcoolisée.</w:t>
            </w:r>
          </w:p>
        </w:tc>
      </w:tr>
      <w:tr w:rsidR="00841282" w:rsidRPr="002B65F7" w14:paraId="77437E1C" w14:textId="77777777" w:rsidTr="00CE7E90">
        <w:tc>
          <w:tcPr>
            <w:tcW w:w="5000" w:type="pct"/>
            <w:gridSpan w:val="2"/>
            <w:tcMar>
              <w:top w:w="28" w:type="dxa"/>
              <w:left w:w="57" w:type="dxa"/>
              <w:bottom w:w="28" w:type="dxa"/>
              <w:right w:w="57" w:type="dxa"/>
            </w:tcMar>
          </w:tcPr>
          <w:p w14:paraId="2B33A4BC" w14:textId="77777777" w:rsidR="00841282" w:rsidRPr="00600870" w:rsidRDefault="00841282" w:rsidP="00CE7E90">
            <w:pPr>
              <w:widowControl/>
              <w:numPr>
                <w:ilvl w:val="0"/>
                <w:numId w:val="73"/>
              </w:numPr>
              <w:adjustRightInd w:val="0"/>
              <w:ind w:left="567" w:hanging="567"/>
              <w:contextualSpacing/>
              <w:textAlignment w:val="center"/>
              <w:rPr>
                <w:color w:val="000000"/>
                <w:lang w:eastAsia="en-GB"/>
              </w:rPr>
            </w:pPr>
            <w:r w:rsidRPr="002B65F7">
              <w:rPr>
                <w:color w:val="000000"/>
                <w:lang w:eastAsia="ja-JP"/>
              </w:rPr>
              <w:t>Laissez la peau sécher naturellement.</w:t>
            </w:r>
          </w:p>
        </w:tc>
      </w:tr>
      <w:tr w:rsidR="00841282" w:rsidRPr="002B65F7" w14:paraId="76F2B63E" w14:textId="77777777" w:rsidTr="00CE7E90">
        <w:trPr>
          <w:trHeight w:val="283"/>
        </w:trPr>
        <w:tc>
          <w:tcPr>
            <w:tcW w:w="5000" w:type="pct"/>
            <w:gridSpan w:val="2"/>
            <w:tcMar>
              <w:top w:w="28" w:type="dxa"/>
              <w:left w:w="57" w:type="dxa"/>
              <w:bottom w:w="28" w:type="dxa"/>
              <w:right w:w="57" w:type="dxa"/>
            </w:tcMar>
          </w:tcPr>
          <w:p w14:paraId="7349F2C0" w14:textId="77777777" w:rsidR="00841282" w:rsidRPr="002B65F7" w:rsidRDefault="00841282" w:rsidP="00CE7E90">
            <w:pPr>
              <w:widowControl/>
              <w:numPr>
                <w:ilvl w:val="0"/>
                <w:numId w:val="73"/>
              </w:numPr>
              <w:adjustRightInd w:val="0"/>
              <w:ind w:left="567" w:hanging="567"/>
              <w:contextualSpacing/>
              <w:textAlignment w:val="center"/>
              <w:rPr>
                <w:color w:val="000000"/>
                <w:lang w:eastAsia="en-GB"/>
              </w:rPr>
            </w:pPr>
            <w:r w:rsidRPr="002B65F7">
              <w:rPr>
                <w:b/>
                <w:bCs/>
                <w:color w:val="000000"/>
                <w:lang w:eastAsia="ja-JP"/>
              </w:rPr>
              <w:t>Ne touchez p</w:t>
            </w:r>
            <w:r>
              <w:rPr>
                <w:b/>
                <w:bCs/>
                <w:color w:val="000000"/>
                <w:lang w:eastAsia="ja-JP"/>
              </w:rPr>
              <w:t>lus</w:t>
            </w:r>
            <w:r w:rsidRPr="002B65F7">
              <w:rPr>
                <w:color w:val="000000"/>
                <w:lang w:eastAsia="ja-JP"/>
              </w:rPr>
              <w:t xml:space="preserve"> cette zone avant d’inject</w:t>
            </w:r>
            <w:r>
              <w:rPr>
                <w:color w:val="000000"/>
                <w:lang w:eastAsia="ja-JP"/>
              </w:rPr>
              <w:t>er</w:t>
            </w:r>
            <w:r w:rsidRPr="002B65F7">
              <w:rPr>
                <w:color w:val="000000"/>
                <w:lang w:eastAsia="ja-JP"/>
              </w:rPr>
              <w:t>.</w:t>
            </w:r>
          </w:p>
        </w:tc>
      </w:tr>
    </w:tbl>
    <w:p w14:paraId="58466A86" w14:textId="77777777" w:rsidR="00841282" w:rsidRPr="00600870" w:rsidRDefault="00841282" w:rsidP="00841282">
      <w:pPr>
        <w:tabs>
          <w:tab w:val="left" w:pos="567"/>
        </w:tabs>
        <w:jc w:val="both"/>
      </w:pPr>
    </w:p>
    <w:tbl>
      <w:tblPr>
        <w:tblW w:w="5026" w:type="pct"/>
        <w:tblLayout w:type="fixed"/>
        <w:tblCellMar>
          <w:left w:w="28" w:type="dxa"/>
        </w:tblCellMar>
        <w:tblLook w:val="04A0" w:firstRow="1" w:lastRow="0" w:firstColumn="1" w:lastColumn="0" w:noHBand="0" w:noVBand="1"/>
      </w:tblPr>
      <w:tblGrid>
        <w:gridCol w:w="454"/>
        <w:gridCol w:w="8664"/>
      </w:tblGrid>
      <w:tr w:rsidR="00841282" w:rsidRPr="002B65F7" w14:paraId="3BD0E629" w14:textId="77777777" w:rsidTr="00CE7E90">
        <w:trPr>
          <w:trHeight w:val="360"/>
        </w:trPr>
        <w:tc>
          <w:tcPr>
            <w:tcW w:w="5000" w:type="pct"/>
            <w:gridSpan w:val="2"/>
            <w:shd w:val="clear" w:color="auto" w:fill="9CC2E5"/>
            <w:tcMar>
              <w:top w:w="28" w:type="dxa"/>
              <w:left w:w="57" w:type="dxa"/>
              <w:bottom w:w="28" w:type="dxa"/>
              <w:right w:w="57" w:type="dxa"/>
            </w:tcMar>
            <w:vAlign w:val="center"/>
          </w:tcPr>
          <w:p w14:paraId="20717637" w14:textId="77777777" w:rsidR="00841282" w:rsidRPr="002B65F7" w:rsidRDefault="00841282" w:rsidP="00CE7E90">
            <w:pPr>
              <w:keepNext/>
              <w:keepLines/>
              <w:adjustRightInd w:val="0"/>
              <w:rPr>
                <w:b/>
                <w:bCs/>
                <w:color w:val="000000"/>
                <w:lang w:val="en-GB"/>
              </w:rPr>
            </w:pPr>
            <w:r w:rsidRPr="00600870">
              <w:lastRenderedPageBreak/>
              <w:br w:type="page"/>
            </w:r>
            <w:r w:rsidRPr="002B65F7">
              <w:rPr>
                <w:b/>
                <w:bCs/>
                <w:lang w:val="en-GB"/>
              </w:rPr>
              <w:t>Injection de WEZENLA</w:t>
            </w:r>
          </w:p>
        </w:tc>
      </w:tr>
      <w:tr w:rsidR="00841282" w:rsidRPr="002B65F7" w14:paraId="04169E54" w14:textId="77777777" w:rsidTr="00CE7E90">
        <w:trPr>
          <w:trHeight w:val="269"/>
        </w:trPr>
        <w:tc>
          <w:tcPr>
            <w:tcW w:w="249" w:type="pct"/>
            <w:tcBorders>
              <w:bottom w:val="single" w:sz="4" w:space="0" w:color="auto"/>
            </w:tcBorders>
            <w:shd w:val="clear" w:color="auto" w:fill="FFFFFF"/>
            <w:tcMar>
              <w:top w:w="28" w:type="dxa"/>
              <w:left w:w="57" w:type="dxa"/>
              <w:bottom w:w="28" w:type="dxa"/>
              <w:right w:w="57" w:type="dxa"/>
            </w:tcMar>
          </w:tcPr>
          <w:p w14:paraId="581A85FD" w14:textId="77777777" w:rsidR="00841282" w:rsidRPr="002B65F7" w:rsidRDefault="00841282" w:rsidP="00CE7E90">
            <w:pPr>
              <w:keepNext/>
              <w:keepLines/>
              <w:adjustRightInd w:val="0"/>
              <w:jc w:val="both"/>
              <w:rPr>
                <w:b/>
                <w:bCs/>
                <w:color w:val="000000"/>
                <w:lang w:val="en-GB"/>
              </w:rPr>
            </w:pPr>
          </w:p>
        </w:tc>
        <w:tc>
          <w:tcPr>
            <w:tcW w:w="4751" w:type="pct"/>
            <w:shd w:val="clear" w:color="auto" w:fill="FFFFFF"/>
          </w:tcPr>
          <w:p w14:paraId="0C93259D" w14:textId="77777777" w:rsidR="00841282" w:rsidRPr="002B65F7" w:rsidRDefault="00841282" w:rsidP="00CE7E90">
            <w:pPr>
              <w:keepNext/>
              <w:keepLines/>
              <w:adjustRightInd w:val="0"/>
              <w:jc w:val="both"/>
              <w:rPr>
                <w:b/>
                <w:bCs/>
                <w:sz w:val="24"/>
                <w:lang w:val="en-GB"/>
              </w:rPr>
            </w:pPr>
          </w:p>
        </w:tc>
      </w:tr>
      <w:tr w:rsidR="00841282" w:rsidRPr="002B65F7" w14:paraId="7D9520F8" w14:textId="77777777" w:rsidTr="00CE7E90">
        <w:trPr>
          <w:trHeight w:val="720"/>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72C4A905" w14:textId="77777777" w:rsidR="00841282" w:rsidRPr="00600870" w:rsidRDefault="00841282" w:rsidP="00CE7E90">
            <w:pPr>
              <w:keepNext/>
              <w:keepLines/>
              <w:adjustRightInd w:val="0"/>
              <w:ind w:left="72"/>
              <w:rPr>
                <w:b/>
                <w:bCs/>
                <w:shd w:val="clear" w:color="auto" w:fill="FFFFFF"/>
              </w:rPr>
            </w:pPr>
            <w:r w:rsidRPr="002B65F7">
              <w:rPr>
                <w:b/>
                <w:bCs/>
                <w:shd w:val="clear" w:color="auto" w:fill="FFFFFF"/>
              </w:rPr>
              <w:t>Important :</w:t>
            </w:r>
            <w:r w:rsidRPr="002B65F7">
              <w:rPr>
                <w:shd w:val="clear" w:color="auto" w:fill="FFFFFF"/>
              </w:rPr>
              <w:t xml:space="preserve"> </w:t>
            </w:r>
            <w:r w:rsidRPr="002B65F7">
              <w:t xml:space="preserve">ne retirez le capuchon que lorsque vous êtes prêt(e) à procéder à l’injection (dans les 5 minutes), car le médicament pourrait sécher. </w:t>
            </w:r>
            <w:r w:rsidRPr="002B65F7">
              <w:rPr>
                <w:b/>
                <w:bCs/>
              </w:rPr>
              <w:t xml:space="preserve">Ne remettez pas </w:t>
            </w:r>
            <w:r w:rsidRPr="002B65F7">
              <w:t>le capuchon.</w:t>
            </w:r>
          </w:p>
        </w:tc>
      </w:tr>
      <w:tr w:rsidR="00841282" w:rsidRPr="002B65F7" w14:paraId="0126D8A7" w14:textId="77777777" w:rsidTr="00CE7E90">
        <w:tc>
          <w:tcPr>
            <w:tcW w:w="5000" w:type="pct"/>
            <w:gridSpan w:val="2"/>
            <w:tcMar>
              <w:top w:w="28" w:type="dxa"/>
              <w:left w:w="57" w:type="dxa"/>
              <w:bottom w:w="28" w:type="dxa"/>
              <w:right w:w="57" w:type="dxa"/>
            </w:tcMar>
            <w:vAlign w:val="center"/>
          </w:tcPr>
          <w:p w14:paraId="5D1EC98C" w14:textId="3DF6A648" w:rsidR="00841282" w:rsidRPr="002B65F7" w:rsidRDefault="00A2167E" w:rsidP="00CE7E90">
            <w:pPr>
              <w:adjustRightInd w:val="0"/>
              <w:jc w:val="center"/>
              <w:rPr>
                <w:shd w:val="clear" w:color="auto" w:fill="FFFFFF"/>
                <w:lang w:val="en-GB"/>
              </w:rPr>
            </w:pPr>
            <w:r>
              <w:rPr>
                <w:noProof/>
              </w:rPr>
              <mc:AlternateContent>
                <mc:Choice Requires="wps">
                  <w:drawing>
                    <wp:anchor distT="0" distB="0" distL="114300" distR="114300" simplePos="0" relativeHeight="251660800" behindDoc="0" locked="0" layoutInCell="1" allowOverlap="1" wp14:anchorId="2DAA903A" wp14:editId="034660A7">
                      <wp:simplePos x="0" y="0"/>
                      <wp:positionH relativeFrom="column">
                        <wp:posOffset>1038225</wp:posOffset>
                      </wp:positionH>
                      <wp:positionV relativeFrom="paragraph">
                        <wp:posOffset>260985</wp:posOffset>
                      </wp:positionV>
                      <wp:extent cx="1127125" cy="946150"/>
                      <wp:effectExtent l="0" t="0" r="0" b="0"/>
                      <wp:wrapNone/>
                      <wp:docPr id="21294486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946150"/>
                              </a:xfrm>
                              <a:prstGeom prst="rect">
                                <a:avLst/>
                              </a:prstGeom>
                              <a:noFill/>
                              <a:ln w="6350">
                                <a:noFill/>
                              </a:ln>
                            </wps:spPr>
                            <wps:txbx>
                              <w:txbxContent>
                                <w:p w14:paraId="6DBA6A68" w14:textId="0FCDAB40" w:rsidR="00841282" w:rsidRPr="00B006B8" w:rsidRDefault="001E2BD2" w:rsidP="00841282">
                                  <w:pPr>
                                    <w:adjustRightInd w:val="0"/>
                                    <w:rPr>
                                      <w:shd w:val="clear" w:color="auto" w:fill="FFFFFF"/>
                                    </w:rPr>
                                  </w:pPr>
                                  <w:r w:rsidRPr="00205379">
                                    <w:rPr>
                                      <w:rFonts w:eastAsia="PMingLiU"/>
                                    </w:rPr>
                                    <w:t>La fenêtre doit être visible.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A903A" id="Text Box 1" o:spid="_x0000_s1035" type="#_x0000_t202" style="position:absolute;left:0;text-align:left;margin-left:81.75pt;margin-top:20.55pt;width:88.75pt;height:7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" filled="f" stroked="f" strokeweight=".5pt">
                      <v:textbox>
                        <w:txbxContent>
                          <w:p w14:paraId="6DBA6A68" w14:textId="0FCDAB40" w:rsidR="00841282" w:rsidRPr="00B006B8" w:rsidRDefault="001E2BD2" w:rsidP="00841282">
                            <w:pPr>
                              <w:adjustRightInd w:val="0"/>
                              <w:rPr>
                                <w:shd w:val="clear" w:color="auto" w:fill="FFFFFF"/>
                              </w:rPr>
                            </w:pPr>
                            <w:r w:rsidRPr="00205379">
                              <w:rPr>
                                <w:rFonts w:eastAsia="PMingLiU"/>
                              </w:rPr>
                              <w:t>La fenêtre doit être visible.</w:t>
                            </w:r>
                          </w:p>
                        </w:txbxContent>
                      </v:textbox>
                    </v:shape>
                  </w:pict>
                </mc:Fallback>
              </mc:AlternateContent>
            </w:r>
            <w:r>
              <w:rPr>
                <w:noProof/>
                <w:shd w:val="clear" w:color="auto" w:fill="FFFFFF"/>
                <w:lang w:val="en-US" w:eastAsia="zh-CN"/>
              </w:rPr>
              <w:drawing>
                <wp:inline distT="0" distB="0" distL="0" distR="0" wp14:anchorId="50E54627" wp14:editId="3CFAA179">
                  <wp:extent cx="2955290" cy="1788160"/>
                  <wp:effectExtent l="0" t="0" r="0" b="0"/>
                  <wp:docPr id="35" name="Picture 7"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close-up of a hand holding a pen&#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55290" cy="1788160"/>
                          </a:xfrm>
                          <a:prstGeom prst="rect">
                            <a:avLst/>
                          </a:prstGeom>
                          <a:noFill/>
                          <a:ln>
                            <a:noFill/>
                          </a:ln>
                        </pic:spPr>
                      </pic:pic>
                    </a:graphicData>
                  </a:graphic>
                </wp:inline>
              </w:drawing>
            </w:r>
          </w:p>
        </w:tc>
      </w:tr>
      <w:tr w:rsidR="00841282" w:rsidRPr="002B65F7" w14:paraId="5A5FFCB8" w14:textId="77777777" w:rsidTr="00CE7E90">
        <w:tc>
          <w:tcPr>
            <w:tcW w:w="249" w:type="pct"/>
            <w:tcMar>
              <w:top w:w="28" w:type="dxa"/>
              <w:left w:w="57" w:type="dxa"/>
              <w:bottom w:w="28" w:type="dxa"/>
              <w:right w:w="57" w:type="dxa"/>
            </w:tcMar>
          </w:tcPr>
          <w:p w14:paraId="4A523B82" w14:textId="77777777" w:rsidR="00841282" w:rsidRPr="002B65F7" w:rsidRDefault="00841282" w:rsidP="00CE7E90">
            <w:pPr>
              <w:keepNext/>
              <w:keepLines/>
              <w:tabs>
                <w:tab w:val="left" w:pos="567"/>
              </w:tabs>
              <w:adjustRightInd w:val="0"/>
              <w:ind w:left="360" w:hanging="360"/>
              <w:textAlignment w:val="center"/>
              <w:rPr>
                <w:b/>
                <w:bCs/>
                <w:shd w:val="clear" w:color="auto" w:fill="FFFFFF"/>
                <w:lang w:val="en-GB"/>
              </w:rPr>
            </w:pPr>
            <w:r w:rsidRPr="002B65F7">
              <w:rPr>
                <w:b/>
                <w:bCs/>
                <w:lang w:val="en-GB"/>
              </w:rPr>
              <w:t>8</w:t>
            </w:r>
          </w:p>
        </w:tc>
        <w:tc>
          <w:tcPr>
            <w:tcW w:w="4751" w:type="pct"/>
          </w:tcPr>
          <w:p w14:paraId="4FC1D6F3" w14:textId="77777777" w:rsidR="00841282" w:rsidRPr="002B65F7" w:rsidRDefault="00841282" w:rsidP="00CE7E90">
            <w:pPr>
              <w:keepNext/>
              <w:keepLines/>
              <w:tabs>
                <w:tab w:val="left" w:pos="567"/>
              </w:tabs>
              <w:adjustRightInd w:val="0"/>
              <w:textAlignment w:val="center"/>
              <w:rPr>
                <w:b/>
                <w:bCs/>
                <w:shd w:val="clear" w:color="auto" w:fill="FFFFFF"/>
              </w:rPr>
            </w:pPr>
            <w:r w:rsidRPr="002B65F7">
              <w:rPr>
                <w:rFonts w:eastAsia="PMingLiU"/>
                <w:b/>
              </w:rPr>
              <w:t>Tenez le stylo prérempli de sorte que vous pouvez voir la fenêtre.</w:t>
            </w:r>
            <w:r w:rsidRPr="002B65F7" w:rsidDel="00CA0005">
              <w:rPr>
                <w:b/>
                <w:bCs/>
                <w:shd w:val="clear" w:color="auto" w:fill="FFFFFF"/>
              </w:rPr>
              <w:t xml:space="preserve"> </w:t>
            </w:r>
            <w:r w:rsidRPr="002B65F7">
              <w:rPr>
                <w:b/>
                <w:bCs/>
                <w:shd w:val="clear" w:color="auto" w:fill="FFFFFF"/>
              </w:rPr>
              <w:t>Tirez fort pour retirer le capuchon. Vous pouvez faire tourner le capuchon afin de vous aider à le retirer.</w:t>
            </w:r>
          </w:p>
        </w:tc>
      </w:tr>
      <w:tr w:rsidR="00841282" w:rsidRPr="002B65F7" w14:paraId="535A944D" w14:textId="77777777" w:rsidTr="00CE7E90">
        <w:tc>
          <w:tcPr>
            <w:tcW w:w="5000" w:type="pct"/>
            <w:gridSpan w:val="2"/>
            <w:tcMar>
              <w:top w:w="28" w:type="dxa"/>
              <w:left w:w="57" w:type="dxa"/>
              <w:bottom w:w="28" w:type="dxa"/>
              <w:right w:w="57" w:type="dxa"/>
            </w:tcMar>
          </w:tcPr>
          <w:p w14:paraId="2F6F13E2" w14:textId="77777777" w:rsidR="00841282" w:rsidRPr="002B65F7" w:rsidRDefault="00841282" w:rsidP="00CE7E90">
            <w:pPr>
              <w:keepNext/>
              <w:keepLines/>
              <w:widowControl/>
              <w:numPr>
                <w:ilvl w:val="0"/>
                <w:numId w:val="74"/>
              </w:numPr>
              <w:ind w:left="567" w:hanging="567"/>
              <w:textAlignment w:val="center"/>
              <w:rPr>
                <w:color w:val="000000"/>
                <w:lang w:eastAsia="en-GB"/>
              </w:rPr>
            </w:pPr>
            <w:r w:rsidRPr="002B65F7">
              <w:rPr>
                <w:rFonts w:eastAsia="PMingLiU"/>
                <w:b/>
                <w:szCs w:val="20"/>
              </w:rPr>
              <w:t>Ne remettez jamais</w:t>
            </w:r>
            <w:r w:rsidRPr="002B65F7">
              <w:rPr>
                <w:rFonts w:eastAsia="PMingLiU"/>
                <w:szCs w:val="20"/>
              </w:rPr>
              <w:t xml:space="preserve"> le capuchon. Cela pourrait endommager l’aiguille.</w:t>
            </w:r>
          </w:p>
        </w:tc>
      </w:tr>
      <w:tr w:rsidR="00841282" w:rsidRPr="002B65F7" w14:paraId="4F13889F" w14:textId="77777777" w:rsidTr="00CE7E90">
        <w:tc>
          <w:tcPr>
            <w:tcW w:w="5000" w:type="pct"/>
            <w:gridSpan w:val="2"/>
            <w:tcMar>
              <w:top w:w="28" w:type="dxa"/>
              <w:left w:w="57" w:type="dxa"/>
              <w:bottom w:w="28" w:type="dxa"/>
              <w:right w:w="57" w:type="dxa"/>
            </w:tcMar>
          </w:tcPr>
          <w:p w14:paraId="54F82796" w14:textId="77777777" w:rsidR="00841282" w:rsidRPr="002B65F7" w:rsidRDefault="00841282" w:rsidP="00CE7E90">
            <w:pPr>
              <w:pStyle w:val="ListParagraph"/>
              <w:keepNext/>
              <w:keepLines/>
              <w:numPr>
                <w:ilvl w:val="0"/>
                <w:numId w:val="74"/>
              </w:numPr>
              <w:ind w:left="567" w:hanging="567"/>
              <w:jc w:val="both"/>
              <w:textAlignment w:val="center"/>
              <w:rPr>
                <w:shd w:val="clear" w:color="auto" w:fill="FFFFFF"/>
                <w:lang w:eastAsia="en-GB"/>
              </w:rPr>
            </w:pPr>
            <w:r w:rsidRPr="002B65F7">
              <w:rPr>
                <w:rFonts w:eastAsia="PMingLiU"/>
                <w:color w:val="000000"/>
                <w:szCs w:val="20"/>
              </w:rPr>
              <w:t>Il est normal d’apercevoir une goutte de médicament à l’extrémité de l’aiguille ou de la protection jaune.</w:t>
            </w:r>
          </w:p>
        </w:tc>
      </w:tr>
      <w:tr w:rsidR="00841282" w:rsidRPr="002B65F7" w14:paraId="64AB920D" w14:textId="77777777" w:rsidTr="00CE7E90">
        <w:trPr>
          <w:trHeight w:val="720"/>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3B6D2184" w14:textId="77777777" w:rsidR="00841282" w:rsidRPr="00600870" w:rsidRDefault="00841282" w:rsidP="00CE7E90">
            <w:pPr>
              <w:keepNext/>
              <w:keepLines/>
              <w:adjustRightInd w:val="0"/>
              <w:ind w:left="72"/>
              <w:contextualSpacing/>
              <w:textAlignment w:val="center"/>
              <w:rPr>
                <w:shd w:val="clear" w:color="auto" w:fill="FFFFFF"/>
                <w:lang w:eastAsia="en-GB"/>
              </w:rPr>
            </w:pPr>
            <w:r w:rsidRPr="002B65F7">
              <w:rPr>
                <w:b/>
                <w:bCs/>
                <w:color w:val="000000"/>
                <w:lang w:eastAsia="en-GB"/>
              </w:rPr>
              <w:t>Important :</w:t>
            </w:r>
            <w:r w:rsidRPr="002B65F7">
              <w:rPr>
                <w:color w:val="000000"/>
                <w:lang w:eastAsia="en-GB"/>
              </w:rPr>
              <w:t xml:space="preserve"> ne touchez pas et ne poussez pas la protection jaune. </w:t>
            </w:r>
            <w:r w:rsidRPr="00600870">
              <w:rPr>
                <w:rFonts w:eastAsia="PMingLiU"/>
                <w:b/>
                <w:bCs/>
                <w:color w:val="000000"/>
                <w:szCs w:val="20"/>
              </w:rPr>
              <w:t xml:space="preserve">Ne </w:t>
            </w:r>
            <w:r w:rsidRPr="002B65F7">
              <w:rPr>
                <w:rFonts w:eastAsia="PMingLiU"/>
                <w:b/>
                <w:bCs/>
                <w:color w:val="000000"/>
                <w:szCs w:val="20"/>
              </w:rPr>
              <w:t xml:space="preserve">mettez </w:t>
            </w:r>
            <w:r w:rsidRPr="00600870">
              <w:rPr>
                <w:rFonts w:eastAsia="PMingLiU"/>
                <w:b/>
                <w:bCs/>
                <w:color w:val="000000"/>
                <w:szCs w:val="20"/>
              </w:rPr>
              <w:t>pas</w:t>
            </w:r>
            <w:r w:rsidRPr="002B65F7">
              <w:rPr>
                <w:rFonts w:eastAsia="PMingLiU"/>
                <w:b/>
                <w:bCs/>
                <w:color w:val="000000"/>
                <w:szCs w:val="20"/>
              </w:rPr>
              <w:t xml:space="preserve"> </w:t>
            </w:r>
            <w:r w:rsidRPr="002B65F7">
              <w:rPr>
                <w:rFonts w:eastAsia="PMingLiU"/>
                <w:color w:val="000000"/>
                <w:szCs w:val="20"/>
              </w:rPr>
              <w:t>votre doigt à l’intérieur de la protection jaune.</w:t>
            </w:r>
          </w:p>
        </w:tc>
      </w:tr>
    </w:tbl>
    <w:p w14:paraId="250EF968" w14:textId="77777777" w:rsidR="00841282" w:rsidRPr="00600870" w:rsidRDefault="00841282" w:rsidP="00841282">
      <w:pPr>
        <w:tabs>
          <w:tab w:val="left" w:pos="567"/>
        </w:tabs>
      </w:pPr>
    </w:p>
    <w:tbl>
      <w:tblPr>
        <w:tblW w:w="5028" w:type="pct"/>
        <w:tblLayout w:type="fixed"/>
        <w:tblCellMar>
          <w:left w:w="28" w:type="dxa"/>
        </w:tblCellMar>
        <w:tblLook w:val="04A0" w:firstRow="1" w:lastRow="0" w:firstColumn="1" w:lastColumn="0" w:noHBand="0" w:noVBand="1"/>
      </w:tblPr>
      <w:tblGrid>
        <w:gridCol w:w="456"/>
        <w:gridCol w:w="8666"/>
      </w:tblGrid>
      <w:tr w:rsidR="00841282" w:rsidRPr="002B65F7" w14:paraId="1639AB19" w14:textId="77777777" w:rsidTr="00CE7E90">
        <w:tc>
          <w:tcPr>
            <w:tcW w:w="5000" w:type="pct"/>
            <w:gridSpan w:val="2"/>
            <w:tcMar>
              <w:top w:w="28" w:type="dxa"/>
              <w:left w:w="57" w:type="dxa"/>
              <w:bottom w:w="28" w:type="dxa"/>
              <w:right w:w="57" w:type="dxa"/>
            </w:tcMar>
            <w:vAlign w:val="center"/>
          </w:tcPr>
          <w:p w14:paraId="4A82C7D9" w14:textId="7127FA94" w:rsidR="00841282" w:rsidRPr="002B65F7" w:rsidRDefault="00A2167E" w:rsidP="00CE7E90">
            <w:pPr>
              <w:adjustRightInd w:val="0"/>
              <w:jc w:val="center"/>
              <w:rPr>
                <w:shd w:val="clear" w:color="auto" w:fill="FFFFFF"/>
                <w:lang w:val="en-GB"/>
              </w:rPr>
            </w:pPr>
            <w:r>
              <w:rPr>
                <w:noProof/>
                <w:shd w:val="clear" w:color="auto" w:fill="FFFFFF"/>
                <w:lang w:val="en-US" w:eastAsia="zh-CN"/>
              </w:rPr>
              <w:drawing>
                <wp:inline distT="0" distB="0" distL="0" distR="0" wp14:anchorId="06C11B4A" wp14:editId="767B3EDF">
                  <wp:extent cx="2743200" cy="1828800"/>
                  <wp:effectExtent l="0" t="0" r="0" b="0"/>
                  <wp:docPr id="36" name="Picture 6"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close-up of a hand holding a syringe&#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tc>
      </w:tr>
      <w:tr w:rsidR="00841282" w:rsidRPr="002B65F7" w14:paraId="221C0435" w14:textId="77777777" w:rsidTr="00CE7E90">
        <w:tc>
          <w:tcPr>
            <w:tcW w:w="250" w:type="pct"/>
            <w:tcMar>
              <w:top w:w="28" w:type="dxa"/>
              <w:left w:w="57" w:type="dxa"/>
              <w:bottom w:w="28" w:type="dxa"/>
              <w:right w:w="57" w:type="dxa"/>
            </w:tcMar>
          </w:tcPr>
          <w:p w14:paraId="3D659AB3" w14:textId="77777777" w:rsidR="00841282" w:rsidRPr="002B65F7" w:rsidRDefault="00841282" w:rsidP="00CE7E90">
            <w:pPr>
              <w:tabs>
                <w:tab w:val="left" w:pos="567"/>
              </w:tabs>
              <w:adjustRightInd w:val="0"/>
              <w:textAlignment w:val="center"/>
              <w:rPr>
                <w:b/>
                <w:bCs/>
                <w:lang w:val="en-GB"/>
              </w:rPr>
            </w:pPr>
            <w:r w:rsidRPr="002B65F7">
              <w:rPr>
                <w:b/>
                <w:bCs/>
                <w:lang w:val="en-GB"/>
              </w:rPr>
              <w:t>9</w:t>
            </w:r>
          </w:p>
        </w:tc>
        <w:tc>
          <w:tcPr>
            <w:tcW w:w="4750" w:type="pct"/>
            <w:tcMar>
              <w:left w:w="57" w:type="dxa"/>
            </w:tcMar>
          </w:tcPr>
          <w:p w14:paraId="7DEC9CD7" w14:textId="77777777" w:rsidR="00841282" w:rsidRPr="00600870" w:rsidRDefault="00841282" w:rsidP="00CE7E90">
            <w:pPr>
              <w:adjustRightInd w:val="0"/>
              <w:rPr>
                <w:rFonts w:eastAsia="Malgun Gothic"/>
                <w:b/>
                <w:bCs/>
                <w:color w:val="000000"/>
                <w:shd w:val="clear" w:color="auto" w:fill="FFFFFF"/>
                <w:lang w:eastAsia="ko-KR" w:bidi="he-IL"/>
              </w:rPr>
            </w:pPr>
            <w:r w:rsidRPr="002B65F7">
              <w:rPr>
                <w:rFonts w:eastAsia="PMingLiU"/>
                <w:b/>
              </w:rPr>
              <w:t>Pincez la peau pour créer une surface ferme au site d’injection.</w:t>
            </w:r>
            <w:r w:rsidRPr="00600870" w:rsidDel="00F37E17">
              <w:rPr>
                <w:rFonts w:eastAsia="Malgun Gothic"/>
                <w:b/>
                <w:bCs/>
                <w:color w:val="000000"/>
                <w:lang w:eastAsia="ko-KR" w:bidi="he-IL"/>
              </w:rPr>
              <w:t xml:space="preserve"> </w:t>
            </w:r>
          </w:p>
          <w:p w14:paraId="7949DFCF" w14:textId="77777777" w:rsidR="00841282" w:rsidRPr="00600870" w:rsidRDefault="00841282" w:rsidP="00CE7E90">
            <w:pPr>
              <w:adjustRightInd w:val="0"/>
              <w:rPr>
                <w:rFonts w:eastAsia="Malgun Gothic"/>
                <w:b/>
                <w:bCs/>
                <w:noProof/>
                <w:color w:val="000000"/>
                <w:lang w:eastAsia="ko-KR" w:bidi="he-IL"/>
              </w:rPr>
            </w:pPr>
            <w:r w:rsidRPr="002B65F7">
              <w:rPr>
                <w:rFonts w:eastAsia="PMingLiU"/>
                <w:b/>
              </w:rPr>
              <w:t>Placez la protection jaune directement contre la peau pincée.</w:t>
            </w:r>
          </w:p>
        </w:tc>
      </w:tr>
      <w:tr w:rsidR="00841282" w:rsidRPr="002B65F7" w14:paraId="787FE6BC" w14:textId="77777777" w:rsidTr="00CE7E90">
        <w:tc>
          <w:tcPr>
            <w:tcW w:w="5000" w:type="pct"/>
            <w:gridSpan w:val="2"/>
            <w:tcMar>
              <w:top w:w="28" w:type="dxa"/>
              <w:left w:w="57" w:type="dxa"/>
              <w:bottom w:w="28" w:type="dxa"/>
              <w:right w:w="57" w:type="dxa"/>
            </w:tcMar>
          </w:tcPr>
          <w:p w14:paraId="27DA3069" w14:textId="77777777" w:rsidR="00841282" w:rsidRPr="00600870" w:rsidRDefault="00841282" w:rsidP="00CE7E90">
            <w:pPr>
              <w:numPr>
                <w:ilvl w:val="0"/>
                <w:numId w:val="75"/>
              </w:numPr>
              <w:ind w:left="567" w:hanging="567"/>
              <w:textAlignment w:val="center"/>
              <w:rPr>
                <w:lang w:eastAsia="en-GB"/>
              </w:rPr>
            </w:pPr>
            <w:r w:rsidRPr="002B65F7">
              <w:rPr>
                <w:rFonts w:eastAsia="PMingLiU"/>
                <w:szCs w:val="20"/>
              </w:rPr>
              <w:t xml:space="preserve">Maintenez la peau </w:t>
            </w:r>
            <w:r w:rsidRPr="002B65F7">
              <w:rPr>
                <w:rFonts w:eastAsia="PMingLiU"/>
                <w:b/>
                <w:szCs w:val="20"/>
              </w:rPr>
              <w:t>pincée</w:t>
            </w:r>
            <w:r w:rsidRPr="002B65F7">
              <w:rPr>
                <w:rFonts w:eastAsia="PMingLiU"/>
                <w:szCs w:val="20"/>
              </w:rPr>
              <w:t xml:space="preserve"> jusqu’à ce que l’injection soit terminée.</w:t>
            </w:r>
          </w:p>
        </w:tc>
      </w:tr>
      <w:tr w:rsidR="00841282" w:rsidRPr="002B65F7" w14:paraId="3915CF67" w14:textId="77777777" w:rsidTr="00CE7E90">
        <w:tc>
          <w:tcPr>
            <w:tcW w:w="5000" w:type="pct"/>
            <w:gridSpan w:val="2"/>
            <w:tcMar>
              <w:top w:w="28" w:type="dxa"/>
              <w:left w:w="57" w:type="dxa"/>
              <w:bottom w:w="28" w:type="dxa"/>
              <w:right w:w="57" w:type="dxa"/>
            </w:tcMar>
          </w:tcPr>
          <w:p w14:paraId="5DC3BC25" w14:textId="77777777" w:rsidR="00841282" w:rsidRPr="00600870" w:rsidRDefault="00841282" w:rsidP="00CE7E90">
            <w:pPr>
              <w:numPr>
                <w:ilvl w:val="0"/>
                <w:numId w:val="75"/>
              </w:numPr>
              <w:ind w:left="567" w:hanging="567"/>
              <w:textAlignment w:val="center"/>
              <w:rPr>
                <w:color w:val="000000"/>
                <w:lang w:eastAsia="en-GB"/>
              </w:rPr>
            </w:pPr>
            <w:r w:rsidRPr="002B65F7">
              <w:rPr>
                <w:rFonts w:eastAsia="PMingLiU"/>
                <w:szCs w:val="20"/>
              </w:rPr>
              <w:t>Assurez-vous que vous pouvez voir la fenêtre.</w:t>
            </w:r>
          </w:p>
        </w:tc>
      </w:tr>
      <w:tr w:rsidR="00841282" w:rsidRPr="002B65F7" w14:paraId="03092E75" w14:textId="77777777" w:rsidTr="00CE7E90">
        <w:tc>
          <w:tcPr>
            <w:tcW w:w="5000" w:type="pct"/>
            <w:gridSpan w:val="2"/>
            <w:tcMar>
              <w:top w:w="28" w:type="dxa"/>
              <w:left w:w="57" w:type="dxa"/>
              <w:bottom w:w="28" w:type="dxa"/>
              <w:right w:w="57" w:type="dxa"/>
            </w:tcMar>
          </w:tcPr>
          <w:p w14:paraId="14C274D8" w14:textId="77777777" w:rsidR="00841282" w:rsidRPr="00600870" w:rsidRDefault="00841282" w:rsidP="00CE7E90">
            <w:pPr>
              <w:numPr>
                <w:ilvl w:val="0"/>
                <w:numId w:val="75"/>
              </w:numPr>
              <w:ind w:left="567" w:hanging="567"/>
              <w:textAlignment w:val="center"/>
              <w:rPr>
                <w:shd w:val="clear" w:color="auto" w:fill="FFFFFF"/>
                <w:lang w:eastAsia="en-GB"/>
              </w:rPr>
            </w:pPr>
            <w:r w:rsidRPr="002B65F7">
              <w:rPr>
                <w:rFonts w:eastAsia="PMingLiU"/>
                <w:szCs w:val="20"/>
              </w:rPr>
              <w:t>Assurez-vous que le stylo prérempli est placé bien droit sur le site d’injection (à un angle de 90 degrés).</w:t>
            </w:r>
          </w:p>
        </w:tc>
      </w:tr>
    </w:tbl>
    <w:p w14:paraId="1247E386" w14:textId="77777777" w:rsidR="00841282" w:rsidRPr="00600870" w:rsidRDefault="00841282" w:rsidP="00841282">
      <w:pPr>
        <w:tabs>
          <w:tab w:val="left" w:pos="567"/>
        </w:tabs>
      </w:pPr>
    </w:p>
    <w:tbl>
      <w:tblPr>
        <w:tblW w:w="4996" w:type="pct"/>
        <w:tblInd w:w="57" w:type="dxa"/>
        <w:tblLayout w:type="fixed"/>
        <w:tblCellMar>
          <w:left w:w="28" w:type="dxa"/>
        </w:tblCellMar>
        <w:tblLook w:val="04A0" w:firstRow="1" w:lastRow="0" w:firstColumn="1" w:lastColumn="0" w:noHBand="0" w:noVBand="1"/>
      </w:tblPr>
      <w:tblGrid>
        <w:gridCol w:w="401"/>
        <w:gridCol w:w="8663"/>
      </w:tblGrid>
      <w:tr w:rsidR="00841282" w:rsidRPr="002B65F7" w14:paraId="1C271C0E" w14:textId="77777777" w:rsidTr="00881565">
        <w:tc>
          <w:tcPr>
            <w:tcW w:w="5000" w:type="pct"/>
            <w:gridSpan w:val="2"/>
            <w:tcMar>
              <w:top w:w="28" w:type="dxa"/>
              <w:left w:w="57" w:type="dxa"/>
              <w:bottom w:w="28" w:type="dxa"/>
              <w:right w:w="57" w:type="dxa"/>
            </w:tcMar>
          </w:tcPr>
          <w:p w14:paraId="6AF034D1" w14:textId="77777777" w:rsidR="00841282" w:rsidRPr="002B65F7" w:rsidRDefault="00841282" w:rsidP="00CE7E90">
            <w:pPr>
              <w:keepNext/>
              <w:keepLines/>
              <w:adjustRightInd w:val="0"/>
              <w:jc w:val="center"/>
              <w:rPr>
                <w:b/>
                <w:bCs/>
                <w:shd w:val="clear" w:color="auto" w:fill="FFFFFF"/>
                <w:lang w:val="en-GB"/>
              </w:rPr>
            </w:pPr>
            <w:r w:rsidRPr="002B65F7">
              <w:rPr>
                <w:b/>
                <w:bCs/>
                <w:shd w:val="clear" w:color="auto" w:fill="FFFFFF"/>
                <w:lang w:val="en-GB"/>
              </w:rPr>
              <w:lastRenderedPageBreak/>
              <w:t>APPUYEZ ET MAINTENEZ</w:t>
            </w:r>
          </w:p>
        </w:tc>
      </w:tr>
      <w:tr w:rsidR="00841282" w:rsidRPr="002B65F7" w14:paraId="037E57B5" w14:textId="77777777" w:rsidTr="00881565">
        <w:tc>
          <w:tcPr>
            <w:tcW w:w="5000" w:type="pct"/>
            <w:gridSpan w:val="2"/>
            <w:tcMar>
              <w:top w:w="28" w:type="dxa"/>
              <w:left w:w="57" w:type="dxa"/>
              <w:bottom w:w="28" w:type="dxa"/>
              <w:right w:w="57" w:type="dxa"/>
            </w:tcMar>
          </w:tcPr>
          <w:p w14:paraId="236C0EBE" w14:textId="77777777" w:rsidR="00841282" w:rsidRPr="00600870" w:rsidRDefault="00841282" w:rsidP="00CE7E90">
            <w:pPr>
              <w:keepNext/>
              <w:keepLines/>
              <w:adjustRightInd w:val="0"/>
              <w:jc w:val="center"/>
              <w:rPr>
                <w:b/>
                <w:bCs/>
                <w:shd w:val="clear" w:color="auto" w:fill="FFFFFF"/>
              </w:rPr>
            </w:pPr>
            <w:r w:rsidRPr="00600870">
              <w:rPr>
                <w:b/>
                <w:bCs/>
                <w:color w:val="000000"/>
              </w:rPr>
              <w:t>enfoncé pour commencer l’injection</w:t>
            </w:r>
          </w:p>
        </w:tc>
      </w:tr>
      <w:tr w:rsidR="00841282" w:rsidRPr="002B65F7" w14:paraId="5066526E" w14:textId="77777777" w:rsidTr="00881565">
        <w:tc>
          <w:tcPr>
            <w:tcW w:w="5000" w:type="pct"/>
            <w:gridSpan w:val="2"/>
            <w:tcMar>
              <w:top w:w="28" w:type="dxa"/>
              <w:left w:w="57" w:type="dxa"/>
              <w:bottom w:w="28" w:type="dxa"/>
              <w:right w:w="57" w:type="dxa"/>
            </w:tcMar>
            <w:vAlign w:val="center"/>
          </w:tcPr>
          <w:p w14:paraId="20F77593" w14:textId="309637C6" w:rsidR="00841282" w:rsidRPr="002B65F7" w:rsidRDefault="00A2167E" w:rsidP="00CE7E90">
            <w:pPr>
              <w:keepNext/>
              <w:keepLines/>
              <w:adjustRightInd w:val="0"/>
              <w:jc w:val="center"/>
              <w:rPr>
                <w:noProof/>
                <w:lang w:val="en-GB"/>
              </w:rPr>
            </w:pPr>
            <w:r>
              <w:rPr>
                <w:noProof/>
                <w:lang w:val="en-US" w:eastAsia="zh-CN"/>
              </w:rPr>
              <w:drawing>
                <wp:inline distT="0" distB="0" distL="0" distR="0" wp14:anchorId="3940A68C" wp14:editId="64C33A08">
                  <wp:extent cx="2546985" cy="1583690"/>
                  <wp:effectExtent l="0" t="0" r="0" b="0"/>
                  <wp:docPr id="37" name="Picture 5" descr="A close-up of a hand holding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close-up of a hand holding a test tub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46985" cy="1583690"/>
                          </a:xfrm>
                          <a:prstGeom prst="rect">
                            <a:avLst/>
                          </a:prstGeom>
                          <a:noFill/>
                          <a:ln>
                            <a:noFill/>
                          </a:ln>
                        </pic:spPr>
                      </pic:pic>
                    </a:graphicData>
                  </a:graphic>
                </wp:inline>
              </w:drawing>
            </w:r>
          </w:p>
        </w:tc>
      </w:tr>
      <w:tr w:rsidR="00841282" w:rsidRPr="002B65F7" w14:paraId="359FFDF6" w14:textId="77777777" w:rsidTr="00881565">
        <w:tc>
          <w:tcPr>
            <w:tcW w:w="221" w:type="pct"/>
            <w:tcMar>
              <w:top w:w="28" w:type="dxa"/>
              <w:left w:w="57" w:type="dxa"/>
              <w:bottom w:w="28" w:type="dxa"/>
              <w:right w:w="57" w:type="dxa"/>
            </w:tcMar>
          </w:tcPr>
          <w:p w14:paraId="0075317D" w14:textId="77777777" w:rsidR="00841282" w:rsidRPr="002B65F7" w:rsidRDefault="00841282" w:rsidP="00CE7E90">
            <w:pPr>
              <w:keepNext/>
              <w:keepLines/>
              <w:tabs>
                <w:tab w:val="left" w:pos="567"/>
              </w:tabs>
              <w:adjustRightInd w:val="0"/>
              <w:textAlignment w:val="center"/>
              <w:rPr>
                <w:b/>
                <w:bCs/>
                <w:lang w:val="en-GB"/>
              </w:rPr>
            </w:pPr>
            <w:r w:rsidRPr="002B65F7">
              <w:rPr>
                <w:b/>
                <w:bCs/>
                <w:lang w:val="en-GB"/>
              </w:rPr>
              <w:t>10</w:t>
            </w:r>
          </w:p>
        </w:tc>
        <w:tc>
          <w:tcPr>
            <w:tcW w:w="4779" w:type="pct"/>
            <w:tcMar>
              <w:left w:w="57" w:type="dxa"/>
            </w:tcMar>
          </w:tcPr>
          <w:p w14:paraId="2AF82EA0" w14:textId="77777777" w:rsidR="00841282" w:rsidRPr="00600870" w:rsidRDefault="00841282" w:rsidP="00CE7E90">
            <w:pPr>
              <w:keepNext/>
              <w:keepLines/>
              <w:adjustRightInd w:val="0"/>
              <w:rPr>
                <w:b/>
                <w:bCs/>
                <w:shd w:val="clear" w:color="auto" w:fill="FFFFFF"/>
              </w:rPr>
            </w:pPr>
            <w:r w:rsidRPr="00600870">
              <w:rPr>
                <w:b/>
                <w:bCs/>
                <w:shd w:val="clear" w:color="auto" w:fill="FFFFFF"/>
              </w:rPr>
              <w:t>Enfoncez fermement le stylo prérempli jusqu’à ce que la protection jaune a</w:t>
            </w:r>
            <w:r w:rsidRPr="002B65F7">
              <w:rPr>
                <w:b/>
                <w:bCs/>
                <w:shd w:val="clear" w:color="auto" w:fill="FFFFFF"/>
              </w:rPr>
              <w:t>r</w:t>
            </w:r>
            <w:r w:rsidRPr="00600870">
              <w:rPr>
                <w:b/>
                <w:bCs/>
                <w:shd w:val="clear" w:color="auto" w:fill="FFFFFF"/>
              </w:rPr>
              <w:t>rête de bouger</w:t>
            </w:r>
            <w:r w:rsidRPr="002B65F7">
              <w:rPr>
                <w:b/>
                <w:bCs/>
                <w:shd w:val="clear" w:color="auto" w:fill="FFFFFF"/>
              </w:rPr>
              <w:t>.</w:t>
            </w:r>
          </w:p>
          <w:p w14:paraId="0E217C08" w14:textId="77777777" w:rsidR="00841282" w:rsidRPr="00600870" w:rsidRDefault="00841282" w:rsidP="00CE7E90">
            <w:pPr>
              <w:keepNext/>
              <w:keepLines/>
              <w:adjustRightInd w:val="0"/>
              <w:rPr>
                <w:b/>
                <w:bCs/>
                <w:noProof/>
              </w:rPr>
            </w:pPr>
            <w:r w:rsidRPr="002B65F7">
              <w:rPr>
                <w:rFonts w:eastAsia="PMingLiU"/>
                <w:b/>
                <w:szCs w:val="20"/>
              </w:rPr>
              <w:t>Maintenez le stylo prérempli enfoncé ; ne le retirez pas.</w:t>
            </w:r>
          </w:p>
        </w:tc>
      </w:tr>
      <w:tr w:rsidR="00841282" w:rsidRPr="002B65F7" w14:paraId="54F91DF7" w14:textId="77777777" w:rsidTr="00881565">
        <w:tc>
          <w:tcPr>
            <w:tcW w:w="5000" w:type="pct"/>
            <w:gridSpan w:val="2"/>
            <w:tcMar>
              <w:top w:w="28" w:type="dxa"/>
              <w:left w:w="57" w:type="dxa"/>
              <w:bottom w:w="28" w:type="dxa"/>
              <w:right w:w="57" w:type="dxa"/>
            </w:tcMar>
          </w:tcPr>
          <w:p w14:paraId="55DE874B" w14:textId="77777777" w:rsidR="00841282" w:rsidRPr="00600870" w:rsidRDefault="00841282" w:rsidP="00CE7E90">
            <w:pPr>
              <w:numPr>
                <w:ilvl w:val="0"/>
                <w:numId w:val="76"/>
              </w:numPr>
              <w:ind w:left="567" w:hanging="567"/>
              <w:textAlignment w:val="center"/>
              <w:rPr>
                <w:b/>
                <w:bCs/>
                <w:lang w:eastAsia="en-GB"/>
              </w:rPr>
            </w:pPr>
            <w:r w:rsidRPr="00600870">
              <w:rPr>
                <w:lang w:eastAsia="en-GB"/>
              </w:rPr>
              <w:t>L’aiguille s’insérera automatiquement et l’injection commencera</w:t>
            </w:r>
          </w:p>
        </w:tc>
      </w:tr>
      <w:tr w:rsidR="00841282" w:rsidRPr="002B65F7" w14:paraId="26E3CE2A" w14:textId="77777777" w:rsidTr="00881565">
        <w:tc>
          <w:tcPr>
            <w:tcW w:w="5000" w:type="pct"/>
            <w:gridSpan w:val="2"/>
            <w:tcMar>
              <w:top w:w="28" w:type="dxa"/>
              <w:left w:w="57" w:type="dxa"/>
              <w:bottom w:w="28" w:type="dxa"/>
              <w:right w:w="57" w:type="dxa"/>
            </w:tcMar>
          </w:tcPr>
          <w:p w14:paraId="73FF5EC6" w14:textId="77777777" w:rsidR="00841282" w:rsidRPr="00600870" w:rsidRDefault="00841282" w:rsidP="00CE7E90">
            <w:pPr>
              <w:numPr>
                <w:ilvl w:val="0"/>
                <w:numId w:val="76"/>
              </w:numPr>
              <w:ind w:left="567" w:hanging="567"/>
              <w:textAlignment w:val="center"/>
              <w:rPr>
                <w:color w:val="000000"/>
                <w:lang w:eastAsia="en-GB"/>
              </w:rPr>
            </w:pPr>
            <w:r w:rsidRPr="002B65F7">
              <w:rPr>
                <w:rFonts w:eastAsia="PMingLiU"/>
                <w:szCs w:val="20"/>
              </w:rPr>
              <w:t>Vous pouvez entendre ou sentir un clic.</w:t>
            </w:r>
          </w:p>
        </w:tc>
      </w:tr>
      <w:tr w:rsidR="00841282" w:rsidRPr="002B65F7" w14:paraId="2DA7771B" w14:textId="77777777" w:rsidTr="00881565">
        <w:trPr>
          <w:trHeight w:val="283"/>
        </w:trPr>
        <w:tc>
          <w:tcPr>
            <w:tcW w:w="5000" w:type="pct"/>
            <w:gridSpan w:val="2"/>
            <w:tcMar>
              <w:top w:w="28" w:type="dxa"/>
              <w:left w:w="57" w:type="dxa"/>
              <w:bottom w:w="28" w:type="dxa"/>
              <w:right w:w="57" w:type="dxa"/>
            </w:tcMar>
          </w:tcPr>
          <w:p w14:paraId="0C68DB08" w14:textId="77777777" w:rsidR="00841282" w:rsidRPr="00600870" w:rsidRDefault="00841282" w:rsidP="00CE7E90">
            <w:pPr>
              <w:numPr>
                <w:ilvl w:val="0"/>
                <w:numId w:val="76"/>
              </w:numPr>
              <w:ind w:left="567" w:hanging="567"/>
              <w:textAlignment w:val="center"/>
              <w:rPr>
                <w:color w:val="000000"/>
                <w:lang w:eastAsia="en-GB"/>
              </w:rPr>
            </w:pPr>
            <w:r w:rsidRPr="00600870">
              <w:rPr>
                <w:lang w:eastAsia="en-GB"/>
              </w:rPr>
              <w:t>Maintenez le stylo prérempli droit et stable sur la peau</w:t>
            </w:r>
            <w:r w:rsidRPr="002B65F7">
              <w:rPr>
                <w:lang w:eastAsia="en-GB"/>
              </w:rPr>
              <w:t>.</w:t>
            </w:r>
          </w:p>
        </w:tc>
      </w:tr>
    </w:tbl>
    <w:p w14:paraId="0C911F4D" w14:textId="77777777" w:rsidR="00841282" w:rsidRPr="00600870" w:rsidRDefault="00841282" w:rsidP="00841282">
      <w:pPr>
        <w:tabs>
          <w:tab w:val="left" w:pos="567"/>
        </w:tabs>
      </w:pPr>
    </w:p>
    <w:tbl>
      <w:tblPr>
        <w:tblW w:w="5027" w:type="pct"/>
        <w:tblLayout w:type="fixed"/>
        <w:tblCellMar>
          <w:left w:w="28" w:type="dxa"/>
        </w:tblCellMar>
        <w:tblLook w:val="04A0" w:firstRow="1" w:lastRow="0" w:firstColumn="1" w:lastColumn="0" w:noHBand="0" w:noVBand="1"/>
      </w:tblPr>
      <w:tblGrid>
        <w:gridCol w:w="454"/>
        <w:gridCol w:w="8666"/>
      </w:tblGrid>
      <w:tr w:rsidR="00841282" w:rsidRPr="002B65F7" w14:paraId="31C84B2E" w14:textId="77777777" w:rsidTr="00CE7E90">
        <w:tc>
          <w:tcPr>
            <w:tcW w:w="5000" w:type="pct"/>
            <w:gridSpan w:val="2"/>
            <w:tcMar>
              <w:top w:w="28" w:type="dxa"/>
              <w:left w:w="57" w:type="dxa"/>
              <w:bottom w:w="28" w:type="dxa"/>
              <w:right w:w="57" w:type="dxa"/>
            </w:tcMar>
          </w:tcPr>
          <w:p w14:paraId="366A944E" w14:textId="77777777" w:rsidR="00841282" w:rsidRPr="002B65F7" w:rsidRDefault="00841282" w:rsidP="00CE7E90">
            <w:pPr>
              <w:keepNext/>
              <w:adjustRightInd w:val="0"/>
              <w:jc w:val="center"/>
              <w:rPr>
                <w:b/>
                <w:bCs/>
                <w:shd w:val="clear" w:color="auto" w:fill="FFFFFF"/>
                <w:lang w:val="en-GB"/>
              </w:rPr>
            </w:pPr>
            <w:r w:rsidRPr="002B65F7">
              <w:rPr>
                <w:b/>
                <w:bCs/>
                <w:shd w:val="clear" w:color="auto" w:fill="FFFFFF"/>
                <w:lang w:val="en-GB"/>
              </w:rPr>
              <w:t>REGARDEZ</w:t>
            </w:r>
          </w:p>
        </w:tc>
      </w:tr>
      <w:tr w:rsidR="00841282" w:rsidRPr="002B65F7" w14:paraId="47639B94" w14:textId="77777777" w:rsidTr="00CE7E90">
        <w:tc>
          <w:tcPr>
            <w:tcW w:w="5000" w:type="pct"/>
            <w:gridSpan w:val="2"/>
            <w:tcMar>
              <w:top w:w="28" w:type="dxa"/>
              <w:left w:w="57" w:type="dxa"/>
              <w:bottom w:w="28" w:type="dxa"/>
              <w:right w:w="57" w:type="dxa"/>
            </w:tcMar>
          </w:tcPr>
          <w:p w14:paraId="6BF8EB31" w14:textId="77777777" w:rsidR="00841282" w:rsidRPr="00600870" w:rsidRDefault="00841282" w:rsidP="00CE7E90">
            <w:pPr>
              <w:keepNext/>
              <w:adjustRightInd w:val="0"/>
              <w:jc w:val="center"/>
              <w:rPr>
                <w:b/>
                <w:bCs/>
                <w:shd w:val="clear" w:color="auto" w:fill="FFFFFF"/>
              </w:rPr>
            </w:pPr>
            <w:r w:rsidRPr="00600870">
              <w:rPr>
                <w:b/>
                <w:bCs/>
                <w:color w:val="000000"/>
              </w:rPr>
              <w:t>la fenêtre devenir complètement jaune</w:t>
            </w:r>
          </w:p>
        </w:tc>
      </w:tr>
      <w:tr w:rsidR="00841282" w:rsidRPr="002B65F7" w14:paraId="6751758B" w14:textId="77777777" w:rsidTr="00CE7E90">
        <w:tc>
          <w:tcPr>
            <w:tcW w:w="5000" w:type="pct"/>
            <w:gridSpan w:val="2"/>
            <w:tcMar>
              <w:top w:w="28" w:type="dxa"/>
              <w:left w:w="57" w:type="dxa"/>
              <w:bottom w:w="28" w:type="dxa"/>
              <w:right w:w="57" w:type="dxa"/>
            </w:tcMar>
            <w:vAlign w:val="center"/>
          </w:tcPr>
          <w:p w14:paraId="53546271" w14:textId="4136CD12" w:rsidR="00841282" w:rsidRPr="002B65F7" w:rsidRDefault="00A2167E" w:rsidP="00CE7E90">
            <w:pPr>
              <w:keepNext/>
              <w:adjustRightInd w:val="0"/>
              <w:jc w:val="center"/>
              <w:rPr>
                <w:noProof/>
                <w:lang w:val="en-GB"/>
              </w:rPr>
            </w:pPr>
            <w:r>
              <w:rPr>
                <w:noProof/>
                <w:lang w:val="en-US" w:eastAsia="zh-CN"/>
              </w:rPr>
              <w:drawing>
                <wp:inline distT="0" distB="0" distL="0" distR="0" wp14:anchorId="00421956" wp14:editId="183B97AF">
                  <wp:extent cx="3388360" cy="1453515"/>
                  <wp:effectExtent l="0" t="0" r="0" b="0"/>
                  <wp:docPr id="38" name="Picture 4" descr="A drawing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drawing of a person's face&#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88360" cy="1453515"/>
                          </a:xfrm>
                          <a:prstGeom prst="rect">
                            <a:avLst/>
                          </a:prstGeom>
                          <a:noFill/>
                          <a:ln>
                            <a:noFill/>
                          </a:ln>
                        </pic:spPr>
                      </pic:pic>
                    </a:graphicData>
                  </a:graphic>
                </wp:inline>
              </w:drawing>
            </w:r>
          </w:p>
        </w:tc>
      </w:tr>
      <w:tr w:rsidR="00841282" w:rsidRPr="002B65F7" w14:paraId="572C4C8A" w14:textId="77777777" w:rsidTr="00CE7E90">
        <w:tc>
          <w:tcPr>
            <w:tcW w:w="249" w:type="pct"/>
            <w:tcMar>
              <w:top w:w="28" w:type="dxa"/>
              <w:left w:w="57" w:type="dxa"/>
              <w:bottom w:w="28" w:type="dxa"/>
              <w:right w:w="57" w:type="dxa"/>
            </w:tcMar>
          </w:tcPr>
          <w:p w14:paraId="3B17564C" w14:textId="77777777" w:rsidR="00841282" w:rsidRPr="002B65F7" w:rsidRDefault="00841282" w:rsidP="00CE7E90">
            <w:pPr>
              <w:keepNext/>
              <w:tabs>
                <w:tab w:val="left" w:pos="567"/>
              </w:tabs>
              <w:adjustRightInd w:val="0"/>
              <w:textAlignment w:val="center"/>
              <w:rPr>
                <w:b/>
                <w:bCs/>
                <w:lang w:val="en-GB"/>
              </w:rPr>
            </w:pPr>
            <w:r w:rsidRPr="002B65F7">
              <w:rPr>
                <w:b/>
                <w:bCs/>
                <w:lang w:val="en-GB"/>
              </w:rPr>
              <w:t>11</w:t>
            </w:r>
          </w:p>
        </w:tc>
        <w:tc>
          <w:tcPr>
            <w:tcW w:w="4751" w:type="pct"/>
            <w:tcMar>
              <w:left w:w="57" w:type="dxa"/>
            </w:tcMar>
          </w:tcPr>
          <w:p w14:paraId="095684AB" w14:textId="77777777" w:rsidR="00841282" w:rsidRPr="00600870" w:rsidRDefault="00841282" w:rsidP="00CE7E90">
            <w:pPr>
              <w:keepNext/>
              <w:adjustRightInd w:val="0"/>
              <w:rPr>
                <w:b/>
                <w:bCs/>
                <w:noProof/>
              </w:rPr>
            </w:pPr>
            <w:r w:rsidRPr="00600870">
              <w:rPr>
                <w:b/>
                <w:bCs/>
                <w:shd w:val="clear" w:color="auto" w:fill="FFFFFF"/>
              </w:rPr>
              <w:t>Maintenez le stylo prérempli enfoncé. Attendez que la fenêtre devienne complètement jaune.</w:t>
            </w:r>
          </w:p>
        </w:tc>
      </w:tr>
      <w:tr w:rsidR="00841282" w:rsidRPr="002B65F7" w14:paraId="4EC305C9" w14:textId="77777777" w:rsidTr="00CE7E90">
        <w:tc>
          <w:tcPr>
            <w:tcW w:w="5000" w:type="pct"/>
            <w:gridSpan w:val="2"/>
            <w:tcMar>
              <w:top w:w="28" w:type="dxa"/>
              <w:left w:w="57" w:type="dxa"/>
              <w:bottom w:w="28" w:type="dxa"/>
              <w:right w:w="57" w:type="dxa"/>
            </w:tcMar>
          </w:tcPr>
          <w:p w14:paraId="598141B8" w14:textId="77777777" w:rsidR="00841282" w:rsidRPr="00600870" w:rsidRDefault="00841282" w:rsidP="00CE7E90">
            <w:pPr>
              <w:keepNext/>
              <w:numPr>
                <w:ilvl w:val="0"/>
                <w:numId w:val="77"/>
              </w:numPr>
              <w:ind w:left="567" w:hanging="567"/>
              <w:textAlignment w:val="center"/>
              <w:rPr>
                <w:b/>
                <w:bCs/>
                <w:lang w:eastAsia="en-GB"/>
              </w:rPr>
            </w:pPr>
            <w:r w:rsidRPr="00600870">
              <w:rPr>
                <w:lang w:eastAsia="en-GB"/>
              </w:rPr>
              <w:t xml:space="preserve">L’injection peut prendre jusqu’à </w:t>
            </w:r>
            <w:r w:rsidRPr="00600870">
              <w:rPr>
                <w:b/>
                <w:bCs/>
                <w:lang w:eastAsia="en-GB"/>
              </w:rPr>
              <w:t>15</w:t>
            </w:r>
            <w:r w:rsidRPr="00600870">
              <w:rPr>
                <w:lang w:eastAsia="en-GB"/>
              </w:rPr>
              <w:t xml:space="preserve"> secondes. </w:t>
            </w:r>
            <w:r w:rsidRPr="002B65F7">
              <w:rPr>
                <w:rFonts w:eastAsia="PMingLiU"/>
                <w:szCs w:val="20"/>
              </w:rPr>
              <w:t>Vous pouvez entendre ou sentir un clic.</w:t>
            </w:r>
            <w:r w:rsidRPr="00600870">
              <w:rPr>
                <w:lang w:eastAsia="en-GB"/>
              </w:rPr>
              <w:t xml:space="preserve"> </w:t>
            </w:r>
          </w:p>
        </w:tc>
      </w:tr>
      <w:tr w:rsidR="00841282" w:rsidRPr="002B65F7" w14:paraId="6960D7F6" w14:textId="77777777" w:rsidTr="00CE7E90">
        <w:trPr>
          <w:trHeight w:val="351"/>
        </w:trPr>
        <w:tc>
          <w:tcPr>
            <w:tcW w:w="5000" w:type="pct"/>
            <w:gridSpan w:val="2"/>
            <w:tcMar>
              <w:top w:w="28" w:type="dxa"/>
              <w:left w:w="57" w:type="dxa"/>
              <w:bottom w:w="28" w:type="dxa"/>
              <w:right w:w="57" w:type="dxa"/>
            </w:tcMar>
          </w:tcPr>
          <w:p w14:paraId="2AC1D6F9" w14:textId="77777777" w:rsidR="00841282" w:rsidRPr="00600870" w:rsidRDefault="00841282" w:rsidP="00CE7E90">
            <w:pPr>
              <w:keepNext/>
              <w:numPr>
                <w:ilvl w:val="0"/>
                <w:numId w:val="77"/>
              </w:numPr>
              <w:ind w:left="567" w:hanging="567"/>
              <w:textAlignment w:val="center"/>
              <w:rPr>
                <w:color w:val="000000"/>
                <w:lang w:eastAsia="en-GB"/>
              </w:rPr>
            </w:pPr>
            <w:r w:rsidRPr="00600870">
              <w:rPr>
                <w:lang w:eastAsia="en-GB"/>
              </w:rPr>
              <w:t>Lorsque la fenêtre est complètement jaune, retirez le stylo prérempli de la peau.</w:t>
            </w:r>
          </w:p>
        </w:tc>
      </w:tr>
    </w:tbl>
    <w:p w14:paraId="4349D979" w14:textId="77777777" w:rsidR="00841282" w:rsidRPr="00600870" w:rsidRDefault="00841282" w:rsidP="00841282">
      <w:pPr>
        <w:tabs>
          <w:tab w:val="left" w:pos="567"/>
        </w:tabs>
      </w:pPr>
    </w:p>
    <w:tbl>
      <w:tblPr>
        <w:tblW w:w="5027" w:type="pct"/>
        <w:tblLayout w:type="fixed"/>
        <w:tblCellMar>
          <w:left w:w="28" w:type="dxa"/>
        </w:tblCellMar>
        <w:tblLook w:val="04A0" w:firstRow="1" w:lastRow="0" w:firstColumn="1" w:lastColumn="0" w:noHBand="0" w:noVBand="1"/>
      </w:tblPr>
      <w:tblGrid>
        <w:gridCol w:w="454"/>
        <w:gridCol w:w="2532"/>
        <w:gridCol w:w="2986"/>
        <w:gridCol w:w="3148"/>
      </w:tblGrid>
      <w:tr w:rsidR="00841282" w:rsidRPr="002B65F7" w14:paraId="5234D8E1" w14:textId="77777777" w:rsidTr="00CE7E90">
        <w:trPr>
          <w:trHeight w:val="360"/>
        </w:trPr>
        <w:tc>
          <w:tcPr>
            <w:tcW w:w="5000" w:type="pct"/>
            <w:gridSpan w:val="4"/>
            <w:shd w:val="clear" w:color="auto" w:fill="9CC2E5"/>
            <w:tcMar>
              <w:top w:w="28" w:type="dxa"/>
              <w:left w:w="57" w:type="dxa"/>
              <w:bottom w:w="28" w:type="dxa"/>
              <w:right w:w="57" w:type="dxa"/>
            </w:tcMar>
            <w:vAlign w:val="center"/>
          </w:tcPr>
          <w:p w14:paraId="0328E063" w14:textId="77777777" w:rsidR="00841282" w:rsidRPr="00600870" w:rsidRDefault="00841282" w:rsidP="00CE7E90">
            <w:pPr>
              <w:keepNext/>
              <w:keepLines/>
              <w:adjustRightInd w:val="0"/>
              <w:rPr>
                <w:b/>
                <w:bCs/>
                <w:color w:val="000000"/>
              </w:rPr>
            </w:pPr>
            <w:r w:rsidRPr="00600870">
              <w:rPr>
                <w:b/>
                <w:bCs/>
              </w:rPr>
              <w:t>Examen du site d’injection et élimination du stylo prérempli</w:t>
            </w:r>
          </w:p>
        </w:tc>
      </w:tr>
      <w:tr w:rsidR="00841282" w:rsidRPr="002B65F7" w14:paraId="1F3DF0C4" w14:textId="77777777" w:rsidTr="00CE7E90">
        <w:tc>
          <w:tcPr>
            <w:tcW w:w="5000" w:type="pct"/>
            <w:gridSpan w:val="4"/>
            <w:tcMar>
              <w:top w:w="28" w:type="dxa"/>
              <w:left w:w="57" w:type="dxa"/>
              <w:bottom w:w="28" w:type="dxa"/>
              <w:right w:w="57" w:type="dxa"/>
            </w:tcMar>
          </w:tcPr>
          <w:p w14:paraId="5071224E" w14:textId="77777777" w:rsidR="00841282" w:rsidRPr="002B65F7" w:rsidRDefault="00841282" w:rsidP="00CE7E90">
            <w:pPr>
              <w:keepNext/>
              <w:keepLines/>
              <w:adjustRightInd w:val="0"/>
              <w:jc w:val="center"/>
              <w:rPr>
                <w:b/>
                <w:bCs/>
                <w:shd w:val="clear" w:color="auto" w:fill="FFFFFF"/>
                <w:lang w:val="en-GB"/>
              </w:rPr>
            </w:pPr>
            <w:r w:rsidRPr="002B65F7">
              <w:rPr>
                <w:b/>
                <w:bCs/>
                <w:shd w:val="clear" w:color="auto" w:fill="FFFFFF"/>
                <w:lang w:val="en-GB"/>
              </w:rPr>
              <w:t>CONFIRMEZ QUE</w:t>
            </w:r>
          </w:p>
        </w:tc>
      </w:tr>
      <w:tr w:rsidR="00841282" w:rsidRPr="002B65F7" w14:paraId="2BBEA685" w14:textId="77777777" w:rsidTr="00CE7E90">
        <w:trPr>
          <w:trHeight w:val="2277"/>
        </w:trPr>
        <w:tc>
          <w:tcPr>
            <w:tcW w:w="1637" w:type="pct"/>
            <w:gridSpan w:val="2"/>
            <w:tcMar>
              <w:top w:w="28" w:type="dxa"/>
              <w:left w:w="57" w:type="dxa"/>
              <w:bottom w:w="28" w:type="dxa"/>
              <w:right w:w="57" w:type="dxa"/>
            </w:tcMar>
          </w:tcPr>
          <w:p w14:paraId="264A4E4B" w14:textId="77777777" w:rsidR="00841282" w:rsidRPr="00600870" w:rsidRDefault="00841282" w:rsidP="00CE7E90">
            <w:pPr>
              <w:keepLines/>
              <w:adjustRightInd w:val="0"/>
              <w:jc w:val="right"/>
              <w:rPr>
                <w:shd w:val="clear" w:color="auto" w:fill="FFFFFF"/>
              </w:rPr>
            </w:pPr>
          </w:p>
          <w:p w14:paraId="0BAA6AD7" w14:textId="77777777" w:rsidR="00841282" w:rsidRPr="00600870" w:rsidRDefault="00841282" w:rsidP="00CE7E90">
            <w:pPr>
              <w:keepLines/>
              <w:adjustRightInd w:val="0"/>
              <w:jc w:val="right"/>
              <w:rPr>
                <w:shd w:val="clear" w:color="auto" w:fill="FFFFFF"/>
              </w:rPr>
            </w:pPr>
          </w:p>
          <w:p w14:paraId="23D17A8C" w14:textId="77777777" w:rsidR="00841282" w:rsidRPr="00600870" w:rsidRDefault="00841282" w:rsidP="00CE7E90">
            <w:pPr>
              <w:keepLines/>
              <w:adjustRightInd w:val="0"/>
              <w:jc w:val="right"/>
              <w:rPr>
                <w:shd w:val="clear" w:color="auto" w:fill="FFFFFF"/>
              </w:rPr>
            </w:pPr>
          </w:p>
          <w:p w14:paraId="3657086E" w14:textId="77777777" w:rsidR="00841282" w:rsidRPr="00600870" w:rsidRDefault="00841282" w:rsidP="00CE7E90">
            <w:pPr>
              <w:keepLines/>
              <w:adjustRightInd w:val="0"/>
              <w:jc w:val="right"/>
              <w:rPr>
                <w:b/>
                <w:bCs/>
              </w:rPr>
            </w:pPr>
            <w:r w:rsidRPr="00600870">
              <w:rPr>
                <w:shd w:val="clear" w:color="auto" w:fill="FFFFFF"/>
              </w:rPr>
              <w:t>Aucun m</w:t>
            </w:r>
            <w:r w:rsidRPr="002B65F7">
              <w:rPr>
                <w:shd w:val="clear" w:color="auto" w:fill="FFFFFF"/>
              </w:rPr>
              <w:t>é</w:t>
            </w:r>
            <w:r w:rsidRPr="00600870">
              <w:rPr>
                <w:shd w:val="clear" w:color="auto" w:fill="FFFFFF"/>
              </w:rPr>
              <w:t>dicament n’a coulé (une petite goutte est acceptable)</w:t>
            </w:r>
          </w:p>
        </w:tc>
        <w:tc>
          <w:tcPr>
            <w:tcW w:w="1637" w:type="pct"/>
            <w:vAlign w:val="center"/>
          </w:tcPr>
          <w:p w14:paraId="43EB26F2" w14:textId="49F0C33C" w:rsidR="00841282" w:rsidRPr="002B65F7" w:rsidRDefault="00A2167E" w:rsidP="00CE7E90">
            <w:pPr>
              <w:keepLines/>
              <w:adjustRightInd w:val="0"/>
              <w:jc w:val="center"/>
              <w:rPr>
                <w:b/>
                <w:bCs/>
                <w:lang w:val="en-GB"/>
              </w:rPr>
            </w:pPr>
            <w:r>
              <w:rPr>
                <w:b/>
                <w:noProof/>
                <w:lang w:val="en-US" w:eastAsia="zh-CN"/>
              </w:rPr>
              <w:drawing>
                <wp:inline distT="0" distB="0" distL="0" distR="0" wp14:anchorId="02D2AEDE" wp14:editId="00E06E78">
                  <wp:extent cx="1828800" cy="1869440"/>
                  <wp:effectExtent l="0" t="0" r="0" b="0"/>
                  <wp:docPr id="39" name="Picture 3" descr="A drawing of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drawing of a needle&#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28800" cy="1869440"/>
                          </a:xfrm>
                          <a:prstGeom prst="rect">
                            <a:avLst/>
                          </a:prstGeom>
                          <a:noFill/>
                          <a:ln>
                            <a:noFill/>
                          </a:ln>
                        </pic:spPr>
                      </pic:pic>
                    </a:graphicData>
                  </a:graphic>
                </wp:inline>
              </w:drawing>
            </w:r>
          </w:p>
        </w:tc>
        <w:tc>
          <w:tcPr>
            <w:tcW w:w="1726" w:type="pct"/>
          </w:tcPr>
          <w:p w14:paraId="2F41FA97" w14:textId="77777777" w:rsidR="00841282" w:rsidRPr="002B65F7" w:rsidRDefault="00841282" w:rsidP="00CE7E90">
            <w:pPr>
              <w:tabs>
                <w:tab w:val="left" w:pos="567"/>
              </w:tabs>
              <w:adjustRightInd w:val="0"/>
              <w:rPr>
                <w:shd w:val="clear" w:color="auto" w:fill="FFFFFF"/>
                <w:lang w:val="en-GB"/>
              </w:rPr>
            </w:pPr>
          </w:p>
          <w:p w14:paraId="1137432F" w14:textId="77777777" w:rsidR="00841282" w:rsidRPr="002B65F7" w:rsidRDefault="00841282" w:rsidP="00CE7E90">
            <w:pPr>
              <w:tabs>
                <w:tab w:val="left" w:pos="567"/>
              </w:tabs>
              <w:adjustRightInd w:val="0"/>
              <w:rPr>
                <w:shd w:val="clear" w:color="auto" w:fill="FFFFFF"/>
                <w:lang w:val="en-GB"/>
              </w:rPr>
            </w:pPr>
          </w:p>
          <w:p w14:paraId="10190AC3" w14:textId="77777777" w:rsidR="00841282" w:rsidRPr="00600870" w:rsidRDefault="00841282" w:rsidP="00CE7E90">
            <w:pPr>
              <w:tabs>
                <w:tab w:val="left" w:pos="567"/>
              </w:tabs>
              <w:adjustRightInd w:val="0"/>
              <w:rPr>
                <w:b/>
                <w:bCs/>
              </w:rPr>
            </w:pPr>
            <w:r w:rsidRPr="00600870">
              <w:rPr>
                <w:shd w:val="clear" w:color="auto" w:fill="FFFFFF"/>
              </w:rPr>
              <w:t>La fenêtre est entièrement jaune</w:t>
            </w:r>
          </w:p>
        </w:tc>
      </w:tr>
      <w:tr w:rsidR="00841282" w:rsidRPr="002B65F7" w14:paraId="52217CAD" w14:textId="77777777" w:rsidTr="00CE7E90">
        <w:tc>
          <w:tcPr>
            <w:tcW w:w="249" w:type="pct"/>
            <w:tcMar>
              <w:top w:w="28" w:type="dxa"/>
              <w:left w:w="57" w:type="dxa"/>
              <w:bottom w:w="28" w:type="dxa"/>
              <w:right w:w="57" w:type="dxa"/>
            </w:tcMar>
          </w:tcPr>
          <w:p w14:paraId="4C070153" w14:textId="77777777" w:rsidR="00841282" w:rsidRPr="002B65F7" w:rsidRDefault="00841282" w:rsidP="00CE7E90">
            <w:pPr>
              <w:keepNext/>
              <w:tabs>
                <w:tab w:val="left" w:pos="567"/>
              </w:tabs>
              <w:adjustRightInd w:val="0"/>
              <w:textAlignment w:val="center"/>
              <w:rPr>
                <w:b/>
                <w:bCs/>
                <w:lang w:val="en-GB"/>
              </w:rPr>
            </w:pPr>
            <w:r w:rsidRPr="002B65F7">
              <w:rPr>
                <w:b/>
                <w:bCs/>
                <w:lang w:val="en-GB"/>
              </w:rPr>
              <w:lastRenderedPageBreak/>
              <w:t>12</w:t>
            </w:r>
          </w:p>
        </w:tc>
        <w:tc>
          <w:tcPr>
            <w:tcW w:w="4751" w:type="pct"/>
            <w:gridSpan w:val="3"/>
            <w:tcMar>
              <w:left w:w="57" w:type="dxa"/>
            </w:tcMar>
          </w:tcPr>
          <w:p w14:paraId="43CAB228" w14:textId="77777777" w:rsidR="00841282" w:rsidRPr="002B65F7" w:rsidRDefault="00841282" w:rsidP="00CE7E90">
            <w:pPr>
              <w:keepNext/>
              <w:adjustRightInd w:val="0"/>
              <w:rPr>
                <w:b/>
                <w:bCs/>
                <w:noProof/>
              </w:rPr>
            </w:pPr>
            <w:r w:rsidRPr="002B65F7">
              <w:rPr>
                <w:b/>
                <w:bCs/>
                <w:color w:val="000000"/>
              </w:rPr>
              <w:t>Confirmez qu’une dose complète de médicament a été injectée.</w:t>
            </w:r>
          </w:p>
        </w:tc>
      </w:tr>
      <w:tr w:rsidR="00841282" w:rsidRPr="002B65F7" w14:paraId="725D9CC5" w14:textId="77777777" w:rsidTr="00CE7E90">
        <w:tc>
          <w:tcPr>
            <w:tcW w:w="5000" w:type="pct"/>
            <w:gridSpan w:val="4"/>
            <w:tcMar>
              <w:top w:w="28" w:type="dxa"/>
              <w:left w:w="57" w:type="dxa"/>
              <w:bottom w:w="28" w:type="dxa"/>
              <w:right w:w="57" w:type="dxa"/>
            </w:tcMar>
          </w:tcPr>
          <w:p w14:paraId="69B8D203" w14:textId="77777777" w:rsidR="00841282" w:rsidRPr="002B65F7" w:rsidRDefault="00841282" w:rsidP="00CE7E90">
            <w:pPr>
              <w:keepNext/>
              <w:widowControl/>
              <w:numPr>
                <w:ilvl w:val="0"/>
                <w:numId w:val="78"/>
              </w:numPr>
              <w:ind w:left="567" w:hanging="567"/>
              <w:textAlignment w:val="center"/>
              <w:rPr>
                <w:color w:val="000000"/>
                <w:lang w:eastAsia="en-GB"/>
              </w:rPr>
            </w:pPr>
            <w:r w:rsidRPr="002B65F7">
              <w:rPr>
                <w:rFonts w:eastAsia="PMingLiU"/>
                <w:b/>
                <w:szCs w:val="20"/>
              </w:rPr>
              <w:t xml:space="preserve">Ne touchez pas </w:t>
            </w:r>
            <w:r w:rsidRPr="002B65F7">
              <w:rPr>
                <w:rFonts w:eastAsia="PMingLiU"/>
                <w:szCs w:val="20"/>
              </w:rPr>
              <w:t>la protection jaune.</w:t>
            </w:r>
          </w:p>
        </w:tc>
      </w:tr>
      <w:tr w:rsidR="00841282" w:rsidRPr="002B65F7" w14:paraId="14C40737" w14:textId="77777777" w:rsidTr="00CE7E90">
        <w:tc>
          <w:tcPr>
            <w:tcW w:w="5000" w:type="pct"/>
            <w:gridSpan w:val="4"/>
            <w:tcMar>
              <w:top w:w="28" w:type="dxa"/>
              <w:left w:w="57" w:type="dxa"/>
              <w:bottom w:w="28" w:type="dxa"/>
              <w:right w:w="57" w:type="dxa"/>
            </w:tcMar>
          </w:tcPr>
          <w:p w14:paraId="0C54300D" w14:textId="77777777" w:rsidR="00841282" w:rsidRPr="002B65F7" w:rsidRDefault="00841282" w:rsidP="00CE7E90">
            <w:pPr>
              <w:keepNext/>
              <w:widowControl/>
              <w:numPr>
                <w:ilvl w:val="0"/>
                <w:numId w:val="78"/>
              </w:numPr>
              <w:ind w:left="567" w:hanging="567"/>
              <w:textAlignment w:val="center"/>
              <w:rPr>
                <w:color w:val="000000"/>
                <w:lang w:eastAsia="en-GB"/>
              </w:rPr>
            </w:pPr>
            <w:r w:rsidRPr="002B65F7">
              <w:rPr>
                <w:shd w:val="clear" w:color="auto" w:fill="FFFFFF"/>
                <w:lang w:eastAsia="en-GB"/>
              </w:rPr>
              <w:t>Une petite quantité de liquide au niveau du site d’injection est acceptable</w:t>
            </w:r>
          </w:p>
        </w:tc>
      </w:tr>
      <w:tr w:rsidR="00841282" w:rsidRPr="002B65F7" w14:paraId="5037E7C9" w14:textId="77777777" w:rsidTr="00CE7E90">
        <w:trPr>
          <w:trHeight w:val="936"/>
        </w:trPr>
        <w:tc>
          <w:tcPr>
            <w:tcW w:w="5000" w:type="pct"/>
            <w:gridSpan w:val="4"/>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3F558E11" w14:textId="77777777" w:rsidR="00841282" w:rsidRPr="002B65F7" w:rsidRDefault="00841282" w:rsidP="00CE7E90">
            <w:pPr>
              <w:adjustRightInd w:val="0"/>
              <w:ind w:left="72"/>
              <w:contextualSpacing/>
              <w:textAlignment w:val="center"/>
              <w:rPr>
                <w:shd w:val="clear" w:color="auto" w:fill="FFFFFF"/>
                <w:lang w:eastAsia="en-GB"/>
              </w:rPr>
            </w:pPr>
            <w:r w:rsidRPr="002B65F7">
              <w:rPr>
                <w:b/>
                <w:bCs/>
                <w:shd w:val="clear" w:color="auto" w:fill="FFFFFF"/>
                <w:lang w:eastAsia="en-GB"/>
              </w:rPr>
              <w:t xml:space="preserve">Important : </w:t>
            </w:r>
            <w:r w:rsidRPr="002B65F7">
              <w:t>si la fenêtre n’est pas devenue complètement jaune, si vous avez l’impression que le médicament continue de sortir ou si vous observez plusieurs gouttes de médicament, cela signifie que la dose complète n’a pas été injectée. Appelez votre médecin ou professionnel de santé immédiatement.</w:t>
            </w:r>
          </w:p>
        </w:tc>
      </w:tr>
    </w:tbl>
    <w:p w14:paraId="0BC3DA0C" w14:textId="77777777" w:rsidR="00841282" w:rsidRPr="00600870" w:rsidRDefault="00841282" w:rsidP="00841282">
      <w:pPr>
        <w:tabs>
          <w:tab w:val="left" w:pos="567"/>
        </w:tabs>
      </w:pPr>
    </w:p>
    <w:tbl>
      <w:tblPr>
        <w:tblW w:w="5028" w:type="pct"/>
        <w:tblLayout w:type="fixed"/>
        <w:tblCellMar>
          <w:left w:w="28" w:type="dxa"/>
        </w:tblCellMar>
        <w:tblLook w:val="04A0" w:firstRow="1" w:lastRow="0" w:firstColumn="1" w:lastColumn="0" w:noHBand="0" w:noVBand="1"/>
      </w:tblPr>
      <w:tblGrid>
        <w:gridCol w:w="454"/>
        <w:gridCol w:w="8668"/>
      </w:tblGrid>
      <w:tr w:rsidR="00841282" w:rsidRPr="002B65F7" w14:paraId="10F7B0EF" w14:textId="77777777" w:rsidTr="00CE7E90">
        <w:tc>
          <w:tcPr>
            <w:tcW w:w="5000" w:type="pct"/>
            <w:gridSpan w:val="2"/>
            <w:tcMar>
              <w:top w:w="28" w:type="dxa"/>
              <w:left w:w="57" w:type="dxa"/>
              <w:bottom w:w="28" w:type="dxa"/>
              <w:right w:w="57" w:type="dxa"/>
            </w:tcMar>
          </w:tcPr>
          <w:p w14:paraId="7390B188" w14:textId="4892AC34" w:rsidR="00841282" w:rsidRPr="002B65F7" w:rsidRDefault="00A2167E" w:rsidP="00CE7E90">
            <w:pPr>
              <w:keepNext/>
              <w:keepLines/>
              <w:adjustRightInd w:val="0"/>
              <w:jc w:val="center"/>
              <w:rPr>
                <w:b/>
                <w:bCs/>
                <w:shd w:val="clear" w:color="auto" w:fill="FFFFFF"/>
                <w:lang w:val="en-GB"/>
              </w:rPr>
            </w:pPr>
            <w:r>
              <w:rPr>
                <w:b/>
                <w:bCs/>
                <w:noProof/>
                <w:shd w:val="clear" w:color="auto" w:fill="FFFFFF"/>
                <w:lang w:val="en-US" w:eastAsia="zh-CN"/>
              </w:rPr>
              <w:drawing>
                <wp:inline distT="0" distB="0" distL="0" distR="0" wp14:anchorId="678B3E15" wp14:editId="32F3A877">
                  <wp:extent cx="1755140" cy="1755140"/>
                  <wp:effectExtent l="0" t="0" r="0" b="0"/>
                  <wp:docPr id="40" name="Picture 2" descr="A band aid and some white ba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band aid and some white balls&#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55140" cy="1755140"/>
                          </a:xfrm>
                          <a:prstGeom prst="rect">
                            <a:avLst/>
                          </a:prstGeom>
                          <a:noFill/>
                          <a:ln>
                            <a:noFill/>
                          </a:ln>
                        </pic:spPr>
                      </pic:pic>
                    </a:graphicData>
                  </a:graphic>
                </wp:inline>
              </w:drawing>
            </w:r>
          </w:p>
        </w:tc>
      </w:tr>
      <w:tr w:rsidR="00841282" w:rsidRPr="002B65F7" w14:paraId="28CC0EB7" w14:textId="77777777" w:rsidTr="00CE7E90">
        <w:tc>
          <w:tcPr>
            <w:tcW w:w="249" w:type="pct"/>
            <w:tcMar>
              <w:top w:w="28" w:type="dxa"/>
              <w:left w:w="57" w:type="dxa"/>
              <w:bottom w:w="28" w:type="dxa"/>
              <w:right w:w="57" w:type="dxa"/>
            </w:tcMar>
          </w:tcPr>
          <w:p w14:paraId="094B847D" w14:textId="77777777" w:rsidR="00841282" w:rsidRPr="002B65F7" w:rsidRDefault="00841282" w:rsidP="00CE7E90">
            <w:pPr>
              <w:tabs>
                <w:tab w:val="left" w:pos="567"/>
              </w:tabs>
              <w:adjustRightInd w:val="0"/>
              <w:textAlignment w:val="center"/>
              <w:rPr>
                <w:b/>
                <w:bCs/>
                <w:lang w:val="en-GB"/>
              </w:rPr>
            </w:pPr>
            <w:r w:rsidRPr="002B65F7">
              <w:rPr>
                <w:b/>
                <w:bCs/>
                <w:lang w:val="en-GB"/>
              </w:rPr>
              <w:t>13</w:t>
            </w:r>
          </w:p>
        </w:tc>
        <w:tc>
          <w:tcPr>
            <w:tcW w:w="4751" w:type="pct"/>
            <w:tcMar>
              <w:left w:w="57" w:type="dxa"/>
            </w:tcMar>
          </w:tcPr>
          <w:p w14:paraId="312663B6" w14:textId="77777777" w:rsidR="00841282" w:rsidRPr="002B65F7" w:rsidRDefault="00841282" w:rsidP="00CE7E90">
            <w:pPr>
              <w:adjustRightInd w:val="0"/>
              <w:rPr>
                <w:b/>
                <w:bCs/>
                <w:noProof/>
                <w:lang w:val="en-GB"/>
              </w:rPr>
            </w:pPr>
            <w:r w:rsidRPr="002B65F7">
              <w:rPr>
                <w:b/>
                <w:bCs/>
                <w:color w:val="000000"/>
                <w:lang w:eastAsia="ja-JP"/>
              </w:rPr>
              <w:t>Examinez le site d’injection.</w:t>
            </w:r>
          </w:p>
        </w:tc>
      </w:tr>
      <w:tr w:rsidR="00841282" w:rsidRPr="002B65F7" w14:paraId="128EF444" w14:textId="77777777" w:rsidTr="00CE7E90">
        <w:tc>
          <w:tcPr>
            <w:tcW w:w="5000" w:type="pct"/>
            <w:gridSpan w:val="2"/>
            <w:tcMar>
              <w:top w:w="28" w:type="dxa"/>
              <w:left w:w="57" w:type="dxa"/>
              <w:bottom w:w="28" w:type="dxa"/>
              <w:right w:w="57" w:type="dxa"/>
            </w:tcMar>
          </w:tcPr>
          <w:p w14:paraId="375D54E7" w14:textId="77777777" w:rsidR="00841282" w:rsidRPr="00600870" w:rsidRDefault="00841282" w:rsidP="00CE7E90">
            <w:pPr>
              <w:numPr>
                <w:ilvl w:val="0"/>
                <w:numId w:val="79"/>
              </w:numPr>
              <w:ind w:left="567" w:hanging="567"/>
              <w:textAlignment w:val="center"/>
              <w:rPr>
                <w:b/>
                <w:bCs/>
                <w:lang w:eastAsia="en-GB"/>
              </w:rPr>
            </w:pPr>
            <w:r w:rsidRPr="002B65F7">
              <w:rPr>
                <w:b/>
                <w:color w:val="000000"/>
                <w:lang w:eastAsia="ja-JP"/>
              </w:rPr>
              <w:t>Ne frottez pas</w:t>
            </w:r>
            <w:r w:rsidRPr="002B65F7">
              <w:rPr>
                <w:color w:val="000000"/>
                <w:lang w:eastAsia="ja-JP"/>
              </w:rPr>
              <w:t xml:space="preserve"> le site d’injection.</w:t>
            </w:r>
          </w:p>
        </w:tc>
      </w:tr>
      <w:tr w:rsidR="00841282" w:rsidRPr="002B65F7" w14:paraId="04331522" w14:textId="77777777" w:rsidTr="00CE7E90">
        <w:trPr>
          <w:trHeight w:val="283"/>
        </w:trPr>
        <w:tc>
          <w:tcPr>
            <w:tcW w:w="5000" w:type="pct"/>
            <w:gridSpan w:val="2"/>
            <w:tcMar>
              <w:top w:w="28" w:type="dxa"/>
              <w:left w:w="57" w:type="dxa"/>
              <w:bottom w:w="28" w:type="dxa"/>
              <w:right w:w="57" w:type="dxa"/>
            </w:tcMar>
          </w:tcPr>
          <w:p w14:paraId="113DA016" w14:textId="77777777" w:rsidR="00841282" w:rsidRPr="00600870" w:rsidRDefault="00841282" w:rsidP="00CE7E90">
            <w:pPr>
              <w:numPr>
                <w:ilvl w:val="0"/>
                <w:numId w:val="79"/>
              </w:numPr>
              <w:ind w:left="567" w:hanging="567"/>
              <w:textAlignment w:val="center"/>
              <w:rPr>
                <w:color w:val="000000"/>
                <w:lang w:eastAsia="en-GB"/>
              </w:rPr>
            </w:pPr>
            <w:r w:rsidRPr="002B65F7">
              <w:t>En cas de saignement, appliquez du coton ou de la gaze sur le site d’injection.</w:t>
            </w:r>
          </w:p>
        </w:tc>
      </w:tr>
      <w:tr w:rsidR="00841282" w:rsidRPr="002B65F7" w14:paraId="40C6C52E" w14:textId="77777777" w:rsidTr="00CE7E90">
        <w:trPr>
          <w:trHeight w:val="283"/>
        </w:trPr>
        <w:tc>
          <w:tcPr>
            <w:tcW w:w="5000" w:type="pct"/>
            <w:gridSpan w:val="2"/>
            <w:tcMar>
              <w:top w:w="28" w:type="dxa"/>
              <w:left w:w="57" w:type="dxa"/>
              <w:bottom w:w="28" w:type="dxa"/>
              <w:right w:w="57" w:type="dxa"/>
            </w:tcMar>
          </w:tcPr>
          <w:p w14:paraId="36BE621D" w14:textId="77777777" w:rsidR="00841282" w:rsidRPr="00600870" w:rsidRDefault="00841282" w:rsidP="00CE7E90">
            <w:pPr>
              <w:numPr>
                <w:ilvl w:val="0"/>
                <w:numId w:val="79"/>
              </w:numPr>
              <w:ind w:left="567" w:hanging="567"/>
              <w:textAlignment w:val="center"/>
              <w:rPr>
                <w:shd w:val="clear" w:color="auto" w:fill="FFFFFF"/>
                <w:lang w:eastAsia="en-GB"/>
              </w:rPr>
            </w:pPr>
            <w:r w:rsidRPr="002B65F7">
              <w:t>Appliquez un pansement si nécessaire</w:t>
            </w:r>
            <w:r w:rsidRPr="002B65F7">
              <w:rPr>
                <w:bCs/>
                <w:color w:val="000000"/>
                <w:spacing w:val="-2"/>
                <w:lang w:eastAsia="ja-JP"/>
              </w:rPr>
              <w:t>.</w:t>
            </w:r>
          </w:p>
        </w:tc>
      </w:tr>
    </w:tbl>
    <w:p w14:paraId="24875CF7" w14:textId="77777777" w:rsidR="00841282" w:rsidRPr="00600870" w:rsidRDefault="00841282" w:rsidP="00841282">
      <w:pPr>
        <w:tabs>
          <w:tab w:val="left" w:pos="567"/>
        </w:tabs>
      </w:pPr>
    </w:p>
    <w:tbl>
      <w:tblPr>
        <w:tblW w:w="5028" w:type="pct"/>
        <w:tblLayout w:type="fixed"/>
        <w:tblCellMar>
          <w:left w:w="28" w:type="dxa"/>
        </w:tblCellMar>
        <w:tblLook w:val="04A0" w:firstRow="1" w:lastRow="0" w:firstColumn="1" w:lastColumn="0" w:noHBand="0" w:noVBand="1"/>
      </w:tblPr>
      <w:tblGrid>
        <w:gridCol w:w="454"/>
        <w:gridCol w:w="8668"/>
      </w:tblGrid>
      <w:tr w:rsidR="00841282" w:rsidRPr="002B65F7" w14:paraId="203C2603" w14:textId="77777777" w:rsidTr="00CE7E90">
        <w:trPr>
          <w:trHeight w:val="2366"/>
        </w:trPr>
        <w:tc>
          <w:tcPr>
            <w:tcW w:w="5000" w:type="pct"/>
            <w:gridSpan w:val="2"/>
            <w:tcMar>
              <w:top w:w="28" w:type="dxa"/>
              <w:left w:w="57" w:type="dxa"/>
              <w:bottom w:w="28" w:type="dxa"/>
              <w:right w:w="57" w:type="dxa"/>
            </w:tcMar>
            <w:vAlign w:val="center"/>
          </w:tcPr>
          <w:p w14:paraId="78062EBE" w14:textId="01E4D012" w:rsidR="00841282" w:rsidRPr="002B65F7" w:rsidRDefault="00A2167E" w:rsidP="00CE7E90">
            <w:pPr>
              <w:adjustRightInd w:val="0"/>
              <w:jc w:val="center"/>
              <w:rPr>
                <w:noProof/>
                <w:lang w:val="en-GB"/>
              </w:rPr>
            </w:pPr>
            <w:r>
              <w:rPr>
                <w:noProof/>
                <w:lang w:val="en-US" w:eastAsia="zh-CN"/>
              </w:rPr>
              <w:drawing>
                <wp:inline distT="0" distB="0" distL="0" distR="0" wp14:anchorId="63D9A620" wp14:editId="7C69C611">
                  <wp:extent cx="3110865" cy="1746885"/>
                  <wp:effectExtent l="0" t="0" r="0" b="0"/>
                  <wp:docPr id="41" name="Picture 1" descr="A close-up of a test tub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close-up of a test tube&#10;&#10;Description automatically generated with low confidenc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10865" cy="1746885"/>
                          </a:xfrm>
                          <a:prstGeom prst="rect">
                            <a:avLst/>
                          </a:prstGeom>
                          <a:noFill/>
                          <a:ln>
                            <a:noFill/>
                          </a:ln>
                        </pic:spPr>
                      </pic:pic>
                    </a:graphicData>
                  </a:graphic>
                </wp:inline>
              </w:drawing>
            </w:r>
          </w:p>
        </w:tc>
      </w:tr>
      <w:tr w:rsidR="00841282" w:rsidRPr="002B65F7" w14:paraId="0B62EECC" w14:textId="77777777" w:rsidTr="00CE7E90">
        <w:tc>
          <w:tcPr>
            <w:tcW w:w="249" w:type="pct"/>
            <w:tcBorders>
              <w:bottom w:val="single" w:sz="12" w:space="0" w:color="FF0000"/>
            </w:tcBorders>
            <w:tcMar>
              <w:top w:w="28" w:type="dxa"/>
              <w:left w:w="57" w:type="dxa"/>
              <w:bottom w:w="28" w:type="dxa"/>
              <w:right w:w="57" w:type="dxa"/>
            </w:tcMar>
          </w:tcPr>
          <w:p w14:paraId="3E8B05A6" w14:textId="77777777" w:rsidR="00841282" w:rsidRPr="002B65F7" w:rsidRDefault="00841282" w:rsidP="00CE7E90">
            <w:pPr>
              <w:tabs>
                <w:tab w:val="left" w:pos="567"/>
              </w:tabs>
              <w:adjustRightInd w:val="0"/>
              <w:textAlignment w:val="center"/>
              <w:rPr>
                <w:b/>
                <w:bCs/>
                <w:lang w:val="en-GB"/>
              </w:rPr>
            </w:pPr>
            <w:r w:rsidRPr="002B65F7">
              <w:rPr>
                <w:b/>
                <w:bCs/>
                <w:lang w:val="en-GB"/>
              </w:rPr>
              <w:t>14</w:t>
            </w:r>
          </w:p>
        </w:tc>
        <w:tc>
          <w:tcPr>
            <w:tcW w:w="4751" w:type="pct"/>
            <w:tcBorders>
              <w:bottom w:val="single" w:sz="12" w:space="0" w:color="FF0000"/>
            </w:tcBorders>
            <w:tcMar>
              <w:left w:w="57" w:type="dxa"/>
            </w:tcMar>
          </w:tcPr>
          <w:p w14:paraId="766492DC" w14:textId="77777777" w:rsidR="00841282" w:rsidRPr="00600870" w:rsidRDefault="00841282" w:rsidP="00CE7E90">
            <w:pPr>
              <w:adjustRightInd w:val="0"/>
              <w:spacing w:after="120"/>
              <w:rPr>
                <w:b/>
                <w:bCs/>
                <w:noProof/>
              </w:rPr>
            </w:pPr>
            <w:r w:rsidRPr="002B65F7">
              <w:rPr>
                <w:rFonts w:eastAsia="PMingLiU"/>
                <w:b/>
                <w:szCs w:val="20"/>
              </w:rPr>
              <w:t>Placez le stylo prérempli utilisé et le capuchon dans le conteneur à déchets tranchants.</w:t>
            </w:r>
          </w:p>
        </w:tc>
      </w:tr>
      <w:tr w:rsidR="00841282" w:rsidRPr="002B65F7" w14:paraId="720F0013" w14:textId="77777777" w:rsidTr="00CE7E90">
        <w:trPr>
          <w:trHeight w:val="360"/>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6D6FB8BC" w14:textId="77777777" w:rsidR="00841282" w:rsidRPr="00600870" w:rsidRDefault="00841282" w:rsidP="00CE7E90">
            <w:pPr>
              <w:adjustRightInd w:val="0"/>
              <w:ind w:left="72"/>
              <w:rPr>
                <w:b/>
                <w:bCs/>
                <w:shd w:val="clear" w:color="auto" w:fill="FFFFFF"/>
              </w:rPr>
            </w:pPr>
            <w:r w:rsidRPr="002B65F7">
              <w:rPr>
                <w:b/>
                <w:bCs/>
                <w:shd w:val="clear" w:color="auto" w:fill="FFFFFF"/>
              </w:rPr>
              <w:t>Important </w:t>
            </w:r>
            <w:r w:rsidRPr="002B65F7">
              <w:rPr>
                <w:shd w:val="clear" w:color="auto" w:fill="FFFFFF"/>
              </w:rPr>
              <w:t xml:space="preserve">: </w:t>
            </w:r>
            <w:r w:rsidRPr="002B65F7">
              <w:t>ne jetez pas le stylo prérempli avec les ordures ménagères.</w:t>
            </w:r>
          </w:p>
        </w:tc>
      </w:tr>
      <w:tr w:rsidR="00841282" w:rsidRPr="002B65F7" w14:paraId="6B372DE6" w14:textId="77777777" w:rsidTr="00CE7E90">
        <w:tc>
          <w:tcPr>
            <w:tcW w:w="5000" w:type="pct"/>
            <w:gridSpan w:val="2"/>
            <w:tcBorders>
              <w:top w:val="single" w:sz="12" w:space="0" w:color="FF0000"/>
            </w:tcBorders>
            <w:tcMar>
              <w:top w:w="28" w:type="dxa"/>
              <w:left w:w="57" w:type="dxa"/>
              <w:bottom w:w="28" w:type="dxa"/>
              <w:right w:w="57" w:type="dxa"/>
            </w:tcMar>
          </w:tcPr>
          <w:p w14:paraId="4482DBCD" w14:textId="77777777" w:rsidR="00841282" w:rsidRPr="00600870" w:rsidRDefault="00841282" w:rsidP="00CE7E90">
            <w:pPr>
              <w:numPr>
                <w:ilvl w:val="0"/>
                <w:numId w:val="80"/>
              </w:numPr>
              <w:spacing w:before="120"/>
              <w:ind w:left="567" w:hanging="567"/>
              <w:textAlignment w:val="center"/>
              <w:rPr>
                <w:color w:val="000000"/>
                <w:lang w:eastAsia="en-GB"/>
              </w:rPr>
            </w:pPr>
            <w:r w:rsidRPr="002B65F7">
              <w:rPr>
                <w:rFonts w:eastAsia="PMingLiU"/>
                <w:b/>
                <w:szCs w:val="20"/>
              </w:rPr>
              <w:t>Ne</w:t>
            </w:r>
            <w:r w:rsidRPr="002B65F7">
              <w:rPr>
                <w:rFonts w:eastAsia="PMingLiU"/>
                <w:b/>
                <w:bCs/>
                <w:szCs w:val="20"/>
              </w:rPr>
              <w:t xml:space="preserve"> réutilisez pas</w:t>
            </w:r>
            <w:r w:rsidRPr="002B65F7">
              <w:rPr>
                <w:rFonts w:eastAsia="PMingLiU"/>
                <w:szCs w:val="20"/>
              </w:rPr>
              <w:t xml:space="preserve"> le stylo prérempli.</w:t>
            </w:r>
          </w:p>
        </w:tc>
      </w:tr>
      <w:tr w:rsidR="00841282" w:rsidRPr="002B65F7" w14:paraId="009B4279" w14:textId="77777777" w:rsidTr="00CE7E90">
        <w:trPr>
          <w:trHeight w:val="283"/>
        </w:trPr>
        <w:tc>
          <w:tcPr>
            <w:tcW w:w="5000" w:type="pct"/>
            <w:gridSpan w:val="2"/>
            <w:tcMar>
              <w:top w:w="28" w:type="dxa"/>
              <w:left w:w="57" w:type="dxa"/>
              <w:bottom w:w="28" w:type="dxa"/>
              <w:right w:w="57" w:type="dxa"/>
            </w:tcMar>
          </w:tcPr>
          <w:p w14:paraId="3EE8B602" w14:textId="77777777" w:rsidR="00841282" w:rsidRPr="00600870" w:rsidRDefault="00841282" w:rsidP="00CE7E90">
            <w:pPr>
              <w:numPr>
                <w:ilvl w:val="0"/>
                <w:numId w:val="80"/>
              </w:numPr>
              <w:ind w:left="567" w:hanging="567"/>
              <w:textAlignment w:val="center"/>
              <w:rPr>
                <w:color w:val="000000"/>
                <w:lang w:eastAsia="en-GB"/>
              </w:rPr>
            </w:pPr>
            <w:r w:rsidRPr="002B65F7">
              <w:rPr>
                <w:rFonts w:eastAsia="PMingLiU"/>
                <w:b/>
                <w:szCs w:val="20"/>
              </w:rPr>
              <w:t>Ne touchez pas</w:t>
            </w:r>
            <w:r w:rsidRPr="002B65F7">
              <w:rPr>
                <w:rFonts w:eastAsia="PMingLiU"/>
                <w:szCs w:val="20"/>
              </w:rPr>
              <w:t xml:space="preserve"> la protection jaune.</w:t>
            </w:r>
          </w:p>
        </w:tc>
      </w:tr>
    </w:tbl>
    <w:p w14:paraId="5F51C3F8" w14:textId="77777777" w:rsidR="00841282" w:rsidRPr="00600870" w:rsidRDefault="00841282" w:rsidP="00841282"/>
    <w:p w14:paraId="5ED7DAC8" w14:textId="77777777" w:rsidR="00841282" w:rsidRPr="002B65F7" w:rsidRDefault="00841282" w:rsidP="00841282">
      <w:pPr>
        <w:keepNext/>
        <w:widowControl/>
        <w:rPr>
          <w:b/>
          <w:bCs/>
        </w:rPr>
      </w:pPr>
      <w:r w:rsidRPr="002B65F7">
        <w:t>Tout produit non utilisé restant dans le stylo prérempli doit être jeté. Ne jetez aucun médicament au tout à l’égout ou avec les ordures ménagères. Demandez à votre pharmacien d’éliminer des médicaments que vous n’utilisez plus. Ces mesures contribueront à protéger l’environnement.</w:t>
      </w:r>
    </w:p>
    <w:p w14:paraId="6507A2E4" w14:textId="526DDDF5" w:rsidR="00092F83" w:rsidRPr="002B65F7" w:rsidRDefault="00092F83" w:rsidP="00E46E7D">
      <w:pPr>
        <w:pStyle w:val="BodyText"/>
        <w:widowControl/>
      </w:pPr>
    </w:p>
    <w:sectPr w:rsidR="00092F83" w:rsidRPr="002B65F7" w:rsidSect="004B12BC">
      <w:footerReference w:type="default" r:id="rId59"/>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64C83" w14:textId="77777777" w:rsidR="00AA067D" w:rsidRDefault="00AA067D">
      <w:r>
        <w:separator/>
      </w:r>
    </w:p>
  </w:endnote>
  <w:endnote w:type="continuationSeparator" w:id="0">
    <w:p w14:paraId="315391DF" w14:textId="77777777" w:rsidR="00AA067D" w:rsidRDefault="00AA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Klee One"/>
    <w:panose1 w:val="00000000000000000000"/>
    <w:charset w:val="80"/>
    <w:family w:val="auto"/>
    <w:notTrueType/>
    <w:pitch w:val="default"/>
    <w:sig w:usb0="00000003" w:usb1="09070000" w:usb2="00000010" w:usb3="00000000" w:csb0="000A0001"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4FF0" w14:textId="3ED4128C" w:rsidR="000238BD" w:rsidRPr="00422C6B" w:rsidRDefault="000238BD">
    <w:pPr>
      <w:pStyle w:val="Footer"/>
      <w:jc w:val="center"/>
      <w:rPr>
        <w:rFonts w:ascii="Arial" w:hAnsi="Arial" w:cs="Arial"/>
        <w:sz w:val="16"/>
        <w:szCs w:val="16"/>
      </w:rPr>
    </w:pPr>
    <w:r w:rsidRPr="00422C6B">
      <w:rPr>
        <w:rFonts w:ascii="Arial" w:hAnsi="Arial" w:cs="Arial"/>
        <w:sz w:val="16"/>
        <w:szCs w:val="16"/>
      </w:rPr>
      <w:fldChar w:fldCharType="begin"/>
    </w:r>
    <w:r w:rsidRPr="00422C6B">
      <w:rPr>
        <w:rFonts w:ascii="Arial" w:hAnsi="Arial" w:cs="Arial"/>
        <w:sz w:val="16"/>
        <w:szCs w:val="16"/>
      </w:rPr>
      <w:instrText xml:space="preserve"> PAGE   \* MERGEFORMAT </w:instrText>
    </w:r>
    <w:r w:rsidRPr="00422C6B">
      <w:rPr>
        <w:rFonts w:ascii="Arial" w:hAnsi="Arial" w:cs="Arial"/>
        <w:sz w:val="16"/>
        <w:szCs w:val="16"/>
      </w:rPr>
      <w:fldChar w:fldCharType="separate"/>
    </w:r>
    <w:r w:rsidR="002D4E91">
      <w:rPr>
        <w:rFonts w:ascii="Arial" w:hAnsi="Arial" w:cs="Arial"/>
        <w:noProof/>
        <w:sz w:val="16"/>
        <w:szCs w:val="16"/>
      </w:rPr>
      <w:t>143</w:t>
    </w:r>
    <w:r w:rsidRPr="00422C6B">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3AE19" w14:textId="77777777" w:rsidR="00AA067D" w:rsidRDefault="00AA067D">
      <w:r>
        <w:separator/>
      </w:r>
    </w:p>
  </w:footnote>
  <w:footnote w:type="continuationSeparator" w:id="0">
    <w:p w14:paraId="3093BFEB" w14:textId="77777777" w:rsidR="00AA067D" w:rsidRDefault="00AA0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976"/>
    <w:multiLevelType w:val="hybridMultilevel"/>
    <w:tmpl w:val="1988D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74763E"/>
    <w:multiLevelType w:val="hybridMultilevel"/>
    <w:tmpl w:val="7B701432"/>
    <w:lvl w:ilvl="0" w:tplc="222654D2">
      <w:numFmt w:val="bullet"/>
      <w:lvlText w:val="•"/>
      <w:lvlJc w:val="left"/>
      <w:pPr>
        <w:ind w:left="930" w:hanging="363"/>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021BB"/>
    <w:multiLevelType w:val="hybridMultilevel"/>
    <w:tmpl w:val="7F3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25B8B"/>
    <w:multiLevelType w:val="hybridMultilevel"/>
    <w:tmpl w:val="1CB82382"/>
    <w:lvl w:ilvl="0" w:tplc="B4EA2C68">
      <w:numFmt w:val="bullet"/>
      <w:lvlText w:val="•"/>
      <w:lvlJc w:val="left"/>
      <w:pPr>
        <w:ind w:left="930" w:hanging="363"/>
      </w:pPr>
      <w:rPr>
        <w:rFonts w:ascii="Times New Roman" w:eastAsia="Calibri" w:hAnsi="Times New Roman" w:cs="Times New Roman"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 w15:restartNumberingAfterBreak="0">
    <w:nsid w:val="03870FC3"/>
    <w:multiLevelType w:val="hybridMultilevel"/>
    <w:tmpl w:val="C762B5B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894173"/>
    <w:multiLevelType w:val="hybridMultilevel"/>
    <w:tmpl w:val="B68E1816"/>
    <w:lvl w:ilvl="0" w:tplc="5A689E3A">
      <w:numFmt w:val="bullet"/>
      <w:lvlText w:val="•"/>
      <w:lvlJc w:val="left"/>
      <w:pPr>
        <w:ind w:left="930" w:hanging="363"/>
      </w:pPr>
      <w:rPr>
        <w:rFonts w:ascii="Times New Roman" w:eastAsia="Calibri"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F13717"/>
    <w:multiLevelType w:val="hybridMultilevel"/>
    <w:tmpl w:val="A1B2C8E2"/>
    <w:lvl w:ilvl="0" w:tplc="353A60CA">
      <w:start w:val="90"/>
      <w:numFmt w:val="bullet"/>
      <w:lvlText w:val="-"/>
      <w:lvlJc w:val="left"/>
      <w:pPr>
        <w:ind w:left="927" w:hanging="360"/>
      </w:pPr>
      <w:rPr>
        <w:rFonts w:ascii="Times New Roman" w:eastAsia="Calibri" w:hAnsi="Times New Roman" w:cs="Times New Roman"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08914550"/>
    <w:multiLevelType w:val="hybridMultilevel"/>
    <w:tmpl w:val="AD08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883E57"/>
    <w:multiLevelType w:val="hybridMultilevel"/>
    <w:tmpl w:val="542EC616"/>
    <w:lvl w:ilvl="0" w:tplc="F408600E">
      <w:start w:val="1"/>
      <w:numFmt w:val="bullet"/>
      <w:pStyle w:val="BULLETED"/>
      <w:lvlText w:val=""/>
      <w:lvlJc w:val="left"/>
      <w:pPr>
        <w:ind w:left="1926" w:hanging="360"/>
      </w:pPr>
      <w:rPr>
        <w:rFonts w:ascii="Symbol" w:hAnsi="Symbol" w:hint="default"/>
      </w:rPr>
    </w:lvl>
    <w:lvl w:ilvl="1" w:tplc="04090003">
      <w:start w:val="1"/>
      <w:numFmt w:val="bullet"/>
      <w:lvlText w:val="o"/>
      <w:lvlJc w:val="left"/>
      <w:pPr>
        <w:ind w:left="2646" w:hanging="360"/>
      </w:pPr>
      <w:rPr>
        <w:rFonts w:ascii="Courier New" w:hAnsi="Courier New" w:hint="default"/>
      </w:rPr>
    </w:lvl>
    <w:lvl w:ilvl="2" w:tplc="04090005" w:tentative="1">
      <w:start w:val="1"/>
      <w:numFmt w:val="bullet"/>
      <w:lvlText w:val=""/>
      <w:lvlJc w:val="left"/>
      <w:pPr>
        <w:ind w:left="3366" w:hanging="360"/>
      </w:pPr>
      <w:rPr>
        <w:rFonts w:ascii="Wingdings" w:hAnsi="Wingdings"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hint="default"/>
      </w:rPr>
    </w:lvl>
    <w:lvl w:ilvl="8" w:tplc="04090005" w:tentative="1">
      <w:start w:val="1"/>
      <w:numFmt w:val="bullet"/>
      <w:lvlText w:val=""/>
      <w:lvlJc w:val="left"/>
      <w:pPr>
        <w:ind w:left="7686" w:hanging="360"/>
      </w:pPr>
      <w:rPr>
        <w:rFonts w:ascii="Wingdings" w:hAnsi="Wingdings" w:hint="default"/>
      </w:rPr>
    </w:lvl>
  </w:abstractNum>
  <w:abstractNum w:abstractNumId="9" w15:restartNumberingAfterBreak="0">
    <w:nsid w:val="0AB459A8"/>
    <w:multiLevelType w:val="hybridMultilevel"/>
    <w:tmpl w:val="5C98C6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0AFC0694"/>
    <w:multiLevelType w:val="hybridMultilevel"/>
    <w:tmpl w:val="9A6CC41C"/>
    <w:lvl w:ilvl="0" w:tplc="B6DED39C">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C832D70"/>
    <w:multiLevelType w:val="hybridMultilevel"/>
    <w:tmpl w:val="C7942DF8"/>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C50804"/>
    <w:multiLevelType w:val="hybridMultilevel"/>
    <w:tmpl w:val="9F46B7E8"/>
    <w:lvl w:ilvl="0" w:tplc="E7A66A90">
      <w:numFmt w:val="bullet"/>
      <w:lvlText w:val="•"/>
      <w:lvlJc w:val="left"/>
      <w:pPr>
        <w:ind w:left="930" w:hanging="363"/>
      </w:pPr>
      <w:rPr>
        <w:rFonts w:ascii="Times New Roman" w:eastAsia="Calibri" w:hAnsi="Times New Roman" w:cs="Times New Roman" w:hint="default"/>
        <w:lang w:val="e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4E757D"/>
    <w:multiLevelType w:val="hybridMultilevel"/>
    <w:tmpl w:val="3CEA6EE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EA419C"/>
    <w:multiLevelType w:val="hybridMultilevel"/>
    <w:tmpl w:val="60E2238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A80496"/>
    <w:multiLevelType w:val="hybridMultilevel"/>
    <w:tmpl w:val="5450075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FE022E"/>
    <w:multiLevelType w:val="hybridMultilevel"/>
    <w:tmpl w:val="B88C5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293341F"/>
    <w:multiLevelType w:val="hybridMultilevel"/>
    <w:tmpl w:val="7FD21D8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2D54D3"/>
    <w:multiLevelType w:val="hybridMultilevel"/>
    <w:tmpl w:val="EBA6C44A"/>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2F42F6"/>
    <w:multiLevelType w:val="hybridMultilevel"/>
    <w:tmpl w:val="3D7AFCB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C26B62"/>
    <w:multiLevelType w:val="hybridMultilevel"/>
    <w:tmpl w:val="BB38DD1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403F57"/>
    <w:multiLevelType w:val="hybridMultilevel"/>
    <w:tmpl w:val="9874467A"/>
    <w:lvl w:ilvl="0" w:tplc="72C6AD2A">
      <w:numFmt w:val="bullet"/>
      <w:lvlText w:val="•"/>
      <w:lvlJc w:val="left"/>
      <w:pPr>
        <w:ind w:left="930" w:hanging="363"/>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AA256F"/>
    <w:multiLevelType w:val="hybridMultilevel"/>
    <w:tmpl w:val="2678481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E972F5"/>
    <w:multiLevelType w:val="hybridMultilevel"/>
    <w:tmpl w:val="BE8EE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380270D"/>
    <w:multiLevelType w:val="hybridMultilevel"/>
    <w:tmpl w:val="97E26938"/>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624082"/>
    <w:multiLevelType w:val="hybridMultilevel"/>
    <w:tmpl w:val="F892816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5413FA"/>
    <w:multiLevelType w:val="hybridMultilevel"/>
    <w:tmpl w:val="ECE0DF8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B41CD2"/>
    <w:multiLevelType w:val="hybridMultilevel"/>
    <w:tmpl w:val="94808ED0"/>
    <w:lvl w:ilvl="0" w:tplc="FE4C3694">
      <w:start w:val="1"/>
      <w:numFmt w:val="bullet"/>
      <w:lvlText w:val="-"/>
      <w:lvlJc w:val="left"/>
      <w:pPr>
        <w:ind w:left="1495" w:hanging="360"/>
      </w:pPr>
      <w:rPr>
        <w:rFonts w:ascii="Courier New" w:hAnsi="Courier New"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8" w15:restartNumberingAfterBreak="0">
    <w:nsid w:val="39926127"/>
    <w:multiLevelType w:val="hybridMultilevel"/>
    <w:tmpl w:val="85D6DA7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650" w:hanging="570"/>
      </w:pPr>
      <w:rPr>
        <w:rFonts w:ascii="Symbol" w:hAnsi="Symbol" w:hint="default"/>
      </w:rPr>
    </w:lvl>
    <w:lvl w:ilvl="2" w:tplc="40090001">
      <w:start w:val="1"/>
      <w:numFmt w:val="bullet"/>
      <w:lvlText w:val=""/>
      <w:lvlJc w:val="left"/>
      <w:pPr>
        <w:ind w:left="2370" w:hanging="57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4E7EDE"/>
    <w:multiLevelType w:val="hybridMultilevel"/>
    <w:tmpl w:val="A01A7AF4"/>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D405AC"/>
    <w:multiLevelType w:val="hybridMultilevel"/>
    <w:tmpl w:val="AB58BF7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E2489A"/>
    <w:multiLevelType w:val="hybridMultilevel"/>
    <w:tmpl w:val="05FCF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705201"/>
    <w:multiLevelType w:val="hybridMultilevel"/>
    <w:tmpl w:val="4D10AE2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5A3603"/>
    <w:multiLevelType w:val="hybridMultilevel"/>
    <w:tmpl w:val="89F2B08E"/>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A35CCD"/>
    <w:multiLevelType w:val="hybridMultilevel"/>
    <w:tmpl w:val="C6C62AE2"/>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B20E6C"/>
    <w:multiLevelType w:val="hybridMultilevel"/>
    <w:tmpl w:val="E53820E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DB7F16"/>
    <w:multiLevelType w:val="hybridMultilevel"/>
    <w:tmpl w:val="AE5210D6"/>
    <w:lvl w:ilvl="0" w:tplc="40090001">
      <w:start w:val="1"/>
      <w:numFmt w:val="bullet"/>
      <w:lvlText w:val=""/>
      <w:lvlJc w:val="left"/>
      <w:pPr>
        <w:ind w:left="720" w:hanging="360"/>
      </w:pPr>
      <w:rPr>
        <w:rFonts w:ascii="Symbol" w:hAnsi="Symbol" w:hint="default"/>
      </w:rPr>
    </w:lvl>
    <w:lvl w:ilvl="1" w:tplc="31144DD4">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372FA5"/>
    <w:multiLevelType w:val="hybridMultilevel"/>
    <w:tmpl w:val="097AF0D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9D0B22"/>
    <w:multiLevelType w:val="hybridMultilevel"/>
    <w:tmpl w:val="A3A80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1F47F4"/>
    <w:multiLevelType w:val="hybridMultilevel"/>
    <w:tmpl w:val="9424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2472FB9"/>
    <w:multiLevelType w:val="hybridMultilevel"/>
    <w:tmpl w:val="1320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2B0700D"/>
    <w:multiLevelType w:val="hybridMultilevel"/>
    <w:tmpl w:val="EE1AE13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D15B9B"/>
    <w:multiLevelType w:val="hybridMultilevel"/>
    <w:tmpl w:val="AA168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3B92F3D"/>
    <w:multiLevelType w:val="hybridMultilevel"/>
    <w:tmpl w:val="E0CC7986"/>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40B650F"/>
    <w:multiLevelType w:val="hybridMultilevel"/>
    <w:tmpl w:val="7DEEA11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84362F"/>
    <w:multiLevelType w:val="hybridMultilevel"/>
    <w:tmpl w:val="DAD0EA8A"/>
    <w:lvl w:ilvl="0" w:tplc="64708DDC">
      <w:numFmt w:val="bullet"/>
      <w:lvlText w:val="•"/>
      <w:lvlJc w:val="left"/>
      <w:pPr>
        <w:ind w:left="930" w:hanging="363"/>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AB40644"/>
    <w:multiLevelType w:val="hybridMultilevel"/>
    <w:tmpl w:val="2B24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CA739BC"/>
    <w:multiLevelType w:val="hybridMultilevel"/>
    <w:tmpl w:val="60C618D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C77C3C"/>
    <w:multiLevelType w:val="hybridMultilevel"/>
    <w:tmpl w:val="B7FAA7C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F7135D"/>
    <w:multiLevelType w:val="hybridMultilevel"/>
    <w:tmpl w:val="07AEFA8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AE09CF"/>
    <w:multiLevelType w:val="hybridMultilevel"/>
    <w:tmpl w:val="DA4E606E"/>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FC3521"/>
    <w:multiLevelType w:val="hybridMultilevel"/>
    <w:tmpl w:val="4920DE5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3C4257B"/>
    <w:multiLevelType w:val="hybridMultilevel"/>
    <w:tmpl w:val="252A176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4433B52"/>
    <w:multiLevelType w:val="hybridMultilevel"/>
    <w:tmpl w:val="16FE701C"/>
    <w:lvl w:ilvl="0" w:tplc="BB040B4E">
      <w:numFmt w:val="bullet"/>
      <w:lvlText w:val="•"/>
      <w:lvlJc w:val="left"/>
      <w:pPr>
        <w:ind w:left="930" w:hanging="363"/>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50B2BAE"/>
    <w:multiLevelType w:val="hybridMultilevel"/>
    <w:tmpl w:val="D23CCC8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7038A7"/>
    <w:multiLevelType w:val="hybridMultilevel"/>
    <w:tmpl w:val="B50AF51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63B44F7"/>
    <w:multiLevelType w:val="hybridMultilevel"/>
    <w:tmpl w:val="1B528B7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9F35BC"/>
    <w:multiLevelType w:val="hybridMultilevel"/>
    <w:tmpl w:val="58343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A906C65"/>
    <w:multiLevelType w:val="hybridMultilevel"/>
    <w:tmpl w:val="7C6CD46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B84929"/>
    <w:multiLevelType w:val="hybridMultilevel"/>
    <w:tmpl w:val="F48419A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2A526A"/>
    <w:multiLevelType w:val="hybridMultilevel"/>
    <w:tmpl w:val="2214E124"/>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0756A6"/>
    <w:multiLevelType w:val="hybridMultilevel"/>
    <w:tmpl w:val="C17A1E1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8C426E"/>
    <w:multiLevelType w:val="hybridMultilevel"/>
    <w:tmpl w:val="92B2421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9D4E3E"/>
    <w:multiLevelType w:val="hybridMultilevel"/>
    <w:tmpl w:val="B722010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EC30ABF"/>
    <w:multiLevelType w:val="hybridMultilevel"/>
    <w:tmpl w:val="DE7CC2F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F9337D0"/>
    <w:multiLevelType w:val="hybridMultilevel"/>
    <w:tmpl w:val="135AB846"/>
    <w:lvl w:ilvl="0" w:tplc="09CA02F6">
      <w:start w:val="1"/>
      <w:numFmt w:val="bullet"/>
      <w:lvlText w:val=""/>
      <w:lvlJc w:val="left"/>
      <w:pPr>
        <w:tabs>
          <w:tab w:val="num" w:pos="720"/>
        </w:tabs>
        <w:ind w:left="720" w:hanging="360"/>
      </w:pPr>
      <w:rPr>
        <w:rFonts w:ascii="Symbol" w:hAnsi="Symbol" w:hint="default"/>
      </w:rPr>
    </w:lvl>
    <w:lvl w:ilvl="1" w:tplc="FD1E14AA">
      <w:start w:val="1"/>
      <w:numFmt w:val="bullet"/>
      <w:lvlText w:val="o"/>
      <w:lvlJc w:val="left"/>
      <w:pPr>
        <w:tabs>
          <w:tab w:val="num" w:pos="1440"/>
        </w:tabs>
        <w:ind w:left="1440" w:hanging="360"/>
      </w:pPr>
      <w:rPr>
        <w:rFonts w:ascii="Courier New" w:hAnsi="Courier New" w:cs="Courier New" w:hint="default"/>
      </w:rPr>
    </w:lvl>
    <w:lvl w:ilvl="2" w:tplc="04F8F160" w:tentative="1">
      <w:start w:val="1"/>
      <w:numFmt w:val="bullet"/>
      <w:lvlText w:val=""/>
      <w:lvlJc w:val="left"/>
      <w:pPr>
        <w:tabs>
          <w:tab w:val="num" w:pos="2160"/>
        </w:tabs>
        <w:ind w:left="2160" w:hanging="360"/>
      </w:pPr>
      <w:rPr>
        <w:rFonts w:ascii="Wingdings" w:hAnsi="Wingdings" w:hint="default"/>
      </w:rPr>
    </w:lvl>
    <w:lvl w:ilvl="3" w:tplc="9B164500" w:tentative="1">
      <w:start w:val="1"/>
      <w:numFmt w:val="bullet"/>
      <w:lvlText w:val=""/>
      <w:lvlJc w:val="left"/>
      <w:pPr>
        <w:tabs>
          <w:tab w:val="num" w:pos="2880"/>
        </w:tabs>
        <w:ind w:left="2880" w:hanging="360"/>
      </w:pPr>
      <w:rPr>
        <w:rFonts w:ascii="Symbol" w:hAnsi="Symbol" w:hint="default"/>
      </w:rPr>
    </w:lvl>
    <w:lvl w:ilvl="4" w:tplc="7AEC38BC" w:tentative="1">
      <w:start w:val="1"/>
      <w:numFmt w:val="bullet"/>
      <w:lvlText w:val="o"/>
      <w:lvlJc w:val="left"/>
      <w:pPr>
        <w:tabs>
          <w:tab w:val="num" w:pos="3600"/>
        </w:tabs>
        <w:ind w:left="3600" w:hanging="360"/>
      </w:pPr>
      <w:rPr>
        <w:rFonts w:ascii="Courier New" w:hAnsi="Courier New" w:cs="Courier New" w:hint="default"/>
      </w:rPr>
    </w:lvl>
    <w:lvl w:ilvl="5" w:tplc="D4F0B5F6" w:tentative="1">
      <w:start w:val="1"/>
      <w:numFmt w:val="bullet"/>
      <w:lvlText w:val=""/>
      <w:lvlJc w:val="left"/>
      <w:pPr>
        <w:tabs>
          <w:tab w:val="num" w:pos="4320"/>
        </w:tabs>
        <w:ind w:left="4320" w:hanging="360"/>
      </w:pPr>
      <w:rPr>
        <w:rFonts w:ascii="Wingdings" w:hAnsi="Wingdings" w:hint="default"/>
      </w:rPr>
    </w:lvl>
    <w:lvl w:ilvl="6" w:tplc="37FC1CAC" w:tentative="1">
      <w:start w:val="1"/>
      <w:numFmt w:val="bullet"/>
      <w:lvlText w:val=""/>
      <w:lvlJc w:val="left"/>
      <w:pPr>
        <w:tabs>
          <w:tab w:val="num" w:pos="5040"/>
        </w:tabs>
        <w:ind w:left="5040" w:hanging="360"/>
      </w:pPr>
      <w:rPr>
        <w:rFonts w:ascii="Symbol" w:hAnsi="Symbol" w:hint="default"/>
      </w:rPr>
    </w:lvl>
    <w:lvl w:ilvl="7" w:tplc="57501DC4" w:tentative="1">
      <w:start w:val="1"/>
      <w:numFmt w:val="bullet"/>
      <w:lvlText w:val="o"/>
      <w:lvlJc w:val="left"/>
      <w:pPr>
        <w:tabs>
          <w:tab w:val="num" w:pos="5760"/>
        </w:tabs>
        <w:ind w:left="5760" w:hanging="360"/>
      </w:pPr>
      <w:rPr>
        <w:rFonts w:ascii="Courier New" w:hAnsi="Courier New" w:cs="Courier New" w:hint="default"/>
      </w:rPr>
    </w:lvl>
    <w:lvl w:ilvl="8" w:tplc="6C7C6246"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FFF5C8A"/>
    <w:multiLevelType w:val="hybridMultilevel"/>
    <w:tmpl w:val="ECA06AF2"/>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E3738A"/>
    <w:multiLevelType w:val="hybridMultilevel"/>
    <w:tmpl w:val="6994B5E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4901709"/>
    <w:multiLevelType w:val="hybridMultilevel"/>
    <w:tmpl w:val="C0588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5B57374"/>
    <w:multiLevelType w:val="hybridMultilevel"/>
    <w:tmpl w:val="E2DA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65B606A"/>
    <w:multiLevelType w:val="hybridMultilevel"/>
    <w:tmpl w:val="35D2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67358EF"/>
    <w:multiLevelType w:val="hybridMultilevel"/>
    <w:tmpl w:val="D958B5FA"/>
    <w:lvl w:ilvl="0" w:tplc="114CD5E2">
      <w:numFmt w:val="bullet"/>
      <w:lvlText w:val="•"/>
      <w:lvlJc w:val="left"/>
      <w:pPr>
        <w:ind w:left="720" w:hanging="153"/>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7BD5BAF"/>
    <w:multiLevelType w:val="hybridMultilevel"/>
    <w:tmpl w:val="A42C9624"/>
    <w:lvl w:ilvl="0" w:tplc="54FA792A">
      <w:numFmt w:val="bullet"/>
      <w:lvlText w:val="•"/>
      <w:lvlJc w:val="left"/>
      <w:pPr>
        <w:ind w:left="930" w:hanging="363"/>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90B5B46"/>
    <w:multiLevelType w:val="hybridMultilevel"/>
    <w:tmpl w:val="B254F49C"/>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9E931EF"/>
    <w:multiLevelType w:val="hybridMultilevel"/>
    <w:tmpl w:val="B796814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AB42AF5"/>
    <w:multiLevelType w:val="hybridMultilevel"/>
    <w:tmpl w:val="47DAC488"/>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C0F0F0A"/>
    <w:multiLevelType w:val="hybridMultilevel"/>
    <w:tmpl w:val="78FE0676"/>
    <w:lvl w:ilvl="0" w:tplc="FE4C3694">
      <w:start w:val="1"/>
      <w:numFmt w:val="bullet"/>
      <w:lvlText w:val="-"/>
      <w:lvlJc w:val="left"/>
      <w:pPr>
        <w:ind w:left="720" w:hanging="360"/>
      </w:pPr>
      <w:rPr>
        <w:rFonts w:ascii="Courier New" w:hAnsi="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7" w15:restartNumberingAfterBreak="0">
    <w:nsid w:val="7D446066"/>
    <w:multiLevelType w:val="hybridMultilevel"/>
    <w:tmpl w:val="117895DA"/>
    <w:lvl w:ilvl="0" w:tplc="FE4C369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D5F6B3F"/>
    <w:multiLevelType w:val="hybridMultilevel"/>
    <w:tmpl w:val="170EDF94"/>
    <w:lvl w:ilvl="0" w:tplc="0AB4FCFC">
      <w:numFmt w:val="bullet"/>
      <w:lvlText w:val="•"/>
      <w:lvlJc w:val="left"/>
      <w:pPr>
        <w:ind w:left="930" w:hanging="363"/>
      </w:pPr>
      <w:rPr>
        <w:rFonts w:ascii="Times New Roman" w:eastAsia="Calibr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7D7B39C2"/>
    <w:multiLevelType w:val="hybridMultilevel"/>
    <w:tmpl w:val="F6409B5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EAF4CF3"/>
    <w:multiLevelType w:val="hybridMultilevel"/>
    <w:tmpl w:val="7FD0BD1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062476">
    <w:abstractNumId w:val="8"/>
  </w:num>
  <w:num w:numId="2" w16cid:durableId="1936131184">
    <w:abstractNumId w:val="53"/>
  </w:num>
  <w:num w:numId="3" w16cid:durableId="304970024">
    <w:abstractNumId w:val="10"/>
  </w:num>
  <w:num w:numId="4" w16cid:durableId="2086293069">
    <w:abstractNumId w:val="71"/>
  </w:num>
  <w:num w:numId="5" w16cid:durableId="634605297">
    <w:abstractNumId w:val="12"/>
  </w:num>
  <w:num w:numId="6" w16cid:durableId="1885290636">
    <w:abstractNumId w:val="5"/>
  </w:num>
  <w:num w:numId="7" w16cid:durableId="1190025076">
    <w:abstractNumId w:val="45"/>
  </w:num>
  <w:num w:numId="8" w16cid:durableId="1689064499">
    <w:abstractNumId w:val="1"/>
  </w:num>
  <w:num w:numId="9" w16cid:durableId="176508744">
    <w:abstractNumId w:val="72"/>
  </w:num>
  <w:num w:numId="10" w16cid:durableId="139033085">
    <w:abstractNumId w:val="3"/>
  </w:num>
  <w:num w:numId="11" w16cid:durableId="1595436853">
    <w:abstractNumId w:val="27"/>
  </w:num>
  <w:num w:numId="12" w16cid:durableId="490877052">
    <w:abstractNumId w:val="21"/>
  </w:num>
  <w:num w:numId="13" w16cid:durableId="1429620878">
    <w:abstractNumId w:val="78"/>
  </w:num>
  <w:num w:numId="14" w16cid:durableId="1848133327">
    <w:abstractNumId w:val="77"/>
  </w:num>
  <w:num w:numId="15" w16cid:durableId="145902754">
    <w:abstractNumId w:val="60"/>
  </w:num>
  <w:num w:numId="16" w16cid:durableId="2109959986">
    <w:abstractNumId w:val="33"/>
  </w:num>
  <w:num w:numId="17" w16cid:durableId="656616853">
    <w:abstractNumId w:val="18"/>
  </w:num>
  <w:num w:numId="18" w16cid:durableId="1944729630">
    <w:abstractNumId w:val="31"/>
  </w:num>
  <w:num w:numId="19" w16cid:durableId="111873918">
    <w:abstractNumId w:val="28"/>
  </w:num>
  <w:num w:numId="20" w16cid:durableId="122040891">
    <w:abstractNumId w:val="66"/>
  </w:num>
  <w:num w:numId="21" w16cid:durableId="690835382">
    <w:abstractNumId w:val="80"/>
  </w:num>
  <w:num w:numId="22" w16cid:durableId="989409132">
    <w:abstractNumId w:val="29"/>
  </w:num>
  <w:num w:numId="23" w16cid:durableId="1962835033">
    <w:abstractNumId w:val="75"/>
  </w:num>
  <w:num w:numId="24" w16cid:durableId="225073184">
    <w:abstractNumId w:val="36"/>
  </w:num>
  <w:num w:numId="25" w16cid:durableId="1091201953">
    <w:abstractNumId w:val="34"/>
  </w:num>
  <w:num w:numId="26" w16cid:durableId="1033729181">
    <w:abstractNumId w:val="30"/>
  </w:num>
  <w:num w:numId="27" w16cid:durableId="927692287">
    <w:abstractNumId w:val="63"/>
  </w:num>
  <w:num w:numId="28" w16cid:durableId="1782071866">
    <w:abstractNumId w:val="44"/>
  </w:num>
  <w:num w:numId="29" w16cid:durableId="1149440111">
    <w:abstractNumId w:val="20"/>
  </w:num>
  <w:num w:numId="30" w16cid:durableId="309361007">
    <w:abstractNumId w:val="4"/>
  </w:num>
  <w:num w:numId="31" w16cid:durableId="7829853">
    <w:abstractNumId w:val="67"/>
  </w:num>
  <w:num w:numId="32" w16cid:durableId="1392802534">
    <w:abstractNumId w:val="62"/>
  </w:num>
  <w:num w:numId="33" w16cid:durableId="1063331924">
    <w:abstractNumId w:val="49"/>
  </w:num>
  <w:num w:numId="34" w16cid:durableId="1831405821">
    <w:abstractNumId w:val="55"/>
  </w:num>
  <w:num w:numId="35" w16cid:durableId="2001233218">
    <w:abstractNumId w:val="73"/>
  </w:num>
  <w:num w:numId="36" w16cid:durableId="1428691814">
    <w:abstractNumId w:val="32"/>
  </w:num>
  <w:num w:numId="37" w16cid:durableId="867721695">
    <w:abstractNumId w:val="47"/>
  </w:num>
  <w:num w:numId="38" w16cid:durableId="1952394432">
    <w:abstractNumId w:val="79"/>
  </w:num>
  <w:num w:numId="39" w16cid:durableId="1616667266">
    <w:abstractNumId w:val="61"/>
  </w:num>
  <w:num w:numId="40" w16cid:durableId="1161040968">
    <w:abstractNumId w:val="50"/>
  </w:num>
  <w:num w:numId="41" w16cid:durableId="1094085479">
    <w:abstractNumId w:val="22"/>
  </w:num>
  <w:num w:numId="42" w16cid:durableId="157810784">
    <w:abstractNumId w:val="48"/>
  </w:num>
  <w:num w:numId="43" w16cid:durableId="136342634">
    <w:abstractNumId w:val="64"/>
  </w:num>
  <w:num w:numId="44" w16cid:durableId="1141465140">
    <w:abstractNumId w:val="13"/>
  </w:num>
  <w:num w:numId="45" w16cid:durableId="1040008222">
    <w:abstractNumId w:val="37"/>
  </w:num>
  <w:num w:numId="46" w16cid:durableId="1945384272">
    <w:abstractNumId w:val="14"/>
  </w:num>
  <w:num w:numId="47" w16cid:durableId="1965577279">
    <w:abstractNumId w:val="17"/>
  </w:num>
  <w:num w:numId="48" w16cid:durableId="913054279">
    <w:abstractNumId w:val="35"/>
  </w:num>
  <w:num w:numId="49" w16cid:durableId="1322736662">
    <w:abstractNumId w:val="58"/>
  </w:num>
  <w:num w:numId="50" w16cid:durableId="2039964576">
    <w:abstractNumId w:val="24"/>
  </w:num>
  <w:num w:numId="51" w16cid:durableId="645163591">
    <w:abstractNumId w:val="15"/>
  </w:num>
  <w:num w:numId="52" w16cid:durableId="1007295525">
    <w:abstractNumId w:val="54"/>
  </w:num>
  <w:num w:numId="53" w16cid:durableId="185026494">
    <w:abstractNumId w:val="59"/>
  </w:num>
  <w:num w:numId="54" w16cid:durableId="1956935826">
    <w:abstractNumId w:val="19"/>
  </w:num>
  <w:num w:numId="55" w16cid:durableId="1031031696">
    <w:abstractNumId w:val="52"/>
  </w:num>
  <w:num w:numId="56" w16cid:durableId="2035959002">
    <w:abstractNumId w:val="25"/>
  </w:num>
  <w:num w:numId="57" w16cid:durableId="676537936">
    <w:abstractNumId w:val="56"/>
  </w:num>
  <w:num w:numId="58" w16cid:durableId="1638949925">
    <w:abstractNumId w:val="74"/>
  </w:num>
  <w:num w:numId="59" w16cid:durableId="344939988">
    <w:abstractNumId w:val="51"/>
  </w:num>
  <w:num w:numId="60" w16cid:durableId="1024329444">
    <w:abstractNumId w:val="11"/>
  </w:num>
  <w:num w:numId="61" w16cid:durableId="1427386322">
    <w:abstractNumId w:val="41"/>
  </w:num>
  <w:num w:numId="62" w16cid:durableId="1095711765">
    <w:abstractNumId w:val="43"/>
  </w:num>
  <w:num w:numId="63" w16cid:durableId="1708291031">
    <w:abstractNumId w:val="76"/>
  </w:num>
  <w:num w:numId="64" w16cid:durableId="1278177279">
    <w:abstractNumId w:val="0"/>
  </w:num>
  <w:num w:numId="65" w16cid:durableId="640502685">
    <w:abstractNumId w:val="42"/>
  </w:num>
  <w:num w:numId="66" w16cid:durableId="522793328">
    <w:abstractNumId w:val="9"/>
  </w:num>
  <w:num w:numId="67" w16cid:durableId="1536581183">
    <w:abstractNumId w:val="6"/>
  </w:num>
  <w:num w:numId="68" w16cid:durableId="674382805">
    <w:abstractNumId w:val="26"/>
  </w:num>
  <w:num w:numId="69" w16cid:durableId="2080398384">
    <w:abstractNumId w:val="68"/>
  </w:num>
  <w:num w:numId="70" w16cid:durableId="950089769">
    <w:abstractNumId w:val="39"/>
  </w:num>
  <w:num w:numId="71" w16cid:durableId="1950773371">
    <w:abstractNumId w:val="57"/>
  </w:num>
  <w:num w:numId="72" w16cid:durableId="793713326">
    <w:abstractNumId w:val="40"/>
  </w:num>
  <w:num w:numId="73" w16cid:durableId="34039594">
    <w:abstractNumId w:val="46"/>
  </w:num>
  <w:num w:numId="74" w16cid:durableId="563873115">
    <w:abstractNumId w:val="16"/>
  </w:num>
  <w:num w:numId="75" w16cid:durableId="1107433317">
    <w:abstractNumId w:val="7"/>
  </w:num>
  <w:num w:numId="76" w16cid:durableId="1912957835">
    <w:abstractNumId w:val="2"/>
  </w:num>
  <w:num w:numId="77" w16cid:durableId="661857734">
    <w:abstractNumId w:val="69"/>
  </w:num>
  <w:num w:numId="78" w16cid:durableId="1978948067">
    <w:abstractNumId w:val="70"/>
  </w:num>
  <w:num w:numId="79" w16cid:durableId="291137709">
    <w:abstractNumId w:val="38"/>
  </w:num>
  <w:num w:numId="80" w16cid:durableId="873270010">
    <w:abstractNumId w:val="23"/>
  </w:num>
  <w:num w:numId="81" w16cid:durableId="1135830472">
    <w:abstractNumId w:val="65"/>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hideSpellingErrors/>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83"/>
    <w:rsid w:val="000005F7"/>
    <w:rsid w:val="00000859"/>
    <w:rsid w:val="00000B49"/>
    <w:rsid w:val="00000F97"/>
    <w:rsid w:val="000011A3"/>
    <w:rsid w:val="00001336"/>
    <w:rsid w:val="00001762"/>
    <w:rsid w:val="00001B01"/>
    <w:rsid w:val="000024B3"/>
    <w:rsid w:val="00003B09"/>
    <w:rsid w:val="00003DAA"/>
    <w:rsid w:val="00004234"/>
    <w:rsid w:val="00006524"/>
    <w:rsid w:val="00010D14"/>
    <w:rsid w:val="00010FE7"/>
    <w:rsid w:val="0001206D"/>
    <w:rsid w:val="0001491F"/>
    <w:rsid w:val="0001571C"/>
    <w:rsid w:val="00016067"/>
    <w:rsid w:val="000230B0"/>
    <w:rsid w:val="000238BD"/>
    <w:rsid w:val="000240ED"/>
    <w:rsid w:val="000273E8"/>
    <w:rsid w:val="00033240"/>
    <w:rsid w:val="00033327"/>
    <w:rsid w:val="00033689"/>
    <w:rsid w:val="0003370A"/>
    <w:rsid w:val="0003454F"/>
    <w:rsid w:val="00035C8F"/>
    <w:rsid w:val="00036696"/>
    <w:rsid w:val="00036CBE"/>
    <w:rsid w:val="00036E59"/>
    <w:rsid w:val="00040AC7"/>
    <w:rsid w:val="000431DE"/>
    <w:rsid w:val="00044E14"/>
    <w:rsid w:val="00046981"/>
    <w:rsid w:val="000474EF"/>
    <w:rsid w:val="0004795A"/>
    <w:rsid w:val="00047B20"/>
    <w:rsid w:val="00047CEE"/>
    <w:rsid w:val="0005129B"/>
    <w:rsid w:val="00051530"/>
    <w:rsid w:val="0005165C"/>
    <w:rsid w:val="000519D4"/>
    <w:rsid w:val="00052720"/>
    <w:rsid w:val="00056762"/>
    <w:rsid w:val="00056803"/>
    <w:rsid w:val="00057586"/>
    <w:rsid w:val="0006158E"/>
    <w:rsid w:val="0006208F"/>
    <w:rsid w:val="0006229F"/>
    <w:rsid w:val="00062836"/>
    <w:rsid w:val="000651B5"/>
    <w:rsid w:val="00065FAD"/>
    <w:rsid w:val="0006660B"/>
    <w:rsid w:val="00072DE2"/>
    <w:rsid w:val="000732E4"/>
    <w:rsid w:val="00073E33"/>
    <w:rsid w:val="00076503"/>
    <w:rsid w:val="00076ACF"/>
    <w:rsid w:val="00080265"/>
    <w:rsid w:val="00081AB4"/>
    <w:rsid w:val="00082658"/>
    <w:rsid w:val="00082CE1"/>
    <w:rsid w:val="00084711"/>
    <w:rsid w:val="00085933"/>
    <w:rsid w:val="00085FB7"/>
    <w:rsid w:val="00087F10"/>
    <w:rsid w:val="00090ADA"/>
    <w:rsid w:val="00092F83"/>
    <w:rsid w:val="00093141"/>
    <w:rsid w:val="000962E7"/>
    <w:rsid w:val="00096B01"/>
    <w:rsid w:val="00097502"/>
    <w:rsid w:val="00097BAD"/>
    <w:rsid w:val="00097D3B"/>
    <w:rsid w:val="000A0846"/>
    <w:rsid w:val="000A118E"/>
    <w:rsid w:val="000A34D5"/>
    <w:rsid w:val="000A3810"/>
    <w:rsid w:val="000A5780"/>
    <w:rsid w:val="000A6E8C"/>
    <w:rsid w:val="000B1A88"/>
    <w:rsid w:val="000B1C54"/>
    <w:rsid w:val="000B1D53"/>
    <w:rsid w:val="000B3016"/>
    <w:rsid w:val="000B411D"/>
    <w:rsid w:val="000B45CC"/>
    <w:rsid w:val="000B59C0"/>
    <w:rsid w:val="000B6494"/>
    <w:rsid w:val="000C043E"/>
    <w:rsid w:val="000C07BC"/>
    <w:rsid w:val="000C1421"/>
    <w:rsid w:val="000C1E8E"/>
    <w:rsid w:val="000C2651"/>
    <w:rsid w:val="000C2CD4"/>
    <w:rsid w:val="000C795A"/>
    <w:rsid w:val="000D03B1"/>
    <w:rsid w:val="000D100E"/>
    <w:rsid w:val="000D11F1"/>
    <w:rsid w:val="000D1C51"/>
    <w:rsid w:val="000D1DCA"/>
    <w:rsid w:val="000D77B4"/>
    <w:rsid w:val="000D79A2"/>
    <w:rsid w:val="000E1196"/>
    <w:rsid w:val="000E1872"/>
    <w:rsid w:val="000E40C0"/>
    <w:rsid w:val="000E44BB"/>
    <w:rsid w:val="000E520D"/>
    <w:rsid w:val="000E5AAB"/>
    <w:rsid w:val="000E62BA"/>
    <w:rsid w:val="000F0A68"/>
    <w:rsid w:val="000F0F7A"/>
    <w:rsid w:val="000F12C9"/>
    <w:rsid w:val="000F2450"/>
    <w:rsid w:val="000F418D"/>
    <w:rsid w:val="000F43D8"/>
    <w:rsid w:val="000F4C3F"/>
    <w:rsid w:val="000F5324"/>
    <w:rsid w:val="000F54D1"/>
    <w:rsid w:val="000F625C"/>
    <w:rsid w:val="0010720B"/>
    <w:rsid w:val="00112127"/>
    <w:rsid w:val="00112693"/>
    <w:rsid w:val="00113A76"/>
    <w:rsid w:val="00113DDA"/>
    <w:rsid w:val="00114261"/>
    <w:rsid w:val="00115879"/>
    <w:rsid w:val="0011622C"/>
    <w:rsid w:val="0011744A"/>
    <w:rsid w:val="00120924"/>
    <w:rsid w:val="00121E94"/>
    <w:rsid w:val="0012494D"/>
    <w:rsid w:val="00125204"/>
    <w:rsid w:val="001271A5"/>
    <w:rsid w:val="001307D2"/>
    <w:rsid w:val="0013289D"/>
    <w:rsid w:val="00132EFC"/>
    <w:rsid w:val="001339FD"/>
    <w:rsid w:val="00133DB5"/>
    <w:rsid w:val="00134678"/>
    <w:rsid w:val="00134C6F"/>
    <w:rsid w:val="00135CF5"/>
    <w:rsid w:val="00136853"/>
    <w:rsid w:val="001368F4"/>
    <w:rsid w:val="00136E88"/>
    <w:rsid w:val="00145BF4"/>
    <w:rsid w:val="00146587"/>
    <w:rsid w:val="0015005B"/>
    <w:rsid w:val="00153E6D"/>
    <w:rsid w:val="00157DAA"/>
    <w:rsid w:val="001604BA"/>
    <w:rsid w:val="00160D5F"/>
    <w:rsid w:val="00161739"/>
    <w:rsid w:val="001622B7"/>
    <w:rsid w:val="0016294B"/>
    <w:rsid w:val="00162C34"/>
    <w:rsid w:val="001641FE"/>
    <w:rsid w:val="00166AE2"/>
    <w:rsid w:val="00167AC8"/>
    <w:rsid w:val="00171725"/>
    <w:rsid w:val="00172806"/>
    <w:rsid w:val="00173667"/>
    <w:rsid w:val="001736C5"/>
    <w:rsid w:val="00174181"/>
    <w:rsid w:val="001749B7"/>
    <w:rsid w:val="00175D4C"/>
    <w:rsid w:val="00176225"/>
    <w:rsid w:val="00176499"/>
    <w:rsid w:val="001771E0"/>
    <w:rsid w:val="001824C2"/>
    <w:rsid w:val="0018421A"/>
    <w:rsid w:val="00184B15"/>
    <w:rsid w:val="00185446"/>
    <w:rsid w:val="0018568F"/>
    <w:rsid w:val="0018779E"/>
    <w:rsid w:val="0019044E"/>
    <w:rsid w:val="001910C7"/>
    <w:rsid w:val="00192628"/>
    <w:rsid w:val="001932B8"/>
    <w:rsid w:val="00193BFC"/>
    <w:rsid w:val="00195C89"/>
    <w:rsid w:val="00195D7E"/>
    <w:rsid w:val="0019606B"/>
    <w:rsid w:val="00196B71"/>
    <w:rsid w:val="00196E72"/>
    <w:rsid w:val="001A0297"/>
    <w:rsid w:val="001A094E"/>
    <w:rsid w:val="001A0FB5"/>
    <w:rsid w:val="001A19D9"/>
    <w:rsid w:val="001A22BD"/>
    <w:rsid w:val="001A4917"/>
    <w:rsid w:val="001A602E"/>
    <w:rsid w:val="001A7209"/>
    <w:rsid w:val="001A7E24"/>
    <w:rsid w:val="001B0B5C"/>
    <w:rsid w:val="001B0C3A"/>
    <w:rsid w:val="001B122F"/>
    <w:rsid w:val="001B146C"/>
    <w:rsid w:val="001B1FD6"/>
    <w:rsid w:val="001B324B"/>
    <w:rsid w:val="001B350C"/>
    <w:rsid w:val="001B360C"/>
    <w:rsid w:val="001B44BA"/>
    <w:rsid w:val="001B64A3"/>
    <w:rsid w:val="001B73E0"/>
    <w:rsid w:val="001C0186"/>
    <w:rsid w:val="001C0D61"/>
    <w:rsid w:val="001C12D3"/>
    <w:rsid w:val="001C2052"/>
    <w:rsid w:val="001C229A"/>
    <w:rsid w:val="001C3D92"/>
    <w:rsid w:val="001C5791"/>
    <w:rsid w:val="001C5FAF"/>
    <w:rsid w:val="001C795F"/>
    <w:rsid w:val="001D0D57"/>
    <w:rsid w:val="001D0E84"/>
    <w:rsid w:val="001D1967"/>
    <w:rsid w:val="001D2B53"/>
    <w:rsid w:val="001D31E0"/>
    <w:rsid w:val="001D49BE"/>
    <w:rsid w:val="001D53D6"/>
    <w:rsid w:val="001D6E42"/>
    <w:rsid w:val="001D7962"/>
    <w:rsid w:val="001D7B3E"/>
    <w:rsid w:val="001E17CC"/>
    <w:rsid w:val="001E244B"/>
    <w:rsid w:val="001E2BD2"/>
    <w:rsid w:val="001E6E2B"/>
    <w:rsid w:val="001E7EB2"/>
    <w:rsid w:val="001F1069"/>
    <w:rsid w:val="001F2111"/>
    <w:rsid w:val="001F31B6"/>
    <w:rsid w:val="001F3D51"/>
    <w:rsid w:val="001F53DA"/>
    <w:rsid w:val="001F6ADB"/>
    <w:rsid w:val="00204920"/>
    <w:rsid w:val="00204F7D"/>
    <w:rsid w:val="002077C1"/>
    <w:rsid w:val="00207E8A"/>
    <w:rsid w:val="00212724"/>
    <w:rsid w:val="00214D55"/>
    <w:rsid w:val="0021609D"/>
    <w:rsid w:val="002161B0"/>
    <w:rsid w:val="0021639B"/>
    <w:rsid w:val="002163A7"/>
    <w:rsid w:val="002171B0"/>
    <w:rsid w:val="00217AB1"/>
    <w:rsid w:val="0022094F"/>
    <w:rsid w:val="00222AAE"/>
    <w:rsid w:val="00224402"/>
    <w:rsid w:val="00225F81"/>
    <w:rsid w:val="00231A0E"/>
    <w:rsid w:val="00234B02"/>
    <w:rsid w:val="00235FBD"/>
    <w:rsid w:val="0023763B"/>
    <w:rsid w:val="00237B9B"/>
    <w:rsid w:val="002409FC"/>
    <w:rsid w:val="00242E74"/>
    <w:rsid w:val="0024506C"/>
    <w:rsid w:val="00246ABB"/>
    <w:rsid w:val="0025217D"/>
    <w:rsid w:val="002526B9"/>
    <w:rsid w:val="00252D39"/>
    <w:rsid w:val="0025373E"/>
    <w:rsid w:val="0025431F"/>
    <w:rsid w:val="0025435D"/>
    <w:rsid w:val="00257277"/>
    <w:rsid w:val="00257361"/>
    <w:rsid w:val="002607CE"/>
    <w:rsid w:val="0026083F"/>
    <w:rsid w:val="00260AA6"/>
    <w:rsid w:val="00261BB0"/>
    <w:rsid w:val="00262855"/>
    <w:rsid w:val="002644B2"/>
    <w:rsid w:val="00265699"/>
    <w:rsid w:val="00266596"/>
    <w:rsid w:val="00267CB4"/>
    <w:rsid w:val="002705D9"/>
    <w:rsid w:val="0027111A"/>
    <w:rsid w:val="00272BDF"/>
    <w:rsid w:val="00275409"/>
    <w:rsid w:val="002767ED"/>
    <w:rsid w:val="00283078"/>
    <w:rsid w:val="002840CE"/>
    <w:rsid w:val="002913CC"/>
    <w:rsid w:val="00291BEA"/>
    <w:rsid w:val="00291EA9"/>
    <w:rsid w:val="00292164"/>
    <w:rsid w:val="002949E6"/>
    <w:rsid w:val="00294EC3"/>
    <w:rsid w:val="0029513F"/>
    <w:rsid w:val="002963AD"/>
    <w:rsid w:val="002979C7"/>
    <w:rsid w:val="00297C4A"/>
    <w:rsid w:val="002A1095"/>
    <w:rsid w:val="002A10E0"/>
    <w:rsid w:val="002A2211"/>
    <w:rsid w:val="002A26A0"/>
    <w:rsid w:val="002A49FA"/>
    <w:rsid w:val="002A4D07"/>
    <w:rsid w:val="002A698C"/>
    <w:rsid w:val="002A7F38"/>
    <w:rsid w:val="002B0379"/>
    <w:rsid w:val="002B2B4F"/>
    <w:rsid w:val="002B2F62"/>
    <w:rsid w:val="002B3A7E"/>
    <w:rsid w:val="002B3BC7"/>
    <w:rsid w:val="002B451A"/>
    <w:rsid w:val="002B47E0"/>
    <w:rsid w:val="002B65F7"/>
    <w:rsid w:val="002B67B7"/>
    <w:rsid w:val="002B6D95"/>
    <w:rsid w:val="002B75BF"/>
    <w:rsid w:val="002B7744"/>
    <w:rsid w:val="002B7BE0"/>
    <w:rsid w:val="002C0927"/>
    <w:rsid w:val="002C326A"/>
    <w:rsid w:val="002C398F"/>
    <w:rsid w:val="002C49D6"/>
    <w:rsid w:val="002C4AC6"/>
    <w:rsid w:val="002C5834"/>
    <w:rsid w:val="002C5839"/>
    <w:rsid w:val="002C5EE3"/>
    <w:rsid w:val="002C6F6F"/>
    <w:rsid w:val="002C762B"/>
    <w:rsid w:val="002D01A7"/>
    <w:rsid w:val="002D05BE"/>
    <w:rsid w:val="002D06AB"/>
    <w:rsid w:val="002D09FD"/>
    <w:rsid w:val="002D0B8B"/>
    <w:rsid w:val="002D0EDD"/>
    <w:rsid w:val="002D3E3F"/>
    <w:rsid w:val="002D4E91"/>
    <w:rsid w:val="002D6B29"/>
    <w:rsid w:val="002D768C"/>
    <w:rsid w:val="002E1BFA"/>
    <w:rsid w:val="002E20CA"/>
    <w:rsid w:val="002E27CA"/>
    <w:rsid w:val="002E42DC"/>
    <w:rsid w:val="002E514B"/>
    <w:rsid w:val="002E7794"/>
    <w:rsid w:val="002F0D1E"/>
    <w:rsid w:val="002F0DC0"/>
    <w:rsid w:val="002F3013"/>
    <w:rsid w:val="002F3780"/>
    <w:rsid w:val="002F3A40"/>
    <w:rsid w:val="002F4E9E"/>
    <w:rsid w:val="00300AEC"/>
    <w:rsid w:val="00302088"/>
    <w:rsid w:val="00302CC6"/>
    <w:rsid w:val="00303F06"/>
    <w:rsid w:val="00305634"/>
    <w:rsid w:val="00306B3C"/>
    <w:rsid w:val="00312165"/>
    <w:rsid w:val="0031282B"/>
    <w:rsid w:val="00313182"/>
    <w:rsid w:val="003152B0"/>
    <w:rsid w:val="0032119C"/>
    <w:rsid w:val="003229F6"/>
    <w:rsid w:val="00322CCF"/>
    <w:rsid w:val="00324620"/>
    <w:rsid w:val="00324EC5"/>
    <w:rsid w:val="00331918"/>
    <w:rsid w:val="00333DA3"/>
    <w:rsid w:val="00336BBA"/>
    <w:rsid w:val="00336E34"/>
    <w:rsid w:val="00337C0C"/>
    <w:rsid w:val="003418A5"/>
    <w:rsid w:val="00342949"/>
    <w:rsid w:val="0034358A"/>
    <w:rsid w:val="00347A30"/>
    <w:rsid w:val="00347FDA"/>
    <w:rsid w:val="003511FE"/>
    <w:rsid w:val="00351E05"/>
    <w:rsid w:val="00353539"/>
    <w:rsid w:val="00353D3D"/>
    <w:rsid w:val="003557D2"/>
    <w:rsid w:val="00355DEC"/>
    <w:rsid w:val="003572F8"/>
    <w:rsid w:val="003606CF"/>
    <w:rsid w:val="003615F6"/>
    <w:rsid w:val="00361CF4"/>
    <w:rsid w:val="003621A3"/>
    <w:rsid w:val="00364D9E"/>
    <w:rsid w:val="00365276"/>
    <w:rsid w:val="0036649F"/>
    <w:rsid w:val="00366A06"/>
    <w:rsid w:val="003676B2"/>
    <w:rsid w:val="00367C28"/>
    <w:rsid w:val="00370B75"/>
    <w:rsid w:val="003743BD"/>
    <w:rsid w:val="00374B1A"/>
    <w:rsid w:val="00374C4E"/>
    <w:rsid w:val="00375062"/>
    <w:rsid w:val="0037527E"/>
    <w:rsid w:val="003770CF"/>
    <w:rsid w:val="00380704"/>
    <w:rsid w:val="00380D45"/>
    <w:rsid w:val="00385552"/>
    <w:rsid w:val="0039133A"/>
    <w:rsid w:val="003930CF"/>
    <w:rsid w:val="00394C9B"/>
    <w:rsid w:val="00394D91"/>
    <w:rsid w:val="003962CA"/>
    <w:rsid w:val="00397416"/>
    <w:rsid w:val="003A1771"/>
    <w:rsid w:val="003A1909"/>
    <w:rsid w:val="003A1D14"/>
    <w:rsid w:val="003A30FD"/>
    <w:rsid w:val="003A5A23"/>
    <w:rsid w:val="003A68AE"/>
    <w:rsid w:val="003A6F46"/>
    <w:rsid w:val="003B11E2"/>
    <w:rsid w:val="003B2FFE"/>
    <w:rsid w:val="003B31E7"/>
    <w:rsid w:val="003B346B"/>
    <w:rsid w:val="003C353D"/>
    <w:rsid w:val="003C38A5"/>
    <w:rsid w:val="003C3CC2"/>
    <w:rsid w:val="003C44C0"/>
    <w:rsid w:val="003C49B2"/>
    <w:rsid w:val="003C6504"/>
    <w:rsid w:val="003C70FB"/>
    <w:rsid w:val="003D15E2"/>
    <w:rsid w:val="003D29A7"/>
    <w:rsid w:val="003D351B"/>
    <w:rsid w:val="003D3A1E"/>
    <w:rsid w:val="003D3B89"/>
    <w:rsid w:val="003D5C82"/>
    <w:rsid w:val="003D6B28"/>
    <w:rsid w:val="003D789E"/>
    <w:rsid w:val="003E029E"/>
    <w:rsid w:val="003E17D7"/>
    <w:rsid w:val="003E32B0"/>
    <w:rsid w:val="003E344F"/>
    <w:rsid w:val="003E5AE4"/>
    <w:rsid w:val="003E5DAE"/>
    <w:rsid w:val="003E7F93"/>
    <w:rsid w:val="003F1DFA"/>
    <w:rsid w:val="003F3373"/>
    <w:rsid w:val="003F36DB"/>
    <w:rsid w:val="003F37B6"/>
    <w:rsid w:val="003F3E66"/>
    <w:rsid w:val="003F3FF2"/>
    <w:rsid w:val="003F4933"/>
    <w:rsid w:val="003F526D"/>
    <w:rsid w:val="003F5C45"/>
    <w:rsid w:val="003F6283"/>
    <w:rsid w:val="003F6E2C"/>
    <w:rsid w:val="003F7BC7"/>
    <w:rsid w:val="00401F09"/>
    <w:rsid w:val="004038DC"/>
    <w:rsid w:val="00405B41"/>
    <w:rsid w:val="004065BE"/>
    <w:rsid w:val="00406951"/>
    <w:rsid w:val="004070D6"/>
    <w:rsid w:val="004070DA"/>
    <w:rsid w:val="004105B2"/>
    <w:rsid w:val="00410948"/>
    <w:rsid w:val="00413995"/>
    <w:rsid w:val="00415CED"/>
    <w:rsid w:val="00415D8D"/>
    <w:rsid w:val="00417098"/>
    <w:rsid w:val="00417CB5"/>
    <w:rsid w:val="00420729"/>
    <w:rsid w:val="00422C6B"/>
    <w:rsid w:val="00425ADA"/>
    <w:rsid w:val="00426314"/>
    <w:rsid w:val="004263EB"/>
    <w:rsid w:val="00430507"/>
    <w:rsid w:val="0043231E"/>
    <w:rsid w:val="00435E7C"/>
    <w:rsid w:val="00440885"/>
    <w:rsid w:val="00441D63"/>
    <w:rsid w:val="00442305"/>
    <w:rsid w:val="00444BE6"/>
    <w:rsid w:val="00446326"/>
    <w:rsid w:val="00447C57"/>
    <w:rsid w:val="0045063B"/>
    <w:rsid w:val="00451F74"/>
    <w:rsid w:val="00453ADD"/>
    <w:rsid w:val="00454CF0"/>
    <w:rsid w:val="00455390"/>
    <w:rsid w:val="00455AEC"/>
    <w:rsid w:val="00455ED5"/>
    <w:rsid w:val="00456EEE"/>
    <w:rsid w:val="00457C5C"/>
    <w:rsid w:val="00460686"/>
    <w:rsid w:val="004606CD"/>
    <w:rsid w:val="00461A91"/>
    <w:rsid w:val="00461B11"/>
    <w:rsid w:val="0046210A"/>
    <w:rsid w:val="00462448"/>
    <w:rsid w:val="0046335E"/>
    <w:rsid w:val="00463AD3"/>
    <w:rsid w:val="00464102"/>
    <w:rsid w:val="00464B8F"/>
    <w:rsid w:val="004654C6"/>
    <w:rsid w:val="00465969"/>
    <w:rsid w:val="00467BC5"/>
    <w:rsid w:val="00467D51"/>
    <w:rsid w:val="00471C97"/>
    <w:rsid w:val="0047204B"/>
    <w:rsid w:val="00472746"/>
    <w:rsid w:val="00475B60"/>
    <w:rsid w:val="0047605F"/>
    <w:rsid w:val="00476B3F"/>
    <w:rsid w:val="00480B91"/>
    <w:rsid w:val="00481E88"/>
    <w:rsid w:val="0048216E"/>
    <w:rsid w:val="004824ED"/>
    <w:rsid w:val="004843CC"/>
    <w:rsid w:val="004860EB"/>
    <w:rsid w:val="0049193C"/>
    <w:rsid w:val="00492032"/>
    <w:rsid w:val="00492F5D"/>
    <w:rsid w:val="00494B79"/>
    <w:rsid w:val="0049608F"/>
    <w:rsid w:val="00496255"/>
    <w:rsid w:val="00496BCF"/>
    <w:rsid w:val="00497068"/>
    <w:rsid w:val="004A328A"/>
    <w:rsid w:val="004A370F"/>
    <w:rsid w:val="004A5F2F"/>
    <w:rsid w:val="004A7B38"/>
    <w:rsid w:val="004B1191"/>
    <w:rsid w:val="004B12BC"/>
    <w:rsid w:val="004B15C0"/>
    <w:rsid w:val="004B1FC4"/>
    <w:rsid w:val="004B23CB"/>
    <w:rsid w:val="004B32EA"/>
    <w:rsid w:val="004B6AF6"/>
    <w:rsid w:val="004B77B0"/>
    <w:rsid w:val="004B77B4"/>
    <w:rsid w:val="004B79CB"/>
    <w:rsid w:val="004B7C1B"/>
    <w:rsid w:val="004C2AE8"/>
    <w:rsid w:val="004C7187"/>
    <w:rsid w:val="004D0900"/>
    <w:rsid w:val="004D0CFB"/>
    <w:rsid w:val="004D1262"/>
    <w:rsid w:val="004D2D10"/>
    <w:rsid w:val="004D5B45"/>
    <w:rsid w:val="004D6B69"/>
    <w:rsid w:val="004E2555"/>
    <w:rsid w:val="004E28CA"/>
    <w:rsid w:val="004E47F7"/>
    <w:rsid w:val="004E5473"/>
    <w:rsid w:val="004F0AB8"/>
    <w:rsid w:val="004F0C0A"/>
    <w:rsid w:val="004F4502"/>
    <w:rsid w:val="004F7803"/>
    <w:rsid w:val="005004AE"/>
    <w:rsid w:val="00500CA6"/>
    <w:rsid w:val="00501AE9"/>
    <w:rsid w:val="005022F1"/>
    <w:rsid w:val="00507650"/>
    <w:rsid w:val="00510891"/>
    <w:rsid w:val="00512FD3"/>
    <w:rsid w:val="00513D67"/>
    <w:rsid w:val="00514697"/>
    <w:rsid w:val="00515810"/>
    <w:rsid w:val="00517102"/>
    <w:rsid w:val="0052274A"/>
    <w:rsid w:val="00522B8B"/>
    <w:rsid w:val="00523494"/>
    <w:rsid w:val="00524545"/>
    <w:rsid w:val="00524B0C"/>
    <w:rsid w:val="005262C6"/>
    <w:rsid w:val="00527D61"/>
    <w:rsid w:val="00530FBD"/>
    <w:rsid w:val="00531687"/>
    <w:rsid w:val="00531D77"/>
    <w:rsid w:val="00532E63"/>
    <w:rsid w:val="00532FEA"/>
    <w:rsid w:val="00533E8F"/>
    <w:rsid w:val="00535895"/>
    <w:rsid w:val="005363EA"/>
    <w:rsid w:val="00537749"/>
    <w:rsid w:val="00537FCF"/>
    <w:rsid w:val="00540F38"/>
    <w:rsid w:val="00540F9C"/>
    <w:rsid w:val="00542ABE"/>
    <w:rsid w:val="005434C1"/>
    <w:rsid w:val="005440CB"/>
    <w:rsid w:val="0054682E"/>
    <w:rsid w:val="005472A3"/>
    <w:rsid w:val="0055002B"/>
    <w:rsid w:val="00550D22"/>
    <w:rsid w:val="00552042"/>
    <w:rsid w:val="005520E8"/>
    <w:rsid w:val="005535E7"/>
    <w:rsid w:val="00554D13"/>
    <w:rsid w:val="005605C3"/>
    <w:rsid w:val="00560C78"/>
    <w:rsid w:val="0056256C"/>
    <w:rsid w:val="0056554F"/>
    <w:rsid w:val="00566029"/>
    <w:rsid w:val="0056617F"/>
    <w:rsid w:val="005662AC"/>
    <w:rsid w:val="00567892"/>
    <w:rsid w:val="00572737"/>
    <w:rsid w:val="00573A45"/>
    <w:rsid w:val="005765E9"/>
    <w:rsid w:val="005773B2"/>
    <w:rsid w:val="00580823"/>
    <w:rsid w:val="00581662"/>
    <w:rsid w:val="005816E3"/>
    <w:rsid w:val="00582DDC"/>
    <w:rsid w:val="00583DA9"/>
    <w:rsid w:val="0058434A"/>
    <w:rsid w:val="00584684"/>
    <w:rsid w:val="0058687F"/>
    <w:rsid w:val="00586E18"/>
    <w:rsid w:val="00591DED"/>
    <w:rsid w:val="0059217E"/>
    <w:rsid w:val="00592786"/>
    <w:rsid w:val="0059474D"/>
    <w:rsid w:val="00594ACA"/>
    <w:rsid w:val="00595693"/>
    <w:rsid w:val="005958A4"/>
    <w:rsid w:val="00596C0A"/>
    <w:rsid w:val="00596E6E"/>
    <w:rsid w:val="005978EF"/>
    <w:rsid w:val="005A0C83"/>
    <w:rsid w:val="005A1BE9"/>
    <w:rsid w:val="005A1E05"/>
    <w:rsid w:val="005A213C"/>
    <w:rsid w:val="005A3F69"/>
    <w:rsid w:val="005A61A5"/>
    <w:rsid w:val="005A6877"/>
    <w:rsid w:val="005A6B9B"/>
    <w:rsid w:val="005A6F8F"/>
    <w:rsid w:val="005B002B"/>
    <w:rsid w:val="005B02D6"/>
    <w:rsid w:val="005B03CB"/>
    <w:rsid w:val="005B0C2B"/>
    <w:rsid w:val="005B22FB"/>
    <w:rsid w:val="005B310E"/>
    <w:rsid w:val="005B51BE"/>
    <w:rsid w:val="005B78E8"/>
    <w:rsid w:val="005C305F"/>
    <w:rsid w:val="005C4D4F"/>
    <w:rsid w:val="005C5775"/>
    <w:rsid w:val="005C722B"/>
    <w:rsid w:val="005C7DC7"/>
    <w:rsid w:val="005D1CBB"/>
    <w:rsid w:val="005D4F6E"/>
    <w:rsid w:val="005D5089"/>
    <w:rsid w:val="005D52A6"/>
    <w:rsid w:val="005D696C"/>
    <w:rsid w:val="005D7CC7"/>
    <w:rsid w:val="005E0999"/>
    <w:rsid w:val="005E11FD"/>
    <w:rsid w:val="005E21A1"/>
    <w:rsid w:val="005E2AE5"/>
    <w:rsid w:val="005E2B70"/>
    <w:rsid w:val="005E6733"/>
    <w:rsid w:val="005E680E"/>
    <w:rsid w:val="005E7199"/>
    <w:rsid w:val="005E728A"/>
    <w:rsid w:val="005E7AC2"/>
    <w:rsid w:val="005F5A20"/>
    <w:rsid w:val="005F5EFE"/>
    <w:rsid w:val="005F6C24"/>
    <w:rsid w:val="005F7D16"/>
    <w:rsid w:val="00600870"/>
    <w:rsid w:val="0060175F"/>
    <w:rsid w:val="006022D3"/>
    <w:rsid w:val="00603A2D"/>
    <w:rsid w:val="00605676"/>
    <w:rsid w:val="00606429"/>
    <w:rsid w:val="006109FA"/>
    <w:rsid w:val="006112DA"/>
    <w:rsid w:val="00612790"/>
    <w:rsid w:val="006127BE"/>
    <w:rsid w:val="00613A19"/>
    <w:rsid w:val="00614401"/>
    <w:rsid w:val="0062081E"/>
    <w:rsid w:val="00621357"/>
    <w:rsid w:val="006215EA"/>
    <w:rsid w:val="006222F8"/>
    <w:rsid w:val="00623750"/>
    <w:rsid w:val="00623753"/>
    <w:rsid w:val="006238BE"/>
    <w:rsid w:val="00624C7D"/>
    <w:rsid w:val="00632C9A"/>
    <w:rsid w:val="00633D4C"/>
    <w:rsid w:val="00634312"/>
    <w:rsid w:val="00634EA7"/>
    <w:rsid w:val="00636735"/>
    <w:rsid w:val="00637C43"/>
    <w:rsid w:val="00640E4C"/>
    <w:rsid w:val="006411DA"/>
    <w:rsid w:val="00645251"/>
    <w:rsid w:val="006454A8"/>
    <w:rsid w:val="00645587"/>
    <w:rsid w:val="00645FDF"/>
    <w:rsid w:val="0064625B"/>
    <w:rsid w:val="0064638A"/>
    <w:rsid w:val="00647A6F"/>
    <w:rsid w:val="00647D25"/>
    <w:rsid w:val="00650982"/>
    <w:rsid w:val="00651619"/>
    <w:rsid w:val="00657057"/>
    <w:rsid w:val="0065709C"/>
    <w:rsid w:val="00657B4B"/>
    <w:rsid w:val="0066333E"/>
    <w:rsid w:val="00666160"/>
    <w:rsid w:val="00666F23"/>
    <w:rsid w:val="0066751B"/>
    <w:rsid w:val="006678FB"/>
    <w:rsid w:val="00671BA4"/>
    <w:rsid w:val="00671CFE"/>
    <w:rsid w:val="00674213"/>
    <w:rsid w:val="00675216"/>
    <w:rsid w:val="00677BF6"/>
    <w:rsid w:val="00681505"/>
    <w:rsid w:val="00681BA4"/>
    <w:rsid w:val="00682023"/>
    <w:rsid w:val="00682097"/>
    <w:rsid w:val="00683596"/>
    <w:rsid w:val="0068364A"/>
    <w:rsid w:val="006873C9"/>
    <w:rsid w:val="0068752B"/>
    <w:rsid w:val="00687762"/>
    <w:rsid w:val="0069011A"/>
    <w:rsid w:val="00690DA3"/>
    <w:rsid w:val="006911E1"/>
    <w:rsid w:val="00693A53"/>
    <w:rsid w:val="0069427F"/>
    <w:rsid w:val="00694420"/>
    <w:rsid w:val="00695B4B"/>
    <w:rsid w:val="00697776"/>
    <w:rsid w:val="006A0DC1"/>
    <w:rsid w:val="006A230B"/>
    <w:rsid w:val="006A3853"/>
    <w:rsid w:val="006A3C6F"/>
    <w:rsid w:val="006A6CAE"/>
    <w:rsid w:val="006A778A"/>
    <w:rsid w:val="006A77CF"/>
    <w:rsid w:val="006A7A5F"/>
    <w:rsid w:val="006B0B12"/>
    <w:rsid w:val="006B10E3"/>
    <w:rsid w:val="006B13CB"/>
    <w:rsid w:val="006B3B52"/>
    <w:rsid w:val="006B42FC"/>
    <w:rsid w:val="006B6956"/>
    <w:rsid w:val="006B7F4C"/>
    <w:rsid w:val="006C17DD"/>
    <w:rsid w:val="006C2850"/>
    <w:rsid w:val="006C3984"/>
    <w:rsid w:val="006C430A"/>
    <w:rsid w:val="006C6BA5"/>
    <w:rsid w:val="006D0387"/>
    <w:rsid w:val="006D08CB"/>
    <w:rsid w:val="006D14B9"/>
    <w:rsid w:val="006D1B26"/>
    <w:rsid w:val="006D22F7"/>
    <w:rsid w:val="006D2AD7"/>
    <w:rsid w:val="006D464E"/>
    <w:rsid w:val="006D499C"/>
    <w:rsid w:val="006D7FED"/>
    <w:rsid w:val="006E178C"/>
    <w:rsid w:val="006E31A8"/>
    <w:rsid w:val="006E3B8C"/>
    <w:rsid w:val="006E597B"/>
    <w:rsid w:val="006E6A09"/>
    <w:rsid w:val="006E6DFA"/>
    <w:rsid w:val="006E7624"/>
    <w:rsid w:val="006E7B3C"/>
    <w:rsid w:val="006F02A4"/>
    <w:rsid w:val="006F037C"/>
    <w:rsid w:val="006F0DD6"/>
    <w:rsid w:val="006F1A17"/>
    <w:rsid w:val="006F42DE"/>
    <w:rsid w:val="006F5227"/>
    <w:rsid w:val="007000B0"/>
    <w:rsid w:val="00700225"/>
    <w:rsid w:val="00700566"/>
    <w:rsid w:val="00700886"/>
    <w:rsid w:val="00700887"/>
    <w:rsid w:val="007014ED"/>
    <w:rsid w:val="007046D3"/>
    <w:rsid w:val="007058DD"/>
    <w:rsid w:val="00705C2B"/>
    <w:rsid w:val="00706D71"/>
    <w:rsid w:val="007129D2"/>
    <w:rsid w:val="0071390F"/>
    <w:rsid w:val="007140F4"/>
    <w:rsid w:val="00714F38"/>
    <w:rsid w:val="00715E66"/>
    <w:rsid w:val="00720113"/>
    <w:rsid w:val="007218DB"/>
    <w:rsid w:val="00722384"/>
    <w:rsid w:val="00722BBF"/>
    <w:rsid w:val="007246B2"/>
    <w:rsid w:val="00727234"/>
    <w:rsid w:val="0072744C"/>
    <w:rsid w:val="00732F9C"/>
    <w:rsid w:val="0073367D"/>
    <w:rsid w:val="007338E5"/>
    <w:rsid w:val="00734653"/>
    <w:rsid w:val="00740A4E"/>
    <w:rsid w:val="00740DA7"/>
    <w:rsid w:val="007448B4"/>
    <w:rsid w:val="007459A1"/>
    <w:rsid w:val="00745C90"/>
    <w:rsid w:val="0074697E"/>
    <w:rsid w:val="00747845"/>
    <w:rsid w:val="00750450"/>
    <w:rsid w:val="00751A3B"/>
    <w:rsid w:val="00753DD1"/>
    <w:rsid w:val="007556D8"/>
    <w:rsid w:val="007562FA"/>
    <w:rsid w:val="00760171"/>
    <w:rsid w:val="00762B37"/>
    <w:rsid w:val="00762D86"/>
    <w:rsid w:val="007647E3"/>
    <w:rsid w:val="0076560E"/>
    <w:rsid w:val="00765F48"/>
    <w:rsid w:val="00767065"/>
    <w:rsid w:val="007671E8"/>
    <w:rsid w:val="00767ADF"/>
    <w:rsid w:val="007701AA"/>
    <w:rsid w:val="00771B4D"/>
    <w:rsid w:val="00771D35"/>
    <w:rsid w:val="00772E6A"/>
    <w:rsid w:val="00777937"/>
    <w:rsid w:val="00781474"/>
    <w:rsid w:val="00781996"/>
    <w:rsid w:val="00782261"/>
    <w:rsid w:val="00784161"/>
    <w:rsid w:val="0078446E"/>
    <w:rsid w:val="007859FC"/>
    <w:rsid w:val="00787EEA"/>
    <w:rsid w:val="00790052"/>
    <w:rsid w:val="00792278"/>
    <w:rsid w:val="00792E8A"/>
    <w:rsid w:val="00793B5A"/>
    <w:rsid w:val="00794AD5"/>
    <w:rsid w:val="00795BAA"/>
    <w:rsid w:val="00795BE3"/>
    <w:rsid w:val="007A07E1"/>
    <w:rsid w:val="007A0B02"/>
    <w:rsid w:val="007A1EC3"/>
    <w:rsid w:val="007A3CE5"/>
    <w:rsid w:val="007A4B85"/>
    <w:rsid w:val="007A5494"/>
    <w:rsid w:val="007A5D68"/>
    <w:rsid w:val="007A6A36"/>
    <w:rsid w:val="007A7B22"/>
    <w:rsid w:val="007A7BA5"/>
    <w:rsid w:val="007B2387"/>
    <w:rsid w:val="007B25CF"/>
    <w:rsid w:val="007B2638"/>
    <w:rsid w:val="007B3EAD"/>
    <w:rsid w:val="007B5735"/>
    <w:rsid w:val="007B7330"/>
    <w:rsid w:val="007C0E11"/>
    <w:rsid w:val="007C2051"/>
    <w:rsid w:val="007C3D51"/>
    <w:rsid w:val="007C63A7"/>
    <w:rsid w:val="007C674E"/>
    <w:rsid w:val="007C6A6E"/>
    <w:rsid w:val="007C7A60"/>
    <w:rsid w:val="007D25A2"/>
    <w:rsid w:val="007D3952"/>
    <w:rsid w:val="007D40F4"/>
    <w:rsid w:val="007D46C1"/>
    <w:rsid w:val="007D52A6"/>
    <w:rsid w:val="007D7266"/>
    <w:rsid w:val="007E1A5F"/>
    <w:rsid w:val="007E27E4"/>
    <w:rsid w:val="007E35BE"/>
    <w:rsid w:val="007E3C12"/>
    <w:rsid w:val="007E7C1D"/>
    <w:rsid w:val="007F0FCC"/>
    <w:rsid w:val="007F10EE"/>
    <w:rsid w:val="007F24E7"/>
    <w:rsid w:val="007F3175"/>
    <w:rsid w:val="007F4244"/>
    <w:rsid w:val="007F4B1E"/>
    <w:rsid w:val="007F5997"/>
    <w:rsid w:val="007F719B"/>
    <w:rsid w:val="007F760D"/>
    <w:rsid w:val="00801DFE"/>
    <w:rsid w:val="0080294A"/>
    <w:rsid w:val="00802F31"/>
    <w:rsid w:val="0080495D"/>
    <w:rsid w:val="008069D4"/>
    <w:rsid w:val="0080744B"/>
    <w:rsid w:val="00811E18"/>
    <w:rsid w:val="008142C0"/>
    <w:rsid w:val="00814670"/>
    <w:rsid w:val="00815100"/>
    <w:rsid w:val="0082019C"/>
    <w:rsid w:val="00820CFE"/>
    <w:rsid w:val="008218AE"/>
    <w:rsid w:val="0082328A"/>
    <w:rsid w:val="008250C6"/>
    <w:rsid w:val="00825AF1"/>
    <w:rsid w:val="00832033"/>
    <w:rsid w:val="00832081"/>
    <w:rsid w:val="0083540C"/>
    <w:rsid w:val="008368E7"/>
    <w:rsid w:val="00836A06"/>
    <w:rsid w:val="00841282"/>
    <w:rsid w:val="00841FE8"/>
    <w:rsid w:val="00844CBA"/>
    <w:rsid w:val="008501EA"/>
    <w:rsid w:val="0085066F"/>
    <w:rsid w:val="008509A1"/>
    <w:rsid w:val="00850D5C"/>
    <w:rsid w:val="008516C5"/>
    <w:rsid w:val="008520FB"/>
    <w:rsid w:val="00853551"/>
    <w:rsid w:val="00854763"/>
    <w:rsid w:val="008569E3"/>
    <w:rsid w:val="00857725"/>
    <w:rsid w:val="00861250"/>
    <w:rsid w:val="00861A63"/>
    <w:rsid w:val="00863DEC"/>
    <w:rsid w:val="00865622"/>
    <w:rsid w:val="00866AF1"/>
    <w:rsid w:val="008675CD"/>
    <w:rsid w:val="0087037F"/>
    <w:rsid w:val="008706FA"/>
    <w:rsid w:val="00871522"/>
    <w:rsid w:val="00871A82"/>
    <w:rsid w:val="00873329"/>
    <w:rsid w:val="00873368"/>
    <w:rsid w:val="008756C3"/>
    <w:rsid w:val="00875848"/>
    <w:rsid w:val="00877023"/>
    <w:rsid w:val="008777A6"/>
    <w:rsid w:val="008778C9"/>
    <w:rsid w:val="00877E80"/>
    <w:rsid w:val="008802AF"/>
    <w:rsid w:val="00881565"/>
    <w:rsid w:val="008850C6"/>
    <w:rsid w:val="00885BFF"/>
    <w:rsid w:val="00885C92"/>
    <w:rsid w:val="00886F19"/>
    <w:rsid w:val="0088767A"/>
    <w:rsid w:val="00887873"/>
    <w:rsid w:val="008879F9"/>
    <w:rsid w:val="0089769D"/>
    <w:rsid w:val="008A046E"/>
    <w:rsid w:val="008A083F"/>
    <w:rsid w:val="008A26B8"/>
    <w:rsid w:val="008A3A79"/>
    <w:rsid w:val="008A3CAF"/>
    <w:rsid w:val="008A5A0B"/>
    <w:rsid w:val="008A7344"/>
    <w:rsid w:val="008B24E2"/>
    <w:rsid w:val="008B2D61"/>
    <w:rsid w:val="008B528F"/>
    <w:rsid w:val="008B64F0"/>
    <w:rsid w:val="008B77EB"/>
    <w:rsid w:val="008C0B0E"/>
    <w:rsid w:val="008C4326"/>
    <w:rsid w:val="008C615A"/>
    <w:rsid w:val="008C63EA"/>
    <w:rsid w:val="008C65B1"/>
    <w:rsid w:val="008C77CD"/>
    <w:rsid w:val="008D0956"/>
    <w:rsid w:val="008D2884"/>
    <w:rsid w:val="008D3712"/>
    <w:rsid w:val="008D3CCF"/>
    <w:rsid w:val="008D6627"/>
    <w:rsid w:val="008D7316"/>
    <w:rsid w:val="008E0075"/>
    <w:rsid w:val="008E05E2"/>
    <w:rsid w:val="008E0AB9"/>
    <w:rsid w:val="008E0B6A"/>
    <w:rsid w:val="008E1A8B"/>
    <w:rsid w:val="008E2989"/>
    <w:rsid w:val="008E2DA1"/>
    <w:rsid w:val="008E33CB"/>
    <w:rsid w:val="008E49A1"/>
    <w:rsid w:val="008E50D2"/>
    <w:rsid w:val="008E5473"/>
    <w:rsid w:val="008E6B2E"/>
    <w:rsid w:val="008E7930"/>
    <w:rsid w:val="008F1B22"/>
    <w:rsid w:val="008F29DF"/>
    <w:rsid w:val="008F4C02"/>
    <w:rsid w:val="008F4C85"/>
    <w:rsid w:val="008F6879"/>
    <w:rsid w:val="008F7401"/>
    <w:rsid w:val="009013CF"/>
    <w:rsid w:val="009025A4"/>
    <w:rsid w:val="00903400"/>
    <w:rsid w:val="00906D50"/>
    <w:rsid w:val="009075F2"/>
    <w:rsid w:val="00907C1F"/>
    <w:rsid w:val="00912BED"/>
    <w:rsid w:val="009134DC"/>
    <w:rsid w:val="00913B2B"/>
    <w:rsid w:val="009172C3"/>
    <w:rsid w:val="00920CFD"/>
    <w:rsid w:val="00921582"/>
    <w:rsid w:val="0092259D"/>
    <w:rsid w:val="00923B31"/>
    <w:rsid w:val="00925102"/>
    <w:rsid w:val="009274B2"/>
    <w:rsid w:val="00927C7B"/>
    <w:rsid w:val="00930E5B"/>
    <w:rsid w:val="00931120"/>
    <w:rsid w:val="00932032"/>
    <w:rsid w:val="00932508"/>
    <w:rsid w:val="0093531A"/>
    <w:rsid w:val="00935A34"/>
    <w:rsid w:val="00936576"/>
    <w:rsid w:val="0093717D"/>
    <w:rsid w:val="009373D3"/>
    <w:rsid w:val="00937A64"/>
    <w:rsid w:val="009404EA"/>
    <w:rsid w:val="0094073F"/>
    <w:rsid w:val="00940B4A"/>
    <w:rsid w:val="0094192D"/>
    <w:rsid w:val="00942B43"/>
    <w:rsid w:val="0094534D"/>
    <w:rsid w:val="009463AA"/>
    <w:rsid w:val="00947255"/>
    <w:rsid w:val="009503E9"/>
    <w:rsid w:val="00950A56"/>
    <w:rsid w:val="009526F6"/>
    <w:rsid w:val="00952705"/>
    <w:rsid w:val="00952770"/>
    <w:rsid w:val="0095606B"/>
    <w:rsid w:val="009569D3"/>
    <w:rsid w:val="00956C1B"/>
    <w:rsid w:val="00956CFB"/>
    <w:rsid w:val="00957F54"/>
    <w:rsid w:val="009602CE"/>
    <w:rsid w:val="009617A5"/>
    <w:rsid w:val="0096259C"/>
    <w:rsid w:val="00963435"/>
    <w:rsid w:val="00963B6C"/>
    <w:rsid w:val="00965296"/>
    <w:rsid w:val="00966874"/>
    <w:rsid w:val="00967544"/>
    <w:rsid w:val="00967A56"/>
    <w:rsid w:val="00967DE3"/>
    <w:rsid w:val="009715F0"/>
    <w:rsid w:val="00972366"/>
    <w:rsid w:val="00972B23"/>
    <w:rsid w:val="009733B2"/>
    <w:rsid w:val="00974117"/>
    <w:rsid w:val="00974861"/>
    <w:rsid w:val="00974BF0"/>
    <w:rsid w:val="00975393"/>
    <w:rsid w:val="00975E03"/>
    <w:rsid w:val="009761AA"/>
    <w:rsid w:val="0097656D"/>
    <w:rsid w:val="00976733"/>
    <w:rsid w:val="00977A65"/>
    <w:rsid w:val="00977D84"/>
    <w:rsid w:val="0098049E"/>
    <w:rsid w:val="0098089A"/>
    <w:rsid w:val="00980B84"/>
    <w:rsid w:val="00982A6A"/>
    <w:rsid w:val="00983408"/>
    <w:rsid w:val="00984ACA"/>
    <w:rsid w:val="00984FF4"/>
    <w:rsid w:val="009857ED"/>
    <w:rsid w:val="00987896"/>
    <w:rsid w:val="00992314"/>
    <w:rsid w:val="00992798"/>
    <w:rsid w:val="00993C34"/>
    <w:rsid w:val="00994278"/>
    <w:rsid w:val="00994E4A"/>
    <w:rsid w:val="00995BFA"/>
    <w:rsid w:val="009971A2"/>
    <w:rsid w:val="00997508"/>
    <w:rsid w:val="009978C7"/>
    <w:rsid w:val="009A0F91"/>
    <w:rsid w:val="009A1AC6"/>
    <w:rsid w:val="009A461C"/>
    <w:rsid w:val="009A47C2"/>
    <w:rsid w:val="009A4816"/>
    <w:rsid w:val="009A49DB"/>
    <w:rsid w:val="009A51EA"/>
    <w:rsid w:val="009A5F9C"/>
    <w:rsid w:val="009B113B"/>
    <w:rsid w:val="009B1771"/>
    <w:rsid w:val="009B325E"/>
    <w:rsid w:val="009B3A49"/>
    <w:rsid w:val="009B4A54"/>
    <w:rsid w:val="009B600C"/>
    <w:rsid w:val="009B78A0"/>
    <w:rsid w:val="009B7AB7"/>
    <w:rsid w:val="009C0B80"/>
    <w:rsid w:val="009C0EC2"/>
    <w:rsid w:val="009C1802"/>
    <w:rsid w:val="009C2A4E"/>
    <w:rsid w:val="009C2DF2"/>
    <w:rsid w:val="009C2E35"/>
    <w:rsid w:val="009C4D13"/>
    <w:rsid w:val="009D05CB"/>
    <w:rsid w:val="009D24AB"/>
    <w:rsid w:val="009D48C1"/>
    <w:rsid w:val="009D6A7A"/>
    <w:rsid w:val="009D7F68"/>
    <w:rsid w:val="009E149A"/>
    <w:rsid w:val="009E1E3C"/>
    <w:rsid w:val="009E2198"/>
    <w:rsid w:val="009E4314"/>
    <w:rsid w:val="009E71E3"/>
    <w:rsid w:val="009F073E"/>
    <w:rsid w:val="009F23E8"/>
    <w:rsid w:val="009F5902"/>
    <w:rsid w:val="009F6118"/>
    <w:rsid w:val="009F61A2"/>
    <w:rsid w:val="009F69EB"/>
    <w:rsid w:val="009F72C8"/>
    <w:rsid w:val="009F74E5"/>
    <w:rsid w:val="009F7610"/>
    <w:rsid w:val="009F7D08"/>
    <w:rsid w:val="00A00BBB"/>
    <w:rsid w:val="00A00D2B"/>
    <w:rsid w:val="00A0224D"/>
    <w:rsid w:val="00A023C6"/>
    <w:rsid w:val="00A033CB"/>
    <w:rsid w:val="00A0448E"/>
    <w:rsid w:val="00A051AC"/>
    <w:rsid w:val="00A051CE"/>
    <w:rsid w:val="00A0575B"/>
    <w:rsid w:val="00A05C68"/>
    <w:rsid w:val="00A06625"/>
    <w:rsid w:val="00A1075C"/>
    <w:rsid w:val="00A1314C"/>
    <w:rsid w:val="00A170FF"/>
    <w:rsid w:val="00A17DF1"/>
    <w:rsid w:val="00A2167E"/>
    <w:rsid w:val="00A22ABA"/>
    <w:rsid w:val="00A23DF7"/>
    <w:rsid w:val="00A253B6"/>
    <w:rsid w:val="00A26790"/>
    <w:rsid w:val="00A30897"/>
    <w:rsid w:val="00A32178"/>
    <w:rsid w:val="00A32768"/>
    <w:rsid w:val="00A34DBD"/>
    <w:rsid w:val="00A3503F"/>
    <w:rsid w:val="00A362BE"/>
    <w:rsid w:val="00A3637F"/>
    <w:rsid w:val="00A403BF"/>
    <w:rsid w:val="00A42328"/>
    <w:rsid w:val="00A423DC"/>
    <w:rsid w:val="00A42491"/>
    <w:rsid w:val="00A43021"/>
    <w:rsid w:val="00A44A44"/>
    <w:rsid w:val="00A44AA0"/>
    <w:rsid w:val="00A50B8B"/>
    <w:rsid w:val="00A52767"/>
    <w:rsid w:val="00A52D67"/>
    <w:rsid w:val="00A53231"/>
    <w:rsid w:val="00A533DF"/>
    <w:rsid w:val="00A537B4"/>
    <w:rsid w:val="00A53A4A"/>
    <w:rsid w:val="00A54C58"/>
    <w:rsid w:val="00A56AD4"/>
    <w:rsid w:val="00A56CBC"/>
    <w:rsid w:val="00A610E5"/>
    <w:rsid w:val="00A636A1"/>
    <w:rsid w:val="00A63F02"/>
    <w:rsid w:val="00A64106"/>
    <w:rsid w:val="00A70AC7"/>
    <w:rsid w:val="00A70B45"/>
    <w:rsid w:val="00A732C5"/>
    <w:rsid w:val="00A73AF6"/>
    <w:rsid w:val="00A76148"/>
    <w:rsid w:val="00A7765F"/>
    <w:rsid w:val="00A8059C"/>
    <w:rsid w:val="00A8250D"/>
    <w:rsid w:val="00A85B18"/>
    <w:rsid w:val="00A87525"/>
    <w:rsid w:val="00A87AAD"/>
    <w:rsid w:val="00A91B79"/>
    <w:rsid w:val="00A961F5"/>
    <w:rsid w:val="00AA067D"/>
    <w:rsid w:val="00AA2ACB"/>
    <w:rsid w:val="00AA3B08"/>
    <w:rsid w:val="00AA45E9"/>
    <w:rsid w:val="00AA466E"/>
    <w:rsid w:val="00AA6287"/>
    <w:rsid w:val="00AA6EF5"/>
    <w:rsid w:val="00AB08A1"/>
    <w:rsid w:val="00AB2842"/>
    <w:rsid w:val="00AB2AA9"/>
    <w:rsid w:val="00AB2F2D"/>
    <w:rsid w:val="00AB4EF4"/>
    <w:rsid w:val="00AB5FE2"/>
    <w:rsid w:val="00AC00E6"/>
    <w:rsid w:val="00AC0A5B"/>
    <w:rsid w:val="00AC2D9A"/>
    <w:rsid w:val="00AC3A95"/>
    <w:rsid w:val="00AC65F0"/>
    <w:rsid w:val="00AC67A2"/>
    <w:rsid w:val="00AC6DBA"/>
    <w:rsid w:val="00AC7198"/>
    <w:rsid w:val="00AC7991"/>
    <w:rsid w:val="00AC7C71"/>
    <w:rsid w:val="00AD05B8"/>
    <w:rsid w:val="00AD212E"/>
    <w:rsid w:val="00AD2794"/>
    <w:rsid w:val="00AD2DFB"/>
    <w:rsid w:val="00AD5BCD"/>
    <w:rsid w:val="00AD7C46"/>
    <w:rsid w:val="00AE35EE"/>
    <w:rsid w:val="00AE3F25"/>
    <w:rsid w:val="00AE4016"/>
    <w:rsid w:val="00AE469E"/>
    <w:rsid w:val="00AF0AA6"/>
    <w:rsid w:val="00AF3462"/>
    <w:rsid w:val="00AF365B"/>
    <w:rsid w:val="00AF4840"/>
    <w:rsid w:val="00AF4CCA"/>
    <w:rsid w:val="00AF67C5"/>
    <w:rsid w:val="00B007D2"/>
    <w:rsid w:val="00B025B1"/>
    <w:rsid w:val="00B02C95"/>
    <w:rsid w:val="00B02E54"/>
    <w:rsid w:val="00B03934"/>
    <w:rsid w:val="00B03AE2"/>
    <w:rsid w:val="00B040FD"/>
    <w:rsid w:val="00B078D8"/>
    <w:rsid w:val="00B103E5"/>
    <w:rsid w:val="00B10550"/>
    <w:rsid w:val="00B11208"/>
    <w:rsid w:val="00B125AD"/>
    <w:rsid w:val="00B1346A"/>
    <w:rsid w:val="00B135F5"/>
    <w:rsid w:val="00B15BC4"/>
    <w:rsid w:val="00B20B2D"/>
    <w:rsid w:val="00B21A43"/>
    <w:rsid w:val="00B22D65"/>
    <w:rsid w:val="00B24ADC"/>
    <w:rsid w:val="00B25ED9"/>
    <w:rsid w:val="00B27635"/>
    <w:rsid w:val="00B3392A"/>
    <w:rsid w:val="00B36E88"/>
    <w:rsid w:val="00B37CE3"/>
    <w:rsid w:val="00B40FF7"/>
    <w:rsid w:val="00B41E23"/>
    <w:rsid w:val="00B4270C"/>
    <w:rsid w:val="00B448AB"/>
    <w:rsid w:val="00B4631B"/>
    <w:rsid w:val="00B46961"/>
    <w:rsid w:val="00B46D91"/>
    <w:rsid w:val="00B47F8C"/>
    <w:rsid w:val="00B50153"/>
    <w:rsid w:val="00B50343"/>
    <w:rsid w:val="00B505EC"/>
    <w:rsid w:val="00B50E78"/>
    <w:rsid w:val="00B50F30"/>
    <w:rsid w:val="00B53FC9"/>
    <w:rsid w:val="00B544A6"/>
    <w:rsid w:val="00B55416"/>
    <w:rsid w:val="00B55D2A"/>
    <w:rsid w:val="00B57E26"/>
    <w:rsid w:val="00B60FED"/>
    <w:rsid w:val="00B61DB4"/>
    <w:rsid w:val="00B620FE"/>
    <w:rsid w:val="00B63572"/>
    <w:rsid w:val="00B64381"/>
    <w:rsid w:val="00B651B7"/>
    <w:rsid w:val="00B652F2"/>
    <w:rsid w:val="00B671F3"/>
    <w:rsid w:val="00B676BD"/>
    <w:rsid w:val="00B70424"/>
    <w:rsid w:val="00B7087C"/>
    <w:rsid w:val="00B715B2"/>
    <w:rsid w:val="00B717CC"/>
    <w:rsid w:val="00B71C33"/>
    <w:rsid w:val="00B71FD8"/>
    <w:rsid w:val="00B7261C"/>
    <w:rsid w:val="00B729BF"/>
    <w:rsid w:val="00B75907"/>
    <w:rsid w:val="00B767A5"/>
    <w:rsid w:val="00B76BC5"/>
    <w:rsid w:val="00B779BD"/>
    <w:rsid w:val="00B80371"/>
    <w:rsid w:val="00B80776"/>
    <w:rsid w:val="00B809F1"/>
    <w:rsid w:val="00B815CF"/>
    <w:rsid w:val="00B8264A"/>
    <w:rsid w:val="00B83194"/>
    <w:rsid w:val="00B84E34"/>
    <w:rsid w:val="00B85020"/>
    <w:rsid w:val="00B85085"/>
    <w:rsid w:val="00B85957"/>
    <w:rsid w:val="00B85EF1"/>
    <w:rsid w:val="00B874D7"/>
    <w:rsid w:val="00B90532"/>
    <w:rsid w:val="00B91FEC"/>
    <w:rsid w:val="00B9229B"/>
    <w:rsid w:val="00B927A3"/>
    <w:rsid w:val="00BA3B6C"/>
    <w:rsid w:val="00BA506D"/>
    <w:rsid w:val="00BA5081"/>
    <w:rsid w:val="00BA584E"/>
    <w:rsid w:val="00BA5B41"/>
    <w:rsid w:val="00BA691E"/>
    <w:rsid w:val="00BB1C91"/>
    <w:rsid w:val="00BB2E8C"/>
    <w:rsid w:val="00BB5E10"/>
    <w:rsid w:val="00BB66E5"/>
    <w:rsid w:val="00BB6B52"/>
    <w:rsid w:val="00BB6F00"/>
    <w:rsid w:val="00BB7C7C"/>
    <w:rsid w:val="00BB7D1A"/>
    <w:rsid w:val="00BC032B"/>
    <w:rsid w:val="00BC0AB7"/>
    <w:rsid w:val="00BC1087"/>
    <w:rsid w:val="00BC3469"/>
    <w:rsid w:val="00BC4962"/>
    <w:rsid w:val="00BC5B23"/>
    <w:rsid w:val="00BC67B0"/>
    <w:rsid w:val="00BC7E6A"/>
    <w:rsid w:val="00BD2979"/>
    <w:rsid w:val="00BD2A3E"/>
    <w:rsid w:val="00BD2B3D"/>
    <w:rsid w:val="00BD3E8F"/>
    <w:rsid w:val="00BD4CC2"/>
    <w:rsid w:val="00BD5F9D"/>
    <w:rsid w:val="00BD6FE7"/>
    <w:rsid w:val="00BE0AD4"/>
    <w:rsid w:val="00BE1AA0"/>
    <w:rsid w:val="00BE23CB"/>
    <w:rsid w:val="00BE2C93"/>
    <w:rsid w:val="00BE6AA2"/>
    <w:rsid w:val="00BF16A9"/>
    <w:rsid w:val="00BF3690"/>
    <w:rsid w:val="00BF3B07"/>
    <w:rsid w:val="00BF3D9B"/>
    <w:rsid w:val="00BF4379"/>
    <w:rsid w:val="00BF70DA"/>
    <w:rsid w:val="00C00ABD"/>
    <w:rsid w:val="00C024D3"/>
    <w:rsid w:val="00C02C9D"/>
    <w:rsid w:val="00C03216"/>
    <w:rsid w:val="00C050B6"/>
    <w:rsid w:val="00C0515B"/>
    <w:rsid w:val="00C053B9"/>
    <w:rsid w:val="00C05616"/>
    <w:rsid w:val="00C061B5"/>
    <w:rsid w:val="00C06F30"/>
    <w:rsid w:val="00C11965"/>
    <w:rsid w:val="00C14394"/>
    <w:rsid w:val="00C16685"/>
    <w:rsid w:val="00C16874"/>
    <w:rsid w:val="00C178D4"/>
    <w:rsid w:val="00C17BB9"/>
    <w:rsid w:val="00C17D90"/>
    <w:rsid w:val="00C20226"/>
    <w:rsid w:val="00C20DD1"/>
    <w:rsid w:val="00C2276D"/>
    <w:rsid w:val="00C2461F"/>
    <w:rsid w:val="00C25476"/>
    <w:rsid w:val="00C27136"/>
    <w:rsid w:val="00C30938"/>
    <w:rsid w:val="00C30CDD"/>
    <w:rsid w:val="00C31740"/>
    <w:rsid w:val="00C3231D"/>
    <w:rsid w:val="00C32E71"/>
    <w:rsid w:val="00C33971"/>
    <w:rsid w:val="00C343A4"/>
    <w:rsid w:val="00C345CF"/>
    <w:rsid w:val="00C34F1D"/>
    <w:rsid w:val="00C35923"/>
    <w:rsid w:val="00C36DC5"/>
    <w:rsid w:val="00C418B5"/>
    <w:rsid w:val="00C42A68"/>
    <w:rsid w:val="00C43AE6"/>
    <w:rsid w:val="00C52F78"/>
    <w:rsid w:val="00C5547F"/>
    <w:rsid w:val="00C57EF5"/>
    <w:rsid w:val="00C616A1"/>
    <w:rsid w:val="00C64B47"/>
    <w:rsid w:val="00C65509"/>
    <w:rsid w:val="00C667B3"/>
    <w:rsid w:val="00C67073"/>
    <w:rsid w:val="00C67272"/>
    <w:rsid w:val="00C67DC5"/>
    <w:rsid w:val="00C67F49"/>
    <w:rsid w:val="00C70F89"/>
    <w:rsid w:val="00C715CB"/>
    <w:rsid w:val="00C7275B"/>
    <w:rsid w:val="00C76F6C"/>
    <w:rsid w:val="00C80A4C"/>
    <w:rsid w:val="00C80D25"/>
    <w:rsid w:val="00C81E3E"/>
    <w:rsid w:val="00C82A5E"/>
    <w:rsid w:val="00C839A1"/>
    <w:rsid w:val="00C8425F"/>
    <w:rsid w:val="00C85BDE"/>
    <w:rsid w:val="00C85C63"/>
    <w:rsid w:val="00C8729B"/>
    <w:rsid w:val="00C87778"/>
    <w:rsid w:val="00C87D04"/>
    <w:rsid w:val="00C903F9"/>
    <w:rsid w:val="00C91008"/>
    <w:rsid w:val="00C93B1A"/>
    <w:rsid w:val="00C93DAC"/>
    <w:rsid w:val="00C952CB"/>
    <w:rsid w:val="00C958FA"/>
    <w:rsid w:val="00C96559"/>
    <w:rsid w:val="00C970EC"/>
    <w:rsid w:val="00CA0005"/>
    <w:rsid w:val="00CA0502"/>
    <w:rsid w:val="00CA136E"/>
    <w:rsid w:val="00CA31A2"/>
    <w:rsid w:val="00CA3F18"/>
    <w:rsid w:val="00CA743E"/>
    <w:rsid w:val="00CA7466"/>
    <w:rsid w:val="00CB0D43"/>
    <w:rsid w:val="00CB1854"/>
    <w:rsid w:val="00CB2266"/>
    <w:rsid w:val="00CB3216"/>
    <w:rsid w:val="00CB3A7A"/>
    <w:rsid w:val="00CB3B7C"/>
    <w:rsid w:val="00CB4A0E"/>
    <w:rsid w:val="00CB558A"/>
    <w:rsid w:val="00CB5F59"/>
    <w:rsid w:val="00CB6514"/>
    <w:rsid w:val="00CC1183"/>
    <w:rsid w:val="00CC235A"/>
    <w:rsid w:val="00CC37E0"/>
    <w:rsid w:val="00CC578D"/>
    <w:rsid w:val="00CC66B0"/>
    <w:rsid w:val="00CC6F06"/>
    <w:rsid w:val="00CC7593"/>
    <w:rsid w:val="00CD3311"/>
    <w:rsid w:val="00CD5051"/>
    <w:rsid w:val="00CD7473"/>
    <w:rsid w:val="00CE0A32"/>
    <w:rsid w:val="00CE189B"/>
    <w:rsid w:val="00CE1D14"/>
    <w:rsid w:val="00CE1EA9"/>
    <w:rsid w:val="00CE54AB"/>
    <w:rsid w:val="00CE643A"/>
    <w:rsid w:val="00CE7601"/>
    <w:rsid w:val="00CF3D77"/>
    <w:rsid w:val="00CF3F88"/>
    <w:rsid w:val="00CF5494"/>
    <w:rsid w:val="00CF59F2"/>
    <w:rsid w:val="00CF5E4B"/>
    <w:rsid w:val="00D00AA1"/>
    <w:rsid w:val="00D00EC6"/>
    <w:rsid w:val="00D01A76"/>
    <w:rsid w:val="00D035CD"/>
    <w:rsid w:val="00D04B08"/>
    <w:rsid w:val="00D05392"/>
    <w:rsid w:val="00D054BF"/>
    <w:rsid w:val="00D06682"/>
    <w:rsid w:val="00D0694A"/>
    <w:rsid w:val="00D12C3C"/>
    <w:rsid w:val="00D13049"/>
    <w:rsid w:val="00D14832"/>
    <w:rsid w:val="00D15E6A"/>
    <w:rsid w:val="00D200DA"/>
    <w:rsid w:val="00D203EB"/>
    <w:rsid w:val="00D20C3D"/>
    <w:rsid w:val="00D21090"/>
    <w:rsid w:val="00D226DE"/>
    <w:rsid w:val="00D23F9E"/>
    <w:rsid w:val="00D26D60"/>
    <w:rsid w:val="00D27D24"/>
    <w:rsid w:val="00D3124C"/>
    <w:rsid w:val="00D331A3"/>
    <w:rsid w:val="00D3379F"/>
    <w:rsid w:val="00D34D89"/>
    <w:rsid w:val="00D3505B"/>
    <w:rsid w:val="00D35B77"/>
    <w:rsid w:val="00D35E80"/>
    <w:rsid w:val="00D363A4"/>
    <w:rsid w:val="00D36E6E"/>
    <w:rsid w:val="00D371D1"/>
    <w:rsid w:val="00D40F1C"/>
    <w:rsid w:val="00D41714"/>
    <w:rsid w:val="00D418D8"/>
    <w:rsid w:val="00D419A8"/>
    <w:rsid w:val="00D42A62"/>
    <w:rsid w:val="00D42B29"/>
    <w:rsid w:val="00D4496B"/>
    <w:rsid w:val="00D44D97"/>
    <w:rsid w:val="00D468AE"/>
    <w:rsid w:val="00D46EC6"/>
    <w:rsid w:val="00D53FCE"/>
    <w:rsid w:val="00D557F7"/>
    <w:rsid w:val="00D559D9"/>
    <w:rsid w:val="00D562A7"/>
    <w:rsid w:val="00D57C49"/>
    <w:rsid w:val="00D60A71"/>
    <w:rsid w:val="00D61B1C"/>
    <w:rsid w:val="00D6493F"/>
    <w:rsid w:val="00D658B7"/>
    <w:rsid w:val="00D66FB9"/>
    <w:rsid w:val="00D73939"/>
    <w:rsid w:val="00D74A97"/>
    <w:rsid w:val="00D75CE0"/>
    <w:rsid w:val="00D773EA"/>
    <w:rsid w:val="00D8192E"/>
    <w:rsid w:val="00D826CD"/>
    <w:rsid w:val="00D827ED"/>
    <w:rsid w:val="00D82A7B"/>
    <w:rsid w:val="00D84E0A"/>
    <w:rsid w:val="00D879C1"/>
    <w:rsid w:val="00D9166A"/>
    <w:rsid w:val="00D92C0E"/>
    <w:rsid w:val="00D92E64"/>
    <w:rsid w:val="00D932C0"/>
    <w:rsid w:val="00D948D6"/>
    <w:rsid w:val="00D97054"/>
    <w:rsid w:val="00DA0ED2"/>
    <w:rsid w:val="00DA20AE"/>
    <w:rsid w:val="00DA20E9"/>
    <w:rsid w:val="00DA2A95"/>
    <w:rsid w:val="00DA3377"/>
    <w:rsid w:val="00DA4CED"/>
    <w:rsid w:val="00DA646B"/>
    <w:rsid w:val="00DB00BA"/>
    <w:rsid w:val="00DB2C2B"/>
    <w:rsid w:val="00DB40CE"/>
    <w:rsid w:val="00DB4D2F"/>
    <w:rsid w:val="00DB5421"/>
    <w:rsid w:val="00DB59F8"/>
    <w:rsid w:val="00DB5CC5"/>
    <w:rsid w:val="00DC1161"/>
    <w:rsid w:val="00DC2505"/>
    <w:rsid w:val="00DC2519"/>
    <w:rsid w:val="00DC27DD"/>
    <w:rsid w:val="00DC2C01"/>
    <w:rsid w:val="00DC2EFC"/>
    <w:rsid w:val="00DC78B0"/>
    <w:rsid w:val="00DC7A04"/>
    <w:rsid w:val="00DC7A1B"/>
    <w:rsid w:val="00DD1329"/>
    <w:rsid w:val="00DD1AD1"/>
    <w:rsid w:val="00DD2006"/>
    <w:rsid w:val="00DD2833"/>
    <w:rsid w:val="00DD301D"/>
    <w:rsid w:val="00DD3AE2"/>
    <w:rsid w:val="00DD5F2C"/>
    <w:rsid w:val="00DD6FB5"/>
    <w:rsid w:val="00DD72B8"/>
    <w:rsid w:val="00DD7FD7"/>
    <w:rsid w:val="00DE0309"/>
    <w:rsid w:val="00DE0892"/>
    <w:rsid w:val="00DE14CF"/>
    <w:rsid w:val="00DE28CC"/>
    <w:rsid w:val="00DE36BF"/>
    <w:rsid w:val="00DE4698"/>
    <w:rsid w:val="00DE702E"/>
    <w:rsid w:val="00DE7291"/>
    <w:rsid w:val="00DE751B"/>
    <w:rsid w:val="00DF04BE"/>
    <w:rsid w:val="00DF383F"/>
    <w:rsid w:val="00DF4439"/>
    <w:rsid w:val="00DF4E27"/>
    <w:rsid w:val="00DF55BB"/>
    <w:rsid w:val="00DF5A80"/>
    <w:rsid w:val="00DF77F1"/>
    <w:rsid w:val="00E02523"/>
    <w:rsid w:val="00E02F72"/>
    <w:rsid w:val="00E0346F"/>
    <w:rsid w:val="00E0456E"/>
    <w:rsid w:val="00E0653A"/>
    <w:rsid w:val="00E07625"/>
    <w:rsid w:val="00E102E6"/>
    <w:rsid w:val="00E1031C"/>
    <w:rsid w:val="00E11A28"/>
    <w:rsid w:val="00E12228"/>
    <w:rsid w:val="00E124A9"/>
    <w:rsid w:val="00E1259A"/>
    <w:rsid w:val="00E139F8"/>
    <w:rsid w:val="00E13C87"/>
    <w:rsid w:val="00E15234"/>
    <w:rsid w:val="00E1627C"/>
    <w:rsid w:val="00E16C2B"/>
    <w:rsid w:val="00E20575"/>
    <w:rsid w:val="00E2133D"/>
    <w:rsid w:val="00E2555E"/>
    <w:rsid w:val="00E25596"/>
    <w:rsid w:val="00E25843"/>
    <w:rsid w:val="00E331B2"/>
    <w:rsid w:val="00E43DE9"/>
    <w:rsid w:val="00E4418E"/>
    <w:rsid w:val="00E44C3E"/>
    <w:rsid w:val="00E44C7D"/>
    <w:rsid w:val="00E44DB0"/>
    <w:rsid w:val="00E46E7D"/>
    <w:rsid w:val="00E47506"/>
    <w:rsid w:val="00E476D1"/>
    <w:rsid w:val="00E50054"/>
    <w:rsid w:val="00E50D6D"/>
    <w:rsid w:val="00E50F29"/>
    <w:rsid w:val="00E51616"/>
    <w:rsid w:val="00E51A53"/>
    <w:rsid w:val="00E5343A"/>
    <w:rsid w:val="00E53EB2"/>
    <w:rsid w:val="00E54411"/>
    <w:rsid w:val="00E54784"/>
    <w:rsid w:val="00E54D88"/>
    <w:rsid w:val="00E56235"/>
    <w:rsid w:val="00E57A67"/>
    <w:rsid w:val="00E60B44"/>
    <w:rsid w:val="00E61D9A"/>
    <w:rsid w:val="00E639AF"/>
    <w:rsid w:val="00E63A58"/>
    <w:rsid w:val="00E643D1"/>
    <w:rsid w:val="00E657B4"/>
    <w:rsid w:val="00E67060"/>
    <w:rsid w:val="00E7292F"/>
    <w:rsid w:val="00E73F60"/>
    <w:rsid w:val="00E745CE"/>
    <w:rsid w:val="00E75F4F"/>
    <w:rsid w:val="00E76379"/>
    <w:rsid w:val="00E76E49"/>
    <w:rsid w:val="00E808B0"/>
    <w:rsid w:val="00E82841"/>
    <w:rsid w:val="00E84BBD"/>
    <w:rsid w:val="00E853C4"/>
    <w:rsid w:val="00E908E4"/>
    <w:rsid w:val="00E93BFA"/>
    <w:rsid w:val="00E93D4D"/>
    <w:rsid w:val="00E946CB"/>
    <w:rsid w:val="00E95448"/>
    <w:rsid w:val="00E96552"/>
    <w:rsid w:val="00EA148F"/>
    <w:rsid w:val="00EA1EC9"/>
    <w:rsid w:val="00EA2CA1"/>
    <w:rsid w:val="00EA7672"/>
    <w:rsid w:val="00EB1E41"/>
    <w:rsid w:val="00EB28FC"/>
    <w:rsid w:val="00EB4888"/>
    <w:rsid w:val="00EB4E9B"/>
    <w:rsid w:val="00EB554E"/>
    <w:rsid w:val="00EB76FD"/>
    <w:rsid w:val="00EC04AD"/>
    <w:rsid w:val="00EC0C91"/>
    <w:rsid w:val="00EC3726"/>
    <w:rsid w:val="00EC3C9A"/>
    <w:rsid w:val="00EC541C"/>
    <w:rsid w:val="00EC5663"/>
    <w:rsid w:val="00EC5740"/>
    <w:rsid w:val="00EC66E4"/>
    <w:rsid w:val="00EC6D3E"/>
    <w:rsid w:val="00EC720F"/>
    <w:rsid w:val="00ED6A78"/>
    <w:rsid w:val="00ED7C17"/>
    <w:rsid w:val="00EE176F"/>
    <w:rsid w:val="00EE24A4"/>
    <w:rsid w:val="00EE3E90"/>
    <w:rsid w:val="00EE3F61"/>
    <w:rsid w:val="00EE5910"/>
    <w:rsid w:val="00EE607B"/>
    <w:rsid w:val="00EF2DBE"/>
    <w:rsid w:val="00EF433B"/>
    <w:rsid w:val="00EF683D"/>
    <w:rsid w:val="00EF6AD8"/>
    <w:rsid w:val="00EF7027"/>
    <w:rsid w:val="00EF73E9"/>
    <w:rsid w:val="00F00F7E"/>
    <w:rsid w:val="00F0136A"/>
    <w:rsid w:val="00F02BC2"/>
    <w:rsid w:val="00F04E63"/>
    <w:rsid w:val="00F0628F"/>
    <w:rsid w:val="00F0796E"/>
    <w:rsid w:val="00F117A9"/>
    <w:rsid w:val="00F11F86"/>
    <w:rsid w:val="00F12460"/>
    <w:rsid w:val="00F125F4"/>
    <w:rsid w:val="00F14BB0"/>
    <w:rsid w:val="00F15594"/>
    <w:rsid w:val="00F160FA"/>
    <w:rsid w:val="00F1655B"/>
    <w:rsid w:val="00F16C06"/>
    <w:rsid w:val="00F20739"/>
    <w:rsid w:val="00F20AE3"/>
    <w:rsid w:val="00F235DC"/>
    <w:rsid w:val="00F23847"/>
    <w:rsid w:val="00F24469"/>
    <w:rsid w:val="00F25780"/>
    <w:rsid w:val="00F25949"/>
    <w:rsid w:val="00F2681B"/>
    <w:rsid w:val="00F32115"/>
    <w:rsid w:val="00F32182"/>
    <w:rsid w:val="00F33FEE"/>
    <w:rsid w:val="00F3559E"/>
    <w:rsid w:val="00F35DDE"/>
    <w:rsid w:val="00F361A6"/>
    <w:rsid w:val="00F37E17"/>
    <w:rsid w:val="00F4038A"/>
    <w:rsid w:val="00F41596"/>
    <w:rsid w:val="00F42454"/>
    <w:rsid w:val="00F4442E"/>
    <w:rsid w:val="00F4499A"/>
    <w:rsid w:val="00F454CA"/>
    <w:rsid w:val="00F45F5E"/>
    <w:rsid w:val="00F464FE"/>
    <w:rsid w:val="00F46676"/>
    <w:rsid w:val="00F50647"/>
    <w:rsid w:val="00F53A34"/>
    <w:rsid w:val="00F56E2A"/>
    <w:rsid w:val="00F57E88"/>
    <w:rsid w:val="00F60367"/>
    <w:rsid w:val="00F60768"/>
    <w:rsid w:val="00F60CBF"/>
    <w:rsid w:val="00F6151C"/>
    <w:rsid w:val="00F625E9"/>
    <w:rsid w:val="00F6342A"/>
    <w:rsid w:val="00F634FF"/>
    <w:rsid w:val="00F644B8"/>
    <w:rsid w:val="00F6550A"/>
    <w:rsid w:val="00F70D62"/>
    <w:rsid w:val="00F71A2E"/>
    <w:rsid w:val="00F731DE"/>
    <w:rsid w:val="00F739AC"/>
    <w:rsid w:val="00F74437"/>
    <w:rsid w:val="00F75ED4"/>
    <w:rsid w:val="00F80259"/>
    <w:rsid w:val="00F81A89"/>
    <w:rsid w:val="00F83FD7"/>
    <w:rsid w:val="00F90F69"/>
    <w:rsid w:val="00F91441"/>
    <w:rsid w:val="00F914F4"/>
    <w:rsid w:val="00F93D05"/>
    <w:rsid w:val="00F941F6"/>
    <w:rsid w:val="00F9542E"/>
    <w:rsid w:val="00F96095"/>
    <w:rsid w:val="00F977D7"/>
    <w:rsid w:val="00F97B3E"/>
    <w:rsid w:val="00FA03B7"/>
    <w:rsid w:val="00FA1741"/>
    <w:rsid w:val="00FA3B0B"/>
    <w:rsid w:val="00FA66B9"/>
    <w:rsid w:val="00FA7323"/>
    <w:rsid w:val="00FB0C56"/>
    <w:rsid w:val="00FB2190"/>
    <w:rsid w:val="00FB33DF"/>
    <w:rsid w:val="00FB3573"/>
    <w:rsid w:val="00FB5201"/>
    <w:rsid w:val="00FB5371"/>
    <w:rsid w:val="00FB6894"/>
    <w:rsid w:val="00FC311F"/>
    <w:rsid w:val="00FC3A36"/>
    <w:rsid w:val="00FC3CEC"/>
    <w:rsid w:val="00FC6E0C"/>
    <w:rsid w:val="00FC6ED4"/>
    <w:rsid w:val="00FC7617"/>
    <w:rsid w:val="00FD083A"/>
    <w:rsid w:val="00FD3A2F"/>
    <w:rsid w:val="00FD5776"/>
    <w:rsid w:val="00FD753F"/>
    <w:rsid w:val="00FE04B7"/>
    <w:rsid w:val="00FE1D9B"/>
    <w:rsid w:val="00FE2116"/>
    <w:rsid w:val="00FE2C5F"/>
    <w:rsid w:val="00FE2F77"/>
    <w:rsid w:val="00FE4FA4"/>
    <w:rsid w:val="00FE5B82"/>
    <w:rsid w:val="00FE645D"/>
    <w:rsid w:val="00FE70C2"/>
    <w:rsid w:val="00FF10CF"/>
    <w:rsid w:val="00FF205C"/>
    <w:rsid w:val="00FF29BA"/>
    <w:rsid w:val="00FF2A50"/>
    <w:rsid w:val="00FF3DF5"/>
    <w:rsid w:val="00FF5E44"/>
  </w:rsids>
  <m:mathPr>
    <m:mathFont m:val="Cambria Math"/>
    <m:brkBin m:val="before"/>
    <m:brkBinSub m:val="--"/>
    <m:smallFrac m:val="0"/>
    <m:dispDef/>
    <m:lMargin m:val="0"/>
    <m:rMargin m:val="0"/>
    <m:defJc m:val="centerGroup"/>
    <m:wrapIndent m:val="1440"/>
    <m:intLim m:val="subSup"/>
    <m:naryLim m:val="undOvr"/>
  </m:mathPr>
  <w:themeFontLang w:val="en-IN"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57C6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val="fr-FR" w:eastAsia="en-US"/>
    </w:rPr>
  </w:style>
  <w:style w:type="paragraph" w:styleId="Heading1">
    <w:name w:val="heading 1"/>
    <w:basedOn w:val="Normal"/>
    <w:uiPriority w:val="9"/>
    <w:qFormat/>
    <w:pPr>
      <w:spacing w:before="20"/>
      <w:ind w:left="107"/>
      <w:outlineLvl w:val="0"/>
    </w:pPr>
    <w:rPr>
      <w:b/>
      <w:bCs/>
    </w:rPr>
  </w:style>
  <w:style w:type="paragraph" w:styleId="Heading2">
    <w:name w:val="heading 2"/>
    <w:basedOn w:val="Normal"/>
    <w:uiPriority w:val="9"/>
    <w:unhideWhenUsed/>
    <w:qFormat/>
    <w:pPr>
      <w:ind w:left="47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44" w:hanging="566"/>
    </w:pPr>
  </w:style>
  <w:style w:type="paragraph" w:customStyle="1" w:styleId="TableParagraph">
    <w:name w:val="Table Paragraph"/>
    <w:basedOn w:val="Normal"/>
    <w:uiPriority w:val="1"/>
    <w:qFormat/>
    <w:pPr>
      <w:ind w:left="107"/>
      <w:jc w:val="center"/>
    </w:pPr>
  </w:style>
  <w:style w:type="paragraph" w:customStyle="1" w:styleId="TitleA">
    <w:name w:val="Title A"/>
    <w:basedOn w:val="Normal"/>
    <w:qFormat/>
    <w:rsid w:val="0048216E"/>
    <w:pPr>
      <w:jc w:val="center"/>
    </w:pPr>
    <w:rPr>
      <w:b/>
      <w:bCs/>
    </w:rPr>
  </w:style>
  <w:style w:type="paragraph" w:styleId="Header">
    <w:name w:val="header"/>
    <w:basedOn w:val="Normal"/>
    <w:link w:val="HeaderChar"/>
    <w:uiPriority w:val="99"/>
    <w:unhideWhenUsed/>
    <w:rsid w:val="003C3CC2"/>
    <w:pPr>
      <w:tabs>
        <w:tab w:val="center" w:pos="4513"/>
        <w:tab w:val="right" w:pos="9026"/>
      </w:tabs>
    </w:pPr>
  </w:style>
  <w:style w:type="character" w:customStyle="1" w:styleId="HeaderChar">
    <w:name w:val="Header Char"/>
    <w:link w:val="Header"/>
    <w:uiPriority w:val="99"/>
    <w:rsid w:val="003C3CC2"/>
    <w:rPr>
      <w:rFonts w:ascii="Times New Roman" w:eastAsia="Times New Roman" w:hAnsi="Times New Roman" w:cs="Times New Roman"/>
      <w:lang w:val="fr-FR"/>
    </w:rPr>
  </w:style>
  <w:style w:type="paragraph" w:styleId="Footer">
    <w:name w:val="footer"/>
    <w:basedOn w:val="Normal"/>
    <w:link w:val="FooterChar"/>
    <w:uiPriority w:val="99"/>
    <w:unhideWhenUsed/>
    <w:rsid w:val="003C3CC2"/>
    <w:pPr>
      <w:tabs>
        <w:tab w:val="center" w:pos="4513"/>
        <w:tab w:val="right" w:pos="9026"/>
      </w:tabs>
    </w:pPr>
  </w:style>
  <w:style w:type="character" w:customStyle="1" w:styleId="FooterChar">
    <w:name w:val="Footer Char"/>
    <w:link w:val="Footer"/>
    <w:uiPriority w:val="99"/>
    <w:rsid w:val="003C3CC2"/>
    <w:rPr>
      <w:rFonts w:ascii="Times New Roman" w:eastAsia="Times New Roman" w:hAnsi="Times New Roman" w:cs="Times New Roman"/>
      <w:lang w:val="fr-FR"/>
    </w:rPr>
  </w:style>
  <w:style w:type="character" w:styleId="Hyperlink">
    <w:name w:val="Hyperlink"/>
    <w:uiPriority w:val="99"/>
    <w:unhideWhenUsed/>
    <w:rsid w:val="006D14B9"/>
    <w:rPr>
      <w:color w:val="0000FF"/>
      <w:u w:val="single"/>
    </w:rPr>
  </w:style>
  <w:style w:type="character" w:customStyle="1" w:styleId="UnresolvedMention1">
    <w:name w:val="Unresolved Mention1"/>
    <w:uiPriority w:val="99"/>
    <w:semiHidden/>
    <w:unhideWhenUsed/>
    <w:rsid w:val="006D14B9"/>
    <w:rPr>
      <w:color w:val="605E5C"/>
      <w:shd w:val="clear" w:color="auto" w:fill="E1DFDD"/>
    </w:rPr>
  </w:style>
  <w:style w:type="paragraph" w:styleId="Revision">
    <w:name w:val="Revision"/>
    <w:hidden/>
    <w:uiPriority w:val="99"/>
    <w:semiHidden/>
    <w:rsid w:val="00CC235A"/>
    <w:rPr>
      <w:rFonts w:ascii="Times New Roman" w:eastAsia="Times New Roman" w:hAnsi="Times New Roman" w:cs="Times New Roman"/>
      <w:sz w:val="22"/>
      <w:szCs w:val="22"/>
      <w:lang w:val="fr-FR" w:eastAsia="en-US"/>
    </w:rPr>
  </w:style>
  <w:style w:type="character" w:styleId="CommentReference">
    <w:name w:val="annotation reference"/>
    <w:uiPriority w:val="99"/>
    <w:semiHidden/>
    <w:unhideWhenUsed/>
    <w:rsid w:val="00CC235A"/>
    <w:rPr>
      <w:sz w:val="16"/>
      <w:szCs w:val="16"/>
    </w:rPr>
  </w:style>
  <w:style w:type="paragraph" w:styleId="CommentText">
    <w:name w:val="annotation text"/>
    <w:basedOn w:val="Normal"/>
    <w:link w:val="CommentTextChar"/>
    <w:uiPriority w:val="99"/>
    <w:unhideWhenUsed/>
    <w:rsid w:val="00CC235A"/>
    <w:rPr>
      <w:sz w:val="20"/>
      <w:szCs w:val="20"/>
    </w:rPr>
  </w:style>
  <w:style w:type="character" w:customStyle="1" w:styleId="CommentTextChar">
    <w:name w:val="Comment Text Char"/>
    <w:link w:val="CommentText"/>
    <w:uiPriority w:val="99"/>
    <w:rsid w:val="00CC235A"/>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CC235A"/>
    <w:rPr>
      <w:b/>
      <w:bCs/>
    </w:rPr>
  </w:style>
  <w:style w:type="character" w:customStyle="1" w:styleId="CommentSubjectChar">
    <w:name w:val="Comment Subject Char"/>
    <w:link w:val="CommentSubject"/>
    <w:uiPriority w:val="99"/>
    <w:semiHidden/>
    <w:rsid w:val="00CC235A"/>
    <w:rPr>
      <w:rFonts w:ascii="Times New Roman" w:eastAsia="Times New Roman" w:hAnsi="Times New Roman" w:cs="Times New Roman"/>
      <w:b/>
      <w:bCs/>
      <w:sz w:val="20"/>
      <w:szCs w:val="20"/>
      <w:lang w:val="fr-FR"/>
    </w:rPr>
  </w:style>
  <w:style w:type="table" w:styleId="TableGrid">
    <w:name w:val="Table Grid"/>
    <w:basedOn w:val="TableNormal"/>
    <w:uiPriority w:val="39"/>
    <w:rsid w:val="00275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8D3CCF"/>
    <w:rPr>
      <w:color w:val="800080"/>
      <w:u w:val="single"/>
    </w:rPr>
  </w:style>
  <w:style w:type="paragraph" w:customStyle="1" w:styleId="TitleB">
    <w:name w:val="Title B"/>
    <w:basedOn w:val="Normal"/>
    <w:qFormat/>
    <w:rsid w:val="00196E72"/>
    <w:pPr>
      <w:keepNext/>
      <w:widowControl/>
      <w:tabs>
        <w:tab w:val="left" w:pos="567"/>
      </w:tabs>
      <w:ind w:left="567" w:hanging="567"/>
    </w:pPr>
    <w:rPr>
      <w:b/>
      <w:bCs/>
    </w:rPr>
  </w:style>
  <w:style w:type="paragraph" w:customStyle="1" w:styleId="lbltxt">
    <w:name w:val="lbltxt"/>
    <w:rsid w:val="00195D7E"/>
    <w:pPr>
      <w:tabs>
        <w:tab w:val="left" w:pos="567"/>
      </w:tabs>
      <w:ind w:left="567" w:hanging="567"/>
    </w:pPr>
    <w:rPr>
      <w:rFonts w:ascii="Times New Roman" w:eastAsia="Times New Roman" w:hAnsi="Times New Roman" w:cs="Times New Roman"/>
      <w:noProof/>
      <w:sz w:val="22"/>
      <w:lang w:val="en-GB" w:eastAsia="en-US"/>
    </w:rPr>
  </w:style>
  <w:style w:type="paragraph" w:customStyle="1" w:styleId="BULLETED">
    <w:name w:val="BULLETED"/>
    <w:basedOn w:val="ListParagraph"/>
    <w:rsid w:val="00C34F1D"/>
    <w:pPr>
      <w:numPr>
        <w:numId w:val="1"/>
      </w:numPr>
      <w:tabs>
        <w:tab w:val="left" w:pos="810"/>
      </w:tabs>
      <w:suppressAutoHyphens/>
      <w:adjustRightInd w:val="0"/>
      <w:spacing w:before="90" w:line="250" w:lineRule="atLeast"/>
      <w:contextualSpacing/>
      <w:textAlignment w:val="center"/>
    </w:pPr>
    <w:rPr>
      <w:rFonts w:eastAsia="Malgun Gothic"/>
      <w:color w:val="000000"/>
      <w:sz w:val="20"/>
      <w:szCs w:val="24"/>
      <w:lang w:val="en-US" w:eastAsia="ja-JP"/>
    </w:rPr>
  </w:style>
  <w:style w:type="paragraph" w:customStyle="1" w:styleId="SUBSTEP">
    <w:name w:val="SUB STEP"/>
    <w:basedOn w:val="Normal"/>
    <w:rsid w:val="00C34F1D"/>
    <w:pPr>
      <w:tabs>
        <w:tab w:val="left" w:pos="240"/>
        <w:tab w:val="left" w:pos="360"/>
        <w:tab w:val="left" w:pos="660"/>
        <w:tab w:val="left" w:pos="780"/>
      </w:tabs>
      <w:suppressAutoHyphens/>
      <w:adjustRightInd w:val="0"/>
      <w:spacing w:before="180" w:line="320" w:lineRule="atLeast"/>
      <w:ind w:left="-90" w:firstLine="90"/>
      <w:textAlignment w:val="center"/>
    </w:pPr>
    <w:rPr>
      <w:rFonts w:eastAsia="Malgun Gothic"/>
      <w:b/>
      <w:bCs/>
      <w:color w:val="000000"/>
      <w:szCs w:val="28"/>
      <w:lang w:val="en-US" w:eastAsia="ja-JP"/>
    </w:rPr>
  </w:style>
  <w:style w:type="paragraph" w:styleId="BalloonText">
    <w:name w:val="Balloon Text"/>
    <w:basedOn w:val="Normal"/>
    <w:link w:val="BalloonTextChar"/>
    <w:uiPriority w:val="99"/>
    <w:semiHidden/>
    <w:unhideWhenUsed/>
    <w:rsid w:val="00422C6B"/>
    <w:rPr>
      <w:rFonts w:ascii="Segoe UI" w:hAnsi="Segoe UI" w:cs="Segoe UI"/>
      <w:sz w:val="18"/>
      <w:szCs w:val="18"/>
    </w:rPr>
  </w:style>
  <w:style w:type="character" w:customStyle="1" w:styleId="BalloonTextChar">
    <w:name w:val="Balloon Text Char"/>
    <w:link w:val="BalloonText"/>
    <w:uiPriority w:val="99"/>
    <w:semiHidden/>
    <w:rsid w:val="00422C6B"/>
    <w:rPr>
      <w:rFonts w:ascii="Segoe UI" w:eastAsia="Times New Roman" w:hAnsi="Segoe UI" w:cs="Segoe UI"/>
      <w:sz w:val="18"/>
      <w:szCs w:val="18"/>
      <w:lang w:val="fr-FR"/>
    </w:rPr>
  </w:style>
  <w:style w:type="character" w:customStyle="1" w:styleId="UnresolvedMention2">
    <w:name w:val="Unresolved Mention2"/>
    <w:uiPriority w:val="99"/>
    <w:semiHidden/>
    <w:unhideWhenUsed/>
    <w:rsid w:val="006B0B12"/>
    <w:rPr>
      <w:color w:val="605E5C"/>
      <w:shd w:val="clear" w:color="auto" w:fill="E1DFDD"/>
    </w:rPr>
  </w:style>
  <w:style w:type="character" w:styleId="LineNumber">
    <w:name w:val="line number"/>
    <w:uiPriority w:val="99"/>
    <w:semiHidden/>
    <w:unhideWhenUsed/>
    <w:rsid w:val="002B65F7"/>
  </w:style>
  <w:style w:type="character" w:styleId="UnresolvedMention">
    <w:name w:val="Unresolved Mention"/>
    <w:uiPriority w:val="99"/>
    <w:semiHidden/>
    <w:unhideWhenUsed/>
    <w:rsid w:val="00E25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807883">
      <w:bodyDiv w:val="1"/>
      <w:marLeft w:val="0"/>
      <w:marRight w:val="0"/>
      <w:marTop w:val="0"/>
      <w:marBottom w:val="0"/>
      <w:divBdr>
        <w:top w:val="none" w:sz="0" w:space="0" w:color="auto"/>
        <w:left w:val="none" w:sz="0" w:space="0" w:color="auto"/>
        <w:bottom w:val="none" w:sz="0" w:space="0" w:color="auto"/>
        <w:right w:val="none" w:sz="0" w:space="0" w:color="auto"/>
      </w:divBdr>
    </w:div>
    <w:div w:id="1385134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https://www.ema.europa.eu/" TargetMode="External"/><Relationship Id="rId34" Type="http://schemas.openxmlformats.org/officeDocument/2006/relationships/image" Target="media/image11.jpeg"/><Relationship Id="rId42" Type="http://schemas.openxmlformats.org/officeDocument/2006/relationships/image" Target="media/image19.jpeg"/><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image" Target="media/image30.jpeg"/><Relationship Id="rId63"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9" Type="http://schemas.openxmlformats.org/officeDocument/2006/relationships/hyperlink" Target="https://www.ema.europa.eu/documents/template-form/qrd-appendix-v-adverse-drug-reaction-reporting-details_en.docx" TargetMode="External"/><Relationship Id="rId11" Type="http://schemas.openxmlformats.org/officeDocument/2006/relationships/hyperlink" Target="https://www.ema.europa.eu/" TargetMode="External"/><Relationship Id="rId24" Type="http://schemas.openxmlformats.org/officeDocument/2006/relationships/image" Target="media/image3.jpeg"/><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hyperlink" Target="https://www.ema.europa.eu/" TargetMode="External"/><Relationship Id="rId53" Type="http://schemas.openxmlformats.org/officeDocument/2006/relationships/image" Target="media/image28.jpeg"/><Relationship Id="rId58" Type="http://schemas.openxmlformats.org/officeDocument/2006/relationships/image" Target="media/image33.jpeg"/><Relationship Id="rId66" Type="http://schemas.openxmlformats.org/officeDocument/2006/relationships/customXml" Target="../customXml/item5.xml"/><Relationship Id="rId5" Type="http://schemas.openxmlformats.org/officeDocument/2006/relationships/webSettings" Target="webSettings.xml"/><Relationship Id="rId61" Type="http://schemas.microsoft.com/office/2011/relationships/people" Target="people.xml"/><Relationship Id="rId19" Type="http://schemas.openxmlformats.org/officeDocument/2006/relationships/image" Target="media/image2.jpeg"/><Relationship Id="rId14" Type="http://schemas.openxmlformats.org/officeDocument/2006/relationships/hyperlink" Target="https://www.ema.europa.eu/" TargetMode="External"/><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image" Target="media/image6.jpeg"/><Relationship Id="rId30" Type="http://schemas.openxmlformats.org/officeDocument/2006/relationships/hyperlink" Target="https://www.ema.europa.eu/" TargetMode="External"/><Relationship Id="rId35" Type="http://schemas.openxmlformats.org/officeDocument/2006/relationships/image" Target="media/image12.jpeg"/><Relationship Id="rId43" Type="http://schemas.openxmlformats.org/officeDocument/2006/relationships/image" Target="media/image20.jpeg"/><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customXml" Target="../customXml/item3.xml"/><Relationship Id="rId8" Type="http://schemas.openxmlformats.org/officeDocument/2006/relationships/hyperlink" Target="https://www.ema.europa.eu/en/medicines/human/EPAR/wezenla" TargetMode="External"/><Relationship Id="rId51" Type="http://schemas.openxmlformats.org/officeDocument/2006/relationships/image" Target="media/image26.jpeg"/><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image" Target="media/image4.jpeg"/><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image" Target="media/image21.jpeg"/><Relationship Id="rId59" Type="http://schemas.openxmlformats.org/officeDocument/2006/relationships/footer" Target="footer1.xml"/><Relationship Id="rId20" Type="http://schemas.openxmlformats.org/officeDocument/2006/relationships/hyperlink" Target="https://www.ema.europa.eu/documents/template-form/qrd-appendix-v-adverse-drug-reaction-reporting-details_en.docx" TargetMode="External"/><Relationship Id="rId41" Type="http://schemas.openxmlformats.org/officeDocument/2006/relationships/image" Target="media/image18.jpeg"/><Relationship Id="rId54" Type="http://schemas.openxmlformats.org/officeDocument/2006/relationships/image" Target="media/image29.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openxmlformats.org/officeDocument/2006/relationships/image" Target="media/image7.jpeg"/><Relationship Id="rId36" Type="http://schemas.openxmlformats.org/officeDocument/2006/relationships/image" Target="media/image13.jpeg"/><Relationship Id="rId49" Type="http://schemas.openxmlformats.org/officeDocument/2006/relationships/image" Target="media/image24.jpeg"/><Relationship Id="rId57" Type="http://schemas.openxmlformats.org/officeDocument/2006/relationships/image" Target="media/image32.jpeg"/><Relationship Id="rId10" Type="http://schemas.openxmlformats.org/officeDocument/2006/relationships/hyperlink" Target="https://www.ema.europa.eu/documents/template-form/qrd-appendix-v-adverse-drug-reaction-reporting-details_en.docx" TargetMode="External"/><Relationship Id="rId31" Type="http://schemas.openxmlformats.org/officeDocument/2006/relationships/image" Target="media/image8.jpeg"/><Relationship Id="rId44" Type="http://schemas.openxmlformats.org/officeDocument/2006/relationships/hyperlink" Target="https://www.ema.europa.eu/documents/template-form/qrd-appendix-v-adverse-drug-reaction-reporting-details_en.docx" TargetMode="External"/><Relationship Id="rId52" Type="http://schemas.openxmlformats.org/officeDocument/2006/relationships/image" Target="media/image27.jpeg"/><Relationship Id="rId60" Type="http://schemas.openxmlformats.org/officeDocument/2006/relationships/fontTable" Target="fontTable.xml"/><Relationship Id="rId65"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 TargetMode="External"/><Relationship Id="rId39"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EMADOC-1700519818-3281318</_dlc_DocId>
    <_dlc_DocIdUrl xmlns="a034c160-bfb7-45f5-8632-2eb7e0508071">
      <Url>https://euema.sharepoint.com/sites/CRM/_layouts/15/DocIdRedir.aspx?ID=EMADOC-1700519818-3281318</Url>
      <Description>EMADOC-1700519818-3281318</Description>
    </_dlc_DocIdUrl>
  </documentManagement>
</p:properties>
</file>

<file path=customXml/itemProps1.xml><?xml version="1.0" encoding="utf-8"?>
<ds:datastoreItem xmlns:ds="http://schemas.openxmlformats.org/officeDocument/2006/customXml" ds:itemID="{6821B16C-7A24-4598-9A2A-C27B6576743B}">
  <ds:schemaRefs>
    <ds:schemaRef ds:uri="http://schemas.openxmlformats.org/officeDocument/2006/bibliography"/>
  </ds:schemaRefs>
</ds:datastoreItem>
</file>

<file path=customXml/itemProps2.xml><?xml version="1.0" encoding="utf-8"?>
<ds:datastoreItem xmlns:ds="http://schemas.openxmlformats.org/officeDocument/2006/customXml" ds:itemID="{FF5FF519-8A1C-46CF-938F-A555049A9344}"/>
</file>

<file path=customXml/itemProps3.xml><?xml version="1.0" encoding="utf-8"?>
<ds:datastoreItem xmlns:ds="http://schemas.openxmlformats.org/officeDocument/2006/customXml" ds:itemID="{829003D3-7217-4171-9D6F-B181B7F7BF27}"/>
</file>

<file path=customXml/itemProps4.xml><?xml version="1.0" encoding="utf-8"?>
<ds:datastoreItem xmlns:ds="http://schemas.openxmlformats.org/officeDocument/2006/customXml" ds:itemID="{2D1C1999-FF00-463F-97E3-EC1F3497AB7B}"/>
</file>

<file path=customXml/itemProps5.xml><?xml version="1.0" encoding="utf-8"?>
<ds:datastoreItem xmlns:ds="http://schemas.openxmlformats.org/officeDocument/2006/customXml" ds:itemID="{A93C20F4-35E8-41A7-A61D-3F5BEDBD8D1E}"/>
</file>

<file path=docProps/app.xml><?xml version="1.0" encoding="utf-8"?>
<Properties xmlns="http://schemas.openxmlformats.org/officeDocument/2006/extended-properties" xmlns:vt="http://schemas.openxmlformats.org/officeDocument/2006/docPropsVTypes">
  <Template>Normal.dotm</Template>
  <TotalTime>0</TotalTime>
  <Pages>158</Pages>
  <Words>56689</Words>
  <Characters>323132</Characters>
  <Application>Microsoft Office Word</Application>
  <DocSecurity>0</DocSecurity>
  <Lines>2692</Lines>
  <Paragraphs>758</Paragraphs>
  <ScaleCrop>false</ScaleCrop>
  <Company/>
  <LinksUpToDate>false</LinksUpToDate>
  <CharactersWithSpaces>379063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Wezenla : EPAR – Product information – tracked changes</dc:title>
  <dc:subject/>
  <dc:creator/>
  <cp:keywords/>
  <dc:description/>
  <cp:lastModifiedBy/>
  <cp:revision>1</cp:revision>
  <dcterms:created xsi:type="dcterms:W3CDTF">2026-05-20T10:14:00Z</dcterms:created>
  <dcterms:modified xsi:type="dcterms:W3CDTF">2026-05-20T10:14:00Z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15dab141-2a52-4330-8fde-681b60df39f0</vt:lpwstr>
  </property>
</Properties>
</file>