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1" w:type="dxa"/>
        <w:tblLook w:val="04A0" w:firstRow="1" w:lastRow="0" w:firstColumn="1" w:lastColumn="0" w:noHBand="0" w:noVBand="1"/>
      </w:tblPr>
      <w:tblGrid>
        <w:gridCol w:w="9181"/>
      </w:tblGrid>
      <w:tr w:rsidR="007B697A" w14:paraId="15BE035F" w14:textId="77777777" w:rsidTr="00981664">
        <w:trPr>
          <w:trHeight w:val="1572"/>
        </w:trPr>
        <w:tc>
          <w:tcPr>
            <w:tcW w:w="9181" w:type="dxa"/>
          </w:tcPr>
          <w:p w14:paraId="4DD8ED74" w14:textId="0BA541B8" w:rsidR="007B697A" w:rsidRPr="007B697A" w:rsidRDefault="007B697A" w:rsidP="007B697A">
            <w:pPr>
              <w:pStyle w:val="BodyText"/>
              <w:widowControl/>
              <w:tabs>
                <w:tab w:val="left" w:pos="1575"/>
              </w:tabs>
              <w:rPr>
                <w:rFonts w:asciiTheme="majorBidi" w:hAnsiTheme="majorBidi" w:cstheme="majorBidi"/>
                <w:lang w:val="pl-PL"/>
              </w:rPr>
            </w:pPr>
            <w:r w:rsidRPr="007B697A">
              <w:rPr>
                <w:rFonts w:asciiTheme="majorBidi" w:hAnsiTheme="majorBidi" w:cstheme="majorBidi"/>
                <w:lang w:val="pl-PL"/>
              </w:rPr>
              <w:t xml:space="preserve">Ovaj dokument sadrži odobrene informacije o lijeku za </w:t>
            </w:r>
            <w:r w:rsidR="00CD3869">
              <w:rPr>
                <w:rFonts w:asciiTheme="majorBidi" w:hAnsiTheme="majorBidi" w:cstheme="majorBidi"/>
                <w:lang w:val="pl-PL"/>
              </w:rPr>
              <w:t>Dasatinib</w:t>
            </w:r>
            <w:r w:rsidRPr="007B697A">
              <w:rPr>
                <w:rFonts w:asciiTheme="majorBidi" w:hAnsiTheme="majorBidi" w:cstheme="majorBidi"/>
                <w:lang w:val="pl-PL"/>
              </w:rPr>
              <w:t xml:space="preserve"> </w:t>
            </w:r>
            <w:r w:rsidRPr="007B697A">
              <w:rPr>
                <w:rFonts w:asciiTheme="majorBidi" w:hAnsiTheme="majorBidi" w:cstheme="majorBidi"/>
              </w:rPr>
              <w:t>Accord</w:t>
            </w:r>
            <w:r w:rsidR="00795008">
              <w:rPr>
                <w:rFonts w:asciiTheme="majorBidi" w:hAnsiTheme="majorBidi" w:cstheme="majorBidi"/>
              </w:rPr>
              <w:t xml:space="preserve"> Healthcare</w:t>
            </w:r>
            <w:r w:rsidRPr="007B697A">
              <w:rPr>
                <w:rFonts w:asciiTheme="majorBidi" w:hAnsiTheme="majorBidi" w:cstheme="majorBidi"/>
                <w:lang w:val="pl-PL"/>
              </w:rPr>
              <w:t>, s istaknutim promjenama u odnosu na prethodni postupak koje utječu na informacije o lijeku (</w:t>
            </w:r>
            <w:r w:rsidR="00CD3869" w:rsidRPr="004D6FA3">
              <w:rPr>
                <w:bCs/>
              </w:rPr>
              <w:t>EMA/VR/0000288694</w:t>
            </w:r>
            <w:r w:rsidRPr="007B697A">
              <w:rPr>
                <w:rFonts w:asciiTheme="majorBidi" w:hAnsiTheme="majorBidi" w:cstheme="majorBidi"/>
                <w:lang w:val="pl-PL"/>
              </w:rPr>
              <w:t>).</w:t>
            </w:r>
          </w:p>
          <w:p w14:paraId="161A5E33" w14:textId="77777777" w:rsidR="007B697A" w:rsidRPr="007B697A" w:rsidRDefault="007B697A" w:rsidP="007B697A">
            <w:pPr>
              <w:pStyle w:val="BodyText"/>
              <w:tabs>
                <w:tab w:val="left" w:pos="1575"/>
              </w:tabs>
              <w:rPr>
                <w:rFonts w:asciiTheme="majorBidi" w:hAnsiTheme="majorBidi" w:cstheme="majorBidi"/>
                <w:lang w:val="pl-PL"/>
              </w:rPr>
            </w:pPr>
          </w:p>
          <w:p w14:paraId="0C9C82F4" w14:textId="77777777" w:rsidR="007B697A" w:rsidRPr="007B697A" w:rsidRDefault="007B697A" w:rsidP="007B697A">
            <w:pPr>
              <w:pStyle w:val="BodyText"/>
              <w:tabs>
                <w:tab w:val="left" w:pos="1575"/>
              </w:tabs>
              <w:rPr>
                <w:rFonts w:asciiTheme="majorBidi" w:hAnsiTheme="majorBidi" w:cstheme="majorBidi"/>
                <w:lang w:val="nl-NL"/>
              </w:rPr>
            </w:pPr>
            <w:r w:rsidRPr="007B697A">
              <w:rPr>
                <w:rFonts w:asciiTheme="majorBidi" w:hAnsiTheme="majorBidi" w:cstheme="majorBidi"/>
                <w:lang w:val="nl-NL"/>
              </w:rPr>
              <w:t xml:space="preserve">Više informacija dostupno je na mrežnom mjestu Europske agencije za lijekove: </w:t>
            </w:r>
          </w:p>
          <w:p w14:paraId="267947A3" w14:textId="209DA257" w:rsidR="007B697A" w:rsidRDefault="00795008" w:rsidP="007B697A">
            <w:pPr>
              <w:pStyle w:val="BodyText"/>
              <w:widowControl/>
              <w:tabs>
                <w:tab w:val="left" w:pos="1575"/>
              </w:tabs>
              <w:rPr>
                <w:rFonts w:asciiTheme="majorBidi" w:hAnsiTheme="majorBidi" w:cstheme="majorBidi"/>
                <w:szCs w:val="22"/>
              </w:rPr>
            </w:pPr>
            <w:r w:rsidRPr="00111D63">
              <w:rPr>
                <w:rStyle w:val="Hyperlink"/>
              </w:rPr>
              <w:t>https://www.ema.europa.eu/en/medicines/human/EPAR/dasatinib-accord-healthcare</w:t>
            </w:r>
          </w:p>
        </w:tc>
      </w:tr>
    </w:tbl>
    <w:p w14:paraId="3940A2A0" w14:textId="7E089B3F" w:rsidR="00FB3468" w:rsidRDefault="00FB3468" w:rsidP="00F25CE6">
      <w:pPr>
        <w:pStyle w:val="BodyText"/>
        <w:widowControl/>
        <w:rPr>
          <w:rFonts w:asciiTheme="majorBidi" w:hAnsiTheme="majorBidi" w:cstheme="majorBidi"/>
          <w:szCs w:val="22"/>
        </w:rPr>
      </w:pPr>
    </w:p>
    <w:p w14:paraId="2B38A9B0" w14:textId="28C3552B" w:rsidR="00364B53" w:rsidRDefault="00364B53" w:rsidP="00F25CE6">
      <w:pPr>
        <w:pStyle w:val="BodyText"/>
        <w:widowControl/>
        <w:rPr>
          <w:rFonts w:asciiTheme="majorBidi" w:hAnsiTheme="majorBidi" w:cstheme="majorBidi"/>
          <w:szCs w:val="22"/>
        </w:rPr>
      </w:pPr>
    </w:p>
    <w:p w14:paraId="68A72318" w14:textId="4B3EB5C8" w:rsidR="00364B53" w:rsidRDefault="00364B53" w:rsidP="00F25CE6">
      <w:pPr>
        <w:pStyle w:val="BodyText"/>
        <w:widowControl/>
        <w:rPr>
          <w:rFonts w:asciiTheme="majorBidi" w:hAnsiTheme="majorBidi" w:cstheme="majorBidi"/>
          <w:szCs w:val="22"/>
        </w:rPr>
      </w:pPr>
    </w:p>
    <w:p w14:paraId="3FD086E9" w14:textId="1F231A3E" w:rsidR="00364B53" w:rsidRDefault="00364B53" w:rsidP="00F25CE6">
      <w:pPr>
        <w:pStyle w:val="BodyText"/>
        <w:widowControl/>
        <w:rPr>
          <w:rFonts w:asciiTheme="majorBidi" w:hAnsiTheme="majorBidi" w:cstheme="majorBidi"/>
          <w:szCs w:val="22"/>
        </w:rPr>
      </w:pPr>
    </w:p>
    <w:p w14:paraId="20B2716D" w14:textId="77777777" w:rsidR="00364B53" w:rsidRPr="00F25CE6" w:rsidRDefault="00364B53" w:rsidP="00F25CE6">
      <w:pPr>
        <w:pStyle w:val="BodyText"/>
        <w:widowControl/>
        <w:rPr>
          <w:rFonts w:asciiTheme="majorBidi" w:hAnsiTheme="majorBidi" w:cstheme="majorBidi"/>
          <w:szCs w:val="22"/>
        </w:rPr>
      </w:pPr>
    </w:p>
    <w:p w14:paraId="7C66CF43" w14:textId="77777777" w:rsidR="00AF7ABC" w:rsidRPr="00F25CE6" w:rsidRDefault="00AF7ABC" w:rsidP="00F25CE6">
      <w:pPr>
        <w:pStyle w:val="BodyText"/>
        <w:widowControl/>
        <w:rPr>
          <w:rFonts w:asciiTheme="majorBidi" w:hAnsiTheme="majorBidi" w:cstheme="majorBidi"/>
          <w:szCs w:val="22"/>
        </w:rPr>
      </w:pPr>
    </w:p>
    <w:p w14:paraId="0F2A383A" w14:textId="77777777" w:rsidR="00AF7ABC" w:rsidRPr="00F25CE6" w:rsidRDefault="00AF7ABC" w:rsidP="00F25CE6">
      <w:pPr>
        <w:pStyle w:val="BodyText"/>
        <w:widowControl/>
        <w:rPr>
          <w:rFonts w:asciiTheme="majorBidi" w:hAnsiTheme="majorBidi" w:cstheme="majorBidi"/>
          <w:szCs w:val="22"/>
        </w:rPr>
      </w:pPr>
    </w:p>
    <w:p w14:paraId="61BBB859" w14:textId="77777777" w:rsidR="00AF7ABC" w:rsidRPr="00F25CE6" w:rsidRDefault="00AF7ABC" w:rsidP="00F25CE6">
      <w:pPr>
        <w:pStyle w:val="BodyText"/>
        <w:widowControl/>
        <w:rPr>
          <w:rFonts w:asciiTheme="majorBidi" w:hAnsiTheme="majorBidi" w:cstheme="majorBidi"/>
          <w:szCs w:val="22"/>
        </w:rPr>
      </w:pPr>
    </w:p>
    <w:p w14:paraId="799C1FC5" w14:textId="77777777" w:rsidR="00AF7ABC" w:rsidRPr="00F25CE6" w:rsidRDefault="00AF7ABC" w:rsidP="00F25CE6">
      <w:pPr>
        <w:pStyle w:val="BodyText"/>
        <w:widowControl/>
        <w:rPr>
          <w:rFonts w:asciiTheme="majorBidi" w:hAnsiTheme="majorBidi" w:cstheme="majorBidi"/>
          <w:szCs w:val="22"/>
        </w:rPr>
      </w:pPr>
    </w:p>
    <w:p w14:paraId="757BC8EA" w14:textId="77777777" w:rsidR="00AF7ABC" w:rsidRPr="00F25CE6" w:rsidRDefault="00AF7ABC" w:rsidP="00F25CE6">
      <w:pPr>
        <w:pStyle w:val="BodyText"/>
        <w:widowControl/>
        <w:rPr>
          <w:rFonts w:asciiTheme="majorBidi" w:hAnsiTheme="majorBidi" w:cstheme="majorBidi"/>
          <w:szCs w:val="22"/>
        </w:rPr>
      </w:pPr>
    </w:p>
    <w:p w14:paraId="28D7BF0E" w14:textId="77777777" w:rsidR="00AF7ABC" w:rsidRPr="00F25CE6" w:rsidRDefault="00AF7ABC" w:rsidP="00F25CE6">
      <w:pPr>
        <w:pStyle w:val="BodyText"/>
        <w:widowControl/>
        <w:rPr>
          <w:rFonts w:asciiTheme="majorBidi" w:hAnsiTheme="majorBidi" w:cstheme="majorBidi"/>
          <w:szCs w:val="22"/>
        </w:rPr>
      </w:pPr>
    </w:p>
    <w:p w14:paraId="77C95446" w14:textId="77777777" w:rsidR="00AF7ABC" w:rsidRPr="00F25CE6" w:rsidRDefault="00AF7ABC" w:rsidP="00F25CE6">
      <w:pPr>
        <w:pStyle w:val="BodyText"/>
        <w:widowControl/>
        <w:rPr>
          <w:rFonts w:asciiTheme="majorBidi" w:hAnsiTheme="majorBidi" w:cstheme="majorBidi"/>
          <w:szCs w:val="22"/>
        </w:rPr>
      </w:pPr>
    </w:p>
    <w:p w14:paraId="01B2F99E" w14:textId="77777777" w:rsidR="00AF7ABC" w:rsidRPr="00F25CE6" w:rsidRDefault="00AF7ABC" w:rsidP="00F25CE6">
      <w:pPr>
        <w:pStyle w:val="BodyText"/>
        <w:widowControl/>
        <w:rPr>
          <w:rFonts w:asciiTheme="majorBidi" w:hAnsiTheme="majorBidi" w:cstheme="majorBidi"/>
          <w:szCs w:val="22"/>
        </w:rPr>
      </w:pPr>
    </w:p>
    <w:p w14:paraId="4A1EE35C" w14:textId="77777777" w:rsidR="00AF7ABC" w:rsidRPr="00F25CE6" w:rsidRDefault="00AF7ABC" w:rsidP="00F25CE6">
      <w:pPr>
        <w:pStyle w:val="BodyText"/>
        <w:widowControl/>
        <w:rPr>
          <w:rFonts w:asciiTheme="majorBidi" w:hAnsiTheme="majorBidi" w:cstheme="majorBidi"/>
          <w:szCs w:val="22"/>
        </w:rPr>
      </w:pPr>
    </w:p>
    <w:p w14:paraId="1E052CC6" w14:textId="77777777" w:rsidR="00AF7ABC" w:rsidRPr="00F25CE6" w:rsidRDefault="00AF7ABC" w:rsidP="00F25CE6">
      <w:pPr>
        <w:pStyle w:val="BodyText"/>
        <w:widowControl/>
        <w:rPr>
          <w:rFonts w:asciiTheme="majorBidi" w:hAnsiTheme="majorBidi" w:cstheme="majorBidi"/>
          <w:szCs w:val="22"/>
        </w:rPr>
      </w:pPr>
    </w:p>
    <w:p w14:paraId="47936512" w14:textId="77777777" w:rsidR="00AF7ABC" w:rsidRPr="00F25CE6" w:rsidRDefault="00AF7ABC" w:rsidP="00F25CE6">
      <w:pPr>
        <w:pStyle w:val="BodyText"/>
        <w:widowControl/>
        <w:rPr>
          <w:rFonts w:asciiTheme="majorBidi" w:hAnsiTheme="majorBidi" w:cstheme="majorBidi"/>
          <w:szCs w:val="22"/>
        </w:rPr>
      </w:pPr>
    </w:p>
    <w:p w14:paraId="7C9945C4" w14:textId="77777777" w:rsidR="00AF7ABC" w:rsidRPr="00F25CE6" w:rsidRDefault="00AF7ABC" w:rsidP="00F25CE6">
      <w:pPr>
        <w:pStyle w:val="BodyText"/>
        <w:widowControl/>
        <w:rPr>
          <w:rFonts w:asciiTheme="majorBidi" w:hAnsiTheme="majorBidi" w:cstheme="majorBidi"/>
          <w:szCs w:val="22"/>
        </w:rPr>
      </w:pPr>
    </w:p>
    <w:p w14:paraId="42233381" w14:textId="77777777" w:rsidR="006B5AE9" w:rsidRDefault="006B5AE9" w:rsidP="00503528">
      <w:pPr>
        <w:pStyle w:val="BodyText"/>
        <w:jc w:val="center"/>
        <w:rPr>
          <w:b/>
          <w:bCs/>
          <w:szCs w:val="22"/>
        </w:rPr>
      </w:pPr>
      <w:bookmarkStart w:id="0" w:name="SAŽETAK_OPISA_SVOJSTAVA_LIJEKA"/>
      <w:bookmarkEnd w:id="0"/>
    </w:p>
    <w:p w14:paraId="5B7BA597" w14:textId="77777777" w:rsidR="006B5AE9" w:rsidRDefault="006B5AE9" w:rsidP="00503528">
      <w:pPr>
        <w:pStyle w:val="BodyText"/>
        <w:jc w:val="center"/>
        <w:rPr>
          <w:b/>
          <w:bCs/>
          <w:szCs w:val="22"/>
        </w:rPr>
      </w:pPr>
    </w:p>
    <w:p w14:paraId="318C87DE" w14:textId="77777777" w:rsidR="006B5AE9" w:rsidRDefault="006B5AE9" w:rsidP="00503528">
      <w:pPr>
        <w:pStyle w:val="BodyText"/>
        <w:jc w:val="center"/>
        <w:rPr>
          <w:b/>
          <w:bCs/>
          <w:szCs w:val="22"/>
        </w:rPr>
      </w:pPr>
    </w:p>
    <w:p w14:paraId="77452CB5" w14:textId="77777777" w:rsidR="006B5AE9" w:rsidRDefault="006B5AE9" w:rsidP="00503528">
      <w:pPr>
        <w:pStyle w:val="BodyText"/>
        <w:jc w:val="center"/>
        <w:rPr>
          <w:b/>
          <w:bCs/>
          <w:szCs w:val="22"/>
        </w:rPr>
      </w:pPr>
    </w:p>
    <w:p w14:paraId="33D10C86" w14:textId="77777777" w:rsidR="006B5AE9" w:rsidRDefault="006B5AE9" w:rsidP="00503528">
      <w:pPr>
        <w:pStyle w:val="BodyText"/>
        <w:jc w:val="center"/>
        <w:rPr>
          <w:b/>
          <w:bCs/>
          <w:szCs w:val="22"/>
        </w:rPr>
      </w:pPr>
    </w:p>
    <w:p w14:paraId="1F16756E" w14:textId="77777777" w:rsidR="00AF7ABC" w:rsidRPr="00503528" w:rsidRDefault="00422138" w:rsidP="00503528">
      <w:pPr>
        <w:pStyle w:val="BodyText"/>
        <w:jc w:val="center"/>
        <w:rPr>
          <w:b/>
          <w:bCs/>
          <w:szCs w:val="22"/>
        </w:rPr>
      </w:pPr>
      <w:r w:rsidRPr="00503528">
        <w:rPr>
          <w:b/>
          <w:bCs/>
          <w:szCs w:val="22"/>
        </w:rPr>
        <w:t>PRILOG I.</w:t>
      </w:r>
    </w:p>
    <w:p w14:paraId="3BA3AEF0" w14:textId="77777777" w:rsidR="00AF7ABC" w:rsidRPr="00F25CE6" w:rsidRDefault="00AF7ABC" w:rsidP="00F25CE6">
      <w:pPr>
        <w:pStyle w:val="BodyText"/>
        <w:widowControl/>
        <w:rPr>
          <w:rFonts w:asciiTheme="majorBidi" w:hAnsiTheme="majorBidi" w:cstheme="majorBidi"/>
          <w:b/>
          <w:szCs w:val="22"/>
        </w:rPr>
      </w:pPr>
    </w:p>
    <w:p w14:paraId="117B0CF3" w14:textId="77777777" w:rsidR="00AF7ABC" w:rsidRPr="00F25CE6" w:rsidRDefault="00422138" w:rsidP="00F25CE6">
      <w:pPr>
        <w:widowControl/>
        <w:jc w:val="center"/>
        <w:rPr>
          <w:rFonts w:asciiTheme="majorBidi" w:hAnsiTheme="majorBidi" w:cstheme="majorBidi"/>
          <w:b/>
        </w:rPr>
      </w:pPr>
      <w:r w:rsidRPr="00F25CE6">
        <w:rPr>
          <w:rFonts w:asciiTheme="majorBidi" w:hAnsiTheme="majorBidi" w:cstheme="majorBidi"/>
          <w:b/>
        </w:rPr>
        <w:t>SAŽETAK OPISA SVOJSTAVA LIJEKA</w:t>
      </w:r>
    </w:p>
    <w:p w14:paraId="38AC7F00" w14:textId="77777777" w:rsidR="00A15E8A" w:rsidRPr="00F25CE6" w:rsidRDefault="00A15E8A" w:rsidP="00F25CE6">
      <w:pPr>
        <w:widowControl/>
        <w:jc w:val="center"/>
        <w:rPr>
          <w:rFonts w:asciiTheme="majorBidi" w:hAnsiTheme="majorBidi" w:cstheme="majorBidi"/>
        </w:rPr>
      </w:pPr>
    </w:p>
    <w:p w14:paraId="4C90E9BB" w14:textId="77777777" w:rsidR="00AF7ABC" w:rsidRPr="00F25CE6" w:rsidRDefault="00422138" w:rsidP="00503528">
      <w:pPr>
        <w:pStyle w:val="Heading1"/>
        <w:pageBreakBefore/>
      </w:pPr>
      <w:r w:rsidRPr="00F25CE6">
        <w:lastRenderedPageBreak/>
        <w:t>NAZIV LIJEKA</w:t>
      </w:r>
    </w:p>
    <w:p w14:paraId="6E6396C1" w14:textId="77777777" w:rsidR="00AF7ABC" w:rsidRPr="00F25CE6" w:rsidRDefault="00AF7ABC" w:rsidP="00F25CE6">
      <w:pPr>
        <w:pStyle w:val="BodyText"/>
        <w:widowControl/>
        <w:rPr>
          <w:rFonts w:asciiTheme="majorBidi" w:hAnsiTheme="majorBidi" w:cstheme="majorBidi"/>
          <w:b/>
          <w:szCs w:val="22"/>
        </w:rPr>
      </w:pPr>
    </w:p>
    <w:p w14:paraId="7D9B528F" w14:textId="620CCB25" w:rsid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20 mg filmom obložene tablete</w:t>
      </w:r>
    </w:p>
    <w:p w14:paraId="4ABB403E" w14:textId="1FDA3990" w:rsid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50 mg filmom obložene tablete</w:t>
      </w:r>
    </w:p>
    <w:p w14:paraId="0C9C73F3" w14:textId="11DF0B1A" w:rsid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70 mg filmom obložene tablete</w:t>
      </w:r>
    </w:p>
    <w:p w14:paraId="6918FA8E" w14:textId="34B9AA5B" w:rsid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80 mg filmom obložene tablete</w:t>
      </w:r>
    </w:p>
    <w:p w14:paraId="7E510C26" w14:textId="51C92A97" w:rsid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100 mg filmom obložene tablete</w:t>
      </w:r>
    </w:p>
    <w:p w14:paraId="064C0399" w14:textId="2D73D246"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140 mg filmom obložene tablete</w:t>
      </w:r>
    </w:p>
    <w:p w14:paraId="2D32A660" w14:textId="77777777" w:rsidR="00AF7ABC" w:rsidRPr="00F25CE6" w:rsidRDefault="00AF7ABC" w:rsidP="00F25CE6">
      <w:pPr>
        <w:pStyle w:val="BodyText"/>
        <w:widowControl/>
        <w:rPr>
          <w:rFonts w:asciiTheme="majorBidi" w:hAnsiTheme="majorBidi" w:cstheme="majorBidi"/>
          <w:szCs w:val="22"/>
        </w:rPr>
      </w:pPr>
    </w:p>
    <w:p w14:paraId="0B2587A5" w14:textId="77777777" w:rsidR="00AF7ABC" w:rsidRPr="00F25CE6" w:rsidRDefault="00AF7ABC" w:rsidP="00F25CE6">
      <w:pPr>
        <w:pStyle w:val="BodyText"/>
        <w:widowControl/>
        <w:rPr>
          <w:rFonts w:asciiTheme="majorBidi" w:hAnsiTheme="majorBidi" w:cstheme="majorBidi"/>
          <w:szCs w:val="22"/>
        </w:rPr>
      </w:pPr>
    </w:p>
    <w:p w14:paraId="39D18575" w14:textId="77777777" w:rsidR="00AF7ABC" w:rsidRPr="00F25CE6" w:rsidRDefault="00422138" w:rsidP="00503528">
      <w:pPr>
        <w:pStyle w:val="Heading1"/>
      </w:pPr>
      <w:r w:rsidRPr="00F25CE6">
        <w:t>KVALITATIVNI I KVANTITATIVNI SASTAV</w:t>
      </w:r>
    </w:p>
    <w:p w14:paraId="35F99C0B" w14:textId="77777777" w:rsidR="00AF7ABC" w:rsidRPr="00F25CE6" w:rsidRDefault="00AF7ABC" w:rsidP="00F25CE6">
      <w:pPr>
        <w:pStyle w:val="BodyText"/>
        <w:widowControl/>
        <w:rPr>
          <w:rFonts w:asciiTheme="majorBidi" w:hAnsiTheme="majorBidi" w:cstheme="majorBidi"/>
          <w:b/>
          <w:szCs w:val="22"/>
        </w:rPr>
      </w:pPr>
    </w:p>
    <w:p w14:paraId="43E410DC" w14:textId="4F56A517"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20 mg filmom obložene tablete</w:t>
      </w:r>
    </w:p>
    <w:p w14:paraId="1F67B0F9" w14:textId="48590FC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D7766F">
        <w:rPr>
          <w:rFonts w:asciiTheme="majorBidi" w:hAnsiTheme="majorBidi" w:cstheme="majorBidi"/>
          <w:szCs w:val="22"/>
        </w:rPr>
        <w:t>dasatinib</w:t>
      </w:r>
      <w:r w:rsidR="00714762">
        <w:rPr>
          <w:rFonts w:asciiTheme="majorBidi" w:hAnsiTheme="majorBidi" w:cstheme="majorBidi"/>
          <w:szCs w:val="22"/>
        </w:rPr>
        <w:t xml:space="preserve"> </w:t>
      </w:r>
      <w:r w:rsidR="00D7766F">
        <w:rPr>
          <w:rFonts w:asciiTheme="majorBidi" w:hAnsiTheme="majorBidi" w:cstheme="majorBidi"/>
          <w:szCs w:val="22"/>
        </w:rPr>
        <w:t>hidrat u količini</w:t>
      </w:r>
      <w:r w:rsidR="00920FD5">
        <w:rPr>
          <w:rFonts w:asciiTheme="majorBidi" w:hAnsiTheme="majorBidi" w:cstheme="majorBidi"/>
          <w:szCs w:val="22"/>
        </w:rPr>
        <w:t xml:space="preserve"> koja odgovara</w:t>
      </w:r>
      <w:r w:rsidR="00D7766F">
        <w:rPr>
          <w:rFonts w:asciiTheme="majorBidi" w:hAnsiTheme="majorBidi" w:cstheme="majorBidi"/>
          <w:szCs w:val="22"/>
        </w:rPr>
        <w:t xml:space="preserve"> </w:t>
      </w:r>
      <w:r w:rsidRPr="00F25CE6">
        <w:rPr>
          <w:rFonts w:asciiTheme="majorBidi" w:hAnsiTheme="majorBidi" w:cstheme="majorBidi"/>
          <w:szCs w:val="22"/>
        </w:rPr>
        <w:t>20 mg dasatiniba.</w:t>
      </w:r>
    </w:p>
    <w:p w14:paraId="67FD0D42" w14:textId="77777777" w:rsidR="00AF7ABC" w:rsidRPr="00F25CE6" w:rsidRDefault="00AF7ABC" w:rsidP="00F25CE6">
      <w:pPr>
        <w:pStyle w:val="BodyText"/>
        <w:widowControl/>
        <w:rPr>
          <w:rFonts w:asciiTheme="majorBidi" w:hAnsiTheme="majorBidi" w:cstheme="majorBidi"/>
          <w:szCs w:val="22"/>
        </w:rPr>
      </w:pPr>
    </w:p>
    <w:p w14:paraId="71F27DC8"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7ED05591" w14:textId="561BA2D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Jedna filmom obložena tableta sadrž</w:t>
      </w:r>
      <w:r w:rsidR="004554D4">
        <w:rPr>
          <w:rFonts w:asciiTheme="majorBidi" w:hAnsiTheme="majorBidi" w:cstheme="majorBidi"/>
          <w:szCs w:val="22"/>
        </w:rPr>
        <w:t>i oko 25 mg laktoze</w:t>
      </w:r>
      <w:r w:rsidRPr="00F25CE6">
        <w:rPr>
          <w:rFonts w:asciiTheme="majorBidi" w:hAnsiTheme="majorBidi" w:cstheme="majorBidi"/>
          <w:szCs w:val="22"/>
        </w:rPr>
        <w:t>.</w:t>
      </w:r>
    </w:p>
    <w:p w14:paraId="196F9BE1" w14:textId="77777777" w:rsidR="00AF7ABC" w:rsidRPr="00F25CE6" w:rsidRDefault="00AF7ABC" w:rsidP="00F25CE6">
      <w:pPr>
        <w:pStyle w:val="BodyText"/>
        <w:widowControl/>
        <w:rPr>
          <w:rFonts w:asciiTheme="majorBidi" w:hAnsiTheme="majorBidi" w:cstheme="majorBidi"/>
          <w:szCs w:val="22"/>
        </w:rPr>
      </w:pPr>
    </w:p>
    <w:p w14:paraId="69BBD87C" w14:textId="7D43421C"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50 mg filmom obložene tablete</w:t>
      </w:r>
    </w:p>
    <w:p w14:paraId="666CED67" w14:textId="1BBEA9A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4554D4">
        <w:rPr>
          <w:rFonts w:asciiTheme="majorBidi" w:hAnsiTheme="majorBidi" w:cstheme="majorBidi"/>
          <w:szCs w:val="22"/>
        </w:rPr>
        <w:t>dasatinib</w:t>
      </w:r>
      <w:r w:rsidR="00714762">
        <w:rPr>
          <w:rFonts w:asciiTheme="majorBidi" w:hAnsiTheme="majorBidi" w:cstheme="majorBidi"/>
          <w:szCs w:val="22"/>
        </w:rPr>
        <w:t xml:space="preserve"> </w:t>
      </w:r>
      <w:r w:rsidR="004554D4">
        <w:rPr>
          <w:rFonts w:asciiTheme="majorBidi" w:hAnsiTheme="majorBidi" w:cstheme="majorBidi"/>
          <w:szCs w:val="22"/>
        </w:rPr>
        <w:t xml:space="preserve">hidrat u količini </w:t>
      </w:r>
      <w:r w:rsidR="00920FD5">
        <w:rPr>
          <w:rFonts w:asciiTheme="majorBidi" w:hAnsiTheme="majorBidi" w:cstheme="majorBidi"/>
          <w:szCs w:val="22"/>
        </w:rPr>
        <w:t xml:space="preserve">koja odgovara </w:t>
      </w:r>
      <w:r w:rsidRPr="00F25CE6">
        <w:rPr>
          <w:rFonts w:asciiTheme="majorBidi" w:hAnsiTheme="majorBidi" w:cstheme="majorBidi"/>
          <w:szCs w:val="22"/>
        </w:rPr>
        <w:t>50 mg dasatiniba.</w:t>
      </w:r>
    </w:p>
    <w:p w14:paraId="7BDC78E2" w14:textId="77777777" w:rsidR="00AF7ABC" w:rsidRPr="00F25CE6" w:rsidRDefault="00AF7ABC" w:rsidP="00F25CE6">
      <w:pPr>
        <w:pStyle w:val="BodyText"/>
        <w:widowControl/>
        <w:rPr>
          <w:rFonts w:asciiTheme="majorBidi" w:hAnsiTheme="majorBidi" w:cstheme="majorBidi"/>
          <w:szCs w:val="22"/>
        </w:rPr>
      </w:pPr>
    </w:p>
    <w:p w14:paraId="54166897"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7AB757AC" w14:textId="3B6F262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8277BE">
        <w:rPr>
          <w:rFonts w:asciiTheme="majorBidi" w:hAnsiTheme="majorBidi" w:cstheme="majorBidi"/>
          <w:szCs w:val="22"/>
        </w:rPr>
        <w:t>oko 62 mg laktoze</w:t>
      </w:r>
      <w:r w:rsidRPr="00F25CE6">
        <w:rPr>
          <w:rFonts w:asciiTheme="majorBidi" w:hAnsiTheme="majorBidi" w:cstheme="majorBidi"/>
          <w:szCs w:val="22"/>
        </w:rPr>
        <w:t>.</w:t>
      </w:r>
    </w:p>
    <w:p w14:paraId="66AB541F" w14:textId="77777777" w:rsidR="00AF7ABC" w:rsidRPr="00F25CE6" w:rsidRDefault="00AF7ABC" w:rsidP="00F25CE6">
      <w:pPr>
        <w:pStyle w:val="BodyText"/>
        <w:widowControl/>
        <w:rPr>
          <w:rFonts w:asciiTheme="majorBidi" w:hAnsiTheme="majorBidi" w:cstheme="majorBidi"/>
          <w:szCs w:val="22"/>
        </w:rPr>
      </w:pPr>
    </w:p>
    <w:p w14:paraId="55C7262B" w14:textId="32173082"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70 mg filmom obložene tablete</w:t>
      </w:r>
    </w:p>
    <w:p w14:paraId="54101197" w14:textId="7C7EF7C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4554D4">
        <w:rPr>
          <w:rFonts w:asciiTheme="majorBidi" w:hAnsiTheme="majorBidi" w:cstheme="majorBidi"/>
          <w:szCs w:val="22"/>
        </w:rPr>
        <w:t xml:space="preserve">dasatinibhidrat u količini </w:t>
      </w:r>
      <w:r w:rsidR="00920FD5">
        <w:rPr>
          <w:rFonts w:asciiTheme="majorBidi" w:hAnsiTheme="majorBidi" w:cstheme="majorBidi"/>
          <w:szCs w:val="22"/>
        </w:rPr>
        <w:t xml:space="preserve">koja odgovara </w:t>
      </w:r>
      <w:r w:rsidRPr="00F25CE6">
        <w:rPr>
          <w:rFonts w:asciiTheme="majorBidi" w:hAnsiTheme="majorBidi" w:cstheme="majorBidi"/>
          <w:szCs w:val="22"/>
        </w:rPr>
        <w:t>70 mg dasatiniba.</w:t>
      </w:r>
    </w:p>
    <w:p w14:paraId="077FC31F" w14:textId="77777777" w:rsidR="00AF7ABC" w:rsidRPr="00F25CE6" w:rsidRDefault="00AF7ABC" w:rsidP="00F25CE6">
      <w:pPr>
        <w:pStyle w:val="BodyText"/>
        <w:widowControl/>
        <w:rPr>
          <w:rFonts w:asciiTheme="majorBidi" w:hAnsiTheme="majorBidi" w:cstheme="majorBidi"/>
          <w:szCs w:val="22"/>
        </w:rPr>
      </w:pPr>
    </w:p>
    <w:p w14:paraId="4B6D3A01"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3857059D" w14:textId="0572AA7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Jedna filmom obložena tableta sadrži</w:t>
      </w:r>
      <w:r w:rsidR="004554D4">
        <w:rPr>
          <w:rFonts w:asciiTheme="majorBidi" w:hAnsiTheme="majorBidi" w:cstheme="majorBidi"/>
          <w:szCs w:val="22"/>
        </w:rPr>
        <w:t xml:space="preserve"> </w:t>
      </w:r>
      <w:r w:rsidR="008277BE">
        <w:rPr>
          <w:rFonts w:asciiTheme="majorBidi" w:hAnsiTheme="majorBidi" w:cstheme="majorBidi"/>
          <w:szCs w:val="22"/>
        </w:rPr>
        <w:t>oko 87 mg laktoze</w:t>
      </w:r>
      <w:r w:rsidRPr="00F25CE6">
        <w:rPr>
          <w:rFonts w:asciiTheme="majorBidi" w:hAnsiTheme="majorBidi" w:cstheme="majorBidi"/>
          <w:szCs w:val="22"/>
        </w:rPr>
        <w:t>.</w:t>
      </w:r>
    </w:p>
    <w:p w14:paraId="7D7F3C49" w14:textId="77777777" w:rsidR="00AF7ABC" w:rsidRPr="00F25CE6" w:rsidRDefault="00AF7ABC" w:rsidP="00F25CE6">
      <w:pPr>
        <w:pStyle w:val="BodyText"/>
        <w:widowControl/>
        <w:rPr>
          <w:rFonts w:asciiTheme="majorBidi" w:hAnsiTheme="majorBidi" w:cstheme="majorBidi"/>
          <w:szCs w:val="22"/>
        </w:rPr>
      </w:pPr>
    </w:p>
    <w:p w14:paraId="1538BE13" w14:textId="1B01E482"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80 mg filmom obložene tablete</w:t>
      </w:r>
    </w:p>
    <w:p w14:paraId="3CE094A0" w14:textId="2DF5840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4554D4">
        <w:rPr>
          <w:rFonts w:asciiTheme="majorBidi" w:hAnsiTheme="majorBidi" w:cstheme="majorBidi"/>
          <w:szCs w:val="22"/>
        </w:rPr>
        <w:t>dasatinib</w:t>
      </w:r>
      <w:r w:rsidR="00D33259">
        <w:rPr>
          <w:rFonts w:asciiTheme="majorBidi" w:hAnsiTheme="majorBidi" w:cstheme="majorBidi"/>
          <w:szCs w:val="22"/>
        </w:rPr>
        <w:t xml:space="preserve"> </w:t>
      </w:r>
      <w:r w:rsidR="004554D4">
        <w:rPr>
          <w:rFonts w:asciiTheme="majorBidi" w:hAnsiTheme="majorBidi" w:cstheme="majorBidi"/>
          <w:szCs w:val="22"/>
        </w:rPr>
        <w:t xml:space="preserve">hidrat u količini </w:t>
      </w:r>
      <w:r w:rsidR="009E4149">
        <w:rPr>
          <w:rFonts w:asciiTheme="majorBidi" w:hAnsiTheme="majorBidi" w:cstheme="majorBidi"/>
          <w:szCs w:val="22"/>
        </w:rPr>
        <w:t xml:space="preserve">koja odgovara </w:t>
      </w:r>
      <w:r w:rsidRPr="00F25CE6">
        <w:rPr>
          <w:rFonts w:asciiTheme="majorBidi" w:hAnsiTheme="majorBidi" w:cstheme="majorBidi"/>
          <w:szCs w:val="22"/>
        </w:rPr>
        <w:t>80 mg dasatiniba.</w:t>
      </w:r>
    </w:p>
    <w:p w14:paraId="0EB2A109" w14:textId="77777777" w:rsidR="00AF7ABC" w:rsidRPr="00F25CE6" w:rsidRDefault="00AF7ABC" w:rsidP="00F25CE6">
      <w:pPr>
        <w:pStyle w:val="BodyText"/>
        <w:widowControl/>
        <w:rPr>
          <w:rFonts w:asciiTheme="majorBidi" w:hAnsiTheme="majorBidi" w:cstheme="majorBidi"/>
          <w:szCs w:val="22"/>
        </w:rPr>
      </w:pPr>
    </w:p>
    <w:p w14:paraId="75D880C0"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0DD04595" w14:textId="72A7A31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8277BE">
        <w:rPr>
          <w:rFonts w:asciiTheme="majorBidi" w:hAnsiTheme="majorBidi" w:cstheme="majorBidi"/>
          <w:szCs w:val="22"/>
        </w:rPr>
        <w:t>oko 100 mg laktoze</w:t>
      </w:r>
      <w:r w:rsidRPr="00F25CE6">
        <w:rPr>
          <w:rFonts w:asciiTheme="majorBidi" w:hAnsiTheme="majorBidi" w:cstheme="majorBidi"/>
          <w:szCs w:val="22"/>
        </w:rPr>
        <w:t>.</w:t>
      </w:r>
    </w:p>
    <w:p w14:paraId="0A0A141D" w14:textId="77777777" w:rsidR="00AF7ABC" w:rsidRPr="00F25CE6" w:rsidRDefault="00AF7ABC" w:rsidP="00F25CE6">
      <w:pPr>
        <w:pStyle w:val="BodyText"/>
        <w:widowControl/>
        <w:rPr>
          <w:rFonts w:asciiTheme="majorBidi" w:hAnsiTheme="majorBidi" w:cstheme="majorBidi"/>
          <w:szCs w:val="22"/>
        </w:rPr>
      </w:pPr>
    </w:p>
    <w:p w14:paraId="3FB24BBE" w14:textId="2429C490"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100 mg filmom obložene tablete</w:t>
      </w:r>
    </w:p>
    <w:p w14:paraId="36107C22" w14:textId="3ED6296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4554D4">
        <w:rPr>
          <w:rFonts w:asciiTheme="majorBidi" w:hAnsiTheme="majorBidi" w:cstheme="majorBidi"/>
          <w:szCs w:val="22"/>
        </w:rPr>
        <w:t>dasatinib</w:t>
      </w:r>
      <w:r w:rsidR="00D33259">
        <w:rPr>
          <w:rFonts w:asciiTheme="majorBidi" w:hAnsiTheme="majorBidi" w:cstheme="majorBidi"/>
          <w:szCs w:val="22"/>
        </w:rPr>
        <w:t xml:space="preserve"> </w:t>
      </w:r>
      <w:r w:rsidR="004554D4">
        <w:rPr>
          <w:rFonts w:asciiTheme="majorBidi" w:hAnsiTheme="majorBidi" w:cstheme="majorBidi"/>
          <w:szCs w:val="22"/>
        </w:rPr>
        <w:t xml:space="preserve">hidrat u količini </w:t>
      </w:r>
      <w:r w:rsidR="009E4149">
        <w:rPr>
          <w:rFonts w:asciiTheme="majorBidi" w:hAnsiTheme="majorBidi" w:cstheme="majorBidi"/>
          <w:szCs w:val="22"/>
        </w:rPr>
        <w:t xml:space="preserve">koja odgovara </w:t>
      </w:r>
      <w:r w:rsidRPr="00F25CE6">
        <w:rPr>
          <w:rFonts w:asciiTheme="majorBidi" w:hAnsiTheme="majorBidi" w:cstheme="majorBidi"/>
          <w:szCs w:val="22"/>
        </w:rPr>
        <w:t>100 mg dasatiniba.</w:t>
      </w:r>
    </w:p>
    <w:p w14:paraId="31770276" w14:textId="77777777" w:rsidR="00AF7ABC" w:rsidRPr="00F25CE6" w:rsidRDefault="00AF7ABC" w:rsidP="00F25CE6">
      <w:pPr>
        <w:pStyle w:val="BodyText"/>
        <w:widowControl/>
        <w:rPr>
          <w:rFonts w:asciiTheme="majorBidi" w:hAnsiTheme="majorBidi" w:cstheme="majorBidi"/>
          <w:szCs w:val="22"/>
        </w:rPr>
      </w:pPr>
    </w:p>
    <w:p w14:paraId="3DA6481A"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2F28E21E" w14:textId="6D38916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8277BE">
        <w:rPr>
          <w:rFonts w:asciiTheme="majorBidi" w:hAnsiTheme="majorBidi" w:cstheme="majorBidi"/>
          <w:szCs w:val="22"/>
        </w:rPr>
        <w:t>oko 125 mg laktoze</w:t>
      </w:r>
      <w:r w:rsidRPr="00F25CE6">
        <w:rPr>
          <w:rFonts w:asciiTheme="majorBidi" w:hAnsiTheme="majorBidi" w:cstheme="majorBidi"/>
          <w:szCs w:val="22"/>
        </w:rPr>
        <w:t>.</w:t>
      </w:r>
    </w:p>
    <w:p w14:paraId="4E77561D" w14:textId="77777777" w:rsidR="00AF7ABC" w:rsidRPr="00F25CE6" w:rsidRDefault="00AF7ABC" w:rsidP="00F25CE6">
      <w:pPr>
        <w:pStyle w:val="BodyText"/>
        <w:widowControl/>
        <w:rPr>
          <w:rFonts w:asciiTheme="majorBidi" w:hAnsiTheme="majorBidi" w:cstheme="majorBidi"/>
          <w:szCs w:val="22"/>
        </w:rPr>
      </w:pPr>
    </w:p>
    <w:p w14:paraId="532F7FBC" w14:textId="2E2E8DE2"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140 mg filmom obložene tablete</w:t>
      </w:r>
    </w:p>
    <w:p w14:paraId="60442A09" w14:textId="2F315C1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Jedna filmom obložena tableta sadrži</w:t>
      </w:r>
      <w:r w:rsidR="004554D4">
        <w:rPr>
          <w:rFonts w:asciiTheme="majorBidi" w:hAnsiTheme="majorBidi" w:cstheme="majorBidi"/>
          <w:szCs w:val="22"/>
        </w:rPr>
        <w:t xml:space="preserve"> dasatinib</w:t>
      </w:r>
      <w:r w:rsidR="00D33259">
        <w:rPr>
          <w:rFonts w:asciiTheme="majorBidi" w:hAnsiTheme="majorBidi" w:cstheme="majorBidi"/>
          <w:szCs w:val="22"/>
        </w:rPr>
        <w:t xml:space="preserve"> </w:t>
      </w:r>
      <w:r w:rsidR="004554D4">
        <w:rPr>
          <w:rFonts w:asciiTheme="majorBidi" w:hAnsiTheme="majorBidi" w:cstheme="majorBidi"/>
          <w:szCs w:val="22"/>
        </w:rPr>
        <w:t xml:space="preserve">hidrat u količini </w:t>
      </w:r>
      <w:r w:rsidR="009E4149">
        <w:rPr>
          <w:rFonts w:asciiTheme="majorBidi" w:hAnsiTheme="majorBidi" w:cstheme="majorBidi"/>
          <w:szCs w:val="22"/>
        </w:rPr>
        <w:t>koja odgovara</w:t>
      </w:r>
      <w:r w:rsidR="009E4149" w:rsidRPr="00F25CE6">
        <w:rPr>
          <w:rFonts w:asciiTheme="majorBidi" w:hAnsiTheme="majorBidi" w:cstheme="majorBidi"/>
          <w:szCs w:val="22"/>
        </w:rPr>
        <w:t xml:space="preserve"> </w:t>
      </w:r>
      <w:r w:rsidRPr="00F25CE6">
        <w:rPr>
          <w:rFonts w:asciiTheme="majorBidi" w:hAnsiTheme="majorBidi" w:cstheme="majorBidi"/>
          <w:szCs w:val="22"/>
        </w:rPr>
        <w:t>140 mg dasatiniba</w:t>
      </w:r>
      <w:r w:rsidR="00064F60">
        <w:rPr>
          <w:rFonts w:asciiTheme="majorBidi" w:hAnsiTheme="majorBidi" w:cstheme="majorBidi"/>
          <w:szCs w:val="22"/>
        </w:rPr>
        <w:t>.</w:t>
      </w:r>
    </w:p>
    <w:p w14:paraId="320D73D6" w14:textId="77777777" w:rsidR="00AF7ABC" w:rsidRPr="00F25CE6" w:rsidRDefault="00AF7ABC" w:rsidP="00F25CE6">
      <w:pPr>
        <w:pStyle w:val="BodyText"/>
        <w:widowControl/>
        <w:rPr>
          <w:rFonts w:asciiTheme="majorBidi" w:hAnsiTheme="majorBidi" w:cstheme="majorBidi"/>
          <w:szCs w:val="22"/>
        </w:rPr>
      </w:pPr>
    </w:p>
    <w:p w14:paraId="4921A70B"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Pomoćna tvar s poznatim učinkom</w:t>
      </w:r>
    </w:p>
    <w:p w14:paraId="536F3CA2" w14:textId="3CA02EBE" w:rsidR="00064F60"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Jedna filmom obložena tableta sadrži </w:t>
      </w:r>
      <w:r w:rsidR="008277BE">
        <w:rPr>
          <w:rFonts w:asciiTheme="majorBidi" w:hAnsiTheme="majorBidi" w:cstheme="majorBidi"/>
          <w:szCs w:val="22"/>
        </w:rPr>
        <w:t>oko 175 mg laktoze</w:t>
      </w:r>
      <w:r w:rsidRPr="00F25CE6">
        <w:rPr>
          <w:rFonts w:asciiTheme="majorBidi" w:hAnsiTheme="majorBidi" w:cstheme="majorBidi"/>
          <w:szCs w:val="22"/>
        </w:rPr>
        <w:t xml:space="preserve">. </w:t>
      </w:r>
    </w:p>
    <w:p w14:paraId="63E5C75A" w14:textId="77777777" w:rsidR="00064F60" w:rsidRDefault="00064F60" w:rsidP="00F25CE6">
      <w:pPr>
        <w:pStyle w:val="BodyText"/>
        <w:widowControl/>
        <w:rPr>
          <w:rFonts w:asciiTheme="majorBidi" w:hAnsiTheme="majorBidi" w:cstheme="majorBidi"/>
          <w:szCs w:val="22"/>
        </w:rPr>
      </w:pPr>
    </w:p>
    <w:p w14:paraId="2B1223B8" w14:textId="6D76068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Za cjeloviti popis pomoćnih tvari vidjeti dio 6.1.</w:t>
      </w:r>
    </w:p>
    <w:p w14:paraId="71F111B2" w14:textId="77777777" w:rsidR="00AF7ABC" w:rsidRDefault="00AF7ABC" w:rsidP="00F25CE6">
      <w:pPr>
        <w:pStyle w:val="BodyText"/>
        <w:widowControl/>
        <w:rPr>
          <w:rFonts w:asciiTheme="majorBidi" w:hAnsiTheme="majorBidi" w:cstheme="majorBidi"/>
          <w:szCs w:val="22"/>
        </w:rPr>
      </w:pPr>
    </w:p>
    <w:p w14:paraId="4840E149" w14:textId="77777777" w:rsidR="00F25CE6" w:rsidRPr="00F25CE6" w:rsidRDefault="00F25CE6" w:rsidP="00F25CE6">
      <w:pPr>
        <w:pStyle w:val="BodyText"/>
        <w:widowControl/>
        <w:rPr>
          <w:rFonts w:asciiTheme="majorBidi" w:hAnsiTheme="majorBidi" w:cstheme="majorBidi"/>
          <w:szCs w:val="22"/>
        </w:rPr>
      </w:pPr>
    </w:p>
    <w:p w14:paraId="7C0F7EAA" w14:textId="77777777" w:rsidR="00AF7ABC" w:rsidRPr="00F25CE6" w:rsidRDefault="00422138" w:rsidP="00503528">
      <w:pPr>
        <w:pStyle w:val="Heading1"/>
      </w:pPr>
      <w:r w:rsidRPr="00F25CE6">
        <w:t>FARMACEUTSKI OBLIK</w:t>
      </w:r>
    </w:p>
    <w:p w14:paraId="797B3518" w14:textId="77777777" w:rsidR="00AF7ABC" w:rsidRPr="00F25CE6" w:rsidRDefault="00AF7ABC" w:rsidP="00F25CE6">
      <w:pPr>
        <w:pStyle w:val="BodyText"/>
        <w:widowControl/>
        <w:rPr>
          <w:rFonts w:asciiTheme="majorBidi" w:hAnsiTheme="majorBidi" w:cstheme="majorBidi"/>
          <w:b/>
          <w:szCs w:val="22"/>
        </w:rPr>
      </w:pPr>
    </w:p>
    <w:p w14:paraId="06B0C4F2" w14:textId="682E043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Filmom obložena tableta</w:t>
      </w:r>
      <w:r w:rsidR="009E6528">
        <w:rPr>
          <w:rFonts w:asciiTheme="majorBidi" w:hAnsiTheme="majorBidi" w:cstheme="majorBidi"/>
          <w:szCs w:val="22"/>
        </w:rPr>
        <w:t xml:space="preserve"> (tableta)</w:t>
      </w:r>
      <w:r w:rsidRPr="00F25CE6">
        <w:rPr>
          <w:rFonts w:asciiTheme="majorBidi" w:hAnsiTheme="majorBidi" w:cstheme="majorBidi"/>
          <w:szCs w:val="22"/>
        </w:rPr>
        <w:t>.</w:t>
      </w:r>
    </w:p>
    <w:p w14:paraId="468028B1" w14:textId="77777777" w:rsidR="00A15E8A" w:rsidRPr="00F25CE6" w:rsidRDefault="00A15E8A" w:rsidP="00F25CE6">
      <w:pPr>
        <w:widowControl/>
        <w:rPr>
          <w:rFonts w:asciiTheme="majorBidi" w:hAnsiTheme="majorBidi" w:cstheme="majorBidi"/>
        </w:rPr>
      </w:pPr>
    </w:p>
    <w:p w14:paraId="3DA5F1A8" w14:textId="48649FFA"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20 mg filmom obložene tablete</w:t>
      </w:r>
    </w:p>
    <w:p w14:paraId="22348E54" w14:textId="28797F9A" w:rsidR="00AF7ABC" w:rsidRPr="00F25CE6" w:rsidRDefault="008277BE" w:rsidP="00F25CE6">
      <w:pPr>
        <w:pStyle w:val="BodyText"/>
        <w:widowControl/>
        <w:rPr>
          <w:rFonts w:asciiTheme="majorBidi" w:hAnsiTheme="majorBidi" w:cstheme="majorBidi"/>
          <w:szCs w:val="22"/>
        </w:rPr>
      </w:pPr>
      <w:r>
        <w:rPr>
          <w:rFonts w:asciiTheme="majorBidi" w:hAnsiTheme="majorBidi" w:cstheme="majorBidi"/>
          <w:szCs w:val="22"/>
        </w:rPr>
        <w:lastRenderedPageBreak/>
        <w:t xml:space="preserve">Bijela do gotovo bijela, </w:t>
      </w:r>
      <w:r w:rsidR="003C0E83">
        <w:rPr>
          <w:rFonts w:asciiTheme="majorBidi" w:hAnsiTheme="majorBidi" w:cstheme="majorBidi"/>
          <w:szCs w:val="22"/>
        </w:rPr>
        <w:t>bikonveksna</w:t>
      </w:r>
      <w:r w:rsidR="009E4149">
        <w:rPr>
          <w:rFonts w:asciiTheme="majorBidi" w:hAnsiTheme="majorBidi" w:cstheme="majorBidi"/>
          <w:szCs w:val="22"/>
        </w:rPr>
        <w:t>,</w:t>
      </w:r>
      <w:r>
        <w:rPr>
          <w:rFonts w:asciiTheme="majorBidi" w:hAnsiTheme="majorBidi" w:cstheme="majorBidi"/>
          <w:szCs w:val="22"/>
        </w:rPr>
        <w:t xml:space="preserve"> okrugla filmom obložena table</w:t>
      </w:r>
      <w:r w:rsidR="009E4149">
        <w:rPr>
          <w:rFonts w:asciiTheme="majorBidi" w:hAnsiTheme="majorBidi" w:cstheme="majorBidi"/>
          <w:szCs w:val="22"/>
        </w:rPr>
        <w:t>t</w:t>
      </w:r>
      <w:r>
        <w:rPr>
          <w:rFonts w:asciiTheme="majorBidi" w:hAnsiTheme="majorBidi" w:cstheme="majorBidi"/>
          <w:szCs w:val="22"/>
        </w:rPr>
        <w:t xml:space="preserve">a veličine od oko 5,5 mm, s oznakom „IV1“ </w:t>
      </w:r>
      <w:r w:rsidR="004D3FA1">
        <w:rPr>
          <w:rFonts w:asciiTheme="majorBidi" w:hAnsiTheme="majorBidi" w:cstheme="majorBidi"/>
          <w:szCs w:val="22"/>
        </w:rPr>
        <w:t xml:space="preserve">utisnutom </w:t>
      </w:r>
      <w:r>
        <w:rPr>
          <w:rFonts w:asciiTheme="majorBidi" w:hAnsiTheme="majorBidi" w:cstheme="majorBidi"/>
          <w:szCs w:val="22"/>
        </w:rPr>
        <w:t>s jedne strane i bez oznake na drugoj strani.</w:t>
      </w:r>
    </w:p>
    <w:p w14:paraId="5544ED41" w14:textId="77777777" w:rsidR="00AF7ABC" w:rsidRPr="00F25CE6" w:rsidRDefault="00AF7ABC" w:rsidP="00F25CE6">
      <w:pPr>
        <w:pStyle w:val="BodyText"/>
        <w:widowControl/>
        <w:rPr>
          <w:rFonts w:asciiTheme="majorBidi" w:hAnsiTheme="majorBidi" w:cstheme="majorBidi"/>
          <w:szCs w:val="22"/>
        </w:rPr>
      </w:pPr>
    </w:p>
    <w:p w14:paraId="504EAE0E" w14:textId="5AA64D3F"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50 mg filmom obložene tablete</w:t>
      </w:r>
    </w:p>
    <w:p w14:paraId="28A37726" w14:textId="76843581" w:rsidR="00480EA3" w:rsidRDefault="00480EA3" w:rsidP="00F25CE6">
      <w:pPr>
        <w:pStyle w:val="BodyText"/>
        <w:widowControl/>
        <w:rPr>
          <w:rFonts w:asciiTheme="majorBidi" w:hAnsiTheme="majorBidi" w:cstheme="majorBidi"/>
          <w:szCs w:val="22"/>
        </w:rPr>
      </w:pPr>
      <w:r>
        <w:rPr>
          <w:rFonts w:asciiTheme="majorBidi" w:hAnsiTheme="majorBidi" w:cstheme="majorBidi"/>
          <w:szCs w:val="22"/>
        </w:rPr>
        <w:t xml:space="preserve">Bijela do gotovo bijela, </w:t>
      </w:r>
      <w:r w:rsidR="003C0E83">
        <w:rPr>
          <w:rFonts w:asciiTheme="majorBidi" w:hAnsiTheme="majorBidi" w:cstheme="majorBidi"/>
          <w:szCs w:val="22"/>
        </w:rPr>
        <w:t>bikonveksna</w:t>
      </w:r>
      <w:r w:rsidR="009E4149">
        <w:rPr>
          <w:rFonts w:asciiTheme="majorBidi" w:hAnsiTheme="majorBidi" w:cstheme="majorBidi"/>
          <w:szCs w:val="22"/>
        </w:rPr>
        <w:t>,</w:t>
      </w:r>
      <w:r>
        <w:rPr>
          <w:rFonts w:asciiTheme="majorBidi" w:hAnsiTheme="majorBidi" w:cstheme="majorBidi"/>
          <w:szCs w:val="22"/>
        </w:rPr>
        <w:t xml:space="preserve"> ovalna filmom obložena table</w:t>
      </w:r>
      <w:r w:rsidR="009E4149">
        <w:rPr>
          <w:rFonts w:asciiTheme="majorBidi" w:hAnsiTheme="majorBidi" w:cstheme="majorBidi"/>
          <w:szCs w:val="22"/>
        </w:rPr>
        <w:t>t</w:t>
      </w:r>
      <w:r>
        <w:rPr>
          <w:rFonts w:asciiTheme="majorBidi" w:hAnsiTheme="majorBidi" w:cstheme="majorBidi"/>
          <w:szCs w:val="22"/>
        </w:rPr>
        <w:t xml:space="preserve">a veličine od oko 10,70 x 5,70 mm, s oznakom „IV2“ </w:t>
      </w:r>
      <w:r w:rsidR="004D3FA1">
        <w:rPr>
          <w:rFonts w:asciiTheme="majorBidi" w:hAnsiTheme="majorBidi" w:cstheme="majorBidi"/>
          <w:szCs w:val="22"/>
        </w:rPr>
        <w:t xml:space="preserve">utisnutom </w:t>
      </w:r>
      <w:r>
        <w:rPr>
          <w:rFonts w:asciiTheme="majorBidi" w:hAnsiTheme="majorBidi" w:cstheme="majorBidi"/>
          <w:szCs w:val="22"/>
        </w:rPr>
        <w:t>s jedne strane i bez oznake na drugoj strani.</w:t>
      </w:r>
    </w:p>
    <w:p w14:paraId="36D0F633" w14:textId="77777777" w:rsidR="00480EA3" w:rsidRDefault="00480EA3" w:rsidP="00F25CE6">
      <w:pPr>
        <w:pStyle w:val="BodyText"/>
        <w:widowControl/>
        <w:rPr>
          <w:rFonts w:asciiTheme="majorBidi" w:hAnsiTheme="majorBidi" w:cstheme="majorBidi"/>
          <w:szCs w:val="22"/>
        </w:rPr>
      </w:pPr>
    </w:p>
    <w:p w14:paraId="57A34773" w14:textId="4027394D"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70 mg filmom obložene tablete</w:t>
      </w:r>
    </w:p>
    <w:p w14:paraId="6505577C" w14:textId="01AC3E8F" w:rsidR="00480EA3" w:rsidRDefault="00480EA3" w:rsidP="00F25CE6">
      <w:pPr>
        <w:pStyle w:val="BodyText"/>
        <w:widowControl/>
        <w:rPr>
          <w:rFonts w:asciiTheme="majorBidi" w:hAnsiTheme="majorBidi" w:cstheme="majorBidi"/>
          <w:szCs w:val="22"/>
        </w:rPr>
      </w:pPr>
      <w:r>
        <w:rPr>
          <w:rFonts w:asciiTheme="majorBidi" w:hAnsiTheme="majorBidi" w:cstheme="majorBidi"/>
          <w:szCs w:val="22"/>
        </w:rPr>
        <w:t xml:space="preserve">Bijela do gotovo bijela, </w:t>
      </w:r>
      <w:r w:rsidR="003C0E83">
        <w:rPr>
          <w:rFonts w:asciiTheme="majorBidi" w:hAnsiTheme="majorBidi" w:cstheme="majorBidi"/>
          <w:szCs w:val="22"/>
        </w:rPr>
        <w:t>bikonveksna</w:t>
      </w:r>
      <w:r w:rsidR="009E4149">
        <w:rPr>
          <w:rFonts w:asciiTheme="majorBidi" w:hAnsiTheme="majorBidi" w:cstheme="majorBidi"/>
          <w:szCs w:val="22"/>
        </w:rPr>
        <w:t>,</w:t>
      </w:r>
      <w:r>
        <w:rPr>
          <w:rFonts w:asciiTheme="majorBidi" w:hAnsiTheme="majorBidi" w:cstheme="majorBidi"/>
          <w:szCs w:val="22"/>
        </w:rPr>
        <w:t xml:space="preserve"> okrugla filmom obložena table</w:t>
      </w:r>
      <w:r w:rsidR="009E4149">
        <w:rPr>
          <w:rFonts w:asciiTheme="majorBidi" w:hAnsiTheme="majorBidi" w:cstheme="majorBidi"/>
          <w:szCs w:val="22"/>
        </w:rPr>
        <w:t>t</w:t>
      </w:r>
      <w:r>
        <w:rPr>
          <w:rFonts w:asciiTheme="majorBidi" w:hAnsiTheme="majorBidi" w:cstheme="majorBidi"/>
          <w:szCs w:val="22"/>
        </w:rPr>
        <w:t xml:space="preserve">a veličine od oko </w:t>
      </w:r>
      <w:r w:rsidR="003C0E83">
        <w:rPr>
          <w:rFonts w:asciiTheme="majorBidi" w:hAnsiTheme="majorBidi" w:cstheme="majorBidi"/>
          <w:szCs w:val="22"/>
        </w:rPr>
        <w:t>8,7</w:t>
      </w:r>
      <w:r>
        <w:rPr>
          <w:rFonts w:asciiTheme="majorBidi" w:hAnsiTheme="majorBidi" w:cstheme="majorBidi"/>
          <w:szCs w:val="22"/>
        </w:rPr>
        <w:t> mm, s oznakom „IV</w:t>
      </w:r>
      <w:r w:rsidR="003C0E83">
        <w:rPr>
          <w:rFonts w:asciiTheme="majorBidi" w:hAnsiTheme="majorBidi" w:cstheme="majorBidi"/>
          <w:szCs w:val="22"/>
        </w:rPr>
        <w:t>3</w:t>
      </w:r>
      <w:r>
        <w:rPr>
          <w:rFonts w:asciiTheme="majorBidi" w:hAnsiTheme="majorBidi" w:cstheme="majorBidi"/>
          <w:szCs w:val="22"/>
        </w:rPr>
        <w:t xml:space="preserve">“ </w:t>
      </w:r>
      <w:r w:rsidR="004D3FA1">
        <w:rPr>
          <w:rFonts w:asciiTheme="majorBidi" w:hAnsiTheme="majorBidi" w:cstheme="majorBidi"/>
          <w:szCs w:val="22"/>
        </w:rPr>
        <w:t xml:space="preserve">utisnutom </w:t>
      </w:r>
      <w:r>
        <w:rPr>
          <w:rFonts w:asciiTheme="majorBidi" w:hAnsiTheme="majorBidi" w:cstheme="majorBidi"/>
          <w:szCs w:val="22"/>
        </w:rPr>
        <w:t>s jedne strane i bez oznake na drugoj strani.</w:t>
      </w:r>
    </w:p>
    <w:p w14:paraId="2619820F" w14:textId="77777777" w:rsidR="00480EA3" w:rsidRDefault="00480EA3" w:rsidP="00F25CE6">
      <w:pPr>
        <w:pStyle w:val="BodyText"/>
        <w:widowControl/>
        <w:rPr>
          <w:rFonts w:asciiTheme="majorBidi" w:hAnsiTheme="majorBidi" w:cstheme="majorBidi"/>
          <w:szCs w:val="22"/>
        </w:rPr>
      </w:pPr>
    </w:p>
    <w:p w14:paraId="2FD8CED6" w14:textId="3CD863F6"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80 mg filmom obložene tablete</w:t>
      </w:r>
    </w:p>
    <w:p w14:paraId="369510BF" w14:textId="3FE217D8" w:rsidR="003C0E83" w:rsidRDefault="003C0E83" w:rsidP="00F25CE6">
      <w:pPr>
        <w:pStyle w:val="BodyText"/>
        <w:widowControl/>
        <w:rPr>
          <w:rFonts w:asciiTheme="majorBidi" w:hAnsiTheme="majorBidi" w:cstheme="majorBidi"/>
          <w:szCs w:val="22"/>
        </w:rPr>
      </w:pPr>
      <w:r>
        <w:rPr>
          <w:rFonts w:asciiTheme="majorBidi" w:hAnsiTheme="majorBidi" w:cstheme="majorBidi"/>
          <w:szCs w:val="22"/>
        </w:rPr>
        <w:t>Bijela do gotovo bijela, bikonveksna</w:t>
      </w:r>
      <w:r w:rsidR="009E4149">
        <w:rPr>
          <w:rFonts w:asciiTheme="majorBidi" w:hAnsiTheme="majorBidi" w:cstheme="majorBidi"/>
          <w:szCs w:val="22"/>
        </w:rPr>
        <w:t>,</w:t>
      </w:r>
      <w:r>
        <w:rPr>
          <w:rFonts w:asciiTheme="majorBidi" w:hAnsiTheme="majorBidi" w:cstheme="majorBidi"/>
          <w:szCs w:val="22"/>
        </w:rPr>
        <w:t xml:space="preserve"> trokutasta filmom obložena table</w:t>
      </w:r>
      <w:r w:rsidR="009E4149">
        <w:rPr>
          <w:rFonts w:asciiTheme="majorBidi" w:hAnsiTheme="majorBidi" w:cstheme="majorBidi"/>
          <w:szCs w:val="22"/>
        </w:rPr>
        <w:t>t</w:t>
      </w:r>
      <w:r>
        <w:rPr>
          <w:rFonts w:asciiTheme="majorBidi" w:hAnsiTheme="majorBidi" w:cstheme="majorBidi"/>
          <w:szCs w:val="22"/>
        </w:rPr>
        <w:t xml:space="preserve">a veličine od oko 10,20 x 9,95 mm, s oznakom „IV4“ </w:t>
      </w:r>
      <w:r w:rsidR="004D3FA1">
        <w:rPr>
          <w:rFonts w:asciiTheme="majorBidi" w:hAnsiTheme="majorBidi" w:cstheme="majorBidi"/>
          <w:szCs w:val="22"/>
        </w:rPr>
        <w:t xml:space="preserve">utisnutom </w:t>
      </w:r>
      <w:r>
        <w:rPr>
          <w:rFonts w:asciiTheme="majorBidi" w:hAnsiTheme="majorBidi" w:cstheme="majorBidi"/>
          <w:szCs w:val="22"/>
        </w:rPr>
        <w:t>s jedne strane i bez oznake na drugoj strani.</w:t>
      </w:r>
    </w:p>
    <w:p w14:paraId="4B09E255" w14:textId="77777777" w:rsidR="003C0E83" w:rsidRDefault="003C0E83" w:rsidP="00F25CE6">
      <w:pPr>
        <w:pStyle w:val="BodyText"/>
        <w:widowControl/>
        <w:rPr>
          <w:rFonts w:asciiTheme="majorBidi" w:hAnsiTheme="majorBidi" w:cstheme="majorBidi"/>
          <w:szCs w:val="22"/>
        </w:rPr>
      </w:pPr>
    </w:p>
    <w:p w14:paraId="5CE68E42" w14:textId="72EA2E18"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100 mg filmom obložene tablete</w:t>
      </w:r>
    </w:p>
    <w:p w14:paraId="6A226B58" w14:textId="6D6ABDA9" w:rsidR="000C5A11" w:rsidRDefault="003C0E83" w:rsidP="00F25CE6">
      <w:pPr>
        <w:pStyle w:val="BodyText"/>
        <w:widowControl/>
        <w:rPr>
          <w:rFonts w:asciiTheme="majorBidi" w:hAnsiTheme="majorBidi" w:cstheme="majorBidi"/>
          <w:szCs w:val="22"/>
        </w:rPr>
      </w:pPr>
      <w:r>
        <w:rPr>
          <w:rFonts w:asciiTheme="majorBidi" w:hAnsiTheme="majorBidi" w:cstheme="majorBidi"/>
          <w:szCs w:val="22"/>
        </w:rPr>
        <w:t>Bijela do gotovo bijela, bikonveksna</w:t>
      </w:r>
      <w:r w:rsidR="009E4149">
        <w:rPr>
          <w:rFonts w:asciiTheme="majorBidi" w:hAnsiTheme="majorBidi" w:cstheme="majorBidi"/>
          <w:szCs w:val="22"/>
        </w:rPr>
        <w:t>,</w:t>
      </w:r>
      <w:r>
        <w:rPr>
          <w:rFonts w:asciiTheme="majorBidi" w:hAnsiTheme="majorBidi" w:cstheme="majorBidi"/>
          <w:szCs w:val="22"/>
        </w:rPr>
        <w:t xml:space="preserve"> ovalna filmom obložena table</w:t>
      </w:r>
      <w:r w:rsidR="009E4149">
        <w:rPr>
          <w:rFonts w:asciiTheme="majorBidi" w:hAnsiTheme="majorBidi" w:cstheme="majorBidi"/>
          <w:szCs w:val="22"/>
        </w:rPr>
        <w:t>t</w:t>
      </w:r>
      <w:r>
        <w:rPr>
          <w:rFonts w:asciiTheme="majorBidi" w:hAnsiTheme="majorBidi" w:cstheme="majorBidi"/>
          <w:szCs w:val="22"/>
        </w:rPr>
        <w:t>a veličine od oko 14,70 x 7,10 mm, s oznakom „IV5“ utisnutom s jedne strane i bez oznake na drugoj strani.</w:t>
      </w:r>
    </w:p>
    <w:p w14:paraId="670FBB6F" w14:textId="77777777" w:rsidR="000C5A11" w:rsidRPr="00F25CE6" w:rsidRDefault="000C5A11" w:rsidP="00F25CE6">
      <w:pPr>
        <w:pStyle w:val="BodyText"/>
        <w:widowControl/>
        <w:rPr>
          <w:rFonts w:asciiTheme="majorBidi" w:hAnsiTheme="majorBidi" w:cstheme="majorBidi"/>
          <w:szCs w:val="22"/>
        </w:rPr>
      </w:pPr>
    </w:p>
    <w:p w14:paraId="1FFF59D9" w14:textId="2F86F853"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u w:val="single"/>
        </w:rPr>
        <w:t xml:space="preserve">Dasatinib </w:t>
      </w:r>
      <w:r w:rsidR="00911CD7">
        <w:rPr>
          <w:rFonts w:asciiTheme="majorBidi" w:hAnsiTheme="majorBidi" w:cstheme="majorBidi"/>
          <w:szCs w:val="22"/>
          <w:u w:val="single"/>
        </w:rPr>
        <w:t>Accord Healthcare</w:t>
      </w:r>
      <w:r w:rsidR="00422138" w:rsidRPr="00F25CE6">
        <w:rPr>
          <w:rFonts w:asciiTheme="majorBidi" w:hAnsiTheme="majorBidi" w:cstheme="majorBidi"/>
          <w:szCs w:val="22"/>
          <w:u w:val="single"/>
        </w:rPr>
        <w:t xml:space="preserve"> 140 mg filmom obložene tablete</w:t>
      </w:r>
    </w:p>
    <w:p w14:paraId="06095A33" w14:textId="357D99A4" w:rsidR="00416B4E" w:rsidRDefault="003C0E83" w:rsidP="00F25CE6">
      <w:pPr>
        <w:pStyle w:val="BodyText"/>
        <w:widowControl/>
        <w:rPr>
          <w:rFonts w:asciiTheme="majorBidi" w:hAnsiTheme="majorBidi" w:cstheme="majorBidi"/>
          <w:szCs w:val="22"/>
        </w:rPr>
      </w:pPr>
      <w:r>
        <w:rPr>
          <w:rFonts w:asciiTheme="majorBidi" w:hAnsiTheme="majorBidi" w:cstheme="majorBidi"/>
          <w:szCs w:val="22"/>
        </w:rPr>
        <w:t>Bijela do gotovo bijela, bikonveksna, okrugla filmom obložena table</w:t>
      </w:r>
      <w:r w:rsidR="009E4149">
        <w:rPr>
          <w:rFonts w:asciiTheme="majorBidi" w:hAnsiTheme="majorBidi" w:cstheme="majorBidi"/>
          <w:szCs w:val="22"/>
        </w:rPr>
        <w:t>t</w:t>
      </w:r>
      <w:r>
        <w:rPr>
          <w:rFonts w:asciiTheme="majorBidi" w:hAnsiTheme="majorBidi" w:cstheme="majorBidi"/>
          <w:szCs w:val="22"/>
        </w:rPr>
        <w:t>a veličine od oko 10,9 mm, s oznakom „IV6“ utisnutom s jedne strane i bez oznake na drugoj strani.</w:t>
      </w:r>
    </w:p>
    <w:p w14:paraId="71B81247" w14:textId="77777777" w:rsidR="003C0E83" w:rsidRPr="00F25CE6" w:rsidRDefault="003C0E83" w:rsidP="00F25CE6">
      <w:pPr>
        <w:pStyle w:val="BodyText"/>
        <w:widowControl/>
        <w:rPr>
          <w:rFonts w:asciiTheme="majorBidi" w:hAnsiTheme="majorBidi" w:cstheme="majorBidi"/>
          <w:szCs w:val="22"/>
        </w:rPr>
      </w:pPr>
    </w:p>
    <w:p w14:paraId="10D55C23" w14:textId="77777777" w:rsidR="00AF7ABC" w:rsidRPr="00F25CE6" w:rsidRDefault="00AF7ABC" w:rsidP="00F25CE6">
      <w:pPr>
        <w:pStyle w:val="BodyText"/>
        <w:widowControl/>
        <w:rPr>
          <w:rFonts w:asciiTheme="majorBidi" w:hAnsiTheme="majorBidi" w:cstheme="majorBidi"/>
          <w:szCs w:val="22"/>
        </w:rPr>
      </w:pPr>
    </w:p>
    <w:p w14:paraId="643C569F" w14:textId="77777777" w:rsidR="00AF7ABC" w:rsidRPr="00F25CE6" w:rsidRDefault="00422138" w:rsidP="00503528">
      <w:pPr>
        <w:pStyle w:val="Heading1"/>
      </w:pPr>
      <w:r w:rsidRPr="00F25CE6">
        <w:t>KLINIČKI PODACI</w:t>
      </w:r>
    </w:p>
    <w:p w14:paraId="79D3FC88" w14:textId="77777777" w:rsidR="00AF7ABC" w:rsidRPr="00F25CE6" w:rsidRDefault="00AF7ABC" w:rsidP="00F25CE6">
      <w:pPr>
        <w:pStyle w:val="BodyText"/>
        <w:widowControl/>
        <w:rPr>
          <w:rFonts w:asciiTheme="majorBidi" w:hAnsiTheme="majorBidi" w:cstheme="majorBidi"/>
          <w:b/>
          <w:szCs w:val="22"/>
        </w:rPr>
      </w:pPr>
    </w:p>
    <w:p w14:paraId="548BE763" w14:textId="77777777" w:rsidR="00AF7ABC" w:rsidRPr="00F25CE6" w:rsidRDefault="00422138" w:rsidP="00503528">
      <w:pPr>
        <w:pStyle w:val="Heading2"/>
      </w:pPr>
      <w:r w:rsidRPr="00F25CE6">
        <w:t>Terapijske indikacije</w:t>
      </w:r>
    </w:p>
    <w:p w14:paraId="1638B615" w14:textId="77777777" w:rsidR="00AF7ABC" w:rsidRPr="00F25CE6" w:rsidRDefault="00AF7ABC" w:rsidP="00F25CE6">
      <w:pPr>
        <w:pStyle w:val="BodyText"/>
        <w:widowControl/>
        <w:rPr>
          <w:rFonts w:asciiTheme="majorBidi" w:hAnsiTheme="majorBidi" w:cstheme="majorBidi"/>
          <w:b/>
          <w:szCs w:val="22"/>
        </w:rPr>
      </w:pPr>
    </w:p>
    <w:p w14:paraId="18ADF370" w14:textId="0E52ABB2"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je indiciran u liječenju odraslih bolesnika kod:</w:t>
      </w:r>
    </w:p>
    <w:p w14:paraId="6460BED1" w14:textId="77777777" w:rsidR="00AF7ABC" w:rsidRPr="00F25CE6" w:rsidRDefault="00422138" w:rsidP="00F25CE6">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novodijagnosticirane kronične mijeloične leukemije (KML) s pozitivnim Philadelphia kromosomom (Ph+) u kroničnoj fazi.</w:t>
      </w:r>
    </w:p>
    <w:p w14:paraId="6E853B6E" w14:textId="0C22064A" w:rsidR="00AF7ABC" w:rsidRPr="00F25CE6" w:rsidRDefault="00422138" w:rsidP="00F25CE6">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kronične faze, faze ubrzanja ili faze blastne krize KML</w:t>
      </w:r>
      <w:r w:rsidR="004D1FAC">
        <w:rPr>
          <w:rFonts w:asciiTheme="majorBidi" w:hAnsiTheme="majorBidi" w:cstheme="majorBidi"/>
        </w:rPr>
        <w:t>-a</w:t>
      </w:r>
      <w:r w:rsidRPr="00F25CE6">
        <w:rPr>
          <w:rFonts w:asciiTheme="majorBidi" w:hAnsiTheme="majorBidi" w:cstheme="majorBidi"/>
        </w:rPr>
        <w:t xml:space="preserve"> uz nepodnošenje ili otpornost na prethodnu terapiju, uključujući imatinib.</w:t>
      </w:r>
    </w:p>
    <w:p w14:paraId="0845CD32" w14:textId="64D6E923" w:rsidR="00AF7ABC" w:rsidRPr="00F25CE6" w:rsidRDefault="00422138" w:rsidP="00F25CE6">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Ph+ akutne limfoblastične leukemije (ALL) i limfoidn</w:t>
      </w:r>
      <w:r w:rsidR="004D1FAC">
        <w:rPr>
          <w:rFonts w:asciiTheme="majorBidi" w:hAnsiTheme="majorBidi" w:cstheme="majorBidi"/>
        </w:rPr>
        <w:t>og</w:t>
      </w:r>
      <w:r w:rsidRPr="00F25CE6">
        <w:rPr>
          <w:rFonts w:asciiTheme="majorBidi" w:hAnsiTheme="majorBidi" w:cstheme="majorBidi"/>
        </w:rPr>
        <w:t xml:space="preserve"> blastičn</w:t>
      </w:r>
      <w:r w:rsidR="004D1FAC">
        <w:rPr>
          <w:rFonts w:asciiTheme="majorBidi" w:hAnsiTheme="majorBidi" w:cstheme="majorBidi"/>
        </w:rPr>
        <w:t>og</w:t>
      </w:r>
      <w:r w:rsidRPr="00F25CE6">
        <w:rPr>
          <w:rFonts w:asciiTheme="majorBidi" w:hAnsiTheme="majorBidi" w:cstheme="majorBidi"/>
        </w:rPr>
        <w:t xml:space="preserve"> KML</w:t>
      </w:r>
      <w:r w:rsidR="004D1FAC">
        <w:rPr>
          <w:rFonts w:asciiTheme="majorBidi" w:hAnsiTheme="majorBidi" w:cstheme="majorBidi"/>
        </w:rPr>
        <w:t>-a</w:t>
      </w:r>
      <w:r w:rsidRPr="00F25CE6">
        <w:rPr>
          <w:rFonts w:asciiTheme="majorBidi" w:hAnsiTheme="majorBidi" w:cstheme="majorBidi"/>
        </w:rPr>
        <w:t xml:space="preserve"> uz nepodnošenje ili otpornost na prethodnu terapiju.</w:t>
      </w:r>
    </w:p>
    <w:p w14:paraId="78DDAFBB" w14:textId="77777777" w:rsidR="00AF7ABC" w:rsidRPr="00F25CE6" w:rsidRDefault="00AF7ABC" w:rsidP="00F25CE6">
      <w:pPr>
        <w:pStyle w:val="BodyText"/>
        <w:widowControl/>
        <w:rPr>
          <w:rFonts w:asciiTheme="majorBidi" w:hAnsiTheme="majorBidi" w:cstheme="majorBidi"/>
          <w:szCs w:val="22"/>
        </w:rPr>
      </w:pPr>
    </w:p>
    <w:p w14:paraId="6BAB9E74" w14:textId="149193F9"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je indiciran u liječenju pedijatrijskih bolesnika kod:</w:t>
      </w:r>
    </w:p>
    <w:p w14:paraId="31EABC5B" w14:textId="0FE99465" w:rsidR="00AF7ABC" w:rsidRPr="00F25CE6" w:rsidRDefault="00422138" w:rsidP="00F25CE6">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novodijagnosticiranog Ph+ KML</w:t>
      </w:r>
      <w:r w:rsidR="004D1FAC">
        <w:rPr>
          <w:rFonts w:asciiTheme="majorBidi" w:hAnsiTheme="majorBidi" w:cstheme="majorBidi"/>
        </w:rPr>
        <w:t>-a</w:t>
      </w:r>
      <w:r w:rsidRPr="00F25CE6">
        <w:rPr>
          <w:rFonts w:asciiTheme="majorBidi" w:hAnsiTheme="majorBidi" w:cstheme="majorBidi"/>
        </w:rPr>
        <w:t xml:space="preserve"> u kroničnoj fazi ili Ph+ KML</w:t>
      </w:r>
      <w:r w:rsidR="003702E0">
        <w:rPr>
          <w:rFonts w:asciiTheme="majorBidi" w:hAnsiTheme="majorBidi" w:cstheme="majorBidi"/>
        </w:rPr>
        <w:t>-a</w:t>
      </w:r>
      <w:r w:rsidRPr="00F25CE6">
        <w:rPr>
          <w:rFonts w:asciiTheme="majorBidi" w:hAnsiTheme="majorBidi" w:cstheme="majorBidi"/>
        </w:rPr>
        <w:t xml:space="preserve"> u kroničnoj fazi u bolesnika koji ne podnose ili su otporni na prethodnu terapiju, uključujući imatinib.</w:t>
      </w:r>
    </w:p>
    <w:p w14:paraId="1548BE69" w14:textId="5929A2EA" w:rsidR="00AF7ABC" w:rsidRPr="00F25CE6" w:rsidRDefault="00422138" w:rsidP="00F25CE6">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novodijagnosticiranog Ph+ ALL</w:t>
      </w:r>
      <w:r w:rsidR="004D1FAC">
        <w:rPr>
          <w:rFonts w:asciiTheme="majorBidi" w:hAnsiTheme="majorBidi" w:cstheme="majorBidi"/>
        </w:rPr>
        <w:t>-a</w:t>
      </w:r>
      <w:r w:rsidRPr="00F25CE6">
        <w:rPr>
          <w:rFonts w:asciiTheme="majorBidi" w:hAnsiTheme="majorBidi" w:cstheme="majorBidi"/>
        </w:rPr>
        <w:t xml:space="preserve"> u kombinaciji s kemoterapijom.</w:t>
      </w:r>
    </w:p>
    <w:p w14:paraId="22BD8356" w14:textId="77777777" w:rsidR="00AF7ABC" w:rsidRPr="00F25CE6" w:rsidRDefault="00AF7ABC" w:rsidP="00F25CE6">
      <w:pPr>
        <w:pStyle w:val="BodyText"/>
        <w:widowControl/>
        <w:rPr>
          <w:rFonts w:asciiTheme="majorBidi" w:hAnsiTheme="majorBidi" w:cstheme="majorBidi"/>
          <w:szCs w:val="22"/>
        </w:rPr>
      </w:pPr>
    </w:p>
    <w:p w14:paraId="5B642EC4" w14:textId="73C16048" w:rsidR="00AF7ABC" w:rsidRDefault="00422138" w:rsidP="00503528">
      <w:pPr>
        <w:pStyle w:val="Heading2"/>
      </w:pPr>
      <w:r w:rsidRPr="00F25CE6">
        <w:t>Doziranje i način primjene</w:t>
      </w:r>
    </w:p>
    <w:p w14:paraId="5C97A783" w14:textId="77777777" w:rsidR="00D063B6" w:rsidRPr="00D063B6" w:rsidRDefault="00D063B6" w:rsidP="00D063B6"/>
    <w:p w14:paraId="2D62FBB5" w14:textId="77777777" w:rsid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Liječenje treba započeti liječnik s iskustvom u dijagnosticiranju i liječenju bolesnika s leukemijom.</w:t>
      </w:r>
    </w:p>
    <w:p w14:paraId="495F14D0" w14:textId="77777777" w:rsidR="00F25CE6" w:rsidRDefault="00F25CE6" w:rsidP="00F25CE6">
      <w:pPr>
        <w:pStyle w:val="BodyText"/>
        <w:widowControl/>
        <w:rPr>
          <w:rFonts w:asciiTheme="majorBidi" w:hAnsiTheme="majorBidi" w:cstheme="majorBidi"/>
          <w:szCs w:val="22"/>
        </w:rPr>
      </w:pPr>
    </w:p>
    <w:p w14:paraId="5FAE430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Doziranje</w:t>
      </w:r>
    </w:p>
    <w:p w14:paraId="3B4E7115"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Odrasli bolesnici</w:t>
      </w:r>
    </w:p>
    <w:p w14:paraId="4B55110A" w14:textId="1D42850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Preporučena početna doza dasatiniba u kroničnoj fazi KML</w:t>
      </w:r>
      <w:r w:rsidR="003702E0">
        <w:rPr>
          <w:rFonts w:asciiTheme="majorBidi" w:hAnsiTheme="majorBidi" w:cstheme="majorBidi"/>
          <w:szCs w:val="22"/>
        </w:rPr>
        <w:t>-a</w:t>
      </w:r>
      <w:r w:rsidRPr="00F25CE6">
        <w:rPr>
          <w:rFonts w:asciiTheme="majorBidi" w:hAnsiTheme="majorBidi" w:cstheme="majorBidi"/>
          <w:szCs w:val="22"/>
        </w:rPr>
        <w:t xml:space="preserve"> iznosi 100 mg jedanput dnevno.</w:t>
      </w:r>
    </w:p>
    <w:p w14:paraId="197B8161" w14:textId="77777777" w:rsidR="00AF7ABC" w:rsidRPr="00F25CE6" w:rsidRDefault="00AF7ABC" w:rsidP="00F25CE6">
      <w:pPr>
        <w:pStyle w:val="BodyText"/>
        <w:widowControl/>
        <w:rPr>
          <w:rFonts w:asciiTheme="majorBidi" w:hAnsiTheme="majorBidi" w:cstheme="majorBidi"/>
          <w:szCs w:val="22"/>
        </w:rPr>
      </w:pPr>
    </w:p>
    <w:p w14:paraId="321F2A6D" w14:textId="23BAC8B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Preporučena početna doza dasatiniba </w:t>
      </w:r>
      <w:r w:rsidR="00D61C33">
        <w:rPr>
          <w:rFonts w:asciiTheme="majorBidi" w:hAnsiTheme="majorBidi" w:cstheme="majorBidi"/>
          <w:szCs w:val="22"/>
        </w:rPr>
        <w:t>za</w:t>
      </w:r>
      <w:r w:rsidR="00FC7114">
        <w:rPr>
          <w:rFonts w:asciiTheme="majorBidi" w:hAnsiTheme="majorBidi" w:cstheme="majorBidi"/>
          <w:szCs w:val="22"/>
        </w:rPr>
        <w:t xml:space="preserve"> KML </w:t>
      </w:r>
      <w:r w:rsidRPr="00F25CE6">
        <w:rPr>
          <w:rFonts w:asciiTheme="majorBidi" w:hAnsiTheme="majorBidi" w:cstheme="majorBidi"/>
          <w:szCs w:val="22"/>
        </w:rPr>
        <w:t>u fazi ubrzanja, fazi mijeloidne ili limfoidne blastne krize (uznapredovala faza) ili Ph+ ALL iznosi 140 mg jedanput dnevno (vidjeti dio 4.4).</w:t>
      </w:r>
    </w:p>
    <w:p w14:paraId="70AB564F" w14:textId="77777777" w:rsidR="00AF7ABC" w:rsidRPr="00F25CE6" w:rsidRDefault="00AF7ABC" w:rsidP="00F25CE6">
      <w:pPr>
        <w:pStyle w:val="BodyText"/>
        <w:widowControl/>
        <w:rPr>
          <w:rFonts w:asciiTheme="majorBidi" w:hAnsiTheme="majorBidi" w:cstheme="majorBidi"/>
          <w:szCs w:val="22"/>
        </w:rPr>
      </w:pPr>
    </w:p>
    <w:p w14:paraId="781B162C"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Pedijatrijska populacija (Ph+ KML u kroničnoj fazi i Ph+ ALL)</w:t>
      </w:r>
    </w:p>
    <w:p w14:paraId="422E9164" w14:textId="376AC9D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Doziranje za djecu i adolescente temelji se na tjelesnoj težini (vidjeti Tablicu 1). Dasatinib se primjenjuje peroralno jedanput dnevno u obliku </w:t>
      </w:r>
      <w:r w:rsidR="009E6528">
        <w:rPr>
          <w:rFonts w:asciiTheme="majorBidi" w:hAnsiTheme="majorBidi" w:cstheme="majorBidi"/>
          <w:szCs w:val="22"/>
        </w:rPr>
        <w:t>dasatinib filmom</w:t>
      </w:r>
      <w:r w:rsidRPr="00F25CE6">
        <w:rPr>
          <w:rFonts w:asciiTheme="majorBidi" w:hAnsiTheme="majorBidi" w:cstheme="majorBidi"/>
          <w:szCs w:val="22"/>
        </w:rPr>
        <w:t xml:space="preserve"> obloženih tableta ili </w:t>
      </w:r>
      <w:r w:rsidR="008F6C6D">
        <w:rPr>
          <w:rFonts w:asciiTheme="majorBidi" w:hAnsiTheme="majorBidi" w:cstheme="majorBidi"/>
          <w:szCs w:val="22"/>
        </w:rPr>
        <w:t>d</w:t>
      </w:r>
      <w:r w:rsidR="009505AC">
        <w:rPr>
          <w:rFonts w:asciiTheme="majorBidi" w:hAnsiTheme="majorBidi" w:cstheme="majorBidi"/>
          <w:szCs w:val="22"/>
        </w:rPr>
        <w:t>asatinib</w:t>
      </w:r>
      <w:r w:rsidRPr="00F25CE6">
        <w:rPr>
          <w:rFonts w:asciiTheme="majorBidi" w:hAnsiTheme="majorBidi" w:cstheme="majorBidi"/>
          <w:szCs w:val="22"/>
        </w:rPr>
        <w:t xml:space="preserve"> praška za oralnu suspenziju</w:t>
      </w:r>
      <w:r w:rsidR="009505AC">
        <w:rPr>
          <w:rFonts w:asciiTheme="majorBidi" w:hAnsiTheme="majorBidi" w:cstheme="majorBidi"/>
          <w:szCs w:val="22"/>
        </w:rPr>
        <w:t xml:space="preserve">. </w:t>
      </w:r>
      <w:r w:rsidRPr="00F25CE6">
        <w:rPr>
          <w:rFonts w:asciiTheme="majorBidi" w:hAnsiTheme="majorBidi" w:cstheme="majorBidi"/>
          <w:szCs w:val="22"/>
        </w:rPr>
        <w:t xml:space="preserve">Svaka 3 mjeseca, a po potrebi i češće, dozu treba ponovno izračunati na temelju promjena u tjelesnoj težini. Tableta se ne preporučuje za bolesnike koji teže manje od 10 kg; u tih </w:t>
      </w:r>
      <w:r w:rsidRPr="00F25CE6">
        <w:rPr>
          <w:rFonts w:asciiTheme="majorBidi" w:hAnsiTheme="majorBidi" w:cstheme="majorBidi"/>
          <w:szCs w:val="22"/>
        </w:rPr>
        <w:lastRenderedPageBreak/>
        <w:t xml:space="preserve">bolesnika treba koristiti prašak za oralnu suspenziju. Preporučuje se povećati ili smanjiti dozu na temelju odgovora i podnošljivosti lijeka kod pojedinog bolesnika. Nema iskustva s liječenjem </w:t>
      </w:r>
      <w:r w:rsidR="009E6528">
        <w:rPr>
          <w:rFonts w:asciiTheme="majorBidi" w:hAnsiTheme="majorBidi" w:cstheme="majorBidi"/>
          <w:szCs w:val="22"/>
        </w:rPr>
        <w:t>dasatinibom</w:t>
      </w:r>
      <w:r w:rsidRPr="00F25CE6">
        <w:rPr>
          <w:rFonts w:asciiTheme="majorBidi" w:hAnsiTheme="majorBidi" w:cstheme="majorBidi"/>
          <w:szCs w:val="22"/>
        </w:rPr>
        <w:t xml:space="preserve"> u djece mlađe od godinu dana.</w:t>
      </w:r>
    </w:p>
    <w:p w14:paraId="0F8C8977" w14:textId="77777777" w:rsidR="00AF7ABC" w:rsidRPr="00F25CE6" w:rsidRDefault="00AF7ABC" w:rsidP="00F25CE6">
      <w:pPr>
        <w:pStyle w:val="BodyText"/>
        <w:widowControl/>
        <w:rPr>
          <w:rFonts w:asciiTheme="majorBidi" w:hAnsiTheme="majorBidi" w:cstheme="majorBidi"/>
          <w:szCs w:val="22"/>
        </w:rPr>
      </w:pPr>
    </w:p>
    <w:p w14:paraId="1D824F6F" w14:textId="4FB30EFD"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filmom obložene tablete i </w:t>
      </w:r>
      <w:r w:rsidR="009E4149">
        <w:rPr>
          <w:rFonts w:asciiTheme="majorBidi" w:hAnsiTheme="majorBidi" w:cstheme="majorBidi"/>
          <w:szCs w:val="22"/>
        </w:rPr>
        <w:t>d</w:t>
      </w:r>
      <w:r w:rsidR="009505AC">
        <w:rPr>
          <w:rFonts w:asciiTheme="majorBidi" w:hAnsiTheme="majorBidi" w:cstheme="majorBidi"/>
          <w:szCs w:val="22"/>
        </w:rPr>
        <w:t xml:space="preserve">asatinib </w:t>
      </w:r>
      <w:r w:rsidR="00422138" w:rsidRPr="00F25CE6">
        <w:rPr>
          <w:rFonts w:asciiTheme="majorBidi" w:hAnsiTheme="majorBidi" w:cstheme="majorBidi"/>
          <w:szCs w:val="22"/>
        </w:rPr>
        <w:t>prašak za oralnu suspenziju nisu bioekvivalentni. Bolesnici koji mogu progutati tablete i žele prijeći s</w:t>
      </w:r>
      <w:r w:rsidR="009505AC">
        <w:rPr>
          <w:rFonts w:asciiTheme="majorBidi" w:hAnsiTheme="majorBidi" w:cstheme="majorBidi"/>
          <w:szCs w:val="22"/>
        </w:rPr>
        <w:t xml:space="preserve"> dasatinib praška</w:t>
      </w:r>
      <w:r w:rsidR="00422138" w:rsidRPr="00F25CE6">
        <w:rPr>
          <w:rFonts w:asciiTheme="majorBidi" w:hAnsiTheme="majorBidi" w:cstheme="majorBidi"/>
          <w:szCs w:val="22"/>
        </w:rPr>
        <w:t xml:space="preserve"> za oralnu suspenziju na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tablete, odnosno bolesnici koji ne mogu progutati tablete i žele prijeći s tableta na oralnu suspenziju, mogu to učiniti pod uvjetom da se slijede točne preporuke za doziranje za odabrani farmaceutski oblik.</w:t>
      </w:r>
    </w:p>
    <w:p w14:paraId="2B2E0774" w14:textId="77777777" w:rsidR="00AF7ABC" w:rsidRPr="00F25CE6" w:rsidRDefault="00AF7ABC" w:rsidP="00F25CE6">
      <w:pPr>
        <w:pStyle w:val="BodyText"/>
        <w:widowControl/>
        <w:rPr>
          <w:rFonts w:asciiTheme="majorBidi" w:hAnsiTheme="majorBidi" w:cstheme="majorBidi"/>
          <w:szCs w:val="22"/>
        </w:rPr>
      </w:pPr>
    </w:p>
    <w:p w14:paraId="1FE0B47A" w14:textId="0575AECB"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Preporučena početna dnevna doza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tableta u pedijatrijskih bolesnika prikazana je u Tablici 1.</w:t>
      </w:r>
    </w:p>
    <w:p w14:paraId="0A785CCD" w14:textId="77777777" w:rsidR="00AF7ABC" w:rsidRPr="00F25CE6" w:rsidRDefault="00AF7ABC" w:rsidP="00F25CE6">
      <w:pPr>
        <w:pStyle w:val="BodyText"/>
        <w:widowControl/>
        <w:rPr>
          <w:rFonts w:asciiTheme="majorBidi" w:hAnsiTheme="majorBidi" w:cstheme="majorBidi"/>
          <w:szCs w:val="22"/>
        </w:rPr>
      </w:pPr>
    </w:p>
    <w:p w14:paraId="468CEBF4" w14:textId="7E710245" w:rsidR="00AF7ABC" w:rsidRPr="00F25CE6" w:rsidRDefault="00422138" w:rsidP="00503528">
      <w:pPr>
        <w:pStyle w:val="Tableheading"/>
      </w:pPr>
      <w:r w:rsidRPr="00F25CE6">
        <w:t>Tablica 1:</w:t>
      </w:r>
      <w:r w:rsidR="00F25CE6">
        <w:tab/>
      </w:r>
      <w:r w:rsidRPr="00F25CE6">
        <w:t xml:space="preserve">Doza </w:t>
      </w:r>
      <w:r w:rsidR="00064F60">
        <w:t xml:space="preserve">Dasatinib </w:t>
      </w:r>
      <w:r w:rsidR="00911CD7">
        <w:t>Accord Healthcare</w:t>
      </w:r>
      <w:r w:rsidRPr="00F25CE6">
        <w:t xml:space="preserve"> tableta za pedijatrijske bolesnike s Ph+ KML</w:t>
      </w:r>
      <w:r w:rsidR="004D1FAC">
        <w:t>-om</w:t>
      </w:r>
      <w:r w:rsidRPr="00F25CE6">
        <w:t xml:space="preserve"> u kroničnoj fazi ili Ph+ ALL</w:t>
      </w:r>
      <w:r w:rsidR="004D1FAC">
        <w:t>-om</w:t>
      </w:r>
    </w:p>
    <w:tbl>
      <w:tblPr>
        <w:tblStyle w:val="TableGrid"/>
        <w:tblW w:w="9079"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58" w:type="dxa"/>
          <w:bottom w:w="14" w:type="dxa"/>
          <w:right w:w="58" w:type="dxa"/>
        </w:tblCellMar>
        <w:tblLook w:val="04A0" w:firstRow="1" w:lastRow="0" w:firstColumn="1" w:lastColumn="0" w:noHBand="0" w:noVBand="1"/>
      </w:tblPr>
      <w:tblGrid>
        <w:gridCol w:w="5894"/>
        <w:gridCol w:w="3185"/>
      </w:tblGrid>
      <w:tr w:rsidR="00F25CE6" w:rsidRPr="00967AA2" w14:paraId="1183F17D" w14:textId="77777777" w:rsidTr="00503528">
        <w:trPr>
          <w:trHeight w:val="20"/>
        </w:trPr>
        <w:tc>
          <w:tcPr>
            <w:tcW w:w="5894" w:type="dxa"/>
            <w:tcBorders>
              <w:top w:val="single" w:sz="4" w:space="0" w:color="auto"/>
              <w:bottom w:val="single" w:sz="4" w:space="0" w:color="auto"/>
            </w:tcBorders>
            <w:vAlign w:val="center"/>
          </w:tcPr>
          <w:p w14:paraId="2744D46C" w14:textId="77777777" w:rsidR="00F25CE6" w:rsidRPr="00967AA2" w:rsidRDefault="00F25CE6" w:rsidP="00F25CE6">
            <w:pPr>
              <w:widowControl/>
              <w:jc w:val="center"/>
              <w:rPr>
                <w:b/>
              </w:rPr>
            </w:pPr>
            <w:r w:rsidRPr="00967AA2">
              <w:rPr>
                <w:b/>
              </w:rPr>
              <w:t>Tjelesna težina (kg)</w:t>
            </w:r>
            <w:r w:rsidRPr="00967AA2">
              <w:rPr>
                <w:b/>
                <w:vertAlign w:val="superscript"/>
              </w:rPr>
              <w:t>a</w:t>
            </w:r>
          </w:p>
        </w:tc>
        <w:tc>
          <w:tcPr>
            <w:tcW w:w="3185" w:type="dxa"/>
            <w:tcBorders>
              <w:top w:val="single" w:sz="4" w:space="0" w:color="auto"/>
              <w:bottom w:val="single" w:sz="4" w:space="0" w:color="auto"/>
            </w:tcBorders>
            <w:vAlign w:val="center"/>
          </w:tcPr>
          <w:p w14:paraId="1695F27A" w14:textId="77777777" w:rsidR="00F25CE6" w:rsidRPr="00967AA2" w:rsidRDefault="00F25CE6" w:rsidP="00F25CE6">
            <w:pPr>
              <w:widowControl/>
              <w:jc w:val="center"/>
              <w:rPr>
                <w:b/>
              </w:rPr>
            </w:pPr>
            <w:r w:rsidRPr="00967AA2">
              <w:rPr>
                <w:b/>
              </w:rPr>
              <w:t>Dnevna doza (mg)</w:t>
            </w:r>
          </w:p>
        </w:tc>
      </w:tr>
      <w:tr w:rsidR="00F25CE6" w:rsidRPr="00967AA2" w14:paraId="32ECF838" w14:textId="77777777" w:rsidTr="00503528">
        <w:trPr>
          <w:trHeight w:val="20"/>
        </w:trPr>
        <w:tc>
          <w:tcPr>
            <w:tcW w:w="5894" w:type="dxa"/>
            <w:tcBorders>
              <w:top w:val="single" w:sz="4" w:space="0" w:color="auto"/>
            </w:tcBorders>
            <w:vAlign w:val="center"/>
          </w:tcPr>
          <w:p w14:paraId="0DD4009C" w14:textId="77777777" w:rsidR="00F25CE6" w:rsidRPr="00967AA2" w:rsidRDefault="00F25CE6" w:rsidP="00F25CE6">
            <w:pPr>
              <w:pStyle w:val="BodyText"/>
              <w:widowControl/>
              <w:jc w:val="center"/>
            </w:pPr>
            <w:r w:rsidRPr="00967AA2">
              <w:t>od 10 do manje od 20 kg</w:t>
            </w:r>
          </w:p>
        </w:tc>
        <w:tc>
          <w:tcPr>
            <w:tcW w:w="3185" w:type="dxa"/>
            <w:tcBorders>
              <w:top w:val="single" w:sz="4" w:space="0" w:color="auto"/>
            </w:tcBorders>
            <w:vAlign w:val="center"/>
          </w:tcPr>
          <w:p w14:paraId="19281CFE" w14:textId="77777777" w:rsidR="00F25CE6" w:rsidRPr="00967AA2" w:rsidRDefault="00F25CE6" w:rsidP="00F25CE6">
            <w:pPr>
              <w:pStyle w:val="BodyText"/>
              <w:widowControl/>
              <w:jc w:val="center"/>
            </w:pPr>
            <w:r w:rsidRPr="00967AA2">
              <w:t>40 mg</w:t>
            </w:r>
          </w:p>
        </w:tc>
      </w:tr>
      <w:tr w:rsidR="00F25CE6" w:rsidRPr="00967AA2" w14:paraId="000B5144" w14:textId="77777777" w:rsidTr="00503528">
        <w:trPr>
          <w:trHeight w:val="20"/>
        </w:trPr>
        <w:tc>
          <w:tcPr>
            <w:tcW w:w="5894" w:type="dxa"/>
            <w:vAlign w:val="center"/>
          </w:tcPr>
          <w:p w14:paraId="47FB3BCF" w14:textId="77777777" w:rsidR="00F25CE6" w:rsidRPr="00967AA2" w:rsidRDefault="00F25CE6" w:rsidP="00F25CE6">
            <w:pPr>
              <w:pStyle w:val="BodyText"/>
              <w:widowControl/>
              <w:jc w:val="center"/>
            </w:pPr>
            <w:r w:rsidRPr="00967AA2">
              <w:t>od 20 do manje od 30 kg</w:t>
            </w:r>
          </w:p>
        </w:tc>
        <w:tc>
          <w:tcPr>
            <w:tcW w:w="3185" w:type="dxa"/>
            <w:vAlign w:val="center"/>
          </w:tcPr>
          <w:p w14:paraId="0C324846" w14:textId="77777777" w:rsidR="00F25CE6" w:rsidRPr="00967AA2" w:rsidRDefault="00F25CE6" w:rsidP="00F25CE6">
            <w:pPr>
              <w:pStyle w:val="BodyText"/>
              <w:widowControl/>
              <w:jc w:val="center"/>
            </w:pPr>
            <w:r w:rsidRPr="00967AA2">
              <w:t>60 mg</w:t>
            </w:r>
          </w:p>
        </w:tc>
      </w:tr>
      <w:tr w:rsidR="00F25CE6" w:rsidRPr="00967AA2" w14:paraId="0AAB5117" w14:textId="77777777" w:rsidTr="00F25CE6">
        <w:trPr>
          <w:trHeight w:val="20"/>
        </w:trPr>
        <w:tc>
          <w:tcPr>
            <w:tcW w:w="5894" w:type="dxa"/>
            <w:vAlign w:val="center"/>
          </w:tcPr>
          <w:p w14:paraId="4D395B25" w14:textId="77777777" w:rsidR="00F25CE6" w:rsidRPr="00967AA2" w:rsidRDefault="00F25CE6" w:rsidP="00F25CE6">
            <w:pPr>
              <w:pStyle w:val="BodyText"/>
              <w:widowControl/>
              <w:jc w:val="center"/>
            </w:pPr>
            <w:r w:rsidRPr="00967AA2">
              <w:t>od 30 do manje od 45 kg</w:t>
            </w:r>
          </w:p>
        </w:tc>
        <w:tc>
          <w:tcPr>
            <w:tcW w:w="3185" w:type="dxa"/>
            <w:vAlign w:val="center"/>
          </w:tcPr>
          <w:p w14:paraId="2C6A722F" w14:textId="77777777" w:rsidR="00F25CE6" w:rsidRPr="00967AA2" w:rsidRDefault="00F25CE6" w:rsidP="00F25CE6">
            <w:pPr>
              <w:pStyle w:val="BodyText"/>
              <w:widowControl/>
              <w:jc w:val="center"/>
            </w:pPr>
            <w:r w:rsidRPr="00967AA2">
              <w:t>70 mg</w:t>
            </w:r>
          </w:p>
        </w:tc>
      </w:tr>
      <w:tr w:rsidR="00F25CE6" w:rsidRPr="00967AA2" w14:paraId="43AFAC0D" w14:textId="77777777" w:rsidTr="00F25CE6">
        <w:trPr>
          <w:trHeight w:val="20"/>
        </w:trPr>
        <w:tc>
          <w:tcPr>
            <w:tcW w:w="5894" w:type="dxa"/>
            <w:tcBorders>
              <w:bottom w:val="single" w:sz="4" w:space="0" w:color="auto"/>
            </w:tcBorders>
            <w:vAlign w:val="center"/>
          </w:tcPr>
          <w:p w14:paraId="695294ED" w14:textId="77777777" w:rsidR="00F25CE6" w:rsidRPr="00967AA2" w:rsidRDefault="00F25CE6" w:rsidP="00F25CE6">
            <w:pPr>
              <w:pStyle w:val="BodyText"/>
              <w:widowControl/>
              <w:jc w:val="center"/>
            </w:pPr>
            <w:r w:rsidRPr="00967AA2">
              <w:t>najmanje 45 kg</w:t>
            </w:r>
          </w:p>
        </w:tc>
        <w:tc>
          <w:tcPr>
            <w:tcW w:w="3185" w:type="dxa"/>
            <w:tcBorders>
              <w:bottom w:val="single" w:sz="4" w:space="0" w:color="auto"/>
            </w:tcBorders>
            <w:vAlign w:val="center"/>
          </w:tcPr>
          <w:p w14:paraId="2028436F" w14:textId="77777777" w:rsidR="00F25CE6" w:rsidRPr="00967AA2" w:rsidRDefault="00F25CE6" w:rsidP="00F25CE6">
            <w:pPr>
              <w:pStyle w:val="BodyText"/>
              <w:widowControl/>
              <w:jc w:val="center"/>
            </w:pPr>
            <w:r w:rsidRPr="00967AA2">
              <w:t>100 mg</w:t>
            </w:r>
          </w:p>
        </w:tc>
      </w:tr>
    </w:tbl>
    <w:p w14:paraId="45684770" w14:textId="1A18D90C" w:rsidR="00AF7ABC" w:rsidRPr="00F25CE6" w:rsidRDefault="00422138" w:rsidP="00612D2B">
      <w:pPr>
        <w:pStyle w:val="Footnote"/>
        <w:ind w:left="0" w:firstLine="0"/>
      </w:pPr>
      <w:r w:rsidRPr="00F25CE6">
        <w:rPr>
          <w:vertAlign w:val="superscript"/>
        </w:rPr>
        <w:t>a</w:t>
      </w:r>
      <w:r w:rsidR="00904173">
        <w:t xml:space="preserve"> </w:t>
      </w:r>
      <w:r w:rsidRPr="00F25CE6">
        <w:t>Tableta se ne preporučuje za bolesnike koji teže manje od 10 kg; u tih bolesnika treba koristiti prašak za oralnu suspenziju.</w:t>
      </w:r>
    </w:p>
    <w:p w14:paraId="4C896FEC" w14:textId="77777777" w:rsidR="00AF7ABC" w:rsidRPr="00F25CE6" w:rsidRDefault="00AF7ABC" w:rsidP="00F25CE6">
      <w:pPr>
        <w:pStyle w:val="BodyText"/>
        <w:widowControl/>
        <w:rPr>
          <w:rFonts w:asciiTheme="majorBidi" w:hAnsiTheme="majorBidi" w:cstheme="majorBidi"/>
          <w:szCs w:val="22"/>
        </w:rPr>
      </w:pPr>
    </w:p>
    <w:p w14:paraId="4F97A193"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Trajanje liječenja</w:t>
      </w:r>
    </w:p>
    <w:p w14:paraId="071E7360" w14:textId="468226E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kliničkim se ispitivanjima liječenje </w:t>
      </w:r>
      <w:r w:rsidR="008972B9">
        <w:rPr>
          <w:rFonts w:asciiTheme="majorBidi" w:hAnsiTheme="majorBidi" w:cstheme="majorBidi"/>
          <w:szCs w:val="22"/>
        </w:rPr>
        <w:t>lijekom Dasatinib Accord Healthcare</w:t>
      </w:r>
      <w:r w:rsidR="008972B9" w:rsidRPr="00F25CE6">
        <w:rPr>
          <w:rFonts w:asciiTheme="majorBidi" w:hAnsiTheme="majorBidi" w:cstheme="majorBidi"/>
          <w:szCs w:val="22"/>
        </w:rPr>
        <w:t xml:space="preserve"> </w:t>
      </w:r>
      <w:r w:rsidRPr="00F25CE6">
        <w:rPr>
          <w:rFonts w:asciiTheme="majorBidi" w:hAnsiTheme="majorBidi" w:cstheme="majorBidi"/>
          <w:szCs w:val="22"/>
        </w:rPr>
        <w:t>u odraslih s Ph+ KML</w:t>
      </w:r>
      <w:r w:rsidR="00300CE5">
        <w:rPr>
          <w:rFonts w:asciiTheme="majorBidi" w:hAnsiTheme="majorBidi" w:cstheme="majorBidi"/>
          <w:szCs w:val="22"/>
        </w:rPr>
        <w:t>-om,</w:t>
      </w:r>
      <w:r w:rsidRPr="00F25CE6">
        <w:rPr>
          <w:rFonts w:asciiTheme="majorBidi" w:hAnsiTheme="majorBidi" w:cstheme="majorBidi"/>
          <w:szCs w:val="22"/>
        </w:rPr>
        <w:t xml:space="preserve"> u kroničnoj fazi, KML</w:t>
      </w:r>
      <w:r w:rsidR="00300CE5">
        <w:rPr>
          <w:rFonts w:asciiTheme="majorBidi" w:hAnsiTheme="majorBidi" w:cstheme="majorBidi"/>
          <w:szCs w:val="22"/>
        </w:rPr>
        <w:t>-om</w:t>
      </w:r>
      <w:r w:rsidRPr="00F25CE6">
        <w:rPr>
          <w:rFonts w:asciiTheme="majorBidi" w:hAnsiTheme="majorBidi" w:cstheme="majorBidi"/>
          <w:szCs w:val="22"/>
        </w:rPr>
        <w:t xml:space="preserve"> u fazi ubrzanja, fazi mijeloidne ili limfoidne blastne krize (uznapredovala faza) ili Ph+ ALL</w:t>
      </w:r>
      <w:r w:rsidR="00300CE5">
        <w:rPr>
          <w:rFonts w:asciiTheme="majorBidi" w:hAnsiTheme="majorBidi" w:cstheme="majorBidi"/>
          <w:szCs w:val="22"/>
        </w:rPr>
        <w:t>-om</w:t>
      </w:r>
      <w:r w:rsidRPr="00F25CE6">
        <w:rPr>
          <w:rFonts w:asciiTheme="majorBidi" w:hAnsiTheme="majorBidi" w:cstheme="majorBidi"/>
          <w:szCs w:val="22"/>
        </w:rPr>
        <w:t xml:space="preserve"> te u pedijatrijskih bolesnika s Ph+ KML</w:t>
      </w:r>
      <w:r w:rsidR="00300CE5">
        <w:rPr>
          <w:rFonts w:asciiTheme="majorBidi" w:hAnsiTheme="majorBidi" w:cstheme="majorBidi"/>
          <w:szCs w:val="22"/>
        </w:rPr>
        <w:t>-om</w:t>
      </w:r>
      <w:r w:rsidRPr="00F25CE6">
        <w:rPr>
          <w:rFonts w:asciiTheme="majorBidi" w:hAnsiTheme="majorBidi" w:cstheme="majorBidi"/>
          <w:szCs w:val="22"/>
        </w:rPr>
        <w:t xml:space="preserve"> u kroničnoj fazi nastavilo do progresije bolesti ili dok ga bolesnik više nije mogao podnositi. Učinak prekida liječenja na dugoročan ishod bolesti nakon postizanja citogenetskog ili molekularnog odgovora [uključujući potpun citogenetski odgovor (engl. </w:t>
      </w:r>
      <w:r w:rsidRPr="00F25CE6">
        <w:rPr>
          <w:rFonts w:asciiTheme="majorBidi" w:hAnsiTheme="majorBidi" w:cstheme="majorBidi"/>
          <w:i/>
          <w:szCs w:val="22"/>
        </w:rPr>
        <w:t>complete cytogenetic response</w:t>
      </w:r>
      <w:r w:rsidRPr="00F25CE6">
        <w:rPr>
          <w:rFonts w:asciiTheme="majorBidi" w:hAnsiTheme="majorBidi" w:cstheme="majorBidi"/>
          <w:szCs w:val="22"/>
        </w:rPr>
        <w:t xml:space="preserve">, CCyR), značajan molekularni odgovor (engl. </w:t>
      </w:r>
      <w:r w:rsidRPr="00F25CE6">
        <w:rPr>
          <w:rFonts w:asciiTheme="majorBidi" w:hAnsiTheme="majorBidi" w:cstheme="majorBidi"/>
          <w:i/>
          <w:szCs w:val="22"/>
        </w:rPr>
        <w:t>major molecular response</w:t>
      </w:r>
      <w:r w:rsidRPr="00F25CE6">
        <w:rPr>
          <w:rFonts w:asciiTheme="majorBidi" w:hAnsiTheme="majorBidi" w:cstheme="majorBidi"/>
          <w:szCs w:val="22"/>
        </w:rPr>
        <w:t>, MMR) i MR4,5] nije ispitivan.</w:t>
      </w:r>
    </w:p>
    <w:p w14:paraId="363CDDBA" w14:textId="77777777" w:rsidR="00AF7ABC" w:rsidRPr="00F25CE6" w:rsidRDefault="00AF7ABC" w:rsidP="00F25CE6">
      <w:pPr>
        <w:pStyle w:val="BodyText"/>
        <w:widowControl/>
        <w:rPr>
          <w:rFonts w:asciiTheme="majorBidi" w:hAnsiTheme="majorBidi" w:cstheme="majorBidi"/>
          <w:szCs w:val="22"/>
        </w:rPr>
      </w:pPr>
    </w:p>
    <w:p w14:paraId="5812F6B8" w14:textId="47BC5CA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kliničkim se ispitivanjima </w:t>
      </w:r>
      <w:r w:rsidR="009E6528">
        <w:rPr>
          <w:rFonts w:asciiTheme="majorBidi" w:hAnsiTheme="majorBidi" w:cstheme="majorBidi"/>
          <w:szCs w:val="22"/>
        </w:rPr>
        <w:t>dasatinib</w:t>
      </w:r>
      <w:r w:rsidR="008972B9" w:rsidRPr="00F25CE6">
        <w:rPr>
          <w:rFonts w:asciiTheme="majorBidi" w:hAnsiTheme="majorBidi" w:cstheme="majorBidi"/>
          <w:szCs w:val="22"/>
        </w:rPr>
        <w:t xml:space="preserve"> </w:t>
      </w:r>
      <w:r w:rsidRPr="00F25CE6">
        <w:rPr>
          <w:rFonts w:asciiTheme="majorBidi" w:hAnsiTheme="majorBidi" w:cstheme="majorBidi"/>
          <w:szCs w:val="22"/>
        </w:rPr>
        <w:t>u pedijatrijskih bolesnika s Ph+ ALL</w:t>
      </w:r>
      <w:r w:rsidR="00300CE5">
        <w:rPr>
          <w:rFonts w:asciiTheme="majorBidi" w:hAnsiTheme="majorBidi" w:cstheme="majorBidi"/>
          <w:szCs w:val="22"/>
        </w:rPr>
        <w:t>-om</w:t>
      </w:r>
      <w:r w:rsidRPr="00F25CE6">
        <w:rPr>
          <w:rFonts w:asciiTheme="majorBidi" w:hAnsiTheme="majorBidi" w:cstheme="majorBidi"/>
          <w:szCs w:val="22"/>
        </w:rPr>
        <w:t xml:space="preserve"> primjenjivao kontinuirano, kao dodatak uzastopnim blokovima osnovne kemoterapije, tijekom najviše dvije godine. U bolesnika koji se zatim podvrgnu presađivanju matičnih stanica </w:t>
      </w:r>
      <w:r w:rsidR="009E6528">
        <w:rPr>
          <w:rFonts w:asciiTheme="majorBidi" w:hAnsiTheme="majorBidi" w:cstheme="majorBidi"/>
          <w:szCs w:val="22"/>
        </w:rPr>
        <w:t>dasatinib</w:t>
      </w:r>
      <w:r w:rsidR="008972B9" w:rsidRPr="00F25CE6">
        <w:rPr>
          <w:rFonts w:asciiTheme="majorBidi" w:hAnsiTheme="majorBidi" w:cstheme="majorBidi"/>
          <w:szCs w:val="22"/>
        </w:rPr>
        <w:t xml:space="preserve"> </w:t>
      </w:r>
      <w:r w:rsidRPr="00F25CE6">
        <w:rPr>
          <w:rFonts w:asciiTheme="majorBidi" w:hAnsiTheme="majorBidi" w:cstheme="majorBidi"/>
          <w:szCs w:val="22"/>
        </w:rPr>
        <w:t>se može primjenjivati još godinu dana nakon presađivanja.</w:t>
      </w:r>
    </w:p>
    <w:p w14:paraId="6A8FDBFD" w14:textId="77777777" w:rsidR="00AF7ABC" w:rsidRPr="00F25CE6" w:rsidRDefault="00AF7ABC" w:rsidP="00F25CE6">
      <w:pPr>
        <w:pStyle w:val="BodyText"/>
        <w:widowControl/>
        <w:rPr>
          <w:rFonts w:asciiTheme="majorBidi" w:hAnsiTheme="majorBidi" w:cstheme="majorBidi"/>
          <w:szCs w:val="22"/>
        </w:rPr>
      </w:pPr>
    </w:p>
    <w:p w14:paraId="2BF76F60" w14:textId="663A39A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Da bi se postigla preporučena doza, </w:t>
      </w:r>
      <w:r w:rsidR="009E6528">
        <w:rPr>
          <w:rFonts w:asciiTheme="majorBidi" w:hAnsiTheme="majorBidi" w:cstheme="majorBidi"/>
          <w:szCs w:val="22"/>
        </w:rPr>
        <w:t>dasatinib</w:t>
      </w:r>
      <w:r w:rsidRPr="00F25CE6">
        <w:rPr>
          <w:rFonts w:asciiTheme="majorBidi" w:hAnsiTheme="majorBidi" w:cstheme="majorBidi"/>
          <w:szCs w:val="22"/>
        </w:rPr>
        <w:t xml:space="preserve"> je dostupan u obliku filmom obloženih tableta od</w:t>
      </w:r>
      <w:r w:rsidR="00F25CE6">
        <w:rPr>
          <w:rFonts w:asciiTheme="majorBidi" w:hAnsiTheme="majorBidi" w:cstheme="majorBidi"/>
          <w:szCs w:val="22"/>
        </w:rPr>
        <w:t xml:space="preserve"> </w:t>
      </w:r>
      <w:r w:rsidRPr="00F25CE6">
        <w:rPr>
          <w:rFonts w:asciiTheme="majorBidi" w:hAnsiTheme="majorBidi" w:cstheme="majorBidi"/>
          <w:szCs w:val="22"/>
        </w:rPr>
        <w:t>20 mg, 50 mg, 70 mg, 80 mg, 100 mg i 140 mg</w:t>
      </w:r>
      <w:r w:rsidR="009505AC">
        <w:rPr>
          <w:rFonts w:asciiTheme="majorBidi" w:hAnsiTheme="majorBidi" w:cstheme="majorBidi"/>
          <w:szCs w:val="22"/>
        </w:rPr>
        <w:t xml:space="preserve">. </w:t>
      </w:r>
      <w:r w:rsidRPr="00F25CE6">
        <w:rPr>
          <w:rFonts w:asciiTheme="majorBidi" w:hAnsiTheme="majorBidi" w:cstheme="majorBidi"/>
          <w:szCs w:val="22"/>
        </w:rPr>
        <w:t>Preporučuje se povećanje ili smanjenje doze na temelju kliničkog odgovora bolesnika i podnošljivosti lijeka.</w:t>
      </w:r>
    </w:p>
    <w:p w14:paraId="4E787005" w14:textId="77777777" w:rsidR="00AF7ABC" w:rsidRPr="00F25CE6" w:rsidRDefault="00AF7ABC" w:rsidP="00F25CE6">
      <w:pPr>
        <w:pStyle w:val="BodyText"/>
        <w:widowControl/>
        <w:rPr>
          <w:rFonts w:asciiTheme="majorBidi" w:hAnsiTheme="majorBidi" w:cstheme="majorBidi"/>
          <w:szCs w:val="22"/>
        </w:rPr>
      </w:pPr>
    </w:p>
    <w:p w14:paraId="7D6E47DB"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Postupno povećanje doze</w:t>
      </w:r>
    </w:p>
    <w:p w14:paraId="0AC786CF" w14:textId="28ECC221"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kliničkim je ispitivanjima u odraslih bolesnika s KML</w:t>
      </w:r>
      <w:r w:rsidR="00300CE5">
        <w:rPr>
          <w:rFonts w:asciiTheme="majorBidi" w:hAnsiTheme="majorBidi" w:cstheme="majorBidi"/>
          <w:szCs w:val="22"/>
        </w:rPr>
        <w:t>-om</w:t>
      </w:r>
      <w:r w:rsidRPr="00F25CE6">
        <w:rPr>
          <w:rFonts w:asciiTheme="majorBidi" w:hAnsiTheme="majorBidi" w:cstheme="majorBidi"/>
          <w:szCs w:val="22"/>
        </w:rPr>
        <w:t xml:space="preserve"> i Ph+ ALL</w:t>
      </w:r>
      <w:r w:rsidR="00300CE5">
        <w:rPr>
          <w:rFonts w:asciiTheme="majorBidi" w:hAnsiTheme="majorBidi" w:cstheme="majorBidi"/>
          <w:szCs w:val="22"/>
        </w:rPr>
        <w:t>-om</w:t>
      </w:r>
      <w:r w:rsidRPr="00F25CE6">
        <w:rPr>
          <w:rFonts w:asciiTheme="majorBidi" w:hAnsiTheme="majorBidi" w:cstheme="majorBidi"/>
          <w:szCs w:val="22"/>
        </w:rPr>
        <w:t xml:space="preserve"> povećanje doze na 140 mg jedanput dnevno (</w:t>
      </w:r>
      <w:r w:rsidR="002D7341">
        <w:rPr>
          <w:rFonts w:asciiTheme="majorBidi" w:hAnsiTheme="majorBidi" w:cstheme="majorBidi"/>
          <w:szCs w:val="22"/>
        </w:rPr>
        <w:t xml:space="preserve">KML u </w:t>
      </w:r>
      <w:r w:rsidRPr="00F25CE6">
        <w:rPr>
          <w:rFonts w:asciiTheme="majorBidi" w:hAnsiTheme="majorBidi" w:cstheme="majorBidi"/>
          <w:szCs w:val="22"/>
        </w:rPr>
        <w:t>kroničn</w:t>
      </w:r>
      <w:r w:rsidR="002D7341">
        <w:rPr>
          <w:rFonts w:asciiTheme="majorBidi" w:hAnsiTheme="majorBidi" w:cstheme="majorBidi"/>
          <w:szCs w:val="22"/>
        </w:rPr>
        <w:t>oj</w:t>
      </w:r>
      <w:r w:rsidRPr="00F25CE6">
        <w:rPr>
          <w:rFonts w:asciiTheme="majorBidi" w:hAnsiTheme="majorBidi" w:cstheme="majorBidi"/>
          <w:szCs w:val="22"/>
        </w:rPr>
        <w:t xml:space="preserve"> faz</w:t>
      </w:r>
      <w:r w:rsidR="002D7341">
        <w:rPr>
          <w:rFonts w:asciiTheme="majorBidi" w:hAnsiTheme="majorBidi" w:cstheme="majorBidi"/>
          <w:szCs w:val="22"/>
        </w:rPr>
        <w:t>i</w:t>
      </w:r>
      <w:r w:rsidRPr="00F25CE6">
        <w:rPr>
          <w:rFonts w:asciiTheme="majorBidi" w:hAnsiTheme="majorBidi" w:cstheme="majorBidi"/>
          <w:szCs w:val="22"/>
        </w:rPr>
        <w:t>) ili 180 mg jedanput dnevno (</w:t>
      </w:r>
      <w:r w:rsidR="002D7341">
        <w:rPr>
          <w:rFonts w:asciiTheme="majorBidi" w:hAnsiTheme="majorBidi" w:cstheme="majorBidi"/>
          <w:szCs w:val="22"/>
        </w:rPr>
        <w:t xml:space="preserve">KML u </w:t>
      </w:r>
      <w:r w:rsidRPr="00F25CE6">
        <w:rPr>
          <w:rFonts w:asciiTheme="majorBidi" w:hAnsiTheme="majorBidi" w:cstheme="majorBidi"/>
          <w:szCs w:val="22"/>
        </w:rPr>
        <w:t>uznapredoval</w:t>
      </w:r>
      <w:r w:rsidR="002D7341">
        <w:rPr>
          <w:rFonts w:asciiTheme="majorBidi" w:hAnsiTheme="majorBidi" w:cstheme="majorBidi"/>
          <w:szCs w:val="22"/>
        </w:rPr>
        <w:t>oj</w:t>
      </w:r>
      <w:r w:rsidRPr="00F25CE6">
        <w:rPr>
          <w:rFonts w:asciiTheme="majorBidi" w:hAnsiTheme="majorBidi" w:cstheme="majorBidi"/>
          <w:szCs w:val="22"/>
        </w:rPr>
        <w:t xml:space="preserve"> faz</w:t>
      </w:r>
      <w:r w:rsidR="002D7341">
        <w:rPr>
          <w:rFonts w:asciiTheme="majorBidi" w:hAnsiTheme="majorBidi" w:cstheme="majorBidi"/>
          <w:szCs w:val="22"/>
        </w:rPr>
        <w:t>i</w:t>
      </w:r>
      <w:r w:rsidRPr="00F25CE6">
        <w:rPr>
          <w:rFonts w:asciiTheme="majorBidi" w:hAnsiTheme="majorBidi" w:cstheme="majorBidi"/>
          <w:szCs w:val="22"/>
        </w:rPr>
        <w:t xml:space="preserve"> ili Ph+ ALL) bilo dopušteno u bolesnika koji nisu postigli hematološki ili citogenetski odgovor na preporučenu početnu dozu.</w:t>
      </w:r>
    </w:p>
    <w:p w14:paraId="238B7C8E" w14:textId="77777777" w:rsidR="00AF7ABC" w:rsidRPr="00F25CE6" w:rsidRDefault="00AF7ABC" w:rsidP="00F25CE6">
      <w:pPr>
        <w:pStyle w:val="BodyText"/>
        <w:widowControl/>
        <w:rPr>
          <w:rFonts w:asciiTheme="majorBidi" w:hAnsiTheme="majorBidi" w:cstheme="majorBidi"/>
          <w:szCs w:val="22"/>
        </w:rPr>
      </w:pPr>
    </w:p>
    <w:p w14:paraId="393626C2" w14:textId="0C33789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Postupno povećavanje doze prikazano u Tablici 2 preporučuje se za pedijatrijske bolesnike s Ph+ KML</w:t>
      </w:r>
      <w:r w:rsidR="00300CE5">
        <w:rPr>
          <w:rFonts w:asciiTheme="majorBidi" w:hAnsiTheme="majorBidi" w:cstheme="majorBidi"/>
          <w:szCs w:val="22"/>
        </w:rPr>
        <w:t>-om</w:t>
      </w:r>
      <w:r w:rsidRPr="00F25CE6">
        <w:rPr>
          <w:rFonts w:asciiTheme="majorBidi" w:hAnsiTheme="majorBidi" w:cstheme="majorBidi"/>
          <w:szCs w:val="22"/>
        </w:rPr>
        <w:t xml:space="preserve"> u kroničnoj fazi koji ne postignu hematološki, citogenetski i molekularni odgovor u</w:t>
      </w:r>
    </w:p>
    <w:p w14:paraId="6D79ABC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preporučenim vremenskim točkama prema trenutno važećim smjernicama za liječenje i koji podnose liječenje.</w:t>
      </w:r>
    </w:p>
    <w:p w14:paraId="2F4AB6E9" w14:textId="77777777" w:rsidR="006B5AE9" w:rsidRDefault="006B5AE9" w:rsidP="0031614A">
      <w:pPr>
        <w:pStyle w:val="Tableheading"/>
        <w:ind w:left="0" w:firstLine="0"/>
      </w:pPr>
    </w:p>
    <w:p w14:paraId="700B5FEB" w14:textId="06F6CFA6" w:rsidR="00AF7ABC" w:rsidRPr="00F25CE6" w:rsidRDefault="00422138" w:rsidP="00503528">
      <w:pPr>
        <w:pStyle w:val="Tableheading"/>
      </w:pPr>
      <w:r w:rsidRPr="00F25CE6">
        <w:t>Tablica 2:</w:t>
      </w:r>
      <w:r w:rsidR="00F25CE6">
        <w:tab/>
      </w:r>
      <w:r w:rsidRPr="00F25CE6">
        <w:t xml:space="preserve">Postupno povećanje doze za pedijatrijske bolesnike </w:t>
      </w:r>
      <w:r w:rsidR="002157D3">
        <w:t xml:space="preserve">s </w:t>
      </w:r>
      <w:r w:rsidRPr="00F25CE6">
        <w:t>Ph+ KML</w:t>
      </w:r>
      <w:r w:rsidR="00300CE5">
        <w:t>-om</w:t>
      </w:r>
      <w:r w:rsidRPr="00F25CE6">
        <w:t xml:space="preserve"> u kroničnoj fazi</w:t>
      </w:r>
    </w:p>
    <w:tbl>
      <w:tblPr>
        <w:tblStyle w:val="TableGrid"/>
        <w:tblW w:w="907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58" w:type="dxa"/>
          <w:bottom w:w="14" w:type="dxa"/>
          <w:right w:w="58" w:type="dxa"/>
        </w:tblCellMar>
        <w:tblLook w:val="04A0" w:firstRow="1" w:lastRow="0" w:firstColumn="1" w:lastColumn="0" w:noHBand="0" w:noVBand="1"/>
      </w:tblPr>
      <w:tblGrid>
        <w:gridCol w:w="3024"/>
        <w:gridCol w:w="3024"/>
        <w:gridCol w:w="3024"/>
      </w:tblGrid>
      <w:tr w:rsidR="00F25CE6" w:rsidRPr="00967AA2" w14:paraId="59C57C35" w14:textId="77777777" w:rsidTr="00503528">
        <w:tc>
          <w:tcPr>
            <w:tcW w:w="3024" w:type="dxa"/>
            <w:tcBorders>
              <w:top w:val="single" w:sz="4" w:space="0" w:color="auto"/>
              <w:bottom w:val="single" w:sz="4" w:space="0" w:color="auto"/>
            </w:tcBorders>
            <w:vAlign w:val="center"/>
          </w:tcPr>
          <w:p w14:paraId="7F6BAC1C" w14:textId="77777777" w:rsidR="00F25CE6" w:rsidRPr="00967AA2" w:rsidRDefault="00F25CE6" w:rsidP="00503528">
            <w:pPr>
              <w:jc w:val="center"/>
              <w:rPr>
                <w:b/>
              </w:rPr>
            </w:pPr>
          </w:p>
        </w:tc>
        <w:tc>
          <w:tcPr>
            <w:tcW w:w="6048" w:type="dxa"/>
            <w:gridSpan w:val="2"/>
            <w:tcBorders>
              <w:top w:val="single" w:sz="4" w:space="0" w:color="auto"/>
              <w:bottom w:val="single" w:sz="4" w:space="0" w:color="auto"/>
            </w:tcBorders>
            <w:vAlign w:val="center"/>
          </w:tcPr>
          <w:p w14:paraId="60B6A42F" w14:textId="77777777" w:rsidR="00F25CE6" w:rsidRPr="00967AA2" w:rsidRDefault="00F25CE6" w:rsidP="00503528">
            <w:pPr>
              <w:jc w:val="center"/>
              <w:rPr>
                <w:b/>
              </w:rPr>
            </w:pPr>
            <w:r w:rsidRPr="00967AA2">
              <w:rPr>
                <w:b/>
              </w:rPr>
              <w:t>Doza (maksimalna dnevna doza)</w:t>
            </w:r>
          </w:p>
        </w:tc>
      </w:tr>
      <w:tr w:rsidR="00F25CE6" w:rsidRPr="00967AA2" w14:paraId="04172FFA" w14:textId="77777777" w:rsidTr="00503528">
        <w:tc>
          <w:tcPr>
            <w:tcW w:w="3024" w:type="dxa"/>
            <w:tcBorders>
              <w:top w:val="single" w:sz="4" w:space="0" w:color="auto"/>
              <w:bottom w:val="single" w:sz="4" w:space="0" w:color="auto"/>
            </w:tcBorders>
            <w:vAlign w:val="center"/>
          </w:tcPr>
          <w:p w14:paraId="083AF4FE" w14:textId="77777777" w:rsidR="00F25CE6" w:rsidRPr="00967AA2" w:rsidRDefault="00F25CE6" w:rsidP="00503528">
            <w:pPr>
              <w:jc w:val="center"/>
              <w:rPr>
                <w:b/>
              </w:rPr>
            </w:pPr>
          </w:p>
        </w:tc>
        <w:tc>
          <w:tcPr>
            <w:tcW w:w="3024" w:type="dxa"/>
            <w:tcBorders>
              <w:top w:val="single" w:sz="4" w:space="0" w:color="auto"/>
              <w:bottom w:val="single" w:sz="4" w:space="0" w:color="auto"/>
            </w:tcBorders>
            <w:vAlign w:val="center"/>
          </w:tcPr>
          <w:p w14:paraId="58D571CA" w14:textId="77777777" w:rsidR="00F25CE6" w:rsidRPr="00967AA2" w:rsidRDefault="00F25CE6" w:rsidP="00503528">
            <w:pPr>
              <w:jc w:val="center"/>
              <w:rPr>
                <w:b/>
              </w:rPr>
            </w:pPr>
            <w:r w:rsidRPr="00967AA2">
              <w:rPr>
                <w:b/>
              </w:rPr>
              <w:t>Početna doza</w:t>
            </w:r>
          </w:p>
        </w:tc>
        <w:tc>
          <w:tcPr>
            <w:tcW w:w="3024" w:type="dxa"/>
            <w:tcBorders>
              <w:top w:val="single" w:sz="4" w:space="0" w:color="auto"/>
              <w:bottom w:val="single" w:sz="4" w:space="0" w:color="auto"/>
            </w:tcBorders>
            <w:vAlign w:val="center"/>
          </w:tcPr>
          <w:p w14:paraId="0F7B3118" w14:textId="77777777" w:rsidR="00F25CE6" w:rsidRPr="00967AA2" w:rsidRDefault="00F25CE6" w:rsidP="00503528">
            <w:pPr>
              <w:jc w:val="center"/>
              <w:rPr>
                <w:b/>
              </w:rPr>
            </w:pPr>
            <w:r w:rsidRPr="00967AA2">
              <w:rPr>
                <w:b/>
              </w:rPr>
              <w:t>Povećanje doze</w:t>
            </w:r>
          </w:p>
        </w:tc>
      </w:tr>
      <w:tr w:rsidR="00F25CE6" w:rsidRPr="00967AA2" w14:paraId="1092BEB2" w14:textId="77777777" w:rsidTr="00503528">
        <w:tc>
          <w:tcPr>
            <w:tcW w:w="3024" w:type="dxa"/>
            <w:tcBorders>
              <w:top w:val="single" w:sz="4" w:space="0" w:color="auto"/>
            </w:tcBorders>
            <w:vAlign w:val="center"/>
          </w:tcPr>
          <w:p w14:paraId="08983D86" w14:textId="77777777" w:rsidR="00F25CE6" w:rsidRPr="00967AA2" w:rsidRDefault="00F25CE6" w:rsidP="00503528">
            <w:pPr>
              <w:jc w:val="center"/>
              <w:rPr>
                <w:b/>
              </w:rPr>
            </w:pPr>
            <w:r w:rsidRPr="00967AA2">
              <w:rPr>
                <w:b/>
              </w:rPr>
              <w:lastRenderedPageBreak/>
              <w:t>Tablete</w:t>
            </w:r>
          </w:p>
        </w:tc>
        <w:tc>
          <w:tcPr>
            <w:tcW w:w="3024" w:type="dxa"/>
            <w:tcBorders>
              <w:top w:val="single" w:sz="4" w:space="0" w:color="auto"/>
            </w:tcBorders>
            <w:vAlign w:val="center"/>
          </w:tcPr>
          <w:p w14:paraId="537CFDE4" w14:textId="77777777" w:rsidR="00F25CE6" w:rsidRPr="00967AA2" w:rsidRDefault="00F25CE6" w:rsidP="00503528">
            <w:pPr>
              <w:jc w:val="center"/>
            </w:pPr>
            <w:r w:rsidRPr="00967AA2">
              <w:t>40 mg</w:t>
            </w:r>
          </w:p>
        </w:tc>
        <w:tc>
          <w:tcPr>
            <w:tcW w:w="3024" w:type="dxa"/>
            <w:tcBorders>
              <w:top w:val="single" w:sz="4" w:space="0" w:color="auto"/>
            </w:tcBorders>
            <w:vAlign w:val="center"/>
          </w:tcPr>
          <w:p w14:paraId="7D250737" w14:textId="77777777" w:rsidR="00F25CE6" w:rsidRPr="00967AA2" w:rsidRDefault="00F25CE6" w:rsidP="00503528">
            <w:pPr>
              <w:jc w:val="center"/>
            </w:pPr>
            <w:r w:rsidRPr="00967AA2">
              <w:t>50 mg</w:t>
            </w:r>
          </w:p>
        </w:tc>
      </w:tr>
      <w:tr w:rsidR="00F25CE6" w:rsidRPr="00967AA2" w14:paraId="3FD2FFB0" w14:textId="77777777" w:rsidTr="00503528">
        <w:tc>
          <w:tcPr>
            <w:tcW w:w="3024" w:type="dxa"/>
            <w:vAlign w:val="center"/>
          </w:tcPr>
          <w:p w14:paraId="68AA73ED" w14:textId="77777777" w:rsidR="00F25CE6" w:rsidRPr="00967AA2" w:rsidRDefault="00F25CE6" w:rsidP="00503528">
            <w:pPr>
              <w:pStyle w:val="BodyText"/>
              <w:jc w:val="center"/>
            </w:pPr>
          </w:p>
        </w:tc>
        <w:tc>
          <w:tcPr>
            <w:tcW w:w="3024" w:type="dxa"/>
            <w:vAlign w:val="center"/>
          </w:tcPr>
          <w:p w14:paraId="6E2E2CF4" w14:textId="77777777" w:rsidR="00F25CE6" w:rsidRPr="00967AA2" w:rsidRDefault="00F25CE6" w:rsidP="00503528">
            <w:pPr>
              <w:pStyle w:val="BodyText"/>
              <w:jc w:val="center"/>
            </w:pPr>
            <w:r w:rsidRPr="00967AA2">
              <w:t>60 mg</w:t>
            </w:r>
          </w:p>
        </w:tc>
        <w:tc>
          <w:tcPr>
            <w:tcW w:w="3024" w:type="dxa"/>
            <w:vAlign w:val="center"/>
          </w:tcPr>
          <w:p w14:paraId="7C7F6F05" w14:textId="77777777" w:rsidR="00F25CE6" w:rsidRPr="00967AA2" w:rsidRDefault="00F25CE6" w:rsidP="00503528">
            <w:pPr>
              <w:pStyle w:val="BodyText"/>
              <w:jc w:val="center"/>
            </w:pPr>
            <w:r w:rsidRPr="00967AA2">
              <w:t>70 mg</w:t>
            </w:r>
          </w:p>
        </w:tc>
      </w:tr>
      <w:tr w:rsidR="00F25CE6" w:rsidRPr="00967AA2" w14:paraId="58A11BDB" w14:textId="77777777" w:rsidTr="00503528">
        <w:tc>
          <w:tcPr>
            <w:tcW w:w="3024" w:type="dxa"/>
            <w:vAlign w:val="center"/>
          </w:tcPr>
          <w:p w14:paraId="1CA7D9EF" w14:textId="77777777" w:rsidR="00F25CE6" w:rsidRPr="00967AA2" w:rsidRDefault="00F25CE6" w:rsidP="00503528">
            <w:pPr>
              <w:pStyle w:val="BodyText"/>
              <w:jc w:val="center"/>
            </w:pPr>
          </w:p>
        </w:tc>
        <w:tc>
          <w:tcPr>
            <w:tcW w:w="3024" w:type="dxa"/>
            <w:vAlign w:val="center"/>
          </w:tcPr>
          <w:p w14:paraId="6E6054E0" w14:textId="77777777" w:rsidR="00F25CE6" w:rsidRPr="00967AA2" w:rsidRDefault="00F25CE6" w:rsidP="00503528">
            <w:pPr>
              <w:pStyle w:val="BodyText"/>
              <w:jc w:val="center"/>
            </w:pPr>
            <w:r w:rsidRPr="00967AA2">
              <w:t>70 mg</w:t>
            </w:r>
          </w:p>
        </w:tc>
        <w:tc>
          <w:tcPr>
            <w:tcW w:w="3024" w:type="dxa"/>
            <w:vAlign w:val="center"/>
          </w:tcPr>
          <w:p w14:paraId="00A51847" w14:textId="77777777" w:rsidR="00F25CE6" w:rsidRPr="00967AA2" w:rsidRDefault="00F25CE6" w:rsidP="00503528">
            <w:pPr>
              <w:pStyle w:val="BodyText"/>
              <w:jc w:val="center"/>
            </w:pPr>
            <w:r w:rsidRPr="00967AA2">
              <w:t>90 mg</w:t>
            </w:r>
          </w:p>
        </w:tc>
      </w:tr>
      <w:tr w:rsidR="00F25CE6" w:rsidRPr="00967AA2" w14:paraId="0DB9285F" w14:textId="77777777" w:rsidTr="00503528">
        <w:tc>
          <w:tcPr>
            <w:tcW w:w="3024" w:type="dxa"/>
            <w:tcBorders>
              <w:bottom w:val="single" w:sz="4" w:space="0" w:color="auto"/>
            </w:tcBorders>
            <w:vAlign w:val="center"/>
          </w:tcPr>
          <w:p w14:paraId="37B68603" w14:textId="77777777" w:rsidR="00F25CE6" w:rsidRPr="00967AA2" w:rsidRDefault="00F25CE6" w:rsidP="00503528">
            <w:pPr>
              <w:pStyle w:val="BodyText"/>
              <w:jc w:val="center"/>
            </w:pPr>
          </w:p>
        </w:tc>
        <w:tc>
          <w:tcPr>
            <w:tcW w:w="3024" w:type="dxa"/>
            <w:tcBorders>
              <w:bottom w:val="single" w:sz="4" w:space="0" w:color="auto"/>
            </w:tcBorders>
            <w:vAlign w:val="center"/>
          </w:tcPr>
          <w:p w14:paraId="70400424" w14:textId="77777777" w:rsidR="00F25CE6" w:rsidRPr="00967AA2" w:rsidRDefault="00F25CE6" w:rsidP="00503528">
            <w:pPr>
              <w:pStyle w:val="BodyText"/>
              <w:jc w:val="center"/>
            </w:pPr>
            <w:r w:rsidRPr="00967AA2">
              <w:t>100 mg</w:t>
            </w:r>
          </w:p>
        </w:tc>
        <w:tc>
          <w:tcPr>
            <w:tcW w:w="3024" w:type="dxa"/>
            <w:tcBorders>
              <w:bottom w:val="single" w:sz="4" w:space="0" w:color="auto"/>
            </w:tcBorders>
            <w:vAlign w:val="center"/>
          </w:tcPr>
          <w:p w14:paraId="62EBDE39" w14:textId="77777777" w:rsidR="00F25CE6" w:rsidRPr="00967AA2" w:rsidRDefault="00F25CE6" w:rsidP="00503528">
            <w:pPr>
              <w:pStyle w:val="BodyText"/>
              <w:jc w:val="center"/>
            </w:pPr>
            <w:r w:rsidRPr="00967AA2">
              <w:t>120 mg</w:t>
            </w:r>
          </w:p>
        </w:tc>
      </w:tr>
    </w:tbl>
    <w:p w14:paraId="134E7B10" w14:textId="77777777" w:rsidR="00025E8A" w:rsidRPr="00F25CE6" w:rsidRDefault="00025E8A" w:rsidP="00F25CE6">
      <w:pPr>
        <w:pStyle w:val="BodyText"/>
        <w:widowControl/>
        <w:rPr>
          <w:rFonts w:asciiTheme="majorBidi" w:hAnsiTheme="majorBidi" w:cstheme="majorBidi"/>
          <w:szCs w:val="22"/>
        </w:rPr>
      </w:pPr>
    </w:p>
    <w:p w14:paraId="44D3D148" w14:textId="1BE0250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Postupno povećavanje doze za pedijatrijske bolesnike s Ph+ ALL</w:t>
      </w:r>
      <w:r w:rsidR="002D7341">
        <w:rPr>
          <w:rFonts w:asciiTheme="majorBidi" w:hAnsiTheme="majorBidi" w:cstheme="majorBidi"/>
          <w:szCs w:val="22"/>
        </w:rPr>
        <w:t>-om</w:t>
      </w:r>
      <w:r w:rsidRPr="00F25CE6">
        <w:rPr>
          <w:rFonts w:asciiTheme="majorBidi" w:hAnsiTheme="majorBidi" w:cstheme="majorBidi"/>
          <w:szCs w:val="22"/>
        </w:rPr>
        <w:t xml:space="preserve"> se ne preporučuje jer se u tih bolesnika </w:t>
      </w:r>
      <w:r w:rsidR="009E6528">
        <w:rPr>
          <w:rFonts w:asciiTheme="majorBidi" w:hAnsiTheme="majorBidi" w:cstheme="majorBidi"/>
          <w:szCs w:val="22"/>
        </w:rPr>
        <w:t>dasatinib</w:t>
      </w:r>
      <w:r w:rsidRPr="00F25CE6">
        <w:rPr>
          <w:rFonts w:asciiTheme="majorBidi" w:hAnsiTheme="majorBidi" w:cstheme="majorBidi"/>
          <w:szCs w:val="22"/>
        </w:rPr>
        <w:t xml:space="preserve"> primjenjuje u kombinaciji s kemoterapijom.</w:t>
      </w:r>
    </w:p>
    <w:p w14:paraId="0D10810A" w14:textId="77777777" w:rsidR="00AF7ABC" w:rsidRPr="00F25CE6" w:rsidRDefault="00AF7ABC" w:rsidP="00F25CE6">
      <w:pPr>
        <w:pStyle w:val="BodyText"/>
        <w:widowControl/>
        <w:rPr>
          <w:rFonts w:asciiTheme="majorBidi" w:hAnsiTheme="majorBidi" w:cstheme="majorBidi"/>
          <w:szCs w:val="22"/>
        </w:rPr>
      </w:pPr>
    </w:p>
    <w:p w14:paraId="4D3313DB" w14:textId="77777777" w:rsidR="00503528" w:rsidRDefault="00422138" w:rsidP="00503528">
      <w:pPr>
        <w:widowControl/>
        <w:rPr>
          <w:rFonts w:asciiTheme="majorBidi" w:hAnsiTheme="majorBidi" w:cstheme="majorBidi"/>
          <w:i/>
        </w:rPr>
      </w:pPr>
      <w:r w:rsidRPr="00F25CE6">
        <w:rPr>
          <w:rFonts w:asciiTheme="majorBidi" w:hAnsiTheme="majorBidi" w:cstheme="majorBidi"/>
          <w:i/>
          <w:u w:val="single"/>
        </w:rPr>
        <w:t>Prilagodba doze lijeka zbog nuspojava</w:t>
      </w:r>
    </w:p>
    <w:p w14:paraId="3B8D8D61" w14:textId="77777777" w:rsidR="00AF7ABC" w:rsidRPr="00F25CE6" w:rsidRDefault="00422138" w:rsidP="00503528">
      <w:pPr>
        <w:widowControl/>
        <w:rPr>
          <w:rFonts w:asciiTheme="majorBidi" w:hAnsiTheme="majorBidi" w:cstheme="majorBidi"/>
          <w:i/>
        </w:rPr>
      </w:pPr>
      <w:r w:rsidRPr="00F25CE6">
        <w:rPr>
          <w:rFonts w:asciiTheme="majorBidi" w:hAnsiTheme="majorBidi" w:cstheme="majorBidi"/>
          <w:i/>
        </w:rPr>
        <w:t>Mijelosupresija</w:t>
      </w:r>
    </w:p>
    <w:p w14:paraId="40758D6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kliničkim je ispitivanjima mijelosupresija obuzdavana preskakanjem doze, smanjenjem doze ili prekidom ispitivanja lijeka. Transfuzija trombocita i transfuzija eritrocita primjenjivane su po potrebi. Hematopoetski faktor rasta primjenjivan je u bolesnika s rezistentnom mijelosupresijom.</w:t>
      </w:r>
    </w:p>
    <w:p w14:paraId="78BE1648" w14:textId="6DFA88AB"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Smjernice za prilagodbu doze u odraslih sažeto su prikazane u Tablici 3, a za pedijatrijske bolesnike s Ph+ KML</w:t>
      </w:r>
      <w:r w:rsidR="00300CE5">
        <w:rPr>
          <w:rFonts w:asciiTheme="majorBidi" w:hAnsiTheme="majorBidi" w:cstheme="majorBidi"/>
          <w:szCs w:val="22"/>
        </w:rPr>
        <w:t>-om</w:t>
      </w:r>
      <w:r w:rsidRPr="00F25CE6">
        <w:rPr>
          <w:rFonts w:asciiTheme="majorBidi" w:hAnsiTheme="majorBidi" w:cstheme="majorBidi"/>
          <w:szCs w:val="22"/>
        </w:rPr>
        <w:t xml:space="preserve"> u kroničnoj fazi u Tablici 4. Smjernice za pedijatrijske bolesnike s Ph+ ALL</w:t>
      </w:r>
      <w:r w:rsidR="00300CE5">
        <w:rPr>
          <w:rFonts w:asciiTheme="majorBidi" w:hAnsiTheme="majorBidi" w:cstheme="majorBidi"/>
          <w:szCs w:val="22"/>
        </w:rPr>
        <w:t>-om</w:t>
      </w:r>
      <w:r w:rsidRPr="00F25CE6">
        <w:rPr>
          <w:rFonts w:asciiTheme="majorBidi" w:hAnsiTheme="majorBidi" w:cstheme="majorBidi"/>
          <w:szCs w:val="22"/>
        </w:rPr>
        <w:t xml:space="preserve"> liječene u kombinaciji s kemoterapijom navedene su u zasebnom odlomku ispod tablica.</w:t>
      </w:r>
    </w:p>
    <w:p w14:paraId="2F69CA02" w14:textId="77777777" w:rsidR="00AF7ABC" w:rsidRPr="00F25CE6" w:rsidRDefault="00AF7ABC" w:rsidP="00F25CE6">
      <w:pPr>
        <w:pStyle w:val="BodyText"/>
        <w:widowControl/>
        <w:rPr>
          <w:rFonts w:asciiTheme="majorBidi" w:hAnsiTheme="majorBidi" w:cstheme="majorBidi"/>
          <w:szCs w:val="22"/>
        </w:rPr>
      </w:pPr>
    </w:p>
    <w:p w14:paraId="08778054" w14:textId="77777777" w:rsidR="00AF7ABC" w:rsidRPr="00F25CE6" w:rsidRDefault="00422138" w:rsidP="00503528">
      <w:pPr>
        <w:pStyle w:val="Tableheading"/>
      </w:pPr>
      <w:r w:rsidRPr="00F25CE6">
        <w:t>Tablica 3:</w:t>
      </w:r>
      <w:r w:rsidR="00503528">
        <w:tab/>
      </w:r>
      <w:r w:rsidRPr="00F25CE6">
        <w:t>Prilagodbe doze zbog neutropenije i trombocitopenije u odraslih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503"/>
        <w:gridCol w:w="2041"/>
        <w:gridCol w:w="4392"/>
      </w:tblGrid>
      <w:tr w:rsidR="00AF7ABC" w:rsidRPr="00F25CE6" w14:paraId="765684C2" w14:textId="77777777" w:rsidTr="00436ED0">
        <w:trPr>
          <w:trHeight w:val="20"/>
        </w:trPr>
        <w:tc>
          <w:tcPr>
            <w:tcW w:w="2503" w:type="dxa"/>
            <w:vAlign w:val="center"/>
          </w:tcPr>
          <w:p w14:paraId="6B82C292" w14:textId="1DE03199" w:rsidR="00AF7ABC" w:rsidRPr="00F25CE6" w:rsidRDefault="00422138" w:rsidP="00300CE5">
            <w:pPr>
              <w:pStyle w:val="TableParagraph"/>
              <w:autoSpaceDE/>
              <w:autoSpaceDN/>
              <w:ind w:left="29" w:right="29"/>
              <w:rPr>
                <w:rFonts w:asciiTheme="majorBidi" w:hAnsiTheme="majorBidi" w:cstheme="majorBidi"/>
              </w:rPr>
            </w:pPr>
            <w:r w:rsidRPr="00F25CE6">
              <w:rPr>
                <w:rFonts w:asciiTheme="majorBidi" w:hAnsiTheme="majorBidi" w:cstheme="majorBidi"/>
              </w:rPr>
              <w:t xml:space="preserve">Odrasli </w:t>
            </w:r>
            <w:r w:rsidR="00300CE5">
              <w:rPr>
                <w:rFonts w:asciiTheme="majorBidi" w:hAnsiTheme="majorBidi" w:cstheme="majorBidi"/>
              </w:rPr>
              <w:t xml:space="preserve">s KML-om </w:t>
            </w:r>
            <w:r w:rsidRPr="00F25CE6">
              <w:rPr>
                <w:rFonts w:asciiTheme="majorBidi" w:hAnsiTheme="majorBidi" w:cstheme="majorBidi"/>
              </w:rPr>
              <w:t>u kroničnoj fazi (početna doza od 100 mg jedanput dnevno)</w:t>
            </w:r>
          </w:p>
        </w:tc>
        <w:tc>
          <w:tcPr>
            <w:tcW w:w="2041" w:type="dxa"/>
            <w:vAlign w:val="center"/>
          </w:tcPr>
          <w:p w14:paraId="4BA571F2" w14:textId="187EA3AB" w:rsidR="008972B9"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ABN &lt;</w:t>
            </w:r>
            <w:r w:rsidR="006268ED">
              <w:rPr>
                <w:rFonts w:asciiTheme="majorBidi" w:hAnsiTheme="majorBidi" w:cstheme="majorBidi"/>
              </w:rPr>
              <w:t> </w:t>
            </w:r>
            <w:r w:rsidRPr="00F25CE6">
              <w:rPr>
                <w:rFonts w:asciiTheme="majorBidi" w:hAnsiTheme="majorBidi" w:cstheme="majorBidi"/>
              </w:rPr>
              <w:t>0,5×10</w:t>
            </w:r>
            <w:r w:rsidRPr="00F25CE6">
              <w:rPr>
                <w:rFonts w:asciiTheme="majorBidi" w:hAnsiTheme="majorBidi" w:cstheme="majorBidi"/>
                <w:vertAlign w:val="superscript"/>
              </w:rPr>
              <w:t>9</w:t>
            </w:r>
            <w:r w:rsidRPr="00F25CE6">
              <w:rPr>
                <w:rFonts w:asciiTheme="majorBidi" w:hAnsiTheme="majorBidi" w:cstheme="majorBidi"/>
              </w:rPr>
              <w:t>/l</w:t>
            </w:r>
          </w:p>
          <w:p w14:paraId="022C76AF" w14:textId="274C1511" w:rsidR="008972B9"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i/ili</w:t>
            </w:r>
          </w:p>
          <w:p w14:paraId="126F53C0" w14:textId="7C6FCF54"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trombociti &lt;</w:t>
            </w:r>
            <w:r w:rsidR="006268ED">
              <w:rPr>
                <w:rFonts w:asciiTheme="majorBidi" w:hAnsiTheme="majorBidi" w:cstheme="majorBidi"/>
              </w:rPr>
              <w:t> </w:t>
            </w:r>
            <w:r w:rsidRPr="00F25CE6">
              <w:rPr>
                <w:rFonts w:asciiTheme="majorBidi" w:hAnsiTheme="majorBidi" w:cstheme="majorBidi"/>
              </w:rPr>
              <w:t>50×10</w:t>
            </w:r>
            <w:r w:rsidRPr="00F25CE6">
              <w:rPr>
                <w:rFonts w:asciiTheme="majorBidi" w:hAnsiTheme="majorBidi" w:cstheme="majorBidi"/>
                <w:vertAlign w:val="superscript"/>
              </w:rPr>
              <w:t>9</w:t>
            </w:r>
            <w:r w:rsidRPr="00F25CE6">
              <w:rPr>
                <w:rFonts w:asciiTheme="majorBidi" w:hAnsiTheme="majorBidi" w:cstheme="majorBidi"/>
              </w:rPr>
              <w:t>/l</w:t>
            </w:r>
          </w:p>
        </w:tc>
        <w:tc>
          <w:tcPr>
            <w:tcW w:w="4392" w:type="dxa"/>
          </w:tcPr>
          <w:p w14:paraId="53ECB834" w14:textId="5C9E67C9" w:rsidR="00AF7ABC" w:rsidRPr="00503528" w:rsidRDefault="00422138" w:rsidP="00612D2B">
            <w:pPr>
              <w:pStyle w:val="TableParagraph"/>
              <w:numPr>
                <w:ilvl w:val="0"/>
                <w:numId w:val="8"/>
              </w:numPr>
              <w:tabs>
                <w:tab w:val="left" w:pos="842"/>
              </w:tabs>
              <w:autoSpaceDE/>
              <w:autoSpaceDN/>
              <w:ind w:left="700" w:right="29" w:hanging="671"/>
              <w:rPr>
                <w:rFonts w:asciiTheme="majorBidi" w:hAnsiTheme="majorBidi" w:cstheme="majorBidi"/>
              </w:rPr>
            </w:pPr>
            <w:r w:rsidRPr="00503528">
              <w:rPr>
                <w:rFonts w:asciiTheme="majorBidi" w:hAnsiTheme="majorBidi" w:cstheme="majorBidi"/>
              </w:rPr>
              <w:t>Prekinuti liječenje dok ABN ne bude</w:t>
            </w:r>
            <w:r w:rsidR="00503528" w:rsidRPr="00503528">
              <w:rPr>
                <w:rFonts w:asciiTheme="majorBidi" w:hAnsiTheme="majorBidi" w:cstheme="majorBidi"/>
              </w:rPr>
              <w:t xml:space="preserve"> </w:t>
            </w:r>
            <w:r w:rsidRPr="00503528">
              <w:rPr>
                <w:rFonts w:asciiTheme="majorBidi" w:hAnsiTheme="majorBidi" w:cstheme="majorBidi"/>
              </w:rPr>
              <w:t>≥</w:t>
            </w:r>
            <w:r w:rsidR="006268ED">
              <w:rPr>
                <w:rFonts w:asciiTheme="majorBidi" w:hAnsiTheme="majorBidi" w:cstheme="majorBidi"/>
              </w:rPr>
              <w:t> </w:t>
            </w:r>
            <w:r w:rsidRPr="00503528">
              <w:rPr>
                <w:rFonts w:asciiTheme="majorBidi" w:hAnsiTheme="majorBidi" w:cstheme="majorBidi"/>
              </w:rPr>
              <w:t>1,0×10</w:t>
            </w:r>
            <w:r w:rsidRPr="00503528">
              <w:rPr>
                <w:rFonts w:asciiTheme="majorBidi" w:hAnsiTheme="majorBidi" w:cstheme="majorBidi"/>
                <w:vertAlign w:val="superscript"/>
              </w:rPr>
              <w:t>9</w:t>
            </w:r>
            <w:r w:rsidRPr="00503528">
              <w:rPr>
                <w:rFonts w:asciiTheme="majorBidi" w:hAnsiTheme="majorBidi" w:cstheme="majorBidi"/>
              </w:rPr>
              <w:t>/l i trombociti ≥</w:t>
            </w:r>
            <w:r w:rsidR="006268ED">
              <w:rPr>
                <w:rFonts w:asciiTheme="majorBidi" w:hAnsiTheme="majorBidi" w:cstheme="majorBidi"/>
              </w:rPr>
              <w:t> </w:t>
            </w:r>
            <w:r w:rsidRPr="00503528">
              <w:rPr>
                <w:rFonts w:asciiTheme="majorBidi" w:hAnsiTheme="majorBidi" w:cstheme="majorBidi"/>
              </w:rPr>
              <w:t>50×10</w:t>
            </w:r>
            <w:r w:rsidRPr="00503528">
              <w:rPr>
                <w:rFonts w:asciiTheme="majorBidi" w:hAnsiTheme="majorBidi" w:cstheme="majorBidi"/>
                <w:vertAlign w:val="superscript"/>
              </w:rPr>
              <w:t>9</w:t>
            </w:r>
            <w:r w:rsidRPr="00503528">
              <w:rPr>
                <w:rFonts w:asciiTheme="majorBidi" w:hAnsiTheme="majorBidi" w:cstheme="majorBidi"/>
              </w:rPr>
              <w:t>/l.</w:t>
            </w:r>
          </w:p>
          <w:p w14:paraId="3B63795C" w14:textId="77777777" w:rsidR="00AF7ABC" w:rsidRPr="00F25CE6" w:rsidRDefault="00AF7ABC" w:rsidP="00612D2B">
            <w:pPr>
              <w:pStyle w:val="TableParagraph"/>
              <w:tabs>
                <w:tab w:val="left" w:pos="842"/>
              </w:tabs>
              <w:autoSpaceDE/>
              <w:autoSpaceDN/>
              <w:ind w:left="700" w:right="29" w:hanging="671"/>
              <w:rPr>
                <w:rFonts w:asciiTheme="majorBidi" w:hAnsiTheme="majorBidi" w:cstheme="majorBidi"/>
                <w:b/>
              </w:rPr>
            </w:pPr>
          </w:p>
          <w:p w14:paraId="7233896C" w14:textId="77777777" w:rsidR="00AF7ABC" w:rsidRPr="00F25CE6" w:rsidRDefault="00422138" w:rsidP="00612D2B">
            <w:pPr>
              <w:pStyle w:val="TableParagraph"/>
              <w:numPr>
                <w:ilvl w:val="0"/>
                <w:numId w:val="8"/>
              </w:numPr>
              <w:tabs>
                <w:tab w:val="left" w:pos="842"/>
              </w:tabs>
              <w:autoSpaceDE/>
              <w:autoSpaceDN/>
              <w:ind w:left="700" w:right="29" w:hanging="671"/>
              <w:rPr>
                <w:rFonts w:asciiTheme="majorBidi" w:hAnsiTheme="majorBidi" w:cstheme="majorBidi"/>
              </w:rPr>
            </w:pPr>
            <w:r w:rsidRPr="00F25CE6">
              <w:rPr>
                <w:rFonts w:asciiTheme="majorBidi" w:hAnsiTheme="majorBidi" w:cstheme="majorBidi"/>
              </w:rPr>
              <w:t>Nastaviti liječenje dozom kojom je i započelo.</w:t>
            </w:r>
          </w:p>
          <w:p w14:paraId="3E2BED9E" w14:textId="77777777" w:rsidR="00AF7ABC" w:rsidRPr="00F25CE6" w:rsidRDefault="00AF7ABC" w:rsidP="00612D2B">
            <w:pPr>
              <w:pStyle w:val="TableParagraph"/>
              <w:tabs>
                <w:tab w:val="left" w:pos="842"/>
              </w:tabs>
              <w:autoSpaceDE/>
              <w:autoSpaceDN/>
              <w:ind w:left="700" w:right="29" w:hanging="671"/>
              <w:rPr>
                <w:rFonts w:asciiTheme="majorBidi" w:hAnsiTheme="majorBidi" w:cstheme="majorBidi"/>
                <w:b/>
              </w:rPr>
            </w:pPr>
          </w:p>
          <w:p w14:paraId="3647AA21" w14:textId="44971327" w:rsidR="00AF7ABC" w:rsidRPr="00F25CE6" w:rsidRDefault="00422138" w:rsidP="00612D2B">
            <w:pPr>
              <w:pStyle w:val="TableParagraph"/>
              <w:numPr>
                <w:ilvl w:val="0"/>
                <w:numId w:val="8"/>
              </w:numPr>
              <w:tabs>
                <w:tab w:val="left" w:pos="842"/>
              </w:tabs>
              <w:autoSpaceDE/>
              <w:autoSpaceDN/>
              <w:ind w:left="700" w:right="29" w:hanging="671"/>
              <w:rPr>
                <w:rFonts w:asciiTheme="majorBidi" w:hAnsiTheme="majorBidi" w:cstheme="majorBidi"/>
              </w:rPr>
            </w:pPr>
            <w:r w:rsidRPr="00F25CE6">
              <w:rPr>
                <w:rFonts w:asciiTheme="majorBidi" w:hAnsiTheme="majorBidi" w:cstheme="majorBidi"/>
              </w:rPr>
              <w:t>Ako su trombociti &lt;</w:t>
            </w:r>
            <w:r w:rsidR="006268ED">
              <w:rPr>
                <w:rFonts w:asciiTheme="majorBidi" w:hAnsiTheme="majorBidi" w:cstheme="majorBidi"/>
              </w:rPr>
              <w:t> </w:t>
            </w:r>
            <w:r w:rsidRPr="00F25CE6">
              <w:rPr>
                <w:rFonts w:asciiTheme="majorBidi" w:hAnsiTheme="majorBidi" w:cstheme="majorBidi"/>
              </w:rPr>
              <w:t>25×10</w:t>
            </w:r>
            <w:r w:rsidRPr="00F25CE6">
              <w:rPr>
                <w:rFonts w:asciiTheme="majorBidi" w:hAnsiTheme="majorBidi" w:cstheme="majorBidi"/>
                <w:vertAlign w:val="superscript"/>
              </w:rPr>
              <w:t>9</w:t>
            </w:r>
            <w:r w:rsidRPr="00F25CE6">
              <w:rPr>
                <w:rFonts w:asciiTheme="majorBidi" w:hAnsiTheme="majorBidi" w:cstheme="majorBidi"/>
              </w:rPr>
              <w:t>/l i/ili se ABN smanjio na &lt;</w:t>
            </w:r>
            <w:r w:rsidR="006268ED">
              <w:rPr>
                <w:rFonts w:asciiTheme="majorBidi" w:hAnsiTheme="majorBidi" w:cstheme="majorBidi"/>
              </w:rPr>
              <w:t> </w:t>
            </w:r>
            <w:r w:rsidRPr="00F25CE6">
              <w:rPr>
                <w:rFonts w:asciiTheme="majorBidi" w:hAnsiTheme="majorBidi" w:cstheme="majorBidi"/>
              </w:rPr>
              <w:t>0,5×10</w:t>
            </w:r>
            <w:r w:rsidRPr="00F25CE6">
              <w:rPr>
                <w:rFonts w:asciiTheme="majorBidi" w:hAnsiTheme="majorBidi" w:cstheme="majorBidi"/>
                <w:vertAlign w:val="superscript"/>
              </w:rPr>
              <w:t>9</w:t>
            </w:r>
            <w:r w:rsidRPr="00F25CE6">
              <w:rPr>
                <w:rFonts w:asciiTheme="majorBidi" w:hAnsiTheme="majorBidi" w:cstheme="majorBidi"/>
              </w:rPr>
              <w:t>/l tijekom &gt;</w:t>
            </w:r>
            <w:r w:rsidR="006268ED">
              <w:rPr>
                <w:rFonts w:asciiTheme="majorBidi" w:hAnsiTheme="majorBidi" w:cstheme="majorBidi"/>
              </w:rPr>
              <w:t> </w:t>
            </w:r>
            <w:r w:rsidRPr="00F25CE6">
              <w:rPr>
                <w:rFonts w:asciiTheme="majorBidi" w:hAnsiTheme="majorBidi" w:cstheme="majorBidi"/>
              </w:rPr>
              <w:t>7 dana, ponoviti 1. korak, a liječenje nastaviti smanjenom dozom od 80 mg jedanput dnevno za drugu epizodu. Kod treće epizode potrebno je daljnje smanjenje doze na 50 mg jedanput dnevno (za novodijagnosticirane bolesnike) ili prekidanje terapije (u bolesnika koji ne podnose ili su otporni na prethodnu terapiju uključujući imatinib).</w:t>
            </w:r>
          </w:p>
        </w:tc>
      </w:tr>
      <w:tr w:rsidR="00503528" w:rsidRPr="00F25CE6" w14:paraId="4DD11043" w14:textId="77777777" w:rsidTr="00A66F1D">
        <w:trPr>
          <w:trHeight w:val="1095"/>
        </w:trPr>
        <w:tc>
          <w:tcPr>
            <w:tcW w:w="2503" w:type="dxa"/>
            <w:vAlign w:val="center"/>
          </w:tcPr>
          <w:p w14:paraId="702FFF55" w14:textId="3CDB8A9B" w:rsidR="00503528" w:rsidRPr="00F25CE6" w:rsidRDefault="0050352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Odrasli</w:t>
            </w:r>
            <w:r w:rsidR="00300CE5">
              <w:rPr>
                <w:rFonts w:asciiTheme="majorBidi" w:hAnsiTheme="majorBidi" w:cstheme="majorBidi"/>
              </w:rPr>
              <w:t xml:space="preserve"> s KML-om</w:t>
            </w:r>
            <w:r w:rsidRPr="00F25CE6">
              <w:rPr>
                <w:rFonts w:asciiTheme="majorBidi" w:hAnsiTheme="majorBidi" w:cstheme="majorBidi"/>
              </w:rPr>
              <w:t xml:space="preserve"> u fazi ubrzanja i blastnoj fazi i</w:t>
            </w:r>
          </w:p>
          <w:p w14:paraId="7C635FA1" w14:textId="4620D7CE" w:rsidR="00503528" w:rsidRPr="00F25CE6" w:rsidRDefault="0050352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Ph+ ALL</w:t>
            </w:r>
            <w:r w:rsidR="00300CE5">
              <w:rPr>
                <w:rFonts w:asciiTheme="majorBidi" w:hAnsiTheme="majorBidi" w:cstheme="majorBidi"/>
              </w:rPr>
              <w:t>-om</w:t>
            </w:r>
            <w:r w:rsidRPr="00F25CE6">
              <w:rPr>
                <w:rFonts w:asciiTheme="majorBidi" w:hAnsiTheme="majorBidi" w:cstheme="majorBidi"/>
              </w:rPr>
              <w:t xml:space="preserve"> (početna doza od 140 mg jedanput dnevno)</w:t>
            </w:r>
          </w:p>
        </w:tc>
        <w:tc>
          <w:tcPr>
            <w:tcW w:w="2041" w:type="dxa"/>
            <w:vAlign w:val="center"/>
          </w:tcPr>
          <w:p w14:paraId="1CB488E3" w14:textId="22A7E403" w:rsidR="008972B9" w:rsidRDefault="0050352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ABN &lt;</w:t>
            </w:r>
            <w:r w:rsidR="006268ED">
              <w:rPr>
                <w:rFonts w:asciiTheme="majorBidi" w:hAnsiTheme="majorBidi" w:cstheme="majorBidi"/>
              </w:rPr>
              <w:t> </w:t>
            </w:r>
            <w:r w:rsidRPr="00F25CE6">
              <w:rPr>
                <w:rFonts w:asciiTheme="majorBidi" w:hAnsiTheme="majorBidi" w:cstheme="majorBidi"/>
              </w:rPr>
              <w:t>0,5×10</w:t>
            </w:r>
            <w:r w:rsidRPr="00F25CE6">
              <w:rPr>
                <w:rFonts w:asciiTheme="majorBidi" w:hAnsiTheme="majorBidi" w:cstheme="majorBidi"/>
                <w:vertAlign w:val="superscript"/>
              </w:rPr>
              <w:t>9</w:t>
            </w:r>
            <w:r w:rsidRPr="00F25CE6">
              <w:rPr>
                <w:rFonts w:asciiTheme="majorBidi" w:hAnsiTheme="majorBidi" w:cstheme="majorBidi"/>
              </w:rPr>
              <w:t>/l</w:t>
            </w:r>
          </w:p>
          <w:p w14:paraId="136FEC6A" w14:textId="655B2BEC" w:rsidR="008972B9" w:rsidRDefault="0050352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i/ili</w:t>
            </w:r>
          </w:p>
          <w:p w14:paraId="0B589828" w14:textId="4C48CB7E" w:rsidR="00503528" w:rsidRPr="00F25CE6" w:rsidRDefault="0050352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trombociti &lt;</w:t>
            </w:r>
            <w:r w:rsidR="006268ED">
              <w:rPr>
                <w:rFonts w:asciiTheme="majorBidi" w:hAnsiTheme="majorBidi" w:cstheme="majorBidi"/>
              </w:rPr>
              <w:t> </w:t>
            </w:r>
            <w:r w:rsidRPr="00F25CE6">
              <w:rPr>
                <w:rFonts w:asciiTheme="majorBidi" w:hAnsiTheme="majorBidi" w:cstheme="majorBidi"/>
              </w:rPr>
              <w:t>10×10</w:t>
            </w:r>
            <w:r w:rsidRPr="00F25CE6">
              <w:rPr>
                <w:rFonts w:asciiTheme="majorBidi" w:hAnsiTheme="majorBidi" w:cstheme="majorBidi"/>
                <w:vertAlign w:val="superscript"/>
              </w:rPr>
              <w:t>9</w:t>
            </w:r>
            <w:r w:rsidRPr="00F25CE6">
              <w:rPr>
                <w:rFonts w:asciiTheme="majorBidi" w:hAnsiTheme="majorBidi" w:cstheme="majorBidi"/>
              </w:rPr>
              <w:t>/l</w:t>
            </w:r>
          </w:p>
        </w:tc>
        <w:tc>
          <w:tcPr>
            <w:tcW w:w="4392" w:type="dxa"/>
          </w:tcPr>
          <w:p w14:paraId="60D1E2F6" w14:textId="60A7FFD1" w:rsidR="00503528" w:rsidRDefault="00503528" w:rsidP="00612D2B">
            <w:pPr>
              <w:pStyle w:val="TableParagraph"/>
              <w:numPr>
                <w:ilvl w:val="0"/>
                <w:numId w:val="12"/>
              </w:numPr>
              <w:autoSpaceDE/>
              <w:autoSpaceDN/>
              <w:ind w:right="29" w:hanging="587"/>
              <w:rPr>
                <w:rFonts w:asciiTheme="majorBidi" w:hAnsiTheme="majorBidi" w:cstheme="majorBidi"/>
              </w:rPr>
            </w:pPr>
            <w:r w:rsidRPr="00F25CE6">
              <w:rPr>
                <w:rFonts w:asciiTheme="majorBidi" w:hAnsiTheme="majorBidi" w:cstheme="majorBidi"/>
              </w:rPr>
              <w:t>Provjeriti povezanost citopenije s leukemijom (aspirat ili biopsija koštane srži).</w:t>
            </w:r>
          </w:p>
          <w:p w14:paraId="6EFCEC8D" w14:textId="77777777" w:rsidR="00503528" w:rsidRPr="00F25CE6" w:rsidRDefault="00503528" w:rsidP="00612D2B">
            <w:pPr>
              <w:pStyle w:val="TableParagraph"/>
              <w:autoSpaceDE/>
              <w:autoSpaceDN/>
              <w:ind w:left="389" w:right="29" w:hanging="587"/>
              <w:rPr>
                <w:rFonts w:asciiTheme="majorBidi" w:hAnsiTheme="majorBidi" w:cstheme="majorBidi"/>
              </w:rPr>
            </w:pPr>
          </w:p>
          <w:p w14:paraId="780BE0B8" w14:textId="532F9D6A" w:rsidR="00503528" w:rsidRPr="00F25CE6" w:rsidRDefault="00503528" w:rsidP="00612D2B">
            <w:pPr>
              <w:pStyle w:val="TableParagraph"/>
              <w:numPr>
                <w:ilvl w:val="0"/>
                <w:numId w:val="12"/>
              </w:numPr>
              <w:autoSpaceDE/>
              <w:autoSpaceDN/>
              <w:ind w:right="29" w:hanging="587"/>
              <w:rPr>
                <w:rFonts w:asciiTheme="majorBidi" w:hAnsiTheme="majorBidi" w:cstheme="majorBidi"/>
              </w:rPr>
            </w:pPr>
            <w:r w:rsidRPr="00F25CE6">
              <w:rPr>
                <w:rFonts w:asciiTheme="majorBidi" w:hAnsiTheme="majorBidi" w:cstheme="majorBidi"/>
              </w:rPr>
              <w:t>Ako citopenija nije povezana s leukemijom, prekinuti liječenje dok ABN ne bude ≥</w:t>
            </w:r>
            <w:r w:rsidR="006268ED">
              <w:rPr>
                <w:rFonts w:asciiTheme="majorBidi" w:hAnsiTheme="majorBidi" w:cstheme="majorBidi"/>
              </w:rPr>
              <w:t> </w:t>
            </w:r>
            <w:r w:rsidRPr="00F25CE6">
              <w:rPr>
                <w:rFonts w:asciiTheme="majorBidi" w:hAnsiTheme="majorBidi" w:cstheme="majorBidi"/>
              </w:rPr>
              <w:t>1,0×10</w:t>
            </w:r>
            <w:r w:rsidRPr="00F25CE6">
              <w:rPr>
                <w:rFonts w:asciiTheme="majorBidi" w:hAnsiTheme="majorBidi" w:cstheme="majorBidi"/>
                <w:vertAlign w:val="superscript"/>
              </w:rPr>
              <w:t>9</w:t>
            </w:r>
            <w:r w:rsidRPr="00F25CE6">
              <w:rPr>
                <w:rFonts w:asciiTheme="majorBidi" w:hAnsiTheme="majorBidi" w:cstheme="majorBidi"/>
              </w:rPr>
              <w:t>/l i trombociti</w:t>
            </w:r>
            <w:r>
              <w:rPr>
                <w:rFonts w:asciiTheme="majorBidi" w:hAnsiTheme="majorBidi" w:cstheme="majorBidi"/>
              </w:rPr>
              <w:t xml:space="preserve"> </w:t>
            </w:r>
            <w:r w:rsidRPr="00F25CE6">
              <w:rPr>
                <w:rFonts w:asciiTheme="majorBidi" w:hAnsiTheme="majorBidi" w:cstheme="majorBidi"/>
              </w:rPr>
              <w:t>≥</w:t>
            </w:r>
            <w:r w:rsidR="006268ED">
              <w:rPr>
                <w:rFonts w:asciiTheme="majorBidi" w:hAnsiTheme="majorBidi" w:cstheme="majorBidi"/>
              </w:rPr>
              <w:t> </w:t>
            </w:r>
            <w:r w:rsidRPr="00F25CE6">
              <w:rPr>
                <w:rFonts w:asciiTheme="majorBidi" w:hAnsiTheme="majorBidi" w:cstheme="majorBidi"/>
              </w:rPr>
              <w:t>20×10</w:t>
            </w:r>
            <w:r w:rsidRPr="00F25CE6">
              <w:rPr>
                <w:rFonts w:asciiTheme="majorBidi" w:hAnsiTheme="majorBidi" w:cstheme="majorBidi"/>
                <w:vertAlign w:val="superscript"/>
              </w:rPr>
              <w:t>9</w:t>
            </w:r>
            <w:r w:rsidRPr="00F25CE6">
              <w:rPr>
                <w:rFonts w:asciiTheme="majorBidi" w:hAnsiTheme="majorBidi" w:cstheme="majorBidi"/>
              </w:rPr>
              <w:t>/l pa nastaviti liječenje dozom kojom se i započelo.</w:t>
            </w:r>
          </w:p>
          <w:p w14:paraId="7AB8EAA7" w14:textId="77777777" w:rsidR="00503528" w:rsidRPr="00F25CE6" w:rsidRDefault="00503528" w:rsidP="00612D2B">
            <w:pPr>
              <w:pStyle w:val="TableParagraph"/>
              <w:autoSpaceDE/>
              <w:autoSpaceDN/>
              <w:ind w:left="29" w:right="29" w:hanging="587"/>
              <w:rPr>
                <w:rFonts w:asciiTheme="majorBidi" w:hAnsiTheme="majorBidi" w:cstheme="majorBidi"/>
                <w:b/>
              </w:rPr>
            </w:pPr>
          </w:p>
          <w:p w14:paraId="230EF398" w14:textId="37E9C289" w:rsidR="00503528" w:rsidRPr="00F25CE6" w:rsidRDefault="00503528" w:rsidP="00612D2B">
            <w:pPr>
              <w:pStyle w:val="TableParagraph"/>
              <w:numPr>
                <w:ilvl w:val="0"/>
                <w:numId w:val="12"/>
              </w:numPr>
              <w:autoSpaceDE/>
              <w:autoSpaceDN/>
              <w:ind w:right="29" w:hanging="587"/>
              <w:rPr>
                <w:rFonts w:asciiTheme="majorBidi" w:hAnsiTheme="majorBidi" w:cstheme="majorBidi"/>
              </w:rPr>
            </w:pPr>
            <w:r w:rsidRPr="00F25CE6">
              <w:rPr>
                <w:rFonts w:asciiTheme="majorBidi" w:hAnsiTheme="majorBidi" w:cstheme="majorBidi"/>
              </w:rPr>
              <w:t>Ako se ponovno javi citopenija, ponoviti 1. korak, a liječenje nastaviti dozom manjom od 100 mg jedanput dnevno (druga epizoda) ili 80 mg jedanput dnevno (treća epizoda).</w:t>
            </w:r>
          </w:p>
          <w:p w14:paraId="0FA3C97E" w14:textId="77777777" w:rsidR="00503528" w:rsidRDefault="00503528" w:rsidP="00612D2B">
            <w:pPr>
              <w:pStyle w:val="TableParagraph"/>
              <w:autoSpaceDE/>
              <w:autoSpaceDN/>
              <w:ind w:left="29" w:right="29" w:hanging="587"/>
              <w:rPr>
                <w:rFonts w:asciiTheme="majorBidi" w:hAnsiTheme="majorBidi" w:cstheme="majorBidi"/>
              </w:rPr>
            </w:pPr>
          </w:p>
          <w:p w14:paraId="19758DE4" w14:textId="224B6E68" w:rsidR="00503528" w:rsidRPr="00F25CE6" w:rsidRDefault="00503528" w:rsidP="00612D2B">
            <w:pPr>
              <w:pStyle w:val="TableParagraph"/>
              <w:numPr>
                <w:ilvl w:val="0"/>
                <w:numId w:val="12"/>
              </w:numPr>
              <w:autoSpaceDE/>
              <w:autoSpaceDN/>
              <w:ind w:right="29" w:hanging="587"/>
              <w:rPr>
                <w:rFonts w:asciiTheme="majorBidi" w:hAnsiTheme="majorBidi" w:cstheme="majorBidi"/>
              </w:rPr>
            </w:pPr>
            <w:r w:rsidRPr="00F25CE6">
              <w:rPr>
                <w:rFonts w:asciiTheme="majorBidi" w:hAnsiTheme="majorBidi" w:cstheme="majorBidi"/>
              </w:rPr>
              <w:t>Ako je citopenija povezana s leukemijom, razmotriti postupno povećanje doze na 180</w:t>
            </w:r>
            <w:r>
              <w:rPr>
                <w:rFonts w:asciiTheme="majorBidi" w:hAnsiTheme="majorBidi" w:cstheme="majorBidi"/>
              </w:rPr>
              <w:t> </w:t>
            </w:r>
            <w:r w:rsidRPr="00F25CE6">
              <w:rPr>
                <w:rFonts w:asciiTheme="majorBidi" w:hAnsiTheme="majorBidi" w:cstheme="majorBidi"/>
              </w:rPr>
              <w:t>mg jedanput dnevno.</w:t>
            </w:r>
          </w:p>
        </w:tc>
      </w:tr>
    </w:tbl>
    <w:p w14:paraId="6869A92A" w14:textId="77777777" w:rsidR="00AF7ABC" w:rsidRPr="00F25CE6" w:rsidRDefault="00422138" w:rsidP="00503528">
      <w:pPr>
        <w:pStyle w:val="Footnote"/>
      </w:pPr>
      <w:r w:rsidRPr="00F25CE6">
        <w:lastRenderedPageBreak/>
        <w:t>ABN: apsolutni broj neutrofila.</w:t>
      </w:r>
    </w:p>
    <w:p w14:paraId="5E2B80F9" w14:textId="77777777" w:rsidR="008B7339" w:rsidRDefault="008B7339" w:rsidP="00503528">
      <w:pPr>
        <w:pStyle w:val="Tableheading"/>
      </w:pPr>
    </w:p>
    <w:p w14:paraId="5CBC2D10" w14:textId="29C421B2" w:rsidR="00AF7ABC" w:rsidRDefault="00422138" w:rsidP="00503528">
      <w:pPr>
        <w:pStyle w:val="Tableheading"/>
      </w:pPr>
      <w:r w:rsidRPr="00F25CE6">
        <w:t>Tablica 4:</w:t>
      </w:r>
      <w:r w:rsidR="00503528">
        <w:tab/>
      </w:r>
      <w:r w:rsidRPr="00F25CE6">
        <w:t>Prilagodbe doze zbog neutropenije i trombocitopenije u pedijatrijskih bolesnika s Ph+ KML</w:t>
      </w:r>
      <w:r w:rsidR="00FC7114">
        <w:t>-om</w:t>
      </w:r>
      <w:r w:rsidRPr="00F25CE6">
        <w:t xml:space="preserve"> u kroničnoj fazi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1046"/>
        <w:gridCol w:w="944"/>
        <w:gridCol w:w="504"/>
        <w:gridCol w:w="2184"/>
        <w:gridCol w:w="1821"/>
      </w:tblGrid>
      <w:tr w:rsidR="001A1CF4" w14:paraId="2D24824F" w14:textId="77777777" w:rsidTr="009E4149">
        <w:trPr>
          <w:trHeight w:val="189"/>
        </w:trPr>
        <w:tc>
          <w:tcPr>
            <w:tcW w:w="1414" w:type="pct"/>
            <w:vMerge w:val="restart"/>
          </w:tcPr>
          <w:p w14:paraId="203219AE" w14:textId="4ABF3968" w:rsidR="001A1CF4" w:rsidRPr="004E54A3" w:rsidRDefault="001A1CF4" w:rsidP="009E4149">
            <w:pPr>
              <w:keepNext/>
              <w:keepLines/>
              <w:rPr>
                <w:noProof/>
              </w:rPr>
            </w:pPr>
            <w:r w:rsidRPr="004E54A3">
              <w:rPr>
                <w:noProof/>
              </w:rPr>
              <w:t xml:space="preserve">1. </w:t>
            </w:r>
            <w:r w:rsidRPr="0022679F">
              <w:rPr>
                <w:noProof/>
              </w:rPr>
              <w:t>Ako citopenija potraje dulje od 3 tjedna, provjeriti je li povezana s leukemijom (aspirat ili biopsija koštane srži).</w:t>
            </w:r>
          </w:p>
          <w:p w14:paraId="3D0FE368" w14:textId="77777777" w:rsidR="001A1CF4" w:rsidRPr="004E54A3" w:rsidRDefault="001A1CF4" w:rsidP="009E4149">
            <w:pPr>
              <w:keepNext/>
              <w:keepLines/>
              <w:rPr>
                <w:noProof/>
              </w:rPr>
            </w:pPr>
          </w:p>
          <w:p w14:paraId="2593D34A" w14:textId="5507A684" w:rsidR="001A1CF4" w:rsidRPr="004E54A3" w:rsidRDefault="001A1CF4" w:rsidP="009E4149">
            <w:pPr>
              <w:keepNext/>
              <w:keepLines/>
              <w:rPr>
                <w:noProof/>
              </w:rPr>
            </w:pPr>
            <w:r>
              <w:rPr>
                <w:noProof/>
              </w:rPr>
              <w:t xml:space="preserve">2. </w:t>
            </w:r>
            <w:r w:rsidRPr="00F25CE6">
              <w:rPr>
                <w:rFonts w:asciiTheme="majorBidi" w:hAnsiTheme="majorBidi" w:cstheme="majorBidi"/>
              </w:rPr>
              <w:t>Ako citopenija nije povezana s leukemijom, prekinuti liječenje dok ABN ne bude ≥</w:t>
            </w:r>
            <w:r>
              <w:rPr>
                <w:rFonts w:asciiTheme="majorBidi" w:hAnsiTheme="majorBidi" w:cstheme="majorBidi"/>
              </w:rPr>
              <w:t> </w:t>
            </w:r>
            <w:r w:rsidRPr="00F25CE6">
              <w:rPr>
                <w:rFonts w:asciiTheme="majorBidi" w:hAnsiTheme="majorBidi" w:cstheme="majorBidi"/>
              </w:rPr>
              <w:t>1,0×10</w:t>
            </w:r>
            <w:r w:rsidRPr="00F25CE6">
              <w:rPr>
                <w:rFonts w:asciiTheme="majorBidi" w:hAnsiTheme="majorBidi" w:cstheme="majorBidi"/>
                <w:vertAlign w:val="superscript"/>
              </w:rPr>
              <w:t>9</w:t>
            </w:r>
            <w:r w:rsidRPr="00F25CE6">
              <w:rPr>
                <w:rFonts w:asciiTheme="majorBidi" w:hAnsiTheme="majorBidi" w:cstheme="majorBidi"/>
              </w:rPr>
              <w:t>/l i trombociti ≥</w:t>
            </w:r>
            <w:r>
              <w:rPr>
                <w:rFonts w:asciiTheme="majorBidi" w:hAnsiTheme="majorBidi" w:cstheme="majorBidi"/>
              </w:rPr>
              <w:t> </w:t>
            </w:r>
            <w:r w:rsidRPr="00F25CE6">
              <w:rPr>
                <w:rFonts w:asciiTheme="majorBidi" w:hAnsiTheme="majorBidi" w:cstheme="majorBidi"/>
              </w:rPr>
              <w:t>75×10</w:t>
            </w:r>
            <w:r w:rsidRPr="00F25CE6">
              <w:rPr>
                <w:rFonts w:asciiTheme="majorBidi" w:hAnsiTheme="majorBidi" w:cstheme="majorBidi"/>
                <w:vertAlign w:val="superscript"/>
              </w:rPr>
              <w:t>9</w:t>
            </w:r>
            <w:r w:rsidRPr="00F25CE6">
              <w:rPr>
                <w:rFonts w:asciiTheme="majorBidi" w:hAnsiTheme="majorBidi" w:cstheme="majorBidi"/>
              </w:rPr>
              <w:t>/l pa nastaviti liječenje početnom dozom ili smanjenom dozom.</w:t>
            </w:r>
          </w:p>
          <w:p w14:paraId="331D94CD" w14:textId="77777777" w:rsidR="001A1CF4" w:rsidRPr="004E54A3" w:rsidRDefault="001A1CF4" w:rsidP="009E4149">
            <w:pPr>
              <w:keepNext/>
              <w:keepLines/>
              <w:rPr>
                <w:noProof/>
              </w:rPr>
            </w:pPr>
          </w:p>
          <w:p w14:paraId="10E24AED" w14:textId="4F107626" w:rsidR="001A1CF4" w:rsidRPr="00675D00" w:rsidRDefault="001A1CF4" w:rsidP="009E4149">
            <w:pPr>
              <w:keepNext/>
              <w:keepLines/>
            </w:pPr>
            <w:r w:rsidRPr="004E54A3">
              <w:rPr>
                <w:noProof/>
              </w:rPr>
              <w:t xml:space="preserve">3. </w:t>
            </w:r>
            <w:r w:rsidRPr="00F25CE6">
              <w:rPr>
                <w:rFonts w:asciiTheme="majorBidi" w:hAnsiTheme="majorBidi" w:cstheme="majorBidi"/>
              </w:rPr>
              <w:t>Ako se citopenija ponovno javi, ponoviti aspirat/biopsiju koštane srži i nastaviti liječenje</w:t>
            </w:r>
            <w:r>
              <w:rPr>
                <w:rFonts w:asciiTheme="majorBidi" w:hAnsiTheme="majorBidi" w:cstheme="majorBidi"/>
              </w:rPr>
              <w:t xml:space="preserve"> </w:t>
            </w:r>
            <w:r w:rsidRPr="00F25CE6">
              <w:rPr>
                <w:rFonts w:asciiTheme="majorBidi" w:hAnsiTheme="majorBidi" w:cstheme="majorBidi"/>
              </w:rPr>
              <w:t>smanjenom dozom.</w:t>
            </w:r>
          </w:p>
        </w:tc>
        <w:tc>
          <w:tcPr>
            <w:tcW w:w="3586" w:type="pct"/>
            <w:gridSpan w:val="5"/>
            <w:tcBorders>
              <w:bottom w:val="single" w:sz="4" w:space="0" w:color="auto"/>
            </w:tcBorders>
            <w:vAlign w:val="center"/>
          </w:tcPr>
          <w:p w14:paraId="54612064" w14:textId="1A7364D2" w:rsidR="001A1CF4" w:rsidRPr="004E54A3" w:rsidRDefault="001A1CF4" w:rsidP="009E4149">
            <w:pPr>
              <w:keepNext/>
              <w:keepLines/>
              <w:jc w:val="center"/>
              <w:rPr>
                <w:b/>
                <w:noProof/>
              </w:rPr>
            </w:pPr>
            <w:r>
              <w:rPr>
                <w:b/>
                <w:noProof/>
              </w:rPr>
              <w:t>Doza (maksimalna dnevna doza)</w:t>
            </w:r>
          </w:p>
        </w:tc>
      </w:tr>
      <w:tr w:rsidR="001A1CF4" w14:paraId="3170D590" w14:textId="77777777" w:rsidTr="009E4149">
        <w:trPr>
          <w:trHeight w:val="432"/>
        </w:trPr>
        <w:tc>
          <w:tcPr>
            <w:tcW w:w="1414" w:type="pct"/>
            <w:vMerge/>
          </w:tcPr>
          <w:p w14:paraId="6CA7CC57" w14:textId="77777777" w:rsidR="001A1CF4" w:rsidRPr="004E54A3" w:rsidRDefault="001A1CF4" w:rsidP="009E4149">
            <w:pPr>
              <w:keepNext/>
              <w:keepLines/>
              <w:rPr>
                <w:b/>
                <w:noProof/>
              </w:rPr>
            </w:pPr>
          </w:p>
        </w:tc>
        <w:tc>
          <w:tcPr>
            <w:tcW w:w="577" w:type="pct"/>
            <w:tcBorders>
              <w:bottom w:val="single" w:sz="4" w:space="0" w:color="auto"/>
              <w:right w:val="nil"/>
            </w:tcBorders>
          </w:tcPr>
          <w:p w14:paraId="7C5715EB" w14:textId="77777777" w:rsidR="001A1CF4" w:rsidRPr="004E54A3" w:rsidRDefault="001A1CF4" w:rsidP="009E4149">
            <w:pPr>
              <w:keepNext/>
              <w:keepLines/>
              <w:jc w:val="center"/>
              <w:rPr>
                <w:b/>
                <w:noProof/>
              </w:rPr>
            </w:pPr>
          </w:p>
        </w:tc>
        <w:tc>
          <w:tcPr>
            <w:tcW w:w="799" w:type="pct"/>
            <w:gridSpan w:val="2"/>
            <w:tcBorders>
              <w:left w:val="nil"/>
              <w:bottom w:val="single" w:sz="4" w:space="0" w:color="auto"/>
              <w:right w:val="nil"/>
            </w:tcBorders>
          </w:tcPr>
          <w:p w14:paraId="33F0E35D" w14:textId="3B6A9DB3" w:rsidR="001A1CF4" w:rsidRPr="004E54A3" w:rsidRDefault="001A1CF4" w:rsidP="009E4149">
            <w:pPr>
              <w:keepNext/>
              <w:keepLines/>
              <w:jc w:val="center"/>
              <w:rPr>
                <w:b/>
                <w:noProof/>
              </w:rPr>
            </w:pPr>
            <w:r>
              <w:rPr>
                <w:b/>
                <w:noProof/>
              </w:rPr>
              <w:t>Prvobitna početna doza</w:t>
            </w:r>
          </w:p>
        </w:tc>
        <w:tc>
          <w:tcPr>
            <w:tcW w:w="1205" w:type="pct"/>
            <w:tcBorders>
              <w:left w:val="nil"/>
              <w:bottom w:val="single" w:sz="4" w:space="0" w:color="auto"/>
              <w:right w:val="nil"/>
            </w:tcBorders>
          </w:tcPr>
          <w:p w14:paraId="3B4F3E87" w14:textId="41851892" w:rsidR="001A1CF4" w:rsidRPr="00675D00" w:rsidRDefault="001A1CF4" w:rsidP="009E4149">
            <w:pPr>
              <w:keepNext/>
              <w:keepLines/>
              <w:jc w:val="center"/>
              <w:rPr>
                <w:b/>
              </w:rPr>
            </w:pPr>
            <w:r>
              <w:rPr>
                <w:b/>
                <w:noProof/>
              </w:rPr>
              <w:t>Smanjenje doze za jednu razinu</w:t>
            </w:r>
          </w:p>
        </w:tc>
        <w:tc>
          <w:tcPr>
            <w:tcW w:w="1005" w:type="pct"/>
            <w:tcBorders>
              <w:left w:val="nil"/>
              <w:bottom w:val="single" w:sz="4" w:space="0" w:color="auto"/>
            </w:tcBorders>
          </w:tcPr>
          <w:p w14:paraId="6A1E8F6A" w14:textId="6FD41A2D" w:rsidR="001A1CF4" w:rsidRPr="004E54A3" w:rsidRDefault="001A1CF4" w:rsidP="009E4149">
            <w:pPr>
              <w:keepNext/>
              <w:keepLines/>
              <w:jc w:val="center"/>
              <w:rPr>
                <w:b/>
                <w:noProof/>
              </w:rPr>
            </w:pPr>
            <w:r>
              <w:rPr>
                <w:b/>
                <w:noProof/>
              </w:rPr>
              <w:t>Smanjenje doze za dvije razine</w:t>
            </w:r>
          </w:p>
        </w:tc>
      </w:tr>
      <w:tr w:rsidR="001A1CF4" w14:paraId="3119B493" w14:textId="77777777" w:rsidTr="009E4149">
        <w:trPr>
          <w:trHeight w:val="3531"/>
        </w:trPr>
        <w:tc>
          <w:tcPr>
            <w:tcW w:w="1414" w:type="pct"/>
            <w:vMerge/>
          </w:tcPr>
          <w:p w14:paraId="50BDB90C" w14:textId="77777777" w:rsidR="001A1CF4" w:rsidRPr="004E54A3" w:rsidRDefault="001A1CF4" w:rsidP="009E4149">
            <w:pPr>
              <w:keepNext/>
              <w:keepLines/>
              <w:rPr>
                <w:b/>
                <w:noProof/>
              </w:rPr>
            </w:pPr>
          </w:p>
        </w:tc>
        <w:tc>
          <w:tcPr>
            <w:tcW w:w="577" w:type="pct"/>
            <w:tcBorders>
              <w:right w:val="nil"/>
            </w:tcBorders>
          </w:tcPr>
          <w:p w14:paraId="1970E2FE" w14:textId="2BAA3048" w:rsidR="001A1CF4" w:rsidRPr="004E54A3" w:rsidRDefault="001A1CF4" w:rsidP="009E4149">
            <w:pPr>
              <w:keepNext/>
              <w:keepLines/>
              <w:jc w:val="center"/>
              <w:rPr>
                <w:b/>
                <w:noProof/>
              </w:rPr>
            </w:pPr>
            <w:r w:rsidRPr="004E54A3">
              <w:rPr>
                <w:b/>
                <w:noProof/>
              </w:rPr>
              <w:t>Table</w:t>
            </w:r>
            <w:r>
              <w:rPr>
                <w:b/>
                <w:noProof/>
              </w:rPr>
              <w:t>te</w:t>
            </w:r>
          </w:p>
        </w:tc>
        <w:tc>
          <w:tcPr>
            <w:tcW w:w="521" w:type="pct"/>
            <w:tcBorders>
              <w:left w:val="nil"/>
              <w:right w:val="nil"/>
            </w:tcBorders>
          </w:tcPr>
          <w:p w14:paraId="1AC0F7C0" w14:textId="77777777" w:rsidR="001A1CF4" w:rsidRPr="004E54A3" w:rsidRDefault="001A1CF4" w:rsidP="009E4149">
            <w:pPr>
              <w:keepNext/>
              <w:keepLines/>
              <w:jc w:val="center"/>
              <w:rPr>
                <w:noProof/>
              </w:rPr>
            </w:pPr>
            <w:r w:rsidRPr="004E54A3">
              <w:rPr>
                <w:noProof/>
              </w:rPr>
              <w:t>40 mg</w:t>
            </w:r>
          </w:p>
          <w:p w14:paraId="77ED538B" w14:textId="77777777" w:rsidR="001A1CF4" w:rsidRPr="004E54A3" w:rsidRDefault="001A1CF4" w:rsidP="009E4149">
            <w:pPr>
              <w:keepNext/>
              <w:keepLines/>
              <w:jc w:val="center"/>
              <w:rPr>
                <w:noProof/>
              </w:rPr>
            </w:pPr>
            <w:r w:rsidRPr="004E54A3">
              <w:rPr>
                <w:noProof/>
              </w:rPr>
              <w:t>60 mg</w:t>
            </w:r>
          </w:p>
          <w:p w14:paraId="66AAF0AF" w14:textId="77777777" w:rsidR="001A1CF4" w:rsidRPr="004E54A3" w:rsidRDefault="001A1CF4" w:rsidP="009E4149">
            <w:pPr>
              <w:keepNext/>
              <w:keepLines/>
              <w:jc w:val="center"/>
              <w:rPr>
                <w:noProof/>
              </w:rPr>
            </w:pPr>
            <w:r w:rsidRPr="004E54A3">
              <w:rPr>
                <w:noProof/>
              </w:rPr>
              <w:t>70 mg</w:t>
            </w:r>
          </w:p>
          <w:p w14:paraId="46E046B6" w14:textId="77777777" w:rsidR="001A1CF4" w:rsidRPr="004E54A3" w:rsidRDefault="001A1CF4" w:rsidP="009E4149">
            <w:pPr>
              <w:keepNext/>
              <w:keepLines/>
              <w:jc w:val="center"/>
              <w:rPr>
                <w:noProof/>
              </w:rPr>
            </w:pPr>
            <w:r w:rsidRPr="004E54A3">
              <w:rPr>
                <w:noProof/>
              </w:rPr>
              <w:t>100 mg</w:t>
            </w:r>
          </w:p>
        </w:tc>
        <w:tc>
          <w:tcPr>
            <w:tcW w:w="1483" w:type="pct"/>
            <w:gridSpan w:val="2"/>
            <w:tcBorders>
              <w:left w:val="nil"/>
              <w:right w:val="nil"/>
            </w:tcBorders>
          </w:tcPr>
          <w:p w14:paraId="2505857E" w14:textId="77777777" w:rsidR="001A1CF4" w:rsidRPr="004E54A3" w:rsidRDefault="001A1CF4" w:rsidP="009E4149">
            <w:pPr>
              <w:keepNext/>
              <w:keepLines/>
              <w:jc w:val="center"/>
              <w:rPr>
                <w:noProof/>
              </w:rPr>
            </w:pPr>
            <w:r w:rsidRPr="004E54A3">
              <w:rPr>
                <w:noProof/>
              </w:rPr>
              <w:t>20 mg</w:t>
            </w:r>
          </w:p>
          <w:p w14:paraId="5FDEF04A" w14:textId="77777777" w:rsidR="001A1CF4" w:rsidRPr="004E54A3" w:rsidRDefault="001A1CF4" w:rsidP="009E4149">
            <w:pPr>
              <w:keepNext/>
              <w:keepLines/>
              <w:jc w:val="center"/>
              <w:rPr>
                <w:noProof/>
              </w:rPr>
            </w:pPr>
            <w:r w:rsidRPr="004E54A3">
              <w:rPr>
                <w:noProof/>
              </w:rPr>
              <w:t>40 mg</w:t>
            </w:r>
          </w:p>
          <w:p w14:paraId="06B52599" w14:textId="77777777" w:rsidR="001A1CF4" w:rsidRPr="004E54A3" w:rsidRDefault="001A1CF4" w:rsidP="009E4149">
            <w:pPr>
              <w:keepNext/>
              <w:keepLines/>
              <w:jc w:val="center"/>
              <w:rPr>
                <w:noProof/>
              </w:rPr>
            </w:pPr>
            <w:r w:rsidRPr="004E54A3">
              <w:rPr>
                <w:noProof/>
              </w:rPr>
              <w:t>60 mg</w:t>
            </w:r>
          </w:p>
          <w:p w14:paraId="6E700278" w14:textId="77777777" w:rsidR="001A1CF4" w:rsidRPr="004E54A3" w:rsidRDefault="001A1CF4" w:rsidP="009E4149">
            <w:pPr>
              <w:keepNext/>
              <w:keepLines/>
              <w:jc w:val="center"/>
              <w:rPr>
                <w:noProof/>
              </w:rPr>
            </w:pPr>
            <w:r w:rsidRPr="004E54A3">
              <w:rPr>
                <w:noProof/>
              </w:rPr>
              <w:t>80 mg</w:t>
            </w:r>
          </w:p>
        </w:tc>
        <w:tc>
          <w:tcPr>
            <w:tcW w:w="1005" w:type="pct"/>
            <w:tcBorders>
              <w:left w:val="nil"/>
            </w:tcBorders>
          </w:tcPr>
          <w:p w14:paraId="5A1BB605" w14:textId="77777777" w:rsidR="001A1CF4" w:rsidRPr="004E54A3" w:rsidRDefault="001A1CF4" w:rsidP="009E4149">
            <w:pPr>
              <w:keepNext/>
              <w:keepLines/>
              <w:jc w:val="center"/>
              <w:rPr>
                <w:noProof/>
              </w:rPr>
            </w:pPr>
            <w:r w:rsidRPr="004E54A3">
              <w:rPr>
                <w:noProof/>
              </w:rPr>
              <w:t>*</w:t>
            </w:r>
          </w:p>
          <w:p w14:paraId="7422C48A" w14:textId="77777777" w:rsidR="001A1CF4" w:rsidRPr="004E54A3" w:rsidRDefault="001A1CF4" w:rsidP="009E4149">
            <w:pPr>
              <w:keepNext/>
              <w:keepLines/>
              <w:jc w:val="center"/>
              <w:rPr>
                <w:noProof/>
              </w:rPr>
            </w:pPr>
            <w:r w:rsidRPr="004E54A3">
              <w:rPr>
                <w:noProof/>
              </w:rPr>
              <w:t>20 mg</w:t>
            </w:r>
          </w:p>
          <w:p w14:paraId="74DAE375" w14:textId="77777777" w:rsidR="001A1CF4" w:rsidRPr="004E54A3" w:rsidRDefault="001A1CF4" w:rsidP="009E4149">
            <w:pPr>
              <w:keepNext/>
              <w:keepLines/>
              <w:jc w:val="center"/>
              <w:rPr>
                <w:noProof/>
              </w:rPr>
            </w:pPr>
            <w:r w:rsidRPr="004E54A3">
              <w:rPr>
                <w:noProof/>
              </w:rPr>
              <w:t>50 mg</w:t>
            </w:r>
          </w:p>
          <w:p w14:paraId="0C54ED21" w14:textId="77777777" w:rsidR="001A1CF4" w:rsidRPr="004E54A3" w:rsidRDefault="001A1CF4" w:rsidP="009E4149">
            <w:pPr>
              <w:keepNext/>
              <w:keepLines/>
              <w:jc w:val="center"/>
              <w:rPr>
                <w:noProof/>
              </w:rPr>
            </w:pPr>
            <w:r w:rsidRPr="004E54A3">
              <w:rPr>
                <w:noProof/>
              </w:rPr>
              <w:t>70 mg</w:t>
            </w:r>
          </w:p>
        </w:tc>
      </w:tr>
    </w:tbl>
    <w:p w14:paraId="20EE76A2" w14:textId="77777777" w:rsidR="0022679F" w:rsidRPr="00F25CE6" w:rsidRDefault="0022679F" w:rsidP="0022679F">
      <w:pPr>
        <w:pStyle w:val="Footnote"/>
      </w:pPr>
      <w:r w:rsidRPr="00F25CE6">
        <w:t>ABN: apsolutni broj neutrofila</w:t>
      </w:r>
    </w:p>
    <w:p w14:paraId="7749DD32" w14:textId="77777777" w:rsidR="0022679F" w:rsidRPr="00F25CE6" w:rsidRDefault="0022679F" w:rsidP="0022679F">
      <w:pPr>
        <w:pStyle w:val="Footnote"/>
      </w:pPr>
      <w:r w:rsidRPr="00F25CE6">
        <w:t>*nije dostupna tableta u nižoj dozi</w:t>
      </w:r>
    </w:p>
    <w:p w14:paraId="5E2AA2A8" w14:textId="77777777" w:rsidR="0022679F" w:rsidRDefault="0022679F" w:rsidP="00F25CE6">
      <w:pPr>
        <w:pStyle w:val="BodyText"/>
        <w:widowControl/>
        <w:rPr>
          <w:rFonts w:asciiTheme="majorBidi" w:hAnsiTheme="majorBidi" w:cstheme="majorBidi"/>
          <w:szCs w:val="22"/>
        </w:rPr>
      </w:pPr>
    </w:p>
    <w:p w14:paraId="12B965B1" w14:textId="5AEA841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Ako u pedijatrijskih bolesnika s Ph+ KML</w:t>
      </w:r>
      <w:r w:rsidR="00FC7114">
        <w:rPr>
          <w:rFonts w:asciiTheme="majorBidi" w:hAnsiTheme="majorBidi" w:cstheme="majorBidi"/>
          <w:szCs w:val="22"/>
        </w:rPr>
        <w:t>-om</w:t>
      </w:r>
      <w:r w:rsidRPr="00F25CE6">
        <w:rPr>
          <w:rFonts w:asciiTheme="majorBidi" w:hAnsiTheme="majorBidi" w:cstheme="majorBidi"/>
          <w:szCs w:val="22"/>
        </w:rPr>
        <w:t xml:space="preserve"> u kroničnoj fazi ponovno nastupe neutropenija ili trombocitopenija ≥ 3. stupnja tijekom potpunog hematološkog odgovora, primjenu </w:t>
      </w:r>
      <w:r w:rsidR="003A26FC">
        <w:rPr>
          <w:rFonts w:asciiTheme="majorBidi" w:hAnsiTheme="majorBidi" w:cstheme="majorBidi"/>
          <w:szCs w:val="22"/>
        </w:rPr>
        <w:t>dasatiniba</w:t>
      </w:r>
      <w:r w:rsidR="007659C6" w:rsidRPr="00F25CE6">
        <w:rPr>
          <w:rFonts w:asciiTheme="majorBidi" w:hAnsiTheme="majorBidi" w:cstheme="majorBidi"/>
          <w:szCs w:val="22"/>
        </w:rPr>
        <w:t xml:space="preserve"> </w:t>
      </w:r>
      <w:r w:rsidRPr="00F25CE6">
        <w:rPr>
          <w:rFonts w:asciiTheme="majorBidi" w:hAnsiTheme="majorBidi" w:cstheme="majorBidi"/>
          <w:szCs w:val="22"/>
        </w:rPr>
        <w:t>potrebno je privremeno prekinuti, a zatim nastaviti liječenje smanjenom dozom. Po potrebi treba privremeno smanjiti dozu u slučaju citopenije srednjeg stupnja i odgovora bolesti.</w:t>
      </w:r>
    </w:p>
    <w:p w14:paraId="6D7EE348" w14:textId="77777777" w:rsidR="00AF7ABC" w:rsidRPr="00F25CE6" w:rsidRDefault="00AF7ABC" w:rsidP="00F25CE6">
      <w:pPr>
        <w:pStyle w:val="BodyText"/>
        <w:widowControl/>
        <w:rPr>
          <w:rFonts w:asciiTheme="majorBidi" w:hAnsiTheme="majorBidi" w:cstheme="majorBidi"/>
          <w:szCs w:val="22"/>
        </w:rPr>
      </w:pPr>
    </w:p>
    <w:p w14:paraId="37E232E6" w14:textId="255BA1FF"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U pedijatrijskih bolesnika s Ph+ ALL</w:t>
      </w:r>
      <w:r w:rsidR="002D7341">
        <w:rPr>
          <w:rFonts w:asciiTheme="majorBidi" w:hAnsiTheme="majorBidi" w:cstheme="majorBidi"/>
          <w:szCs w:val="22"/>
        </w:rPr>
        <w:t>-om</w:t>
      </w:r>
      <w:r w:rsidRPr="00F25CE6">
        <w:rPr>
          <w:rFonts w:asciiTheme="majorBidi" w:hAnsiTheme="majorBidi" w:cstheme="majorBidi"/>
          <w:szCs w:val="22"/>
        </w:rPr>
        <w:t xml:space="preserve"> ne preporučuje se prilagođavanje doze u slučaju hematoloških toksičnosti 1. </w:t>
      </w:r>
      <w:r w:rsidR="0072080C" w:rsidRPr="009474C0">
        <w:rPr>
          <w:szCs w:val="22"/>
        </w:rPr>
        <w:t>–</w:t>
      </w:r>
      <w:r w:rsidRPr="00F25CE6">
        <w:rPr>
          <w:rFonts w:asciiTheme="majorBidi" w:hAnsiTheme="majorBidi" w:cstheme="majorBidi"/>
          <w:szCs w:val="22"/>
        </w:rPr>
        <w:t xml:space="preserve"> 4. stupnja. Ako se zbog neutropenije i/ili trombocitopenije sljedeći blok terapije mora odgoditi za više od 14 dana, </w:t>
      </w:r>
      <w:r w:rsidR="003A26FC">
        <w:rPr>
          <w:rFonts w:asciiTheme="majorBidi" w:hAnsiTheme="majorBidi" w:cstheme="majorBidi"/>
          <w:szCs w:val="22"/>
        </w:rPr>
        <w:t>primjenu dasatiniba</w:t>
      </w:r>
      <w:r w:rsidR="007659C6" w:rsidRPr="00F25CE6">
        <w:rPr>
          <w:rFonts w:asciiTheme="majorBidi" w:hAnsiTheme="majorBidi" w:cstheme="majorBidi"/>
          <w:szCs w:val="22"/>
        </w:rPr>
        <w:t xml:space="preserve"> </w:t>
      </w:r>
      <w:r w:rsidRPr="00F25CE6">
        <w:rPr>
          <w:rFonts w:asciiTheme="majorBidi" w:hAnsiTheme="majorBidi" w:cstheme="majorBidi"/>
          <w:szCs w:val="22"/>
        </w:rPr>
        <w:t xml:space="preserve">potrebno je privremeno prekinuti, a zatim nastaviti s primjenom iste doze kada se započne novi blok terapije. Ako neutropenija i/ili trombocitopenija ustraju, pa se sljedeći blok terapije odgodi za još 7 dana, potrebno je provesti ocjenu koštane srži kako bi se odredili celularnost i postotak blasta. Ako je celularnost koštane srži &lt; 10%, liječenje </w:t>
      </w:r>
      <w:r w:rsidR="003A26FC">
        <w:rPr>
          <w:rFonts w:asciiTheme="majorBidi" w:hAnsiTheme="majorBidi" w:cstheme="majorBidi"/>
          <w:szCs w:val="22"/>
        </w:rPr>
        <w:t xml:space="preserve">dasatinibom </w:t>
      </w:r>
      <w:r w:rsidRPr="00F25CE6">
        <w:rPr>
          <w:rFonts w:asciiTheme="majorBidi" w:hAnsiTheme="majorBidi" w:cstheme="majorBidi"/>
          <w:szCs w:val="22"/>
        </w:rPr>
        <w:t>potrebno je privremeno prekinuti dok ABN ne bude &gt; 500//μl</w:t>
      </w:r>
      <w:r w:rsidR="00503528">
        <w:rPr>
          <w:rFonts w:asciiTheme="majorBidi" w:hAnsiTheme="majorBidi" w:cstheme="majorBidi"/>
          <w:szCs w:val="22"/>
        </w:rPr>
        <w:t xml:space="preserve"> </w:t>
      </w:r>
      <w:r w:rsidRPr="00F25CE6">
        <w:rPr>
          <w:rFonts w:asciiTheme="majorBidi" w:hAnsiTheme="majorBidi" w:cstheme="majorBidi"/>
          <w:szCs w:val="22"/>
        </w:rPr>
        <w:t>(0,5 x 10</w:t>
      </w:r>
      <w:r w:rsidRPr="00F25CE6">
        <w:rPr>
          <w:rFonts w:asciiTheme="majorBidi" w:hAnsiTheme="majorBidi" w:cstheme="majorBidi"/>
          <w:szCs w:val="22"/>
          <w:vertAlign w:val="superscript"/>
        </w:rPr>
        <w:t>9</w:t>
      </w:r>
      <w:r w:rsidRPr="00F25CE6">
        <w:rPr>
          <w:rFonts w:asciiTheme="majorBidi" w:hAnsiTheme="majorBidi" w:cstheme="majorBidi"/>
          <w:szCs w:val="22"/>
        </w:rPr>
        <w:t xml:space="preserve">/l), kada se liječenje može nastaviti punom dozom. Ako je celularnost koštane srži &gt; 10%, može se razmotriti nastavak liječenja </w:t>
      </w:r>
      <w:r w:rsidR="003A26FC">
        <w:rPr>
          <w:rFonts w:asciiTheme="majorBidi" w:hAnsiTheme="majorBidi" w:cstheme="majorBidi"/>
          <w:szCs w:val="22"/>
        </w:rPr>
        <w:t>dasatinibom</w:t>
      </w:r>
      <w:r w:rsidRPr="00F25CE6">
        <w:rPr>
          <w:rFonts w:asciiTheme="majorBidi" w:hAnsiTheme="majorBidi" w:cstheme="majorBidi"/>
          <w:szCs w:val="22"/>
        </w:rPr>
        <w:t>.</w:t>
      </w:r>
    </w:p>
    <w:p w14:paraId="7BC77133" w14:textId="77777777" w:rsidR="00AF7ABC" w:rsidRPr="00F25CE6" w:rsidRDefault="00AF7ABC" w:rsidP="00F25CE6">
      <w:pPr>
        <w:pStyle w:val="BodyText"/>
        <w:widowControl/>
        <w:rPr>
          <w:rFonts w:asciiTheme="majorBidi" w:hAnsiTheme="majorBidi" w:cstheme="majorBidi"/>
          <w:szCs w:val="22"/>
        </w:rPr>
      </w:pPr>
    </w:p>
    <w:p w14:paraId="2D4EB4F4"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Nehematološke nuspojave</w:t>
      </w:r>
    </w:p>
    <w:p w14:paraId="3F80BF32" w14:textId="4AE6CD0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Ako se javi umjerena, nehematološka nuspojava 2. stupnja na dasatinib, liječenje treba obustaviti sve do povlačenja nuspojave ili povratka na početno stanje. Ako se nuspojava pojavila prvi put, liječenje treba nastaviti istom dozom, a ako se radilo o ponovnom nastupu nuspojave, dozu treba smanjiti. Ako se uz liječenje dasatinibom razvije teška nehematološka nuspojava 3. ili 4. stupnja, liječenje se mora obustaviti sve dok se nuspojava ne povuče. Nakon toga može se nastaviti s liječenjem na odgovarajući način uz manju dozu, ovisno o početnoj težini nuspojave. U bolesnika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koji su primali 100 mg jedanput dnevno, preporučuje se smanjiti dozu na 80 mg jedanput dnevno uz daljnje smanjenje doze od 80 mg jedanput dnevno na 50 mg jedanput dnevno, ukoliko je preporučeno. U bolesnika s KML</w:t>
      </w:r>
      <w:r w:rsidR="00FC7114">
        <w:rPr>
          <w:rFonts w:asciiTheme="majorBidi" w:hAnsiTheme="majorBidi" w:cstheme="majorBidi"/>
          <w:szCs w:val="22"/>
        </w:rPr>
        <w:t>-om</w:t>
      </w:r>
      <w:r w:rsidRPr="00F25CE6">
        <w:rPr>
          <w:rFonts w:asciiTheme="majorBidi" w:hAnsiTheme="majorBidi" w:cstheme="majorBidi"/>
          <w:szCs w:val="22"/>
        </w:rPr>
        <w:t xml:space="preserve"> u uznapredovaloj fazi ili s Ph+ ALL</w:t>
      </w:r>
      <w:r w:rsidR="00FC7114">
        <w:rPr>
          <w:rFonts w:asciiTheme="majorBidi" w:hAnsiTheme="majorBidi" w:cstheme="majorBidi"/>
          <w:szCs w:val="22"/>
        </w:rPr>
        <w:t>-om</w:t>
      </w:r>
      <w:r w:rsidRPr="00F25CE6">
        <w:rPr>
          <w:rFonts w:asciiTheme="majorBidi" w:hAnsiTheme="majorBidi" w:cstheme="majorBidi"/>
          <w:szCs w:val="22"/>
        </w:rPr>
        <w:t xml:space="preserve"> koji primaju 140 mg jedanput dnevno, preporučuje se smanjiti dozu na 100 mg jedanput dnevno uz daljnje smanjenje sa 100 mg jedanput dnevno na 50 mg jedanput dnevno, ako je potrebno. U pedijatrijskih bolesnika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koji imaju nehematološke nuspojave treba se pridržavati prethodno navedenih preporuka za smanjenje doze u slučaju hematoloških nuspojava. U pedijatrijskih bolesnika s Ph+ </w:t>
      </w:r>
      <w:r w:rsidRPr="00F25CE6">
        <w:rPr>
          <w:rFonts w:asciiTheme="majorBidi" w:hAnsiTheme="majorBidi" w:cstheme="majorBidi"/>
          <w:szCs w:val="22"/>
        </w:rPr>
        <w:lastRenderedPageBreak/>
        <w:t>ALL</w:t>
      </w:r>
      <w:r w:rsidR="00FC7114">
        <w:rPr>
          <w:rFonts w:asciiTheme="majorBidi" w:hAnsiTheme="majorBidi" w:cstheme="majorBidi"/>
          <w:szCs w:val="22"/>
        </w:rPr>
        <w:t>-om</w:t>
      </w:r>
      <w:r w:rsidRPr="00F25CE6">
        <w:rPr>
          <w:rFonts w:asciiTheme="majorBidi" w:hAnsiTheme="majorBidi" w:cstheme="majorBidi"/>
          <w:szCs w:val="22"/>
        </w:rPr>
        <w:t xml:space="preserve"> koji imaju nehematološke nuspojave po potrebi treba smanjiti dozu za jednu razinu, u skladu s prethodno navedenim preporukama za smanjenje doze u slučaju hematoloških nuspojava.</w:t>
      </w:r>
    </w:p>
    <w:p w14:paraId="4933B0BD" w14:textId="77777777" w:rsidR="00A15E8A" w:rsidRPr="00F25CE6" w:rsidRDefault="00A15E8A" w:rsidP="00F25CE6">
      <w:pPr>
        <w:widowControl/>
        <w:rPr>
          <w:rFonts w:asciiTheme="majorBidi" w:hAnsiTheme="majorBidi" w:cstheme="majorBidi"/>
        </w:rPr>
      </w:pPr>
    </w:p>
    <w:p w14:paraId="5F1018C0"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Pleuralni izljev</w:t>
      </w:r>
    </w:p>
    <w:p w14:paraId="079272A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Ako se dijagnosticira pleuralni izljev, treba prekinuti primjenu dasatiniba sve dok se bolesnika ne pregleda, do povlačenja simptoma ili do povratka na početno stanje. Ako se ova epizoda ne poboljša u roku od približno tjedan dana, treba razmotriti primjenu diuretika ili kortikosteroida ili obaju istodobno (vidjeti dijelove 4.4 i 4.8). Nakon povlačenja prve epizode, treba razmotriti ponovno uvođenje dasatiniba u istoj dozi. Nakon povlačenja naredne epizode, treba ponovno uvesti dasatinib u dozi nižoj za jednu razinu. Nakon povlačenja teške (3. ili 4. stupanj) epizode, liječenje se može prema potrebi nastaviti smanjenom dozom, ovisno o početnoj težini nuspojave.</w:t>
      </w:r>
    </w:p>
    <w:p w14:paraId="1844BED8" w14:textId="77777777" w:rsidR="00AF7ABC" w:rsidRPr="00F25CE6" w:rsidRDefault="00AF7ABC" w:rsidP="00F25CE6">
      <w:pPr>
        <w:pStyle w:val="BodyText"/>
        <w:widowControl/>
        <w:rPr>
          <w:rFonts w:asciiTheme="majorBidi" w:hAnsiTheme="majorBidi" w:cstheme="majorBidi"/>
          <w:szCs w:val="22"/>
        </w:rPr>
      </w:pPr>
    </w:p>
    <w:p w14:paraId="205A1FF7"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Smanjenje doze kod istodobne primjene snažnih inhibitora CYP3A4</w:t>
      </w:r>
    </w:p>
    <w:p w14:paraId="3C8902C0" w14:textId="699F503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Potrebno je izbjegavati istodobnu primjenu snažnih inhibitora CYP3A4 i uzimanje soka od grejpa zajedno s lijekom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(vidjeti dio 4.5). Ako je moguće, za istodobnu primjenu treba odabrati neki drugi lijek, koji ne inhibira ili minimalno inhibira enzimsku aktivnost. Ako se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mora primjenjivati istodobno sa snažnim inhibitorom CYP3A4, potrebno je razmotriti smanjenje doze na:</w:t>
      </w:r>
    </w:p>
    <w:p w14:paraId="6F3B462E" w14:textId="1FD600D0" w:rsidR="00AF7ABC" w:rsidRPr="00F25CE6" w:rsidRDefault="00422138" w:rsidP="00503528">
      <w:pPr>
        <w:pStyle w:val="ListParagraph"/>
        <w:widowControl/>
        <w:numPr>
          <w:ilvl w:val="0"/>
          <w:numId w:val="1"/>
        </w:numPr>
        <w:ind w:left="720" w:hanging="360"/>
        <w:rPr>
          <w:rFonts w:asciiTheme="majorBidi" w:hAnsiTheme="majorBidi" w:cstheme="majorBidi"/>
        </w:rPr>
      </w:pPr>
      <w:r w:rsidRPr="00F25CE6">
        <w:rPr>
          <w:rFonts w:asciiTheme="majorBidi" w:hAnsiTheme="majorBidi" w:cstheme="majorBidi"/>
        </w:rPr>
        <w:t xml:space="preserve">40 mg na dan u bolesnika koji uzimaju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tablete u dozi od 140 mg dnevno</w:t>
      </w:r>
    </w:p>
    <w:p w14:paraId="50004906" w14:textId="6FE9FE6E" w:rsidR="00AF7ABC" w:rsidRPr="00F25CE6" w:rsidRDefault="00422138" w:rsidP="00503528">
      <w:pPr>
        <w:pStyle w:val="ListParagraph"/>
        <w:widowControl/>
        <w:numPr>
          <w:ilvl w:val="0"/>
          <w:numId w:val="1"/>
        </w:numPr>
        <w:ind w:left="720" w:hanging="360"/>
        <w:rPr>
          <w:rFonts w:asciiTheme="majorBidi" w:hAnsiTheme="majorBidi" w:cstheme="majorBidi"/>
        </w:rPr>
      </w:pPr>
      <w:r w:rsidRPr="00F25CE6">
        <w:rPr>
          <w:rFonts w:asciiTheme="majorBidi" w:hAnsiTheme="majorBidi" w:cstheme="majorBidi"/>
        </w:rPr>
        <w:t xml:space="preserve">20 mg na dan u bolesnika koji uzimaju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tablete u dozi od 100 mg dnevno</w:t>
      </w:r>
    </w:p>
    <w:p w14:paraId="35FE3DD4" w14:textId="7ED2BE1D" w:rsidR="00AF7ABC" w:rsidRPr="00F25CE6" w:rsidRDefault="00422138" w:rsidP="00503528">
      <w:pPr>
        <w:pStyle w:val="ListParagraph"/>
        <w:widowControl/>
        <w:numPr>
          <w:ilvl w:val="0"/>
          <w:numId w:val="1"/>
        </w:numPr>
        <w:ind w:left="720" w:hanging="360"/>
        <w:rPr>
          <w:rFonts w:asciiTheme="majorBidi" w:hAnsiTheme="majorBidi" w:cstheme="majorBidi"/>
        </w:rPr>
      </w:pPr>
      <w:r w:rsidRPr="00F25CE6">
        <w:rPr>
          <w:rFonts w:asciiTheme="majorBidi" w:hAnsiTheme="majorBidi" w:cstheme="majorBidi"/>
        </w:rPr>
        <w:t xml:space="preserve">20 mg na dan u bolesnika koji uzimaju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tablete u dozi od 70 mg dnevno</w:t>
      </w:r>
    </w:p>
    <w:p w14:paraId="7596AEE7" w14:textId="77777777" w:rsidR="00AF7ABC" w:rsidRPr="00F25CE6" w:rsidRDefault="00AF7ABC" w:rsidP="00F25CE6">
      <w:pPr>
        <w:pStyle w:val="BodyText"/>
        <w:widowControl/>
        <w:rPr>
          <w:rFonts w:asciiTheme="majorBidi" w:hAnsiTheme="majorBidi" w:cstheme="majorBidi"/>
          <w:szCs w:val="22"/>
        </w:rPr>
      </w:pPr>
    </w:p>
    <w:p w14:paraId="30C0B94C" w14:textId="123EC1A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bolesnika koji uzimaju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u dozi od 60 mg ili 40 mg dnevno potrebno je razmotriti privremeni prekid primjene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do prestanka liječenja inhibitorom CYP3A4 ili prelazak na nižu dozu primjenom</w:t>
      </w:r>
      <w:r w:rsidR="00305F81">
        <w:rPr>
          <w:rFonts w:asciiTheme="majorBidi" w:hAnsiTheme="majorBidi" w:cstheme="majorBidi"/>
          <w:szCs w:val="22"/>
        </w:rPr>
        <w:t xml:space="preserve"> dasatinib</w:t>
      </w:r>
      <w:r w:rsidRPr="00F25CE6">
        <w:rPr>
          <w:rFonts w:asciiTheme="majorBidi" w:hAnsiTheme="majorBidi" w:cstheme="majorBidi"/>
          <w:szCs w:val="22"/>
        </w:rPr>
        <w:t xml:space="preserve"> praška za oralnu suspenziju. Potrebno je razdoblje ispiranja od približno 1 tjedna između prekida primjene inhibitora i ponovnog uvođenja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w:t>
      </w:r>
    </w:p>
    <w:p w14:paraId="6C91694E" w14:textId="77777777" w:rsidR="00AF7ABC" w:rsidRPr="00F25CE6" w:rsidRDefault="00AF7ABC" w:rsidP="00F25CE6">
      <w:pPr>
        <w:pStyle w:val="BodyText"/>
        <w:widowControl/>
        <w:rPr>
          <w:rFonts w:asciiTheme="majorBidi" w:hAnsiTheme="majorBidi" w:cstheme="majorBidi"/>
          <w:szCs w:val="22"/>
        </w:rPr>
      </w:pPr>
    </w:p>
    <w:p w14:paraId="2181C73B" w14:textId="27C312E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Predviđa se da će tako smanjene doze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prilagoditi područje ispod krivulje (AUC) do raspona zabilježenog bez inhibitora CYP3A4; međutim, nisu dostupni klinički podaci za takve prilagođene doze u bolesnika koji primaju snažne inhibitore CYP3A4. Ako bolesnik ne podnosi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nakon smanjenja doze, treba obustaviti primjenu snažnog inhibitora CYP3A4 ili privremeno prekinuti primjenu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do prestanka liječenja inhibitorom. Nakon prekida liječenja inhibitorom potrebno je razdoblje ispiranja od približno 1 tjedna prije nego što se poveća doza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w:t>
      </w:r>
    </w:p>
    <w:p w14:paraId="0AC4D982" w14:textId="77777777" w:rsidR="00AF7ABC" w:rsidRPr="00F25CE6" w:rsidRDefault="00AF7ABC" w:rsidP="00F25CE6">
      <w:pPr>
        <w:pStyle w:val="BodyText"/>
        <w:widowControl/>
        <w:rPr>
          <w:rFonts w:asciiTheme="majorBidi" w:hAnsiTheme="majorBidi" w:cstheme="majorBidi"/>
          <w:szCs w:val="22"/>
        </w:rPr>
      </w:pPr>
    </w:p>
    <w:p w14:paraId="3CD9171C"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Posebne populacije</w:t>
      </w:r>
    </w:p>
    <w:p w14:paraId="6F586091"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Starije osobe</w:t>
      </w:r>
    </w:p>
    <w:p w14:paraId="2C7D7AE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starijih bolesnika nisu primijećene klinički važne razlike u farmakokinetici povezane s dobi. Nije potrebna nikakva posebna preporuka za doziranje u starijih osoba.</w:t>
      </w:r>
    </w:p>
    <w:p w14:paraId="64E012A1" w14:textId="77777777" w:rsidR="00AF7ABC" w:rsidRPr="00F25CE6" w:rsidRDefault="00AF7ABC" w:rsidP="00F25CE6">
      <w:pPr>
        <w:pStyle w:val="BodyText"/>
        <w:widowControl/>
        <w:rPr>
          <w:rFonts w:asciiTheme="majorBidi" w:hAnsiTheme="majorBidi" w:cstheme="majorBidi"/>
          <w:szCs w:val="22"/>
        </w:rPr>
      </w:pPr>
    </w:p>
    <w:p w14:paraId="0337A53A"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Oštećenje funkcije jetre</w:t>
      </w:r>
    </w:p>
    <w:p w14:paraId="08CA436B" w14:textId="5961289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Bolesnici s blagim, umjerenim ili teškim oštećenjem</w:t>
      </w:r>
      <w:r w:rsidR="0072080C">
        <w:rPr>
          <w:rFonts w:asciiTheme="majorBidi" w:hAnsiTheme="majorBidi" w:cstheme="majorBidi"/>
          <w:szCs w:val="22"/>
        </w:rPr>
        <w:t xml:space="preserve"> funkcije</w:t>
      </w:r>
      <w:r w:rsidRPr="00F25CE6">
        <w:rPr>
          <w:rFonts w:asciiTheme="majorBidi" w:hAnsiTheme="majorBidi" w:cstheme="majorBidi"/>
          <w:szCs w:val="22"/>
        </w:rPr>
        <w:t xml:space="preserve"> jetre mogu primiti preporučenu početnu dozu. Ipak,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se mora koristiti s oprezom u bolesnika s oštećenjem funkcije jetre (vidjeti dio 5.2).</w:t>
      </w:r>
    </w:p>
    <w:p w14:paraId="52890CD4" w14:textId="77777777" w:rsidR="00AF7ABC" w:rsidRPr="00F25CE6" w:rsidRDefault="00AF7ABC" w:rsidP="00F25CE6">
      <w:pPr>
        <w:pStyle w:val="BodyText"/>
        <w:widowControl/>
        <w:rPr>
          <w:rFonts w:asciiTheme="majorBidi" w:hAnsiTheme="majorBidi" w:cstheme="majorBidi"/>
          <w:szCs w:val="22"/>
        </w:rPr>
      </w:pPr>
    </w:p>
    <w:p w14:paraId="6EBE113F"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Oštećenje funkcije bubrega</w:t>
      </w:r>
    </w:p>
    <w:p w14:paraId="0CA8928E" w14:textId="47627726"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 xml:space="preserve">Nisu provedena klinička ispitivanja </w:t>
      </w:r>
      <w:r w:rsidR="003A26FC">
        <w:rPr>
          <w:rFonts w:asciiTheme="majorBidi" w:hAnsiTheme="majorBidi" w:cstheme="majorBidi"/>
          <w:szCs w:val="22"/>
        </w:rPr>
        <w:t>dasatiniba</w:t>
      </w:r>
      <w:r w:rsidR="00764585" w:rsidRPr="00F25CE6">
        <w:rPr>
          <w:rFonts w:asciiTheme="majorBidi" w:hAnsiTheme="majorBidi" w:cstheme="majorBidi"/>
          <w:szCs w:val="22"/>
        </w:rPr>
        <w:t xml:space="preserve"> </w:t>
      </w:r>
      <w:r w:rsidRPr="00F25CE6">
        <w:rPr>
          <w:rFonts w:asciiTheme="majorBidi" w:hAnsiTheme="majorBidi" w:cstheme="majorBidi"/>
          <w:szCs w:val="22"/>
        </w:rPr>
        <w:t>u bolesnika sa smanjenom funkcijom bubrega (ispitivanje u bolesnika s novodijagnosticiran</w:t>
      </w:r>
      <w:r w:rsidR="00FC7114">
        <w:rPr>
          <w:rFonts w:asciiTheme="majorBidi" w:hAnsiTheme="majorBidi" w:cstheme="majorBidi"/>
          <w:szCs w:val="22"/>
        </w:rPr>
        <w:t>i</w:t>
      </w:r>
      <w:r w:rsidRPr="00F25CE6">
        <w:rPr>
          <w:rFonts w:asciiTheme="majorBidi" w:hAnsiTheme="majorBidi" w:cstheme="majorBidi"/>
          <w:szCs w:val="22"/>
        </w:rPr>
        <w:t>m KML</w:t>
      </w:r>
      <w:r w:rsidR="00FC7114">
        <w:rPr>
          <w:rFonts w:asciiTheme="majorBidi" w:hAnsiTheme="majorBidi" w:cstheme="majorBidi"/>
          <w:szCs w:val="22"/>
        </w:rPr>
        <w:t>-om</w:t>
      </w:r>
      <w:r w:rsidRPr="00F25CE6">
        <w:rPr>
          <w:rFonts w:asciiTheme="majorBidi" w:hAnsiTheme="majorBidi" w:cstheme="majorBidi"/>
          <w:szCs w:val="22"/>
        </w:rPr>
        <w:t xml:space="preserve"> u kroničnoj fazi isključilo je bolesnike s </w:t>
      </w:r>
      <w:r w:rsidRPr="00436ED0">
        <w:rPr>
          <w:rFonts w:asciiTheme="majorBidi" w:hAnsiTheme="majorBidi" w:cstheme="majorBidi"/>
          <w:szCs w:val="22"/>
        </w:rPr>
        <w:t>koncentracijom kreatinina u serumu koja je bila &gt;</w:t>
      </w:r>
      <w:r w:rsidR="006268ED">
        <w:rPr>
          <w:rFonts w:asciiTheme="majorBidi" w:hAnsiTheme="majorBidi" w:cstheme="majorBidi"/>
          <w:szCs w:val="22"/>
        </w:rPr>
        <w:t> </w:t>
      </w:r>
      <w:r w:rsidRPr="00436ED0">
        <w:rPr>
          <w:rFonts w:asciiTheme="majorBidi" w:hAnsiTheme="majorBidi" w:cstheme="majorBidi"/>
          <w:szCs w:val="22"/>
        </w:rPr>
        <w:t>3 puta veća od gornje granice normalnog raspona, a</w:t>
      </w:r>
      <w:r w:rsidRPr="00F25CE6">
        <w:rPr>
          <w:rFonts w:asciiTheme="majorBidi" w:hAnsiTheme="majorBidi" w:cstheme="majorBidi"/>
          <w:szCs w:val="22"/>
        </w:rPr>
        <w:t xml:space="preserve"> ispitivanja u bolesnika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koji ne podnose ili su otporni na prethodnu terapiju imatinibom isključila su bolesnike s koncentracijom kreatinina u serumu koja je bila &gt;</w:t>
      </w:r>
      <w:r w:rsidR="006268ED">
        <w:rPr>
          <w:rFonts w:asciiTheme="majorBidi" w:hAnsiTheme="majorBidi" w:cstheme="majorBidi"/>
          <w:szCs w:val="22"/>
        </w:rPr>
        <w:t> </w:t>
      </w:r>
      <w:r w:rsidRPr="00F25CE6">
        <w:rPr>
          <w:rFonts w:asciiTheme="majorBidi" w:hAnsiTheme="majorBidi" w:cstheme="majorBidi"/>
          <w:szCs w:val="22"/>
        </w:rPr>
        <w:t>1,5 puta veća od gornje granice normalnog raspona). Budući da je bubrežni klirens dasatiniba i njegovih metabolita</w:t>
      </w:r>
      <w:r w:rsidR="00503528">
        <w:rPr>
          <w:rFonts w:asciiTheme="majorBidi" w:hAnsiTheme="majorBidi" w:cstheme="majorBidi"/>
          <w:szCs w:val="22"/>
        </w:rPr>
        <w:t xml:space="preserve"> </w:t>
      </w:r>
      <w:r w:rsidRPr="00F25CE6">
        <w:rPr>
          <w:rFonts w:asciiTheme="majorBidi" w:hAnsiTheme="majorBidi" w:cstheme="majorBidi"/>
          <w:szCs w:val="22"/>
        </w:rPr>
        <w:t>&lt;</w:t>
      </w:r>
      <w:r w:rsidR="008B34FA">
        <w:rPr>
          <w:rFonts w:asciiTheme="majorBidi" w:hAnsiTheme="majorBidi" w:cstheme="majorBidi"/>
          <w:szCs w:val="22"/>
        </w:rPr>
        <w:t> </w:t>
      </w:r>
      <w:r w:rsidRPr="00F25CE6">
        <w:rPr>
          <w:rFonts w:asciiTheme="majorBidi" w:hAnsiTheme="majorBidi" w:cstheme="majorBidi"/>
          <w:szCs w:val="22"/>
        </w:rPr>
        <w:t>4%, u bolesnika s bubrežnom insuficijencijom ne očekuje se smanjenje ukupnog klirensa iz tijela.</w:t>
      </w:r>
    </w:p>
    <w:p w14:paraId="3A0AFE05" w14:textId="77777777" w:rsidR="00AF7ABC" w:rsidRPr="00F25CE6" w:rsidRDefault="00AF7ABC" w:rsidP="00F25CE6">
      <w:pPr>
        <w:pStyle w:val="BodyText"/>
        <w:widowControl/>
        <w:rPr>
          <w:rFonts w:asciiTheme="majorBidi" w:hAnsiTheme="majorBidi" w:cstheme="majorBidi"/>
          <w:szCs w:val="22"/>
        </w:rPr>
      </w:pPr>
    </w:p>
    <w:p w14:paraId="52BFD4A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Način primjene</w:t>
      </w:r>
    </w:p>
    <w:p w14:paraId="244D74B7" w14:textId="7CC38676"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se mora primijeniti peroralno.</w:t>
      </w:r>
    </w:p>
    <w:p w14:paraId="1C9AD39D" w14:textId="2A2FBBF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Filmom obložene tablete ne smiju se drobiti, rezati niti žvakati, kako bi se održala dosljednost doziranja i smanjio rizik dodira s kožom; moraju se progutati cijele. Filmom obložene tablete ne smiju se otapati jer je izloženost lijeku u bolesnika koji uzmu rastopljenu tabletu manja nego u onih koji progutaju cijelu tabletu. Za pedijatrijske bolesnike s Ph+ KML</w:t>
      </w:r>
      <w:r w:rsidR="00FC7114">
        <w:rPr>
          <w:rFonts w:asciiTheme="majorBidi" w:hAnsiTheme="majorBidi" w:cstheme="majorBidi"/>
          <w:szCs w:val="22"/>
        </w:rPr>
        <w:t>-om</w:t>
      </w:r>
      <w:r w:rsidRPr="00F25CE6">
        <w:rPr>
          <w:rFonts w:asciiTheme="majorBidi" w:hAnsiTheme="majorBidi" w:cstheme="majorBidi"/>
          <w:szCs w:val="22"/>
        </w:rPr>
        <w:t xml:space="preserve"> u kroničnoj fazi i Ph+ ALL</w:t>
      </w:r>
      <w:r w:rsidR="00FC7114">
        <w:rPr>
          <w:rFonts w:asciiTheme="majorBidi" w:hAnsiTheme="majorBidi" w:cstheme="majorBidi"/>
          <w:szCs w:val="22"/>
        </w:rPr>
        <w:t>-om</w:t>
      </w:r>
      <w:r w:rsidRPr="00F25CE6">
        <w:rPr>
          <w:rFonts w:asciiTheme="majorBidi" w:hAnsiTheme="majorBidi" w:cstheme="majorBidi"/>
          <w:szCs w:val="22"/>
        </w:rPr>
        <w:t xml:space="preserve"> te odrasle</w:t>
      </w:r>
      <w:r w:rsidR="00503528">
        <w:rPr>
          <w:rFonts w:asciiTheme="majorBidi" w:hAnsiTheme="majorBidi" w:cstheme="majorBidi"/>
          <w:szCs w:val="22"/>
        </w:rPr>
        <w:t xml:space="preserve"> </w:t>
      </w:r>
      <w:r w:rsidRPr="00F25CE6">
        <w:rPr>
          <w:rFonts w:asciiTheme="majorBidi" w:hAnsiTheme="majorBidi" w:cstheme="majorBidi"/>
          <w:szCs w:val="22"/>
        </w:rPr>
        <w:t>bolesnike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koji ne mogu progutati tablete dostupan je i </w:t>
      </w:r>
      <w:r w:rsidR="00305F81">
        <w:rPr>
          <w:rFonts w:asciiTheme="majorBidi" w:hAnsiTheme="majorBidi" w:cstheme="majorBidi"/>
          <w:szCs w:val="22"/>
        </w:rPr>
        <w:t xml:space="preserve">dasatinib </w:t>
      </w:r>
      <w:r w:rsidRPr="00F25CE6">
        <w:rPr>
          <w:rFonts w:asciiTheme="majorBidi" w:hAnsiTheme="majorBidi" w:cstheme="majorBidi"/>
          <w:szCs w:val="22"/>
        </w:rPr>
        <w:t>prašak za oralnu suspenziju.</w:t>
      </w:r>
      <w:r w:rsidR="008B7339">
        <w:rPr>
          <w:rFonts w:asciiTheme="majorBidi" w:hAnsiTheme="majorBidi" w:cstheme="majorBidi"/>
          <w:szCs w:val="22"/>
        </w:rPr>
        <w:t xml:space="preserve">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se može uzimati uz obrok ili bez njega, ali se mora uzimati uvijek dosljedno ili ujutro ili navečer (vidjeti dio 5.2).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se ne smije uzimati s grejpom ni sokom od grejpa (vidjeti</w:t>
      </w:r>
      <w:r w:rsidR="008B7339">
        <w:rPr>
          <w:rFonts w:asciiTheme="majorBidi" w:hAnsiTheme="majorBidi" w:cstheme="majorBidi"/>
          <w:szCs w:val="22"/>
        </w:rPr>
        <w:t xml:space="preserve"> </w:t>
      </w:r>
      <w:r w:rsidRPr="00F25CE6">
        <w:rPr>
          <w:rFonts w:asciiTheme="majorBidi" w:hAnsiTheme="majorBidi" w:cstheme="majorBidi"/>
          <w:szCs w:val="22"/>
        </w:rPr>
        <w:t>dio 4.5).</w:t>
      </w:r>
    </w:p>
    <w:p w14:paraId="7AB4F849" w14:textId="77777777" w:rsidR="00AF7ABC" w:rsidRPr="00F25CE6" w:rsidRDefault="00AF7ABC" w:rsidP="00F25CE6">
      <w:pPr>
        <w:pStyle w:val="BodyText"/>
        <w:widowControl/>
        <w:rPr>
          <w:rFonts w:asciiTheme="majorBidi" w:hAnsiTheme="majorBidi" w:cstheme="majorBidi"/>
          <w:szCs w:val="22"/>
        </w:rPr>
      </w:pPr>
    </w:p>
    <w:p w14:paraId="0BA608F3" w14:textId="77777777" w:rsidR="00AF7ABC" w:rsidRPr="00F25CE6" w:rsidRDefault="00422138" w:rsidP="00503528">
      <w:pPr>
        <w:pStyle w:val="Heading2"/>
      </w:pPr>
      <w:r w:rsidRPr="00F25CE6">
        <w:t>Kontraindikacije</w:t>
      </w:r>
    </w:p>
    <w:p w14:paraId="7BB212A3" w14:textId="77777777" w:rsidR="00AF7ABC" w:rsidRPr="00F25CE6" w:rsidRDefault="00AF7ABC" w:rsidP="00F25CE6">
      <w:pPr>
        <w:pStyle w:val="BodyText"/>
        <w:widowControl/>
        <w:rPr>
          <w:rFonts w:asciiTheme="majorBidi" w:hAnsiTheme="majorBidi" w:cstheme="majorBidi"/>
          <w:b/>
          <w:szCs w:val="22"/>
        </w:rPr>
      </w:pPr>
    </w:p>
    <w:p w14:paraId="7981F88A" w14:textId="430047E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Preosjetljivost na djelatnu tvar ili neku od pomoćnih tvari navedenih u dijelu 6.1.</w:t>
      </w:r>
    </w:p>
    <w:p w14:paraId="0A28B3C2" w14:textId="77777777" w:rsidR="00AF7ABC" w:rsidRPr="00F25CE6" w:rsidRDefault="00AF7ABC" w:rsidP="00F25CE6">
      <w:pPr>
        <w:pStyle w:val="BodyText"/>
        <w:widowControl/>
        <w:rPr>
          <w:rFonts w:asciiTheme="majorBidi" w:hAnsiTheme="majorBidi" w:cstheme="majorBidi"/>
          <w:szCs w:val="22"/>
        </w:rPr>
      </w:pPr>
    </w:p>
    <w:p w14:paraId="5684C310" w14:textId="77777777" w:rsidR="00AF7ABC" w:rsidRPr="00F25CE6" w:rsidRDefault="00422138" w:rsidP="00503528">
      <w:pPr>
        <w:pStyle w:val="Heading2"/>
      </w:pPr>
      <w:r w:rsidRPr="00F25CE6">
        <w:t>Posebna upozorenja i mjere opreza pri uporabi</w:t>
      </w:r>
    </w:p>
    <w:p w14:paraId="3E3C0F62" w14:textId="77777777" w:rsidR="00AF7ABC" w:rsidRPr="00F25CE6" w:rsidRDefault="00AF7ABC" w:rsidP="00F25CE6">
      <w:pPr>
        <w:pStyle w:val="BodyText"/>
        <w:widowControl/>
        <w:rPr>
          <w:rFonts w:asciiTheme="majorBidi" w:hAnsiTheme="majorBidi" w:cstheme="majorBidi"/>
          <w:b/>
          <w:szCs w:val="22"/>
        </w:rPr>
      </w:pPr>
    </w:p>
    <w:p w14:paraId="212702E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Klinički značajne interakcije</w:t>
      </w:r>
    </w:p>
    <w:p w14:paraId="70A68199"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je supstrat i inhibitor citokroma P450 (CYP) 3A4. Stoga postoji mogućnost interakcije s drugim istodobno primijenjenim lijekovima koji se metaboliziraju primarno preko CYP3A4 ili moduliraju aktivnost tog enzima (vidjeti dio 4.5).</w:t>
      </w:r>
    </w:p>
    <w:p w14:paraId="3EC6C132" w14:textId="77777777" w:rsidR="00AF7ABC" w:rsidRPr="00F25CE6" w:rsidRDefault="00AF7ABC" w:rsidP="00F25CE6">
      <w:pPr>
        <w:pStyle w:val="BodyText"/>
        <w:widowControl/>
        <w:rPr>
          <w:rFonts w:asciiTheme="majorBidi" w:hAnsiTheme="majorBidi" w:cstheme="majorBidi"/>
          <w:szCs w:val="22"/>
        </w:rPr>
      </w:pPr>
    </w:p>
    <w:p w14:paraId="69EE6351"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Istodobna primjena dasatiniba i lijekova ili tvari koje potentno inhibiraju CYP3A4 (npr. ketokonazol, itrakonazol, eritromicin, klaritromicin, ritonavir, telitromicin, sok od grejpa) može povećati izloženost dasatinibu. Stoga se u bolesnika koji primaju dasatinib ne preporučuje istodobna primjena potentnih inhibitora CYP3A4 (vidjeti dio 4.5).</w:t>
      </w:r>
    </w:p>
    <w:p w14:paraId="7965178E" w14:textId="77777777" w:rsidR="00AF7ABC" w:rsidRPr="00F25CE6" w:rsidRDefault="00AF7ABC" w:rsidP="00F25CE6">
      <w:pPr>
        <w:pStyle w:val="BodyText"/>
        <w:widowControl/>
        <w:rPr>
          <w:rFonts w:asciiTheme="majorBidi" w:hAnsiTheme="majorBidi" w:cstheme="majorBidi"/>
          <w:szCs w:val="22"/>
        </w:rPr>
      </w:pPr>
    </w:p>
    <w:p w14:paraId="3645897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Istodobna primjena dasatiniba i lijekova koji induciraju CYP3A4 (npr. deksametazon, fenitoin, karbamazepin, rifampicin, fenobarbital ili biljni pripravci koji sadrže </w:t>
      </w:r>
      <w:r w:rsidRPr="00F25CE6">
        <w:rPr>
          <w:rFonts w:asciiTheme="majorBidi" w:hAnsiTheme="majorBidi" w:cstheme="majorBidi"/>
          <w:i/>
          <w:szCs w:val="22"/>
        </w:rPr>
        <w:t>Hypericum perforatum</w:t>
      </w:r>
      <w:r w:rsidRPr="00F25CE6">
        <w:rPr>
          <w:rFonts w:asciiTheme="majorBidi" w:hAnsiTheme="majorBidi" w:cstheme="majorBidi"/>
          <w:szCs w:val="22"/>
        </w:rPr>
        <w:t>, također poznatu pod imenom „gospina trava“) mogu znatno smanjiti izloženost dasatinibu i time povećati rizik od neuspjeha liječenja. Stoga je u bolesnika koji primaju dasatinib potrebno odabrati zamjenske lijekove s manjim potencijalom za indukciju CYP3A4 (vidjeti dio 4.5).</w:t>
      </w:r>
    </w:p>
    <w:p w14:paraId="24B75CD8" w14:textId="77777777" w:rsidR="00AF7ABC" w:rsidRPr="00F25CE6" w:rsidRDefault="00AF7ABC" w:rsidP="00F25CE6">
      <w:pPr>
        <w:pStyle w:val="BodyText"/>
        <w:widowControl/>
        <w:rPr>
          <w:rFonts w:asciiTheme="majorBidi" w:hAnsiTheme="majorBidi" w:cstheme="majorBidi"/>
          <w:szCs w:val="22"/>
        </w:rPr>
      </w:pPr>
    </w:p>
    <w:p w14:paraId="2971904E"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Istodobna primjena dasatiniba i supstrata CYP3A4 može povećati izloženost supstratu CYP3A4. Stoga je potreban oprez kada se dasatinib primjenjuje istodobno sa supstratima CYP3A4 koji imaju uzak terapijski indeks, kao što su astemizol, terfenadin, cisaprid, pimozid, kinidin, bepridil ili ergot alkaloidi (ergotamin, dihidroergotamin) (vidjeti dio 4.5).</w:t>
      </w:r>
    </w:p>
    <w:p w14:paraId="04B9BEE8" w14:textId="77777777" w:rsidR="00AF7ABC" w:rsidRPr="00F25CE6" w:rsidRDefault="00AF7ABC" w:rsidP="00F25CE6">
      <w:pPr>
        <w:pStyle w:val="BodyText"/>
        <w:widowControl/>
        <w:rPr>
          <w:rFonts w:asciiTheme="majorBidi" w:hAnsiTheme="majorBidi" w:cstheme="majorBidi"/>
          <w:szCs w:val="22"/>
        </w:rPr>
      </w:pPr>
    </w:p>
    <w:p w14:paraId="64DD711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Istodobna primjena dasatiniba i antagonista histaminskih H</w:t>
      </w:r>
      <w:r w:rsidRPr="00503528">
        <w:rPr>
          <w:rFonts w:asciiTheme="majorBidi" w:hAnsiTheme="majorBidi" w:cstheme="majorBidi"/>
          <w:szCs w:val="22"/>
          <w:vertAlign w:val="subscript"/>
        </w:rPr>
        <w:t>2</w:t>
      </w:r>
      <w:r w:rsidRPr="00F25CE6">
        <w:rPr>
          <w:rFonts w:asciiTheme="majorBidi" w:hAnsiTheme="majorBidi" w:cstheme="majorBidi"/>
          <w:szCs w:val="22"/>
          <w:vertAlign w:val="superscript"/>
        </w:rPr>
        <w:t xml:space="preserve"> </w:t>
      </w:r>
      <w:r w:rsidRPr="00F25CE6">
        <w:rPr>
          <w:rFonts w:asciiTheme="majorBidi" w:hAnsiTheme="majorBidi" w:cstheme="majorBidi"/>
          <w:szCs w:val="22"/>
        </w:rPr>
        <w:t>receptora (npr. famotidin), inhibitora protonske pumpe (npr. omeprazol) ili aluminijevog hidroksida/magnezijevog hidroksida može smanjiti izloženost dasatinibu. Zbog toga se ne preporučuje istodobna primjena antagonista H</w:t>
      </w:r>
      <w:r w:rsidRPr="00503528">
        <w:rPr>
          <w:rFonts w:asciiTheme="majorBidi" w:hAnsiTheme="majorBidi" w:cstheme="majorBidi"/>
          <w:szCs w:val="22"/>
          <w:vertAlign w:val="subscript"/>
        </w:rPr>
        <w:t>2</w:t>
      </w:r>
      <w:r w:rsidRPr="00F25CE6">
        <w:rPr>
          <w:rFonts w:asciiTheme="majorBidi" w:hAnsiTheme="majorBidi" w:cstheme="majorBidi"/>
          <w:szCs w:val="22"/>
          <w:vertAlign w:val="superscript"/>
        </w:rPr>
        <w:t xml:space="preserve"> </w:t>
      </w:r>
      <w:r w:rsidRPr="00F25CE6">
        <w:rPr>
          <w:rFonts w:asciiTheme="majorBidi" w:hAnsiTheme="majorBidi" w:cstheme="majorBidi"/>
          <w:szCs w:val="22"/>
        </w:rPr>
        <w:t>receptora i inhibitora protonske pumpe, dok se pripravci s aluminijevim hidroksidom ili magnezijevim hidroksidom moraju primijeniti najmanje 2 sata prije ili 2 sata poslije primjene dasatiniba (vidjeti dio 4.5).</w:t>
      </w:r>
    </w:p>
    <w:p w14:paraId="1E488302" w14:textId="77777777" w:rsidR="00AF7ABC" w:rsidRPr="00F25CE6" w:rsidRDefault="00AF7ABC" w:rsidP="00F25CE6">
      <w:pPr>
        <w:pStyle w:val="BodyText"/>
        <w:widowControl/>
        <w:rPr>
          <w:rFonts w:asciiTheme="majorBidi" w:hAnsiTheme="majorBidi" w:cstheme="majorBidi"/>
          <w:szCs w:val="22"/>
        </w:rPr>
      </w:pPr>
    </w:p>
    <w:p w14:paraId="5ED69CAC"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Posebne populacije</w:t>
      </w:r>
    </w:p>
    <w:p w14:paraId="6A454E1F" w14:textId="5115098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Prema podacima iz farmakokinetičkih ispitivanja jednokratne doze bolesnici s blagim, umjerenim ili teškim oštećenjem </w:t>
      </w:r>
      <w:r w:rsidR="008E1281">
        <w:rPr>
          <w:rFonts w:asciiTheme="majorBidi" w:hAnsiTheme="majorBidi" w:cstheme="majorBidi"/>
          <w:szCs w:val="22"/>
        </w:rPr>
        <w:t xml:space="preserve">funkcije </w:t>
      </w:r>
      <w:r w:rsidRPr="00F25CE6">
        <w:rPr>
          <w:rFonts w:asciiTheme="majorBidi" w:hAnsiTheme="majorBidi" w:cstheme="majorBidi"/>
          <w:szCs w:val="22"/>
        </w:rPr>
        <w:t>jetre mogu primiti preporučenu početnu dozu (vidjeti dio 5.2). Zbog ograničenja ovog kliničkog ispitivanja, oprez je potreban pri primjeni dasatiniba kod bolesnika s oštećenom jetrenom funkcijom.</w:t>
      </w:r>
    </w:p>
    <w:p w14:paraId="7FD2DAB7" w14:textId="77777777" w:rsidR="00AF7ABC" w:rsidRPr="00F25CE6" w:rsidRDefault="00AF7ABC" w:rsidP="00F25CE6">
      <w:pPr>
        <w:pStyle w:val="BodyText"/>
        <w:widowControl/>
        <w:rPr>
          <w:rFonts w:asciiTheme="majorBidi" w:hAnsiTheme="majorBidi" w:cstheme="majorBidi"/>
          <w:szCs w:val="22"/>
        </w:rPr>
      </w:pPr>
    </w:p>
    <w:p w14:paraId="571DAE6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Važne nuspojave</w:t>
      </w:r>
    </w:p>
    <w:p w14:paraId="28B9162A"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Mijelosupresija</w:t>
      </w:r>
    </w:p>
    <w:p w14:paraId="32F84043" w14:textId="3659F28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Liječenje dasatinibom povezano je s anemijom, neutropenijom i trombocitopenijom. Njihova je pojava ranija i češća u bolesnika</w:t>
      </w:r>
      <w:r w:rsidR="00FC7114">
        <w:rPr>
          <w:rFonts w:asciiTheme="majorBidi" w:hAnsiTheme="majorBidi" w:cstheme="majorBidi"/>
          <w:szCs w:val="22"/>
        </w:rPr>
        <w:t xml:space="preserve"> s KML-om</w:t>
      </w:r>
      <w:r w:rsidRPr="00F25CE6">
        <w:rPr>
          <w:rFonts w:asciiTheme="majorBidi" w:hAnsiTheme="majorBidi" w:cstheme="majorBidi"/>
          <w:szCs w:val="22"/>
        </w:rPr>
        <w:t xml:space="preserve"> u uznapredovaloj fazi ili Ph+ ALL</w:t>
      </w:r>
      <w:r w:rsidR="00FC7114">
        <w:rPr>
          <w:rFonts w:asciiTheme="majorBidi" w:hAnsiTheme="majorBidi" w:cstheme="majorBidi"/>
          <w:szCs w:val="22"/>
        </w:rPr>
        <w:t>-om</w:t>
      </w:r>
      <w:r w:rsidRPr="00F25CE6">
        <w:rPr>
          <w:rFonts w:asciiTheme="majorBidi" w:hAnsiTheme="majorBidi" w:cstheme="majorBidi"/>
          <w:szCs w:val="22"/>
        </w:rPr>
        <w:t xml:space="preserve"> nego u onih </w:t>
      </w:r>
      <w:r w:rsidR="00FC7114">
        <w:rPr>
          <w:rFonts w:asciiTheme="majorBidi" w:hAnsiTheme="majorBidi" w:cstheme="majorBidi"/>
          <w:szCs w:val="22"/>
        </w:rPr>
        <w:t xml:space="preserve">s KML-om </w:t>
      </w:r>
      <w:r w:rsidRPr="00F25CE6">
        <w:rPr>
          <w:rFonts w:asciiTheme="majorBidi" w:hAnsiTheme="majorBidi" w:cstheme="majorBidi"/>
          <w:szCs w:val="22"/>
        </w:rPr>
        <w:t xml:space="preserve">u kroničnoj fazi. U odraslih bolesnika </w:t>
      </w:r>
      <w:r w:rsidR="00FC7114">
        <w:rPr>
          <w:rFonts w:asciiTheme="majorBidi" w:hAnsiTheme="majorBidi" w:cstheme="majorBidi"/>
          <w:szCs w:val="22"/>
        </w:rPr>
        <w:t xml:space="preserve">s KML-om </w:t>
      </w:r>
      <w:r w:rsidRPr="00F25CE6">
        <w:rPr>
          <w:rFonts w:asciiTheme="majorBidi" w:hAnsiTheme="majorBidi" w:cstheme="majorBidi"/>
          <w:szCs w:val="22"/>
        </w:rPr>
        <w:t>u uznapredovaloj fazi ili Ph+ ALL</w:t>
      </w:r>
      <w:r w:rsidR="00FC7114">
        <w:rPr>
          <w:rFonts w:asciiTheme="majorBidi" w:hAnsiTheme="majorBidi" w:cstheme="majorBidi"/>
          <w:szCs w:val="22"/>
        </w:rPr>
        <w:t>-om</w:t>
      </w:r>
      <w:r w:rsidRPr="00F25CE6">
        <w:rPr>
          <w:rFonts w:asciiTheme="majorBidi" w:hAnsiTheme="majorBidi" w:cstheme="majorBidi"/>
          <w:szCs w:val="22"/>
        </w:rPr>
        <w:t xml:space="preserve"> liječenih </w:t>
      </w:r>
      <w:r w:rsidRPr="00F25CE6">
        <w:rPr>
          <w:rFonts w:asciiTheme="majorBidi" w:hAnsiTheme="majorBidi" w:cstheme="majorBidi"/>
          <w:szCs w:val="22"/>
        </w:rPr>
        <w:lastRenderedPageBreak/>
        <w:t>dasatinibom u monoterapiji, potrebno je raditi kompletnu krvnu sliku svakog tjedna tijekom prva 2 mjeseca liječenja, a nakon toga jedanput mjesečno ili prema kliničkoj indikaciji. U odraslih i pedijatrijskih bolesnika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kompletnu krvnu sliku treba raditi svaka 2 tjedna tijekom 12 tjedana, a zatim svaka</w:t>
      </w:r>
      <w:r w:rsidR="00503528">
        <w:rPr>
          <w:rFonts w:asciiTheme="majorBidi" w:hAnsiTheme="majorBidi" w:cstheme="majorBidi"/>
          <w:szCs w:val="22"/>
        </w:rPr>
        <w:t xml:space="preserve"> </w:t>
      </w:r>
      <w:r w:rsidRPr="00F25CE6">
        <w:rPr>
          <w:rFonts w:asciiTheme="majorBidi" w:hAnsiTheme="majorBidi" w:cstheme="majorBidi"/>
          <w:szCs w:val="22"/>
        </w:rPr>
        <w:t>3 mjeseca nakon toga ili prema kliničkoj indikaciji. U pedijatrijskih bolesnika s Ph+ ALL</w:t>
      </w:r>
      <w:r w:rsidR="002D7341">
        <w:rPr>
          <w:rFonts w:asciiTheme="majorBidi" w:hAnsiTheme="majorBidi" w:cstheme="majorBidi"/>
          <w:szCs w:val="22"/>
        </w:rPr>
        <w:t>-om</w:t>
      </w:r>
      <w:r w:rsidRPr="00F25CE6">
        <w:rPr>
          <w:rFonts w:asciiTheme="majorBidi" w:hAnsiTheme="majorBidi" w:cstheme="majorBidi"/>
          <w:szCs w:val="22"/>
        </w:rPr>
        <w:t xml:space="preserve"> liječenih dasatinibom u kombinaciji s kemoterapijom kompletnu krvnu sliku treba napraviti prije početka svakog bloka kemoterapije i prema kliničkoj indikaciji. Tijekom konsolidacijskih blokova</w:t>
      </w:r>
      <w:r w:rsidR="00297B12">
        <w:rPr>
          <w:rFonts w:asciiTheme="majorBidi" w:hAnsiTheme="majorBidi" w:cstheme="majorBidi"/>
          <w:szCs w:val="22"/>
        </w:rPr>
        <w:t xml:space="preserve"> </w:t>
      </w:r>
      <w:r w:rsidRPr="00F25CE6">
        <w:rPr>
          <w:rFonts w:asciiTheme="majorBidi" w:hAnsiTheme="majorBidi" w:cstheme="majorBidi"/>
          <w:szCs w:val="22"/>
        </w:rPr>
        <w:t>kemoterapije kompletnu krvnu sliku treba raditi svaka 2 dana do oporavka (vidjeti dijelove 4.2 i 4.8). Mijelosupresija je obično reverzibilna i najčešće se zbrinjava privremenim prekidom primjene ili smanjenjem doze dasatiniba.</w:t>
      </w:r>
    </w:p>
    <w:p w14:paraId="78C61ABC" w14:textId="77777777" w:rsidR="00AF7ABC" w:rsidRPr="00F25CE6" w:rsidRDefault="00AF7ABC" w:rsidP="00F25CE6">
      <w:pPr>
        <w:pStyle w:val="BodyText"/>
        <w:widowControl/>
        <w:rPr>
          <w:rFonts w:asciiTheme="majorBidi" w:hAnsiTheme="majorBidi" w:cstheme="majorBidi"/>
          <w:szCs w:val="22"/>
        </w:rPr>
      </w:pPr>
    </w:p>
    <w:p w14:paraId="62FC9AAD"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Krvarenje</w:t>
      </w:r>
    </w:p>
    <w:p w14:paraId="0FC6CCC5" w14:textId="58E0DEE6"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U bolesnika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(n</w:t>
      </w:r>
      <w:r w:rsidR="006268ED">
        <w:rPr>
          <w:rFonts w:asciiTheme="majorBidi" w:hAnsiTheme="majorBidi" w:cstheme="majorBidi"/>
          <w:szCs w:val="22"/>
        </w:rPr>
        <w:t> </w:t>
      </w:r>
      <w:r w:rsidRPr="00F25CE6">
        <w:rPr>
          <w:rFonts w:asciiTheme="majorBidi" w:hAnsiTheme="majorBidi" w:cstheme="majorBidi"/>
          <w:szCs w:val="22"/>
        </w:rPr>
        <w:t>=</w:t>
      </w:r>
      <w:r w:rsidR="001B267A">
        <w:rPr>
          <w:rFonts w:asciiTheme="majorBidi" w:hAnsiTheme="majorBidi" w:cstheme="majorBidi"/>
          <w:szCs w:val="22"/>
        </w:rPr>
        <w:t> </w:t>
      </w:r>
      <w:r w:rsidRPr="00F25CE6">
        <w:rPr>
          <w:rFonts w:asciiTheme="majorBidi" w:hAnsiTheme="majorBidi" w:cstheme="majorBidi"/>
          <w:szCs w:val="22"/>
        </w:rPr>
        <w:t>548), 5 bolesnika (1%) koji su primali dasatinib imali su 3. ili</w:t>
      </w:r>
      <w:r w:rsidR="00503528">
        <w:rPr>
          <w:rFonts w:asciiTheme="majorBidi" w:hAnsiTheme="majorBidi" w:cstheme="majorBidi"/>
          <w:szCs w:val="22"/>
        </w:rPr>
        <w:t xml:space="preserve"> </w:t>
      </w:r>
      <w:r w:rsidRPr="00F25CE6">
        <w:rPr>
          <w:rFonts w:asciiTheme="majorBidi" w:hAnsiTheme="majorBidi" w:cstheme="majorBidi"/>
          <w:szCs w:val="22"/>
        </w:rPr>
        <w:t>4. stupanj krvarenja. U kliničkim ispitivanjima u bolesnika s KML</w:t>
      </w:r>
      <w:r w:rsidR="00FC7114">
        <w:rPr>
          <w:rFonts w:asciiTheme="majorBidi" w:hAnsiTheme="majorBidi" w:cstheme="majorBidi"/>
          <w:szCs w:val="22"/>
        </w:rPr>
        <w:t>-om</w:t>
      </w:r>
      <w:r w:rsidRPr="00F25CE6">
        <w:rPr>
          <w:rFonts w:asciiTheme="majorBidi" w:hAnsiTheme="majorBidi" w:cstheme="majorBidi"/>
          <w:szCs w:val="22"/>
        </w:rPr>
        <w:t xml:space="preserve"> u uznapredovaloj fazi koji su primali preporučenu dozu </w:t>
      </w:r>
      <w:r w:rsidR="00B83ECB">
        <w:rPr>
          <w:rFonts w:asciiTheme="majorBidi" w:hAnsiTheme="majorBidi" w:cstheme="majorBidi"/>
          <w:szCs w:val="22"/>
        </w:rPr>
        <w:t>dasatiniba</w:t>
      </w:r>
      <w:r w:rsidRPr="00F25CE6">
        <w:rPr>
          <w:rFonts w:asciiTheme="majorBidi" w:hAnsiTheme="majorBidi" w:cstheme="majorBidi"/>
          <w:szCs w:val="22"/>
        </w:rPr>
        <w:t xml:space="preserve"> (n</w:t>
      </w:r>
      <w:r w:rsidR="006268ED">
        <w:rPr>
          <w:rFonts w:asciiTheme="majorBidi" w:hAnsiTheme="majorBidi" w:cstheme="majorBidi"/>
          <w:szCs w:val="22"/>
        </w:rPr>
        <w:t> </w:t>
      </w:r>
      <w:r w:rsidRPr="00F25CE6">
        <w:rPr>
          <w:rFonts w:asciiTheme="majorBidi" w:hAnsiTheme="majorBidi" w:cstheme="majorBidi"/>
          <w:szCs w:val="22"/>
        </w:rPr>
        <w:t>=304), teško krvarenje u središnji živčani sustav (</w:t>
      </w:r>
      <w:r w:rsidR="00BD601A">
        <w:rPr>
          <w:rFonts w:asciiTheme="majorBidi" w:hAnsiTheme="majorBidi" w:cstheme="majorBidi"/>
          <w:szCs w:val="22"/>
        </w:rPr>
        <w:t>SŽS</w:t>
      </w:r>
      <w:r w:rsidRPr="00F25CE6">
        <w:rPr>
          <w:rFonts w:asciiTheme="majorBidi" w:hAnsiTheme="majorBidi" w:cstheme="majorBidi"/>
          <w:szCs w:val="22"/>
        </w:rPr>
        <w:t xml:space="preserve">) nastupilo je u 1% bolesnika. Jedan je slučaj imao smrtni ishod i bio je povezan s trombocitopenijom 4. stupnja prema općim kriterijima toksičnosti (engl. </w:t>
      </w:r>
      <w:r w:rsidRPr="00F25CE6">
        <w:rPr>
          <w:rFonts w:asciiTheme="majorBidi" w:hAnsiTheme="majorBidi" w:cstheme="majorBidi"/>
          <w:i/>
          <w:szCs w:val="22"/>
        </w:rPr>
        <w:t>Common Toxicity Criteria</w:t>
      </w:r>
      <w:r w:rsidR="00BD601A">
        <w:rPr>
          <w:rFonts w:asciiTheme="majorBidi" w:hAnsiTheme="majorBidi" w:cstheme="majorBidi"/>
          <w:szCs w:val="22"/>
        </w:rPr>
        <w:t xml:space="preserve">, </w:t>
      </w:r>
      <w:r w:rsidRPr="00F25CE6">
        <w:rPr>
          <w:rFonts w:asciiTheme="majorBidi" w:hAnsiTheme="majorBidi" w:cstheme="majorBidi"/>
          <w:szCs w:val="22"/>
        </w:rPr>
        <w:t>CTC). Gastrointestinalno krvarenje 3. ili 4. stupnja nastupilo je u 6% bolesnika s KML</w:t>
      </w:r>
      <w:r w:rsidR="00FC7114">
        <w:rPr>
          <w:rFonts w:asciiTheme="majorBidi" w:hAnsiTheme="majorBidi" w:cstheme="majorBidi"/>
          <w:szCs w:val="22"/>
        </w:rPr>
        <w:t>-om</w:t>
      </w:r>
      <w:r w:rsidRPr="00F25CE6">
        <w:rPr>
          <w:rFonts w:asciiTheme="majorBidi" w:hAnsiTheme="majorBidi" w:cstheme="majorBidi"/>
          <w:szCs w:val="22"/>
        </w:rPr>
        <w:t xml:space="preserve"> u uznapredovaloj fazi i općenito je zahtijevalo prekid liječenja i primjenu transfuzije. Druga krvarenja 3. ili 4. stupnja javila su se u 2% bolesnika s KML</w:t>
      </w:r>
      <w:r w:rsidR="00FC7114">
        <w:rPr>
          <w:rFonts w:asciiTheme="majorBidi" w:hAnsiTheme="majorBidi" w:cstheme="majorBidi"/>
          <w:szCs w:val="22"/>
        </w:rPr>
        <w:t>-om</w:t>
      </w:r>
      <w:r w:rsidRPr="00F25CE6">
        <w:rPr>
          <w:rFonts w:asciiTheme="majorBidi" w:hAnsiTheme="majorBidi" w:cstheme="majorBidi"/>
          <w:szCs w:val="22"/>
        </w:rPr>
        <w:t xml:space="preserve"> u uznapredovaloj fazi. U tih bolesnika većina nuspojava povezanih s krvarenjima bila je povezana s trombocitopenijom 3.</w:t>
      </w:r>
      <w:r w:rsidR="000809AF">
        <w:rPr>
          <w:rFonts w:asciiTheme="majorBidi" w:hAnsiTheme="majorBidi" w:cstheme="majorBidi"/>
          <w:szCs w:val="22"/>
        </w:rPr>
        <w:t> </w:t>
      </w:r>
      <w:r w:rsidRPr="00F25CE6">
        <w:rPr>
          <w:rFonts w:asciiTheme="majorBidi" w:hAnsiTheme="majorBidi" w:cstheme="majorBidi"/>
          <w:szCs w:val="22"/>
        </w:rPr>
        <w:t>ili 4.</w:t>
      </w:r>
      <w:r w:rsidR="000809AF">
        <w:rPr>
          <w:rFonts w:asciiTheme="majorBidi" w:hAnsiTheme="majorBidi" w:cstheme="majorBidi"/>
          <w:szCs w:val="22"/>
        </w:rPr>
        <w:t> </w:t>
      </w:r>
      <w:r w:rsidRPr="00F25CE6">
        <w:rPr>
          <w:rFonts w:asciiTheme="majorBidi" w:hAnsiTheme="majorBidi" w:cstheme="majorBidi"/>
          <w:szCs w:val="22"/>
        </w:rPr>
        <w:t xml:space="preserve">stupnja (vidjeti dio 4.8). Dodatno, određivanje trombocita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i </w:t>
      </w:r>
      <w:r w:rsidRPr="00F25CE6">
        <w:rPr>
          <w:rFonts w:asciiTheme="majorBidi" w:hAnsiTheme="majorBidi" w:cstheme="majorBidi"/>
          <w:i/>
          <w:szCs w:val="22"/>
        </w:rPr>
        <w:t xml:space="preserve">in vivo </w:t>
      </w:r>
      <w:r w:rsidRPr="00F25CE6">
        <w:rPr>
          <w:rFonts w:asciiTheme="majorBidi" w:hAnsiTheme="majorBidi" w:cstheme="majorBidi"/>
          <w:szCs w:val="22"/>
        </w:rPr>
        <w:t xml:space="preserve">sugerira da liječenje </w:t>
      </w:r>
      <w:r w:rsidR="00B83ECB">
        <w:rPr>
          <w:rFonts w:asciiTheme="majorBidi" w:hAnsiTheme="majorBidi" w:cstheme="majorBidi"/>
          <w:szCs w:val="22"/>
        </w:rPr>
        <w:t>dasatinibom</w:t>
      </w:r>
      <w:r w:rsidRPr="00F25CE6">
        <w:rPr>
          <w:rFonts w:asciiTheme="majorBidi" w:hAnsiTheme="majorBidi" w:cstheme="majorBidi"/>
          <w:szCs w:val="22"/>
        </w:rPr>
        <w:t xml:space="preserve"> reverzibilno utječe na aktivaciju trombocita.</w:t>
      </w:r>
    </w:p>
    <w:p w14:paraId="58AA66F3" w14:textId="77777777" w:rsidR="00AF7ABC" w:rsidRPr="00F25CE6" w:rsidRDefault="00AF7ABC" w:rsidP="00F25CE6">
      <w:pPr>
        <w:pStyle w:val="BodyText"/>
        <w:widowControl/>
        <w:rPr>
          <w:rFonts w:asciiTheme="majorBidi" w:hAnsiTheme="majorBidi" w:cstheme="majorBidi"/>
          <w:szCs w:val="22"/>
        </w:rPr>
      </w:pPr>
    </w:p>
    <w:p w14:paraId="1C3C59C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Nužno je biti na oprezu ako bolesnici moraju uzimati lijekove koji inhibiraju funkciju trombocita ili antikoagulanse.</w:t>
      </w:r>
    </w:p>
    <w:p w14:paraId="524C4D61" w14:textId="77777777" w:rsidR="00AF7ABC" w:rsidRPr="00F25CE6" w:rsidRDefault="00AF7ABC" w:rsidP="00F25CE6">
      <w:pPr>
        <w:pStyle w:val="BodyText"/>
        <w:widowControl/>
        <w:rPr>
          <w:rFonts w:asciiTheme="majorBidi" w:hAnsiTheme="majorBidi" w:cstheme="majorBidi"/>
          <w:szCs w:val="22"/>
        </w:rPr>
      </w:pPr>
    </w:p>
    <w:p w14:paraId="54415D46"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Zadržavanje tekućine</w:t>
      </w:r>
    </w:p>
    <w:p w14:paraId="6AA43ADE" w14:textId="33BB3157"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Dasatinib je povezan sa zadržavanjem tekućine. U kliničkom ispitivanju faze III u bolesnika s novodijagnosticiran</w:t>
      </w:r>
      <w:r w:rsidR="00FC7114">
        <w:rPr>
          <w:rFonts w:asciiTheme="majorBidi" w:hAnsiTheme="majorBidi" w:cstheme="majorBidi"/>
          <w:szCs w:val="22"/>
        </w:rPr>
        <w:t>i</w:t>
      </w:r>
      <w:r w:rsidRPr="00F25CE6">
        <w:rPr>
          <w:rFonts w:asciiTheme="majorBidi" w:hAnsiTheme="majorBidi" w:cstheme="majorBidi"/>
          <w:szCs w:val="22"/>
        </w:rPr>
        <w:t>m KML</w:t>
      </w:r>
      <w:r w:rsidR="00FC7114">
        <w:rPr>
          <w:rFonts w:asciiTheme="majorBidi" w:hAnsiTheme="majorBidi" w:cstheme="majorBidi"/>
          <w:szCs w:val="22"/>
        </w:rPr>
        <w:t>-om</w:t>
      </w:r>
      <w:r w:rsidRPr="00F25CE6">
        <w:rPr>
          <w:rFonts w:asciiTheme="majorBidi" w:hAnsiTheme="majorBidi" w:cstheme="majorBidi"/>
          <w:szCs w:val="22"/>
        </w:rPr>
        <w:t xml:space="preserve"> u kroničnoj fazi, nakon najmanje 60 mjeseci praćenja, 3. ili 4. stupanj zadržavanja tekućine bio je zabilježen u 13 bolesnika (5%) u skupini liječenoj dasatinibom te u</w:t>
      </w:r>
      <w:r w:rsidR="00503528">
        <w:rPr>
          <w:rFonts w:asciiTheme="majorBidi" w:hAnsiTheme="majorBidi" w:cstheme="majorBidi"/>
          <w:szCs w:val="22"/>
        </w:rPr>
        <w:t xml:space="preserve"> </w:t>
      </w:r>
      <w:r w:rsidRPr="00F25CE6">
        <w:rPr>
          <w:rFonts w:asciiTheme="majorBidi" w:hAnsiTheme="majorBidi" w:cstheme="majorBidi"/>
          <w:szCs w:val="22"/>
        </w:rPr>
        <w:t>2 bolesnika (1%) u skupini liječenoj imatinibom (vidjeti dio 4.8). Među svim bolesnicima s KML</w:t>
      </w:r>
      <w:r w:rsidR="00FC7114">
        <w:rPr>
          <w:rFonts w:asciiTheme="majorBidi" w:hAnsiTheme="majorBidi" w:cstheme="majorBidi"/>
          <w:szCs w:val="22"/>
        </w:rPr>
        <w:t>-om</w:t>
      </w:r>
      <w:r w:rsidRPr="00F25CE6">
        <w:rPr>
          <w:rFonts w:asciiTheme="majorBidi" w:hAnsiTheme="majorBidi" w:cstheme="majorBidi"/>
          <w:szCs w:val="22"/>
        </w:rPr>
        <w:t xml:space="preserve"> u kroničnoj fazi liječenima </w:t>
      </w:r>
      <w:r w:rsidR="00B83ECB">
        <w:rPr>
          <w:rFonts w:asciiTheme="majorBidi" w:hAnsiTheme="majorBidi" w:cstheme="majorBidi"/>
          <w:szCs w:val="22"/>
        </w:rPr>
        <w:t>dasatinibom</w:t>
      </w:r>
      <w:r w:rsidRPr="00F25CE6">
        <w:rPr>
          <w:rFonts w:asciiTheme="majorBidi" w:hAnsiTheme="majorBidi" w:cstheme="majorBidi"/>
          <w:szCs w:val="22"/>
        </w:rPr>
        <w:t>, teško zadržavanje tekućine primijećeno je u</w:t>
      </w:r>
      <w:r w:rsidR="00503528">
        <w:rPr>
          <w:rFonts w:asciiTheme="majorBidi" w:hAnsiTheme="majorBidi" w:cstheme="majorBidi"/>
          <w:szCs w:val="22"/>
        </w:rPr>
        <w:t xml:space="preserve"> </w:t>
      </w:r>
      <w:r w:rsidRPr="00F25CE6">
        <w:rPr>
          <w:rFonts w:asciiTheme="majorBidi" w:hAnsiTheme="majorBidi" w:cstheme="majorBidi"/>
          <w:szCs w:val="22"/>
        </w:rPr>
        <w:t xml:space="preserve">32 bolesnika (6%) koja su </w:t>
      </w:r>
      <w:r w:rsidR="00B83ECB">
        <w:rPr>
          <w:rFonts w:asciiTheme="majorBidi" w:hAnsiTheme="majorBidi" w:cstheme="majorBidi"/>
          <w:szCs w:val="22"/>
        </w:rPr>
        <w:t>dasatinib</w:t>
      </w:r>
      <w:r w:rsidRPr="00F25CE6">
        <w:rPr>
          <w:rFonts w:asciiTheme="majorBidi" w:hAnsiTheme="majorBidi" w:cstheme="majorBidi"/>
          <w:szCs w:val="22"/>
        </w:rPr>
        <w:t xml:space="preserve"> primala u preporučenoj dozi (n</w:t>
      </w:r>
      <w:r w:rsidR="006268ED">
        <w:rPr>
          <w:rFonts w:asciiTheme="majorBidi" w:hAnsiTheme="majorBidi" w:cstheme="majorBidi"/>
          <w:szCs w:val="22"/>
        </w:rPr>
        <w:t> </w:t>
      </w:r>
      <w:r w:rsidRPr="00F25CE6">
        <w:rPr>
          <w:rFonts w:asciiTheme="majorBidi" w:hAnsiTheme="majorBidi" w:cstheme="majorBidi"/>
          <w:szCs w:val="22"/>
        </w:rPr>
        <w:t>=</w:t>
      </w:r>
      <w:r w:rsidR="006268ED">
        <w:rPr>
          <w:rFonts w:asciiTheme="majorBidi" w:hAnsiTheme="majorBidi" w:cstheme="majorBidi"/>
          <w:szCs w:val="22"/>
        </w:rPr>
        <w:t> </w:t>
      </w:r>
      <w:r w:rsidRPr="00F25CE6">
        <w:rPr>
          <w:rFonts w:asciiTheme="majorBidi" w:hAnsiTheme="majorBidi" w:cstheme="majorBidi"/>
          <w:szCs w:val="22"/>
        </w:rPr>
        <w:t>548). U kliničkim ispitivanjima u bolesnika s KML</w:t>
      </w:r>
      <w:r w:rsidR="00FC7114">
        <w:rPr>
          <w:rFonts w:asciiTheme="majorBidi" w:hAnsiTheme="majorBidi" w:cstheme="majorBidi"/>
          <w:szCs w:val="22"/>
        </w:rPr>
        <w:t>-om</w:t>
      </w:r>
      <w:r w:rsidRPr="00F25CE6">
        <w:rPr>
          <w:rFonts w:asciiTheme="majorBidi" w:hAnsiTheme="majorBidi" w:cstheme="majorBidi"/>
          <w:szCs w:val="22"/>
        </w:rPr>
        <w:t xml:space="preserve"> u uznapredovaloj fazi ili </w:t>
      </w:r>
      <w:r w:rsidR="00BD601A">
        <w:rPr>
          <w:rFonts w:asciiTheme="majorBidi" w:hAnsiTheme="majorBidi" w:cstheme="majorBidi"/>
          <w:szCs w:val="22"/>
        </w:rPr>
        <w:t>Ph</w:t>
      </w:r>
      <w:r w:rsidRPr="00F25CE6">
        <w:rPr>
          <w:rFonts w:asciiTheme="majorBidi" w:hAnsiTheme="majorBidi" w:cstheme="majorBidi"/>
          <w:szCs w:val="22"/>
        </w:rPr>
        <w:t>+ ALL</w:t>
      </w:r>
      <w:r w:rsidR="00FC7114">
        <w:rPr>
          <w:rFonts w:asciiTheme="majorBidi" w:hAnsiTheme="majorBidi" w:cstheme="majorBidi"/>
          <w:szCs w:val="22"/>
        </w:rPr>
        <w:t>-om</w:t>
      </w:r>
      <w:r w:rsidRPr="00F25CE6">
        <w:rPr>
          <w:rFonts w:asciiTheme="majorBidi" w:hAnsiTheme="majorBidi" w:cstheme="majorBidi"/>
          <w:szCs w:val="22"/>
        </w:rPr>
        <w:t xml:space="preserve"> koji su primali </w:t>
      </w:r>
      <w:r w:rsidR="00B83ECB">
        <w:rPr>
          <w:rFonts w:asciiTheme="majorBidi" w:hAnsiTheme="majorBidi" w:cstheme="majorBidi"/>
          <w:szCs w:val="22"/>
        </w:rPr>
        <w:t>dasatinib</w:t>
      </w:r>
      <w:r w:rsidRPr="00F25CE6">
        <w:rPr>
          <w:rFonts w:asciiTheme="majorBidi" w:hAnsiTheme="majorBidi" w:cstheme="majorBidi"/>
          <w:szCs w:val="22"/>
        </w:rPr>
        <w:t xml:space="preserve"> u preporučenoj dozi (n</w:t>
      </w:r>
      <w:r w:rsidR="002D7341">
        <w:rPr>
          <w:rFonts w:asciiTheme="majorBidi" w:hAnsiTheme="majorBidi" w:cstheme="majorBidi"/>
          <w:szCs w:val="22"/>
        </w:rPr>
        <w:t> </w:t>
      </w:r>
      <w:r w:rsidRPr="00F25CE6">
        <w:rPr>
          <w:rFonts w:asciiTheme="majorBidi" w:hAnsiTheme="majorBidi" w:cstheme="majorBidi"/>
          <w:szCs w:val="22"/>
        </w:rPr>
        <w:t>=</w:t>
      </w:r>
      <w:r w:rsidR="002D7341">
        <w:rPr>
          <w:rFonts w:asciiTheme="majorBidi" w:hAnsiTheme="majorBidi" w:cstheme="majorBidi"/>
          <w:szCs w:val="22"/>
        </w:rPr>
        <w:t> </w:t>
      </w:r>
      <w:r w:rsidRPr="00F25CE6">
        <w:rPr>
          <w:rFonts w:asciiTheme="majorBidi" w:hAnsiTheme="majorBidi" w:cstheme="majorBidi"/>
          <w:szCs w:val="22"/>
        </w:rPr>
        <w:t>304), zadržavanje tekućine 3. ili 4. stupnja bilo je prijavljeno u 8% bolesnika, uključujući pleuralni izljev 3. ili 4. stupnja u 7% i perikardijalni izljev 3. ili 4. stupnja u 1% bolesnika. Među tim je bolesnicima plućni edem 3. ili 4. stupnja bio prijavljen u 1% bolesnika, jednako kao i plućna hipertenzija.</w:t>
      </w:r>
    </w:p>
    <w:p w14:paraId="39733AD4" w14:textId="77777777" w:rsidR="00AF7ABC" w:rsidRPr="00F25CE6" w:rsidRDefault="00AF7ABC" w:rsidP="00F25CE6">
      <w:pPr>
        <w:pStyle w:val="BodyText"/>
        <w:widowControl/>
        <w:rPr>
          <w:rFonts w:asciiTheme="majorBidi" w:hAnsiTheme="majorBidi" w:cstheme="majorBidi"/>
          <w:szCs w:val="22"/>
        </w:rPr>
      </w:pPr>
    </w:p>
    <w:p w14:paraId="14A4AB3D" w14:textId="1641DDF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bolesnika koji razviju simptome koji upućuju na pleuralni izljev, kao što su dispneja ili suhi kašalj, </w:t>
      </w:r>
      <w:r w:rsidR="005B6B46">
        <w:rPr>
          <w:rFonts w:asciiTheme="majorBidi" w:hAnsiTheme="majorBidi" w:cstheme="majorBidi"/>
          <w:szCs w:val="22"/>
        </w:rPr>
        <w:t>potrebno je</w:t>
      </w:r>
      <w:r w:rsidRPr="00F25CE6">
        <w:rPr>
          <w:rFonts w:asciiTheme="majorBidi" w:hAnsiTheme="majorBidi" w:cstheme="majorBidi"/>
          <w:szCs w:val="22"/>
        </w:rPr>
        <w:t xml:space="preserve"> napraviti rendgensku snimku pluća. Pleuralni izljev stupnja 3. ili 4. može zahtijevati izvođenje torakocenteze i terapiju kisikom. Nuspojave zadržavanja tekućine uglavnom su bilezbrinute uvođenjem potpornih mjera koje su uključivale primjenu diuretika i kratkotrajnu primjenu steroida (vidjeti dijelove 4.2 i 4.8). U bolesnika u dobi od 65 ili više godina veća je vjerojatnost pleuralnog izljeva, dispneje, kašlja, perikardijalnog izljeva i kongestivnog zatajenja srca nego u mlađih bolesnika, pa stoga stariji bolesnici moraju biti strogo nadzirani.</w:t>
      </w:r>
      <w:r w:rsidR="000809AF">
        <w:rPr>
          <w:rFonts w:asciiTheme="majorBidi" w:hAnsiTheme="majorBidi" w:cstheme="majorBidi"/>
          <w:szCs w:val="22"/>
        </w:rPr>
        <w:t xml:space="preserve"> Prijavljeni su i slučajevi hilotoraksa u bolesnika s pleuralnim izljevom (vidjeti dio 4.8).</w:t>
      </w:r>
    </w:p>
    <w:p w14:paraId="0C49FCEF" w14:textId="77777777" w:rsidR="00AF7ABC" w:rsidRPr="00F25CE6" w:rsidRDefault="00AF7ABC" w:rsidP="00F25CE6">
      <w:pPr>
        <w:pStyle w:val="BodyText"/>
        <w:widowControl/>
        <w:rPr>
          <w:rFonts w:asciiTheme="majorBidi" w:hAnsiTheme="majorBidi" w:cstheme="majorBidi"/>
          <w:szCs w:val="22"/>
        </w:rPr>
      </w:pPr>
    </w:p>
    <w:p w14:paraId="0D791207"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Plućna arterijska hipertenzija (PAH)</w:t>
      </w:r>
    </w:p>
    <w:p w14:paraId="78B548A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Prijavljen je PAH (prekapilarna plućna arterijska hipertenzija potvrđena kateterizacijom desne strane srca) povezan s liječenjem dasatinibom (vidjeti dio 4.8). U ovim je slučajevima PAH bio zabilježen nakon početka terapije dasatinibom, uključujući i nakon više od jedne godine liječenja.</w:t>
      </w:r>
    </w:p>
    <w:p w14:paraId="5DB1B5D1" w14:textId="77777777" w:rsidR="00AF7ABC" w:rsidRPr="00F25CE6" w:rsidRDefault="00AF7ABC" w:rsidP="00F25CE6">
      <w:pPr>
        <w:pStyle w:val="BodyText"/>
        <w:widowControl/>
        <w:rPr>
          <w:rFonts w:asciiTheme="majorBidi" w:hAnsiTheme="majorBidi" w:cstheme="majorBidi"/>
          <w:szCs w:val="22"/>
        </w:rPr>
      </w:pPr>
    </w:p>
    <w:p w14:paraId="0598E9C6"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Prije početka liječenja dasatinibom bolesnike se mora pregledati na znakove i simptome eventualnih podležećih bolesti srca ili pluća. Na početku liječenja mora se napraviti ultrazvuk srca u svakog bolesnika u kojeg postoje simptomi bolesti srca te razmotriti potrebu ultrazvuka srca u bolesnika u kojih postoje rizični faktori za bolesti srca ili pluća. U bolesnika koji razviju dispneju i umor nakon </w:t>
      </w:r>
      <w:r w:rsidRPr="00F25CE6">
        <w:rPr>
          <w:rFonts w:asciiTheme="majorBidi" w:hAnsiTheme="majorBidi" w:cstheme="majorBidi"/>
          <w:szCs w:val="22"/>
        </w:rPr>
        <w:lastRenderedPageBreak/>
        <w:t>početka terapije mora se razmotriti uobičajena etiologija tih simptoma, uključujući pleuralni izljev, plućni edem, anemiju ili infiltraciju pluća. U skladu s preporukama za liječenje nehematoloških nuspojava (vidjeti dio 4.2), za vrijeme ove evaluacije mora se smanjiti dozu dasatiniba ili prekinuti njegovu primjenu. Ako se ne pronađe objašnjenje ili uzrok ili ako nema poboljšanja na smanjenje doze ili prekid terapije, mora se razmotriti dijagnozu PAH-a. Dijagnostička obrada mora slijediti i biti u skladu sa standardnim smjernicama. Ako se potvrdi PAH, primjena dasatiniba mora se trajno prekinuti. Praćenje bolesnika mora biti u skladu sa standardnim smjernicama. Nakon prestanka</w:t>
      </w:r>
    </w:p>
    <w:p w14:paraId="60EE9B2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terapije dasatinibom u bolesnika s PAH-om koji su primali dasatinib opažena su poboljšanja hemodinamskih i kliničkih parametara.</w:t>
      </w:r>
    </w:p>
    <w:p w14:paraId="3CC27351" w14:textId="77777777" w:rsidR="00AF7ABC" w:rsidRPr="00F25CE6" w:rsidRDefault="00AF7ABC" w:rsidP="00F25CE6">
      <w:pPr>
        <w:pStyle w:val="BodyText"/>
        <w:widowControl/>
        <w:rPr>
          <w:rFonts w:asciiTheme="majorBidi" w:hAnsiTheme="majorBidi" w:cstheme="majorBidi"/>
          <w:szCs w:val="22"/>
        </w:rPr>
      </w:pPr>
    </w:p>
    <w:p w14:paraId="0ACECFF5"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Produženje QT intervala</w:t>
      </w:r>
    </w:p>
    <w:p w14:paraId="3B0CA233" w14:textId="13AB2E67"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 xml:space="preserve">Podaci iz ispitivanja </w:t>
      </w:r>
      <w:r w:rsidRPr="00F25CE6">
        <w:rPr>
          <w:rFonts w:asciiTheme="majorBidi" w:hAnsiTheme="majorBidi" w:cstheme="majorBidi"/>
          <w:i/>
          <w:szCs w:val="22"/>
        </w:rPr>
        <w:t xml:space="preserve">in vitro </w:t>
      </w:r>
      <w:r w:rsidRPr="00F25CE6">
        <w:rPr>
          <w:rFonts w:asciiTheme="majorBidi" w:hAnsiTheme="majorBidi" w:cstheme="majorBidi"/>
          <w:szCs w:val="22"/>
        </w:rPr>
        <w:t>pokazuju da dasatinib može produžiti repolarizaciju srčane klijetke (QT interval) (vidjeti dio 5.3). Od 258 bolesnika liječenih dasatinibom i 258 bolesnika liječenih imatinibom u ispitivanju faze III novodijagnosticiran</w:t>
      </w:r>
      <w:r w:rsidR="003B074C">
        <w:rPr>
          <w:rFonts w:asciiTheme="majorBidi" w:hAnsiTheme="majorBidi" w:cstheme="majorBidi"/>
          <w:szCs w:val="22"/>
        </w:rPr>
        <w:t>og</w:t>
      </w:r>
      <w:r w:rsidRPr="00F25CE6">
        <w:rPr>
          <w:rFonts w:asciiTheme="majorBidi" w:hAnsiTheme="majorBidi" w:cstheme="majorBidi"/>
          <w:szCs w:val="22"/>
        </w:rPr>
        <w:t xml:space="preserve"> KML</w:t>
      </w:r>
      <w:r w:rsidR="003B074C">
        <w:rPr>
          <w:rFonts w:asciiTheme="majorBidi" w:hAnsiTheme="majorBidi" w:cstheme="majorBidi"/>
          <w:szCs w:val="22"/>
        </w:rPr>
        <w:t>-a</w:t>
      </w:r>
      <w:r w:rsidRPr="00F25CE6">
        <w:rPr>
          <w:rFonts w:asciiTheme="majorBidi" w:hAnsiTheme="majorBidi" w:cstheme="majorBidi"/>
          <w:szCs w:val="22"/>
        </w:rPr>
        <w:t xml:space="preserve"> u kroničnoj fazi, nakon najmanje 60 mjeseci praćenja, po 1 bolesnik (&lt; 1%) u svakoj skupini imao je produljenje QTc intervala koje je bilo prijavljeno kao nuspojava. Medijan promjene QTcF u odnosu na početnu vrijednost iznosio je</w:t>
      </w:r>
      <w:r w:rsidR="00503528">
        <w:rPr>
          <w:rFonts w:asciiTheme="majorBidi" w:hAnsiTheme="majorBidi" w:cstheme="majorBidi"/>
          <w:szCs w:val="22"/>
        </w:rPr>
        <w:t xml:space="preserve"> </w:t>
      </w:r>
      <w:r w:rsidRPr="00F25CE6">
        <w:rPr>
          <w:rFonts w:asciiTheme="majorBidi" w:hAnsiTheme="majorBidi" w:cstheme="majorBidi"/>
          <w:szCs w:val="22"/>
        </w:rPr>
        <w:t>3,0 msek u bolesnika liječenih dasatinibom u odnosu na 8,2 msek u bolesnika liječenih imatinibom. Po jedan bolesnik (&lt;</w:t>
      </w:r>
      <w:r w:rsidR="008B34FA">
        <w:rPr>
          <w:rFonts w:asciiTheme="majorBidi" w:hAnsiTheme="majorBidi" w:cstheme="majorBidi"/>
          <w:szCs w:val="22"/>
        </w:rPr>
        <w:t> </w:t>
      </w:r>
      <w:r w:rsidRPr="00F25CE6">
        <w:rPr>
          <w:rFonts w:asciiTheme="majorBidi" w:hAnsiTheme="majorBidi" w:cstheme="majorBidi"/>
          <w:szCs w:val="22"/>
        </w:rPr>
        <w:t>1%) u svakoj skupini imao je QTcF &gt;</w:t>
      </w:r>
      <w:r w:rsidR="00ED06BA">
        <w:rPr>
          <w:rFonts w:asciiTheme="majorBidi" w:hAnsiTheme="majorBidi" w:cstheme="majorBidi"/>
          <w:szCs w:val="22"/>
        </w:rPr>
        <w:t> </w:t>
      </w:r>
      <w:r w:rsidRPr="00F25CE6">
        <w:rPr>
          <w:rFonts w:asciiTheme="majorBidi" w:hAnsiTheme="majorBidi" w:cstheme="majorBidi"/>
          <w:szCs w:val="22"/>
        </w:rPr>
        <w:t xml:space="preserve">500 msek. U 865 bolesnika s leukemijom koji su bili liječeni dasatinibom u kliničkim ispitivanjima faze II, </w:t>
      </w:r>
      <w:r w:rsidR="00ED06BA">
        <w:rPr>
          <w:rFonts w:asciiTheme="majorBidi" w:hAnsiTheme="majorBidi" w:cstheme="majorBidi"/>
          <w:szCs w:val="22"/>
        </w:rPr>
        <w:t>srednje vrijednosti</w:t>
      </w:r>
      <w:r w:rsidR="00ED06BA" w:rsidRPr="00F25CE6">
        <w:rPr>
          <w:rFonts w:asciiTheme="majorBidi" w:hAnsiTheme="majorBidi" w:cstheme="majorBidi"/>
          <w:szCs w:val="22"/>
        </w:rPr>
        <w:t xml:space="preserve"> </w:t>
      </w:r>
      <w:r w:rsidRPr="00F25CE6">
        <w:rPr>
          <w:rFonts w:asciiTheme="majorBidi" w:hAnsiTheme="majorBidi" w:cstheme="majorBidi"/>
          <w:szCs w:val="22"/>
        </w:rPr>
        <w:t>promjene od početnih vrijednosti QTc intervala prema Fridericija metodi (QTcF) iznosile su 4</w:t>
      </w:r>
      <w:r w:rsidR="0072080C" w:rsidRPr="009474C0">
        <w:rPr>
          <w:szCs w:val="22"/>
        </w:rPr>
        <w:t> – </w:t>
      </w:r>
      <w:r w:rsidRPr="00F25CE6">
        <w:rPr>
          <w:rFonts w:asciiTheme="majorBidi" w:hAnsiTheme="majorBidi" w:cstheme="majorBidi"/>
          <w:szCs w:val="22"/>
        </w:rPr>
        <w:t>6 msek; gornje granice 95% intervala pouzdanosti za sve prosječne promjene u odnosu na početne vrijednosti bile su &lt;</w:t>
      </w:r>
      <w:r w:rsidR="00ED06BA">
        <w:rPr>
          <w:rFonts w:asciiTheme="majorBidi" w:hAnsiTheme="majorBidi" w:cstheme="majorBidi"/>
          <w:szCs w:val="22"/>
        </w:rPr>
        <w:t> </w:t>
      </w:r>
      <w:r w:rsidRPr="00F25CE6">
        <w:rPr>
          <w:rFonts w:asciiTheme="majorBidi" w:hAnsiTheme="majorBidi" w:cstheme="majorBidi"/>
          <w:szCs w:val="22"/>
        </w:rPr>
        <w:t>7 msek (vidjeti dio 4.8).</w:t>
      </w:r>
    </w:p>
    <w:p w14:paraId="6EB76135" w14:textId="63512A9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Produženja QTc intervala bila su prijavljena kao nuspojava u 15 (1%) od 2182 bolesnika koji ne podnose ili su otporni na prethodnu terapiju imatinibom, a koji su primali dasatinib u kliničkim ispitivanjima. U 21 bolesnika (&lt;</w:t>
      </w:r>
      <w:r w:rsidR="00ED06BA">
        <w:rPr>
          <w:rFonts w:asciiTheme="majorBidi" w:hAnsiTheme="majorBidi" w:cstheme="majorBidi"/>
          <w:szCs w:val="22"/>
        </w:rPr>
        <w:t> </w:t>
      </w:r>
      <w:r w:rsidRPr="00F25CE6">
        <w:rPr>
          <w:rFonts w:asciiTheme="majorBidi" w:hAnsiTheme="majorBidi" w:cstheme="majorBidi"/>
          <w:szCs w:val="22"/>
        </w:rPr>
        <w:t>1%) zabilježen je QTcF &gt;</w:t>
      </w:r>
      <w:r w:rsidR="00ED06BA">
        <w:rPr>
          <w:rFonts w:asciiTheme="majorBidi" w:hAnsiTheme="majorBidi" w:cstheme="majorBidi"/>
          <w:szCs w:val="22"/>
        </w:rPr>
        <w:t> </w:t>
      </w:r>
      <w:r w:rsidRPr="00F25CE6">
        <w:rPr>
          <w:rFonts w:asciiTheme="majorBidi" w:hAnsiTheme="majorBidi" w:cstheme="majorBidi"/>
          <w:szCs w:val="22"/>
        </w:rPr>
        <w:t>500 msek.</w:t>
      </w:r>
    </w:p>
    <w:p w14:paraId="0C191090" w14:textId="77777777" w:rsidR="00AF7ABC" w:rsidRPr="00F25CE6" w:rsidRDefault="00AF7ABC" w:rsidP="00F25CE6">
      <w:pPr>
        <w:pStyle w:val="BodyText"/>
        <w:widowControl/>
        <w:rPr>
          <w:rFonts w:asciiTheme="majorBidi" w:hAnsiTheme="majorBidi" w:cstheme="majorBidi"/>
          <w:szCs w:val="22"/>
        </w:rPr>
      </w:pPr>
    </w:p>
    <w:p w14:paraId="389D23C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se mora primjenjivati s oprezom u bolesnika koji imaju ili u kojih se može razviti produženje QTc intervala. To uključuje bolesnike s hipokalijemijom ili hipomagnezijemijom, bolesnike s kongenitalnim sindromom dugog QT intervala, bolesnike koji uzimaju antiaritmike ili druge lijekove koji mogu dovesti do produženja QT intervala te bolesnike na kumulativno visokoj dozi antraciklinske terapije. Hipokalijemija ili hipomagnezijemija moraju se korigirati prije primjene dasatiniba.</w:t>
      </w:r>
    </w:p>
    <w:p w14:paraId="7F725D5C" w14:textId="77777777" w:rsidR="00AF7ABC" w:rsidRPr="00F25CE6" w:rsidRDefault="00AF7ABC" w:rsidP="00F25CE6">
      <w:pPr>
        <w:pStyle w:val="BodyText"/>
        <w:widowControl/>
        <w:rPr>
          <w:rFonts w:asciiTheme="majorBidi" w:hAnsiTheme="majorBidi" w:cstheme="majorBidi"/>
          <w:szCs w:val="22"/>
        </w:rPr>
      </w:pPr>
    </w:p>
    <w:p w14:paraId="61748AFB"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Srčane nuspojave</w:t>
      </w:r>
    </w:p>
    <w:p w14:paraId="4F04A310" w14:textId="291FD39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je ispitivan u randomiziranom kliničkom ispitivanju u 519 bolesnika s novodijagnosticiran</w:t>
      </w:r>
      <w:r w:rsidR="00BE5BF4">
        <w:rPr>
          <w:rFonts w:asciiTheme="majorBidi" w:hAnsiTheme="majorBidi" w:cstheme="majorBidi"/>
          <w:szCs w:val="22"/>
        </w:rPr>
        <w:t>i</w:t>
      </w:r>
      <w:r w:rsidRPr="00F25CE6">
        <w:rPr>
          <w:rFonts w:asciiTheme="majorBidi" w:hAnsiTheme="majorBidi" w:cstheme="majorBidi"/>
          <w:szCs w:val="22"/>
        </w:rPr>
        <w:t>m KML</w:t>
      </w:r>
      <w:r w:rsidR="00BE5BF4">
        <w:rPr>
          <w:rFonts w:asciiTheme="majorBidi" w:hAnsiTheme="majorBidi" w:cstheme="majorBidi"/>
          <w:szCs w:val="22"/>
        </w:rPr>
        <w:t>-om</w:t>
      </w:r>
      <w:r w:rsidRPr="00F25CE6">
        <w:rPr>
          <w:rFonts w:asciiTheme="majorBidi" w:hAnsiTheme="majorBidi" w:cstheme="majorBidi"/>
          <w:szCs w:val="22"/>
        </w:rPr>
        <w:t xml:space="preserve"> u kroničnoj fazi u koje su bili uključeni bolesnici s postojećom srčanom bolešću. Srčane nuspojave kao što su kongestivno zatajivanje srca/srčana disfunkcija, perikardijalni izljev, aritmije, palpitacije, produljenje QT intervala i infarkt miokarda (uključujući slučajeve sa smrtnim ishodom) bile su zabilježene u bolesnika koji su uzimali dasatinib. Srčane nuspojave bile su češće u bolesnika s rizičnim faktorima ili srčanom bolešću u anamnezi. Bolesnici s rizičnim faktorima (npr. hipertenzija, hiperlipidemija, šećerna bolest) ili srčanom bolešću u anamnezi (npr. prethodna perkutana koronarna intervencija, potvrđena bolest koronarnih arterija) moraju se pažljivo nadzirati zbog kliničkih znakova i simptoma koji upućuju na disfunkciju srca, kao što su bol u prsištu, nedostatak zraka i dijaforeza.</w:t>
      </w:r>
    </w:p>
    <w:p w14:paraId="7FF07B85" w14:textId="77777777" w:rsidR="00AF7ABC" w:rsidRPr="00F25CE6" w:rsidRDefault="00AF7ABC" w:rsidP="00F25CE6">
      <w:pPr>
        <w:pStyle w:val="BodyText"/>
        <w:widowControl/>
        <w:rPr>
          <w:rFonts w:asciiTheme="majorBidi" w:hAnsiTheme="majorBidi" w:cstheme="majorBidi"/>
          <w:szCs w:val="22"/>
        </w:rPr>
      </w:pPr>
    </w:p>
    <w:p w14:paraId="47BF8DEF" w14:textId="0A38D47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Ako se razviju ti klinički znakovi ili simptomi, liječnicima se savjetuje da privremeno prekinu primjenu dasatiniba i razmotre potrebu za primjenom neke druge terapije specifične za KML. Nakon povlačenja tih znakova i simptoma, a prije nastavka liječenja dasatinibom, mora se izvršiti procjena srčane funkcije. Dasatinib se može nastaviti primjenjivati u prethodnoj dozi u slučaju da su nuspojave bile blage/umjerene (≤</w:t>
      </w:r>
      <w:r w:rsidR="001B267A">
        <w:rPr>
          <w:rFonts w:asciiTheme="majorBidi" w:hAnsiTheme="majorBidi" w:cstheme="majorBidi"/>
          <w:szCs w:val="22"/>
        </w:rPr>
        <w:t> </w:t>
      </w:r>
      <w:r w:rsidRPr="00F25CE6">
        <w:rPr>
          <w:rFonts w:asciiTheme="majorBidi" w:hAnsiTheme="majorBidi" w:cstheme="majorBidi"/>
          <w:szCs w:val="22"/>
        </w:rPr>
        <w:t>2 stupnja) ili u smanjenoj dozi u slučaju teških nuspojava (≥</w:t>
      </w:r>
      <w:r w:rsidR="001B267A">
        <w:rPr>
          <w:rFonts w:asciiTheme="majorBidi" w:hAnsiTheme="majorBidi" w:cstheme="majorBidi"/>
          <w:szCs w:val="22"/>
        </w:rPr>
        <w:t> </w:t>
      </w:r>
      <w:r w:rsidRPr="00F25CE6">
        <w:rPr>
          <w:rFonts w:asciiTheme="majorBidi" w:hAnsiTheme="majorBidi" w:cstheme="majorBidi"/>
          <w:szCs w:val="22"/>
        </w:rPr>
        <w:t>3 stupnja) (vidjeti dio 4.2). Bolesnike u kojih se nastavlja liječenje mora se periodički kontrolirati.</w:t>
      </w:r>
    </w:p>
    <w:p w14:paraId="1AB4E3F7" w14:textId="77777777" w:rsidR="00AF7ABC" w:rsidRPr="00F25CE6" w:rsidRDefault="00AF7ABC" w:rsidP="00F25CE6">
      <w:pPr>
        <w:pStyle w:val="BodyText"/>
        <w:widowControl/>
        <w:rPr>
          <w:rFonts w:asciiTheme="majorBidi" w:hAnsiTheme="majorBidi" w:cstheme="majorBidi"/>
          <w:szCs w:val="22"/>
        </w:rPr>
      </w:pPr>
    </w:p>
    <w:p w14:paraId="289A41EA"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Bolesnici s nekontroliranom ili značajnom kardiovaskularnom bolešću nisu bili uključeni u klinička ispitivanja.</w:t>
      </w:r>
    </w:p>
    <w:p w14:paraId="40DF76EA" w14:textId="77777777" w:rsidR="00AF7ABC" w:rsidRPr="00F25CE6" w:rsidRDefault="00AF7ABC" w:rsidP="00F25CE6">
      <w:pPr>
        <w:pStyle w:val="BodyText"/>
        <w:widowControl/>
        <w:rPr>
          <w:rFonts w:asciiTheme="majorBidi" w:hAnsiTheme="majorBidi" w:cstheme="majorBidi"/>
          <w:szCs w:val="22"/>
        </w:rPr>
      </w:pPr>
    </w:p>
    <w:p w14:paraId="57E1BEBB"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Trombotska mikroangiopatija (TMA)</w:t>
      </w:r>
    </w:p>
    <w:p w14:paraId="0A5EEFF7" w14:textId="393C3406"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lastRenderedPageBreak/>
        <w:t xml:space="preserve">Inhibitori BCR-ABL tirozin kinaze povezani su s trombotičnom mikroangiopatijom (TMA), uključujući pojedinačne slučajeve prijavljene kod primjene </w:t>
      </w:r>
      <w:r w:rsidR="00B83ECB">
        <w:rPr>
          <w:rFonts w:asciiTheme="majorBidi" w:hAnsiTheme="majorBidi" w:cstheme="majorBidi"/>
          <w:szCs w:val="22"/>
        </w:rPr>
        <w:t>dasatiniba</w:t>
      </w:r>
      <w:r w:rsidRPr="00F25CE6">
        <w:rPr>
          <w:rFonts w:asciiTheme="majorBidi" w:hAnsiTheme="majorBidi" w:cstheme="majorBidi"/>
          <w:szCs w:val="22"/>
        </w:rPr>
        <w:t xml:space="preserve"> (vidjeti dio 4.8). Ako laboratorijski ili klinički nalazi u bolesnika koji prima </w:t>
      </w:r>
      <w:r w:rsidR="00B83ECB">
        <w:rPr>
          <w:rFonts w:asciiTheme="majorBidi" w:hAnsiTheme="majorBidi" w:cstheme="majorBidi"/>
          <w:szCs w:val="22"/>
        </w:rPr>
        <w:t>dasatinib</w:t>
      </w:r>
      <w:r w:rsidRPr="00F25CE6">
        <w:rPr>
          <w:rFonts w:asciiTheme="majorBidi" w:hAnsiTheme="majorBidi" w:cstheme="majorBidi"/>
          <w:szCs w:val="22"/>
        </w:rPr>
        <w:t xml:space="preserve"> upućuju na TMA, potrebno je prekinuti liječenje </w:t>
      </w:r>
      <w:r w:rsidR="00B83ECB">
        <w:rPr>
          <w:rFonts w:asciiTheme="majorBidi" w:hAnsiTheme="majorBidi" w:cstheme="majorBidi"/>
          <w:szCs w:val="22"/>
        </w:rPr>
        <w:t>dasatinibom</w:t>
      </w:r>
      <w:r w:rsidRPr="00F25CE6">
        <w:rPr>
          <w:rFonts w:asciiTheme="majorBidi" w:hAnsiTheme="majorBidi" w:cstheme="majorBidi"/>
          <w:szCs w:val="22"/>
        </w:rPr>
        <w:t xml:space="preserve"> i provesti temeljitu ocjenu radi utvrđivanja TMA, uključujući određivanje aktivnosti enzima ADAMTS13 i prisutnosti protutijela na ADAMTS13. Ako je razina</w:t>
      </w:r>
      <w:r w:rsidR="00503528">
        <w:rPr>
          <w:rFonts w:asciiTheme="majorBidi" w:hAnsiTheme="majorBidi" w:cstheme="majorBidi"/>
          <w:szCs w:val="22"/>
        </w:rPr>
        <w:t xml:space="preserve"> </w:t>
      </w:r>
      <w:r w:rsidRPr="00F25CE6">
        <w:rPr>
          <w:rFonts w:asciiTheme="majorBidi" w:hAnsiTheme="majorBidi" w:cstheme="majorBidi"/>
          <w:szCs w:val="22"/>
        </w:rPr>
        <w:t xml:space="preserve">protutijela na ADAMTS13 povišena, a aktivnost enzima ADAMTS13 niska, liječenje </w:t>
      </w:r>
      <w:r w:rsidR="00B83ECB">
        <w:rPr>
          <w:rFonts w:asciiTheme="majorBidi" w:hAnsiTheme="majorBidi" w:cstheme="majorBidi"/>
          <w:szCs w:val="22"/>
        </w:rPr>
        <w:t>dasatinibom</w:t>
      </w:r>
      <w:r w:rsidRPr="00F25CE6">
        <w:rPr>
          <w:rFonts w:asciiTheme="majorBidi" w:hAnsiTheme="majorBidi" w:cstheme="majorBidi"/>
          <w:szCs w:val="22"/>
        </w:rPr>
        <w:t xml:space="preserve"> ne smije se nastaviti.</w:t>
      </w:r>
    </w:p>
    <w:p w14:paraId="77289D03" w14:textId="77777777" w:rsidR="00AF7ABC" w:rsidRPr="00F25CE6" w:rsidRDefault="00AF7ABC" w:rsidP="00F25CE6">
      <w:pPr>
        <w:pStyle w:val="BodyText"/>
        <w:widowControl/>
        <w:rPr>
          <w:rFonts w:asciiTheme="majorBidi" w:hAnsiTheme="majorBidi" w:cstheme="majorBidi"/>
          <w:szCs w:val="22"/>
        </w:rPr>
      </w:pPr>
    </w:p>
    <w:p w14:paraId="6C1C6476"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Ponovna aktivacija hepatitisa B</w:t>
      </w:r>
    </w:p>
    <w:p w14:paraId="1847041F" w14:textId="315B0CF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bolesnika koji su kronični nositelji virusa hepatitisa B pojavila se ponovna aktivacija tog virusa nakon što su primili inhibitore BCR-ABL tirozin kinaze. U nekim je slučajevima došlo do akutnog zatajenja jetre ili fulminantnog hepatitisa što je dovelo do transplantacije jetre ili smrtnog ishoda. Bolesnike je potrebno testirati na infekciju HBV-om prije početka liječenja </w:t>
      </w:r>
      <w:r w:rsidR="00B41E92">
        <w:rPr>
          <w:rFonts w:asciiTheme="majorBidi" w:hAnsiTheme="majorBidi" w:cstheme="majorBidi"/>
          <w:szCs w:val="22"/>
        </w:rPr>
        <w:t>dasatinibom</w:t>
      </w:r>
      <w:r w:rsidRPr="00F25CE6">
        <w:rPr>
          <w:rFonts w:asciiTheme="majorBidi" w:hAnsiTheme="majorBidi" w:cstheme="majorBidi"/>
          <w:szCs w:val="22"/>
        </w:rPr>
        <w:t xml:space="preserve">. Prije početka liječenja bolesnika s pozitivnim serološkim nalazima na hepatitis B (uključujući one s aktivnom bolešću) te za bolesnike za koje se pokaže da su pozitivni na HBV tijekom liječenja, potrebno je savjetovati se sa stručnjacima za bolesti jetre i liječenje hepatitisa B. Nositelje virusa HBV kojima je potrebno </w:t>
      </w:r>
      <w:r w:rsidR="00B41E92">
        <w:rPr>
          <w:rFonts w:asciiTheme="majorBidi" w:hAnsiTheme="majorBidi" w:cstheme="majorBidi"/>
          <w:szCs w:val="22"/>
        </w:rPr>
        <w:t>liječenje dasatinibom</w:t>
      </w:r>
      <w:r w:rsidRPr="00F25CE6">
        <w:rPr>
          <w:rFonts w:asciiTheme="majorBidi" w:hAnsiTheme="majorBidi" w:cstheme="majorBidi"/>
          <w:szCs w:val="22"/>
        </w:rPr>
        <w:t>, potrebno je pozorno nadzirati radi utvrđivanja eventualnih znakova i simptoma aktivne infekcije HBV-om tijekom terapije te nekoliko mjeseci nakon završetka terapije (vidjeti dio 4.8).</w:t>
      </w:r>
    </w:p>
    <w:p w14:paraId="7775D979" w14:textId="77777777" w:rsidR="00AF7ABC" w:rsidRPr="00F25CE6" w:rsidRDefault="00AF7ABC" w:rsidP="00F25CE6">
      <w:pPr>
        <w:pStyle w:val="BodyText"/>
        <w:widowControl/>
        <w:rPr>
          <w:rFonts w:asciiTheme="majorBidi" w:hAnsiTheme="majorBidi" w:cstheme="majorBidi"/>
          <w:szCs w:val="22"/>
        </w:rPr>
      </w:pPr>
    </w:p>
    <w:p w14:paraId="7F24EA58"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Učinci na rast i razvoj u pedijatrijskih bolesnika</w:t>
      </w:r>
    </w:p>
    <w:p w14:paraId="463F27AE" w14:textId="6CD5319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ispitivanjima </w:t>
      </w:r>
      <w:r w:rsidR="00B83ECB">
        <w:rPr>
          <w:rFonts w:asciiTheme="majorBidi" w:hAnsiTheme="majorBidi" w:cstheme="majorBidi"/>
          <w:szCs w:val="22"/>
        </w:rPr>
        <w:t>dasatiniba</w:t>
      </w:r>
      <w:r w:rsidRPr="00F25CE6">
        <w:rPr>
          <w:rFonts w:asciiTheme="majorBidi" w:hAnsiTheme="majorBidi" w:cstheme="majorBidi"/>
          <w:szCs w:val="22"/>
        </w:rPr>
        <w:t xml:space="preserve"> provedenima u pedijatrijskih bolesnika s Ph+ KML</w:t>
      </w:r>
      <w:r w:rsidR="00BE5BF4">
        <w:rPr>
          <w:rFonts w:asciiTheme="majorBidi" w:hAnsiTheme="majorBidi" w:cstheme="majorBidi"/>
          <w:szCs w:val="22"/>
        </w:rPr>
        <w:t>-om</w:t>
      </w:r>
      <w:r w:rsidRPr="00F25CE6">
        <w:rPr>
          <w:rFonts w:asciiTheme="majorBidi" w:hAnsiTheme="majorBidi" w:cstheme="majorBidi"/>
          <w:szCs w:val="22"/>
        </w:rPr>
        <w:t xml:space="preserve"> u kroničnoj fazi koji su bili otporni na imatinib/nisu podnosili imatinib i prethodno neliječenih pedijatrijskih bolesnika s Ph+ KML</w:t>
      </w:r>
      <w:r w:rsidR="00BE5BF4">
        <w:rPr>
          <w:rFonts w:asciiTheme="majorBidi" w:hAnsiTheme="majorBidi" w:cstheme="majorBidi"/>
          <w:szCs w:val="22"/>
        </w:rPr>
        <w:t>-om</w:t>
      </w:r>
      <w:r w:rsidRPr="00F25CE6">
        <w:rPr>
          <w:rFonts w:asciiTheme="majorBidi" w:hAnsiTheme="majorBidi" w:cstheme="majorBidi"/>
          <w:szCs w:val="22"/>
        </w:rPr>
        <w:t xml:space="preserve"> u kroničnoj fazi, lijekom uzrokovani štetni događaji povezani s rastom i razvojem kostiju su nakon najmanje 2 godine liječenja prijavljeni u 6 (4,6%) bolesnika, a jedan od njih bio je teškog intenziteta (zastoj u rastu 3. stupnja). Tih 6 slučajeva uključivalo je slučajeve kasnog srastanja epifize, osteopenije, zastoja u rastu i ginekomastije (vidjeti dio 5.1). Ove je rezultate teško tumačiti u kontekstu kroničnih bolesti kao što je KML i zahtijevaju dugoročno praćenje.</w:t>
      </w:r>
    </w:p>
    <w:p w14:paraId="7FE225D5" w14:textId="77777777" w:rsidR="00AF7ABC" w:rsidRPr="00F25CE6" w:rsidRDefault="00AF7ABC" w:rsidP="00F25CE6">
      <w:pPr>
        <w:pStyle w:val="BodyText"/>
        <w:widowControl/>
        <w:rPr>
          <w:rFonts w:asciiTheme="majorBidi" w:hAnsiTheme="majorBidi" w:cstheme="majorBidi"/>
          <w:szCs w:val="22"/>
        </w:rPr>
      </w:pPr>
    </w:p>
    <w:p w14:paraId="21D2649A" w14:textId="53307C40"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ispitivanjima </w:t>
      </w:r>
      <w:r w:rsidR="00B83ECB">
        <w:rPr>
          <w:rFonts w:asciiTheme="majorBidi" w:hAnsiTheme="majorBidi" w:cstheme="majorBidi"/>
          <w:szCs w:val="22"/>
        </w:rPr>
        <w:t>dasatiniba</w:t>
      </w:r>
      <w:r w:rsidRPr="00F25CE6">
        <w:rPr>
          <w:rFonts w:asciiTheme="majorBidi" w:hAnsiTheme="majorBidi" w:cstheme="majorBidi"/>
          <w:szCs w:val="22"/>
        </w:rPr>
        <w:t xml:space="preserve"> u kombinaciji s kemoterapijom provedenima u pedijatrijskih bolesnika s novodijagnosticiranim Ph+ ALL</w:t>
      </w:r>
      <w:r w:rsidR="00BE5BF4">
        <w:rPr>
          <w:rFonts w:asciiTheme="majorBidi" w:hAnsiTheme="majorBidi" w:cstheme="majorBidi"/>
          <w:szCs w:val="22"/>
        </w:rPr>
        <w:t>-om</w:t>
      </w:r>
      <w:r w:rsidRPr="00F25CE6">
        <w:rPr>
          <w:rFonts w:asciiTheme="majorBidi" w:hAnsiTheme="majorBidi" w:cstheme="majorBidi"/>
          <w:szCs w:val="22"/>
        </w:rPr>
        <w:t>, lijekom uzrokovani štetni događaji povezani s rastom i razvojem kostiju su nakon najviše 2 godine liječenja prijavljeni u 1 (0,6%) bolesnika. Radilo se o osteopeniji 1. stupnja.</w:t>
      </w:r>
    </w:p>
    <w:p w14:paraId="1F6A241D" w14:textId="33294FB8" w:rsidR="00AF7ABC" w:rsidRDefault="00AF7ABC" w:rsidP="00F25CE6">
      <w:pPr>
        <w:pStyle w:val="BodyText"/>
        <w:widowControl/>
        <w:rPr>
          <w:rFonts w:asciiTheme="majorBidi" w:hAnsiTheme="majorBidi" w:cstheme="majorBidi"/>
          <w:szCs w:val="22"/>
        </w:rPr>
      </w:pPr>
    </w:p>
    <w:p w14:paraId="37C08699" w14:textId="1860FBA5" w:rsidR="00731502" w:rsidRDefault="00656BD4" w:rsidP="00731502">
      <w:pPr>
        <w:pStyle w:val="BodyText"/>
        <w:widowControl/>
        <w:rPr>
          <w:rFonts w:asciiTheme="majorBidi" w:hAnsiTheme="majorBidi" w:cstheme="majorBidi"/>
          <w:szCs w:val="22"/>
        </w:rPr>
      </w:pPr>
      <w:r>
        <w:rPr>
          <w:rFonts w:asciiTheme="majorBidi" w:hAnsiTheme="majorBidi" w:cstheme="majorBidi"/>
          <w:szCs w:val="22"/>
        </w:rPr>
        <w:t>Zaostajanje u rastu p</w:t>
      </w:r>
      <w:r w:rsidR="00731502">
        <w:rPr>
          <w:rFonts w:asciiTheme="majorBidi" w:hAnsiTheme="majorBidi" w:cstheme="majorBidi"/>
          <w:szCs w:val="22"/>
        </w:rPr>
        <w:t>rimijećen</w:t>
      </w:r>
      <w:r>
        <w:rPr>
          <w:rFonts w:asciiTheme="majorBidi" w:hAnsiTheme="majorBidi" w:cstheme="majorBidi"/>
          <w:szCs w:val="22"/>
        </w:rPr>
        <w:t>o</w:t>
      </w:r>
      <w:r w:rsidR="00731502">
        <w:rPr>
          <w:rFonts w:asciiTheme="majorBidi" w:hAnsiTheme="majorBidi" w:cstheme="majorBidi"/>
          <w:szCs w:val="22"/>
        </w:rPr>
        <w:t xml:space="preserve"> je u pedijatrijskih bolesnika </w:t>
      </w:r>
      <w:r w:rsidR="007B2894">
        <w:rPr>
          <w:rFonts w:asciiTheme="majorBidi" w:hAnsiTheme="majorBidi" w:cstheme="majorBidi"/>
          <w:szCs w:val="22"/>
        </w:rPr>
        <w:t>liječeni</w:t>
      </w:r>
      <w:r>
        <w:rPr>
          <w:rFonts w:asciiTheme="majorBidi" w:hAnsiTheme="majorBidi" w:cstheme="majorBidi"/>
          <w:szCs w:val="22"/>
        </w:rPr>
        <w:t>h</w:t>
      </w:r>
      <w:r w:rsidR="007B2894">
        <w:rPr>
          <w:rFonts w:asciiTheme="majorBidi" w:hAnsiTheme="majorBidi" w:cstheme="majorBidi"/>
          <w:szCs w:val="22"/>
        </w:rPr>
        <w:t xml:space="preserve"> dasatinibom</w:t>
      </w:r>
      <w:r w:rsidR="00731502">
        <w:rPr>
          <w:rFonts w:asciiTheme="majorBidi" w:hAnsiTheme="majorBidi" w:cstheme="majorBidi"/>
          <w:szCs w:val="22"/>
        </w:rPr>
        <w:t xml:space="preserve"> u kliničkim ispitivanjim</w:t>
      </w:r>
      <w:r>
        <w:rPr>
          <w:rFonts w:asciiTheme="majorBidi" w:hAnsiTheme="majorBidi" w:cstheme="majorBidi"/>
          <w:szCs w:val="22"/>
        </w:rPr>
        <w:t>a</w:t>
      </w:r>
      <w:r w:rsidR="00731502">
        <w:rPr>
          <w:rFonts w:asciiTheme="majorBidi" w:hAnsiTheme="majorBidi" w:cstheme="majorBidi"/>
          <w:szCs w:val="22"/>
        </w:rPr>
        <w:t xml:space="preserve"> (vidjeti dio 4.8). </w:t>
      </w:r>
      <w:r w:rsidR="00B17658">
        <w:rPr>
          <w:rFonts w:asciiTheme="majorBidi" w:hAnsiTheme="majorBidi" w:cstheme="majorBidi"/>
          <w:szCs w:val="22"/>
        </w:rPr>
        <w:t>Nakon najviše 2 godine liječenj</w:t>
      </w:r>
      <w:r w:rsidR="00C46291">
        <w:rPr>
          <w:rFonts w:asciiTheme="majorBidi" w:hAnsiTheme="majorBidi" w:cstheme="majorBidi"/>
          <w:szCs w:val="22"/>
        </w:rPr>
        <w:t>a,</w:t>
      </w:r>
      <w:r w:rsidR="00B17658">
        <w:rPr>
          <w:rFonts w:asciiTheme="majorBidi" w:hAnsiTheme="majorBidi" w:cstheme="majorBidi"/>
          <w:szCs w:val="22"/>
        </w:rPr>
        <w:t xml:space="preserve"> primijećen je silazni trend očekivane visine, u istoj mjeri kao što je primijećeno </w:t>
      </w:r>
      <w:r w:rsidR="00C46291">
        <w:rPr>
          <w:rFonts w:asciiTheme="majorBidi" w:hAnsiTheme="majorBidi" w:cstheme="majorBidi"/>
          <w:szCs w:val="22"/>
        </w:rPr>
        <w:t>kod primjene samo</w:t>
      </w:r>
      <w:r w:rsidR="00B17658">
        <w:rPr>
          <w:rFonts w:asciiTheme="majorBidi" w:hAnsiTheme="majorBidi" w:cstheme="majorBidi"/>
          <w:szCs w:val="22"/>
        </w:rPr>
        <w:t xml:space="preserve"> kemoterapije, bez utjecaja na očekivanu tjelesnu težinu i </w:t>
      </w:r>
      <w:r w:rsidR="00C46291">
        <w:t>indeks tjele</w:t>
      </w:r>
      <w:r w:rsidR="00456E0C">
        <w:t xml:space="preserve">sne mase (engl. </w:t>
      </w:r>
      <w:r w:rsidR="00456E0C" w:rsidRPr="0031614A">
        <w:rPr>
          <w:i/>
        </w:rPr>
        <w:t>body mass index</w:t>
      </w:r>
      <w:r w:rsidR="00C46291">
        <w:rPr>
          <w:rFonts w:asciiTheme="majorBidi" w:hAnsiTheme="majorBidi" w:cstheme="majorBidi"/>
          <w:szCs w:val="22"/>
        </w:rPr>
        <w:t xml:space="preserve">, </w:t>
      </w:r>
      <w:r w:rsidR="00B17658">
        <w:rPr>
          <w:rFonts w:asciiTheme="majorBidi" w:hAnsiTheme="majorBidi" w:cstheme="majorBidi"/>
          <w:szCs w:val="22"/>
        </w:rPr>
        <w:t>BMI</w:t>
      </w:r>
      <w:r w:rsidR="00C46291">
        <w:rPr>
          <w:rFonts w:asciiTheme="majorBidi" w:hAnsiTheme="majorBidi" w:cstheme="majorBidi"/>
          <w:szCs w:val="22"/>
        </w:rPr>
        <w:t>)</w:t>
      </w:r>
      <w:r w:rsidR="00B17658">
        <w:rPr>
          <w:rFonts w:asciiTheme="majorBidi" w:hAnsiTheme="majorBidi" w:cstheme="majorBidi"/>
          <w:szCs w:val="22"/>
        </w:rPr>
        <w:t xml:space="preserve"> te bez povezanosti s hormon</w:t>
      </w:r>
      <w:r w:rsidR="00C46291">
        <w:rPr>
          <w:rFonts w:asciiTheme="majorBidi" w:hAnsiTheme="majorBidi" w:cstheme="majorBidi"/>
          <w:szCs w:val="22"/>
        </w:rPr>
        <w:t>skim poremećajima</w:t>
      </w:r>
      <w:r w:rsidR="00B17658">
        <w:rPr>
          <w:rFonts w:asciiTheme="majorBidi" w:hAnsiTheme="majorBidi" w:cstheme="majorBidi"/>
          <w:szCs w:val="22"/>
        </w:rPr>
        <w:t xml:space="preserve"> ili drugi</w:t>
      </w:r>
      <w:r w:rsidR="00C46291">
        <w:rPr>
          <w:rFonts w:asciiTheme="majorBidi" w:hAnsiTheme="majorBidi" w:cstheme="majorBidi"/>
          <w:szCs w:val="22"/>
        </w:rPr>
        <w:t>m odstupanjima u rezultatima</w:t>
      </w:r>
      <w:r w:rsidR="00B17658">
        <w:rPr>
          <w:rFonts w:asciiTheme="majorBidi" w:hAnsiTheme="majorBidi" w:cstheme="majorBidi"/>
          <w:szCs w:val="22"/>
        </w:rPr>
        <w:t xml:space="preserve"> laboratorijskih parametara. </w:t>
      </w:r>
      <w:r w:rsidR="00731502">
        <w:rPr>
          <w:rFonts w:asciiTheme="majorBidi" w:hAnsiTheme="majorBidi" w:cstheme="majorBidi"/>
          <w:szCs w:val="22"/>
        </w:rPr>
        <w:t>Preporučuje se praćenje rasta i razvoja kostiju u pedijatrijskih bolesnika.</w:t>
      </w:r>
    </w:p>
    <w:p w14:paraId="00DE9084" w14:textId="77777777" w:rsidR="00731502" w:rsidRPr="00F25CE6" w:rsidRDefault="00731502" w:rsidP="00F25CE6">
      <w:pPr>
        <w:pStyle w:val="BodyText"/>
        <w:widowControl/>
        <w:rPr>
          <w:rFonts w:asciiTheme="majorBidi" w:hAnsiTheme="majorBidi" w:cstheme="majorBidi"/>
          <w:szCs w:val="22"/>
        </w:rPr>
      </w:pPr>
    </w:p>
    <w:p w14:paraId="45F840E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Pomoćne tvari</w:t>
      </w:r>
    </w:p>
    <w:p w14:paraId="5FDECBFC"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Laktoza</w:t>
      </w:r>
    </w:p>
    <w:p w14:paraId="01447C3C" w14:textId="2F2F13A4" w:rsidR="00AF7ABC"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Ovaj lijek sadrži laktozu hidrat. Bolesnici s rijetkim nasljednim poremećajem nepodnošenja galaktoze, potpunim nedostatkom laktaze ili malapsorpcijom glukoze i galaktoze ne bi smjeli uzimati ovaj lijek.</w:t>
      </w:r>
    </w:p>
    <w:p w14:paraId="3C113FAA" w14:textId="7CC42DDD" w:rsidR="0052014E" w:rsidRDefault="0052014E" w:rsidP="00F25CE6">
      <w:pPr>
        <w:pStyle w:val="BodyText"/>
        <w:widowControl/>
        <w:rPr>
          <w:rFonts w:asciiTheme="majorBidi" w:hAnsiTheme="majorBidi" w:cstheme="majorBidi"/>
          <w:szCs w:val="22"/>
        </w:rPr>
      </w:pPr>
    </w:p>
    <w:p w14:paraId="0D207C5C" w14:textId="0D0E139D" w:rsidR="0052014E" w:rsidRDefault="004A6DA0" w:rsidP="00F25CE6">
      <w:pPr>
        <w:pStyle w:val="BodyText"/>
        <w:widowControl/>
        <w:rPr>
          <w:rFonts w:asciiTheme="majorBidi" w:hAnsiTheme="majorBidi" w:cstheme="majorBidi"/>
          <w:szCs w:val="22"/>
        </w:rPr>
      </w:pPr>
      <w:r>
        <w:rPr>
          <w:rFonts w:asciiTheme="majorBidi" w:hAnsiTheme="majorBidi" w:cstheme="majorBidi"/>
          <w:i/>
          <w:iCs/>
          <w:szCs w:val="22"/>
          <w:u w:val="single"/>
        </w:rPr>
        <w:t>Natrij</w:t>
      </w:r>
    </w:p>
    <w:p w14:paraId="426A33CD" w14:textId="35371994" w:rsidR="0052014E" w:rsidRPr="0052014E" w:rsidRDefault="004A6DA0" w:rsidP="00F25CE6">
      <w:pPr>
        <w:pStyle w:val="BodyText"/>
        <w:widowControl/>
        <w:rPr>
          <w:rFonts w:asciiTheme="majorBidi" w:hAnsiTheme="majorBidi" w:cstheme="majorBidi"/>
          <w:szCs w:val="22"/>
        </w:rPr>
      </w:pPr>
      <w:r>
        <w:rPr>
          <w:rFonts w:asciiTheme="majorBidi" w:hAnsiTheme="majorBidi" w:cstheme="majorBidi"/>
          <w:szCs w:val="22"/>
        </w:rPr>
        <w:t>Ovaj lijek sadrži manje od 1 mmol (23 mg) natrija po filmom obloženoj tableti, tj. zanemarive količine natrija.</w:t>
      </w:r>
    </w:p>
    <w:p w14:paraId="3B5EBCAC" w14:textId="77777777" w:rsidR="00AF7ABC" w:rsidRPr="00F25CE6" w:rsidRDefault="00AF7ABC" w:rsidP="00F25CE6">
      <w:pPr>
        <w:pStyle w:val="BodyText"/>
        <w:widowControl/>
        <w:rPr>
          <w:rFonts w:asciiTheme="majorBidi" w:hAnsiTheme="majorBidi" w:cstheme="majorBidi"/>
          <w:szCs w:val="22"/>
        </w:rPr>
      </w:pPr>
    </w:p>
    <w:p w14:paraId="3C78F923" w14:textId="77777777" w:rsidR="00AF7ABC" w:rsidRPr="00F25CE6" w:rsidRDefault="00422138" w:rsidP="00503528">
      <w:pPr>
        <w:pStyle w:val="Heading2"/>
      </w:pPr>
      <w:r w:rsidRPr="00F25CE6">
        <w:t>Interakcije s drugim lijekovima i drugi oblici interakcija</w:t>
      </w:r>
    </w:p>
    <w:p w14:paraId="07FA932D" w14:textId="77777777" w:rsidR="00AF7ABC" w:rsidRPr="00F25CE6" w:rsidRDefault="00AF7ABC" w:rsidP="00F25CE6">
      <w:pPr>
        <w:pStyle w:val="BodyText"/>
        <w:widowControl/>
        <w:rPr>
          <w:rFonts w:asciiTheme="majorBidi" w:hAnsiTheme="majorBidi" w:cstheme="majorBidi"/>
          <w:b/>
          <w:szCs w:val="22"/>
        </w:rPr>
      </w:pPr>
    </w:p>
    <w:p w14:paraId="32ECE88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Djelatne tvari koje mogu povećati koncentraciju dasatiniba u plazmi</w:t>
      </w:r>
    </w:p>
    <w:p w14:paraId="45A28D2A"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ispitivanja pokazuju da je dasatinib supstrat enzima CYP3A4. Istodobna primjena dasatiniba i lijekova ili tvari koje su potentni inhibitori CYP3A4 (npr. ketokonazol, itrakonazol, eritromicin, klaritromicin, ritonavir, telitromicin, sok od grejpa) može povećati izloženost dasatinibu. Stoga se u </w:t>
      </w:r>
      <w:r w:rsidRPr="00F25CE6">
        <w:rPr>
          <w:rFonts w:asciiTheme="majorBidi" w:hAnsiTheme="majorBidi" w:cstheme="majorBidi"/>
          <w:szCs w:val="22"/>
        </w:rPr>
        <w:lastRenderedPageBreak/>
        <w:t>bolesnika koji primaju dasatinib ne preporučuje sistemska primjena potentnog inhibitora CYP3A4 (vidjeti dio 4.2).</w:t>
      </w:r>
    </w:p>
    <w:p w14:paraId="080E6E96" w14:textId="77777777" w:rsidR="00AF7ABC" w:rsidRPr="00F25CE6" w:rsidRDefault="00AF7ABC" w:rsidP="00F25CE6">
      <w:pPr>
        <w:pStyle w:val="BodyText"/>
        <w:widowControl/>
        <w:rPr>
          <w:rFonts w:asciiTheme="majorBidi" w:hAnsiTheme="majorBidi" w:cstheme="majorBidi"/>
          <w:szCs w:val="22"/>
        </w:rPr>
      </w:pPr>
    </w:p>
    <w:p w14:paraId="2CB51A4E" w14:textId="32E1FFD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Na temelju ispitivanja </w:t>
      </w:r>
      <w:r w:rsidRPr="00F25CE6">
        <w:rPr>
          <w:rFonts w:asciiTheme="majorBidi" w:hAnsiTheme="majorBidi" w:cstheme="majorBidi"/>
          <w:i/>
          <w:szCs w:val="22"/>
        </w:rPr>
        <w:t>in vitro</w:t>
      </w:r>
      <w:r w:rsidRPr="00F25CE6">
        <w:rPr>
          <w:rFonts w:asciiTheme="majorBidi" w:hAnsiTheme="majorBidi" w:cstheme="majorBidi"/>
          <w:szCs w:val="22"/>
        </w:rPr>
        <w:t xml:space="preserve">, vezanje dasatiniba za proteine plazme pri klinički značajnim koncentracijama iznosi oko 96%. Nisu provedena ispitivanja kojima bi se mogle utvrditi interakcije dasatiniba s lijekovima vezanima na proteine. Nije poznato u kojoj mjeri dasatinib može istisnuti druge lijekove iz veze s </w:t>
      </w:r>
      <w:r w:rsidR="00054184">
        <w:rPr>
          <w:rFonts w:asciiTheme="majorBidi" w:hAnsiTheme="majorBidi" w:cstheme="majorBidi"/>
          <w:szCs w:val="22"/>
        </w:rPr>
        <w:t>proteinima</w:t>
      </w:r>
      <w:r w:rsidR="00054184" w:rsidRPr="00F25CE6">
        <w:rPr>
          <w:rFonts w:asciiTheme="majorBidi" w:hAnsiTheme="majorBidi" w:cstheme="majorBidi"/>
          <w:szCs w:val="22"/>
        </w:rPr>
        <w:t xml:space="preserve"> </w:t>
      </w:r>
      <w:r w:rsidRPr="00F25CE6">
        <w:rPr>
          <w:rFonts w:asciiTheme="majorBidi" w:hAnsiTheme="majorBidi" w:cstheme="majorBidi"/>
          <w:szCs w:val="22"/>
        </w:rPr>
        <w:t>i obrnuto te koliki to ima klinički značaj.</w:t>
      </w:r>
    </w:p>
    <w:p w14:paraId="3ABEE373" w14:textId="77777777" w:rsidR="00AF7ABC" w:rsidRPr="00F25CE6" w:rsidRDefault="00AF7ABC" w:rsidP="00F25CE6">
      <w:pPr>
        <w:pStyle w:val="BodyText"/>
        <w:widowControl/>
        <w:rPr>
          <w:rFonts w:asciiTheme="majorBidi" w:hAnsiTheme="majorBidi" w:cstheme="majorBidi"/>
          <w:szCs w:val="22"/>
        </w:rPr>
      </w:pPr>
    </w:p>
    <w:p w14:paraId="482886B2"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Djelatne tvari koje mogu smanjiti koncentraciju dasatiniba u plazmi</w:t>
      </w:r>
    </w:p>
    <w:p w14:paraId="55C44549" w14:textId="77777777"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 xml:space="preserve">Kad se dasatinib primijenio nakon 8 dana svakodnevne primjene 600 mg rifampicina, potentnog induktora CYP3A4, AUC dasatiniba smanjio se za 82%. Drugi lijekovi koji induciraju aktivnost CYP3A4 (npr. deksametazon, fenitoin, karbamazepin, fenobarbital ili biljni pripravci koji sadrže </w:t>
      </w:r>
      <w:r w:rsidRPr="00F25CE6">
        <w:rPr>
          <w:rFonts w:asciiTheme="majorBidi" w:hAnsiTheme="majorBidi" w:cstheme="majorBidi"/>
          <w:i/>
          <w:szCs w:val="22"/>
        </w:rPr>
        <w:t>Hypericum perforatum</w:t>
      </w:r>
      <w:r w:rsidRPr="00F25CE6">
        <w:rPr>
          <w:rFonts w:asciiTheme="majorBidi" w:hAnsiTheme="majorBidi" w:cstheme="majorBidi"/>
          <w:szCs w:val="22"/>
        </w:rPr>
        <w:t>, poznatu i kao „gospina trava“) također mogu pojačati metabolizam i smanjiti koncentraciju dasatiniba u plazmi. Stoga se ne preporučuje istodobna primjena potentnih induktora CYP3A4 i dasatiniba. U bolesnika u kojih je indicirana primjena rifampicina ili drugih induktora CYP3A4 moraju se koristiti zamjenski lijekovi koji slabije induciraju taj enzim. Dopuštena je istodobna primjena dasatiniba s deksametazonom, slabim induktorom CYP3A4; kod istodobne</w:t>
      </w:r>
      <w:r w:rsidR="00503528">
        <w:rPr>
          <w:rFonts w:asciiTheme="majorBidi" w:hAnsiTheme="majorBidi" w:cstheme="majorBidi"/>
          <w:szCs w:val="22"/>
        </w:rPr>
        <w:t xml:space="preserve"> </w:t>
      </w:r>
      <w:r w:rsidRPr="00F25CE6">
        <w:rPr>
          <w:rFonts w:asciiTheme="majorBidi" w:hAnsiTheme="majorBidi" w:cstheme="majorBidi"/>
          <w:szCs w:val="22"/>
        </w:rPr>
        <w:t>primjene s deksametazonom očekuje se smanjenje AUC dasatiniba za približno 25%, što vjerojatno nije klinički značajno.</w:t>
      </w:r>
    </w:p>
    <w:p w14:paraId="65A2ED90" w14:textId="77777777" w:rsidR="00AF7ABC" w:rsidRPr="00F25CE6" w:rsidRDefault="00AF7ABC" w:rsidP="00F25CE6">
      <w:pPr>
        <w:pStyle w:val="BodyText"/>
        <w:widowControl/>
        <w:rPr>
          <w:rFonts w:asciiTheme="majorBidi" w:hAnsiTheme="majorBidi" w:cstheme="majorBidi"/>
          <w:szCs w:val="22"/>
        </w:rPr>
      </w:pPr>
    </w:p>
    <w:p w14:paraId="3680AAAB"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Antagonisti histaminskih H</w:t>
      </w:r>
      <w:r w:rsidRPr="00612D2B">
        <w:rPr>
          <w:rFonts w:asciiTheme="majorBidi" w:hAnsiTheme="majorBidi" w:cstheme="majorBidi"/>
          <w:i/>
          <w:u w:val="single"/>
          <w:vertAlign w:val="subscript"/>
        </w:rPr>
        <w:t>2</w:t>
      </w:r>
      <w:r w:rsidRPr="00F25CE6">
        <w:rPr>
          <w:rFonts w:asciiTheme="majorBidi" w:hAnsiTheme="majorBidi" w:cstheme="majorBidi"/>
          <w:i/>
          <w:u w:val="single"/>
        </w:rPr>
        <w:t xml:space="preserve"> receptora i inhibitori protonske pumpe</w:t>
      </w:r>
    </w:p>
    <w:p w14:paraId="0120378B" w14:textId="34147EB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Dugotrajna supresija sekrecije želučane kiseline antagonistima H</w:t>
      </w:r>
      <w:r w:rsidRPr="00503528">
        <w:rPr>
          <w:rFonts w:asciiTheme="majorBidi" w:hAnsiTheme="majorBidi" w:cstheme="majorBidi"/>
          <w:szCs w:val="22"/>
          <w:vertAlign w:val="subscript"/>
        </w:rPr>
        <w:t>2</w:t>
      </w:r>
      <w:r w:rsidRPr="00F25CE6">
        <w:rPr>
          <w:rFonts w:asciiTheme="majorBidi" w:hAnsiTheme="majorBidi" w:cstheme="majorBidi"/>
          <w:szCs w:val="22"/>
          <w:vertAlign w:val="superscript"/>
        </w:rPr>
        <w:t xml:space="preserve"> </w:t>
      </w:r>
      <w:r w:rsidRPr="00F25CE6">
        <w:rPr>
          <w:rFonts w:asciiTheme="majorBidi" w:hAnsiTheme="majorBidi" w:cstheme="majorBidi"/>
          <w:szCs w:val="22"/>
        </w:rPr>
        <w:t>receptora</w:t>
      </w:r>
      <w:r w:rsidR="00054184">
        <w:rPr>
          <w:rFonts w:asciiTheme="majorBidi" w:hAnsiTheme="majorBidi" w:cstheme="majorBidi"/>
          <w:szCs w:val="22"/>
        </w:rPr>
        <w:t xml:space="preserve"> </w:t>
      </w:r>
      <w:r w:rsidRPr="00F25CE6">
        <w:rPr>
          <w:rFonts w:asciiTheme="majorBidi" w:hAnsiTheme="majorBidi" w:cstheme="majorBidi"/>
          <w:szCs w:val="22"/>
        </w:rPr>
        <w:t xml:space="preserve">ili inhibitorima protonske pumpe (npr. </w:t>
      </w:r>
      <w:r w:rsidR="00C46291">
        <w:rPr>
          <w:rFonts w:asciiTheme="majorBidi" w:hAnsiTheme="majorBidi" w:cstheme="majorBidi"/>
          <w:szCs w:val="22"/>
        </w:rPr>
        <w:t xml:space="preserve">famotidin i </w:t>
      </w:r>
      <w:r w:rsidRPr="00F25CE6">
        <w:rPr>
          <w:rFonts w:asciiTheme="majorBidi" w:hAnsiTheme="majorBidi" w:cstheme="majorBidi"/>
          <w:szCs w:val="22"/>
        </w:rPr>
        <w:t xml:space="preserve">omeprazol) vjerojatno će smanjiti izloženost dasatinibu. U ispitivanju pojedinačne doze u zdravih ispitanika, primjenom famotidina 10 sati prije pojedinačne doze </w:t>
      </w:r>
      <w:r w:rsidR="00DF3667">
        <w:rPr>
          <w:rFonts w:asciiTheme="majorBidi" w:hAnsiTheme="majorBidi" w:cstheme="majorBidi"/>
          <w:szCs w:val="22"/>
        </w:rPr>
        <w:t xml:space="preserve">dasatiniba </w:t>
      </w:r>
      <w:r w:rsidRPr="00F25CE6">
        <w:rPr>
          <w:rFonts w:asciiTheme="majorBidi" w:hAnsiTheme="majorBidi" w:cstheme="majorBidi"/>
          <w:szCs w:val="22"/>
        </w:rPr>
        <w:t xml:space="preserve">smanjila se izloženost dasatinibu za 61%. U ispitivanju 14 zdravih ispitanika, jednokratna primjena doze </w:t>
      </w:r>
      <w:r w:rsidR="00DF3667">
        <w:rPr>
          <w:rFonts w:asciiTheme="majorBidi" w:hAnsiTheme="majorBidi" w:cstheme="majorBidi"/>
          <w:szCs w:val="22"/>
        </w:rPr>
        <w:t>dasatiniba</w:t>
      </w:r>
      <w:r w:rsidRPr="00F25CE6">
        <w:rPr>
          <w:rFonts w:asciiTheme="majorBidi" w:hAnsiTheme="majorBidi" w:cstheme="majorBidi"/>
          <w:szCs w:val="22"/>
        </w:rPr>
        <w:t xml:space="preserve"> od 100</w:t>
      </w:r>
      <w:r w:rsidR="00B17658">
        <w:rPr>
          <w:rFonts w:asciiTheme="majorBidi" w:hAnsiTheme="majorBidi" w:cstheme="majorBidi"/>
          <w:szCs w:val="22"/>
        </w:rPr>
        <w:t> </w:t>
      </w:r>
      <w:r w:rsidRPr="00F25CE6">
        <w:rPr>
          <w:rFonts w:asciiTheme="majorBidi" w:hAnsiTheme="majorBidi" w:cstheme="majorBidi"/>
          <w:szCs w:val="22"/>
        </w:rPr>
        <w:t>mg 22 sata nakon četverodnevne primjene doze omeprazola od 40 mg u stanju dinamičke ravnoteže smanjila je AUC dasatiniba za 43%, a C</w:t>
      </w:r>
      <w:r w:rsidRPr="00F25CE6">
        <w:rPr>
          <w:rFonts w:asciiTheme="majorBidi" w:hAnsiTheme="majorBidi" w:cstheme="majorBidi"/>
          <w:szCs w:val="22"/>
          <w:vertAlign w:val="subscript"/>
        </w:rPr>
        <w:t>max</w:t>
      </w:r>
      <w:r w:rsidRPr="00F25CE6">
        <w:rPr>
          <w:rFonts w:asciiTheme="majorBidi" w:hAnsiTheme="majorBidi" w:cstheme="majorBidi"/>
          <w:szCs w:val="22"/>
        </w:rPr>
        <w:t xml:space="preserve"> dasatiniba za 42%. U bolesnika koji primaju</w:t>
      </w:r>
      <w:r w:rsidR="00786042">
        <w:rPr>
          <w:rFonts w:asciiTheme="majorBidi" w:hAnsiTheme="majorBidi" w:cstheme="majorBidi"/>
          <w:szCs w:val="22"/>
        </w:rPr>
        <w:t xml:space="preserve"> </w:t>
      </w:r>
      <w:r w:rsidR="00DF3667">
        <w:rPr>
          <w:rFonts w:asciiTheme="majorBidi" w:hAnsiTheme="majorBidi" w:cstheme="majorBidi"/>
          <w:szCs w:val="22"/>
        </w:rPr>
        <w:t>dasatinib</w:t>
      </w:r>
      <w:r w:rsidRPr="00F25CE6">
        <w:rPr>
          <w:rFonts w:asciiTheme="majorBidi" w:hAnsiTheme="majorBidi" w:cstheme="majorBidi"/>
          <w:szCs w:val="22"/>
        </w:rPr>
        <w:t xml:space="preserve"> mora se razmotriti primjena antacida umjesto antagonista H</w:t>
      </w:r>
      <w:r w:rsidRPr="00F25CE6">
        <w:rPr>
          <w:rFonts w:asciiTheme="majorBidi" w:hAnsiTheme="majorBidi" w:cstheme="majorBidi"/>
          <w:szCs w:val="22"/>
          <w:vertAlign w:val="subscript"/>
        </w:rPr>
        <w:t xml:space="preserve">2 </w:t>
      </w:r>
      <w:r w:rsidRPr="00F25CE6">
        <w:rPr>
          <w:rFonts w:asciiTheme="majorBidi" w:hAnsiTheme="majorBidi" w:cstheme="majorBidi"/>
          <w:szCs w:val="22"/>
        </w:rPr>
        <w:t>receptora ili inhibitora protonske pumpe (vidjeti dio 4.4).</w:t>
      </w:r>
    </w:p>
    <w:p w14:paraId="4BFF85AB" w14:textId="77777777" w:rsidR="00AF7ABC" w:rsidRPr="00F25CE6" w:rsidRDefault="00AF7ABC" w:rsidP="00F25CE6">
      <w:pPr>
        <w:pStyle w:val="BodyText"/>
        <w:widowControl/>
        <w:rPr>
          <w:rFonts w:asciiTheme="majorBidi" w:hAnsiTheme="majorBidi" w:cstheme="majorBidi"/>
          <w:szCs w:val="22"/>
        </w:rPr>
      </w:pPr>
    </w:p>
    <w:p w14:paraId="24B7D77A"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Antacidi</w:t>
      </w:r>
    </w:p>
    <w:p w14:paraId="3BD226E8" w14:textId="6010D14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Neklinički podaci pokazuju da topljivost dasatiniba ovisi o pH. U zdravih je ispitanika istodobna primjena antacida od aluminijevog hidroksida ili magnezijevog hidroksida i </w:t>
      </w:r>
      <w:r w:rsidR="00DF3667">
        <w:rPr>
          <w:rFonts w:asciiTheme="majorBidi" w:hAnsiTheme="majorBidi" w:cstheme="majorBidi"/>
          <w:szCs w:val="22"/>
        </w:rPr>
        <w:t>dasatiniba</w:t>
      </w:r>
      <w:r w:rsidR="00064F60">
        <w:rPr>
          <w:rFonts w:asciiTheme="majorBidi" w:hAnsiTheme="majorBidi" w:cstheme="majorBidi"/>
          <w:szCs w:val="22"/>
        </w:rPr>
        <w:t xml:space="preserve"> </w:t>
      </w:r>
      <w:r w:rsidRPr="00F25CE6">
        <w:rPr>
          <w:rFonts w:asciiTheme="majorBidi" w:hAnsiTheme="majorBidi" w:cstheme="majorBidi"/>
          <w:szCs w:val="22"/>
        </w:rPr>
        <w:t xml:space="preserve">smanjila AUC </w:t>
      </w:r>
      <w:r w:rsidR="00DF3667">
        <w:rPr>
          <w:rFonts w:asciiTheme="majorBidi" w:hAnsiTheme="majorBidi" w:cstheme="majorBidi"/>
          <w:szCs w:val="22"/>
        </w:rPr>
        <w:t>dasatiniba</w:t>
      </w:r>
      <w:r w:rsidRPr="00F25CE6">
        <w:rPr>
          <w:rFonts w:asciiTheme="majorBidi" w:hAnsiTheme="majorBidi" w:cstheme="majorBidi"/>
          <w:szCs w:val="22"/>
        </w:rPr>
        <w:t xml:space="preserve"> nakon pojedinačne doze za 55% te C</w:t>
      </w:r>
      <w:r w:rsidRPr="00F25CE6">
        <w:rPr>
          <w:rFonts w:asciiTheme="majorBidi" w:hAnsiTheme="majorBidi" w:cstheme="majorBidi"/>
          <w:szCs w:val="22"/>
          <w:vertAlign w:val="subscript"/>
        </w:rPr>
        <w:t xml:space="preserve">max </w:t>
      </w:r>
      <w:r w:rsidRPr="00F25CE6">
        <w:rPr>
          <w:rFonts w:asciiTheme="majorBidi" w:hAnsiTheme="majorBidi" w:cstheme="majorBidi"/>
          <w:szCs w:val="22"/>
        </w:rPr>
        <w:t xml:space="preserve">za 58%. Međutim, kad su antacidi bili primijenjeni 2 sata prije pojedinačne doze </w:t>
      </w:r>
      <w:r w:rsidR="00DF3667">
        <w:rPr>
          <w:rFonts w:asciiTheme="majorBidi" w:hAnsiTheme="majorBidi" w:cstheme="majorBidi"/>
          <w:szCs w:val="22"/>
        </w:rPr>
        <w:t>dasatiniba</w:t>
      </w:r>
      <w:r w:rsidRPr="00F25CE6">
        <w:rPr>
          <w:rFonts w:asciiTheme="majorBidi" w:hAnsiTheme="majorBidi" w:cstheme="majorBidi"/>
          <w:szCs w:val="22"/>
        </w:rPr>
        <w:t xml:space="preserve">, nisu bile opažene nikakve značajne promjene u koncentraciji dasatiniba ili izloženosti dasatinibu. Stoga se antacidi mogu primijeniti najmanje 2 sata prije ili 2 sata poslije primjene </w:t>
      </w:r>
      <w:r w:rsidR="00DF3667">
        <w:rPr>
          <w:rFonts w:asciiTheme="majorBidi" w:hAnsiTheme="majorBidi" w:cstheme="majorBidi"/>
          <w:szCs w:val="22"/>
        </w:rPr>
        <w:t>dasatiniba</w:t>
      </w:r>
      <w:r w:rsidRPr="00F25CE6">
        <w:rPr>
          <w:rFonts w:asciiTheme="majorBidi" w:hAnsiTheme="majorBidi" w:cstheme="majorBidi"/>
          <w:szCs w:val="22"/>
        </w:rPr>
        <w:t xml:space="preserve"> (vidjeti dio 4.4).</w:t>
      </w:r>
    </w:p>
    <w:p w14:paraId="082B65FB" w14:textId="77777777" w:rsidR="00AF7ABC" w:rsidRPr="00F25CE6" w:rsidRDefault="00AF7ABC" w:rsidP="00F25CE6">
      <w:pPr>
        <w:pStyle w:val="BodyText"/>
        <w:widowControl/>
        <w:rPr>
          <w:rFonts w:asciiTheme="majorBidi" w:hAnsiTheme="majorBidi" w:cstheme="majorBidi"/>
          <w:szCs w:val="22"/>
        </w:rPr>
      </w:pPr>
    </w:p>
    <w:p w14:paraId="03F3FD8B" w14:textId="77777777" w:rsidR="00AF7ABC" w:rsidRPr="00F25CE6" w:rsidRDefault="00422138" w:rsidP="00503528">
      <w:pPr>
        <w:pStyle w:val="BodyText"/>
        <w:keepNext/>
        <w:widowControl/>
        <w:rPr>
          <w:rFonts w:asciiTheme="majorBidi" w:hAnsiTheme="majorBidi" w:cstheme="majorBidi"/>
          <w:szCs w:val="22"/>
        </w:rPr>
      </w:pPr>
      <w:r w:rsidRPr="00F25CE6">
        <w:rPr>
          <w:rFonts w:asciiTheme="majorBidi" w:hAnsiTheme="majorBidi" w:cstheme="majorBidi"/>
          <w:szCs w:val="22"/>
          <w:u w:val="single"/>
        </w:rPr>
        <w:t>Djelatne tvari čije su koncentracije u plazmi promijenjene zbog dasatiniba</w:t>
      </w:r>
    </w:p>
    <w:p w14:paraId="4252692E"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Istodobna primjena dasatiniba i supstrata CYP3A4 može povisiti izloženost supstratu CYP3A4. U ispitivanju u zdravih ispitanika, pojedinačna doza od 100 mg dasatiniba povećala je AUC i C</w:t>
      </w:r>
      <w:r w:rsidRPr="00F25CE6">
        <w:rPr>
          <w:rFonts w:asciiTheme="majorBidi" w:hAnsiTheme="majorBidi" w:cstheme="majorBidi"/>
          <w:szCs w:val="22"/>
          <w:vertAlign w:val="subscript"/>
        </w:rPr>
        <w:t xml:space="preserve">max </w:t>
      </w:r>
      <w:r w:rsidRPr="00F25CE6">
        <w:rPr>
          <w:rFonts w:asciiTheme="majorBidi" w:hAnsiTheme="majorBidi" w:cstheme="majorBidi"/>
          <w:szCs w:val="22"/>
        </w:rPr>
        <w:t>izloženosti simvastatinu, poznatom supstratu CYP3A4, za 20% odnosno za 37%. Ne može se isključiti mogućnost da su takvi učinci još veći nakon višestrukih doza dasatiniba. Zbog toga se supstrate CYP3A4 za koje se zna da imaju uski terapijski indeks (npr. astemizol, terfenadin, cisaprid, pimozid, kinidin, bepridil ili ergot alkaloidi [ergotamin, dihidroergotamin]) mora primjenjivati s oprezom u bolesnika koji primaju dasatinib (vidjeti dio 4.4).</w:t>
      </w:r>
    </w:p>
    <w:p w14:paraId="6E99DF9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Podaci iz ispitivanja </w:t>
      </w:r>
      <w:r w:rsidRPr="00F25CE6">
        <w:rPr>
          <w:rFonts w:asciiTheme="majorBidi" w:hAnsiTheme="majorBidi" w:cstheme="majorBidi"/>
          <w:i/>
          <w:szCs w:val="22"/>
        </w:rPr>
        <w:t xml:space="preserve">in vitro </w:t>
      </w:r>
      <w:r w:rsidRPr="00F25CE6">
        <w:rPr>
          <w:rFonts w:asciiTheme="majorBidi" w:hAnsiTheme="majorBidi" w:cstheme="majorBidi"/>
          <w:szCs w:val="22"/>
        </w:rPr>
        <w:t>pokazuju da postoji i potencijalni rizik od interakcije sa supstratima CYP2C8, kao što su glitazoni.</w:t>
      </w:r>
    </w:p>
    <w:p w14:paraId="202310C0" w14:textId="77777777" w:rsidR="00AF7ABC" w:rsidRPr="00F25CE6" w:rsidRDefault="00AF7ABC" w:rsidP="00F25CE6">
      <w:pPr>
        <w:pStyle w:val="BodyText"/>
        <w:widowControl/>
        <w:rPr>
          <w:rFonts w:asciiTheme="majorBidi" w:hAnsiTheme="majorBidi" w:cstheme="majorBidi"/>
          <w:szCs w:val="22"/>
        </w:rPr>
      </w:pPr>
    </w:p>
    <w:p w14:paraId="7C46637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Pedijatrijska populacija</w:t>
      </w:r>
    </w:p>
    <w:p w14:paraId="33621A7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Ispitivanja interakcija provedena su samo u odraslih.</w:t>
      </w:r>
    </w:p>
    <w:p w14:paraId="559EA325" w14:textId="77777777" w:rsidR="00AF7ABC" w:rsidRPr="00F25CE6" w:rsidRDefault="00AF7ABC" w:rsidP="00F25CE6">
      <w:pPr>
        <w:pStyle w:val="BodyText"/>
        <w:widowControl/>
        <w:rPr>
          <w:rFonts w:asciiTheme="majorBidi" w:hAnsiTheme="majorBidi" w:cstheme="majorBidi"/>
          <w:szCs w:val="22"/>
        </w:rPr>
      </w:pPr>
    </w:p>
    <w:p w14:paraId="41E5A0B4" w14:textId="77777777" w:rsidR="00AF7ABC" w:rsidRPr="00F25CE6" w:rsidRDefault="00422138" w:rsidP="00503528">
      <w:pPr>
        <w:pStyle w:val="Heading2"/>
      </w:pPr>
      <w:r w:rsidRPr="00F25CE6">
        <w:t>Plodnost, trudnoća i dojenje</w:t>
      </w:r>
    </w:p>
    <w:p w14:paraId="2152E033" w14:textId="77777777" w:rsidR="00AF7ABC" w:rsidRPr="00F25CE6" w:rsidRDefault="00AF7ABC" w:rsidP="00F25CE6">
      <w:pPr>
        <w:pStyle w:val="BodyText"/>
        <w:widowControl/>
        <w:rPr>
          <w:rFonts w:asciiTheme="majorBidi" w:hAnsiTheme="majorBidi" w:cstheme="majorBidi"/>
          <w:b/>
          <w:szCs w:val="22"/>
        </w:rPr>
      </w:pPr>
    </w:p>
    <w:p w14:paraId="036FD0F5" w14:textId="256D0FD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Žene u reproduktivnoj dobi</w:t>
      </w:r>
      <w:r w:rsidR="00C46291">
        <w:rPr>
          <w:rFonts w:asciiTheme="majorBidi" w:hAnsiTheme="majorBidi" w:cstheme="majorBidi"/>
          <w:szCs w:val="22"/>
          <w:u w:val="single"/>
        </w:rPr>
        <w:t xml:space="preserve"> </w:t>
      </w:r>
      <w:r w:rsidRPr="00F25CE6">
        <w:rPr>
          <w:rFonts w:asciiTheme="majorBidi" w:hAnsiTheme="majorBidi" w:cstheme="majorBidi"/>
          <w:szCs w:val="22"/>
          <w:u w:val="single"/>
        </w:rPr>
        <w:t>/</w:t>
      </w:r>
      <w:r w:rsidR="00C46291">
        <w:rPr>
          <w:rFonts w:asciiTheme="majorBidi" w:hAnsiTheme="majorBidi" w:cstheme="majorBidi"/>
          <w:szCs w:val="22"/>
          <w:u w:val="single"/>
        </w:rPr>
        <w:t xml:space="preserve"> </w:t>
      </w:r>
      <w:r w:rsidRPr="00F25CE6">
        <w:rPr>
          <w:rFonts w:asciiTheme="majorBidi" w:hAnsiTheme="majorBidi" w:cstheme="majorBidi"/>
          <w:szCs w:val="22"/>
          <w:u w:val="single"/>
        </w:rPr>
        <w:t>kontracepcija u muškaraca i žena</w:t>
      </w:r>
    </w:p>
    <w:p w14:paraId="73B004F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Muškarci i žene u reproduktivnoj dobi koji su spolno aktivni trebaju koristiti učinkovite metode kontracepcije tijekom liječenja.</w:t>
      </w:r>
    </w:p>
    <w:p w14:paraId="42BB8040" w14:textId="77777777" w:rsidR="00AF7ABC" w:rsidRPr="00F25CE6" w:rsidRDefault="00AF7ABC" w:rsidP="00F25CE6">
      <w:pPr>
        <w:pStyle w:val="BodyText"/>
        <w:widowControl/>
        <w:rPr>
          <w:rFonts w:asciiTheme="majorBidi" w:hAnsiTheme="majorBidi" w:cstheme="majorBidi"/>
          <w:szCs w:val="22"/>
        </w:rPr>
      </w:pPr>
    </w:p>
    <w:p w14:paraId="2E33EF4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Trudnoća</w:t>
      </w:r>
    </w:p>
    <w:p w14:paraId="196FD422" w14:textId="114EF05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Iskustva u ljudi ukazuju na sumnju da dasatinib uzrokuje kongenitalne malformacije uključujući oštećenje neuralne cijevi i štetan farmakološki učinak na fetus ako se primjenjuje tijekom trudnoće. Ispitivanja </w:t>
      </w:r>
      <w:r w:rsidR="00C46291">
        <w:rPr>
          <w:rFonts w:asciiTheme="majorBidi" w:hAnsiTheme="majorBidi" w:cstheme="majorBidi"/>
          <w:szCs w:val="22"/>
        </w:rPr>
        <w:t>na</w:t>
      </w:r>
      <w:r w:rsidRPr="00F25CE6">
        <w:rPr>
          <w:rFonts w:asciiTheme="majorBidi" w:hAnsiTheme="majorBidi" w:cstheme="majorBidi"/>
          <w:szCs w:val="22"/>
        </w:rPr>
        <w:t xml:space="preserve"> životinja</w:t>
      </w:r>
      <w:r w:rsidR="00C46291">
        <w:rPr>
          <w:rFonts w:asciiTheme="majorBidi" w:hAnsiTheme="majorBidi" w:cstheme="majorBidi"/>
          <w:szCs w:val="22"/>
        </w:rPr>
        <w:t>ma</w:t>
      </w:r>
      <w:r w:rsidRPr="00F25CE6">
        <w:rPr>
          <w:rFonts w:asciiTheme="majorBidi" w:hAnsiTheme="majorBidi" w:cstheme="majorBidi"/>
          <w:szCs w:val="22"/>
        </w:rPr>
        <w:t xml:space="preserve"> pokazala su reproduktivnu toksičnost (vidjeti dio 5.3).</w:t>
      </w:r>
    </w:p>
    <w:p w14:paraId="7229E58E" w14:textId="281B30B7" w:rsidR="00AF7ABC" w:rsidRPr="00F25CE6" w:rsidRDefault="005E1F46" w:rsidP="00F25CE6">
      <w:pPr>
        <w:pStyle w:val="BodyText"/>
        <w:widowControl/>
        <w:rPr>
          <w:rFonts w:asciiTheme="majorBidi" w:hAnsiTheme="majorBidi" w:cstheme="majorBidi"/>
          <w:szCs w:val="22"/>
        </w:rPr>
      </w:pPr>
      <w:r>
        <w:rPr>
          <w:rFonts w:asciiTheme="majorBidi" w:hAnsiTheme="majorBidi" w:cstheme="majorBidi"/>
          <w:szCs w:val="22"/>
        </w:rPr>
        <w:t>Dasatinib</w:t>
      </w:r>
      <w:r w:rsidR="00422138" w:rsidRPr="00F25CE6">
        <w:rPr>
          <w:rFonts w:asciiTheme="majorBidi" w:hAnsiTheme="majorBidi" w:cstheme="majorBidi"/>
          <w:szCs w:val="22"/>
        </w:rPr>
        <w:t xml:space="preserve"> se ne smije uzimati tijekom trudnoće osim ako kliničko stanje žene ne zahtijeva liječenje dasatinibom. U slučaju da se </w:t>
      </w:r>
      <w:r>
        <w:rPr>
          <w:rFonts w:asciiTheme="majorBidi" w:hAnsiTheme="majorBidi" w:cstheme="majorBidi"/>
          <w:szCs w:val="22"/>
        </w:rPr>
        <w:t>dasatinib</w:t>
      </w:r>
      <w:r w:rsidR="00416887" w:rsidRPr="00F25CE6">
        <w:rPr>
          <w:rFonts w:asciiTheme="majorBidi" w:hAnsiTheme="majorBidi" w:cstheme="majorBidi"/>
          <w:szCs w:val="22"/>
        </w:rPr>
        <w:t xml:space="preserve"> </w:t>
      </w:r>
      <w:r w:rsidR="00422138" w:rsidRPr="00F25CE6">
        <w:rPr>
          <w:rFonts w:asciiTheme="majorBidi" w:hAnsiTheme="majorBidi" w:cstheme="majorBidi"/>
          <w:szCs w:val="22"/>
        </w:rPr>
        <w:t>primjenjuje tijekom trudnoće, bolesnicu se mora informirati o potencijalnim rizicima za fetus.</w:t>
      </w:r>
    </w:p>
    <w:p w14:paraId="4C58642F" w14:textId="77777777" w:rsidR="00AF7ABC" w:rsidRPr="00F25CE6" w:rsidRDefault="00AF7ABC" w:rsidP="00F25CE6">
      <w:pPr>
        <w:pStyle w:val="BodyText"/>
        <w:widowControl/>
        <w:rPr>
          <w:rFonts w:asciiTheme="majorBidi" w:hAnsiTheme="majorBidi" w:cstheme="majorBidi"/>
          <w:szCs w:val="22"/>
        </w:rPr>
      </w:pPr>
    </w:p>
    <w:p w14:paraId="7608329E"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Dojenje</w:t>
      </w:r>
    </w:p>
    <w:p w14:paraId="6DC93FEF" w14:textId="1C668DED"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Informacije o izlučivanju dasatiniba u majčino mlijeko u ljudi ili životinja nedostatne su ili ograničene. Fizikalno-kemijski i dostupni farmakodinamski/toksikološki podaci ukazuju na to da se dasatinib u ljudi izlučuje u majčino mlijeko i ne može se isključiti rizik za dojenče.</w:t>
      </w:r>
      <w:r w:rsidR="002F5734">
        <w:rPr>
          <w:rFonts w:asciiTheme="majorBidi" w:hAnsiTheme="majorBidi" w:cstheme="majorBidi"/>
          <w:szCs w:val="22"/>
        </w:rPr>
        <w:t xml:space="preserve"> </w:t>
      </w:r>
      <w:r w:rsidR="00416887">
        <w:rPr>
          <w:rFonts w:asciiTheme="majorBidi" w:hAnsiTheme="majorBidi" w:cstheme="majorBidi"/>
          <w:szCs w:val="22"/>
        </w:rPr>
        <w:t xml:space="preserve">Dojenje treba prekinuti </w:t>
      </w:r>
      <w:r w:rsidR="00C46291">
        <w:rPr>
          <w:rFonts w:asciiTheme="majorBidi" w:hAnsiTheme="majorBidi" w:cstheme="majorBidi"/>
          <w:szCs w:val="22"/>
        </w:rPr>
        <w:t xml:space="preserve">za vrijeme </w:t>
      </w:r>
      <w:r w:rsidR="00416887">
        <w:rPr>
          <w:rFonts w:asciiTheme="majorBidi" w:hAnsiTheme="majorBidi" w:cstheme="majorBidi"/>
          <w:szCs w:val="22"/>
        </w:rPr>
        <w:t>liječenja lijekom Dasatinib Accord Healthcare</w:t>
      </w:r>
      <w:r w:rsidRPr="00F25CE6">
        <w:rPr>
          <w:rFonts w:asciiTheme="majorBidi" w:hAnsiTheme="majorBidi" w:cstheme="majorBidi"/>
          <w:szCs w:val="22"/>
        </w:rPr>
        <w:t>.</w:t>
      </w:r>
    </w:p>
    <w:p w14:paraId="5CA696E1" w14:textId="77777777" w:rsidR="00A15E8A" w:rsidRPr="00F25CE6" w:rsidRDefault="00A15E8A" w:rsidP="00F25CE6">
      <w:pPr>
        <w:widowControl/>
        <w:rPr>
          <w:rFonts w:asciiTheme="majorBidi" w:hAnsiTheme="majorBidi" w:cstheme="majorBidi"/>
        </w:rPr>
      </w:pPr>
    </w:p>
    <w:p w14:paraId="7DF714A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Plodnost</w:t>
      </w:r>
    </w:p>
    <w:p w14:paraId="0AE0E9A6" w14:textId="327C9D6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ispitivanjima na životinjama liječenje dasatinibom nije utjecalo na plodnost mužjaka ni ženki štakora (vidjeti dio 5.3). Liječnici i drugi zdravstveni radnici trebaju savjetovati muškarce odgovarajuće dobi o mogućim učincima </w:t>
      </w:r>
      <w:r w:rsidR="005E1F46">
        <w:rPr>
          <w:rFonts w:asciiTheme="majorBidi" w:hAnsiTheme="majorBidi" w:cstheme="majorBidi"/>
          <w:szCs w:val="22"/>
        </w:rPr>
        <w:t>dasatiniba</w:t>
      </w:r>
      <w:r w:rsidR="00760A2B" w:rsidRPr="00F25CE6">
        <w:rPr>
          <w:rFonts w:asciiTheme="majorBidi" w:hAnsiTheme="majorBidi" w:cstheme="majorBidi"/>
          <w:szCs w:val="22"/>
        </w:rPr>
        <w:t xml:space="preserve"> </w:t>
      </w:r>
      <w:r w:rsidRPr="00F25CE6">
        <w:rPr>
          <w:rFonts w:asciiTheme="majorBidi" w:hAnsiTheme="majorBidi" w:cstheme="majorBidi"/>
          <w:szCs w:val="22"/>
        </w:rPr>
        <w:t>na plodnost. To savjetovanje može uključivati razmatranje mogućnosti pohranjivanja sperme.</w:t>
      </w:r>
    </w:p>
    <w:p w14:paraId="71702CCA" w14:textId="77777777" w:rsidR="00AF7ABC" w:rsidRPr="00F25CE6" w:rsidRDefault="00AF7ABC" w:rsidP="00F25CE6">
      <w:pPr>
        <w:pStyle w:val="BodyText"/>
        <w:widowControl/>
        <w:rPr>
          <w:rFonts w:asciiTheme="majorBidi" w:hAnsiTheme="majorBidi" w:cstheme="majorBidi"/>
          <w:szCs w:val="22"/>
        </w:rPr>
      </w:pPr>
    </w:p>
    <w:p w14:paraId="77733704" w14:textId="77777777" w:rsidR="00AF7ABC" w:rsidRPr="00F25CE6" w:rsidRDefault="00422138" w:rsidP="00503528">
      <w:pPr>
        <w:pStyle w:val="Heading2"/>
      </w:pPr>
      <w:r w:rsidRPr="00F25CE6">
        <w:t>Utjecaj na sposobnost upravljanja vozilima i rada sa strojevima</w:t>
      </w:r>
    </w:p>
    <w:p w14:paraId="1A129B8D" w14:textId="77777777" w:rsidR="00AF7ABC" w:rsidRPr="00F25CE6" w:rsidRDefault="00AF7ABC" w:rsidP="00F25CE6">
      <w:pPr>
        <w:pStyle w:val="BodyText"/>
        <w:widowControl/>
        <w:rPr>
          <w:rFonts w:asciiTheme="majorBidi" w:hAnsiTheme="majorBidi" w:cstheme="majorBidi"/>
          <w:b/>
          <w:szCs w:val="22"/>
        </w:rPr>
      </w:pPr>
    </w:p>
    <w:p w14:paraId="56E636E1" w14:textId="08327341"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10487B">
        <w:rPr>
          <w:rFonts w:asciiTheme="majorBidi" w:hAnsiTheme="majorBidi" w:cstheme="majorBidi"/>
          <w:szCs w:val="22"/>
        </w:rPr>
        <w:t xml:space="preserve">Accord Healthcare </w:t>
      </w:r>
      <w:r w:rsidR="00422138" w:rsidRPr="00F25CE6">
        <w:rPr>
          <w:rFonts w:asciiTheme="majorBidi" w:hAnsiTheme="majorBidi" w:cstheme="majorBidi"/>
          <w:szCs w:val="22"/>
        </w:rPr>
        <w:t>malo utječe na sposobnost upravljanja vozilima i rada sa strojevima. Bolesnike se mora upozoriti na nuspojave poput omaglice ili zamagljenog vida, koje se mogu javiti tijekom liječenja dasatinibom. Stoga se mora preporučiti oprez pri upravljanju vozilima i radu na strojevima.</w:t>
      </w:r>
    </w:p>
    <w:p w14:paraId="58D43A97" w14:textId="77777777" w:rsidR="00AF7ABC" w:rsidRPr="00F25CE6" w:rsidRDefault="00AF7ABC" w:rsidP="00F25CE6">
      <w:pPr>
        <w:pStyle w:val="BodyText"/>
        <w:widowControl/>
        <w:rPr>
          <w:rFonts w:asciiTheme="majorBidi" w:hAnsiTheme="majorBidi" w:cstheme="majorBidi"/>
          <w:szCs w:val="22"/>
        </w:rPr>
      </w:pPr>
    </w:p>
    <w:p w14:paraId="60D89F6D" w14:textId="77777777" w:rsidR="00AF7ABC" w:rsidRPr="00F25CE6" w:rsidRDefault="00422138" w:rsidP="00503528">
      <w:pPr>
        <w:pStyle w:val="Heading2"/>
      </w:pPr>
      <w:r w:rsidRPr="00F25CE6">
        <w:t>Nuspojave</w:t>
      </w:r>
    </w:p>
    <w:p w14:paraId="7168FA00" w14:textId="77777777" w:rsidR="00AF7ABC" w:rsidRPr="00F25CE6" w:rsidRDefault="00AF7ABC" w:rsidP="00F25CE6">
      <w:pPr>
        <w:pStyle w:val="BodyText"/>
        <w:widowControl/>
        <w:rPr>
          <w:rFonts w:asciiTheme="majorBidi" w:hAnsiTheme="majorBidi" w:cstheme="majorBidi"/>
          <w:b/>
          <w:szCs w:val="22"/>
        </w:rPr>
      </w:pPr>
    </w:p>
    <w:p w14:paraId="634BD74C"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Sažetak sigurnosnog profila</w:t>
      </w:r>
    </w:p>
    <w:p w14:paraId="6F8F5DD7" w14:textId="4C3436E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Podaci navedeni u nastavku odražavaju izloženost </w:t>
      </w:r>
      <w:r w:rsidR="00FC0C60">
        <w:rPr>
          <w:rFonts w:asciiTheme="majorBidi" w:hAnsiTheme="majorBidi" w:cstheme="majorBidi"/>
          <w:szCs w:val="22"/>
        </w:rPr>
        <w:t xml:space="preserve">dasatinibu </w:t>
      </w:r>
      <w:r w:rsidRPr="00F25CE6">
        <w:rPr>
          <w:rFonts w:asciiTheme="majorBidi" w:hAnsiTheme="majorBidi" w:cstheme="majorBidi"/>
          <w:szCs w:val="22"/>
        </w:rPr>
        <w:t>u monoterapiji u svim dozama koje su se ispitivale u kliničkim ispitivanjima (N</w:t>
      </w:r>
      <w:r w:rsidR="00456E0C">
        <w:rPr>
          <w:rFonts w:asciiTheme="majorBidi" w:hAnsiTheme="majorBidi" w:cstheme="majorBidi"/>
          <w:szCs w:val="22"/>
        </w:rPr>
        <w:t> </w:t>
      </w:r>
      <w:r w:rsidRPr="00F25CE6">
        <w:rPr>
          <w:rFonts w:asciiTheme="majorBidi" w:hAnsiTheme="majorBidi" w:cstheme="majorBidi"/>
          <w:szCs w:val="22"/>
        </w:rPr>
        <w:t>=</w:t>
      </w:r>
      <w:r w:rsidR="00456E0C">
        <w:rPr>
          <w:rFonts w:asciiTheme="majorBidi" w:hAnsiTheme="majorBidi" w:cstheme="majorBidi"/>
          <w:szCs w:val="22"/>
        </w:rPr>
        <w:t> </w:t>
      </w:r>
      <w:r w:rsidRPr="00F25CE6">
        <w:rPr>
          <w:rFonts w:asciiTheme="majorBidi" w:hAnsiTheme="majorBidi" w:cstheme="majorBidi"/>
          <w:szCs w:val="22"/>
        </w:rPr>
        <w:t>2900), a obuhvaćaju 324 odrasla bolesnika s novodijagnosticiranim KML</w:t>
      </w:r>
      <w:r w:rsidR="00BE5BF4">
        <w:rPr>
          <w:rFonts w:asciiTheme="majorBidi" w:hAnsiTheme="majorBidi" w:cstheme="majorBidi"/>
          <w:szCs w:val="22"/>
        </w:rPr>
        <w:t>-om</w:t>
      </w:r>
      <w:r w:rsidRPr="00F25CE6">
        <w:rPr>
          <w:rFonts w:asciiTheme="majorBidi" w:hAnsiTheme="majorBidi" w:cstheme="majorBidi"/>
          <w:szCs w:val="22"/>
        </w:rPr>
        <w:t xml:space="preserve"> u kroničnoj fazi, 2388 odraslih bolesnika s Ph+ ALL</w:t>
      </w:r>
      <w:r w:rsidR="00BE5BF4">
        <w:rPr>
          <w:rFonts w:asciiTheme="majorBidi" w:hAnsiTheme="majorBidi" w:cstheme="majorBidi"/>
          <w:szCs w:val="22"/>
        </w:rPr>
        <w:t>-om</w:t>
      </w:r>
      <w:r w:rsidRPr="00F25CE6">
        <w:rPr>
          <w:rFonts w:asciiTheme="majorBidi" w:hAnsiTheme="majorBidi" w:cstheme="majorBidi"/>
          <w:szCs w:val="22"/>
        </w:rPr>
        <w:t xml:space="preserve"> ili KML</w:t>
      </w:r>
      <w:r w:rsidR="00BE5BF4">
        <w:rPr>
          <w:rFonts w:asciiTheme="majorBidi" w:hAnsiTheme="majorBidi" w:cstheme="majorBidi"/>
          <w:szCs w:val="22"/>
        </w:rPr>
        <w:t>-om</w:t>
      </w:r>
      <w:r w:rsidRPr="00F25CE6">
        <w:rPr>
          <w:rFonts w:asciiTheme="majorBidi" w:hAnsiTheme="majorBidi" w:cstheme="majorBidi"/>
          <w:szCs w:val="22"/>
        </w:rPr>
        <w:t xml:space="preserve"> u kroničnoj ili uznapredovaloj fazi koji su bili otporni na imatinib ili ga nisu podnosili te 188 pedijatrijskih bolesnika.</w:t>
      </w:r>
    </w:p>
    <w:p w14:paraId="6A0FFC23" w14:textId="77777777" w:rsidR="00AF7ABC" w:rsidRPr="00F25CE6" w:rsidRDefault="00AF7ABC" w:rsidP="00F25CE6">
      <w:pPr>
        <w:pStyle w:val="BodyText"/>
        <w:widowControl/>
        <w:rPr>
          <w:rFonts w:asciiTheme="majorBidi" w:hAnsiTheme="majorBidi" w:cstheme="majorBidi"/>
          <w:szCs w:val="22"/>
        </w:rPr>
      </w:pPr>
    </w:p>
    <w:p w14:paraId="0248AE73" w14:textId="0CB6F245" w:rsidR="00AF7ABC" w:rsidRPr="00F25CE6" w:rsidRDefault="00422138" w:rsidP="00503528">
      <w:pPr>
        <w:pStyle w:val="BodyText"/>
        <w:widowControl/>
        <w:rPr>
          <w:rFonts w:asciiTheme="majorBidi" w:hAnsiTheme="majorBidi" w:cstheme="majorBidi"/>
          <w:szCs w:val="22"/>
        </w:rPr>
      </w:pPr>
      <w:r w:rsidRPr="00F25CE6">
        <w:rPr>
          <w:rFonts w:asciiTheme="majorBidi" w:hAnsiTheme="majorBidi" w:cstheme="majorBidi"/>
          <w:szCs w:val="22"/>
        </w:rPr>
        <w:t>U 2712 odraslih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KML</w:t>
      </w:r>
      <w:r w:rsidR="00BE5BF4">
        <w:rPr>
          <w:rFonts w:asciiTheme="majorBidi" w:hAnsiTheme="majorBidi" w:cstheme="majorBidi"/>
          <w:szCs w:val="22"/>
        </w:rPr>
        <w:t>-om</w:t>
      </w:r>
      <w:r w:rsidRPr="00F25CE6">
        <w:rPr>
          <w:rFonts w:asciiTheme="majorBidi" w:hAnsiTheme="majorBidi" w:cstheme="majorBidi"/>
          <w:szCs w:val="22"/>
        </w:rPr>
        <w:t xml:space="preserve"> u uznapredovaloj fazi ili Ph+ ALL</w:t>
      </w:r>
      <w:r w:rsidR="00BE5BF4">
        <w:rPr>
          <w:rFonts w:asciiTheme="majorBidi" w:hAnsiTheme="majorBidi" w:cstheme="majorBidi"/>
          <w:szCs w:val="22"/>
        </w:rPr>
        <w:t>-om</w:t>
      </w:r>
      <w:r w:rsidRPr="00F25CE6">
        <w:rPr>
          <w:rFonts w:asciiTheme="majorBidi" w:hAnsiTheme="majorBidi" w:cstheme="majorBidi"/>
          <w:szCs w:val="22"/>
        </w:rPr>
        <w:t>, medijan trajanja liječenja iznosio je 19,2 mjeseca (raspon 0</w:t>
      </w:r>
      <w:r w:rsidR="00456E0C" w:rsidRPr="009474C0">
        <w:rPr>
          <w:szCs w:val="22"/>
        </w:rPr>
        <w:t> – </w:t>
      </w:r>
      <w:r w:rsidRPr="00F25CE6">
        <w:rPr>
          <w:rFonts w:asciiTheme="majorBidi" w:hAnsiTheme="majorBidi" w:cstheme="majorBidi"/>
          <w:szCs w:val="22"/>
        </w:rPr>
        <w:t>93,2 mjeseca). U randomiziranom ispitivanju provedenom u bolesnika s novodijagnosticiranim KML</w:t>
      </w:r>
      <w:r w:rsidR="00BE5BF4">
        <w:rPr>
          <w:rFonts w:asciiTheme="majorBidi" w:hAnsiTheme="majorBidi" w:cstheme="majorBidi"/>
          <w:szCs w:val="22"/>
        </w:rPr>
        <w:t>-om</w:t>
      </w:r>
      <w:r w:rsidRPr="00F25CE6">
        <w:rPr>
          <w:rFonts w:asciiTheme="majorBidi" w:hAnsiTheme="majorBidi" w:cstheme="majorBidi"/>
          <w:szCs w:val="22"/>
        </w:rPr>
        <w:t xml:space="preserve"> u kroničnoj fazi, medijan trajanja liječenja iznosio je približno 60 mjeseci. Medijan trajanja liječenja u 1618 odraslih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iznosio je 29 mjeseci (raspon 0</w:t>
      </w:r>
      <w:r w:rsidR="00BE5BF4" w:rsidRPr="009474C0">
        <w:rPr>
          <w:szCs w:val="22"/>
        </w:rPr>
        <w:t> – </w:t>
      </w:r>
      <w:r w:rsidRPr="00F25CE6">
        <w:rPr>
          <w:rFonts w:asciiTheme="majorBidi" w:hAnsiTheme="majorBidi" w:cstheme="majorBidi"/>
          <w:szCs w:val="22"/>
        </w:rPr>
        <w:t>92,9 mjeseci). Medijan trajanja liječenja u 1094 odrasla bolesnika s KML</w:t>
      </w:r>
      <w:r w:rsidR="00BE5BF4">
        <w:rPr>
          <w:rFonts w:asciiTheme="majorBidi" w:hAnsiTheme="majorBidi" w:cstheme="majorBidi"/>
          <w:szCs w:val="22"/>
        </w:rPr>
        <w:t>-om</w:t>
      </w:r>
      <w:r w:rsidRPr="00F25CE6">
        <w:rPr>
          <w:rFonts w:asciiTheme="majorBidi" w:hAnsiTheme="majorBidi" w:cstheme="majorBidi"/>
          <w:szCs w:val="22"/>
        </w:rPr>
        <w:t xml:space="preserve"> </w:t>
      </w:r>
      <w:r w:rsidR="006527F8">
        <w:rPr>
          <w:rFonts w:asciiTheme="majorBidi" w:hAnsiTheme="majorBidi" w:cstheme="majorBidi"/>
          <w:szCs w:val="22"/>
        </w:rPr>
        <w:t xml:space="preserve">u uznapredovaloj fazi </w:t>
      </w:r>
      <w:r w:rsidRPr="00F25CE6">
        <w:rPr>
          <w:rFonts w:asciiTheme="majorBidi" w:hAnsiTheme="majorBidi" w:cstheme="majorBidi"/>
          <w:szCs w:val="22"/>
        </w:rPr>
        <w:t>ili Ph+ ALL</w:t>
      </w:r>
      <w:r w:rsidR="00BE5BF4">
        <w:rPr>
          <w:rFonts w:asciiTheme="majorBidi" w:hAnsiTheme="majorBidi" w:cstheme="majorBidi"/>
          <w:szCs w:val="22"/>
        </w:rPr>
        <w:t>-om</w:t>
      </w:r>
      <w:r w:rsidRPr="00F25CE6">
        <w:rPr>
          <w:rFonts w:asciiTheme="majorBidi" w:hAnsiTheme="majorBidi" w:cstheme="majorBidi"/>
          <w:szCs w:val="22"/>
        </w:rPr>
        <w:t xml:space="preserve"> iznosio je 6,2 mjeseca (raspon 0</w:t>
      </w:r>
      <w:r w:rsidR="00BE5BF4" w:rsidRPr="009474C0">
        <w:rPr>
          <w:szCs w:val="22"/>
        </w:rPr>
        <w:t> – </w:t>
      </w:r>
      <w:r w:rsidRPr="00F25CE6">
        <w:rPr>
          <w:rFonts w:asciiTheme="majorBidi" w:hAnsiTheme="majorBidi" w:cstheme="majorBidi"/>
          <w:szCs w:val="22"/>
        </w:rPr>
        <w:t>93,2 mjeseca). Medijan trajanja liječenja među 188 bolesnika u pedijatrijskim ispitivanjima iznosio je 26,3 mjeseca (raspon 0</w:t>
      </w:r>
      <w:r w:rsidR="00BE5BF4" w:rsidRPr="009474C0">
        <w:rPr>
          <w:szCs w:val="22"/>
        </w:rPr>
        <w:t> – </w:t>
      </w:r>
      <w:r w:rsidRPr="00F25CE6">
        <w:rPr>
          <w:rFonts w:asciiTheme="majorBidi" w:hAnsiTheme="majorBidi" w:cstheme="majorBidi"/>
          <w:szCs w:val="22"/>
        </w:rPr>
        <w:t>99,6 mjeseci). U podskupini od 130 pedijatrijskih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liječenih </w:t>
      </w:r>
      <w:r w:rsidR="00FC0C60">
        <w:rPr>
          <w:rFonts w:asciiTheme="majorBidi" w:hAnsiTheme="majorBidi" w:cstheme="majorBidi"/>
          <w:szCs w:val="22"/>
        </w:rPr>
        <w:t>dasatinibom</w:t>
      </w:r>
      <w:r w:rsidRPr="00F25CE6">
        <w:rPr>
          <w:rFonts w:asciiTheme="majorBidi" w:hAnsiTheme="majorBidi" w:cstheme="majorBidi"/>
          <w:szCs w:val="22"/>
        </w:rPr>
        <w:t>, medijan trajanja liječenja iznosio je 42,3 mjeseca (raspon</w:t>
      </w:r>
      <w:r w:rsidR="00503528">
        <w:rPr>
          <w:rFonts w:asciiTheme="majorBidi" w:hAnsiTheme="majorBidi" w:cstheme="majorBidi"/>
          <w:szCs w:val="22"/>
        </w:rPr>
        <w:t xml:space="preserve"> </w:t>
      </w:r>
      <w:r w:rsidRPr="00F25CE6">
        <w:rPr>
          <w:rFonts w:asciiTheme="majorBidi" w:hAnsiTheme="majorBidi" w:cstheme="majorBidi"/>
          <w:szCs w:val="22"/>
        </w:rPr>
        <w:t>0,1</w:t>
      </w:r>
      <w:r w:rsidR="00BE5BF4" w:rsidRPr="009474C0">
        <w:rPr>
          <w:szCs w:val="22"/>
        </w:rPr>
        <w:t> – </w:t>
      </w:r>
      <w:r w:rsidRPr="00F25CE6">
        <w:rPr>
          <w:rFonts w:asciiTheme="majorBidi" w:hAnsiTheme="majorBidi" w:cstheme="majorBidi"/>
          <w:szCs w:val="22"/>
        </w:rPr>
        <w:t>99,6 mjeseci).</w:t>
      </w:r>
    </w:p>
    <w:p w14:paraId="39591C30" w14:textId="77777777" w:rsidR="00AF7ABC" w:rsidRPr="00F25CE6" w:rsidRDefault="00AF7ABC" w:rsidP="00F25CE6">
      <w:pPr>
        <w:pStyle w:val="BodyText"/>
        <w:widowControl/>
        <w:rPr>
          <w:rFonts w:asciiTheme="majorBidi" w:hAnsiTheme="majorBidi" w:cstheme="majorBidi"/>
          <w:szCs w:val="22"/>
        </w:rPr>
      </w:pPr>
    </w:p>
    <w:p w14:paraId="2A9B2FF0" w14:textId="2188FF8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Većina bolesnika koji su primali </w:t>
      </w:r>
      <w:r w:rsidR="00FC0C60">
        <w:rPr>
          <w:rFonts w:asciiTheme="majorBidi" w:hAnsiTheme="majorBidi" w:cstheme="majorBidi"/>
          <w:szCs w:val="22"/>
        </w:rPr>
        <w:t>dasatinib</w:t>
      </w:r>
      <w:r w:rsidRPr="00F25CE6">
        <w:rPr>
          <w:rFonts w:asciiTheme="majorBidi" w:hAnsiTheme="majorBidi" w:cstheme="majorBidi"/>
          <w:szCs w:val="22"/>
        </w:rPr>
        <w:t xml:space="preserve"> u nekom je trenutku tijekom liječenja razvila nuspojave. U cjelokupnoj populaciji od 2712 odraslih ispitanika liječenih </w:t>
      </w:r>
      <w:r w:rsidR="00FC0C60">
        <w:rPr>
          <w:rFonts w:asciiTheme="majorBidi" w:hAnsiTheme="majorBidi" w:cstheme="majorBidi"/>
          <w:szCs w:val="22"/>
        </w:rPr>
        <w:t>dasatinibom</w:t>
      </w:r>
      <w:r w:rsidRPr="00F25CE6">
        <w:rPr>
          <w:rFonts w:asciiTheme="majorBidi" w:hAnsiTheme="majorBidi" w:cstheme="majorBidi"/>
          <w:szCs w:val="22"/>
        </w:rPr>
        <w:t>, u njih 520 (19%) nastupile su nuspojave koje su dovele do prekida liječenja.</w:t>
      </w:r>
    </w:p>
    <w:p w14:paraId="1E8AD425" w14:textId="77777777" w:rsidR="00AF7ABC" w:rsidRPr="00F25CE6" w:rsidRDefault="00AF7ABC" w:rsidP="00F25CE6">
      <w:pPr>
        <w:pStyle w:val="BodyText"/>
        <w:widowControl/>
        <w:rPr>
          <w:rFonts w:asciiTheme="majorBidi" w:hAnsiTheme="majorBidi" w:cstheme="majorBidi"/>
          <w:szCs w:val="22"/>
        </w:rPr>
      </w:pPr>
    </w:p>
    <w:p w14:paraId="4EF94DA2" w14:textId="35039BB3" w:rsidR="00AF7ABC" w:rsidRPr="00F25CE6" w:rsidRDefault="00422138" w:rsidP="006B5AE9">
      <w:pPr>
        <w:pStyle w:val="BodyText"/>
        <w:rPr>
          <w:rFonts w:asciiTheme="majorBidi" w:hAnsiTheme="majorBidi" w:cstheme="majorBidi"/>
          <w:szCs w:val="22"/>
        </w:rPr>
      </w:pPr>
      <w:r w:rsidRPr="00F25CE6">
        <w:rPr>
          <w:rFonts w:asciiTheme="majorBidi" w:hAnsiTheme="majorBidi" w:cstheme="majorBidi"/>
          <w:szCs w:val="22"/>
        </w:rPr>
        <w:t xml:space="preserve">Cjelokupan sigurnosni profil </w:t>
      </w:r>
      <w:r w:rsidR="00FC0C60">
        <w:rPr>
          <w:rFonts w:asciiTheme="majorBidi" w:hAnsiTheme="majorBidi" w:cstheme="majorBidi"/>
          <w:szCs w:val="22"/>
        </w:rPr>
        <w:t>dasatiniba</w:t>
      </w:r>
      <w:r w:rsidRPr="00F25CE6">
        <w:rPr>
          <w:rFonts w:asciiTheme="majorBidi" w:hAnsiTheme="majorBidi" w:cstheme="majorBidi"/>
          <w:szCs w:val="22"/>
        </w:rPr>
        <w:t xml:space="preserve"> u pedijatrijskoj populaciji s Ph+ KML</w:t>
      </w:r>
      <w:r w:rsidR="00BE5BF4">
        <w:rPr>
          <w:rFonts w:asciiTheme="majorBidi" w:hAnsiTheme="majorBidi" w:cstheme="majorBidi"/>
          <w:szCs w:val="22"/>
        </w:rPr>
        <w:t>-om</w:t>
      </w:r>
      <w:r w:rsidRPr="00F25CE6">
        <w:rPr>
          <w:rFonts w:asciiTheme="majorBidi" w:hAnsiTheme="majorBidi" w:cstheme="majorBidi"/>
          <w:szCs w:val="22"/>
        </w:rPr>
        <w:t xml:space="preserve"> u kroničnoj fazi bio je sličan onome u odrasloj populaciji, neovisno o formulaciji, s time da u pedijatrijskih bolesnika nisu prijavljeni slučajevi perikardijalnog izljeva, pleuralnog izljeva, plućnog edema ni plućne hipertenzije. Od 130 pedijatrijskih ispitanika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liječenih </w:t>
      </w:r>
      <w:r w:rsidR="00FC0C60">
        <w:rPr>
          <w:rFonts w:asciiTheme="majorBidi" w:hAnsiTheme="majorBidi" w:cstheme="majorBidi"/>
          <w:szCs w:val="22"/>
        </w:rPr>
        <w:t>dasatinibom</w:t>
      </w:r>
      <w:r w:rsidRPr="00F25CE6">
        <w:rPr>
          <w:rFonts w:asciiTheme="majorBidi" w:hAnsiTheme="majorBidi" w:cstheme="majorBidi"/>
          <w:szCs w:val="22"/>
        </w:rPr>
        <w:t>, u 2 (1,5%) bolesnika javile su se nuspojave koje su dovele do prekida liječenja.</w:t>
      </w:r>
    </w:p>
    <w:p w14:paraId="4D24108D" w14:textId="77777777" w:rsidR="00AF7ABC" w:rsidRPr="00F25CE6" w:rsidRDefault="00AF7ABC" w:rsidP="00F25CE6">
      <w:pPr>
        <w:pStyle w:val="BodyText"/>
        <w:widowControl/>
        <w:rPr>
          <w:rFonts w:asciiTheme="majorBidi" w:hAnsiTheme="majorBidi" w:cstheme="majorBidi"/>
          <w:szCs w:val="22"/>
        </w:rPr>
      </w:pPr>
    </w:p>
    <w:p w14:paraId="7B9BBCB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Tablični popis nuspojava</w:t>
      </w:r>
    </w:p>
    <w:p w14:paraId="20A4EF30" w14:textId="02918F5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Sljedeće su nuspojave, osim promjena u laboratorijskim nalazima, bile prijavljene u bolesnika liječenih </w:t>
      </w:r>
      <w:r w:rsidR="00FC0C60">
        <w:rPr>
          <w:rFonts w:asciiTheme="majorBidi" w:hAnsiTheme="majorBidi" w:cstheme="majorBidi"/>
          <w:szCs w:val="22"/>
        </w:rPr>
        <w:t>dasatinibom</w:t>
      </w:r>
      <w:r w:rsidRPr="00F25CE6">
        <w:rPr>
          <w:rFonts w:asciiTheme="majorBidi" w:hAnsiTheme="majorBidi" w:cstheme="majorBidi"/>
          <w:szCs w:val="22"/>
        </w:rPr>
        <w:t xml:space="preserve"> kao monoterapijom u kliničkim ispitivanjima te nakon stavljanja lijeka u promet (Tablica 5). Nuspojave su prikazane prema klasifikaciji organskih sustava i učestalosti.</w:t>
      </w:r>
    </w:p>
    <w:p w14:paraId="7278CB64" w14:textId="3B6F14A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Učestalost se definira na sljedeći način: vrlo često (≥1/10); često (≥1/100 i &lt;1/10); manje često (≥1/1000 i &lt;1/100); rijetko (≥1/10 000 i &lt;1/1000); nepoznato (ne može se procijeniti iz dostupnih podataka nakon stavljanja lijeka u promet).</w:t>
      </w:r>
    </w:p>
    <w:p w14:paraId="1F1FBC0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Unutar svake skupine učestalosti nuspojave su prikazane u padajućem nizu prema ozbiljnosti.</w:t>
      </w:r>
    </w:p>
    <w:p w14:paraId="1F7E4153" w14:textId="77777777" w:rsidR="00AF7ABC" w:rsidRPr="00F25CE6" w:rsidRDefault="00AF7ABC" w:rsidP="00F25CE6">
      <w:pPr>
        <w:pStyle w:val="BodyText"/>
        <w:widowControl/>
        <w:rPr>
          <w:rFonts w:asciiTheme="majorBidi" w:hAnsiTheme="majorBidi" w:cstheme="majorBidi"/>
          <w:szCs w:val="22"/>
        </w:rPr>
      </w:pPr>
    </w:p>
    <w:p w14:paraId="21092A76" w14:textId="77777777" w:rsidR="00AF7ABC" w:rsidRPr="00B83ECB" w:rsidRDefault="00422138" w:rsidP="00612D2B">
      <w:pPr>
        <w:ind w:left="1134" w:hanging="1134"/>
      </w:pPr>
      <w:r w:rsidRPr="00612D2B">
        <w:rPr>
          <w:b/>
        </w:rPr>
        <w:t>Tablica 5:</w:t>
      </w:r>
      <w:r w:rsidR="00503528" w:rsidRPr="00612D2B">
        <w:rPr>
          <w:b/>
        </w:rPr>
        <w:tab/>
      </w:r>
      <w:r w:rsidRPr="00612D2B">
        <w:rPr>
          <w:b/>
        </w:rPr>
        <w:t>Tablični sažetak nuspojava</w:t>
      </w:r>
    </w:p>
    <w:p w14:paraId="77AEA4B7" w14:textId="77777777" w:rsidR="00AF7ABC" w:rsidRPr="00F25CE6" w:rsidRDefault="00AF7ABC" w:rsidP="00F25CE6">
      <w:pPr>
        <w:pStyle w:val="BodyText"/>
        <w:widowControl/>
        <w:rPr>
          <w:rFonts w:asciiTheme="majorBidi" w:hAnsiTheme="majorBidi" w:cstheme="majorBidi"/>
          <w:b/>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550"/>
        <w:gridCol w:w="7348"/>
      </w:tblGrid>
      <w:tr w:rsidR="00AF7ABC" w:rsidRPr="00F25CE6" w14:paraId="3A509F7F" w14:textId="77777777" w:rsidTr="00503528">
        <w:trPr>
          <w:trHeight w:val="20"/>
        </w:trPr>
        <w:tc>
          <w:tcPr>
            <w:tcW w:w="8898" w:type="dxa"/>
            <w:gridSpan w:val="2"/>
          </w:tcPr>
          <w:p w14:paraId="01F1F500"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Infekcije i infestacije</w:t>
            </w:r>
          </w:p>
        </w:tc>
      </w:tr>
      <w:tr w:rsidR="00AF7ABC" w:rsidRPr="00F25CE6" w14:paraId="6748D181" w14:textId="77777777" w:rsidTr="00503528">
        <w:trPr>
          <w:trHeight w:val="20"/>
        </w:trPr>
        <w:tc>
          <w:tcPr>
            <w:tcW w:w="1550" w:type="dxa"/>
          </w:tcPr>
          <w:p w14:paraId="4203A23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2072984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infekcije (uključujući bakterijske, virusne, gljivične, nespecificirane)</w:t>
            </w:r>
          </w:p>
        </w:tc>
      </w:tr>
      <w:tr w:rsidR="00AF7ABC" w:rsidRPr="00F25CE6" w14:paraId="3FE9E345" w14:textId="77777777" w:rsidTr="00A66F1D">
        <w:trPr>
          <w:trHeight w:val="941"/>
        </w:trPr>
        <w:tc>
          <w:tcPr>
            <w:tcW w:w="1550" w:type="dxa"/>
          </w:tcPr>
          <w:p w14:paraId="6F9A2969"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0833A266" w14:textId="243E92E6"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upala pluća (uključujući bakterijsku, virusnu i gljivičnu), infekcije/upale gornjih dišnih putova, infekcija herpes virusom (uključujući citomegalovirus - CMV),</w:t>
            </w:r>
            <w:r w:rsidR="00AE78FC" w:rsidRPr="00F25CE6">
              <w:rPr>
                <w:rFonts w:asciiTheme="majorBidi" w:hAnsiTheme="majorBidi" w:cstheme="majorBidi"/>
              </w:rPr>
              <w:t xml:space="preserve"> infektivni enterokolitis, sepsa (uključujući manje česte slučajeve sa smrtnim ishodima)</w:t>
            </w:r>
          </w:p>
        </w:tc>
      </w:tr>
      <w:tr w:rsidR="00AF7ABC" w:rsidRPr="00F25CE6" w14:paraId="786715C8" w14:textId="77777777" w:rsidTr="00503528">
        <w:trPr>
          <w:trHeight w:val="20"/>
        </w:trPr>
        <w:tc>
          <w:tcPr>
            <w:tcW w:w="1550" w:type="dxa"/>
          </w:tcPr>
          <w:p w14:paraId="1F5C3076"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2EBBDF02"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ponovna aktivacija hepatitisa B</w:t>
            </w:r>
          </w:p>
        </w:tc>
      </w:tr>
      <w:tr w:rsidR="00AF7ABC" w:rsidRPr="00F25CE6" w14:paraId="281609BD" w14:textId="77777777" w:rsidTr="00503528">
        <w:trPr>
          <w:trHeight w:val="20"/>
        </w:trPr>
        <w:tc>
          <w:tcPr>
            <w:tcW w:w="8898" w:type="dxa"/>
            <w:gridSpan w:val="2"/>
          </w:tcPr>
          <w:p w14:paraId="25BB937E"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krvi i limfnog sustava</w:t>
            </w:r>
          </w:p>
        </w:tc>
      </w:tr>
      <w:tr w:rsidR="00AF7ABC" w:rsidRPr="00F25CE6" w14:paraId="06158D6D" w14:textId="77777777" w:rsidTr="00503528">
        <w:trPr>
          <w:trHeight w:val="20"/>
        </w:trPr>
        <w:tc>
          <w:tcPr>
            <w:tcW w:w="1550" w:type="dxa"/>
          </w:tcPr>
          <w:p w14:paraId="70805DA4"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07954F72"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mijelosupresija (uključujući anemiju, neutropeniju, trombocitopeniju)</w:t>
            </w:r>
          </w:p>
        </w:tc>
      </w:tr>
      <w:tr w:rsidR="00AF7ABC" w:rsidRPr="00F25CE6" w14:paraId="0E101681" w14:textId="77777777" w:rsidTr="00503528">
        <w:trPr>
          <w:trHeight w:val="20"/>
        </w:trPr>
        <w:tc>
          <w:tcPr>
            <w:tcW w:w="1550" w:type="dxa"/>
          </w:tcPr>
          <w:p w14:paraId="03DF4D3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28A2F14E"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febrilna neutropenija</w:t>
            </w:r>
          </w:p>
        </w:tc>
      </w:tr>
      <w:tr w:rsidR="00AF7ABC" w:rsidRPr="00F25CE6" w14:paraId="470105A7" w14:textId="77777777" w:rsidTr="00503528">
        <w:trPr>
          <w:trHeight w:val="20"/>
        </w:trPr>
        <w:tc>
          <w:tcPr>
            <w:tcW w:w="1550" w:type="dxa"/>
          </w:tcPr>
          <w:p w14:paraId="1A3C0C3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0CAC3F31"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limfadenopatija, limfopenija</w:t>
            </w:r>
          </w:p>
        </w:tc>
      </w:tr>
      <w:tr w:rsidR="00AF7ABC" w:rsidRPr="00F25CE6" w14:paraId="30E01A40" w14:textId="77777777" w:rsidTr="00503528">
        <w:trPr>
          <w:trHeight w:val="20"/>
        </w:trPr>
        <w:tc>
          <w:tcPr>
            <w:tcW w:w="1550" w:type="dxa"/>
          </w:tcPr>
          <w:p w14:paraId="0D42C31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55441B81"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aplazija čiste crvene krvne loze</w:t>
            </w:r>
          </w:p>
        </w:tc>
      </w:tr>
      <w:tr w:rsidR="00AF7ABC" w:rsidRPr="00F25CE6" w14:paraId="00183B8D" w14:textId="77777777" w:rsidTr="00503528">
        <w:trPr>
          <w:trHeight w:val="20"/>
        </w:trPr>
        <w:tc>
          <w:tcPr>
            <w:tcW w:w="8898" w:type="dxa"/>
            <w:gridSpan w:val="2"/>
          </w:tcPr>
          <w:p w14:paraId="205BE2CB"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imunološkog sustava</w:t>
            </w:r>
          </w:p>
        </w:tc>
      </w:tr>
      <w:tr w:rsidR="00AF7ABC" w:rsidRPr="00F25CE6" w14:paraId="7F93A5A2" w14:textId="77777777" w:rsidTr="00503528">
        <w:trPr>
          <w:trHeight w:val="20"/>
        </w:trPr>
        <w:tc>
          <w:tcPr>
            <w:tcW w:w="1550" w:type="dxa"/>
          </w:tcPr>
          <w:p w14:paraId="3CB12D5F"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426623D"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preosjetljivost (uključujući nodozni eritem)</w:t>
            </w:r>
          </w:p>
        </w:tc>
      </w:tr>
      <w:tr w:rsidR="00AF7ABC" w:rsidRPr="00F25CE6" w14:paraId="31598244" w14:textId="77777777" w:rsidTr="00503528">
        <w:trPr>
          <w:trHeight w:val="20"/>
        </w:trPr>
        <w:tc>
          <w:tcPr>
            <w:tcW w:w="1550" w:type="dxa"/>
          </w:tcPr>
          <w:p w14:paraId="5E46323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46010CEC"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anafilaktički šok</w:t>
            </w:r>
          </w:p>
        </w:tc>
      </w:tr>
      <w:tr w:rsidR="00AF7ABC" w:rsidRPr="00F25CE6" w14:paraId="2F40658D" w14:textId="77777777" w:rsidTr="00503528">
        <w:trPr>
          <w:trHeight w:val="20"/>
        </w:trPr>
        <w:tc>
          <w:tcPr>
            <w:tcW w:w="8898" w:type="dxa"/>
            <w:gridSpan w:val="2"/>
          </w:tcPr>
          <w:p w14:paraId="51E73DF3"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Endokrini poremećaji</w:t>
            </w:r>
          </w:p>
        </w:tc>
      </w:tr>
      <w:tr w:rsidR="00AF7ABC" w:rsidRPr="00F25CE6" w14:paraId="224D28B5" w14:textId="77777777" w:rsidTr="00503528">
        <w:trPr>
          <w:trHeight w:val="20"/>
        </w:trPr>
        <w:tc>
          <w:tcPr>
            <w:tcW w:w="1550" w:type="dxa"/>
          </w:tcPr>
          <w:p w14:paraId="548496A2"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D93987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hipotireoza</w:t>
            </w:r>
          </w:p>
        </w:tc>
      </w:tr>
      <w:tr w:rsidR="00AF7ABC" w:rsidRPr="00F25CE6" w14:paraId="1972AA78" w14:textId="77777777" w:rsidTr="00503528">
        <w:trPr>
          <w:trHeight w:val="20"/>
        </w:trPr>
        <w:tc>
          <w:tcPr>
            <w:tcW w:w="1550" w:type="dxa"/>
          </w:tcPr>
          <w:p w14:paraId="051F7E0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24317C1A"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hipertireoza, tireoiditis</w:t>
            </w:r>
          </w:p>
        </w:tc>
      </w:tr>
      <w:tr w:rsidR="00AF7ABC" w:rsidRPr="00F25CE6" w14:paraId="7D08E214" w14:textId="77777777" w:rsidTr="00503528">
        <w:trPr>
          <w:trHeight w:val="20"/>
        </w:trPr>
        <w:tc>
          <w:tcPr>
            <w:tcW w:w="8898" w:type="dxa"/>
            <w:gridSpan w:val="2"/>
          </w:tcPr>
          <w:p w14:paraId="5F0279D6"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metabolizma i prehrane</w:t>
            </w:r>
          </w:p>
        </w:tc>
      </w:tr>
      <w:tr w:rsidR="00AF7ABC" w:rsidRPr="00F25CE6" w14:paraId="0F990A4F" w14:textId="77777777" w:rsidTr="00503528">
        <w:trPr>
          <w:trHeight w:val="20"/>
        </w:trPr>
        <w:tc>
          <w:tcPr>
            <w:tcW w:w="1550" w:type="dxa"/>
          </w:tcPr>
          <w:p w14:paraId="58D60337"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254628D4"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poremećaji apetita</w:t>
            </w:r>
            <w:r w:rsidRPr="00F25CE6">
              <w:rPr>
                <w:rFonts w:asciiTheme="majorBidi" w:hAnsiTheme="majorBidi" w:cstheme="majorBidi"/>
                <w:vertAlign w:val="superscript"/>
              </w:rPr>
              <w:t>a</w:t>
            </w:r>
            <w:r w:rsidRPr="00F25CE6">
              <w:rPr>
                <w:rFonts w:asciiTheme="majorBidi" w:hAnsiTheme="majorBidi" w:cstheme="majorBidi"/>
              </w:rPr>
              <w:t>, hiperuricemija</w:t>
            </w:r>
          </w:p>
        </w:tc>
      </w:tr>
      <w:tr w:rsidR="00AF7ABC" w:rsidRPr="00F25CE6" w14:paraId="2C73B8A0" w14:textId="77777777" w:rsidTr="00503528">
        <w:trPr>
          <w:trHeight w:val="20"/>
        </w:trPr>
        <w:tc>
          <w:tcPr>
            <w:tcW w:w="1550" w:type="dxa"/>
          </w:tcPr>
          <w:p w14:paraId="7D2D428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4C5D257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sindrom lize tumora, dehidracija, hipoalbuminemija, hiperkolesterolemija</w:t>
            </w:r>
          </w:p>
        </w:tc>
      </w:tr>
      <w:tr w:rsidR="00AF7ABC" w:rsidRPr="00F25CE6" w14:paraId="273EC8DC" w14:textId="77777777" w:rsidTr="00503528">
        <w:trPr>
          <w:trHeight w:val="20"/>
        </w:trPr>
        <w:tc>
          <w:tcPr>
            <w:tcW w:w="1550" w:type="dxa"/>
          </w:tcPr>
          <w:p w14:paraId="6E7E9CE7"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0A562E67"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šećerna bolest</w:t>
            </w:r>
          </w:p>
        </w:tc>
      </w:tr>
      <w:tr w:rsidR="00AF7ABC" w:rsidRPr="00F25CE6" w14:paraId="294C6513" w14:textId="77777777" w:rsidTr="00503528">
        <w:trPr>
          <w:trHeight w:val="20"/>
        </w:trPr>
        <w:tc>
          <w:tcPr>
            <w:tcW w:w="8898" w:type="dxa"/>
            <w:gridSpan w:val="2"/>
          </w:tcPr>
          <w:p w14:paraId="2EAC768A"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Psihijatrijski poremećaji</w:t>
            </w:r>
          </w:p>
        </w:tc>
      </w:tr>
      <w:tr w:rsidR="00AF7ABC" w:rsidRPr="00F25CE6" w14:paraId="64FCFF1A" w14:textId="77777777" w:rsidTr="00503528">
        <w:trPr>
          <w:trHeight w:val="20"/>
        </w:trPr>
        <w:tc>
          <w:tcPr>
            <w:tcW w:w="1550" w:type="dxa"/>
          </w:tcPr>
          <w:p w14:paraId="72CE54A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70937BB0"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depresija, nesanica</w:t>
            </w:r>
          </w:p>
        </w:tc>
      </w:tr>
      <w:tr w:rsidR="00AF7ABC" w:rsidRPr="00F25CE6" w14:paraId="5A1A05CD" w14:textId="77777777" w:rsidTr="00503528">
        <w:trPr>
          <w:trHeight w:val="20"/>
        </w:trPr>
        <w:tc>
          <w:tcPr>
            <w:tcW w:w="1550" w:type="dxa"/>
          </w:tcPr>
          <w:p w14:paraId="58D3858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45B55F6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anksioznost, konfuzno stanje, afektivna labilnost, smanjeni libido</w:t>
            </w:r>
          </w:p>
        </w:tc>
      </w:tr>
      <w:tr w:rsidR="00AF7ABC" w:rsidRPr="00F25CE6" w14:paraId="225E52BA" w14:textId="77777777" w:rsidTr="00503528">
        <w:trPr>
          <w:trHeight w:val="20"/>
        </w:trPr>
        <w:tc>
          <w:tcPr>
            <w:tcW w:w="8898" w:type="dxa"/>
            <w:gridSpan w:val="2"/>
          </w:tcPr>
          <w:p w14:paraId="335D6E54"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živčanog sustava</w:t>
            </w:r>
          </w:p>
        </w:tc>
      </w:tr>
      <w:tr w:rsidR="00AF7ABC" w:rsidRPr="00F25CE6" w14:paraId="02E33E42" w14:textId="77777777" w:rsidTr="00503528">
        <w:trPr>
          <w:trHeight w:val="20"/>
        </w:trPr>
        <w:tc>
          <w:tcPr>
            <w:tcW w:w="1550" w:type="dxa"/>
          </w:tcPr>
          <w:p w14:paraId="1798649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4C58B9F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glavobolja</w:t>
            </w:r>
          </w:p>
        </w:tc>
      </w:tr>
      <w:tr w:rsidR="00AF7ABC" w:rsidRPr="00F25CE6" w14:paraId="743F65AA" w14:textId="77777777" w:rsidTr="00503528">
        <w:trPr>
          <w:trHeight w:val="20"/>
        </w:trPr>
        <w:tc>
          <w:tcPr>
            <w:tcW w:w="1550" w:type="dxa"/>
          </w:tcPr>
          <w:p w14:paraId="62D8115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161D11C5"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neuropatija (uključujući perifernu neuropatiju), omaglica, disgeuzija, somnolencija</w:t>
            </w:r>
          </w:p>
        </w:tc>
      </w:tr>
      <w:tr w:rsidR="00AF7ABC" w:rsidRPr="00F25CE6" w14:paraId="31B920AC" w14:textId="77777777" w:rsidTr="00503528">
        <w:trPr>
          <w:trHeight w:val="20"/>
        </w:trPr>
        <w:tc>
          <w:tcPr>
            <w:tcW w:w="1550" w:type="dxa"/>
          </w:tcPr>
          <w:p w14:paraId="3F2C2651"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1BC6B922" w14:textId="4030C45C" w:rsidR="00AF7ABC" w:rsidRPr="00F25CE6" w:rsidRDefault="00422138" w:rsidP="00AE78FC">
            <w:pPr>
              <w:pStyle w:val="TableParagraph"/>
              <w:autoSpaceDE/>
              <w:autoSpaceDN/>
              <w:ind w:left="29" w:right="29"/>
              <w:rPr>
                <w:rFonts w:asciiTheme="majorBidi" w:hAnsiTheme="majorBidi" w:cstheme="majorBidi"/>
              </w:rPr>
            </w:pPr>
            <w:r w:rsidRPr="00F25CE6">
              <w:rPr>
                <w:rFonts w:asciiTheme="majorBidi" w:hAnsiTheme="majorBidi" w:cstheme="majorBidi"/>
              </w:rPr>
              <w:t xml:space="preserve">krvarenje u </w:t>
            </w:r>
            <w:r w:rsidR="00AE78FC">
              <w:rPr>
                <w:rFonts w:asciiTheme="majorBidi" w:hAnsiTheme="majorBidi" w:cstheme="majorBidi"/>
              </w:rPr>
              <w:t>SŽS</w:t>
            </w:r>
            <w:r w:rsidRPr="00F25CE6">
              <w:rPr>
                <w:rFonts w:asciiTheme="majorBidi" w:hAnsiTheme="majorBidi" w:cstheme="majorBidi"/>
              </w:rPr>
              <w:t>*</w:t>
            </w:r>
            <w:r w:rsidRPr="00F25CE6">
              <w:rPr>
                <w:rFonts w:asciiTheme="majorBidi" w:hAnsiTheme="majorBidi" w:cstheme="majorBidi"/>
                <w:vertAlign w:val="superscript"/>
              </w:rPr>
              <w:t>b</w:t>
            </w:r>
            <w:r w:rsidRPr="00F25CE6">
              <w:rPr>
                <w:rFonts w:asciiTheme="majorBidi" w:hAnsiTheme="majorBidi" w:cstheme="majorBidi"/>
              </w:rPr>
              <w:t>, sinkope, tremor, amnezija, poremećaj ravnoteže</w:t>
            </w:r>
          </w:p>
        </w:tc>
      </w:tr>
      <w:tr w:rsidR="00AF7ABC" w:rsidRPr="00F25CE6" w14:paraId="6FDD05EA" w14:textId="77777777" w:rsidTr="00503528">
        <w:trPr>
          <w:trHeight w:val="20"/>
        </w:trPr>
        <w:tc>
          <w:tcPr>
            <w:tcW w:w="1550" w:type="dxa"/>
          </w:tcPr>
          <w:p w14:paraId="26273FBA"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4AC482DC"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moždani udar, tranzitorna ishemijska ataka, konvulzije, optički neuritis, paraliza VII</w:t>
            </w:r>
            <w:r w:rsidR="00503528">
              <w:rPr>
                <w:rFonts w:asciiTheme="majorBidi" w:hAnsiTheme="majorBidi" w:cstheme="majorBidi"/>
              </w:rPr>
              <w:t xml:space="preserve"> </w:t>
            </w:r>
            <w:r w:rsidRPr="00F25CE6">
              <w:rPr>
                <w:rFonts w:asciiTheme="majorBidi" w:hAnsiTheme="majorBidi" w:cstheme="majorBidi"/>
              </w:rPr>
              <w:t>moždanog živca, demencija, ataksija</w:t>
            </w:r>
          </w:p>
        </w:tc>
      </w:tr>
      <w:tr w:rsidR="00AF7ABC" w:rsidRPr="00F25CE6" w14:paraId="581A7C82" w14:textId="77777777" w:rsidTr="00503528">
        <w:trPr>
          <w:trHeight w:val="20"/>
        </w:trPr>
        <w:tc>
          <w:tcPr>
            <w:tcW w:w="8898" w:type="dxa"/>
            <w:gridSpan w:val="2"/>
          </w:tcPr>
          <w:p w14:paraId="0D38D39A"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oka</w:t>
            </w:r>
          </w:p>
        </w:tc>
      </w:tr>
      <w:tr w:rsidR="00AF7ABC" w:rsidRPr="00F25CE6" w14:paraId="3404A9D5" w14:textId="77777777" w:rsidTr="00503528">
        <w:trPr>
          <w:trHeight w:val="20"/>
        </w:trPr>
        <w:tc>
          <w:tcPr>
            <w:tcW w:w="1550" w:type="dxa"/>
          </w:tcPr>
          <w:p w14:paraId="0B275E99"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0064BF1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poremećaji vida (uključujući smetnje vida, zamagljen vid i smanjena oštrina vida), suhoća oka</w:t>
            </w:r>
          </w:p>
        </w:tc>
      </w:tr>
      <w:tr w:rsidR="00AF7ABC" w:rsidRPr="00F25CE6" w14:paraId="13A09501" w14:textId="77777777" w:rsidTr="00503528">
        <w:trPr>
          <w:trHeight w:val="20"/>
        </w:trPr>
        <w:tc>
          <w:tcPr>
            <w:tcW w:w="1550" w:type="dxa"/>
          </w:tcPr>
          <w:p w14:paraId="31F4123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B6CAFC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smetnje vida, konjunktivitis, fotofobija, pojačano suzenje</w:t>
            </w:r>
          </w:p>
        </w:tc>
      </w:tr>
      <w:tr w:rsidR="00AF7ABC" w:rsidRPr="00F25CE6" w14:paraId="78D91F23" w14:textId="77777777" w:rsidTr="00503528">
        <w:trPr>
          <w:trHeight w:val="20"/>
        </w:trPr>
        <w:tc>
          <w:tcPr>
            <w:tcW w:w="8898" w:type="dxa"/>
            <w:gridSpan w:val="2"/>
          </w:tcPr>
          <w:p w14:paraId="1280F8E5"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uha i labirinta</w:t>
            </w:r>
          </w:p>
        </w:tc>
      </w:tr>
      <w:tr w:rsidR="00AF7ABC" w:rsidRPr="00F25CE6" w14:paraId="629A9980" w14:textId="77777777" w:rsidTr="00503528">
        <w:trPr>
          <w:trHeight w:val="20"/>
        </w:trPr>
        <w:tc>
          <w:tcPr>
            <w:tcW w:w="1550" w:type="dxa"/>
          </w:tcPr>
          <w:p w14:paraId="3C8C7987"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741EF499"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tinitus</w:t>
            </w:r>
          </w:p>
        </w:tc>
      </w:tr>
      <w:tr w:rsidR="00AF7ABC" w:rsidRPr="00F25CE6" w14:paraId="4A033531" w14:textId="77777777" w:rsidTr="00503528">
        <w:trPr>
          <w:trHeight w:val="20"/>
        </w:trPr>
        <w:tc>
          <w:tcPr>
            <w:tcW w:w="1550" w:type="dxa"/>
          </w:tcPr>
          <w:p w14:paraId="5FFFB08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6F23C32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gubitak sluha, vrtoglavica</w:t>
            </w:r>
          </w:p>
        </w:tc>
      </w:tr>
      <w:tr w:rsidR="00AF7ABC" w:rsidRPr="00F25CE6" w14:paraId="778C020E" w14:textId="77777777" w:rsidTr="00503528">
        <w:trPr>
          <w:trHeight w:val="20"/>
        </w:trPr>
        <w:tc>
          <w:tcPr>
            <w:tcW w:w="8898" w:type="dxa"/>
            <w:gridSpan w:val="2"/>
          </w:tcPr>
          <w:p w14:paraId="781C7A48"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Srčani poremećaji</w:t>
            </w:r>
          </w:p>
        </w:tc>
      </w:tr>
      <w:tr w:rsidR="00AF7ABC" w:rsidRPr="00F25CE6" w14:paraId="4C469219" w14:textId="77777777" w:rsidTr="00503528">
        <w:trPr>
          <w:trHeight w:val="20"/>
        </w:trPr>
        <w:tc>
          <w:tcPr>
            <w:tcW w:w="1550" w:type="dxa"/>
          </w:tcPr>
          <w:p w14:paraId="5137D47D"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lastRenderedPageBreak/>
              <w:t>Često</w:t>
            </w:r>
          </w:p>
        </w:tc>
        <w:tc>
          <w:tcPr>
            <w:tcW w:w="7348" w:type="dxa"/>
          </w:tcPr>
          <w:p w14:paraId="65DF8D8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kongestivno zatajenje srca/srčana disfunkcija*</w:t>
            </w:r>
            <w:r w:rsidRPr="00F25CE6">
              <w:rPr>
                <w:rFonts w:asciiTheme="majorBidi" w:hAnsiTheme="majorBidi" w:cstheme="majorBidi"/>
                <w:vertAlign w:val="superscript"/>
              </w:rPr>
              <w:t>c</w:t>
            </w:r>
            <w:r w:rsidRPr="00F25CE6">
              <w:rPr>
                <w:rFonts w:asciiTheme="majorBidi" w:hAnsiTheme="majorBidi" w:cstheme="majorBidi"/>
              </w:rPr>
              <w:t>, perikardijalni izljev*, aritmije (uključujući tahikardiju), palpitacije</w:t>
            </w:r>
          </w:p>
        </w:tc>
      </w:tr>
      <w:tr w:rsidR="00AF7ABC" w:rsidRPr="00F25CE6" w14:paraId="0085EE64" w14:textId="77777777" w:rsidTr="00503528">
        <w:trPr>
          <w:trHeight w:val="20"/>
        </w:trPr>
        <w:tc>
          <w:tcPr>
            <w:tcW w:w="1550" w:type="dxa"/>
          </w:tcPr>
          <w:p w14:paraId="4A5F992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50845A3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infarkt miokarda (uključujući smrtni ishod)*, elektrokardiografski vidljivo produženje QT intervala*, perikarditis, ventrikularna aritmija (uključujući ventrikularnu tahikardiju), angina pektoris, kardiomegalija, abnormalnosti T-vala na</w:t>
            </w:r>
            <w:r w:rsidR="00503528">
              <w:rPr>
                <w:rFonts w:asciiTheme="majorBidi" w:hAnsiTheme="majorBidi" w:cstheme="majorBidi"/>
              </w:rPr>
              <w:t xml:space="preserve"> </w:t>
            </w:r>
            <w:r w:rsidRPr="00F25CE6">
              <w:rPr>
                <w:rFonts w:asciiTheme="majorBidi" w:hAnsiTheme="majorBidi" w:cstheme="majorBidi"/>
              </w:rPr>
              <w:t>elektrokardiogramu, povišene vrijednosti troponina</w:t>
            </w:r>
          </w:p>
        </w:tc>
      </w:tr>
      <w:tr w:rsidR="00AF7ABC" w:rsidRPr="00F25CE6" w14:paraId="58052B27" w14:textId="77777777" w:rsidTr="00503528">
        <w:trPr>
          <w:trHeight w:val="20"/>
        </w:trPr>
        <w:tc>
          <w:tcPr>
            <w:tcW w:w="1550" w:type="dxa"/>
          </w:tcPr>
          <w:p w14:paraId="2D170FDA"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68C7E766"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plućno srce, miokarditis, akutni koronarni sindrom, srčani zastoj, produljenje</w:t>
            </w:r>
            <w:r w:rsidR="00503528">
              <w:rPr>
                <w:rFonts w:asciiTheme="majorBidi" w:hAnsiTheme="majorBidi" w:cstheme="majorBidi"/>
              </w:rPr>
              <w:t xml:space="preserve"> </w:t>
            </w:r>
            <w:r w:rsidRPr="00F25CE6">
              <w:rPr>
                <w:rFonts w:asciiTheme="majorBidi" w:hAnsiTheme="majorBidi" w:cstheme="majorBidi"/>
              </w:rPr>
              <w:t>PR intervala na elektrokardiogramu, bolest koronarnih arterija, pleuroperikarditis</w:t>
            </w:r>
          </w:p>
        </w:tc>
      </w:tr>
      <w:tr w:rsidR="00AF7ABC" w:rsidRPr="00F25CE6" w14:paraId="41A58B4F" w14:textId="77777777" w:rsidTr="00503528">
        <w:trPr>
          <w:trHeight w:val="20"/>
        </w:trPr>
        <w:tc>
          <w:tcPr>
            <w:tcW w:w="1550" w:type="dxa"/>
          </w:tcPr>
          <w:p w14:paraId="59555953"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3A509D0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fibrilacija atrija/ undulacija atrija</w:t>
            </w:r>
          </w:p>
        </w:tc>
      </w:tr>
      <w:tr w:rsidR="00AF7ABC" w:rsidRPr="00F25CE6" w14:paraId="1390A14B" w14:textId="77777777" w:rsidTr="00503528">
        <w:trPr>
          <w:trHeight w:val="20"/>
        </w:trPr>
        <w:tc>
          <w:tcPr>
            <w:tcW w:w="8898" w:type="dxa"/>
            <w:gridSpan w:val="2"/>
          </w:tcPr>
          <w:p w14:paraId="06DE2726"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Krvožilni poremećaji</w:t>
            </w:r>
          </w:p>
        </w:tc>
      </w:tr>
      <w:tr w:rsidR="00AF7ABC" w:rsidRPr="00F25CE6" w14:paraId="60BB6B08" w14:textId="77777777" w:rsidTr="00503528">
        <w:trPr>
          <w:trHeight w:val="20"/>
        </w:trPr>
        <w:tc>
          <w:tcPr>
            <w:tcW w:w="1550" w:type="dxa"/>
          </w:tcPr>
          <w:p w14:paraId="2E886E79"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4302E296"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krvarenje*</w:t>
            </w:r>
            <w:r w:rsidRPr="00F25CE6">
              <w:rPr>
                <w:rFonts w:asciiTheme="majorBidi" w:hAnsiTheme="majorBidi" w:cstheme="majorBidi"/>
                <w:vertAlign w:val="superscript"/>
              </w:rPr>
              <w:t>d</w:t>
            </w:r>
          </w:p>
        </w:tc>
      </w:tr>
      <w:tr w:rsidR="00AF7ABC" w:rsidRPr="00F25CE6" w14:paraId="02FA0258" w14:textId="77777777" w:rsidTr="00503528">
        <w:trPr>
          <w:trHeight w:val="20"/>
        </w:trPr>
        <w:tc>
          <w:tcPr>
            <w:tcW w:w="1550" w:type="dxa"/>
          </w:tcPr>
          <w:p w14:paraId="11060A3F"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2FC3BB6D"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hipertenzija, naleti crvenila</w:t>
            </w:r>
          </w:p>
        </w:tc>
      </w:tr>
      <w:tr w:rsidR="00AF7ABC" w:rsidRPr="00F25CE6" w14:paraId="4E5DEEC1" w14:textId="77777777" w:rsidTr="00503528">
        <w:trPr>
          <w:trHeight w:val="20"/>
        </w:trPr>
        <w:tc>
          <w:tcPr>
            <w:tcW w:w="1550" w:type="dxa"/>
          </w:tcPr>
          <w:p w14:paraId="4C3890DB"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311A05D1"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hipotenzija, tromboflebitis, tromboza</w:t>
            </w:r>
          </w:p>
        </w:tc>
      </w:tr>
      <w:tr w:rsidR="00AF7ABC" w:rsidRPr="00F25CE6" w14:paraId="6849B582" w14:textId="77777777" w:rsidTr="00503528">
        <w:trPr>
          <w:trHeight w:val="20"/>
        </w:trPr>
        <w:tc>
          <w:tcPr>
            <w:tcW w:w="1550" w:type="dxa"/>
          </w:tcPr>
          <w:p w14:paraId="049D351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1E095D36"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duboka venska tromboza, embolija, livedo reticularis</w:t>
            </w:r>
          </w:p>
        </w:tc>
      </w:tr>
      <w:tr w:rsidR="00AF7ABC" w:rsidRPr="00F25CE6" w14:paraId="4A0B9A94" w14:textId="77777777" w:rsidTr="00503528">
        <w:trPr>
          <w:trHeight w:val="20"/>
        </w:trPr>
        <w:tc>
          <w:tcPr>
            <w:tcW w:w="1550" w:type="dxa"/>
          </w:tcPr>
          <w:p w14:paraId="6EC534B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1E8406F5"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trombotična mikroangiopatija</w:t>
            </w:r>
          </w:p>
        </w:tc>
      </w:tr>
      <w:tr w:rsidR="00AF7ABC" w:rsidRPr="00F25CE6" w14:paraId="42FAA963" w14:textId="77777777" w:rsidTr="00503528">
        <w:trPr>
          <w:trHeight w:val="20"/>
        </w:trPr>
        <w:tc>
          <w:tcPr>
            <w:tcW w:w="8898" w:type="dxa"/>
            <w:gridSpan w:val="2"/>
          </w:tcPr>
          <w:p w14:paraId="3A35F4BC"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dišnog sustava, prsišta i sredoprsja</w:t>
            </w:r>
          </w:p>
        </w:tc>
      </w:tr>
      <w:tr w:rsidR="00AF7ABC" w:rsidRPr="00F25CE6" w14:paraId="37DBC442" w14:textId="77777777" w:rsidTr="00503528">
        <w:trPr>
          <w:trHeight w:val="20"/>
        </w:trPr>
        <w:tc>
          <w:tcPr>
            <w:tcW w:w="1550" w:type="dxa"/>
          </w:tcPr>
          <w:p w14:paraId="254113AF"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4C9CD672"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pleuralni izljev*, dispneja</w:t>
            </w:r>
          </w:p>
        </w:tc>
      </w:tr>
      <w:tr w:rsidR="00AF7ABC" w:rsidRPr="00F25CE6" w14:paraId="59E9941E" w14:textId="77777777" w:rsidTr="00503528">
        <w:trPr>
          <w:trHeight w:val="20"/>
        </w:trPr>
        <w:tc>
          <w:tcPr>
            <w:tcW w:w="1550" w:type="dxa"/>
          </w:tcPr>
          <w:p w14:paraId="0504E096"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27288E5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plućni edem*, plućna hipertenzija, plućni infiltrati, pneumonitis, kašalj</w:t>
            </w:r>
          </w:p>
        </w:tc>
      </w:tr>
      <w:tr w:rsidR="00AF7ABC" w:rsidRPr="00F25CE6" w14:paraId="05B33317" w14:textId="77777777" w:rsidTr="00503528">
        <w:trPr>
          <w:trHeight w:val="20"/>
        </w:trPr>
        <w:tc>
          <w:tcPr>
            <w:tcW w:w="1550" w:type="dxa"/>
          </w:tcPr>
          <w:p w14:paraId="70E42E0B"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CC75274" w14:textId="0D4B3474"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plućna arterijska hipertenzija, bronhospazam, astma</w:t>
            </w:r>
            <w:r w:rsidR="006527F8">
              <w:rPr>
                <w:rFonts w:asciiTheme="majorBidi" w:hAnsiTheme="majorBidi" w:cstheme="majorBidi"/>
              </w:rPr>
              <w:t>, hilotoraks</w:t>
            </w:r>
          </w:p>
        </w:tc>
      </w:tr>
      <w:tr w:rsidR="00AF7ABC" w:rsidRPr="00F25CE6" w14:paraId="30F47576" w14:textId="77777777" w:rsidTr="00503528">
        <w:trPr>
          <w:trHeight w:val="20"/>
        </w:trPr>
        <w:tc>
          <w:tcPr>
            <w:tcW w:w="1550" w:type="dxa"/>
          </w:tcPr>
          <w:p w14:paraId="46BBB213"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29AB7000"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plućna embolija, akutni respiratorni distres sindrom</w:t>
            </w:r>
          </w:p>
        </w:tc>
      </w:tr>
      <w:tr w:rsidR="00AF7ABC" w:rsidRPr="00F25CE6" w14:paraId="05C3ADA7" w14:textId="77777777" w:rsidTr="00503528">
        <w:trPr>
          <w:trHeight w:val="20"/>
        </w:trPr>
        <w:tc>
          <w:tcPr>
            <w:tcW w:w="1550" w:type="dxa"/>
          </w:tcPr>
          <w:p w14:paraId="2D4AF1F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2F30FF6C"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intersticijska bolest pluća</w:t>
            </w:r>
          </w:p>
        </w:tc>
      </w:tr>
      <w:tr w:rsidR="00AF7ABC" w:rsidRPr="00F25CE6" w14:paraId="1F745E7F" w14:textId="77777777" w:rsidTr="00503528">
        <w:trPr>
          <w:trHeight w:val="20"/>
        </w:trPr>
        <w:tc>
          <w:tcPr>
            <w:tcW w:w="8898" w:type="dxa"/>
            <w:gridSpan w:val="2"/>
          </w:tcPr>
          <w:p w14:paraId="3EE983DC"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probavnog sustava</w:t>
            </w:r>
          </w:p>
        </w:tc>
      </w:tr>
      <w:tr w:rsidR="00AF7ABC" w:rsidRPr="00F25CE6" w14:paraId="1E2DB3A2" w14:textId="77777777" w:rsidTr="00503528">
        <w:trPr>
          <w:trHeight w:val="20"/>
        </w:trPr>
        <w:tc>
          <w:tcPr>
            <w:tcW w:w="1550" w:type="dxa"/>
          </w:tcPr>
          <w:p w14:paraId="4E5A043B"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6E6119F5"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proljev, povraćanje, mučnina, bol u abdomenu</w:t>
            </w:r>
          </w:p>
        </w:tc>
      </w:tr>
      <w:tr w:rsidR="00AF7ABC" w:rsidRPr="00F25CE6" w14:paraId="34CA4805" w14:textId="77777777" w:rsidTr="00503528">
        <w:trPr>
          <w:trHeight w:val="20"/>
        </w:trPr>
        <w:tc>
          <w:tcPr>
            <w:tcW w:w="1550" w:type="dxa"/>
          </w:tcPr>
          <w:p w14:paraId="5A51096B"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71E33738" w14:textId="77777777" w:rsidR="00AF7ABC" w:rsidRPr="00F25CE6" w:rsidRDefault="00422138" w:rsidP="00503528">
            <w:pPr>
              <w:pStyle w:val="TableParagraph"/>
              <w:autoSpaceDE/>
              <w:autoSpaceDN/>
              <w:ind w:left="29" w:right="29"/>
              <w:jc w:val="both"/>
              <w:rPr>
                <w:rFonts w:asciiTheme="majorBidi" w:hAnsiTheme="majorBidi" w:cstheme="majorBidi"/>
              </w:rPr>
            </w:pPr>
            <w:r w:rsidRPr="00F25CE6">
              <w:rPr>
                <w:rFonts w:asciiTheme="majorBidi" w:hAnsiTheme="majorBidi" w:cstheme="majorBidi"/>
              </w:rPr>
              <w:t>gastrointestinalno krvarenje*, kolitis (uključujući neutropenijski kolitis), gastritis, upala sluznica (uključujući mukozitis/stomatitis), dispepsija, distenzija abdomena, konstipacija, poremećaji mekih tkiva usne šupljine</w:t>
            </w:r>
          </w:p>
        </w:tc>
      </w:tr>
      <w:tr w:rsidR="00AF7ABC" w:rsidRPr="00F25CE6" w14:paraId="5F81CA68" w14:textId="77777777" w:rsidTr="00503528">
        <w:trPr>
          <w:trHeight w:val="20"/>
        </w:trPr>
        <w:tc>
          <w:tcPr>
            <w:tcW w:w="1550" w:type="dxa"/>
          </w:tcPr>
          <w:p w14:paraId="4F39B837"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45CEBF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pankreatitis (uključujući akutni pankreatitis), ulkus u gornjem dijelu gastrointestinalnog trakta, ezofagitis, ascites*, analna fisura, disfagija,</w:t>
            </w:r>
          </w:p>
          <w:p w14:paraId="2BD6838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gastroezofagealna refluksna bolest</w:t>
            </w:r>
          </w:p>
        </w:tc>
      </w:tr>
      <w:tr w:rsidR="00AF7ABC" w:rsidRPr="00F25CE6" w14:paraId="412D2E65" w14:textId="77777777" w:rsidTr="00503528">
        <w:trPr>
          <w:trHeight w:val="20"/>
        </w:trPr>
        <w:tc>
          <w:tcPr>
            <w:tcW w:w="1550" w:type="dxa"/>
          </w:tcPr>
          <w:p w14:paraId="113EE03C"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342D1937"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gastroenteropatija s gubitkom proteina, ileus, analna fistula</w:t>
            </w:r>
          </w:p>
        </w:tc>
      </w:tr>
      <w:tr w:rsidR="00AF7ABC" w:rsidRPr="00F25CE6" w14:paraId="756BC01B" w14:textId="77777777" w:rsidTr="00503528">
        <w:trPr>
          <w:trHeight w:val="20"/>
        </w:trPr>
        <w:tc>
          <w:tcPr>
            <w:tcW w:w="1550" w:type="dxa"/>
          </w:tcPr>
          <w:p w14:paraId="7D59A33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72D87775"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fatalno gastrointestinalno krvarenje *</w:t>
            </w:r>
          </w:p>
        </w:tc>
      </w:tr>
      <w:tr w:rsidR="00AF7ABC" w:rsidRPr="00F25CE6" w14:paraId="76C7DC2E" w14:textId="77777777" w:rsidTr="00503528">
        <w:trPr>
          <w:trHeight w:val="20"/>
        </w:trPr>
        <w:tc>
          <w:tcPr>
            <w:tcW w:w="8898" w:type="dxa"/>
            <w:gridSpan w:val="2"/>
          </w:tcPr>
          <w:p w14:paraId="41B5CEB5"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jetre i žuči</w:t>
            </w:r>
          </w:p>
        </w:tc>
      </w:tr>
      <w:tr w:rsidR="00AF7ABC" w:rsidRPr="00F25CE6" w14:paraId="26A56B74" w14:textId="77777777" w:rsidTr="00503528">
        <w:trPr>
          <w:trHeight w:val="20"/>
        </w:trPr>
        <w:tc>
          <w:tcPr>
            <w:tcW w:w="1550" w:type="dxa"/>
          </w:tcPr>
          <w:p w14:paraId="6C56B629"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559740F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hepatitis, kolecistitis, kolestaza</w:t>
            </w:r>
          </w:p>
        </w:tc>
      </w:tr>
      <w:tr w:rsidR="00AF7ABC" w:rsidRPr="00F25CE6" w14:paraId="3A15B74D" w14:textId="77777777" w:rsidTr="00503528">
        <w:trPr>
          <w:trHeight w:val="20"/>
        </w:trPr>
        <w:tc>
          <w:tcPr>
            <w:tcW w:w="8898" w:type="dxa"/>
            <w:gridSpan w:val="2"/>
          </w:tcPr>
          <w:p w14:paraId="3317FB70"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kože i potkožnog tkiva</w:t>
            </w:r>
          </w:p>
        </w:tc>
      </w:tr>
      <w:tr w:rsidR="00AF7ABC" w:rsidRPr="00F25CE6" w14:paraId="083B2459" w14:textId="77777777" w:rsidTr="00503528">
        <w:trPr>
          <w:trHeight w:val="20"/>
        </w:trPr>
        <w:tc>
          <w:tcPr>
            <w:tcW w:w="1550" w:type="dxa"/>
          </w:tcPr>
          <w:p w14:paraId="6E25E6FA"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3F1AF523"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kožni osip</w:t>
            </w:r>
            <w:r w:rsidRPr="00F25CE6">
              <w:rPr>
                <w:rFonts w:asciiTheme="majorBidi" w:hAnsiTheme="majorBidi" w:cstheme="majorBidi"/>
                <w:vertAlign w:val="superscript"/>
              </w:rPr>
              <w:t>e</w:t>
            </w:r>
          </w:p>
        </w:tc>
      </w:tr>
      <w:tr w:rsidR="00AF7ABC" w:rsidRPr="00F25CE6" w14:paraId="3E42C893" w14:textId="77777777" w:rsidTr="00503528">
        <w:trPr>
          <w:trHeight w:val="20"/>
        </w:trPr>
        <w:tc>
          <w:tcPr>
            <w:tcW w:w="1550" w:type="dxa"/>
          </w:tcPr>
          <w:p w14:paraId="5FEE1BA2"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4CA7039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alopecija, dermatitis (uključujući ekcem), pruritus, akne, suha koža, urtikarija, hiperhidroza</w:t>
            </w:r>
          </w:p>
        </w:tc>
      </w:tr>
      <w:tr w:rsidR="00AF7ABC" w:rsidRPr="00F25CE6" w14:paraId="017D5CFC" w14:textId="77777777" w:rsidTr="00503528">
        <w:trPr>
          <w:trHeight w:val="20"/>
        </w:trPr>
        <w:tc>
          <w:tcPr>
            <w:tcW w:w="1550" w:type="dxa"/>
          </w:tcPr>
          <w:p w14:paraId="231572C4"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08E087F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neutrofilna dermatoza, fotosenzibilnost, poremećaj pigmentacije, panikulitis, kožni ulkus, bulozna stanja, poremećaj noktiju, sindrom palmarno plantarne</w:t>
            </w:r>
          </w:p>
          <w:p w14:paraId="28CDFD5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eritrodizestezije (sindrom šake i stopala), poremećaj kose</w:t>
            </w:r>
          </w:p>
        </w:tc>
      </w:tr>
      <w:tr w:rsidR="00AF7ABC" w:rsidRPr="00F25CE6" w14:paraId="1154AC6E" w14:textId="77777777" w:rsidTr="00503528">
        <w:trPr>
          <w:trHeight w:val="20"/>
        </w:trPr>
        <w:tc>
          <w:tcPr>
            <w:tcW w:w="1550" w:type="dxa"/>
          </w:tcPr>
          <w:p w14:paraId="4164E99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57632379"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leukocitoklastični vaskulitis, kožna fibroza</w:t>
            </w:r>
          </w:p>
        </w:tc>
      </w:tr>
      <w:tr w:rsidR="00AF7ABC" w:rsidRPr="00F25CE6" w14:paraId="2E51785A" w14:textId="77777777" w:rsidTr="00503528">
        <w:trPr>
          <w:trHeight w:val="20"/>
        </w:trPr>
        <w:tc>
          <w:tcPr>
            <w:tcW w:w="1550" w:type="dxa"/>
          </w:tcPr>
          <w:p w14:paraId="7867B8C5"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3E286257"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Stevens-Johnson sindrom</w:t>
            </w:r>
            <w:r w:rsidRPr="00F25CE6">
              <w:rPr>
                <w:rFonts w:asciiTheme="majorBidi" w:hAnsiTheme="majorBidi" w:cstheme="majorBidi"/>
                <w:vertAlign w:val="superscript"/>
              </w:rPr>
              <w:t>f</w:t>
            </w:r>
          </w:p>
        </w:tc>
      </w:tr>
      <w:tr w:rsidR="00AF7ABC" w:rsidRPr="00F25CE6" w14:paraId="64C714D1" w14:textId="77777777" w:rsidTr="00503528">
        <w:trPr>
          <w:trHeight w:val="20"/>
        </w:trPr>
        <w:tc>
          <w:tcPr>
            <w:tcW w:w="8898" w:type="dxa"/>
            <w:gridSpan w:val="2"/>
          </w:tcPr>
          <w:p w14:paraId="0682D8E2"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mišićno-koštanog sustava i veznog tkiva</w:t>
            </w:r>
          </w:p>
        </w:tc>
      </w:tr>
      <w:tr w:rsidR="00AF7ABC" w:rsidRPr="00F25CE6" w14:paraId="113F09E9" w14:textId="77777777" w:rsidTr="00503528">
        <w:trPr>
          <w:trHeight w:val="20"/>
        </w:trPr>
        <w:tc>
          <w:tcPr>
            <w:tcW w:w="1550" w:type="dxa"/>
          </w:tcPr>
          <w:p w14:paraId="4476710A"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0EDB61AE"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mišićno-koštana bol</w:t>
            </w:r>
            <w:r w:rsidRPr="00F25CE6">
              <w:rPr>
                <w:rFonts w:asciiTheme="majorBidi" w:hAnsiTheme="majorBidi" w:cstheme="majorBidi"/>
                <w:vertAlign w:val="superscript"/>
              </w:rPr>
              <w:t>g</w:t>
            </w:r>
          </w:p>
        </w:tc>
      </w:tr>
      <w:tr w:rsidR="00AF7ABC" w:rsidRPr="00F25CE6" w14:paraId="4317CEDE" w14:textId="77777777" w:rsidTr="00503528">
        <w:trPr>
          <w:trHeight w:val="20"/>
        </w:trPr>
        <w:tc>
          <w:tcPr>
            <w:tcW w:w="1550" w:type="dxa"/>
          </w:tcPr>
          <w:p w14:paraId="3A6BDDE0"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572BB6FC"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artralgija, mialgija, mišićna slabost, mišićno-koštana ukočenost, spazam mišića</w:t>
            </w:r>
          </w:p>
        </w:tc>
      </w:tr>
      <w:tr w:rsidR="00AF7ABC" w:rsidRPr="00F25CE6" w14:paraId="2023B141" w14:textId="77777777" w:rsidTr="00503528">
        <w:trPr>
          <w:trHeight w:val="20"/>
        </w:trPr>
        <w:tc>
          <w:tcPr>
            <w:tcW w:w="1550" w:type="dxa"/>
          </w:tcPr>
          <w:p w14:paraId="0367F504"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462F502D"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rabdomioliza, osteonekroza, upala mišića, tendinitis, artritis</w:t>
            </w:r>
          </w:p>
        </w:tc>
      </w:tr>
      <w:tr w:rsidR="00AF7ABC" w:rsidRPr="00F25CE6" w14:paraId="40E6ED13" w14:textId="77777777" w:rsidTr="00503528">
        <w:trPr>
          <w:trHeight w:val="20"/>
        </w:trPr>
        <w:tc>
          <w:tcPr>
            <w:tcW w:w="1550" w:type="dxa"/>
          </w:tcPr>
          <w:p w14:paraId="1453DB77"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70171754"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kasno srastanje epifiza,</w:t>
            </w:r>
            <w:r w:rsidRPr="00F25CE6">
              <w:rPr>
                <w:rFonts w:asciiTheme="majorBidi" w:hAnsiTheme="majorBidi" w:cstheme="majorBidi"/>
                <w:vertAlign w:val="superscript"/>
              </w:rPr>
              <w:t>h</w:t>
            </w:r>
            <w:r w:rsidRPr="00F25CE6">
              <w:rPr>
                <w:rFonts w:asciiTheme="majorBidi" w:hAnsiTheme="majorBidi" w:cstheme="majorBidi"/>
              </w:rPr>
              <w:t xml:space="preserve"> zastoj u rastu</w:t>
            </w:r>
            <w:r w:rsidRPr="00F25CE6">
              <w:rPr>
                <w:rFonts w:asciiTheme="majorBidi" w:hAnsiTheme="majorBidi" w:cstheme="majorBidi"/>
                <w:vertAlign w:val="superscript"/>
              </w:rPr>
              <w:t>h</w:t>
            </w:r>
          </w:p>
        </w:tc>
      </w:tr>
      <w:tr w:rsidR="00AF7ABC" w:rsidRPr="00F25CE6" w14:paraId="06DA68FF" w14:textId="77777777" w:rsidTr="00503528">
        <w:trPr>
          <w:trHeight w:val="20"/>
        </w:trPr>
        <w:tc>
          <w:tcPr>
            <w:tcW w:w="8898" w:type="dxa"/>
            <w:gridSpan w:val="2"/>
          </w:tcPr>
          <w:p w14:paraId="7621B99B"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bubrega i mokraćnog sustava</w:t>
            </w:r>
          </w:p>
        </w:tc>
      </w:tr>
      <w:tr w:rsidR="00AF7ABC" w:rsidRPr="00F25CE6" w14:paraId="0D997F85" w14:textId="77777777" w:rsidTr="00503528">
        <w:trPr>
          <w:trHeight w:val="20"/>
        </w:trPr>
        <w:tc>
          <w:tcPr>
            <w:tcW w:w="1550" w:type="dxa"/>
          </w:tcPr>
          <w:p w14:paraId="03FAB184"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4378D53E"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oštećenje funkcije bubrega (uključujući zatajenje bubrega), učestalo mokrenje, proteinurija</w:t>
            </w:r>
          </w:p>
        </w:tc>
      </w:tr>
      <w:tr w:rsidR="00AF7ABC" w:rsidRPr="00F25CE6" w14:paraId="50C40E9A" w14:textId="77777777" w:rsidTr="00503528">
        <w:trPr>
          <w:trHeight w:val="20"/>
        </w:trPr>
        <w:tc>
          <w:tcPr>
            <w:tcW w:w="1550" w:type="dxa"/>
          </w:tcPr>
          <w:p w14:paraId="54BDDC8B"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Nepoznato</w:t>
            </w:r>
          </w:p>
        </w:tc>
        <w:tc>
          <w:tcPr>
            <w:tcW w:w="7348" w:type="dxa"/>
          </w:tcPr>
          <w:p w14:paraId="12C2A86D"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nefrotski sindrom</w:t>
            </w:r>
          </w:p>
        </w:tc>
      </w:tr>
      <w:tr w:rsidR="00AF7ABC" w:rsidRPr="00F25CE6" w14:paraId="657A5566" w14:textId="77777777" w:rsidTr="00503528">
        <w:trPr>
          <w:trHeight w:val="20"/>
        </w:trPr>
        <w:tc>
          <w:tcPr>
            <w:tcW w:w="8898" w:type="dxa"/>
            <w:gridSpan w:val="2"/>
          </w:tcPr>
          <w:p w14:paraId="0C70FBD8"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lastRenderedPageBreak/>
              <w:t>Stanja vezana uz trudnoću, babinje i perinatalno razdoblje</w:t>
            </w:r>
          </w:p>
        </w:tc>
      </w:tr>
      <w:tr w:rsidR="00AF7ABC" w:rsidRPr="00F25CE6" w14:paraId="382517AF" w14:textId="77777777" w:rsidTr="00503528">
        <w:trPr>
          <w:trHeight w:val="20"/>
        </w:trPr>
        <w:tc>
          <w:tcPr>
            <w:tcW w:w="1550" w:type="dxa"/>
          </w:tcPr>
          <w:p w14:paraId="212B1248"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0C692109"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abortus</w:t>
            </w:r>
          </w:p>
        </w:tc>
      </w:tr>
      <w:tr w:rsidR="00AF7ABC" w:rsidRPr="00F25CE6" w14:paraId="62C52680" w14:textId="77777777" w:rsidTr="00503528">
        <w:trPr>
          <w:trHeight w:val="20"/>
        </w:trPr>
        <w:tc>
          <w:tcPr>
            <w:tcW w:w="8898" w:type="dxa"/>
            <w:gridSpan w:val="2"/>
          </w:tcPr>
          <w:p w14:paraId="020A5E02"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Poremećaji reproduktivnog sustava i dojki</w:t>
            </w:r>
          </w:p>
        </w:tc>
      </w:tr>
      <w:tr w:rsidR="00AF7ABC" w:rsidRPr="00F25CE6" w14:paraId="475F53B9" w14:textId="77777777" w:rsidTr="00503528">
        <w:trPr>
          <w:trHeight w:val="20"/>
        </w:trPr>
        <w:tc>
          <w:tcPr>
            <w:tcW w:w="1550" w:type="dxa"/>
          </w:tcPr>
          <w:p w14:paraId="4062EA0C"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2DB9AE45"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ginekomastija, menstrualni poremećaj</w:t>
            </w:r>
          </w:p>
        </w:tc>
      </w:tr>
      <w:tr w:rsidR="00AF7ABC" w:rsidRPr="00F25CE6" w14:paraId="5763BD05" w14:textId="77777777" w:rsidTr="00503528">
        <w:trPr>
          <w:trHeight w:val="20"/>
        </w:trPr>
        <w:tc>
          <w:tcPr>
            <w:tcW w:w="8898" w:type="dxa"/>
            <w:gridSpan w:val="2"/>
          </w:tcPr>
          <w:p w14:paraId="2F1BC510"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Opći poremećaji i reakcije na mjestu primjene</w:t>
            </w:r>
          </w:p>
        </w:tc>
      </w:tr>
      <w:tr w:rsidR="00AF7ABC" w:rsidRPr="00F25CE6" w14:paraId="73ADB1BC" w14:textId="77777777" w:rsidTr="00503528">
        <w:trPr>
          <w:trHeight w:val="20"/>
        </w:trPr>
        <w:tc>
          <w:tcPr>
            <w:tcW w:w="1550" w:type="dxa"/>
          </w:tcPr>
          <w:p w14:paraId="28574A3A"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Vrlo često</w:t>
            </w:r>
          </w:p>
        </w:tc>
        <w:tc>
          <w:tcPr>
            <w:tcW w:w="7348" w:type="dxa"/>
          </w:tcPr>
          <w:p w14:paraId="37C74BA4"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periferni edem</w:t>
            </w:r>
            <w:r w:rsidRPr="00F25CE6">
              <w:rPr>
                <w:rFonts w:asciiTheme="majorBidi" w:hAnsiTheme="majorBidi" w:cstheme="majorBidi"/>
                <w:vertAlign w:val="superscript"/>
              </w:rPr>
              <w:t>i</w:t>
            </w:r>
            <w:r w:rsidRPr="00F25CE6">
              <w:rPr>
                <w:rFonts w:asciiTheme="majorBidi" w:hAnsiTheme="majorBidi" w:cstheme="majorBidi"/>
              </w:rPr>
              <w:t>, umor, pireksija, edem lica</w:t>
            </w:r>
            <w:r w:rsidRPr="00F25CE6">
              <w:rPr>
                <w:rFonts w:asciiTheme="majorBidi" w:hAnsiTheme="majorBidi" w:cstheme="majorBidi"/>
                <w:vertAlign w:val="superscript"/>
              </w:rPr>
              <w:t>j</w:t>
            </w:r>
          </w:p>
        </w:tc>
      </w:tr>
      <w:tr w:rsidR="00AF7ABC" w:rsidRPr="00F25CE6" w14:paraId="51A34FF5" w14:textId="77777777" w:rsidTr="00503528">
        <w:trPr>
          <w:trHeight w:val="20"/>
        </w:trPr>
        <w:tc>
          <w:tcPr>
            <w:tcW w:w="1550" w:type="dxa"/>
          </w:tcPr>
          <w:p w14:paraId="69886D5C"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31D84A33"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astenija, bol, bol u prsištu, generalizirani edem*</w:t>
            </w:r>
            <w:r w:rsidRPr="00F25CE6">
              <w:rPr>
                <w:rFonts w:asciiTheme="majorBidi" w:hAnsiTheme="majorBidi" w:cstheme="majorBidi"/>
                <w:vertAlign w:val="superscript"/>
              </w:rPr>
              <w:t>k</w:t>
            </w:r>
            <w:r w:rsidRPr="00F25CE6">
              <w:rPr>
                <w:rFonts w:asciiTheme="majorBidi" w:hAnsiTheme="majorBidi" w:cstheme="majorBidi"/>
              </w:rPr>
              <w:t>, zimice</w:t>
            </w:r>
          </w:p>
        </w:tc>
      </w:tr>
      <w:tr w:rsidR="00AF7ABC" w:rsidRPr="00F25CE6" w14:paraId="14D8F109" w14:textId="77777777" w:rsidTr="00503528">
        <w:trPr>
          <w:trHeight w:val="20"/>
        </w:trPr>
        <w:tc>
          <w:tcPr>
            <w:tcW w:w="1550" w:type="dxa"/>
          </w:tcPr>
          <w:p w14:paraId="013F4426"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7326069F"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malaksalost, drugi površinski edemi</w:t>
            </w:r>
            <w:r w:rsidRPr="00F25CE6">
              <w:rPr>
                <w:rFonts w:asciiTheme="majorBidi" w:hAnsiTheme="majorBidi" w:cstheme="majorBidi"/>
                <w:vertAlign w:val="superscript"/>
              </w:rPr>
              <w:t>l</w:t>
            </w:r>
          </w:p>
        </w:tc>
      </w:tr>
      <w:tr w:rsidR="00AF7ABC" w:rsidRPr="00F25CE6" w14:paraId="55CB8CA7" w14:textId="77777777" w:rsidTr="00503528">
        <w:trPr>
          <w:trHeight w:val="20"/>
        </w:trPr>
        <w:tc>
          <w:tcPr>
            <w:tcW w:w="1550" w:type="dxa"/>
          </w:tcPr>
          <w:p w14:paraId="61A39B3E"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Rijetko</w:t>
            </w:r>
          </w:p>
        </w:tc>
        <w:tc>
          <w:tcPr>
            <w:tcW w:w="7348" w:type="dxa"/>
          </w:tcPr>
          <w:p w14:paraId="5C878378"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poremećaj hoda</w:t>
            </w:r>
          </w:p>
        </w:tc>
      </w:tr>
      <w:tr w:rsidR="00AF7ABC" w:rsidRPr="00F25CE6" w14:paraId="2DB18003" w14:textId="77777777" w:rsidTr="00503528">
        <w:trPr>
          <w:trHeight w:val="20"/>
        </w:trPr>
        <w:tc>
          <w:tcPr>
            <w:tcW w:w="8898" w:type="dxa"/>
            <w:gridSpan w:val="2"/>
          </w:tcPr>
          <w:p w14:paraId="7CDFB862"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Pretrage</w:t>
            </w:r>
          </w:p>
        </w:tc>
      </w:tr>
      <w:tr w:rsidR="00AF7ABC" w:rsidRPr="00F25CE6" w14:paraId="1ACDA76E" w14:textId="77777777" w:rsidTr="00503528">
        <w:trPr>
          <w:trHeight w:val="20"/>
        </w:trPr>
        <w:tc>
          <w:tcPr>
            <w:tcW w:w="1550" w:type="dxa"/>
          </w:tcPr>
          <w:p w14:paraId="0D88C909"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53951ED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smanjenje tjelesne težine, povećanje tjelesne težine</w:t>
            </w:r>
          </w:p>
        </w:tc>
      </w:tr>
      <w:tr w:rsidR="00AF7ABC" w:rsidRPr="00F25CE6" w14:paraId="5E7EDE34" w14:textId="77777777" w:rsidTr="00503528">
        <w:trPr>
          <w:trHeight w:val="20"/>
        </w:trPr>
        <w:tc>
          <w:tcPr>
            <w:tcW w:w="1550" w:type="dxa"/>
          </w:tcPr>
          <w:p w14:paraId="5E9CE1B4"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Manje često</w:t>
            </w:r>
          </w:p>
        </w:tc>
        <w:tc>
          <w:tcPr>
            <w:tcW w:w="7348" w:type="dxa"/>
          </w:tcPr>
          <w:p w14:paraId="438B9FD1"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povišene vrijednosti kreatin fosfokinaze, povišene vrijednosti gama-glutamiltransferaze</w:t>
            </w:r>
          </w:p>
        </w:tc>
      </w:tr>
      <w:tr w:rsidR="00AF7ABC" w:rsidRPr="00F25CE6" w14:paraId="03374EEF" w14:textId="77777777" w:rsidTr="00503528">
        <w:trPr>
          <w:trHeight w:val="20"/>
        </w:trPr>
        <w:tc>
          <w:tcPr>
            <w:tcW w:w="8898" w:type="dxa"/>
            <w:gridSpan w:val="2"/>
          </w:tcPr>
          <w:p w14:paraId="441F6375" w14:textId="77777777" w:rsidR="00AF7ABC" w:rsidRPr="00F25CE6" w:rsidRDefault="00422138" w:rsidP="00503528">
            <w:pPr>
              <w:pStyle w:val="TableParagraph"/>
              <w:autoSpaceDE/>
              <w:autoSpaceDN/>
              <w:ind w:left="29" w:right="29"/>
              <w:rPr>
                <w:rFonts w:asciiTheme="majorBidi" w:hAnsiTheme="majorBidi" w:cstheme="majorBidi"/>
                <w:b/>
              </w:rPr>
            </w:pPr>
            <w:r w:rsidRPr="00F25CE6">
              <w:rPr>
                <w:rFonts w:asciiTheme="majorBidi" w:hAnsiTheme="majorBidi" w:cstheme="majorBidi"/>
                <w:b/>
              </w:rPr>
              <w:t>Ozljede, trovanja i proceduralne komplikacije</w:t>
            </w:r>
          </w:p>
        </w:tc>
      </w:tr>
      <w:tr w:rsidR="00AF7ABC" w:rsidRPr="00F25CE6" w14:paraId="1D274537" w14:textId="77777777" w:rsidTr="00503528">
        <w:trPr>
          <w:trHeight w:val="20"/>
        </w:trPr>
        <w:tc>
          <w:tcPr>
            <w:tcW w:w="1550" w:type="dxa"/>
          </w:tcPr>
          <w:p w14:paraId="7BDBC89D" w14:textId="77777777" w:rsidR="00AF7ABC" w:rsidRPr="00F25CE6" w:rsidRDefault="00422138" w:rsidP="00503528">
            <w:pPr>
              <w:pStyle w:val="TableParagraph"/>
              <w:autoSpaceDE/>
              <w:autoSpaceDN/>
              <w:ind w:left="29" w:right="29"/>
              <w:rPr>
                <w:rFonts w:asciiTheme="majorBidi" w:hAnsiTheme="majorBidi" w:cstheme="majorBidi"/>
                <w:i/>
              </w:rPr>
            </w:pPr>
            <w:r w:rsidRPr="00F25CE6">
              <w:rPr>
                <w:rFonts w:asciiTheme="majorBidi" w:hAnsiTheme="majorBidi" w:cstheme="majorBidi"/>
                <w:i/>
              </w:rPr>
              <w:t>Često</w:t>
            </w:r>
          </w:p>
        </w:tc>
        <w:tc>
          <w:tcPr>
            <w:tcW w:w="7348" w:type="dxa"/>
          </w:tcPr>
          <w:p w14:paraId="39AC2C2B" w14:textId="77777777" w:rsidR="00AF7ABC" w:rsidRPr="00F25CE6" w:rsidRDefault="00422138" w:rsidP="00503528">
            <w:pPr>
              <w:pStyle w:val="TableParagraph"/>
              <w:autoSpaceDE/>
              <w:autoSpaceDN/>
              <w:ind w:left="29" w:right="29"/>
              <w:rPr>
                <w:rFonts w:asciiTheme="majorBidi" w:hAnsiTheme="majorBidi" w:cstheme="majorBidi"/>
              </w:rPr>
            </w:pPr>
            <w:r w:rsidRPr="00F25CE6">
              <w:rPr>
                <w:rFonts w:asciiTheme="majorBidi" w:hAnsiTheme="majorBidi" w:cstheme="majorBidi"/>
              </w:rPr>
              <w:t>kontuzije</w:t>
            </w:r>
          </w:p>
        </w:tc>
      </w:tr>
    </w:tbl>
    <w:p w14:paraId="06970F6C" w14:textId="01F507C7" w:rsidR="00AF7ABC" w:rsidRPr="00F25CE6" w:rsidRDefault="00422138" w:rsidP="00612D2B">
      <w:pPr>
        <w:pStyle w:val="Footnote"/>
        <w:ind w:left="0" w:firstLine="0"/>
      </w:pPr>
      <w:r w:rsidRPr="00503528">
        <w:rPr>
          <w:vertAlign w:val="superscript"/>
        </w:rPr>
        <w:t>a</w:t>
      </w:r>
      <w:r w:rsidR="0024185D">
        <w:t xml:space="preserve"> </w:t>
      </w:r>
      <w:r w:rsidRPr="00F25CE6">
        <w:t>Uključuje smanjen apetit, brz nastup osjećaja sitosti, pojačan apetit</w:t>
      </w:r>
    </w:p>
    <w:p w14:paraId="6C375DCD" w14:textId="3037FD70" w:rsidR="00AF7ABC" w:rsidRPr="00F25CE6" w:rsidRDefault="00422138" w:rsidP="00612D2B">
      <w:pPr>
        <w:pStyle w:val="Footnote"/>
        <w:ind w:left="0" w:firstLine="0"/>
      </w:pPr>
      <w:r w:rsidRPr="00503528">
        <w:rPr>
          <w:vertAlign w:val="superscript"/>
        </w:rPr>
        <w:t>b</w:t>
      </w:r>
      <w:r w:rsidR="0024185D">
        <w:t xml:space="preserve"> </w:t>
      </w:r>
      <w:r w:rsidRPr="00F25CE6">
        <w:t>Uključuje krvarenje u središnji živčani sustav, cerebralni hematom, cerebralno krvarenje, ekstraduralni hematom, intrakranijalno krvarenje, hemoragijski moždani udar, subarahnoidalno krvarenje, subduralni hematom i subduralno krvarenje.</w:t>
      </w:r>
    </w:p>
    <w:p w14:paraId="23166AD3" w14:textId="6F02889B" w:rsidR="00AF7ABC" w:rsidRPr="00F25CE6" w:rsidRDefault="00422138" w:rsidP="00612D2B">
      <w:pPr>
        <w:pStyle w:val="Footnote"/>
        <w:ind w:left="0" w:firstLine="0"/>
      </w:pPr>
      <w:r w:rsidRPr="00503528">
        <w:rPr>
          <w:vertAlign w:val="superscript"/>
        </w:rPr>
        <w:t>c</w:t>
      </w:r>
      <w:r w:rsidR="0024185D">
        <w:t xml:space="preserve"> </w:t>
      </w:r>
      <w:r w:rsidRPr="00F25CE6">
        <w:t>Uključuje povišene vrijednosti natriuretskog peptida tipa B (moždani natriuretski peptid), ventrikularnu disfunkciju, disfunkciju lijeve klijetke, disfunkciju desne klijetke, srčano zatajenje, akutno zatajenje srca, kronično zatajenje srca, kongestivno zatajenje srca, kardiomiopatiju, kongestivnu kardiomiopatiju, dijastoličku disfunkciju, smanjenje ejekcijske frakcije i zatajenje klijetke, zatajenje lijeve klijetke, zatajenje desne klijetke i ventrikularnu hipokineziju.</w:t>
      </w:r>
    </w:p>
    <w:p w14:paraId="2E0CE31D" w14:textId="29E9DED5" w:rsidR="00AF7ABC" w:rsidRPr="00F25CE6" w:rsidRDefault="00422138" w:rsidP="00612D2B">
      <w:pPr>
        <w:pStyle w:val="Footnote"/>
        <w:ind w:left="0" w:firstLine="0"/>
      </w:pPr>
      <w:r w:rsidRPr="00503528">
        <w:rPr>
          <w:vertAlign w:val="superscript"/>
        </w:rPr>
        <w:t>d</w:t>
      </w:r>
      <w:r w:rsidR="0024185D">
        <w:t xml:space="preserve"> </w:t>
      </w:r>
      <w:r w:rsidRPr="00F25CE6">
        <w:t xml:space="preserve">Isključuje gastrointestinalno krvarenje i krvarenje u </w:t>
      </w:r>
      <w:r w:rsidR="001F5494">
        <w:t>SŽS</w:t>
      </w:r>
      <w:r w:rsidRPr="00F25CE6">
        <w:t>; ove su nuspojave prijavljene prema</w:t>
      </w:r>
      <w:r w:rsidR="00503528">
        <w:t xml:space="preserve"> </w:t>
      </w:r>
      <w:r w:rsidRPr="00F25CE6">
        <w:t>organskom sustavu pod poremećajima probavnog sustava odnosno poremećajima živčanog sustava.</w:t>
      </w:r>
    </w:p>
    <w:p w14:paraId="3F71ADCC" w14:textId="53481B94" w:rsidR="00AF7ABC" w:rsidRPr="00F25CE6" w:rsidRDefault="00422138" w:rsidP="00612D2B">
      <w:pPr>
        <w:pStyle w:val="Footnote"/>
        <w:ind w:left="0" w:firstLine="0"/>
      </w:pPr>
      <w:r w:rsidRPr="00503528">
        <w:rPr>
          <w:vertAlign w:val="superscript"/>
        </w:rPr>
        <w:t>e</w:t>
      </w:r>
      <w:r w:rsidR="0024185D">
        <w:t xml:space="preserve"> </w:t>
      </w:r>
      <w:r w:rsidRPr="00F25CE6">
        <w:t>Uključuje medikamentoznu erupciju, eritem, multiformni eritem, eritrozu, eksfolijativni osip, generalizirani eritem, genitalni osip, toplinski osip, milia, milijariju, pustuloznu psorijazu, osip, eritematozni osip, folikularni osip, generalizirani osip, makularni osip, makulopapulozni osip, papulozni osip, pruritički osip, pustulozni osip, vezikularni osip, ljuštenje kože, nadraženost kože, toksičnu kožnu erupciju, vezikularnu urtikariju i vaskulitični osip.</w:t>
      </w:r>
    </w:p>
    <w:p w14:paraId="072531EC" w14:textId="140A7254" w:rsidR="00AF7ABC" w:rsidRPr="00F25CE6" w:rsidRDefault="00422138" w:rsidP="00612D2B">
      <w:pPr>
        <w:pStyle w:val="Footnote"/>
        <w:ind w:left="0" w:firstLine="0"/>
      </w:pPr>
      <w:r w:rsidRPr="00503528">
        <w:rPr>
          <w:vertAlign w:val="superscript"/>
        </w:rPr>
        <w:t>f</w:t>
      </w:r>
      <w:r w:rsidR="0024185D">
        <w:t xml:space="preserve"> </w:t>
      </w:r>
      <w:r w:rsidRPr="00F25CE6">
        <w:t xml:space="preserve">Nakon stavljanja lijeka u promet prijavljeni su pojedinačni slučajevi Stevens-Johnson sindroma. Nije se moglo utvrditi da li je ta mukokutana nuspojava direktno povezana s </w:t>
      </w:r>
      <w:r w:rsidR="005E1F46">
        <w:t>dasatinibom</w:t>
      </w:r>
      <w:r w:rsidR="00F40B95" w:rsidRPr="00F25CE6">
        <w:t xml:space="preserve"> </w:t>
      </w:r>
      <w:r w:rsidRPr="00F25CE6">
        <w:t>ili s istodobno primjenjivanim lijekovima.</w:t>
      </w:r>
    </w:p>
    <w:p w14:paraId="38F8D0CC" w14:textId="454DFD6C" w:rsidR="00AF7ABC" w:rsidRPr="00F25CE6" w:rsidRDefault="00422138" w:rsidP="00612D2B">
      <w:pPr>
        <w:pStyle w:val="Footnote"/>
        <w:ind w:left="0" w:firstLine="0"/>
      </w:pPr>
      <w:r w:rsidRPr="00503528">
        <w:rPr>
          <w:vertAlign w:val="superscript"/>
        </w:rPr>
        <w:t>g</w:t>
      </w:r>
      <w:r w:rsidR="0024185D">
        <w:t xml:space="preserve"> </w:t>
      </w:r>
      <w:r w:rsidRPr="00F25CE6">
        <w:t>Mišićno koštana bol prijavljena tijekom liječenja ili nakon njegova prekida.</w:t>
      </w:r>
    </w:p>
    <w:p w14:paraId="3C6F0670" w14:textId="5BFFE5B5" w:rsidR="00AF7ABC" w:rsidRPr="00F25CE6" w:rsidRDefault="00422138" w:rsidP="00612D2B">
      <w:pPr>
        <w:pStyle w:val="Footnote"/>
        <w:ind w:left="0" w:firstLine="0"/>
      </w:pPr>
      <w:r w:rsidRPr="00503528">
        <w:rPr>
          <w:vertAlign w:val="superscript"/>
        </w:rPr>
        <w:t>h</w:t>
      </w:r>
      <w:r w:rsidR="0024185D">
        <w:t xml:space="preserve"> </w:t>
      </w:r>
      <w:r w:rsidRPr="00F25CE6">
        <w:t>Prijavljeno često u pedijatrijskim ispitivanjima.</w:t>
      </w:r>
    </w:p>
    <w:p w14:paraId="0A56D8D9" w14:textId="031C49EB" w:rsidR="00AF7ABC" w:rsidRPr="00F25CE6" w:rsidRDefault="00422138" w:rsidP="00612D2B">
      <w:pPr>
        <w:pStyle w:val="Footnote"/>
        <w:ind w:left="0" w:firstLine="0"/>
      </w:pPr>
      <w:r w:rsidRPr="00503528">
        <w:rPr>
          <w:vertAlign w:val="superscript"/>
        </w:rPr>
        <w:t>i</w:t>
      </w:r>
      <w:r w:rsidR="0024185D">
        <w:rPr>
          <w:vertAlign w:val="superscript"/>
        </w:rPr>
        <w:t xml:space="preserve"> </w:t>
      </w:r>
      <w:r w:rsidRPr="00F25CE6">
        <w:t>Gravitacijski edem, lokalizirani edem, periferni edem.</w:t>
      </w:r>
    </w:p>
    <w:p w14:paraId="40C9AE5C" w14:textId="6F4C64D4" w:rsidR="00AF7ABC" w:rsidRPr="00F25CE6" w:rsidRDefault="00422138" w:rsidP="00612D2B">
      <w:pPr>
        <w:pStyle w:val="Footnote"/>
        <w:ind w:left="0" w:firstLine="0"/>
      </w:pPr>
      <w:r w:rsidRPr="00503528">
        <w:rPr>
          <w:vertAlign w:val="superscript"/>
        </w:rPr>
        <w:t>j</w:t>
      </w:r>
      <w:r w:rsidR="0024185D">
        <w:t xml:space="preserve"> </w:t>
      </w:r>
      <w:r w:rsidRPr="00F25CE6">
        <w:t>Edem konjunktiva, edem oka, oticanje oka, edem vjeđa, edem lica, edem usana, makularni edem, edem usta, orbitalni edem, periorbitalni edem, oticanje lica.</w:t>
      </w:r>
    </w:p>
    <w:p w14:paraId="1432DBBD" w14:textId="60C51C84" w:rsidR="00AF7ABC" w:rsidRPr="00F25CE6" w:rsidRDefault="00422138" w:rsidP="00612D2B">
      <w:pPr>
        <w:pStyle w:val="Footnote"/>
        <w:ind w:left="0" w:firstLine="0"/>
      </w:pPr>
      <w:r w:rsidRPr="00503528">
        <w:rPr>
          <w:vertAlign w:val="superscript"/>
        </w:rPr>
        <w:t>k</w:t>
      </w:r>
      <w:r w:rsidR="0024185D">
        <w:t xml:space="preserve"> </w:t>
      </w:r>
      <w:r w:rsidRPr="00F25CE6">
        <w:t>Preopterećenje tekućinom, zadržavanje tekućine, gastrointestinalni edem, generalizirani edem, periferno oticanje, edem, edem zbog srčane bolesti, perinefritički izljev, postproceduralni edem, visceralni edem.</w:t>
      </w:r>
    </w:p>
    <w:p w14:paraId="7E248CBE" w14:textId="04E3DC55" w:rsidR="00AF7ABC" w:rsidRPr="00F25CE6" w:rsidRDefault="00422138" w:rsidP="00612D2B">
      <w:pPr>
        <w:pStyle w:val="Footnote"/>
        <w:ind w:left="0" w:firstLine="0"/>
      </w:pPr>
      <w:r w:rsidRPr="00503528">
        <w:rPr>
          <w:vertAlign w:val="superscript"/>
        </w:rPr>
        <w:t>l</w:t>
      </w:r>
      <w:r w:rsidR="0024185D">
        <w:t xml:space="preserve"> </w:t>
      </w:r>
      <w:r w:rsidRPr="00F25CE6">
        <w:t>Oticanje genitalija, edem na mjestu incizije, genitalni edem, edem penisa, oticanje penisa, edem skrotuma, oticanje kože, oticanje testisa, vulvovaginalno oticanje.</w:t>
      </w:r>
    </w:p>
    <w:p w14:paraId="5B383FDF" w14:textId="4A533DEF" w:rsidR="00AF7ABC" w:rsidRPr="00F25CE6" w:rsidRDefault="00422138" w:rsidP="00612D2B">
      <w:pPr>
        <w:pStyle w:val="Footnote"/>
        <w:ind w:left="0" w:firstLine="0"/>
      </w:pPr>
      <w:r w:rsidRPr="00F25CE6">
        <w:t>*</w:t>
      </w:r>
      <w:r w:rsidR="0024185D">
        <w:t xml:space="preserve"> </w:t>
      </w:r>
      <w:r w:rsidRPr="00F25CE6">
        <w:t xml:space="preserve">Za detaljnije informacije, vidjeti dio </w:t>
      </w:r>
      <w:r w:rsidR="005B06A1">
        <w:t>„</w:t>
      </w:r>
      <w:r w:rsidRPr="00F25CE6">
        <w:t>Opis odabranih nuspojava</w:t>
      </w:r>
      <w:r w:rsidR="005B06A1">
        <w:t>“</w:t>
      </w:r>
      <w:r w:rsidRPr="00F25CE6">
        <w:t>.</w:t>
      </w:r>
    </w:p>
    <w:p w14:paraId="17F728C1" w14:textId="77777777" w:rsidR="00AF7ABC" w:rsidRPr="00F25CE6" w:rsidRDefault="00AF7ABC" w:rsidP="00F25CE6">
      <w:pPr>
        <w:pStyle w:val="BodyText"/>
        <w:widowControl/>
        <w:rPr>
          <w:rFonts w:asciiTheme="majorBidi" w:hAnsiTheme="majorBidi" w:cstheme="majorBidi"/>
          <w:szCs w:val="22"/>
        </w:rPr>
      </w:pPr>
    </w:p>
    <w:p w14:paraId="7FE32650"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Opis odabranih nuspojava</w:t>
      </w:r>
    </w:p>
    <w:p w14:paraId="4841BFBA"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Mijelosupresija</w:t>
      </w:r>
    </w:p>
    <w:p w14:paraId="1D65155E" w14:textId="7F0C9B7B"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Liječenje </w:t>
      </w:r>
      <w:r w:rsidR="00FC0C60">
        <w:rPr>
          <w:rFonts w:asciiTheme="majorBidi" w:hAnsiTheme="majorBidi" w:cstheme="majorBidi"/>
          <w:szCs w:val="22"/>
        </w:rPr>
        <w:t>dasatinibom</w:t>
      </w:r>
      <w:r w:rsidRPr="00F25CE6">
        <w:rPr>
          <w:rFonts w:asciiTheme="majorBidi" w:hAnsiTheme="majorBidi" w:cstheme="majorBidi"/>
          <w:szCs w:val="22"/>
        </w:rPr>
        <w:t xml:space="preserve"> povezano je s anemijom, neutropenijom i trombocitopenijom. Te se promjene ranije i češće javljaju u bolesnika s KML</w:t>
      </w:r>
      <w:r w:rsidR="00BE5BF4">
        <w:rPr>
          <w:rFonts w:asciiTheme="majorBidi" w:hAnsiTheme="majorBidi" w:cstheme="majorBidi"/>
          <w:szCs w:val="22"/>
        </w:rPr>
        <w:t>-om</w:t>
      </w:r>
      <w:r w:rsidRPr="00F25CE6">
        <w:rPr>
          <w:rFonts w:asciiTheme="majorBidi" w:hAnsiTheme="majorBidi" w:cstheme="majorBidi"/>
          <w:szCs w:val="22"/>
        </w:rPr>
        <w:t xml:space="preserve"> u uznapredovaloj fazi i bolesnika s Ph+ ALL</w:t>
      </w:r>
      <w:r w:rsidR="00BE5BF4">
        <w:rPr>
          <w:rFonts w:asciiTheme="majorBidi" w:hAnsiTheme="majorBidi" w:cstheme="majorBidi"/>
          <w:szCs w:val="22"/>
        </w:rPr>
        <w:t>-om</w:t>
      </w:r>
      <w:r w:rsidRPr="00F25CE6">
        <w:rPr>
          <w:rFonts w:asciiTheme="majorBidi" w:hAnsiTheme="majorBidi" w:cstheme="majorBidi"/>
          <w:szCs w:val="22"/>
        </w:rPr>
        <w:t xml:space="preserve"> nego u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(vidjeti dio 4.4).</w:t>
      </w:r>
    </w:p>
    <w:p w14:paraId="49F185F9" w14:textId="77777777" w:rsidR="00AF7ABC" w:rsidRPr="00F25CE6" w:rsidRDefault="00AF7ABC" w:rsidP="00F25CE6">
      <w:pPr>
        <w:pStyle w:val="BodyText"/>
        <w:widowControl/>
        <w:rPr>
          <w:rFonts w:asciiTheme="majorBidi" w:hAnsiTheme="majorBidi" w:cstheme="majorBidi"/>
          <w:szCs w:val="22"/>
        </w:rPr>
      </w:pPr>
    </w:p>
    <w:p w14:paraId="51AD7E98"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Krvarenje</w:t>
      </w:r>
    </w:p>
    <w:p w14:paraId="07DE5E98" w14:textId="4E1FCE70"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bolesnika koji su uzimali </w:t>
      </w:r>
      <w:r w:rsidR="00FC0C60">
        <w:rPr>
          <w:rFonts w:asciiTheme="majorBidi" w:hAnsiTheme="majorBidi" w:cstheme="majorBidi"/>
          <w:szCs w:val="22"/>
        </w:rPr>
        <w:t>dasatinib</w:t>
      </w:r>
      <w:r w:rsidRPr="00F25CE6">
        <w:rPr>
          <w:rFonts w:asciiTheme="majorBidi" w:hAnsiTheme="majorBidi" w:cstheme="majorBidi"/>
          <w:szCs w:val="22"/>
        </w:rPr>
        <w:t xml:space="preserve"> zabilježene su nuspojave krvarenje povezane s lijekom u rasponu od petehija i epistakse do gastrointestinalnog krvarenja i krvarenja u </w:t>
      </w:r>
      <w:r w:rsidR="000509D3">
        <w:rPr>
          <w:rFonts w:asciiTheme="majorBidi" w:hAnsiTheme="majorBidi" w:cstheme="majorBidi"/>
          <w:szCs w:val="22"/>
        </w:rPr>
        <w:t>SŽS</w:t>
      </w:r>
      <w:r w:rsidRPr="00F25CE6">
        <w:rPr>
          <w:rFonts w:asciiTheme="majorBidi" w:hAnsiTheme="majorBidi" w:cstheme="majorBidi"/>
          <w:szCs w:val="22"/>
        </w:rPr>
        <w:t xml:space="preserve"> 3. ili 4. stupnja (vidjeti dio 4.4).</w:t>
      </w:r>
    </w:p>
    <w:p w14:paraId="78DFAABB" w14:textId="77777777" w:rsidR="00AF7ABC" w:rsidRPr="00F25CE6" w:rsidRDefault="00AF7ABC" w:rsidP="00F25CE6">
      <w:pPr>
        <w:pStyle w:val="BodyText"/>
        <w:widowControl/>
        <w:rPr>
          <w:rFonts w:asciiTheme="majorBidi" w:hAnsiTheme="majorBidi" w:cstheme="majorBidi"/>
          <w:szCs w:val="22"/>
        </w:rPr>
      </w:pPr>
    </w:p>
    <w:p w14:paraId="37A5CD02"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Zadržavanje tekućine</w:t>
      </w:r>
    </w:p>
    <w:p w14:paraId="6CBE6A3F" w14:textId="79473EC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lastRenderedPageBreak/>
        <w:t xml:space="preserve">Razne nuspojave poput pleuralnog izljeva, ascitesa, plućnog edema i perikardijalnog izljeva sa ili bez površinskih edema mogu se zajednički opisati kao </w:t>
      </w:r>
      <w:r w:rsidR="00CA2DB3">
        <w:rPr>
          <w:rFonts w:asciiTheme="majorBidi" w:hAnsiTheme="majorBidi" w:cstheme="majorBidi"/>
          <w:szCs w:val="22"/>
        </w:rPr>
        <w:t>„</w:t>
      </w:r>
      <w:r w:rsidRPr="00F25CE6">
        <w:rPr>
          <w:rFonts w:asciiTheme="majorBidi" w:hAnsiTheme="majorBidi" w:cstheme="majorBidi"/>
          <w:szCs w:val="22"/>
        </w:rPr>
        <w:t>zadržavanje tekućine”. Nakon najmanje</w:t>
      </w:r>
      <w:r w:rsidR="00503528">
        <w:rPr>
          <w:rFonts w:asciiTheme="majorBidi" w:hAnsiTheme="majorBidi" w:cstheme="majorBidi"/>
          <w:szCs w:val="22"/>
        </w:rPr>
        <w:t xml:space="preserve"> </w:t>
      </w:r>
      <w:r w:rsidRPr="00F25CE6">
        <w:rPr>
          <w:rFonts w:asciiTheme="majorBidi" w:hAnsiTheme="majorBidi" w:cstheme="majorBidi"/>
          <w:szCs w:val="22"/>
        </w:rPr>
        <w:t>60 mjeseci praćenja u ispitivanju provedenom u bolesnika s novodijagnosticiran</w:t>
      </w:r>
      <w:r w:rsidR="00BE5BF4">
        <w:rPr>
          <w:rFonts w:asciiTheme="majorBidi" w:hAnsiTheme="majorBidi" w:cstheme="majorBidi"/>
          <w:szCs w:val="22"/>
        </w:rPr>
        <w:t>i</w:t>
      </w:r>
      <w:r w:rsidRPr="00F25CE6">
        <w:rPr>
          <w:rFonts w:asciiTheme="majorBidi" w:hAnsiTheme="majorBidi" w:cstheme="majorBidi"/>
          <w:szCs w:val="22"/>
        </w:rPr>
        <w:t>m KML</w:t>
      </w:r>
      <w:r w:rsidR="00BE5BF4">
        <w:rPr>
          <w:rFonts w:asciiTheme="majorBidi" w:hAnsiTheme="majorBidi" w:cstheme="majorBidi"/>
          <w:szCs w:val="22"/>
        </w:rPr>
        <w:t>-om</w:t>
      </w:r>
      <w:r w:rsidRPr="00F25CE6">
        <w:rPr>
          <w:rFonts w:asciiTheme="majorBidi" w:hAnsiTheme="majorBidi" w:cstheme="majorBidi"/>
          <w:szCs w:val="22"/>
        </w:rPr>
        <w:t xml:space="preserve"> u kroničnoj fazi, nuspojave zadržavanja tekućine uzrokovani primjenom dasatiniba uključivali su pleuralni izljev (28%), površinski edem (14%), plućnu hipertenziju (5%), generalizirani edem (4%) i perikardijalni izljev (4%). Kongestivno zatajenje srca/srčana disfunkcija i plućni edem prijavljeni su u</w:t>
      </w:r>
      <w:r w:rsidR="0011227A">
        <w:rPr>
          <w:rFonts w:asciiTheme="majorBidi" w:hAnsiTheme="majorBidi" w:cstheme="majorBidi"/>
          <w:szCs w:val="22"/>
        </w:rPr>
        <w:t xml:space="preserve"> </w:t>
      </w:r>
      <w:r w:rsidRPr="00F25CE6">
        <w:rPr>
          <w:rFonts w:asciiTheme="majorBidi" w:hAnsiTheme="majorBidi" w:cstheme="majorBidi"/>
          <w:szCs w:val="22"/>
        </w:rPr>
        <w:t>&lt; 2% bolesnika.</w:t>
      </w:r>
    </w:p>
    <w:p w14:paraId="5FFED99D" w14:textId="3D409364" w:rsidR="00AF7ABC" w:rsidRPr="00F25CE6"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Kumulativna stopa pleuralnog izljeva (svih stupnjeva) uzrokovana primjenom dasatiniba tijekom vremena iznosila je 10% nakon 12 mjeseci, 14% nakon 24 mjeseca, 19% nakon 36 mjeseci, 24% nakon 48 mjeseci i 28% nakon 60 mjeseci. Ukupno je 46 bolesnika liječenih dasatinibom imalo rekurentne pleuralne izljeve. U 17 bolesnika zabilježene su 2 odvojene nuspojave, u njih 6 zabilježene su 3 nuspojave, u 18 bolesnika zabilježeno je 4</w:t>
      </w:r>
      <w:r w:rsidR="00CA2DB3" w:rsidRPr="009474C0">
        <w:rPr>
          <w:szCs w:val="22"/>
        </w:rPr>
        <w:t> – </w:t>
      </w:r>
      <w:r w:rsidRPr="00F25CE6">
        <w:rPr>
          <w:rFonts w:asciiTheme="majorBidi" w:hAnsiTheme="majorBidi" w:cstheme="majorBidi"/>
          <w:szCs w:val="22"/>
        </w:rPr>
        <w:t>8 nuspojava, dok je u 5 bolesnika zabilježeno</w:t>
      </w:r>
      <w:r w:rsidR="001825EE">
        <w:rPr>
          <w:rFonts w:asciiTheme="majorBidi" w:hAnsiTheme="majorBidi" w:cstheme="majorBidi"/>
          <w:szCs w:val="22"/>
        </w:rPr>
        <w:t xml:space="preserve"> </w:t>
      </w:r>
      <w:r w:rsidRPr="00F25CE6">
        <w:rPr>
          <w:rFonts w:asciiTheme="majorBidi" w:hAnsiTheme="majorBidi" w:cstheme="majorBidi"/>
          <w:szCs w:val="22"/>
        </w:rPr>
        <w:t>&gt; 8 epizoda pleuralnog izljeva.</w:t>
      </w:r>
    </w:p>
    <w:p w14:paraId="4EEF3713" w14:textId="04A4C98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Medijan vremena do nastupa prvog pleuralnog izljeva 1. ili 2. stupnja uzrokovanog primjenom dasatiniba iznosio je 114 tjedana (raspon: 4</w:t>
      </w:r>
      <w:r w:rsidR="00CA2DB3" w:rsidRPr="009474C0">
        <w:rPr>
          <w:szCs w:val="22"/>
        </w:rPr>
        <w:t> – </w:t>
      </w:r>
      <w:r w:rsidRPr="00F25CE6">
        <w:rPr>
          <w:rFonts w:asciiTheme="majorBidi" w:hAnsiTheme="majorBidi" w:cstheme="majorBidi"/>
          <w:szCs w:val="22"/>
        </w:rPr>
        <w:t>299 tjedana). Manje od 10% bolesnika s pleuralnim izljevom imalo je teške pleuralne izljeve (3. ili 4. stupnja) uzrokovane primjenom dasatiniba. Medijan vremena do nastupa prvog pleuralnog izljeva ≥ 3. stupnja uzrokovanog primjenom dasatiniba iznosio je 175 tjedana (raspon: 114</w:t>
      </w:r>
      <w:r w:rsidR="00CA2DB3" w:rsidRPr="009474C0">
        <w:rPr>
          <w:szCs w:val="22"/>
        </w:rPr>
        <w:t> – </w:t>
      </w:r>
      <w:r w:rsidRPr="00F25CE6">
        <w:rPr>
          <w:rFonts w:asciiTheme="majorBidi" w:hAnsiTheme="majorBidi" w:cstheme="majorBidi"/>
          <w:szCs w:val="22"/>
        </w:rPr>
        <w:t>274 tjedna). Medijan trajanja pleuralnog izljeva (svih stupnjeva) uzrokovanoga primjenom dasatiniba iznosio je 283 dana (~40 tjedana).</w:t>
      </w:r>
    </w:p>
    <w:p w14:paraId="4A20A1FA" w14:textId="6A92D08E" w:rsidR="00AF7ABC" w:rsidRPr="00F25CE6"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 xml:space="preserve">Pleuralni izljev obično je bio reverzibilan te se zbrinjavao prekidom liječenja </w:t>
      </w:r>
      <w:r w:rsidR="00FC0C60">
        <w:rPr>
          <w:rFonts w:asciiTheme="majorBidi" w:hAnsiTheme="majorBidi" w:cstheme="majorBidi"/>
          <w:szCs w:val="22"/>
        </w:rPr>
        <w:t xml:space="preserve">dasatinibom </w:t>
      </w:r>
      <w:r w:rsidRPr="00F25CE6">
        <w:rPr>
          <w:rFonts w:asciiTheme="majorBidi" w:hAnsiTheme="majorBidi" w:cstheme="majorBidi"/>
          <w:szCs w:val="22"/>
        </w:rPr>
        <w:t>i primjenom diuretika ili drugim prikladnim mjerama potpornog liječenja (vidjeti dijelove 4.2 i 4.4). Među bolesnicima liječenima dasatinibom koji su imali pleuralni izljev uzrokovan primjenom lijeka (n</w:t>
      </w:r>
      <w:r w:rsidR="00797AB1">
        <w:rPr>
          <w:rFonts w:asciiTheme="majorBidi" w:hAnsiTheme="majorBidi" w:cstheme="majorBidi"/>
          <w:szCs w:val="22"/>
        </w:rPr>
        <w:t> </w:t>
      </w:r>
      <w:r w:rsidRPr="00F25CE6">
        <w:rPr>
          <w:rFonts w:asciiTheme="majorBidi" w:hAnsiTheme="majorBidi" w:cstheme="majorBidi"/>
          <w:szCs w:val="22"/>
        </w:rPr>
        <w:t>=</w:t>
      </w:r>
      <w:r w:rsidR="00797AB1">
        <w:rPr>
          <w:rFonts w:asciiTheme="majorBidi" w:hAnsiTheme="majorBidi" w:cstheme="majorBidi"/>
          <w:szCs w:val="22"/>
        </w:rPr>
        <w:t> </w:t>
      </w:r>
      <w:r w:rsidRPr="00F25CE6">
        <w:rPr>
          <w:rFonts w:asciiTheme="majorBidi" w:hAnsiTheme="majorBidi" w:cstheme="majorBidi"/>
          <w:szCs w:val="22"/>
        </w:rPr>
        <w:t>73), u njih 45 (62%) privremeno je prekinuta primjena lijeka, dok je u</w:t>
      </w:r>
      <w:r w:rsidR="001825EE">
        <w:rPr>
          <w:rFonts w:asciiTheme="majorBidi" w:hAnsiTheme="majorBidi" w:cstheme="majorBidi"/>
          <w:szCs w:val="22"/>
        </w:rPr>
        <w:t xml:space="preserve"> </w:t>
      </w:r>
      <w:r w:rsidRPr="00F25CE6">
        <w:rPr>
          <w:rFonts w:asciiTheme="majorBidi" w:hAnsiTheme="majorBidi" w:cstheme="majorBidi"/>
          <w:szCs w:val="22"/>
        </w:rPr>
        <w:t>30 bolesnika (41%) smanjena doza. Uz to, 34 (47%) bolesnika primala su diuretike, 23 (32%) kortikosteroide, a njih 20 (27%) i kortikosteroide i diuretike. Devet (12%) bolesnika bilo je podvrgnuto terapijskoj torakocentezi.</w:t>
      </w:r>
    </w:p>
    <w:p w14:paraId="5F554C38" w14:textId="68BFDD2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Šest posto bolesnika liječenih dasatinibom prekinulo je liječenje zbog pleuralnog izljeva uzrokovanog primjenom lijeka.</w:t>
      </w:r>
      <w:r w:rsidR="0011227A">
        <w:rPr>
          <w:rFonts w:asciiTheme="majorBidi" w:hAnsiTheme="majorBidi" w:cstheme="majorBidi"/>
          <w:szCs w:val="22"/>
        </w:rPr>
        <w:t xml:space="preserve"> </w:t>
      </w:r>
      <w:r w:rsidRPr="00F25CE6">
        <w:rPr>
          <w:rFonts w:asciiTheme="majorBidi" w:hAnsiTheme="majorBidi" w:cstheme="majorBidi"/>
          <w:szCs w:val="22"/>
        </w:rPr>
        <w:t>Pleuralni izljev nije utjecao na sposobnost bolesnika da postignu odgovor. Među bolesnicima s pleuralnim izljevom liječenima dasatinibom, njih 96% postiglo je cCCyR, 82% postiglo je MMR, a njih 50% postiglo je MR4,5 unatoč privremenom prekidu primjene lijeka ili prilagodbi doze.</w:t>
      </w:r>
    </w:p>
    <w:p w14:paraId="210583E3" w14:textId="30E5BAE3" w:rsidR="00AF7ABC"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Vidjeti dio 4.4 za više informacija o bolesnicima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i KML</w:t>
      </w:r>
      <w:r w:rsidR="00BE5BF4">
        <w:rPr>
          <w:rFonts w:asciiTheme="majorBidi" w:hAnsiTheme="majorBidi" w:cstheme="majorBidi"/>
          <w:szCs w:val="22"/>
        </w:rPr>
        <w:t>-om</w:t>
      </w:r>
      <w:r w:rsidRPr="00F25CE6">
        <w:rPr>
          <w:rFonts w:asciiTheme="majorBidi" w:hAnsiTheme="majorBidi" w:cstheme="majorBidi"/>
          <w:szCs w:val="22"/>
        </w:rPr>
        <w:t xml:space="preserve"> u uznapredovaloj fazi ili Ph+ ALL</w:t>
      </w:r>
      <w:r w:rsidR="00BE5BF4">
        <w:rPr>
          <w:rFonts w:asciiTheme="majorBidi" w:hAnsiTheme="majorBidi" w:cstheme="majorBidi"/>
          <w:szCs w:val="22"/>
        </w:rPr>
        <w:t>-om</w:t>
      </w:r>
      <w:r w:rsidRPr="00F25CE6">
        <w:rPr>
          <w:rFonts w:asciiTheme="majorBidi" w:hAnsiTheme="majorBidi" w:cstheme="majorBidi"/>
          <w:szCs w:val="22"/>
        </w:rPr>
        <w:t>.</w:t>
      </w:r>
    </w:p>
    <w:p w14:paraId="29E47762" w14:textId="77777777" w:rsidR="00F40B95" w:rsidRDefault="00F40B95" w:rsidP="00F25CE6">
      <w:pPr>
        <w:pStyle w:val="BodyText"/>
        <w:widowControl/>
        <w:rPr>
          <w:rFonts w:asciiTheme="majorBidi" w:hAnsiTheme="majorBidi" w:cstheme="majorBidi"/>
          <w:szCs w:val="22"/>
        </w:rPr>
      </w:pPr>
    </w:p>
    <w:p w14:paraId="700AA52D" w14:textId="6FD0AE38" w:rsidR="00416B4E" w:rsidRDefault="00F40B95" w:rsidP="00F25CE6">
      <w:pPr>
        <w:pStyle w:val="BodyText"/>
        <w:widowControl/>
        <w:rPr>
          <w:rFonts w:asciiTheme="majorBidi" w:hAnsiTheme="majorBidi" w:cstheme="majorBidi"/>
          <w:szCs w:val="22"/>
        </w:rPr>
      </w:pPr>
      <w:r>
        <w:rPr>
          <w:rFonts w:asciiTheme="majorBidi" w:hAnsiTheme="majorBidi" w:cstheme="majorBidi"/>
        </w:rPr>
        <w:t>Prijavljeni su slučajevi hilotoraksa u bolesnika s pleuralnim izljevom. Neki slučajevi hilotoraksa povukli su se nakon trajnog prekida, privremenog prekida ili smanjenja doze dasatiniba, ali je većina slučajeva zahtijevala i dodatno liječenje.</w:t>
      </w:r>
    </w:p>
    <w:p w14:paraId="091CF5CB" w14:textId="77777777" w:rsidR="00416B4E" w:rsidRPr="00F25CE6" w:rsidRDefault="00416B4E" w:rsidP="00F25CE6">
      <w:pPr>
        <w:pStyle w:val="BodyText"/>
        <w:widowControl/>
        <w:rPr>
          <w:rFonts w:asciiTheme="majorBidi" w:hAnsiTheme="majorBidi" w:cstheme="majorBidi"/>
          <w:szCs w:val="22"/>
        </w:rPr>
      </w:pPr>
    </w:p>
    <w:p w14:paraId="262A878D" w14:textId="77777777" w:rsidR="00AF7ABC" w:rsidRPr="00F25CE6" w:rsidRDefault="00422138" w:rsidP="0031614A">
      <w:pPr>
        <w:keepNext/>
        <w:widowControl/>
        <w:rPr>
          <w:rFonts w:asciiTheme="majorBidi" w:hAnsiTheme="majorBidi" w:cstheme="majorBidi"/>
          <w:i/>
        </w:rPr>
      </w:pPr>
      <w:r w:rsidRPr="00F25CE6">
        <w:rPr>
          <w:rFonts w:asciiTheme="majorBidi" w:hAnsiTheme="majorBidi" w:cstheme="majorBidi"/>
          <w:i/>
          <w:u w:val="single"/>
        </w:rPr>
        <w:t>Plućna arterijska hipertenzija (PAH)</w:t>
      </w:r>
    </w:p>
    <w:p w14:paraId="489F0310" w14:textId="77777777" w:rsidR="00AF7ABC" w:rsidRPr="00F25CE6" w:rsidRDefault="00422138" w:rsidP="0031614A">
      <w:pPr>
        <w:pStyle w:val="BodyText"/>
        <w:keepNext/>
        <w:widowControl/>
        <w:rPr>
          <w:rFonts w:asciiTheme="majorBidi" w:hAnsiTheme="majorBidi" w:cstheme="majorBidi"/>
          <w:szCs w:val="22"/>
        </w:rPr>
      </w:pPr>
      <w:r w:rsidRPr="00F25CE6">
        <w:rPr>
          <w:rFonts w:asciiTheme="majorBidi" w:hAnsiTheme="majorBidi" w:cstheme="majorBidi"/>
          <w:szCs w:val="22"/>
        </w:rPr>
        <w:t>Prijavljena je PAH (prekapilarna plućna arterijska hipertenzija potvrđena desnostranom kateterizacijom srca) povezana s izloženošću dasatinibu. U tim je slučajevima PAH bio zabilježen nakon početka terapije dasatinibom, pa čak i nakon više od godine dana liječenja. Bolesnici s PAH prijavljenim tijekom liječenja dasatinibom često su istodobno uzimali druge lijekove ili imali komorbiditet uz osnovnu malignu bolest. Nakon prekida primjene dasatiniba u bolesnika s PAH-om opažena su poboljšanja hemodinamskih i kliničkih parametara.</w:t>
      </w:r>
    </w:p>
    <w:p w14:paraId="17456AA9" w14:textId="77777777" w:rsidR="00AF7ABC" w:rsidRPr="00F25CE6" w:rsidRDefault="00AF7ABC" w:rsidP="00F25CE6">
      <w:pPr>
        <w:pStyle w:val="BodyText"/>
        <w:widowControl/>
        <w:rPr>
          <w:rFonts w:asciiTheme="majorBidi" w:hAnsiTheme="majorBidi" w:cstheme="majorBidi"/>
          <w:szCs w:val="22"/>
        </w:rPr>
      </w:pPr>
    </w:p>
    <w:p w14:paraId="5D1993CF"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Produljenje QT intervala</w:t>
      </w:r>
    </w:p>
    <w:p w14:paraId="394851CD" w14:textId="40D3D75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ispitivanju faze III u bolesnika s novodijagnosticiran</w:t>
      </w:r>
      <w:r w:rsidR="00BE5BF4">
        <w:rPr>
          <w:rFonts w:asciiTheme="majorBidi" w:hAnsiTheme="majorBidi" w:cstheme="majorBidi"/>
          <w:szCs w:val="22"/>
        </w:rPr>
        <w:t>i</w:t>
      </w:r>
      <w:r w:rsidRPr="00F25CE6">
        <w:rPr>
          <w:rFonts w:asciiTheme="majorBidi" w:hAnsiTheme="majorBidi" w:cstheme="majorBidi"/>
          <w:szCs w:val="22"/>
        </w:rPr>
        <w:t>m KML</w:t>
      </w:r>
      <w:r w:rsidR="00BE5BF4">
        <w:rPr>
          <w:rFonts w:asciiTheme="majorBidi" w:hAnsiTheme="majorBidi" w:cstheme="majorBidi"/>
          <w:szCs w:val="22"/>
        </w:rPr>
        <w:t>-om</w:t>
      </w:r>
      <w:r w:rsidRPr="00F25CE6">
        <w:rPr>
          <w:rFonts w:asciiTheme="majorBidi" w:hAnsiTheme="majorBidi" w:cstheme="majorBidi"/>
          <w:szCs w:val="22"/>
        </w:rPr>
        <w:t xml:space="preserve"> u kroničnoj fazi, nakon najmanje 12 mjeseci praćenja (vidjeti dio 4.4), jedan bolesnik (&lt;</w:t>
      </w:r>
      <w:r w:rsidR="008B34FA">
        <w:rPr>
          <w:rFonts w:asciiTheme="majorBidi" w:hAnsiTheme="majorBidi" w:cstheme="majorBidi"/>
          <w:szCs w:val="22"/>
        </w:rPr>
        <w:t> </w:t>
      </w:r>
      <w:r w:rsidRPr="00F25CE6">
        <w:rPr>
          <w:rFonts w:asciiTheme="majorBidi" w:hAnsiTheme="majorBidi" w:cstheme="majorBidi"/>
          <w:szCs w:val="22"/>
        </w:rPr>
        <w:t xml:space="preserve">1%) u skupini liječenoj </w:t>
      </w:r>
      <w:r w:rsidR="00744369">
        <w:rPr>
          <w:rFonts w:asciiTheme="majorBidi" w:hAnsiTheme="majorBidi" w:cstheme="majorBidi"/>
          <w:szCs w:val="22"/>
        </w:rPr>
        <w:t>dasatinibom</w:t>
      </w:r>
      <w:r w:rsidRPr="00F25CE6">
        <w:rPr>
          <w:rFonts w:asciiTheme="majorBidi" w:hAnsiTheme="majorBidi" w:cstheme="majorBidi"/>
          <w:szCs w:val="22"/>
        </w:rPr>
        <w:t xml:space="preserve"> imao je QTcF &gt;</w:t>
      </w:r>
      <w:r w:rsidR="006268ED">
        <w:rPr>
          <w:rFonts w:asciiTheme="majorBidi" w:hAnsiTheme="majorBidi" w:cstheme="majorBidi"/>
          <w:szCs w:val="22"/>
        </w:rPr>
        <w:t> </w:t>
      </w:r>
      <w:r w:rsidRPr="00F25CE6">
        <w:rPr>
          <w:rFonts w:asciiTheme="majorBidi" w:hAnsiTheme="majorBidi" w:cstheme="majorBidi"/>
          <w:szCs w:val="22"/>
        </w:rPr>
        <w:t>500 msek. Nakon najmanje 60 mjeseci praćenja nije bilo dodatnih bolesnika s QTcF &gt;</w:t>
      </w:r>
      <w:r w:rsidR="006268ED">
        <w:rPr>
          <w:rFonts w:asciiTheme="majorBidi" w:hAnsiTheme="majorBidi" w:cstheme="majorBidi"/>
          <w:szCs w:val="22"/>
        </w:rPr>
        <w:t> </w:t>
      </w:r>
      <w:r w:rsidRPr="00F25CE6">
        <w:rPr>
          <w:rFonts w:asciiTheme="majorBidi" w:hAnsiTheme="majorBidi" w:cstheme="majorBidi"/>
          <w:szCs w:val="22"/>
        </w:rPr>
        <w:t>500 msek.</w:t>
      </w:r>
    </w:p>
    <w:p w14:paraId="26770B01" w14:textId="08D76A6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5 kliničkih ispitivanja faze II u bolesnika koji ne podnose prethodnu terapiju imatinibom ili su rezistentni na imatinib učinjeni su EKG pregledi prije početka i za vrijeme trajanja liječenja u unaprijed određenim vremenskim točkama, uz centralno očitavanje nalaza, u svih 865 bolesnika koji su primali </w:t>
      </w:r>
      <w:r w:rsidR="00744369">
        <w:rPr>
          <w:rFonts w:asciiTheme="majorBidi" w:hAnsiTheme="majorBidi" w:cstheme="majorBidi"/>
          <w:szCs w:val="22"/>
        </w:rPr>
        <w:t xml:space="preserve">dasatinib </w:t>
      </w:r>
      <w:r w:rsidRPr="00F25CE6">
        <w:rPr>
          <w:rFonts w:asciiTheme="majorBidi" w:hAnsiTheme="majorBidi" w:cstheme="majorBidi"/>
          <w:szCs w:val="22"/>
        </w:rPr>
        <w:t>u dozi od 70 mg dvaput dnevno. QT interval je bio korigiran za srčanu frekvenciju prema Fridericijinoj metodi. U svim vremenskim točkama nakon doze 8. dana, prosječna promjena u duljini QTcF intervala u odnosu na početnu iznosila je 4</w:t>
      </w:r>
      <w:r w:rsidR="00CA2DB3" w:rsidRPr="009474C0">
        <w:rPr>
          <w:szCs w:val="22"/>
        </w:rPr>
        <w:t> – </w:t>
      </w:r>
      <w:r w:rsidRPr="00F25CE6">
        <w:rPr>
          <w:rFonts w:asciiTheme="majorBidi" w:hAnsiTheme="majorBidi" w:cstheme="majorBidi"/>
          <w:szCs w:val="22"/>
        </w:rPr>
        <w:t xml:space="preserve">6 msek, uz gornju granicu 95% </w:t>
      </w:r>
      <w:r w:rsidR="00ED06BA">
        <w:rPr>
          <w:rFonts w:asciiTheme="majorBidi" w:hAnsiTheme="majorBidi" w:cstheme="majorBidi"/>
          <w:szCs w:val="22"/>
        </w:rPr>
        <w:t>intervala</w:t>
      </w:r>
      <w:r w:rsidR="00ED06BA" w:rsidRPr="00F25CE6">
        <w:rPr>
          <w:rFonts w:asciiTheme="majorBidi" w:hAnsiTheme="majorBidi" w:cstheme="majorBidi"/>
          <w:szCs w:val="22"/>
        </w:rPr>
        <w:t xml:space="preserve"> </w:t>
      </w:r>
      <w:r w:rsidRPr="00F25CE6">
        <w:rPr>
          <w:rFonts w:asciiTheme="majorBidi" w:hAnsiTheme="majorBidi" w:cstheme="majorBidi"/>
          <w:szCs w:val="22"/>
        </w:rPr>
        <w:t>pouzdanosti od &lt;</w:t>
      </w:r>
      <w:r w:rsidR="00ED06BA">
        <w:rPr>
          <w:rFonts w:asciiTheme="majorBidi" w:hAnsiTheme="majorBidi" w:cstheme="majorBidi"/>
          <w:szCs w:val="22"/>
        </w:rPr>
        <w:t> </w:t>
      </w:r>
      <w:r w:rsidRPr="00F25CE6">
        <w:rPr>
          <w:rFonts w:asciiTheme="majorBidi" w:hAnsiTheme="majorBidi" w:cstheme="majorBidi"/>
          <w:szCs w:val="22"/>
        </w:rPr>
        <w:t xml:space="preserve">7 msek. Od 2182 bolesnika koji ne podnose prethodnu terapiju imatinibom ili su </w:t>
      </w:r>
      <w:r w:rsidRPr="00F25CE6">
        <w:rPr>
          <w:rFonts w:asciiTheme="majorBidi" w:hAnsiTheme="majorBidi" w:cstheme="majorBidi"/>
          <w:szCs w:val="22"/>
        </w:rPr>
        <w:lastRenderedPageBreak/>
        <w:t xml:space="preserve">otporni na imatinib i primali su </w:t>
      </w:r>
      <w:r w:rsidR="00744369">
        <w:rPr>
          <w:rFonts w:asciiTheme="majorBidi" w:hAnsiTheme="majorBidi" w:cstheme="majorBidi"/>
          <w:szCs w:val="22"/>
        </w:rPr>
        <w:t>dasatinib</w:t>
      </w:r>
      <w:r w:rsidRPr="00F25CE6">
        <w:rPr>
          <w:rFonts w:asciiTheme="majorBidi" w:hAnsiTheme="majorBidi" w:cstheme="majorBidi"/>
          <w:szCs w:val="22"/>
        </w:rPr>
        <w:t xml:space="preserve"> u kliničkim ispitivanjima, 15 (1%) je imalo produljenje QTc intervala koje je zabilježeno kao nuspojava. Dvadeset jedan (1%) bolesnik imao je QTcF &gt;</w:t>
      </w:r>
      <w:r w:rsidR="006268ED">
        <w:rPr>
          <w:rFonts w:asciiTheme="majorBidi" w:hAnsiTheme="majorBidi" w:cstheme="majorBidi"/>
          <w:szCs w:val="22"/>
        </w:rPr>
        <w:t> </w:t>
      </w:r>
      <w:r w:rsidRPr="00F25CE6">
        <w:rPr>
          <w:rFonts w:asciiTheme="majorBidi" w:hAnsiTheme="majorBidi" w:cstheme="majorBidi"/>
          <w:szCs w:val="22"/>
        </w:rPr>
        <w:t>500 msek (vidjeti dio 4.4).</w:t>
      </w:r>
    </w:p>
    <w:p w14:paraId="3FEDDD8F" w14:textId="77777777" w:rsidR="00AF7ABC" w:rsidRPr="00F25CE6" w:rsidRDefault="00AF7ABC" w:rsidP="00F25CE6">
      <w:pPr>
        <w:pStyle w:val="BodyText"/>
        <w:widowControl/>
        <w:rPr>
          <w:rFonts w:asciiTheme="majorBidi" w:hAnsiTheme="majorBidi" w:cstheme="majorBidi"/>
          <w:szCs w:val="22"/>
        </w:rPr>
      </w:pPr>
    </w:p>
    <w:p w14:paraId="235999A2"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Srčane nuspojave</w:t>
      </w:r>
    </w:p>
    <w:p w14:paraId="3F6797CB"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Bolesnike s rizičnim faktorima ili srčanom bolešću u anamnezi mora se pažljivo pratiti na znakove i simptome poremećaja srčane funkcije te ih se mora dijagnostički obraditi i liječiti na odgovarajući način (vidjeti dio 4.4).</w:t>
      </w:r>
    </w:p>
    <w:p w14:paraId="04372C94" w14:textId="77777777" w:rsidR="00AF7ABC" w:rsidRPr="00F25CE6" w:rsidRDefault="00AF7ABC" w:rsidP="00F25CE6">
      <w:pPr>
        <w:pStyle w:val="BodyText"/>
        <w:widowControl/>
        <w:rPr>
          <w:rFonts w:asciiTheme="majorBidi" w:hAnsiTheme="majorBidi" w:cstheme="majorBidi"/>
          <w:szCs w:val="22"/>
        </w:rPr>
      </w:pPr>
    </w:p>
    <w:p w14:paraId="53B5D779"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Ponovna aktivacija hepatitisa B</w:t>
      </w:r>
    </w:p>
    <w:p w14:paraId="02180F2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Ponovna aktivacija hepatitisa B zabilježena je u vezi s inhibitorima BCR-ABL tirozin kinaze. U nekim je slučajevima došlo do akutnog zatajenja jetre ili fulminantnog hepatitisa što je dovelo do transplantacije jetre ili smrtnog ishoda (vidjeti dio 4.4).</w:t>
      </w:r>
    </w:p>
    <w:p w14:paraId="700A2EF8" w14:textId="77777777" w:rsidR="00AF7ABC" w:rsidRPr="00F25CE6" w:rsidRDefault="00AF7ABC" w:rsidP="00F25CE6">
      <w:pPr>
        <w:pStyle w:val="BodyText"/>
        <w:widowControl/>
        <w:rPr>
          <w:rFonts w:asciiTheme="majorBidi" w:hAnsiTheme="majorBidi" w:cstheme="majorBidi"/>
          <w:szCs w:val="22"/>
        </w:rPr>
      </w:pPr>
    </w:p>
    <w:p w14:paraId="0ED9E88C" w14:textId="766875FE" w:rsidR="008A564B"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U ispitivanju optimizacije doze faze III u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koji ne podnose ili su otporni na prethodnu terapiju imatinibom (medijan trajanja liječenja bio je 30 mjeseci), incidencija pleuralnog izljeva i kongestivnog zatajenja srca/srčana disfunkcija bila je manja u skupini koja je primala </w:t>
      </w:r>
      <w:r w:rsidR="00744369">
        <w:rPr>
          <w:rFonts w:asciiTheme="majorBidi" w:hAnsiTheme="majorBidi" w:cstheme="majorBidi"/>
          <w:szCs w:val="22"/>
        </w:rPr>
        <w:t>dasatinib</w:t>
      </w:r>
      <w:r w:rsidRPr="00F25CE6">
        <w:rPr>
          <w:rFonts w:asciiTheme="majorBidi" w:hAnsiTheme="majorBidi" w:cstheme="majorBidi"/>
          <w:szCs w:val="22"/>
        </w:rPr>
        <w:t xml:space="preserve"> u dozi od 100 mg jedanput dnevno nego u skupini koja je primala </w:t>
      </w:r>
      <w:r w:rsidR="00744369">
        <w:rPr>
          <w:rFonts w:asciiTheme="majorBidi" w:hAnsiTheme="majorBidi" w:cstheme="majorBidi"/>
          <w:szCs w:val="22"/>
        </w:rPr>
        <w:t>dasatinib</w:t>
      </w:r>
      <w:r w:rsidRPr="00F25CE6">
        <w:rPr>
          <w:rFonts w:asciiTheme="majorBidi" w:hAnsiTheme="majorBidi" w:cstheme="majorBidi"/>
          <w:szCs w:val="22"/>
        </w:rPr>
        <w:t xml:space="preserve"> u dozi od 70 mg dvaput dnevno. </w:t>
      </w:r>
    </w:p>
    <w:p w14:paraId="51B8DE33" w14:textId="7000A628" w:rsidR="00AF7ABC" w:rsidRPr="00F25CE6"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Manja učestalost mijelosupresije prijavljena je u skupini liječenoj dozom od 100 mg jednom dnevno (vidjeti</w:t>
      </w:r>
      <w:r w:rsidR="007C5A7B">
        <w:rPr>
          <w:rFonts w:asciiTheme="majorBidi" w:hAnsiTheme="majorBidi" w:cstheme="majorBidi"/>
          <w:szCs w:val="22"/>
        </w:rPr>
        <w:t xml:space="preserve"> pod</w:t>
      </w:r>
      <w:r w:rsidRPr="00F25CE6">
        <w:rPr>
          <w:rFonts w:asciiTheme="majorBidi" w:hAnsiTheme="majorBidi" w:cstheme="majorBidi"/>
          <w:szCs w:val="22"/>
        </w:rPr>
        <w:t xml:space="preserve"> </w:t>
      </w:r>
      <w:r w:rsidR="007C5A7B">
        <w:rPr>
          <w:rFonts w:asciiTheme="majorBidi" w:hAnsiTheme="majorBidi" w:cstheme="majorBidi"/>
          <w:szCs w:val="22"/>
        </w:rPr>
        <w:t>„Poremećaji l</w:t>
      </w:r>
      <w:r w:rsidRPr="00F25CE6">
        <w:rPr>
          <w:rFonts w:asciiTheme="majorBidi" w:hAnsiTheme="majorBidi" w:cstheme="majorBidi"/>
          <w:szCs w:val="22"/>
        </w:rPr>
        <w:t>aboratorijski</w:t>
      </w:r>
      <w:r w:rsidR="007C5A7B">
        <w:rPr>
          <w:rFonts w:asciiTheme="majorBidi" w:hAnsiTheme="majorBidi" w:cstheme="majorBidi"/>
          <w:szCs w:val="22"/>
        </w:rPr>
        <w:t>h nalaza“ u nastavku</w:t>
      </w:r>
      <w:r w:rsidRPr="00F25CE6">
        <w:rPr>
          <w:rFonts w:asciiTheme="majorBidi" w:hAnsiTheme="majorBidi" w:cstheme="majorBidi"/>
          <w:szCs w:val="22"/>
        </w:rPr>
        <w:t>). Medijan trajanja liječenja u skupini liječenoj dozom od 100 mg jedanput dnevno iznosio je 37 mjeseci (raspon:</w:t>
      </w:r>
      <w:r w:rsidR="001825EE">
        <w:rPr>
          <w:rFonts w:asciiTheme="majorBidi" w:hAnsiTheme="majorBidi" w:cstheme="majorBidi"/>
          <w:szCs w:val="22"/>
        </w:rPr>
        <w:t xml:space="preserve"> </w:t>
      </w:r>
      <w:r w:rsidRPr="00F25CE6">
        <w:rPr>
          <w:rFonts w:asciiTheme="majorBidi" w:hAnsiTheme="majorBidi" w:cstheme="majorBidi"/>
          <w:szCs w:val="22"/>
        </w:rPr>
        <w:t>1</w:t>
      </w:r>
      <w:r w:rsidR="007C5A7B" w:rsidRPr="007C5A7B">
        <w:rPr>
          <w:rFonts w:asciiTheme="majorBidi" w:hAnsiTheme="majorBidi" w:cstheme="majorBidi"/>
          <w:szCs w:val="22"/>
        </w:rPr>
        <w:t xml:space="preserve"> </w:t>
      </w:r>
      <w:r w:rsidR="007C5A7B" w:rsidRPr="009474C0">
        <w:rPr>
          <w:szCs w:val="22"/>
        </w:rPr>
        <w:t>– </w:t>
      </w:r>
      <w:r w:rsidRPr="00F25CE6">
        <w:rPr>
          <w:rFonts w:asciiTheme="majorBidi" w:hAnsiTheme="majorBidi" w:cstheme="majorBidi"/>
          <w:szCs w:val="22"/>
        </w:rPr>
        <w:t>91 mjesec). Kumulativne stope odabranih nuspojava prijavljenih u skupini liječenoj preporučenom početnom dozom od 100 mg jedanput dnevno prikazane su u Tablici 6a.</w:t>
      </w:r>
    </w:p>
    <w:p w14:paraId="3C312FE8" w14:textId="77777777" w:rsidR="00A15E8A" w:rsidRPr="00F25CE6" w:rsidRDefault="00A15E8A" w:rsidP="00F25CE6">
      <w:pPr>
        <w:widowControl/>
        <w:rPr>
          <w:rFonts w:asciiTheme="majorBidi" w:hAnsiTheme="majorBidi" w:cstheme="majorBidi"/>
        </w:rPr>
      </w:pPr>
    </w:p>
    <w:p w14:paraId="4607A7E7" w14:textId="175CBC4A" w:rsidR="00AF7ABC" w:rsidRPr="00F25CE6" w:rsidRDefault="00422138" w:rsidP="001825EE">
      <w:pPr>
        <w:pStyle w:val="Tableheading"/>
      </w:pPr>
      <w:r w:rsidRPr="00F25CE6">
        <w:t>Tablica 6a:</w:t>
      </w:r>
      <w:r w:rsidR="001825EE">
        <w:tab/>
      </w:r>
      <w:r w:rsidRPr="00F25CE6">
        <w:t xml:space="preserve">Odabrane nuspojave prijavljene u ispitivanju optimizacije doze faze </w:t>
      </w:r>
      <w:r w:rsidR="00071F21">
        <w:t>III</w:t>
      </w:r>
      <w:r w:rsidRPr="00F25CE6">
        <w:t xml:space="preserve"> (bolesnici s KML</w:t>
      </w:r>
      <w:r w:rsidR="007C5A7B">
        <w:t>-om</w:t>
      </w:r>
      <w:r w:rsidRPr="00F25CE6">
        <w:t xml:space="preserve"> u kroničnoj fazi koji ne podnose imatinib ili su otporni na njega)</w:t>
      </w:r>
      <w:r w:rsidRPr="00F25CE6">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82"/>
        <w:gridCol w:w="1163"/>
        <w:gridCol w:w="1163"/>
        <w:gridCol w:w="1163"/>
        <w:gridCol w:w="1163"/>
        <w:gridCol w:w="1163"/>
        <w:gridCol w:w="1163"/>
      </w:tblGrid>
      <w:tr w:rsidR="00AF7ABC" w:rsidRPr="00F25CE6" w14:paraId="517D8D36" w14:textId="77777777" w:rsidTr="001825EE">
        <w:trPr>
          <w:trHeight w:val="20"/>
        </w:trPr>
        <w:tc>
          <w:tcPr>
            <w:tcW w:w="2382" w:type="dxa"/>
            <w:tcBorders>
              <w:top w:val="single" w:sz="4" w:space="0" w:color="000000"/>
              <w:bottom w:val="single" w:sz="4" w:space="0" w:color="000000"/>
              <w:right w:val="single" w:sz="4" w:space="0" w:color="000000"/>
            </w:tcBorders>
          </w:tcPr>
          <w:p w14:paraId="2EC133D8" w14:textId="77777777" w:rsidR="00AF7ABC" w:rsidRPr="00F25CE6" w:rsidRDefault="00AF7ABC" w:rsidP="001825EE">
            <w:pPr>
              <w:pStyle w:val="TableParagraph"/>
              <w:autoSpaceDE/>
              <w:autoSpaceDN/>
              <w:ind w:left="29" w:right="29"/>
              <w:rPr>
                <w:rFonts w:asciiTheme="majorBidi" w:hAnsiTheme="majorBidi" w:cstheme="majorBidi"/>
              </w:rPr>
            </w:pPr>
          </w:p>
        </w:tc>
        <w:tc>
          <w:tcPr>
            <w:tcW w:w="2326" w:type="dxa"/>
            <w:gridSpan w:val="2"/>
            <w:tcBorders>
              <w:top w:val="single" w:sz="4" w:space="0" w:color="000000"/>
              <w:left w:val="single" w:sz="4" w:space="0" w:color="000000"/>
              <w:bottom w:val="single" w:sz="4" w:space="0" w:color="000000"/>
              <w:right w:val="single" w:sz="4" w:space="0" w:color="000000"/>
            </w:tcBorders>
          </w:tcPr>
          <w:p w14:paraId="44EEA0AA"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Minimalno 2 godine praćenja</w:t>
            </w:r>
          </w:p>
        </w:tc>
        <w:tc>
          <w:tcPr>
            <w:tcW w:w="2326" w:type="dxa"/>
            <w:gridSpan w:val="2"/>
            <w:tcBorders>
              <w:top w:val="single" w:sz="4" w:space="0" w:color="000000"/>
              <w:left w:val="single" w:sz="4" w:space="0" w:color="000000"/>
              <w:bottom w:val="single" w:sz="4" w:space="0" w:color="000000"/>
              <w:right w:val="single" w:sz="4" w:space="0" w:color="000000"/>
            </w:tcBorders>
          </w:tcPr>
          <w:p w14:paraId="11966045"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Minimalno 5 godina praćenja</w:t>
            </w:r>
          </w:p>
        </w:tc>
        <w:tc>
          <w:tcPr>
            <w:tcW w:w="2326" w:type="dxa"/>
            <w:gridSpan w:val="2"/>
            <w:tcBorders>
              <w:top w:val="single" w:sz="4" w:space="0" w:color="000000"/>
              <w:left w:val="single" w:sz="4" w:space="0" w:color="000000"/>
              <w:bottom w:val="single" w:sz="4" w:space="0" w:color="000000"/>
            </w:tcBorders>
          </w:tcPr>
          <w:p w14:paraId="50F7E79F"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Minimalno 7 godina praćenja</w:t>
            </w:r>
          </w:p>
        </w:tc>
      </w:tr>
      <w:tr w:rsidR="00AF7ABC" w:rsidRPr="00F25CE6" w14:paraId="12F16763" w14:textId="77777777" w:rsidTr="001825EE">
        <w:trPr>
          <w:trHeight w:val="20"/>
        </w:trPr>
        <w:tc>
          <w:tcPr>
            <w:tcW w:w="2382" w:type="dxa"/>
            <w:tcBorders>
              <w:top w:val="single" w:sz="4" w:space="0" w:color="000000"/>
              <w:bottom w:val="single" w:sz="4" w:space="0" w:color="000000"/>
              <w:right w:val="single" w:sz="4" w:space="0" w:color="000000"/>
            </w:tcBorders>
          </w:tcPr>
          <w:p w14:paraId="589F3146" w14:textId="77777777" w:rsidR="00AF7ABC" w:rsidRPr="00F25CE6" w:rsidRDefault="00AF7ABC" w:rsidP="001825EE">
            <w:pPr>
              <w:pStyle w:val="TableParagraph"/>
              <w:autoSpaceDE/>
              <w:autoSpaceDN/>
              <w:ind w:left="29" w:right="29"/>
              <w:rPr>
                <w:rFonts w:asciiTheme="majorBidi" w:hAnsiTheme="majorBidi" w:cstheme="majorBidi"/>
              </w:rPr>
            </w:pPr>
          </w:p>
        </w:tc>
        <w:tc>
          <w:tcPr>
            <w:tcW w:w="1163" w:type="dxa"/>
            <w:tcBorders>
              <w:top w:val="single" w:sz="4" w:space="0" w:color="000000"/>
              <w:left w:val="single" w:sz="4" w:space="0" w:color="000000"/>
              <w:bottom w:val="single" w:sz="4" w:space="0" w:color="000000"/>
            </w:tcBorders>
          </w:tcPr>
          <w:p w14:paraId="6E323068"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Svi stupnjevi</w:t>
            </w:r>
          </w:p>
        </w:tc>
        <w:tc>
          <w:tcPr>
            <w:tcW w:w="1163" w:type="dxa"/>
            <w:tcBorders>
              <w:top w:val="single" w:sz="4" w:space="0" w:color="000000"/>
              <w:bottom w:val="single" w:sz="4" w:space="0" w:color="000000"/>
              <w:right w:val="single" w:sz="4" w:space="0" w:color="000000"/>
            </w:tcBorders>
          </w:tcPr>
          <w:p w14:paraId="1677E7CA"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3./4.</w:t>
            </w:r>
          </w:p>
          <w:p w14:paraId="1103FA57"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stupanj</w:t>
            </w:r>
          </w:p>
        </w:tc>
        <w:tc>
          <w:tcPr>
            <w:tcW w:w="1163" w:type="dxa"/>
            <w:tcBorders>
              <w:top w:val="single" w:sz="4" w:space="0" w:color="000000"/>
              <w:left w:val="single" w:sz="4" w:space="0" w:color="000000"/>
              <w:bottom w:val="single" w:sz="4" w:space="0" w:color="000000"/>
            </w:tcBorders>
          </w:tcPr>
          <w:p w14:paraId="60A799CB"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Svi stupnjevi</w:t>
            </w:r>
          </w:p>
        </w:tc>
        <w:tc>
          <w:tcPr>
            <w:tcW w:w="1163" w:type="dxa"/>
            <w:tcBorders>
              <w:top w:val="single" w:sz="4" w:space="0" w:color="000000"/>
              <w:bottom w:val="single" w:sz="4" w:space="0" w:color="000000"/>
              <w:right w:val="single" w:sz="4" w:space="0" w:color="000000"/>
            </w:tcBorders>
          </w:tcPr>
          <w:p w14:paraId="18C3F7CF"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3./4.</w:t>
            </w:r>
          </w:p>
          <w:p w14:paraId="31068BBA"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stupanj</w:t>
            </w:r>
          </w:p>
        </w:tc>
        <w:tc>
          <w:tcPr>
            <w:tcW w:w="1163" w:type="dxa"/>
            <w:tcBorders>
              <w:top w:val="single" w:sz="4" w:space="0" w:color="000000"/>
              <w:left w:val="single" w:sz="4" w:space="0" w:color="000000"/>
              <w:bottom w:val="single" w:sz="4" w:space="0" w:color="000000"/>
            </w:tcBorders>
          </w:tcPr>
          <w:p w14:paraId="632B3C01"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Svi stupnjevi</w:t>
            </w:r>
          </w:p>
        </w:tc>
        <w:tc>
          <w:tcPr>
            <w:tcW w:w="1163" w:type="dxa"/>
            <w:tcBorders>
              <w:top w:val="single" w:sz="4" w:space="0" w:color="000000"/>
              <w:bottom w:val="single" w:sz="4" w:space="0" w:color="000000"/>
            </w:tcBorders>
          </w:tcPr>
          <w:p w14:paraId="0CA9DF9D"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3./4.</w:t>
            </w:r>
          </w:p>
          <w:p w14:paraId="6BF43711" w14:textId="77777777" w:rsidR="00AF7ABC" w:rsidRPr="00F25CE6" w:rsidRDefault="00422138"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stupanj</w:t>
            </w:r>
          </w:p>
        </w:tc>
      </w:tr>
      <w:tr w:rsidR="00AF7ABC" w:rsidRPr="00F25CE6" w14:paraId="0751E1EB" w14:textId="77777777" w:rsidTr="001825EE">
        <w:trPr>
          <w:trHeight w:val="20"/>
        </w:trPr>
        <w:tc>
          <w:tcPr>
            <w:tcW w:w="2382" w:type="dxa"/>
            <w:tcBorders>
              <w:top w:val="single" w:sz="4" w:space="0" w:color="000000"/>
              <w:bottom w:val="single" w:sz="4" w:space="0" w:color="000000"/>
              <w:right w:val="single" w:sz="4" w:space="0" w:color="000000"/>
            </w:tcBorders>
          </w:tcPr>
          <w:p w14:paraId="5217FD22" w14:textId="77777777" w:rsidR="00AF7ABC" w:rsidRPr="00F25CE6" w:rsidRDefault="00422138" w:rsidP="001825EE">
            <w:pPr>
              <w:pStyle w:val="TableParagraph"/>
              <w:autoSpaceDE/>
              <w:autoSpaceDN/>
              <w:ind w:left="29" w:right="29"/>
              <w:rPr>
                <w:rFonts w:asciiTheme="majorBidi" w:hAnsiTheme="majorBidi" w:cstheme="majorBidi"/>
                <w:b/>
              </w:rPr>
            </w:pPr>
            <w:r w:rsidRPr="00F25CE6">
              <w:rPr>
                <w:rFonts w:asciiTheme="majorBidi" w:hAnsiTheme="majorBidi" w:cstheme="majorBidi"/>
                <w:b/>
              </w:rPr>
              <w:t>Preporučeni pojam</w:t>
            </w:r>
          </w:p>
        </w:tc>
        <w:tc>
          <w:tcPr>
            <w:tcW w:w="6978" w:type="dxa"/>
            <w:gridSpan w:val="6"/>
            <w:tcBorders>
              <w:top w:val="single" w:sz="4" w:space="0" w:color="000000"/>
              <w:left w:val="single" w:sz="4" w:space="0" w:color="000000"/>
              <w:bottom w:val="single" w:sz="4" w:space="0" w:color="000000"/>
            </w:tcBorders>
          </w:tcPr>
          <w:p w14:paraId="7D56D5B8"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Postotak (%) bolesnika</w:t>
            </w:r>
          </w:p>
        </w:tc>
      </w:tr>
      <w:tr w:rsidR="00AF7ABC" w:rsidRPr="00F25CE6" w14:paraId="2C303BB6" w14:textId="77777777" w:rsidTr="001825EE">
        <w:trPr>
          <w:trHeight w:val="20"/>
        </w:trPr>
        <w:tc>
          <w:tcPr>
            <w:tcW w:w="2382" w:type="dxa"/>
            <w:tcBorders>
              <w:top w:val="single" w:sz="4" w:space="0" w:color="000000"/>
              <w:right w:val="single" w:sz="4" w:space="0" w:color="000000"/>
            </w:tcBorders>
          </w:tcPr>
          <w:p w14:paraId="6B54A167" w14:textId="77777777" w:rsidR="00AF7ABC" w:rsidRPr="00F25CE6" w:rsidRDefault="00422138" w:rsidP="001825EE">
            <w:pPr>
              <w:pStyle w:val="TableParagraph"/>
              <w:autoSpaceDE/>
              <w:autoSpaceDN/>
              <w:ind w:left="29" w:right="29"/>
              <w:rPr>
                <w:rFonts w:asciiTheme="majorBidi" w:hAnsiTheme="majorBidi" w:cstheme="majorBidi"/>
                <w:b/>
              </w:rPr>
            </w:pPr>
            <w:r w:rsidRPr="00F25CE6">
              <w:rPr>
                <w:rFonts w:asciiTheme="majorBidi" w:hAnsiTheme="majorBidi" w:cstheme="majorBidi"/>
                <w:b/>
              </w:rPr>
              <w:t>Proljev</w:t>
            </w:r>
          </w:p>
        </w:tc>
        <w:tc>
          <w:tcPr>
            <w:tcW w:w="1163" w:type="dxa"/>
            <w:tcBorders>
              <w:top w:val="single" w:sz="4" w:space="0" w:color="000000"/>
              <w:left w:val="single" w:sz="4" w:space="0" w:color="000000"/>
            </w:tcBorders>
          </w:tcPr>
          <w:p w14:paraId="28C0CCA1"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27</w:t>
            </w:r>
          </w:p>
        </w:tc>
        <w:tc>
          <w:tcPr>
            <w:tcW w:w="1163" w:type="dxa"/>
            <w:tcBorders>
              <w:top w:val="single" w:sz="4" w:space="0" w:color="000000"/>
              <w:right w:val="single" w:sz="4" w:space="0" w:color="000000"/>
            </w:tcBorders>
          </w:tcPr>
          <w:p w14:paraId="0776F8A9"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top w:val="single" w:sz="4" w:space="0" w:color="000000"/>
              <w:left w:val="single" w:sz="4" w:space="0" w:color="000000"/>
            </w:tcBorders>
          </w:tcPr>
          <w:p w14:paraId="7A2E1966"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28</w:t>
            </w:r>
          </w:p>
        </w:tc>
        <w:tc>
          <w:tcPr>
            <w:tcW w:w="1163" w:type="dxa"/>
            <w:tcBorders>
              <w:top w:val="single" w:sz="4" w:space="0" w:color="000000"/>
              <w:right w:val="single" w:sz="4" w:space="0" w:color="000000"/>
            </w:tcBorders>
          </w:tcPr>
          <w:p w14:paraId="55914C20"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top w:val="single" w:sz="4" w:space="0" w:color="000000"/>
              <w:left w:val="single" w:sz="4" w:space="0" w:color="000000"/>
            </w:tcBorders>
          </w:tcPr>
          <w:p w14:paraId="42223B0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28</w:t>
            </w:r>
          </w:p>
        </w:tc>
        <w:tc>
          <w:tcPr>
            <w:tcW w:w="1163" w:type="dxa"/>
            <w:tcBorders>
              <w:top w:val="single" w:sz="4" w:space="0" w:color="000000"/>
            </w:tcBorders>
          </w:tcPr>
          <w:p w14:paraId="363F0F06"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r>
      <w:tr w:rsidR="00AF7ABC" w:rsidRPr="00F25CE6" w14:paraId="21CBE6C5" w14:textId="77777777" w:rsidTr="001825EE">
        <w:trPr>
          <w:trHeight w:val="20"/>
        </w:trPr>
        <w:tc>
          <w:tcPr>
            <w:tcW w:w="2382" w:type="dxa"/>
            <w:tcBorders>
              <w:right w:val="single" w:sz="4" w:space="0" w:color="000000"/>
            </w:tcBorders>
          </w:tcPr>
          <w:p w14:paraId="516F897C" w14:textId="77777777" w:rsidR="00AF7ABC" w:rsidRPr="00F25CE6" w:rsidRDefault="00422138" w:rsidP="001825EE">
            <w:pPr>
              <w:pStyle w:val="TableParagraph"/>
              <w:autoSpaceDE/>
              <w:autoSpaceDN/>
              <w:ind w:left="29" w:right="29"/>
              <w:rPr>
                <w:rFonts w:asciiTheme="majorBidi" w:hAnsiTheme="majorBidi" w:cstheme="majorBidi"/>
                <w:b/>
              </w:rPr>
            </w:pPr>
            <w:r w:rsidRPr="00F25CE6">
              <w:rPr>
                <w:rFonts w:asciiTheme="majorBidi" w:hAnsiTheme="majorBidi" w:cstheme="majorBidi"/>
                <w:b/>
              </w:rPr>
              <w:t>Zadržavanje tekućine</w:t>
            </w:r>
          </w:p>
        </w:tc>
        <w:tc>
          <w:tcPr>
            <w:tcW w:w="1163" w:type="dxa"/>
            <w:tcBorders>
              <w:left w:val="single" w:sz="4" w:space="0" w:color="000000"/>
            </w:tcBorders>
          </w:tcPr>
          <w:p w14:paraId="3EFA481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34</w:t>
            </w:r>
          </w:p>
        </w:tc>
        <w:tc>
          <w:tcPr>
            <w:tcW w:w="1163" w:type="dxa"/>
            <w:tcBorders>
              <w:right w:val="single" w:sz="4" w:space="0" w:color="000000"/>
            </w:tcBorders>
          </w:tcPr>
          <w:p w14:paraId="22AD7A39"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w:t>
            </w:r>
          </w:p>
        </w:tc>
        <w:tc>
          <w:tcPr>
            <w:tcW w:w="1163" w:type="dxa"/>
            <w:tcBorders>
              <w:left w:val="single" w:sz="4" w:space="0" w:color="000000"/>
            </w:tcBorders>
          </w:tcPr>
          <w:p w14:paraId="74368F9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42</w:t>
            </w:r>
          </w:p>
        </w:tc>
        <w:tc>
          <w:tcPr>
            <w:tcW w:w="1163" w:type="dxa"/>
            <w:tcBorders>
              <w:right w:val="single" w:sz="4" w:space="0" w:color="000000"/>
            </w:tcBorders>
          </w:tcPr>
          <w:p w14:paraId="6C2F2DC7"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w:t>
            </w:r>
          </w:p>
        </w:tc>
        <w:tc>
          <w:tcPr>
            <w:tcW w:w="1163" w:type="dxa"/>
            <w:tcBorders>
              <w:left w:val="single" w:sz="4" w:space="0" w:color="000000"/>
            </w:tcBorders>
          </w:tcPr>
          <w:p w14:paraId="68FC25CC"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48</w:t>
            </w:r>
          </w:p>
        </w:tc>
        <w:tc>
          <w:tcPr>
            <w:tcW w:w="1163" w:type="dxa"/>
          </w:tcPr>
          <w:p w14:paraId="2C4302B7"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w:t>
            </w:r>
          </w:p>
        </w:tc>
      </w:tr>
      <w:tr w:rsidR="00AF7ABC" w:rsidRPr="00F25CE6" w14:paraId="6D00E64D" w14:textId="77777777" w:rsidTr="001825EE">
        <w:trPr>
          <w:trHeight w:val="20"/>
        </w:trPr>
        <w:tc>
          <w:tcPr>
            <w:tcW w:w="2382" w:type="dxa"/>
            <w:tcBorders>
              <w:right w:val="single" w:sz="4" w:space="0" w:color="000000"/>
            </w:tcBorders>
          </w:tcPr>
          <w:p w14:paraId="2660E790"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površinski edem</w:t>
            </w:r>
          </w:p>
        </w:tc>
        <w:tc>
          <w:tcPr>
            <w:tcW w:w="1163" w:type="dxa"/>
            <w:tcBorders>
              <w:left w:val="single" w:sz="4" w:space="0" w:color="000000"/>
            </w:tcBorders>
          </w:tcPr>
          <w:p w14:paraId="6EA04A8A"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18</w:t>
            </w:r>
          </w:p>
        </w:tc>
        <w:tc>
          <w:tcPr>
            <w:tcW w:w="1163" w:type="dxa"/>
            <w:tcBorders>
              <w:right w:val="single" w:sz="4" w:space="0" w:color="000000"/>
            </w:tcBorders>
          </w:tcPr>
          <w:p w14:paraId="16587810"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5B02AEE4"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21</w:t>
            </w:r>
          </w:p>
        </w:tc>
        <w:tc>
          <w:tcPr>
            <w:tcW w:w="1163" w:type="dxa"/>
            <w:tcBorders>
              <w:right w:val="single" w:sz="4" w:space="0" w:color="000000"/>
            </w:tcBorders>
          </w:tcPr>
          <w:p w14:paraId="10FC39B2"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373E257A"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22</w:t>
            </w:r>
          </w:p>
        </w:tc>
        <w:tc>
          <w:tcPr>
            <w:tcW w:w="1163" w:type="dxa"/>
          </w:tcPr>
          <w:p w14:paraId="66307B8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r>
      <w:tr w:rsidR="00AF7ABC" w:rsidRPr="00F25CE6" w14:paraId="21B01CFD" w14:textId="77777777" w:rsidTr="001825EE">
        <w:trPr>
          <w:trHeight w:val="20"/>
        </w:trPr>
        <w:tc>
          <w:tcPr>
            <w:tcW w:w="2382" w:type="dxa"/>
            <w:tcBorders>
              <w:right w:val="single" w:sz="4" w:space="0" w:color="000000"/>
            </w:tcBorders>
          </w:tcPr>
          <w:p w14:paraId="56901181"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pleuralni izljev</w:t>
            </w:r>
          </w:p>
        </w:tc>
        <w:tc>
          <w:tcPr>
            <w:tcW w:w="1163" w:type="dxa"/>
            <w:tcBorders>
              <w:left w:val="single" w:sz="4" w:space="0" w:color="000000"/>
            </w:tcBorders>
          </w:tcPr>
          <w:p w14:paraId="6FFC73AD"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18</w:t>
            </w:r>
          </w:p>
        </w:tc>
        <w:tc>
          <w:tcPr>
            <w:tcW w:w="1163" w:type="dxa"/>
            <w:tcBorders>
              <w:right w:val="single" w:sz="4" w:space="0" w:color="000000"/>
            </w:tcBorders>
          </w:tcPr>
          <w:p w14:paraId="42EEB0A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left w:val="single" w:sz="4" w:space="0" w:color="000000"/>
            </w:tcBorders>
          </w:tcPr>
          <w:p w14:paraId="59FCCE5D"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24</w:t>
            </w:r>
          </w:p>
        </w:tc>
        <w:tc>
          <w:tcPr>
            <w:tcW w:w="1163" w:type="dxa"/>
            <w:tcBorders>
              <w:right w:val="single" w:sz="4" w:space="0" w:color="000000"/>
            </w:tcBorders>
          </w:tcPr>
          <w:p w14:paraId="5285A6B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w:t>
            </w:r>
          </w:p>
        </w:tc>
        <w:tc>
          <w:tcPr>
            <w:tcW w:w="1163" w:type="dxa"/>
            <w:tcBorders>
              <w:left w:val="single" w:sz="4" w:space="0" w:color="000000"/>
            </w:tcBorders>
          </w:tcPr>
          <w:p w14:paraId="6C5AA282"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28</w:t>
            </w:r>
          </w:p>
        </w:tc>
        <w:tc>
          <w:tcPr>
            <w:tcW w:w="1163" w:type="dxa"/>
          </w:tcPr>
          <w:p w14:paraId="6C194D1C"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w:t>
            </w:r>
          </w:p>
        </w:tc>
      </w:tr>
      <w:tr w:rsidR="00AF7ABC" w:rsidRPr="00F25CE6" w14:paraId="0CFEE55B" w14:textId="77777777" w:rsidTr="001825EE">
        <w:trPr>
          <w:trHeight w:val="20"/>
        </w:trPr>
        <w:tc>
          <w:tcPr>
            <w:tcW w:w="2382" w:type="dxa"/>
            <w:tcBorders>
              <w:right w:val="single" w:sz="4" w:space="0" w:color="000000"/>
            </w:tcBorders>
          </w:tcPr>
          <w:p w14:paraId="7C54EC73"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generalizirani edem</w:t>
            </w:r>
          </w:p>
        </w:tc>
        <w:tc>
          <w:tcPr>
            <w:tcW w:w="1163" w:type="dxa"/>
            <w:tcBorders>
              <w:left w:val="single" w:sz="4" w:space="0" w:color="000000"/>
            </w:tcBorders>
          </w:tcPr>
          <w:p w14:paraId="60FFF01C"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w:t>
            </w:r>
          </w:p>
        </w:tc>
        <w:tc>
          <w:tcPr>
            <w:tcW w:w="1163" w:type="dxa"/>
            <w:tcBorders>
              <w:right w:val="single" w:sz="4" w:space="0" w:color="000000"/>
            </w:tcBorders>
          </w:tcPr>
          <w:p w14:paraId="55AB579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294BE12C"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w:t>
            </w:r>
          </w:p>
        </w:tc>
        <w:tc>
          <w:tcPr>
            <w:tcW w:w="1163" w:type="dxa"/>
            <w:tcBorders>
              <w:right w:val="single" w:sz="4" w:space="0" w:color="000000"/>
            </w:tcBorders>
          </w:tcPr>
          <w:p w14:paraId="5F0A19F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21940A47"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w:t>
            </w:r>
          </w:p>
        </w:tc>
        <w:tc>
          <w:tcPr>
            <w:tcW w:w="1163" w:type="dxa"/>
          </w:tcPr>
          <w:p w14:paraId="475B19F0"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r>
      <w:tr w:rsidR="00AF7ABC" w:rsidRPr="00F25CE6" w14:paraId="10E0AC8A" w14:textId="77777777" w:rsidTr="001825EE">
        <w:trPr>
          <w:trHeight w:val="20"/>
        </w:trPr>
        <w:tc>
          <w:tcPr>
            <w:tcW w:w="2382" w:type="dxa"/>
            <w:tcBorders>
              <w:right w:val="single" w:sz="4" w:space="0" w:color="000000"/>
            </w:tcBorders>
          </w:tcPr>
          <w:p w14:paraId="29B18D61"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perikardijalni izljev</w:t>
            </w:r>
          </w:p>
        </w:tc>
        <w:tc>
          <w:tcPr>
            <w:tcW w:w="1163" w:type="dxa"/>
            <w:tcBorders>
              <w:left w:val="single" w:sz="4" w:space="0" w:color="000000"/>
            </w:tcBorders>
          </w:tcPr>
          <w:p w14:paraId="1B899A5B"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right w:val="single" w:sz="4" w:space="0" w:color="000000"/>
            </w:tcBorders>
          </w:tcPr>
          <w:p w14:paraId="08F35FEA"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tcBorders>
          </w:tcPr>
          <w:p w14:paraId="7BB35917"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right w:val="single" w:sz="4" w:space="0" w:color="000000"/>
            </w:tcBorders>
          </w:tcPr>
          <w:p w14:paraId="2A6DB354"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tcBorders>
          </w:tcPr>
          <w:p w14:paraId="4D856D9D"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w:t>
            </w:r>
          </w:p>
        </w:tc>
        <w:tc>
          <w:tcPr>
            <w:tcW w:w="1163" w:type="dxa"/>
          </w:tcPr>
          <w:p w14:paraId="12CB008C"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r>
      <w:tr w:rsidR="00AF7ABC" w:rsidRPr="00F25CE6" w14:paraId="5BA16D5C" w14:textId="77777777" w:rsidTr="001825EE">
        <w:trPr>
          <w:trHeight w:val="20"/>
        </w:trPr>
        <w:tc>
          <w:tcPr>
            <w:tcW w:w="2382" w:type="dxa"/>
            <w:tcBorders>
              <w:right w:val="single" w:sz="4" w:space="0" w:color="000000"/>
            </w:tcBorders>
          </w:tcPr>
          <w:p w14:paraId="1647EE05"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plućna hipertenzija</w:t>
            </w:r>
          </w:p>
        </w:tc>
        <w:tc>
          <w:tcPr>
            <w:tcW w:w="1163" w:type="dxa"/>
            <w:tcBorders>
              <w:left w:val="single" w:sz="4" w:space="0" w:color="000000"/>
            </w:tcBorders>
          </w:tcPr>
          <w:p w14:paraId="6082FF0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right w:val="single" w:sz="4" w:space="0" w:color="000000"/>
            </w:tcBorders>
          </w:tcPr>
          <w:p w14:paraId="1C7E4E6A"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34930C0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right w:val="single" w:sz="4" w:space="0" w:color="000000"/>
            </w:tcBorders>
          </w:tcPr>
          <w:p w14:paraId="08423CDF"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0</w:t>
            </w:r>
          </w:p>
        </w:tc>
        <w:tc>
          <w:tcPr>
            <w:tcW w:w="1163" w:type="dxa"/>
            <w:tcBorders>
              <w:left w:val="single" w:sz="4" w:space="0" w:color="000000"/>
            </w:tcBorders>
          </w:tcPr>
          <w:p w14:paraId="7025EAEF"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Pr>
          <w:p w14:paraId="79B2CE4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r>
      <w:tr w:rsidR="00AF7ABC" w:rsidRPr="00F25CE6" w14:paraId="2540E225" w14:textId="77777777" w:rsidTr="001825EE">
        <w:trPr>
          <w:trHeight w:val="20"/>
        </w:trPr>
        <w:tc>
          <w:tcPr>
            <w:tcW w:w="2382" w:type="dxa"/>
            <w:tcBorders>
              <w:right w:val="single" w:sz="4" w:space="0" w:color="000000"/>
            </w:tcBorders>
          </w:tcPr>
          <w:p w14:paraId="5AED5955" w14:textId="77777777" w:rsidR="00AF7ABC" w:rsidRPr="00F25CE6" w:rsidRDefault="00422138" w:rsidP="001825EE">
            <w:pPr>
              <w:pStyle w:val="TableParagraph"/>
              <w:autoSpaceDE/>
              <w:autoSpaceDN/>
              <w:ind w:left="29" w:right="29"/>
              <w:rPr>
                <w:rFonts w:asciiTheme="majorBidi" w:hAnsiTheme="majorBidi" w:cstheme="majorBidi"/>
                <w:b/>
              </w:rPr>
            </w:pPr>
            <w:r w:rsidRPr="00F25CE6">
              <w:rPr>
                <w:rFonts w:asciiTheme="majorBidi" w:hAnsiTheme="majorBidi" w:cstheme="majorBidi"/>
                <w:b/>
              </w:rPr>
              <w:t>Krvarenje</w:t>
            </w:r>
          </w:p>
        </w:tc>
        <w:tc>
          <w:tcPr>
            <w:tcW w:w="1163" w:type="dxa"/>
            <w:tcBorders>
              <w:left w:val="single" w:sz="4" w:space="0" w:color="000000"/>
            </w:tcBorders>
          </w:tcPr>
          <w:p w14:paraId="5E88F5D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11</w:t>
            </w:r>
          </w:p>
        </w:tc>
        <w:tc>
          <w:tcPr>
            <w:tcW w:w="1163" w:type="dxa"/>
            <w:tcBorders>
              <w:right w:val="single" w:sz="4" w:space="0" w:color="000000"/>
            </w:tcBorders>
          </w:tcPr>
          <w:p w14:paraId="474BD20E"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tcBorders>
          </w:tcPr>
          <w:p w14:paraId="42C64F95"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11</w:t>
            </w:r>
          </w:p>
        </w:tc>
        <w:tc>
          <w:tcPr>
            <w:tcW w:w="1163" w:type="dxa"/>
            <w:tcBorders>
              <w:right w:val="single" w:sz="4" w:space="0" w:color="000000"/>
            </w:tcBorders>
          </w:tcPr>
          <w:p w14:paraId="4CE7E191"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tcBorders>
          </w:tcPr>
          <w:p w14:paraId="76C55ABA"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12</w:t>
            </w:r>
          </w:p>
        </w:tc>
        <w:tc>
          <w:tcPr>
            <w:tcW w:w="1163" w:type="dxa"/>
          </w:tcPr>
          <w:p w14:paraId="0C3696B9" w14:textId="77777777"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r>
      <w:tr w:rsidR="00AF7ABC" w:rsidRPr="00F25CE6" w14:paraId="20E8AE8C" w14:textId="77777777" w:rsidTr="001825EE">
        <w:trPr>
          <w:trHeight w:val="20"/>
        </w:trPr>
        <w:tc>
          <w:tcPr>
            <w:tcW w:w="2382" w:type="dxa"/>
            <w:tcBorders>
              <w:bottom w:val="single" w:sz="4" w:space="0" w:color="000000"/>
              <w:right w:val="single" w:sz="4" w:space="0" w:color="000000"/>
            </w:tcBorders>
          </w:tcPr>
          <w:p w14:paraId="45305BFD"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gastrointestinalno</w:t>
            </w:r>
            <w:r w:rsidR="001825EE">
              <w:rPr>
                <w:rFonts w:asciiTheme="majorBidi" w:hAnsiTheme="majorBidi" w:cstheme="majorBidi"/>
              </w:rPr>
              <w:t xml:space="preserve"> </w:t>
            </w:r>
            <w:r w:rsidRPr="00F25CE6">
              <w:rPr>
                <w:rFonts w:asciiTheme="majorBidi" w:hAnsiTheme="majorBidi" w:cstheme="majorBidi"/>
              </w:rPr>
              <w:t>krvarenje</w:t>
            </w:r>
          </w:p>
        </w:tc>
        <w:tc>
          <w:tcPr>
            <w:tcW w:w="1163" w:type="dxa"/>
            <w:tcBorders>
              <w:left w:val="single" w:sz="4" w:space="0" w:color="000000"/>
              <w:bottom w:val="single" w:sz="4" w:space="0" w:color="000000"/>
            </w:tcBorders>
          </w:tcPr>
          <w:p w14:paraId="5B91FB04" w14:textId="77777777" w:rsidR="00F66746" w:rsidRDefault="00F66746" w:rsidP="001825EE">
            <w:pPr>
              <w:pStyle w:val="TableParagraph"/>
              <w:autoSpaceDE/>
              <w:autoSpaceDN/>
              <w:ind w:left="29" w:right="29"/>
              <w:jc w:val="center"/>
              <w:rPr>
                <w:rFonts w:asciiTheme="majorBidi" w:hAnsiTheme="majorBidi" w:cstheme="majorBidi"/>
              </w:rPr>
            </w:pPr>
          </w:p>
          <w:p w14:paraId="6B45DBBD" w14:textId="45013D1A"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bottom w:val="single" w:sz="4" w:space="0" w:color="000000"/>
              <w:right w:val="single" w:sz="4" w:space="0" w:color="000000"/>
            </w:tcBorders>
          </w:tcPr>
          <w:p w14:paraId="601C3BDB" w14:textId="77777777" w:rsidR="00F66746" w:rsidRDefault="00F66746" w:rsidP="001825EE">
            <w:pPr>
              <w:pStyle w:val="TableParagraph"/>
              <w:autoSpaceDE/>
              <w:autoSpaceDN/>
              <w:ind w:left="29" w:right="29"/>
              <w:jc w:val="center"/>
              <w:rPr>
                <w:rFonts w:asciiTheme="majorBidi" w:hAnsiTheme="majorBidi" w:cstheme="majorBidi"/>
              </w:rPr>
            </w:pPr>
          </w:p>
          <w:p w14:paraId="720BD1E6" w14:textId="0A57A9DD"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bottom w:val="single" w:sz="4" w:space="0" w:color="000000"/>
            </w:tcBorders>
          </w:tcPr>
          <w:p w14:paraId="159AA38C" w14:textId="77777777" w:rsidR="00F66746" w:rsidRDefault="00F66746" w:rsidP="001825EE">
            <w:pPr>
              <w:pStyle w:val="TableParagraph"/>
              <w:autoSpaceDE/>
              <w:autoSpaceDN/>
              <w:ind w:left="29" w:right="29"/>
              <w:jc w:val="center"/>
              <w:rPr>
                <w:rFonts w:asciiTheme="majorBidi" w:hAnsiTheme="majorBidi" w:cstheme="majorBidi"/>
              </w:rPr>
            </w:pPr>
          </w:p>
          <w:p w14:paraId="4A8068A7" w14:textId="36311FB8"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bottom w:val="single" w:sz="4" w:space="0" w:color="000000"/>
              <w:right w:val="single" w:sz="4" w:space="0" w:color="000000"/>
            </w:tcBorders>
          </w:tcPr>
          <w:p w14:paraId="35FEADFD" w14:textId="77777777" w:rsidR="00F66746" w:rsidRDefault="00F66746" w:rsidP="001825EE">
            <w:pPr>
              <w:pStyle w:val="TableParagraph"/>
              <w:autoSpaceDE/>
              <w:autoSpaceDN/>
              <w:ind w:left="29" w:right="29"/>
              <w:jc w:val="center"/>
              <w:rPr>
                <w:rFonts w:asciiTheme="majorBidi" w:hAnsiTheme="majorBidi" w:cstheme="majorBidi"/>
              </w:rPr>
            </w:pPr>
          </w:p>
          <w:p w14:paraId="3B3BB180" w14:textId="6880F332"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c>
          <w:tcPr>
            <w:tcW w:w="1163" w:type="dxa"/>
            <w:tcBorders>
              <w:left w:val="single" w:sz="4" w:space="0" w:color="000000"/>
              <w:bottom w:val="single" w:sz="4" w:space="0" w:color="000000"/>
            </w:tcBorders>
          </w:tcPr>
          <w:p w14:paraId="03E4DBCC" w14:textId="77777777" w:rsidR="00F66746" w:rsidRDefault="00F66746" w:rsidP="001825EE">
            <w:pPr>
              <w:pStyle w:val="TableParagraph"/>
              <w:autoSpaceDE/>
              <w:autoSpaceDN/>
              <w:ind w:left="29" w:right="29"/>
              <w:jc w:val="center"/>
              <w:rPr>
                <w:rFonts w:asciiTheme="majorBidi" w:hAnsiTheme="majorBidi" w:cstheme="majorBidi"/>
              </w:rPr>
            </w:pPr>
          </w:p>
          <w:p w14:paraId="7C154560" w14:textId="0665A12C"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w:t>
            </w:r>
          </w:p>
        </w:tc>
        <w:tc>
          <w:tcPr>
            <w:tcW w:w="1163" w:type="dxa"/>
            <w:tcBorders>
              <w:bottom w:val="single" w:sz="4" w:space="0" w:color="000000"/>
            </w:tcBorders>
          </w:tcPr>
          <w:p w14:paraId="4D75C750" w14:textId="77777777" w:rsidR="00F66746" w:rsidRDefault="00F66746" w:rsidP="001825EE">
            <w:pPr>
              <w:pStyle w:val="TableParagraph"/>
              <w:autoSpaceDE/>
              <w:autoSpaceDN/>
              <w:ind w:left="29" w:right="29"/>
              <w:jc w:val="center"/>
              <w:rPr>
                <w:rFonts w:asciiTheme="majorBidi" w:hAnsiTheme="majorBidi" w:cstheme="majorBidi"/>
              </w:rPr>
            </w:pPr>
          </w:p>
          <w:p w14:paraId="571377D3" w14:textId="7DD0C72B" w:rsidR="00AF7ABC" w:rsidRPr="00F25CE6" w:rsidRDefault="00422138" w:rsidP="001825E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p>
        </w:tc>
      </w:tr>
    </w:tbl>
    <w:p w14:paraId="197D02FC" w14:textId="7E269A18" w:rsidR="00AF7ABC" w:rsidRPr="00F25CE6" w:rsidRDefault="00422138" w:rsidP="00612D2B">
      <w:pPr>
        <w:pStyle w:val="Footnote"/>
        <w:ind w:left="0" w:firstLine="0"/>
      </w:pPr>
      <w:r w:rsidRPr="001825EE">
        <w:rPr>
          <w:vertAlign w:val="superscript"/>
        </w:rPr>
        <w:t>a</w:t>
      </w:r>
      <w:r w:rsidR="0069635E">
        <w:t xml:space="preserve"> </w:t>
      </w:r>
      <w:r w:rsidRPr="00F25CE6">
        <w:t xml:space="preserve">Rezultati ispitivanja optimizacije doze faze </w:t>
      </w:r>
      <w:r w:rsidR="00071F21">
        <w:t>III</w:t>
      </w:r>
      <w:r w:rsidRPr="00F25CE6">
        <w:t xml:space="preserve"> prijavljeni u populaciji liječenoj preporučenom početnom dozom od 100 mg jedanput dnevno (n</w:t>
      </w:r>
      <w:r w:rsidR="00797AB1">
        <w:t> </w:t>
      </w:r>
      <w:r w:rsidRPr="00F25CE6">
        <w:t>=</w:t>
      </w:r>
      <w:r w:rsidR="00797AB1">
        <w:t> </w:t>
      </w:r>
      <w:r w:rsidRPr="00F25CE6">
        <w:t>165)</w:t>
      </w:r>
    </w:p>
    <w:p w14:paraId="6BE83404" w14:textId="77777777" w:rsidR="00AF7ABC" w:rsidRPr="00F25CE6" w:rsidRDefault="00AF7ABC" w:rsidP="00F25CE6">
      <w:pPr>
        <w:pStyle w:val="BodyText"/>
        <w:widowControl/>
        <w:rPr>
          <w:rFonts w:asciiTheme="majorBidi" w:hAnsiTheme="majorBidi" w:cstheme="majorBidi"/>
          <w:szCs w:val="22"/>
        </w:rPr>
      </w:pPr>
    </w:p>
    <w:p w14:paraId="46207FAE" w14:textId="63F3374D" w:rsidR="00AF7ABC" w:rsidRPr="00F25CE6"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 xml:space="preserve">U ispitivanju optimizacije doze faze III u bolesnika </w:t>
      </w:r>
      <w:r w:rsidR="00BE5BF4">
        <w:rPr>
          <w:rFonts w:asciiTheme="majorBidi" w:hAnsiTheme="majorBidi" w:cstheme="majorBidi"/>
          <w:szCs w:val="22"/>
        </w:rPr>
        <w:t xml:space="preserve">s KML-om </w:t>
      </w:r>
      <w:r w:rsidRPr="00F25CE6">
        <w:rPr>
          <w:rFonts w:asciiTheme="majorBidi" w:hAnsiTheme="majorBidi" w:cstheme="majorBidi"/>
          <w:szCs w:val="22"/>
        </w:rPr>
        <w:t>u uznapredovaloj fazi i Ph+ ALL</w:t>
      </w:r>
      <w:r w:rsidR="00BE5BF4">
        <w:rPr>
          <w:rFonts w:asciiTheme="majorBidi" w:hAnsiTheme="majorBidi" w:cstheme="majorBidi"/>
          <w:szCs w:val="22"/>
        </w:rPr>
        <w:t>-om</w:t>
      </w:r>
      <w:r w:rsidRPr="00F25CE6">
        <w:rPr>
          <w:rFonts w:asciiTheme="majorBidi" w:hAnsiTheme="majorBidi" w:cstheme="majorBidi"/>
          <w:szCs w:val="22"/>
        </w:rPr>
        <w:t>, medijan trajanja liječenja bio je 14 mjeseci za fazu ubrzanja KML</w:t>
      </w:r>
      <w:r w:rsidR="00BE5BF4">
        <w:rPr>
          <w:rFonts w:asciiTheme="majorBidi" w:hAnsiTheme="majorBidi" w:cstheme="majorBidi"/>
          <w:szCs w:val="22"/>
        </w:rPr>
        <w:t>-a</w:t>
      </w:r>
      <w:r w:rsidRPr="00F25CE6">
        <w:rPr>
          <w:rFonts w:asciiTheme="majorBidi" w:hAnsiTheme="majorBidi" w:cstheme="majorBidi"/>
          <w:szCs w:val="22"/>
        </w:rPr>
        <w:t>, 3 mjeseca za mijeloidnu blastnu krizu KML</w:t>
      </w:r>
      <w:r w:rsidR="00BE5BF4">
        <w:rPr>
          <w:rFonts w:asciiTheme="majorBidi" w:hAnsiTheme="majorBidi" w:cstheme="majorBidi"/>
          <w:szCs w:val="22"/>
        </w:rPr>
        <w:t>-a</w:t>
      </w:r>
      <w:r w:rsidRPr="00F25CE6">
        <w:rPr>
          <w:rFonts w:asciiTheme="majorBidi" w:hAnsiTheme="majorBidi" w:cstheme="majorBidi"/>
          <w:szCs w:val="22"/>
        </w:rPr>
        <w:t>, 4 mjeseca za limfoidnu blastnu krizu KML</w:t>
      </w:r>
      <w:r w:rsidR="00BE5BF4">
        <w:rPr>
          <w:rFonts w:asciiTheme="majorBidi" w:hAnsiTheme="majorBidi" w:cstheme="majorBidi"/>
          <w:szCs w:val="22"/>
        </w:rPr>
        <w:t>-a</w:t>
      </w:r>
      <w:r w:rsidRPr="00F25CE6">
        <w:rPr>
          <w:rFonts w:asciiTheme="majorBidi" w:hAnsiTheme="majorBidi" w:cstheme="majorBidi"/>
          <w:szCs w:val="22"/>
        </w:rPr>
        <w:t xml:space="preserve"> i 3 mjeseca za Ph+ ALL. Odabrane nuspojave prijavljene uz primjenu preporučene početne doze od 140 mg jedanput dnevno prikazane su u Tablici 6b. Ispitivan je i režim liječenja dozom od 70 mg dvaput dnevno. Režim liječenja dozom od</w:t>
      </w:r>
      <w:r w:rsidR="001825EE">
        <w:rPr>
          <w:rFonts w:asciiTheme="majorBidi" w:hAnsiTheme="majorBidi" w:cstheme="majorBidi"/>
          <w:szCs w:val="22"/>
        </w:rPr>
        <w:t xml:space="preserve"> </w:t>
      </w:r>
      <w:r w:rsidRPr="00F25CE6">
        <w:rPr>
          <w:rFonts w:asciiTheme="majorBidi" w:hAnsiTheme="majorBidi" w:cstheme="majorBidi"/>
          <w:szCs w:val="22"/>
        </w:rPr>
        <w:t>140 mg jedanput dnevno pokazao je sličan profil djelotvornosti kao i režim liječenja dozom od 70 mg dvaput dnevno, ali je imao povoljniji profil sigurnosti.</w:t>
      </w:r>
    </w:p>
    <w:p w14:paraId="0BE72893" w14:textId="049D7F09" w:rsidR="00964A0C" w:rsidRDefault="00964A0C">
      <w:pPr>
        <w:rPr>
          <w:rFonts w:asciiTheme="majorBidi" w:eastAsia="TimesNewRomanPS-BoldMT" w:hAnsiTheme="majorBidi" w:cstheme="majorBidi"/>
          <w:b/>
          <w:bCs/>
          <w:lang w:eastAsia="en-US"/>
        </w:rPr>
      </w:pPr>
    </w:p>
    <w:p w14:paraId="3E0C3923" w14:textId="4EF14CDA" w:rsidR="00AF7ABC" w:rsidRPr="00F25CE6" w:rsidRDefault="00025E8A" w:rsidP="001825EE">
      <w:pPr>
        <w:pStyle w:val="Tableheading"/>
      </w:pPr>
      <w:r w:rsidRPr="00F25CE6">
        <w:rPr>
          <w:rFonts w:eastAsia="TimesNewRomanPS-BoldMT"/>
          <w:lang w:eastAsia="en-US"/>
        </w:rPr>
        <w:t>Tablica 6b:</w:t>
      </w:r>
      <w:r w:rsidR="001825EE">
        <w:rPr>
          <w:rFonts w:eastAsia="TimesNewRomanPS-BoldMT"/>
          <w:lang w:eastAsia="en-US"/>
        </w:rPr>
        <w:tab/>
      </w:r>
      <w:r w:rsidRPr="00F25CE6">
        <w:rPr>
          <w:rFonts w:eastAsia="TimesNewRomanPS-BoldMT"/>
          <w:lang w:eastAsia="en-US"/>
        </w:rPr>
        <w:t xml:space="preserve">Odabrane nuspojave prijavljene u ispitivanju optimizacije doze faze III: </w:t>
      </w:r>
      <w:r w:rsidR="002D7341">
        <w:rPr>
          <w:rFonts w:eastAsia="TimesNewRomanPS-BoldMT"/>
          <w:lang w:eastAsia="en-US"/>
        </w:rPr>
        <w:t xml:space="preserve">KML u </w:t>
      </w:r>
      <w:r w:rsidRPr="00F25CE6">
        <w:rPr>
          <w:rFonts w:eastAsia="TimesNewRomanPS-BoldMT"/>
          <w:lang w:eastAsia="en-US"/>
        </w:rPr>
        <w:t>uznapredoval</w:t>
      </w:r>
      <w:r w:rsidR="002D7341">
        <w:rPr>
          <w:rFonts w:eastAsia="TimesNewRomanPS-BoldMT"/>
          <w:lang w:eastAsia="en-US"/>
        </w:rPr>
        <w:t>oj</w:t>
      </w:r>
      <w:r w:rsidRPr="00F25CE6">
        <w:rPr>
          <w:rFonts w:eastAsia="TimesNewRomanPS-BoldMT"/>
          <w:lang w:eastAsia="en-US"/>
        </w:rPr>
        <w:t xml:space="preserve"> faz</w:t>
      </w:r>
      <w:r w:rsidR="002D7341">
        <w:rPr>
          <w:rFonts w:eastAsia="TimesNewRomanPS-BoldMT"/>
          <w:lang w:eastAsia="en-US"/>
        </w:rPr>
        <w:t>i</w:t>
      </w:r>
      <w:r w:rsidRPr="00F25CE6">
        <w:rPr>
          <w:rFonts w:eastAsia="TimesNewRomanPS-BoldMT"/>
          <w:lang w:eastAsia="en-US"/>
        </w:rPr>
        <w:t xml:space="preserve"> i Ph+ ALL</w:t>
      </w:r>
      <w:r w:rsidRPr="001825EE">
        <w:rPr>
          <w:rFonts w:eastAsia="TimesNewRomanPS-BoldMT"/>
          <w:vertAlign w:val="superscript"/>
          <w:lang w:eastAsia="en-US"/>
        </w:rPr>
        <w:t>a</w:t>
      </w:r>
    </w:p>
    <w:tbl>
      <w:tblPr>
        <w:tblW w:w="9072" w:type="dxa"/>
        <w:tblLayout w:type="fixed"/>
        <w:tblCellMar>
          <w:top w:w="14" w:type="dxa"/>
          <w:left w:w="0" w:type="dxa"/>
          <w:right w:w="0" w:type="dxa"/>
        </w:tblCellMar>
        <w:tblLook w:val="01E0" w:firstRow="1" w:lastRow="1" w:firstColumn="1" w:lastColumn="1" w:noHBand="0" w:noVBand="0"/>
      </w:tblPr>
      <w:tblGrid>
        <w:gridCol w:w="2977"/>
        <w:gridCol w:w="3377"/>
        <w:gridCol w:w="2718"/>
      </w:tblGrid>
      <w:tr w:rsidR="00ED62D2" w:rsidRPr="00967AA2" w14:paraId="1F5C97B6" w14:textId="77777777" w:rsidTr="002C3132">
        <w:trPr>
          <w:trHeight w:val="20"/>
        </w:trPr>
        <w:tc>
          <w:tcPr>
            <w:tcW w:w="2977" w:type="dxa"/>
            <w:tcBorders>
              <w:top w:val="single" w:sz="4" w:space="0" w:color="auto"/>
            </w:tcBorders>
          </w:tcPr>
          <w:p w14:paraId="75F8D438" w14:textId="77777777" w:rsidR="00ED62D2" w:rsidRPr="00967AA2" w:rsidRDefault="00ED62D2" w:rsidP="001825EE">
            <w:pPr>
              <w:pStyle w:val="TableParagraph"/>
              <w:autoSpaceDE/>
              <w:autoSpaceDN/>
              <w:ind w:left="29" w:right="29"/>
              <w:rPr>
                <w:b/>
              </w:rPr>
            </w:pPr>
          </w:p>
        </w:tc>
        <w:tc>
          <w:tcPr>
            <w:tcW w:w="3377" w:type="dxa"/>
            <w:tcBorders>
              <w:top w:val="single" w:sz="4" w:space="0" w:color="auto"/>
              <w:bottom w:val="single" w:sz="4" w:space="0" w:color="000000"/>
            </w:tcBorders>
          </w:tcPr>
          <w:p w14:paraId="35E12242" w14:textId="77777777" w:rsidR="00ED62D2" w:rsidRDefault="00ED62D2" w:rsidP="001825EE">
            <w:pPr>
              <w:pStyle w:val="TableParagraph"/>
              <w:autoSpaceDE/>
              <w:autoSpaceDN/>
              <w:ind w:left="29" w:right="29"/>
              <w:jc w:val="center"/>
              <w:rPr>
                <w:b/>
              </w:rPr>
            </w:pPr>
            <w:r w:rsidRPr="00967AA2">
              <w:rPr>
                <w:b/>
              </w:rPr>
              <w:t xml:space="preserve">140 mg jedanput dnevno </w:t>
            </w:r>
          </w:p>
          <w:p w14:paraId="678E1263" w14:textId="506460C4" w:rsidR="00ED62D2" w:rsidRPr="00967AA2" w:rsidRDefault="00ED62D2" w:rsidP="001825EE">
            <w:pPr>
              <w:pStyle w:val="TableParagraph"/>
              <w:autoSpaceDE/>
              <w:autoSpaceDN/>
              <w:ind w:left="29" w:right="29"/>
              <w:jc w:val="center"/>
              <w:rPr>
                <w:b/>
              </w:rPr>
            </w:pPr>
            <w:r w:rsidRPr="00967AA2">
              <w:rPr>
                <w:b/>
              </w:rPr>
              <w:t>n = 304</w:t>
            </w:r>
          </w:p>
        </w:tc>
        <w:tc>
          <w:tcPr>
            <w:tcW w:w="2718" w:type="dxa"/>
            <w:tcBorders>
              <w:top w:val="single" w:sz="4" w:space="0" w:color="auto"/>
              <w:bottom w:val="single" w:sz="4" w:space="0" w:color="000000"/>
            </w:tcBorders>
          </w:tcPr>
          <w:p w14:paraId="65F266BF" w14:textId="4294F52A" w:rsidR="00ED62D2" w:rsidRPr="00967AA2" w:rsidRDefault="00ED62D2" w:rsidP="001825EE">
            <w:pPr>
              <w:pStyle w:val="TableParagraph"/>
              <w:autoSpaceDE/>
              <w:autoSpaceDN/>
              <w:ind w:left="29" w:right="29"/>
              <w:jc w:val="center"/>
              <w:rPr>
                <w:b/>
              </w:rPr>
            </w:pPr>
          </w:p>
        </w:tc>
      </w:tr>
      <w:tr w:rsidR="001825EE" w:rsidRPr="00967AA2" w14:paraId="1BC0203B" w14:textId="77777777" w:rsidTr="002C3132">
        <w:trPr>
          <w:trHeight w:val="20"/>
        </w:trPr>
        <w:tc>
          <w:tcPr>
            <w:tcW w:w="2977" w:type="dxa"/>
          </w:tcPr>
          <w:p w14:paraId="3E34F14A" w14:textId="77777777" w:rsidR="001825EE" w:rsidRPr="00967AA2" w:rsidRDefault="001825EE" w:rsidP="001825EE">
            <w:pPr>
              <w:pStyle w:val="TableParagraph"/>
              <w:autoSpaceDE/>
              <w:autoSpaceDN/>
              <w:ind w:left="29" w:right="29"/>
              <w:rPr>
                <w:b/>
              </w:rPr>
            </w:pPr>
          </w:p>
        </w:tc>
        <w:tc>
          <w:tcPr>
            <w:tcW w:w="3377" w:type="dxa"/>
            <w:tcBorders>
              <w:bottom w:val="single" w:sz="4" w:space="0" w:color="000000"/>
            </w:tcBorders>
          </w:tcPr>
          <w:p w14:paraId="10198B5D" w14:textId="77777777" w:rsidR="001825EE" w:rsidRPr="00967AA2" w:rsidRDefault="001825EE" w:rsidP="002C3132">
            <w:pPr>
              <w:pStyle w:val="TableParagraph"/>
              <w:autoSpaceDE/>
              <w:autoSpaceDN/>
              <w:ind w:left="29" w:right="29"/>
              <w:jc w:val="center"/>
              <w:rPr>
                <w:b/>
              </w:rPr>
            </w:pPr>
            <w:r w:rsidRPr="00967AA2">
              <w:rPr>
                <w:b/>
              </w:rPr>
              <w:t>Svi stupnjevi</w:t>
            </w:r>
          </w:p>
        </w:tc>
        <w:tc>
          <w:tcPr>
            <w:tcW w:w="2718" w:type="dxa"/>
            <w:tcBorders>
              <w:bottom w:val="single" w:sz="4" w:space="0" w:color="000000"/>
            </w:tcBorders>
          </w:tcPr>
          <w:p w14:paraId="3F041C58" w14:textId="77777777" w:rsidR="001825EE" w:rsidRPr="00967AA2" w:rsidRDefault="001825EE" w:rsidP="002C3132">
            <w:pPr>
              <w:pStyle w:val="TableParagraph"/>
              <w:autoSpaceDE/>
              <w:autoSpaceDN/>
              <w:ind w:left="29" w:right="29"/>
              <w:jc w:val="center"/>
              <w:rPr>
                <w:b/>
              </w:rPr>
            </w:pPr>
            <w:r w:rsidRPr="00967AA2">
              <w:rPr>
                <w:b/>
              </w:rPr>
              <w:t>3./4. stupanj</w:t>
            </w:r>
          </w:p>
        </w:tc>
      </w:tr>
      <w:tr w:rsidR="00F51BC0" w:rsidRPr="00967AA2" w14:paraId="62BAC63F" w14:textId="64D40422" w:rsidTr="002C3132">
        <w:trPr>
          <w:trHeight w:val="20"/>
        </w:trPr>
        <w:tc>
          <w:tcPr>
            <w:tcW w:w="2977" w:type="dxa"/>
            <w:tcBorders>
              <w:bottom w:val="single" w:sz="4" w:space="0" w:color="000000"/>
            </w:tcBorders>
          </w:tcPr>
          <w:p w14:paraId="42BC4AEB" w14:textId="77777777" w:rsidR="00F51BC0" w:rsidRDefault="00F51BC0" w:rsidP="001825EE">
            <w:pPr>
              <w:pStyle w:val="TableParagraph"/>
              <w:autoSpaceDE/>
              <w:autoSpaceDN/>
              <w:ind w:left="29" w:right="29"/>
              <w:rPr>
                <w:b/>
              </w:rPr>
            </w:pPr>
            <w:r w:rsidRPr="00967AA2">
              <w:rPr>
                <w:b/>
              </w:rPr>
              <w:t>Preporučen naziv</w:t>
            </w:r>
          </w:p>
          <w:p w14:paraId="34A13D1E" w14:textId="3A7C0443" w:rsidR="00F51BC0" w:rsidRPr="00967AA2" w:rsidRDefault="00F51BC0" w:rsidP="001825EE">
            <w:pPr>
              <w:pStyle w:val="TableParagraph"/>
              <w:autoSpaceDE/>
              <w:autoSpaceDN/>
              <w:ind w:left="29" w:right="29"/>
              <w:rPr>
                <w:b/>
              </w:rPr>
            </w:pPr>
          </w:p>
        </w:tc>
        <w:tc>
          <w:tcPr>
            <w:tcW w:w="3377" w:type="dxa"/>
            <w:tcBorders>
              <w:bottom w:val="single" w:sz="4" w:space="0" w:color="000000"/>
            </w:tcBorders>
          </w:tcPr>
          <w:p w14:paraId="28B27EE4" w14:textId="77777777" w:rsidR="00F51BC0" w:rsidRPr="00967AA2" w:rsidRDefault="00F51BC0" w:rsidP="00612D2B">
            <w:pPr>
              <w:pStyle w:val="TableParagraph"/>
              <w:autoSpaceDE/>
              <w:autoSpaceDN/>
              <w:ind w:left="189" w:right="29"/>
            </w:pPr>
            <w:r w:rsidRPr="00967AA2">
              <w:rPr>
                <w:b/>
              </w:rPr>
              <w:t>Postotak (%) bolesnika</w:t>
            </w:r>
          </w:p>
        </w:tc>
        <w:tc>
          <w:tcPr>
            <w:tcW w:w="2718" w:type="dxa"/>
            <w:tcBorders>
              <w:top w:val="single" w:sz="4" w:space="0" w:color="000000"/>
              <w:bottom w:val="single" w:sz="4" w:space="0" w:color="000000"/>
            </w:tcBorders>
          </w:tcPr>
          <w:p w14:paraId="34AF6AFD" w14:textId="77777777" w:rsidR="00F51BC0" w:rsidRPr="00967AA2" w:rsidRDefault="00F51BC0" w:rsidP="00F51BC0">
            <w:pPr>
              <w:pStyle w:val="TableParagraph"/>
              <w:autoSpaceDE/>
              <w:autoSpaceDN/>
              <w:ind w:right="29"/>
            </w:pPr>
          </w:p>
        </w:tc>
      </w:tr>
      <w:tr w:rsidR="001825EE" w:rsidRPr="00967AA2" w14:paraId="0E2CEE89" w14:textId="77777777" w:rsidTr="002C3132">
        <w:trPr>
          <w:trHeight w:val="20"/>
        </w:trPr>
        <w:tc>
          <w:tcPr>
            <w:tcW w:w="2977" w:type="dxa"/>
            <w:tcBorders>
              <w:top w:val="single" w:sz="4" w:space="0" w:color="000000"/>
            </w:tcBorders>
          </w:tcPr>
          <w:p w14:paraId="32543B6D" w14:textId="77777777" w:rsidR="001825EE" w:rsidRPr="00967AA2" w:rsidRDefault="001825EE" w:rsidP="001825EE">
            <w:pPr>
              <w:pStyle w:val="TableParagraph"/>
              <w:autoSpaceDE/>
              <w:autoSpaceDN/>
              <w:ind w:left="29" w:right="29"/>
              <w:rPr>
                <w:b/>
              </w:rPr>
            </w:pPr>
            <w:r w:rsidRPr="00967AA2">
              <w:rPr>
                <w:b/>
              </w:rPr>
              <w:t>Proljev</w:t>
            </w:r>
          </w:p>
        </w:tc>
        <w:tc>
          <w:tcPr>
            <w:tcW w:w="3377" w:type="dxa"/>
            <w:tcBorders>
              <w:top w:val="single" w:sz="4" w:space="0" w:color="000000"/>
            </w:tcBorders>
          </w:tcPr>
          <w:p w14:paraId="64788496" w14:textId="77777777" w:rsidR="001825EE" w:rsidRPr="00967AA2" w:rsidRDefault="001825EE" w:rsidP="002C3132">
            <w:pPr>
              <w:pStyle w:val="TableParagraph"/>
              <w:autoSpaceDE/>
              <w:autoSpaceDN/>
              <w:ind w:left="29" w:right="29"/>
              <w:jc w:val="center"/>
            </w:pPr>
            <w:r w:rsidRPr="00967AA2">
              <w:t>28</w:t>
            </w:r>
          </w:p>
        </w:tc>
        <w:tc>
          <w:tcPr>
            <w:tcW w:w="2718" w:type="dxa"/>
            <w:tcBorders>
              <w:top w:val="single" w:sz="4" w:space="0" w:color="000000"/>
            </w:tcBorders>
          </w:tcPr>
          <w:p w14:paraId="7E834CF9" w14:textId="77777777" w:rsidR="001825EE" w:rsidRPr="00967AA2" w:rsidRDefault="001825EE" w:rsidP="002C3132">
            <w:pPr>
              <w:pStyle w:val="TableParagraph"/>
              <w:autoSpaceDE/>
              <w:autoSpaceDN/>
              <w:ind w:left="29" w:right="29"/>
              <w:jc w:val="center"/>
            </w:pPr>
            <w:r w:rsidRPr="00967AA2">
              <w:t>3</w:t>
            </w:r>
          </w:p>
        </w:tc>
      </w:tr>
      <w:tr w:rsidR="001825EE" w:rsidRPr="00967AA2" w14:paraId="2D944BA3" w14:textId="77777777" w:rsidTr="002C3132">
        <w:trPr>
          <w:trHeight w:val="20"/>
        </w:trPr>
        <w:tc>
          <w:tcPr>
            <w:tcW w:w="2977" w:type="dxa"/>
          </w:tcPr>
          <w:p w14:paraId="6CC7BDD5" w14:textId="77777777" w:rsidR="001825EE" w:rsidRPr="00967AA2" w:rsidRDefault="001825EE" w:rsidP="001825EE">
            <w:pPr>
              <w:pStyle w:val="TableParagraph"/>
              <w:autoSpaceDE/>
              <w:autoSpaceDN/>
              <w:ind w:left="29" w:right="29"/>
              <w:rPr>
                <w:b/>
              </w:rPr>
            </w:pPr>
            <w:r w:rsidRPr="00967AA2">
              <w:rPr>
                <w:b/>
              </w:rPr>
              <w:t>Zadržavanje tekućine</w:t>
            </w:r>
          </w:p>
        </w:tc>
        <w:tc>
          <w:tcPr>
            <w:tcW w:w="3377" w:type="dxa"/>
          </w:tcPr>
          <w:p w14:paraId="45CA79D5" w14:textId="77777777" w:rsidR="001825EE" w:rsidRPr="00967AA2" w:rsidRDefault="001825EE" w:rsidP="002C3132">
            <w:pPr>
              <w:pStyle w:val="TableParagraph"/>
              <w:autoSpaceDE/>
              <w:autoSpaceDN/>
              <w:ind w:left="29" w:right="29"/>
              <w:jc w:val="center"/>
            </w:pPr>
            <w:r w:rsidRPr="00967AA2">
              <w:t>33</w:t>
            </w:r>
          </w:p>
        </w:tc>
        <w:tc>
          <w:tcPr>
            <w:tcW w:w="2718" w:type="dxa"/>
          </w:tcPr>
          <w:p w14:paraId="03B0B820" w14:textId="77777777" w:rsidR="001825EE" w:rsidRPr="00967AA2" w:rsidRDefault="001825EE" w:rsidP="002C3132">
            <w:pPr>
              <w:pStyle w:val="TableParagraph"/>
              <w:autoSpaceDE/>
              <w:autoSpaceDN/>
              <w:ind w:left="29" w:right="29"/>
              <w:jc w:val="center"/>
            </w:pPr>
            <w:r w:rsidRPr="00967AA2">
              <w:t>7</w:t>
            </w:r>
          </w:p>
        </w:tc>
      </w:tr>
      <w:tr w:rsidR="001825EE" w:rsidRPr="00967AA2" w14:paraId="6F9A2977" w14:textId="77777777" w:rsidTr="002C3132">
        <w:trPr>
          <w:trHeight w:val="20"/>
        </w:trPr>
        <w:tc>
          <w:tcPr>
            <w:tcW w:w="2977" w:type="dxa"/>
          </w:tcPr>
          <w:p w14:paraId="2D2685E8" w14:textId="77777777" w:rsidR="001825EE" w:rsidRPr="00967AA2" w:rsidRDefault="001825EE" w:rsidP="001825EE">
            <w:pPr>
              <w:pStyle w:val="TableParagraph"/>
              <w:autoSpaceDE/>
              <w:autoSpaceDN/>
              <w:ind w:left="302" w:right="29"/>
            </w:pPr>
            <w:r w:rsidRPr="00967AA2">
              <w:t>površinski edem</w:t>
            </w:r>
          </w:p>
        </w:tc>
        <w:tc>
          <w:tcPr>
            <w:tcW w:w="3377" w:type="dxa"/>
          </w:tcPr>
          <w:p w14:paraId="39EBD904" w14:textId="77777777" w:rsidR="001825EE" w:rsidRPr="00967AA2" w:rsidRDefault="001825EE" w:rsidP="002C3132">
            <w:pPr>
              <w:pStyle w:val="TableParagraph"/>
              <w:autoSpaceDE/>
              <w:autoSpaceDN/>
              <w:ind w:left="29" w:right="29"/>
              <w:jc w:val="center"/>
            </w:pPr>
            <w:r w:rsidRPr="00967AA2">
              <w:t>15</w:t>
            </w:r>
          </w:p>
        </w:tc>
        <w:tc>
          <w:tcPr>
            <w:tcW w:w="2718" w:type="dxa"/>
          </w:tcPr>
          <w:p w14:paraId="27F15016" w14:textId="77777777" w:rsidR="001825EE" w:rsidRPr="00967AA2" w:rsidRDefault="001825EE" w:rsidP="002C3132">
            <w:pPr>
              <w:pStyle w:val="TableParagraph"/>
              <w:autoSpaceDE/>
              <w:autoSpaceDN/>
              <w:ind w:left="29" w:right="29"/>
              <w:jc w:val="center"/>
            </w:pPr>
            <w:r w:rsidRPr="00967AA2">
              <w:t>&lt; 1</w:t>
            </w:r>
          </w:p>
        </w:tc>
      </w:tr>
      <w:tr w:rsidR="001825EE" w:rsidRPr="00967AA2" w14:paraId="0E9E8E9A" w14:textId="77777777" w:rsidTr="002C3132">
        <w:trPr>
          <w:trHeight w:val="20"/>
        </w:trPr>
        <w:tc>
          <w:tcPr>
            <w:tcW w:w="2977" w:type="dxa"/>
          </w:tcPr>
          <w:p w14:paraId="0835B365" w14:textId="77777777" w:rsidR="001825EE" w:rsidRPr="00967AA2" w:rsidRDefault="001825EE" w:rsidP="001825EE">
            <w:pPr>
              <w:pStyle w:val="TableParagraph"/>
              <w:autoSpaceDE/>
              <w:autoSpaceDN/>
              <w:ind w:left="302" w:right="29"/>
            </w:pPr>
            <w:r w:rsidRPr="00967AA2">
              <w:t>pleuralni izljev</w:t>
            </w:r>
          </w:p>
        </w:tc>
        <w:tc>
          <w:tcPr>
            <w:tcW w:w="3377" w:type="dxa"/>
          </w:tcPr>
          <w:p w14:paraId="0F2FD23B" w14:textId="77777777" w:rsidR="001825EE" w:rsidRPr="00967AA2" w:rsidRDefault="001825EE" w:rsidP="002C3132">
            <w:pPr>
              <w:pStyle w:val="TableParagraph"/>
              <w:autoSpaceDE/>
              <w:autoSpaceDN/>
              <w:ind w:left="29" w:right="29"/>
              <w:jc w:val="center"/>
            </w:pPr>
            <w:r w:rsidRPr="00967AA2">
              <w:t>20</w:t>
            </w:r>
          </w:p>
        </w:tc>
        <w:tc>
          <w:tcPr>
            <w:tcW w:w="2718" w:type="dxa"/>
          </w:tcPr>
          <w:p w14:paraId="38A0DF2D" w14:textId="77777777" w:rsidR="001825EE" w:rsidRPr="00967AA2" w:rsidRDefault="001825EE" w:rsidP="002C3132">
            <w:pPr>
              <w:pStyle w:val="TableParagraph"/>
              <w:autoSpaceDE/>
              <w:autoSpaceDN/>
              <w:ind w:left="29" w:right="29"/>
              <w:jc w:val="center"/>
            </w:pPr>
            <w:r w:rsidRPr="00967AA2">
              <w:t>6</w:t>
            </w:r>
          </w:p>
        </w:tc>
      </w:tr>
      <w:tr w:rsidR="001825EE" w:rsidRPr="00967AA2" w14:paraId="04B6DAC5" w14:textId="77777777" w:rsidTr="002C3132">
        <w:trPr>
          <w:trHeight w:val="20"/>
        </w:trPr>
        <w:tc>
          <w:tcPr>
            <w:tcW w:w="2977" w:type="dxa"/>
          </w:tcPr>
          <w:p w14:paraId="73D167D5" w14:textId="77777777" w:rsidR="001825EE" w:rsidRPr="00967AA2" w:rsidRDefault="001825EE" w:rsidP="001825EE">
            <w:pPr>
              <w:pStyle w:val="TableParagraph"/>
              <w:autoSpaceDE/>
              <w:autoSpaceDN/>
              <w:ind w:left="302" w:right="29"/>
            </w:pPr>
            <w:r w:rsidRPr="00967AA2">
              <w:t>generalizirani edem</w:t>
            </w:r>
          </w:p>
        </w:tc>
        <w:tc>
          <w:tcPr>
            <w:tcW w:w="3377" w:type="dxa"/>
          </w:tcPr>
          <w:p w14:paraId="438957EE" w14:textId="77777777" w:rsidR="001825EE" w:rsidRPr="00967AA2" w:rsidRDefault="001825EE" w:rsidP="002C3132">
            <w:pPr>
              <w:pStyle w:val="TableParagraph"/>
              <w:autoSpaceDE/>
              <w:autoSpaceDN/>
              <w:ind w:left="29" w:right="29"/>
              <w:jc w:val="center"/>
            </w:pPr>
            <w:r w:rsidRPr="00967AA2">
              <w:t>2</w:t>
            </w:r>
          </w:p>
        </w:tc>
        <w:tc>
          <w:tcPr>
            <w:tcW w:w="2718" w:type="dxa"/>
          </w:tcPr>
          <w:p w14:paraId="06FF218D" w14:textId="77777777" w:rsidR="001825EE" w:rsidRPr="00967AA2" w:rsidRDefault="001825EE" w:rsidP="002C3132">
            <w:pPr>
              <w:pStyle w:val="TableParagraph"/>
              <w:autoSpaceDE/>
              <w:autoSpaceDN/>
              <w:ind w:left="29" w:right="29"/>
              <w:jc w:val="center"/>
            </w:pPr>
            <w:r w:rsidRPr="00967AA2">
              <w:t>0</w:t>
            </w:r>
          </w:p>
        </w:tc>
      </w:tr>
      <w:tr w:rsidR="001825EE" w:rsidRPr="00967AA2" w14:paraId="01E0123A" w14:textId="77777777" w:rsidTr="002C3132">
        <w:trPr>
          <w:trHeight w:val="20"/>
        </w:trPr>
        <w:tc>
          <w:tcPr>
            <w:tcW w:w="2977" w:type="dxa"/>
          </w:tcPr>
          <w:p w14:paraId="75F3620C" w14:textId="77777777" w:rsidR="001825EE" w:rsidRPr="00967AA2" w:rsidRDefault="001825EE" w:rsidP="001825EE">
            <w:pPr>
              <w:pStyle w:val="TableParagraph"/>
              <w:autoSpaceDE/>
              <w:autoSpaceDN/>
              <w:ind w:left="302" w:right="29"/>
            </w:pPr>
            <w:r w:rsidRPr="00967AA2">
              <w:t>kongestivno zatajenje srca</w:t>
            </w:r>
            <w:r>
              <w:t xml:space="preserve"> </w:t>
            </w:r>
            <w:r w:rsidRPr="00967AA2">
              <w:t>/ srčana</w:t>
            </w:r>
            <w:r>
              <w:t> </w:t>
            </w:r>
            <w:r w:rsidRPr="00967AA2">
              <w:t>disfunkcija</w:t>
            </w:r>
            <w:r w:rsidRPr="00967AA2">
              <w:rPr>
                <w:vertAlign w:val="superscript"/>
              </w:rPr>
              <w:t>b</w:t>
            </w:r>
          </w:p>
        </w:tc>
        <w:tc>
          <w:tcPr>
            <w:tcW w:w="3377" w:type="dxa"/>
          </w:tcPr>
          <w:p w14:paraId="15056631" w14:textId="77777777" w:rsidR="001825EE" w:rsidRPr="00967AA2" w:rsidRDefault="001825EE" w:rsidP="002C3132">
            <w:pPr>
              <w:pStyle w:val="TableParagraph"/>
              <w:autoSpaceDE/>
              <w:autoSpaceDN/>
              <w:ind w:left="29" w:right="29"/>
              <w:jc w:val="center"/>
            </w:pPr>
            <w:r w:rsidRPr="00967AA2">
              <w:t>1</w:t>
            </w:r>
          </w:p>
        </w:tc>
        <w:tc>
          <w:tcPr>
            <w:tcW w:w="2718" w:type="dxa"/>
          </w:tcPr>
          <w:p w14:paraId="0B2E14C9" w14:textId="77777777" w:rsidR="001825EE" w:rsidRPr="00967AA2" w:rsidRDefault="001825EE" w:rsidP="002C3132">
            <w:pPr>
              <w:pStyle w:val="TableParagraph"/>
              <w:autoSpaceDE/>
              <w:autoSpaceDN/>
              <w:ind w:left="29" w:right="29"/>
              <w:jc w:val="center"/>
            </w:pPr>
            <w:r w:rsidRPr="00967AA2">
              <w:t>0</w:t>
            </w:r>
          </w:p>
        </w:tc>
      </w:tr>
      <w:tr w:rsidR="001825EE" w:rsidRPr="00967AA2" w14:paraId="5255EDC8" w14:textId="77777777" w:rsidTr="002C3132">
        <w:trPr>
          <w:trHeight w:val="20"/>
        </w:trPr>
        <w:tc>
          <w:tcPr>
            <w:tcW w:w="2977" w:type="dxa"/>
          </w:tcPr>
          <w:p w14:paraId="0C27FF2F" w14:textId="77777777" w:rsidR="001825EE" w:rsidRPr="00967AA2" w:rsidRDefault="001825EE" w:rsidP="001825EE">
            <w:pPr>
              <w:pStyle w:val="TableParagraph"/>
              <w:autoSpaceDE/>
              <w:autoSpaceDN/>
              <w:ind w:left="302" w:right="29"/>
            </w:pPr>
            <w:r w:rsidRPr="00967AA2">
              <w:t>perikardijalni izljev</w:t>
            </w:r>
          </w:p>
        </w:tc>
        <w:tc>
          <w:tcPr>
            <w:tcW w:w="3377" w:type="dxa"/>
          </w:tcPr>
          <w:p w14:paraId="757565D2" w14:textId="77777777" w:rsidR="001825EE" w:rsidRPr="00967AA2" w:rsidRDefault="001825EE" w:rsidP="002C3132">
            <w:pPr>
              <w:pStyle w:val="TableParagraph"/>
              <w:autoSpaceDE/>
              <w:autoSpaceDN/>
              <w:ind w:left="29" w:right="29"/>
              <w:jc w:val="center"/>
            </w:pPr>
            <w:r w:rsidRPr="00967AA2">
              <w:t>2</w:t>
            </w:r>
          </w:p>
        </w:tc>
        <w:tc>
          <w:tcPr>
            <w:tcW w:w="2718" w:type="dxa"/>
          </w:tcPr>
          <w:p w14:paraId="33D01F85" w14:textId="77777777" w:rsidR="001825EE" w:rsidRPr="00967AA2" w:rsidRDefault="001825EE" w:rsidP="002C3132">
            <w:pPr>
              <w:pStyle w:val="TableParagraph"/>
              <w:autoSpaceDE/>
              <w:autoSpaceDN/>
              <w:ind w:left="29" w:right="29"/>
              <w:jc w:val="center"/>
            </w:pPr>
            <w:r w:rsidRPr="00967AA2">
              <w:t>1</w:t>
            </w:r>
          </w:p>
        </w:tc>
      </w:tr>
      <w:tr w:rsidR="001825EE" w:rsidRPr="00967AA2" w14:paraId="09C6B9B6" w14:textId="77777777" w:rsidTr="002C3132">
        <w:trPr>
          <w:trHeight w:val="20"/>
        </w:trPr>
        <w:tc>
          <w:tcPr>
            <w:tcW w:w="2977" w:type="dxa"/>
          </w:tcPr>
          <w:p w14:paraId="459001E6" w14:textId="33B892E8" w:rsidR="001825EE" w:rsidRPr="00967AA2" w:rsidRDefault="001825EE" w:rsidP="001825EE">
            <w:pPr>
              <w:pStyle w:val="TableParagraph"/>
              <w:autoSpaceDE/>
              <w:autoSpaceDN/>
              <w:ind w:left="302" w:right="29"/>
            </w:pPr>
            <w:r w:rsidRPr="00967AA2">
              <w:t>plućn</w:t>
            </w:r>
            <w:r w:rsidR="00F40B95">
              <w:t>i edem</w:t>
            </w:r>
          </w:p>
        </w:tc>
        <w:tc>
          <w:tcPr>
            <w:tcW w:w="3377" w:type="dxa"/>
          </w:tcPr>
          <w:p w14:paraId="40A5B224" w14:textId="77777777" w:rsidR="001825EE" w:rsidRPr="00967AA2" w:rsidRDefault="001825EE" w:rsidP="002C3132">
            <w:pPr>
              <w:pStyle w:val="TableParagraph"/>
              <w:autoSpaceDE/>
              <w:autoSpaceDN/>
              <w:ind w:left="29" w:right="29"/>
              <w:jc w:val="center"/>
            </w:pPr>
            <w:r w:rsidRPr="00967AA2">
              <w:t>1</w:t>
            </w:r>
          </w:p>
        </w:tc>
        <w:tc>
          <w:tcPr>
            <w:tcW w:w="2718" w:type="dxa"/>
          </w:tcPr>
          <w:p w14:paraId="2FAFE3E6" w14:textId="77777777" w:rsidR="001825EE" w:rsidRPr="00967AA2" w:rsidRDefault="001825EE" w:rsidP="002C3132">
            <w:pPr>
              <w:pStyle w:val="TableParagraph"/>
              <w:autoSpaceDE/>
              <w:autoSpaceDN/>
              <w:ind w:left="29" w:right="29"/>
              <w:jc w:val="center"/>
            </w:pPr>
            <w:r w:rsidRPr="00967AA2">
              <w:t>1</w:t>
            </w:r>
          </w:p>
        </w:tc>
      </w:tr>
      <w:tr w:rsidR="001825EE" w:rsidRPr="00967AA2" w14:paraId="3A39A7D5" w14:textId="77777777" w:rsidTr="002C3132">
        <w:trPr>
          <w:trHeight w:val="20"/>
        </w:trPr>
        <w:tc>
          <w:tcPr>
            <w:tcW w:w="2977" w:type="dxa"/>
          </w:tcPr>
          <w:p w14:paraId="27CF35B7" w14:textId="77777777" w:rsidR="001825EE" w:rsidRPr="00967AA2" w:rsidRDefault="001825EE" w:rsidP="001825EE">
            <w:pPr>
              <w:pStyle w:val="TableParagraph"/>
              <w:autoSpaceDE/>
              <w:autoSpaceDN/>
              <w:ind w:left="29" w:right="29"/>
              <w:rPr>
                <w:b/>
              </w:rPr>
            </w:pPr>
            <w:r w:rsidRPr="00967AA2">
              <w:rPr>
                <w:b/>
              </w:rPr>
              <w:t>Krvarenje</w:t>
            </w:r>
          </w:p>
        </w:tc>
        <w:tc>
          <w:tcPr>
            <w:tcW w:w="3377" w:type="dxa"/>
          </w:tcPr>
          <w:p w14:paraId="534C629B" w14:textId="77777777" w:rsidR="001825EE" w:rsidRPr="00967AA2" w:rsidRDefault="001825EE" w:rsidP="002C3132">
            <w:pPr>
              <w:pStyle w:val="TableParagraph"/>
              <w:autoSpaceDE/>
              <w:autoSpaceDN/>
              <w:ind w:left="29" w:right="29"/>
              <w:jc w:val="center"/>
            </w:pPr>
            <w:r w:rsidRPr="00967AA2">
              <w:t>23</w:t>
            </w:r>
          </w:p>
        </w:tc>
        <w:tc>
          <w:tcPr>
            <w:tcW w:w="2718" w:type="dxa"/>
          </w:tcPr>
          <w:p w14:paraId="346FA5D5" w14:textId="77777777" w:rsidR="001825EE" w:rsidRPr="00967AA2" w:rsidRDefault="001825EE" w:rsidP="002C3132">
            <w:pPr>
              <w:pStyle w:val="TableParagraph"/>
              <w:autoSpaceDE/>
              <w:autoSpaceDN/>
              <w:ind w:left="29" w:right="29"/>
              <w:jc w:val="center"/>
            </w:pPr>
            <w:r w:rsidRPr="00967AA2">
              <w:t>8</w:t>
            </w:r>
          </w:p>
        </w:tc>
      </w:tr>
      <w:tr w:rsidR="001825EE" w:rsidRPr="00967AA2" w14:paraId="0C211393" w14:textId="77777777" w:rsidTr="002C3132">
        <w:trPr>
          <w:trHeight w:val="20"/>
        </w:trPr>
        <w:tc>
          <w:tcPr>
            <w:tcW w:w="2977" w:type="dxa"/>
            <w:tcBorders>
              <w:bottom w:val="single" w:sz="4" w:space="0" w:color="000000"/>
            </w:tcBorders>
          </w:tcPr>
          <w:p w14:paraId="50E86CD8" w14:textId="77777777" w:rsidR="001825EE" w:rsidRPr="00967AA2" w:rsidRDefault="001825EE" w:rsidP="001825EE">
            <w:pPr>
              <w:pStyle w:val="TableParagraph"/>
              <w:autoSpaceDE/>
              <w:autoSpaceDN/>
              <w:ind w:left="302" w:right="29"/>
            </w:pPr>
            <w:r w:rsidRPr="00967AA2">
              <w:t>gastrointestinalno krvarenje</w:t>
            </w:r>
          </w:p>
        </w:tc>
        <w:tc>
          <w:tcPr>
            <w:tcW w:w="3377" w:type="dxa"/>
            <w:tcBorders>
              <w:bottom w:val="single" w:sz="4" w:space="0" w:color="000000"/>
            </w:tcBorders>
          </w:tcPr>
          <w:p w14:paraId="7FA48BD5" w14:textId="77777777" w:rsidR="001825EE" w:rsidRPr="00967AA2" w:rsidRDefault="001825EE" w:rsidP="002C3132">
            <w:pPr>
              <w:pStyle w:val="TableParagraph"/>
              <w:autoSpaceDE/>
              <w:autoSpaceDN/>
              <w:ind w:left="29" w:right="29"/>
              <w:jc w:val="center"/>
            </w:pPr>
            <w:r w:rsidRPr="00967AA2">
              <w:t>8</w:t>
            </w:r>
          </w:p>
        </w:tc>
        <w:tc>
          <w:tcPr>
            <w:tcW w:w="2718" w:type="dxa"/>
            <w:tcBorders>
              <w:bottom w:val="single" w:sz="4" w:space="0" w:color="000000"/>
            </w:tcBorders>
          </w:tcPr>
          <w:p w14:paraId="669563C3" w14:textId="77777777" w:rsidR="001825EE" w:rsidRPr="00967AA2" w:rsidRDefault="001825EE" w:rsidP="002C3132">
            <w:pPr>
              <w:pStyle w:val="TableParagraph"/>
              <w:autoSpaceDE/>
              <w:autoSpaceDN/>
              <w:ind w:left="29" w:right="29"/>
              <w:jc w:val="center"/>
            </w:pPr>
            <w:r w:rsidRPr="00967AA2">
              <w:t>6</w:t>
            </w:r>
          </w:p>
        </w:tc>
      </w:tr>
    </w:tbl>
    <w:p w14:paraId="6BF898CF" w14:textId="7E45CC2D" w:rsidR="00AF7ABC" w:rsidRPr="00F25CE6" w:rsidRDefault="00422138" w:rsidP="00612D2B">
      <w:pPr>
        <w:pStyle w:val="Footnote"/>
        <w:ind w:left="0" w:firstLine="0"/>
      </w:pPr>
      <w:r w:rsidRPr="001825EE">
        <w:rPr>
          <w:vertAlign w:val="superscript"/>
        </w:rPr>
        <w:t>a</w:t>
      </w:r>
      <w:r w:rsidR="00B42B87">
        <w:t xml:space="preserve"> </w:t>
      </w:r>
      <w:r w:rsidRPr="00F25CE6">
        <w:t xml:space="preserve">Rezultati ispitivanja optimizacije doze faze </w:t>
      </w:r>
      <w:r w:rsidR="00071F21">
        <w:t>III</w:t>
      </w:r>
      <w:r w:rsidRPr="00F25CE6">
        <w:t xml:space="preserve"> u populaciji liječenoj preporučenom početnom dozom od 140 mg jedanput dnevno (n</w:t>
      </w:r>
      <w:r w:rsidR="002D7341">
        <w:t> </w:t>
      </w:r>
      <w:r w:rsidRPr="00F25CE6">
        <w:t>=</w:t>
      </w:r>
      <w:r w:rsidR="002D7341">
        <w:t> </w:t>
      </w:r>
      <w:r w:rsidRPr="00F25CE6">
        <w:t>304) prijavljeni nakon 2 godine praćenja u sklopu ispitivanja.</w:t>
      </w:r>
    </w:p>
    <w:p w14:paraId="3B0B360F" w14:textId="3BD46838" w:rsidR="00AF7ABC" w:rsidRPr="00F25CE6" w:rsidRDefault="00422138" w:rsidP="00612D2B">
      <w:pPr>
        <w:pStyle w:val="Footnote"/>
        <w:ind w:left="0" w:firstLine="0"/>
      </w:pPr>
      <w:r w:rsidRPr="001825EE">
        <w:rPr>
          <w:vertAlign w:val="superscript"/>
        </w:rPr>
        <w:t>b</w:t>
      </w:r>
      <w:r w:rsidR="00B42B87">
        <w:t xml:space="preserve"> </w:t>
      </w:r>
      <w:r w:rsidRPr="00F25CE6">
        <w:t>Uključuje ventrikularnu disfunkciju, srčano zatajenje, kongestivno zatajenje srca, kardiomiopatiju, kongestivnu kardiomiopatiju, dijastoličku disfunkciju, smanjenje ejekcijske frakcije i zatajivanje ventrikula.</w:t>
      </w:r>
    </w:p>
    <w:p w14:paraId="3825B6D7" w14:textId="77777777" w:rsidR="00AF7ABC" w:rsidRPr="00F25CE6" w:rsidRDefault="00AF7ABC" w:rsidP="00F25CE6">
      <w:pPr>
        <w:pStyle w:val="BodyText"/>
        <w:widowControl/>
        <w:rPr>
          <w:rFonts w:asciiTheme="majorBidi" w:hAnsiTheme="majorBidi" w:cstheme="majorBidi"/>
          <w:szCs w:val="22"/>
        </w:rPr>
      </w:pPr>
    </w:p>
    <w:p w14:paraId="19E42455" w14:textId="1A1E272E" w:rsidR="00AF7ABC" w:rsidRPr="00F25CE6" w:rsidRDefault="00422138" w:rsidP="001825EE">
      <w:pPr>
        <w:pStyle w:val="BodyText"/>
        <w:widowControl/>
        <w:rPr>
          <w:rFonts w:asciiTheme="majorBidi" w:hAnsiTheme="majorBidi" w:cstheme="majorBidi"/>
          <w:szCs w:val="22"/>
        </w:rPr>
      </w:pPr>
      <w:r w:rsidRPr="00F25CE6">
        <w:rPr>
          <w:rFonts w:asciiTheme="majorBidi" w:hAnsiTheme="majorBidi" w:cstheme="majorBidi"/>
          <w:szCs w:val="22"/>
        </w:rPr>
        <w:t>Nadalje, provedena su dva ispitivanja s ukupno 161 bolesnikom s Ph+ ALL</w:t>
      </w:r>
      <w:r w:rsidR="002D7341">
        <w:rPr>
          <w:rFonts w:asciiTheme="majorBidi" w:hAnsiTheme="majorBidi" w:cstheme="majorBidi"/>
          <w:szCs w:val="22"/>
        </w:rPr>
        <w:t>-om</w:t>
      </w:r>
      <w:r w:rsidRPr="00F25CE6">
        <w:rPr>
          <w:rFonts w:asciiTheme="majorBidi" w:hAnsiTheme="majorBidi" w:cstheme="majorBidi"/>
          <w:szCs w:val="22"/>
        </w:rPr>
        <w:t xml:space="preserve"> koji je primao </w:t>
      </w:r>
      <w:r w:rsidR="00980543">
        <w:rPr>
          <w:rFonts w:asciiTheme="majorBidi" w:hAnsiTheme="majorBidi" w:cstheme="majorBidi"/>
          <w:szCs w:val="22"/>
        </w:rPr>
        <w:t>dasatinib</w:t>
      </w:r>
      <w:r w:rsidRPr="00F25CE6">
        <w:rPr>
          <w:rFonts w:asciiTheme="majorBidi" w:hAnsiTheme="majorBidi" w:cstheme="majorBidi"/>
          <w:szCs w:val="22"/>
        </w:rPr>
        <w:t xml:space="preserve"> u kombinaciji s kemoterapijom. U pivotalnom je ispitivanju sudjelovalo 106 pedijatrijskih bolesnika koji su primali </w:t>
      </w:r>
      <w:r w:rsidR="00980543">
        <w:rPr>
          <w:rFonts w:asciiTheme="majorBidi" w:hAnsiTheme="majorBidi" w:cstheme="majorBidi"/>
          <w:szCs w:val="22"/>
        </w:rPr>
        <w:t>dasatinib</w:t>
      </w:r>
      <w:r w:rsidRPr="00F25CE6">
        <w:rPr>
          <w:rFonts w:asciiTheme="majorBidi" w:hAnsiTheme="majorBidi" w:cstheme="majorBidi"/>
          <w:szCs w:val="22"/>
        </w:rPr>
        <w:t xml:space="preserve"> u kombinaciji s kemoterapijom prema režimu kontinuirane primjene. U potpornom ispitivanju, u kojem je sudjelovalo 55 pedijatrijskih bolesnika, njih 35 primalo je </w:t>
      </w:r>
      <w:r w:rsidR="00980543">
        <w:rPr>
          <w:rFonts w:asciiTheme="majorBidi" w:hAnsiTheme="majorBidi" w:cstheme="majorBidi"/>
          <w:szCs w:val="22"/>
        </w:rPr>
        <w:t>dasatinib</w:t>
      </w:r>
      <w:r w:rsidRPr="00F25CE6">
        <w:rPr>
          <w:rFonts w:asciiTheme="majorBidi" w:hAnsiTheme="majorBidi" w:cstheme="majorBidi"/>
          <w:szCs w:val="22"/>
        </w:rPr>
        <w:t xml:space="preserve"> u kombinaciji s kemoterapijom prema režimu isprekidane primjene (dva tjedna liječenja, a zatim jedan do dva tjedna bez liječenja), dok je 20 bolesnika primalo </w:t>
      </w:r>
      <w:r w:rsidR="00980543">
        <w:rPr>
          <w:rFonts w:asciiTheme="majorBidi" w:hAnsiTheme="majorBidi" w:cstheme="majorBidi"/>
          <w:szCs w:val="22"/>
        </w:rPr>
        <w:t>dasatinib</w:t>
      </w:r>
      <w:r w:rsidRPr="00F25CE6">
        <w:rPr>
          <w:rFonts w:asciiTheme="majorBidi" w:hAnsiTheme="majorBidi" w:cstheme="majorBidi"/>
          <w:szCs w:val="22"/>
        </w:rPr>
        <w:t xml:space="preserve"> u kombinaciji s kemoterapijom prema režimu kontinuirane primjene. Medijan trajanja liječenja među 126</w:t>
      </w:r>
      <w:r w:rsidR="001825EE">
        <w:rPr>
          <w:rFonts w:asciiTheme="majorBidi" w:hAnsiTheme="majorBidi" w:cstheme="majorBidi"/>
          <w:szCs w:val="22"/>
        </w:rPr>
        <w:t xml:space="preserve"> </w:t>
      </w:r>
      <w:r w:rsidRPr="00F25CE6">
        <w:rPr>
          <w:rFonts w:asciiTheme="majorBidi" w:hAnsiTheme="majorBidi" w:cstheme="majorBidi"/>
          <w:szCs w:val="22"/>
        </w:rPr>
        <w:t>pedijatrijskih bolesnika s Ph+ ALL</w:t>
      </w:r>
      <w:r w:rsidR="002D7341">
        <w:rPr>
          <w:rFonts w:asciiTheme="majorBidi" w:hAnsiTheme="majorBidi" w:cstheme="majorBidi"/>
          <w:szCs w:val="22"/>
        </w:rPr>
        <w:t>-om</w:t>
      </w:r>
      <w:r w:rsidRPr="00F25CE6">
        <w:rPr>
          <w:rFonts w:asciiTheme="majorBidi" w:hAnsiTheme="majorBidi" w:cstheme="majorBidi"/>
          <w:szCs w:val="22"/>
        </w:rPr>
        <w:t xml:space="preserve"> liječenih </w:t>
      </w:r>
      <w:r w:rsidR="00980543">
        <w:rPr>
          <w:rFonts w:asciiTheme="majorBidi" w:hAnsiTheme="majorBidi" w:cstheme="majorBidi"/>
          <w:szCs w:val="22"/>
        </w:rPr>
        <w:t>dasatinibom</w:t>
      </w:r>
      <w:r w:rsidRPr="00F25CE6">
        <w:rPr>
          <w:rFonts w:asciiTheme="majorBidi" w:hAnsiTheme="majorBidi" w:cstheme="majorBidi"/>
          <w:szCs w:val="22"/>
        </w:rPr>
        <w:t xml:space="preserve"> prema režimu kontinuirane primjene iznosio je 23,6 mjeseci (raspon 1,4 </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 xml:space="preserve"> 33 mjeseca).</w:t>
      </w:r>
    </w:p>
    <w:p w14:paraId="60529CA1" w14:textId="77777777" w:rsidR="00AF7ABC" w:rsidRPr="00F25CE6" w:rsidRDefault="00AF7ABC" w:rsidP="00F25CE6">
      <w:pPr>
        <w:pStyle w:val="BodyText"/>
        <w:widowControl/>
        <w:rPr>
          <w:rFonts w:asciiTheme="majorBidi" w:hAnsiTheme="majorBidi" w:cstheme="majorBidi"/>
          <w:szCs w:val="22"/>
        </w:rPr>
      </w:pPr>
    </w:p>
    <w:p w14:paraId="5C4FBED4" w14:textId="4FBC97BB"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Od 126 pedijatrijskih bolesnika s Ph+ ALL</w:t>
      </w:r>
      <w:r w:rsidR="00446CFB">
        <w:rPr>
          <w:rFonts w:asciiTheme="majorBidi" w:hAnsiTheme="majorBidi" w:cstheme="majorBidi"/>
          <w:szCs w:val="22"/>
        </w:rPr>
        <w:t>-om</w:t>
      </w:r>
      <w:r w:rsidRPr="00F25CE6">
        <w:rPr>
          <w:rFonts w:asciiTheme="majorBidi" w:hAnsiTheme="majorBidi" w:cstheme="majorBidi"/>
          <w:szCs w:val="22"/>
        </w:rPr>
        <w:t xml:space="preserve"> liječenih prema režimu kontinuirane primjene, 2 (1,6%) bolesnika imala su nuspojave koje su dovele do prekida liječenja. Nuspojave prijavljene u ta dva pedijatrijska ispitivanja s učestalošću od </w:t>
      </w:r>
      <w:r w:rsidR="00605A0B" w:rsidRPr="00B6297A">
        <w:rPr>
          <w:szCs w:val="22"/>
        </w:rPr>
        <w:t>≥</w:t>
      </w:r>
      <w:r w:rsidR="00446CFB">
        <w:rPr>
          <w:szCs w:val="22"/>
        </w:rPr>
        <w:t> </w:t>
      </w:r>
      <w:r w:rsidRPr="00F25CE6">
        <w:rPr>
          <w:rFonts w:asciiTheme="majorBidi" w:hAnsiTheme="majorBidi" w:cstheme="majorBidi"/>
          <w:szCs w:val="22"/>
        </w:rPr>
        <w:t>10% u bolesnika liječenih prema režimu kontinuirane primjene prikazane su u Tablici 7. Treba napomenuti da je pleuralni izljev prijavljen u 7 (5,6%) bolesnika u toj skupini i stoga nije uključen u tablicu.</w:t>
      </w:r>
    </w:p>
    <w:p w14:paraId="7A58ABE5" w14:textId="77777777" w:rsidR="00AF7ABC" w:rsidRPr="00F25CE6" w:rsidRDefault="00AF7ABC" w:rsidP="00F25CE6">
      <w:pPr>
        <w:pStyle w:val="BodyText"/>
        <w:widowControl/>
        <w:rPr>
          <w:rFonts w:asciiTheme="majorBidi" w:hAnsiTheme="majorBidi" w:cstheme="majorBidi"/>
          <w:szCs w:val="22"/>
        </w:rPr>
      </w:pPr>
    </w:p>
    <w:p w14:paraId="36C76B13" w14:textId="3C097EB5" w:rsidR="00AF7ABC" w:rsidRPr="00F25CE6" w:rsidRDefault="00422138" w:rsidP="001825EE">
      <w:pPr>
        <w:pStyle w:val="Tableheading"/>
      </w:pPr>
      <w:r w:rsidRPr="00F25CE6">
        <w:t>Tablica 7:</w:t>
      </w:r>
      <w:r w:rsidR="001825EE">
        <w:tab/>
      </w:r>
      <w:r w:rsidRPr="00F25CE6">
        <w:t>Nuspojave prijavljene u ≥</w:t>
      </w:r>
      <w:r w:rsidR="007C5A7B">
        <w:t xml:space="preserve"> </w:t>
      </w:r>
      <w:r w:rsidRPr="00F25CE6">
        <w:t>10% pedijatrijskih bolesnika s Ph+ ALL</w:t>
      </w:r>
      <w:r w:rsidR="00446CFB">
        <w:t>-om</w:t>
      </w:r>
      <w:r w:rsidRPr="00F25CE6">
        <w:t xml:space="preserve"> liječenih </w:t>
      </w:r>
      <w:r w:rsidR="00980543">
        <w:t xml:space="preserve">dasatinibom </w:t>
      </w:r>
      <w:r w:rsidRPr="00F25CE6">
        <w:t>prema režimu kontinuirane primjene u kombinaciji s kemoterapijom (N</w:t>
      </w:r>
      <w:r w:rsidR="00797AB1">
        <w:t> </w:t>
      </w:r>
      <w:r w:rsidRPr="00F25CE6">
        <w:t>=</w:t>
      </w:r>
      <w:r w:rsidR="00797AB1">
        <w:t> </w:t>
      </w:r>
      <w:r w:rsidRPr="00F25CE6">
        <w:t>126)</w:t>
      </w:r>
      <w:r w:rsidRPr="00F25CE6">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647"/>
        <w:gridCol w:w="2813"/>
        <w:gridCol w:w="228"/>
        <w:gridCol w:w="3041"/>
      </w:tblGrid>
      <w:tr w:rsidR="00ED62D2" w:rsidRPr="00F25CE6" w14:paraId="2CF6172E" w14:textId="77777777" w:rsidTr="00D90C85">
        <w:trPr>
          <w:trHeight w:val="20"/>
        </w:trPr>
        <w:tc>
          <w:tcPr>
            <w:tcW w:w="2647" w:type="dxa"/>
            <w:tcBorders>
              <w:top w:val="single" w:sz="4" w:space="0" w:color="000000"/>
              <w:bottom w:val="single" w:sz="4" w:space="0" w:color="000000"/>
            </w:tcBorders>
          </w:tcPr>
          <w:p w14:paraId="1B638D8C" w14:textId="77777777" w:rsidR="00ED62D2" w:rsidRPr="00F25CE6" w:rsidRDefault="00ED62D2" w:rsidP="001825EE">
            <w:pPr>
              <w:pStyle w:val="TableParagraph"/>
              <w:autoSpaceDE/>
              <w:autoSpaceDN/>
              <w:ind w:left="29" w:right="29"/>
              <w:rPr>
                <w:rFonts w:asciiTheme="majorBidi" w:hAnsiTheme="majorBidi" w:cstheme="majorBidi"/>
                <w:b/>
              </w:rPr>
            </w:pPr>
          </w:p>
        </w:tc>
        <w:tc>
          <w:tcPr>
            <w:tcW w:w="3041" w:type="dxa"/>
            <w:gridSpan w:val="2"/>
            <w:tcBorders>
              <w:top w:val="single" w:sz="4" w:space="0" w:color="000000"/>
              <w:bottom w:val="single" w:sz="4" w:space="0" w:color="000000"/>
            </w:tcBorders>
          </w:tcPr>
          <w:p w14:paraId="3EC09C6F" w14:textId="77777777" w:rsidR="00ED62D2" w:rsidRPr="00F25CE6" w:rsidRDefault="00ED62D2" w:rsidP="001825E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Postotak (%) bolesnika</w:t>
            </w:r>
          </w:p>
        </w:tc>
        <w:tc>
          <w:tcPr>
            <w:tcW w:w="3041" w:type="dxa"/>
            <w:tcBorders>
              <w:top w:val="single" w:sz="4" w:space="0" w:color="000000"/>
              <w:bottom w:val="single" w:sz="4" w:space="0" w:color="000000"/>
            </w:tcBorders>
          </w:tcPr>
          <w:p w14:paraId="5539FEF0" w14:textId="6BB2A068" w:rsidR="00ED62D2" w:rsidRPr="00F25CE6" w:rsidRDefault="00ED62D2" w:rsidP="001825EE">
            <w:pPr>
              <w:pStyle w:val="TableParagraph"/>
              <w:autoSpaceDE/>
              <w:autoSpaceDN/>
              <w:ind w:left="29" w:right="29"/>
              <w:jc w:val="center"/>
              <w:rPr>
                <w:rFonts w:asciiTheme="majorBidi" w:hAnsiTheme="majorBidi" w:cstheme="majorBidi"/>
                <w:b/>
              </w:rPr>
            </w:pPr>
          </w:p>
        </w:tc>
      </w:tr>
      <w:tr w:rsidR="00AF7ABC" w:rsidRPr="00F25CE6" w14:paraId="72257B18" w14:textId="77777777" w:rsidTr="001825EE">
        <w:trPr>
          <w:trHeight w:val="20"/>
        </w:trPr>
        <w:tc>
          <w:tcPr>
            <w:tcW w:w="2647" w:type="dxa"/>
            <w:tcBorders>
              <w:top w:val="single" w:sz="4" w:space="0" w:color="000000"/>
              <w:bottom w:val="single" w:sz="4" w:space="0" w:color="000000"/>
            </w:tcBorders>
          </w:tcPr>
          <w:p w14:paraId="77E3F8F4" w14:textId="77777777" w:rsidR="00AF7ABC" w:rsidRPr="00F25CE6" w:rsidRDefault="00422138" w:rsidP="001825EE">
            <w:pPr>
              <w:pStyle w:val="TableParagraph"/>
              <w:autoSpaceDE/>
              <w:autoSpaceDN/>
              <w:ind w:left="29" w:right="29"/>
              <w:rPr>
                <w:rFonts w:asciiTheme="majorBidi" w:hAnsiTheme="majorBidi" w:cstheme="majorBidi"/>
                <w:b/>
              </w:rPr>
            </w:pPr>
            <w:r w:rsidRPr="00F25CE6">
              <w:rPr>
                <w:rFonts w:asciiTheme="majorBidi" w:hAnsiTheme="majorBidi" w:cstheme="majorBidi"/>
                <w:b/>
              </w:rPr>
              <w:t>Nuspojava</w:t>
            </w:r>
          </w:p>
        </w:tc>
        <w:tc>
          <w:tcPr>
            <w:tcW w:w="2813" w:type="dxa"/>
            <w:tcBorders>
              <w:top w:val="single" w:sz="4" w:space="0" w:color="000000"/>
              <w:bottom w:val="single" w:sz="4" w:space="0" w:color="000000"/>
            </w:tcBorders>
          </w:tcPr>
          <w:p w14:paraId="7FD2A026" w14:textId="77777777" w:rsidR="00AF7ABC" w:rsidRPr="00F25CE6" w:rsidRDefault="00422138" w:rsidP="00612D2B">
            <w:pPr>
              <w:pStyle w:val="TableParagraph"/>
              <w:autoSpaceDE/>
              <w:autoSpaceDN/>
              <w:ind w:left="29" w:right="29"/>
              <w:rPr>
                <w:rFonts w:asciiTheme="majorBidi" w:hAnsiTheme="majorBidi" w:cstheme="majorBidi"/>
                <w:b/>
              </w:rPr>
            </w:pPr>
            <w:r w:rsidRPr="00F25CE6">
              <w:rPr>
                <w:rFonts w:asciiTheme="majorBidi" w:hAnsiTheme="majorBidi" w:cstheme="majorBidi"/>
                <w:b/>
              </w:rPr>
              <w:t>Svi stupnjevi</w:t>
            </w:r>
          </w:p>
        </w:tc>
        <w:tc>
          <w:tcPr>
            <w:tcW w:w="3269" w:type="dxa"/>
            <w:gridSpan w:val="2"/>
            <w:tcBorders>
              <w:top w:val="single" w:sz="4" w:space="0" w:color="000000"/>
              <w:bottom w:val="single" w:sz="4" w:space="0" w:color="000000"/>
            </w:tcBorders>
          </w:tcPr>
          <w:p w14:paraId="4E56C737" w14:textId="77777777" w:rsidR="00AF7ABC" w:rsidRPr="00F25CE6" w:rsidRDefault="00422138" w:rsidP="00612D2B">
            <w:pPr>
              <w:pStyle w:val="TableParagraph"/>
              <w:autoSpaceDE/>
              <w:autoSpaceDN/>
              <w:ind w:left="29" w:right="29"/>
              <w:rPr>
                <w:rFonts w:asciiTheme="majorBidi" w:hAnsiTheme="majorBidi" w:cstheme="majorBidi"/>
                <w:b/>
              </w:rPr>
            </w:pPr>
            <w:r w:rsidRPr="00F25CE6">
              <w:rPr>
                <w:rFonts w:asciiTheme="majorBidi" w:hAnsiTheme="majorBidi" w:cstheme="majorBidi"/>
                <w:b/>
              </w:rPr>
              <w:t>3./4. stupanj</w:t>
            </w:r>
          </w:p>
        </w:tc>
      </w:tr>
      <w:tr w:rsidR="00AF7ABC" w:rsidRPr="00F25CE6" w14:paraId="0EF9E1A2" w14:textId="77777777" w:rsidTr="001825EE">
        <w:trPr>
          <w:trHeight w:val="20"/>
        </w:trPr>
        <w:tc>
          <w:tcPr>
            <w:tcW w:w="2647" w:type="dxa"/>
            <w:tcBorders>
              <w:top w:val="single" w:sz="4" w:space="0" w:color="000000"/>
            </w:tcBorders>
          </w:tcPr>
          <w:p w14:paraId="22F03A10"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febrilna neutropenija</w:t>
            </w:r>
          </w:p>
        </w:tc>
        <w:tc>
          <w:tcPr>
            <w:tcW w:w="2813" w:type="dxa"/>
            <w:tcBorders>
              <w:top w:val="single" w:sz="4" w:space="0" w:color="000000"/>
            </w:tcBorders>
          </w:tcPr>
          <w:p w14:paraId="74F0327A"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27,0</w:t>
            </w:r>
          </w:p>
        </w:tc>
        <w:tc>
          <w:tcPr>
            <w:tcW w:w="3269" w:type="dxa"/>
            <w:gridSpan w:val="2"/>
            <w:tcBorders>
              <w:top w:val="single" w:sz="4" w:space="0" w:color="000000"/>
            </w:tcBorders>
          </w:tcPr>
          <w:p w14:paraId="3DCD7B24"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26,2</w:t>
            </w:r>
          </w:p>
        </w:tc>
      </w:tr>
      <w:tr w:rsidR="00AF7ABC" w:rsidRPr="00F25CE6" w14:paraId="64EF2009" w14:textId="77777777" w:rsidTr="001825EE">
        <w:trPr>
          <w:trHeight w:val="20"/>
        </w:trPr>
        <w:tc>
          <w:tcPr>
            <w:tcW w:w="2647" w:type="dxa"/>
          </w:tcPr>
          <w:p w14:paraId="2351B741"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mučnina</w:t>
            </w:r>
          </w:p>
        </w:tc>
        <w:tc>
          <w:tcPr>
            <w:tcW w:w="2813" w:type="dxa"/>
          </w:tcPr>
          <w:p w14:paraId="10F00352"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20,6</w:t>
            </w:r>
          </w:p>
        </w:tc>
        <w:tc>
          <w:tcPr>
            <w:tcW w:w="3269" w:type="dxa"/>
            <w:gridSpan w:val="2"/>
          </w:tcPr>
          <w:p w14:paraId="62BC17EF"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5,6</w:t>
            </w:r>
          </w:p>
        </w:tc>
      </w:tr>
      <w:tr w:rsidR="00AF7ABC" w:rsidRPr="00F25CE6" w14:paraId="4A277660" w14:textId="77777777" w:rsidTr="001825EE">
        <w:trPr>
          <w:trHeight w:val="20"/>
        </w:trPr>
        <w:tc>
          <w:tcPr>
            <w:tcW w:w="2647" w:type="dxa"/>
          </w:tcPr>
          <w:p w14:paraId="44ACEEE8"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povraćanje</w:t>
            </w:r>
          </w:p>
        </w:tc>
        <w:tc>
          <w:tcPr>
            <w:tcW w:w="2813" w:type="dxa"/>
          </w:tcPr>
          <w:p w14:paraId="39561ADD"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20,6</w:t>
            </w:r>
          </w:p>
        </w:tc>
        <w:tc>
          <w:tcPr>
            <w:tcW w:w="3269" w:type="dxa"/>
            <w:gridSpan w:val="2"/>
          </w:tcPr>
          <w:p w14:paraId="37516F4C"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4,8</w:t>
            </w:r>
          </w:p>
        </w:tc>
      </w:tr>
      <w:tr w:rsidR="00AF7ABC" w:rsidRPr="00F25CE6" w14:paraId="22FABD2D" w14:textId="77777777" w:rsidTr="001825EE">
        <w:trPr>
          <w:trHeight w:val="20"/>
        </w:trPr>
        <w:tc>
          <w:tcPr>
            <w:tcW w:w="2647" w:type="dxa"/>
          </w:tcPr>
          <w:p w14:paraId="66F50A74"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bol u abdomenu</w:t>
            </w:r>
          </w:p>
        </w:tc>
        <w:tc>
          <w:tcPr>
            <w:tcW w:w="2813" w:type="dxa"/>
          </w:tcPr>
          <w:p w14:paraId="619EEC37"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14,3</w:t>
            </w:r>
          </w:p>
        </w:tc>
        <w:tc>
          <w:tcPr>
            <w:tcW w:w="3269" w:type="dxa"/>
            <w:gridSpan w:val="2"/>
          </w:tcPr>
          <w:p w14:paraId="28D8DF49"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3,2</w:t>
            </w:r>
          </w:p>
        </w:tc>
      </w:tr>
      <w:tr w:rsidR="00AF7ABC" w:rsidRPr="00F25CE6" w14:paraId="7980431A" w14:textId="77777777" w:rsidTr="001825EE">
        <w:trPr>
          <w:trHeight w:val="20"/>
        </w:trPr>
        <w:tc>
          <w:tcPr>
            <w:tcW w:w="2647" w:type="dxa"/>
          </w:tcPr>
          <w:p w14:paraId="08383008"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proljev</w:t>
            </w:r>
          </w:p>
        </w:tc>
        <w:tc>
          <w:tcPr>
            <w:tcW w:w="2813" w:type="dxa"/>
          </w:tcPr>
          <w:p w14:paraId="6E975DB9"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12,7</w:t>
            </w:r>
          </w:p>
        </w:tc>
        <w:tc>
          <w:tcPr>
            <w:tcW w:w="3269" w:type="dxa"/>
            <w:gridSpan w:val="2"/>
          </w:tcPr>
          <w:p w14:paraId="3FF3729A"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4,8</w:t>
            </w:r>
          </w:p>
        </w:tc>
      </w:tr>
      <w:tr w:rsidR="00AF7ABC" w:rsidRPr="00F25CE6" w14:paraId="62327ABB" w14:textId="77777777" w:rsidTr="001825EE">
        <w:trPr>
          <w:trHeight w:val="20"/>
        </w:trPr>
        <w:tc>
          <w:tcPr>
            <w:tcW w:w="2647" w:type="dxa"/>
          </w:tcPr>
          <w:p w14:paraId="489B2F63"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pireksija</w:t>
            </w:r>
          </w:p>
        </w:tc>
        <w:tc>
          <w:tcPr>
            <w:tcW w:w="2813" w:type="dxa"/>
          </w:tcPr>
          <w:p w14:paraId="0475B505"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12,7</w:t>
            </w:r>
          </w:p>
        </w:tc>
        <w:tc>
          <w:tcPr>
            <w:tcW w:w="3269" w:type="dxa"/>
            <w:gridSpan w:val="2"/>
          </w:tcPr>
          <w:p w14:paraId="32AE424E"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5,6</w:t>
            </w:r>
          </w:p>
        </w:tc>
      </w:tr>
      <w:tr w:rsidR="00AF7ABC" w:rsidRPr="00F25CE6" w14:paraId="2FB65218" w14:textId="77777777" w:rsidTr="001825EE">
        <w:trPr>
          <w:trHeight w:val="20"/>
        </w:trPr>
        <w:tc>
          <w:tcPr>
            <w:tcW w:w="2647" w:type="dxa"/>
          </w:tcPr>
          <w:p w14:paraId="459B5451"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glavobolja</w:t>
            </w:r>
          </w:p>
        </w:tc>
        <w:tc>
          <w:tcPr>
            <w:tcW w:w="2813" w:type="dxa"/>
          </w:tcPr>
          <w:p w14:paraId="72FE6EFB"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11,1</w:t>
            </w:r>
          </w:p>
        </w:tc>
        <w:tc>
          <w:tcPr>
            <w:tcW w:w="3269" w:type="dxa"/>
            <w:gridSpan w:val="2"/>
          </w:tcPr>
          <w:p w14:paraId="25F47EEF"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4,8</w:t>
            </w:r>
          </w:p>
        </w:tc>
      </w:tr>
      <w:tr w:rsidR="00AF7ABC" w:rsidRPr="00F25CE6" w14:paraId="45837C70" w14:textId="77777777" w:rsidTr="001825EE">
        <w:trPr>
          <w:trHeight w:val="20"/>
        </w:trPr>
        <w:tc>
          <w:tcPr>
            <w:tcW w:w="2647" w:type="dxa"/>
          </w:tcPr>
          <w:p w14:paraId="00783033" w14:textId="77777777" w:rsidR="00AF7ABC" w:rsidRPr="00F25CE6" w:rsidRDefault="00422138" w:rsidP="001825EE">
            <w:pPr>
              <w:pStyle w:val="TableParagraph"/>
              <w:autoSpaceDE/>
              <w:autoSpaceDN/>
              <w:ind w:left="270" w:right="29"/>
              <w:rPr>
                <w:rFonts w:asciiTheme="majorBidi" w:hAnsiTheme="majorBidi" w:cstheme="majorBidi"/>
              </w:rPr>
            </w:pPr>
            <w:r w:rsidRPr="00F25CE6">
              <w:rPr>
                <w:rFonts w:asciiTheme="majorBidi" w:hAnsiTheme="majorBidi" w:cstheme="majorBidi"/>
              </w:rPr>
              <w:t>smanjen apetit</w:t>
            </w:r>
          </w:p>
        </w:tc>
        <w:tc>
          <w:tcPr>
            <w:tcW w:w="2813" w:type="dxa"/>
          </w:tcPr>
          <w:p w14:paraId="1DDDC0F6"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10,3</w:t>
            </w:r>
          </w:p>
        </w:tc>
        <w:tc>
          <w:tcPr>
            <w:tcW w:w="3269" w:type="dxa"/>
            <w:gridSpan w:val="2"/>
          </w:tcPr>
          <w:p w14:paraId="5F406C31"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4,8</w:t>
            </w:r>
          </w:p>
        </w:tc>
      </w:tr>
      <w:tr w:rsidR="00AF7ABC" w:rsidRPr="00F25CE6" w14:paraId="06FA1D12" w14:textId="77777777" w:rsidTr="001825EE">
        <w:trPr>
          <w:trHeight w:val="20"/>
        </w:trPr>
        <w:tc>
          <w:tcPr>
            <w:tcW w:w="2647" w:type="dxa"/>
            <w:tcBorders>
              <w:bottom w:val="single" w:sz="4" w:space="0" w:color="000000"/>
            </w:tcBorders>
          </w:tcPr>
          <w:p w14:paraId="6049B4BE" w14:textId="4EA1F194" w:rsidR="00AF7ABC" w:rsidRPr="00F25CE6" w:rsidRDefault="00CC2C1F" w:rsidP="001825EE">
            <w:pPr>
              <w:pStyle w:val="TableParagraph"/>
              <w:autoSpaceDE/>
              <w:autoSpaceDN/>
              <w:ind w:left="270" w:right="29"/>
              <w:rPr>
                <w:rFonts w:asciiTheme="majorBidi" w:hAnsiTheme="majorBidi" w:cstheme="majorBidi"/>
              </w:rPr>
            </w:pPr>
            <w:r>
              <w:rPr>
                <w:rFonts w:asciiTheme="majorBidi" w:hAnsiTheme="majorBidi" w:cstheme="majorBidi"/>
              </w:rPr>
              <w:t>u</w:t>
            </w:r>
            <w:r w:rsidR="00422138" w:rsidRPr="00F25CE6">
              <w:rPr>
                <w:rFonts w:asciiTheme="majorBidi" w:hAnsiTheme="majorBidi" w:cstheme="majorBidi"/>
              </w:rPr>
              <w:t>mor</w:t>
            </w:r>
          </w:p>
        </w:tc>
        <w:tc>
          <w:tcPr>
            <w:tcW w:w="2813" w:type="dxa"/>
            <w:tcBorders>
              <w:bottom w:val="single" w:sz="4" w:space="0" w:color="000000"/>
            </w:tcBorders>
          </w:tcPr>
          <w:p w14:paraId="06A7D7FC"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10,3</w:t>
            </w:r>
          </w:p>
        </w:tc>
        <w:tc>
          <w:tcPr>
            <w:tcW w:w="3269" w:type="dxa"/>
            <w:gridSpan w:val="2"/>
            <w:tcBorders>
              <w:bottom w:val="single" w:sz="4" w:space="0" w:color="000000"/>
            </w:tcBorders>
          </w:tcPr>
          <w:p w14:paraId="701594CB" w14:textId="77777777" w:rsidR="00AF7ABC" w:rsidRPr="00F25CE6" w:rsidRDefault="00422138" w:rsidP="00612D2B">
            <w:pPr>
              <w:pStyle w:val="TableParagraph"/>
              <w:autoSpaceDE/>
              <w:autoSpaceDN/>
              <w:ind w:left="29" w:right="29"/>
              <w:rPr>
                <w:rFonts w:asciiTheme="majorBidi" w:hAnsiTheme="majorBidi" w:cstheme="majorBidi"/>
              </w:rPr>
            </w:pPr>
            <w:r w:rsidRPr="00F25CE6">
              <w:rPr>
                <w:rFonts w:asciiTheme="majorBidi" w:hAnsiTheme="majorBidi" w:cstheme="majorBidi"/>
              </w:rPr>
              <w:t>0</w:t>
            </w:r>
          </w:p>
        </w:tc>
      </w:tr>
    </w:tbl>
    <w:p w14:paraId="4439EF9D" w14:textId="59EE8C89" w:rsidR="00AF7ABC" w:rsidRPr="00F25CE6" w:rsidRDefault="00422138" w:rsidP="00612D2B">
      <w:pPr>
        <w:pStyle w:val="Footnote"/>
        <w:ind w:left="142" w:hanging="142"/>
      </w:pPr>
      <w:r w:rsidRPr="001825EE">
        <w:rPr>
          <w:vertAlign w:val="superscript"/>
        </w:rPr>
        <w:t>a</w:t>
      </w:r>
      <w:r w:rsidR="00ED62D2">
        <w:t xml:space="preserve"> </w:t>
      </w:r>
      <w:r w:rsidRPr="00F25CE6">
        <w:t>Od ukupno 106 bolesnika u pivotalnom ispitivanju, 24 bolesnika primila su prašak za oralnu suspenziju</w:t>
      </w:r>
      <w:r w:rsidR="00ED62D2">
        <w:t xml:space="preserve"> </w:t>
      </w:r>
      <w:r w:rsidRPr="00F25CE6">
        <w:t>najmanje jednom, dok je njih 8 primalo isključivo prašak za oralnu suspenziju.</w:t>
      </w:r>
    </w:p>
    <w:p w14:paraId="7DAA3D16" w14:textId="77777777" w:rsidR="00AF7ABC" w:rsidRPr="00F25CE6" w:rsidRDefault="00AF7ABC" w:rsidP="00F25CE6">
      <w:pPr>
        <w:pStyle w:val="BodyText"/>
        <w:widowControl/>
        <w:rPr>
          <w:rFonts w:asciiTheme="majorBidi" w:hAnsiTheme="majorBidi" w:cstheme="majorBidi"/>
          <w:szCs w:val="22"/>
        </w:rPr>
      </w:pPr>
    </w:p>
    <w:p w14:paraId="06F67A25" w14:textId="77777777" w:rsidR="00964A0C" w:rsidRDefault="00422138" w:rsidP="00F25CE6">
      <w:pPr>
        <w:widowControl/>
        <w:rPr>
          <w:rFonts w:asciiTheme="majorBidi" w:hAnsiTheme="majorBidi" w:cstheme="majorBidi"/>
          <w:i/>
        </w:rPr>
      </w:pPr>
      <w:r w:rsidRPr="00F25CE6">
        <w:rPr>
          <w:rFonts w:asciiTheme="majorBidi" w:hAnsiTheme="majorBidi" w:cstheme="majorBidi"/>
          <w:i/>
          <w:u w:val="single"/>
        </w:rPr>
        <w:t>Poremećaji laboratorijskih nalaza</w:t>
      </w:r>
      <w:r w:rsidRPr="00F25CE6">
        <w:rPr>
          <w:rFonts w:asciiTheme="majorBidi" w:hAnsiTheme="majorBidi" w:cstheme="majorBidi"/>
          <w:i/>
        </w:rPr>
        <w:t xml:space="preserve"> </w:t>
      </w:r>
    </w:p>
    <w:p w14:paraId="38B88860"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lastRenderedPageBreak/>
        <w:t>Hematologija</w:t>
      </w:r>
    </w:p>
    <w:p w14:paraId="1A54A7CA" w14:textId="11D1DD5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ispitivanju faze III novodijagnosticiran</w:t>
      </w:r>
      <w:r w:rsidR="00BE5BF4">
        <w:rPr>
          <w:rFonts w:asciiTheme="majorBidi" w:hAnsiTheme="majorBidi" w:cstheme="majorBidi"/>
          <w:szCs w:val="22"/>
        </w:rPr>
        <w:t>og</w:t>
      </w:r>
      <w:r w:rsidRPr="00F25CE6">
        <w:rPr>
          <w:rFonts w:asciiTheme="majorBidi" w:hAnsiTheme="majorBidi" w:cstheme="majorBidi"/>
          <w:szCs w:val="22"/>
        </w:rPr>
        <w:t xml:space="preserve"> KML</w:t>
      </w:r>
      <w:r w:rsidR="00BE5BF4">
        <w:rPr>
          <w:rFonts w:asciiTheme="majorBidi" w:hAnsiTheme="majorBidi" w:cstheme="majorBidi"/>
          <w:szCs w:val="22"/>
        </w:rPr>
        <w:t>-a</w:t>
      </w:r>
      <w:r w:rsidRPr="00F25CE6">
        <w:rPr>
          <w:rFonts w:asciiTheme="majorBidi" w:hAnsiTheme="majorBidi" w:cstheme="majorBidi"/>
          <w:szCs w:val="22"/>
        </w:rPr>
        <w:t xml:space="preserve"> u kroničnoj fazi, nakon najmanje 12 mjeseci praćenja bili su zabilježeni sljedeći poremećaji laboratorijskih nalaza 3. i 4. stupnja u bolesnika koji su uzimali </w:t>
      </w:r>
      <w:r w:rsidR="006E43C5">
        <w:rPr>
          <w:rFonts w:asciiTheme="majorBidi" w:hAnsiTheme="majorBidi" w:cstheme="majorBidi"/>
          <w:szCs w:val="22"/>
        </w:rPr>
        <w:t>dasatinib</w:t>
      </w:r>
      <w:r w:rsidRPr="00F25CE6">
        <w:rPr>
          <w:rFonts w:asciiTheme="majorBidi" w:hAnsiTheme="majorBidi" w:cstheme="majorBidi"/>
          <w:szCs w:val="22"/>
        </w:rPr>
        <w:t>: neutropenija (21%), trombocitopenija (19%) i anemija (10%). Nakon najmanje 60 mjeseci praćenja, kumulativna stopa pojave neutropenije bila je 29%, trombocitopenije 22% i anemije 13%.</w:t>
      </w:r>
    </w:p>
    <w:p w14:paraId="3CB5ACDA" w14:textId="77777777" w:rsidR="00AF7ABC" w:rsidRPr="00F25CE6" w:rsidRDefault="00AF7ABC" w:rsidP="00F25CE6">
      <w:pPr>
        <w:pStyle w:val="BodyText"/>
        <w:widowControl/>
        <w:rPr>
          <w:rFonts w:asciiTheme="majorBidi" w:hAnsiTheme="majorBidi" w:cstheme="majorBidi"/>
          <w:szCs w:val="22"/>
        </w:rPr>
      </w:pPr>
    </w:p>
    <w:p w14:paraId="20B4F114" w14:textId="3B250CF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Nakon najmanje 12 mjeseci praćenja bolesnika s novodijagnosticiran</w:t>
      </w:r>
      <w:r w:rsidR="00BE5BF4">
        <w:rPr>
          <w:rFonts w:asciiTheme="majorBidi" w:hAnsiTheme="majorBidi" w:cstheme="majorBidi"/>
          <w:szCs w:val="22"/>
        </w:rPr>
        <w:t>i</w:t>
      </w:r>
      <w:r w:rsidRPr="00F25CE6">
        <w:rPr>
          <w:rFonts w:asciiTheme="majorBidi" w:hAnsiTheme="majorBidi" w:cstheme="majorBidi"/>
          <w:szCs w:val="22"/>
        </w:rPr>
        <w:t>m KML</w:t>
      </w:r>
      <w:r w:rsidR="00BE5BF4">
        <w:rPr>
          <w:rFonts w:asciiTheme="majorBidi" w:hAnsiTheme="majorBidi" w:cstheme="majorBidi"/>
          <w:szCs w:val="22"/>
        </w:rPr>
        <w:t>-om</w:t>
      </w:r>
      <w:r w:rsidRPr="00F25CE6">
        <w:rPr>
          <w:rFonts w:asciiTheme="majorBidi" w:hAnsiTheme="majorBidi" w:cstheme="majorBidi"/>
          <w:szCs w:val="22"/>
        </w:rPr>
        <w:t xml:space="preserve"> u kroničnoj fazi liječenih </w:t>
      </w:r>
      <w:r w:rsidR="006E43C5">
        <w:rPr>
          <w:rFonts w:asciiTheme="majorBidi" w:hAnsiTheme="majorBidi" w:cstheme="majorBidi"/>
          <w:szCs w:val="22"/>
        </w:rPr>
        <w:t>dasatinibom</w:t>
      </w:r>
      <w:r w:rsidRPr="00F25CE6">
        <w:rPr>
          <w:rFonts w:asciiTheme="majorBidi" w:hAnsiTheme="majorBidi" w:cstheme="majorBidi"/>
          <w:szCs w:val="22"/>
        </w:rPr>
        <w:t xml:space="preserve"> u kojih je nastupila mijelosupresija 3. ili 4. stupnja oporavak je općenito nastupio nakon kratkog prekida terapije i/ili nakon smanjenja doze lijeka, dok je do trajnog prekida liječenja došlo u 1,6% bolesnika. Nakon najmanje 60 mjeseci praćenja kumulativna stopa trajnog prekida liječenja zbog mijelosupresije 3. ili 4. stupnja bila je 2,3%.</w:t>
      </w:r>
    </w:p>
    <w:p w14:paraId="5891437D" w14:textId="77777777" w:rsidR="00AF7ABC" w:rsidRPr="00F25CE6" w:rsidRDefault="00AF7ABC" w:rsidP="00F25CE6">
      <w:pPr>
        <w:pStyle w:val="BodyText"/>
        <w:widowControl/>
        <w:rPr>
          <w:rFonts w:asciiTheme="majorBidi" w:hAnsiTheme="majorBidi" w:cstheme="majorBidi"/>
          <w:szCs w:val="22"/>
        </w:rPr>
      </w:pPr>
    </w:p>
    <w:p w14:paraId="57D6E73A" w14:textId="66C8538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s KML</w:t>
      </w:r>
      <w:r w:rsidR="00BE5BF4">
        <w:rPr>
          <w:rFonts w:asciiTheme="majorBidi" w:hAnsiTheme="majorBidi" w:cstheme="majorBidi"/>
          <w:szCs w:val="22"/>
        </w:rPr>
        <w:t>-om</w:t>
      </w:r>
      <w:r w:rsidRPr="00F25CE6">
        <w:rPr>
          <w:rFonts w:asciiTheme="majorBidi" w:hAnsiTheme="majorBidi" w:cstheme="majorBidi"/>
          <w:szCs w:val="22"/>
        </w:rPr>
        <w:t xml:space="preserve"> koji ne podnose prethodnu terapiju imatinibom ili su otporni na imatinib, citopenije (trombocitopenija, neutropenija i anemija) su bile konzistentan nalaz. Međutim, nastanak citopenija također je jasno ovisio i o stadiju bolesti. Učestalost hematoloških poremećaja</w:t>
      </w:r>
    </w:p>
    <w:p w14:paraId="6A718D96"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3. ili 4. stupnja prikazana je u Tablici 8.</w:t>
      </w:r>
    </w:p>
    <w:p w14:paraId="21519474" w14:textId="77777777" w:rsidR="00A15E8A" w:rsidRPr="00F25CE6" w:rsidRDefault="00A15E8A" w:rsidP="00F25CE6">
      <w:pPr>
        <w:widowControl/>
        <w:rPr>
          <w:rFonts w:asciiTheme="majorBidi" w:hAnsiTheme="majorBidi" w:cstheme="majorBidi"/>
        </w:rPr>
      </w:pPr>
    </w:p>
    <w:p w14:paraId="51B8DB44" w14:textId="2256F00E" w:rsidR="00AF7ABC" w:rsidRPr="00612D2B" w:rsidRDefault="00ED1B66" w:rsidP="001825EE">
      <w:pPr>
        <w:pStyle w:val="Tableheading"/>
        <w:rPr>
          <w:vertAlign w:val="superscript"/>
        </w:rPr>
      </w:pPr>
      <w:r w:rsidRPr="00F25CE6">
        <w:rPr>
          <w:rFonts w:eastAsia="TimesNewRomanPS-BoldMT"/>
          <w:lang w:eastAsia="en-US"/>
        </w:rPr>
        <w:t>Tablica 8:</w:t>
      </w:r>
      <w:r w:rsidR="001825EE">
        <w:rPr>
          <w:rFonts w:eastAsia="TimesNewRomanPS-BoldMT"/>
          <w:lang w:eastAsia="en-US"/>
        </w:rPr>
        <w:tab/>
      </w:r>
      <w:r w:rsidRPr="00F25CE6">
        <w:rPr>
          <w:rFonts w:eastAsia="TimesNewRomanPS-BoldMT"/>
          <w:lang w:eastAsia="en-US"/>
        </w:rPr>
        <w:t>Hematološki laboratorijski poremećaji 3./4. CTC stupnja u kliničkim ispitivanjima u bolesnika koji nisu podnosili prethodnu terapiju imatinibom ili su otporni na imatinib</w:t>
      </w:r>
      <w:r w:rsidR="00CA1B75">
        <w:rPr>
          <w:rFonts w:eastAsia="TimesNewRomanPS-BoldMT"/>
          <w:vertAlign w:val="superscript"/>
          <w:lang w:eastAsia="en-US"/>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572"/>
        <w:gridCol w:w="1490"/>
        <w:gridCol w:w="135"/>
        <w:gridCol w:w="1514"/>
        <w:gridCol w:w="1495"/>
        <w:gridCol w:w="1866"/>
      </w:tblGrid>
      <w:tr w:rsidR="001825EE" w:rsidRPr="009B53A1" w14:paraId="5E3F2CC6" w14:textId="77777777" w:rsidTr="002C3132">
        <w:trPr>
          <w:trHeight w:val="20"/>
        </w:trPr>
        <w:tc>
          <w:tcPr>
            <w:tcW w:w="2572" w:type="dxa"/>
            <w:tcBorders>
              <w:top w:val="single" w:sz="4" w:space="0" w:color="auto"/>
              <w:bottom w:val="single" w:sz="4" w:space="0" w:color="auto"/>
            </w:tcBorders>
          </w:tcPr>
          <w:p w14:paraId="3BC0913A" w14:textId="77777777" w:rsidR="001825EE" w:rsidRPr="009B53A1" w:rsidRDefault="001825EE" w:rsidP="001825EE">
            <w:pPr>
              <w:pStyle w:val="TableParagraph"/>
              <w:autoSpaceDE/>
              <w:autoSpaceDN/>
              <w:ind w:left="29" w:right="29"/>
            </w:pPr>
          </w:p>
        </w:tc>
        <w:tc>
          <w:tcPr>
            <w:tcW w:w="1490" w:type="dxa"/>
            <w:tcBorders>
              <w:top w:val="single" w:sz="4" w:space="0" w:color="auto"/>
              <w:bottom w:val="single" w:sz="4" w:space="0" w:color="auto"/>
            </w:tcBorders>
            <w:vAlign w:val="bottom"/>
          </w:tcPr>
          <w:p w14:paraId="65902985" w14:textId="77777777" w:rsidR="001825EE" w:rsidRDefault="001825EE" w:rsidP="002C3132">
            <w:pPr>
              <w:pStyle w:val="TableParagraph"/>
              <w:autoSpaceDE/>
              <w:autoSpaceDN/>
              <w:ind w:left="29" w:right="29"/>
              <w:jc w:val="center"/>
              <w:rPr>
                <w:b/>
              </w:rPr>
            </w:pPr>
            <w:r w:rsidRPr="009B53A1">
              <w:rPr>
                <w:b/>
              </w:rPr>
              <w:t>Kronična faza</w:t>
            </w:r>
          </w:p>
          <w:p w14:paraId="6695D025" w14:textId="6B3C0A17" w:rsidR="001825EE" w:rsidRPr="009B53A1" w:rsidRDefault="001825EE" w:rsidP="002C3132">
            <w:pPr>
              <w:pStyle w:val="TableParagraph"/>
              <w:autoSpaceDE/>
              <w:autoSpaceDN/>
              <w:ind w:left="29" w:right="29"/>
              <w:jc w:val="center"/>
            </w:pPr>
            <w:r w:rsidRPr="009B53A1">
              <w:rPr>
                <w:b/>
              </w:rPr>
              <w:t>(n</w:t>
            </w:r>
            <w:r w:rsidR="00797AB1">
              <w:rPr>
                <w:b/>
              </w:rPr>
              <w:t> </w:t>
            </w:r>
            <w:r w:rsidRPr="009B53A1">
              <w:rPr>
                <w:b/>
              </w:rPr>
              <w:t>= 165)</w:t>
            </w:r>
            <w:r w:rsidRPr="009B53A1">
              <w:rPr>
                <w:b/>
                <w:vertAlign w:val="superscript"/>
              </w:rPr>
              <w:t>b</w:t>
            </w:r>
          </w:p>
        </w:tc>
        <w:tc>
          <w:tcPr>
            <w:tcW w:w="1649" w:type="dxa"/>
            <w:gridSpan w:val="2"/>
            <w:tcBorders>
              <w:top w:val="single" w:sz="4" w:space="0" w:color="auto"/>
              <w:bottom w:val="single" w:sz="4" w:space="0" w:color="auto"/>
            </w:tcBorders>
            <w:vAlign w:val="bottom"/>
          </w:tcPr>
          <w:p w14:paraId="1C5F0CCF" w14:textId="77777777" w:rsidR="001825EE" w:rsidRDefault="001825EE" w:rsidP="002C3132">
            <w:pPr>
              <w:pStyle w:val="TableParagraph"/>
              <w:autoSpaceDE/>
              <w:autoSpaceDN/>
              <w:ind w:left="29" w:right="29"/>
              <w:jc w:val="center"/>
              <w:rPr>
                <w:b/>
              </w:rPr>
            </w:pPr>
            <w:r w:rsidRPr="009B53A1">
              <w:rPr>
                <w:b/>
              </w:rPr>
              <w:t>Faza ubrzanja</w:t>
            </w:r>
          </w:p>
          <w:p w14:paraId="057B3439" w14:textId="37D69F65" w:rsidR="001825EE" w:rsidRPr="009B53A1" w:rsidRDefault="001825EE" w:rsidP="002C3132">
            <w:pPr>
              <w:pStyle w:val="TableParagraph"/>
              <w:autoSpaceDE/>
              <w:autoSpaceDN/>
              <w:ind w:left="29" w:right="29"/>
              <w:jc w:val="center"/>
            </w:pPr>
            <w:r w:rsidRPr="009B53A1">
              <w:rPr>
                <w:b/>
              </w:rPr>
              <w:t>(n</w:t>
            </w:r>
            <w:r w:rsidR="00797AB1">
              <w:rPr>
                <w:b/>
              </w:rPr>
              <w:t> </w:t>
            </w:r>
            <w:r w:rsidRPr="009B53A1">
              <w:rPr>
                <w:b/>
              </w:rPr>
              <w:t>= 157)</w:t>
            </w:r>
            <w:r w:rsidRPr="009B53A1">
              <w:rPr>
                <w:b/>
                <w:vertAlign w:val="superscript"/>
              </w:rPr>
              <w:t>c</w:t>
            </w:r>
          </w:p>
        </w:tc>
        <w:tc>
          <w:tcPr>
            <w:tcW w:w="1495" w:type="dxa"/>
            <w:tcBorders>
              <w:top w:val="single" w:sz="4" w:space="0" w:color="auto"/>
              <w:bottom w:val="single" w:sz="4" w:space="0" w:color="auto"/>
            </w:tcBorders>
            <w:vAlign w:val="bottom"/>
          </w:tcPr>
          <w:p w14:paraId="628F2C12" w14:textId="77777777" w:rsidR="001825EE" w:rsidRDefault="001825EE" w:rsidP="002C3132">
            <w:pPr>
              <w:autoSpaceDE/>
              <w:autoSpaceDN/>
              <w:ind w:left="29" w:right="29"/>
              <w:jc w:val="center"/>
              <w:rPr>
                <w:b/>
              </w:rPr>
            </w:pPr>
            <w:r w:rsidRPr="009B53A1">
              <w:rPr>
                <w:b/>
              </w:rPr>
              <w:t>Mijeloidna blastna kriza</w:t>
            </w:r>
          </w:p>
          <w:p w14:paraId="299AA5AD" w14:textId="46F90765" w:rsidR="001825EE" w:rsidRPr="009B53A1" w:rsidRDefault="001825EE" w:rsidP="002C3132">
            <w:pPr>
              <w:autoSpaceDE/>
              <w:autoSpaceDN/>
              <w:ind w:left="29" w:right="29"/>
              <w:jc w:val="center"/>
            </w:pPr>
            <w:r w:rsidRPr="009B53A1">
              <w:rPr>
                <w:b/>
              </w:rPr>
              <w:t>(n</w:t>
            </w:r>
            <w:r w:rsidR="00797AB1">
              <w:rPr>
                <w:b/>
              </w:rPr>
              <w:t> </w:t>
            </w:r>
            <w:r w:rsidRPr="009B53A1">
              <w:rPr>
                <w:b/>
              </w:rPr>
              <w:t>= 74)</w:t>
            </w:r>
            <w:r w:rsidRPr="009B53A1">
              <w:rPr>
                <w:b/>
                <w:vertAlign w:val="superscript"/>
              </w:rPr>
              <w:t>c</w:t>
            </w:r>
          </w:p>
        </w:tc>
        <w:tc>
          <w:tcPr>
            <w:tcW w:w="1866" w:type="dxa"/>
            <w:tcBorders>
              <w:top w:val="single" w:sz="4" w:space="0" w:color="auto"/>
              <w:bottom w:val="single" w:sz="4" w:space="0" w:color="auto"/>
            </w:tcBorders>
            <w:vAlign w:val="bottom"/>
          </w:tcPr>
          <w:p w14:paraId="2CD2B058" w14:textId="1C033AF2" w:rsidR="001825EE" w:rsidRDefault="001825EE" w:rsidP="002C3132">
            <w:pPr>
              <w:pStyle w:val="TableParagraph"/>
              <w:autoSpaceDE/>
              <w:autoSpaceDN/>
              <w:ind w:left="29" w:right="29"/>
              <w:jc w:val="center"/>
              <w:rPr>
                <w:b/>
              </w:rPr>
            </w:pPr>
            <w:r w:rsidRPr="009B53A1">
              <w:rPr>
                <w:b/>
              </w:rPr>
              <w:t xml:space="preserve">Limfoidna blastna kriza </w:t>
            </w:r>
            <w:r w:rsidR="00446CFB">
              <w:rPr>
                <w:b/>
              </w:rPr>
              <w:t xml:space="preserve">i </w:t>
            </w:r>
            <w:r w:rsidRPr="009B53A1">
              <w:rPr>
                <w:b/>
              </w:rPr>
              <w:t>Ph+ ALL</w:t>
            </w:r>
          </w:p>
          <w:p w14:paraId="29C3F949" w14:textId="6B7B2440" w:rsidR="001825EE" w:rsidRPr="009B53A1" w:rsidRDefault="001825EE" w:rsidP="002C3132">
            <w:pPr>
              <w:pStyle w:val="TableParagraph"/>
              <w:autoSpaceDE/>
              <w:autoSpaceDN/>
              <w:ind w:left="29" w:right="29"/>
              <w:jc w:val="center"/>
            </w:pPr>
            <w:r w:rsidRPr="009B53A1">
              <w:rPr>
                <w:b/>
              </w:rPr>
              <w:t>(n</w:t>
            </w:r>
            <w:r w:rsidR="00797AB1">
              <w:rPr>
                <w:b/>
              </w:rPr>
              <w:t> </w:t>
            </w:r>
            <w:r w:rsidRPr="009B53A1">
              <w:rPr>
                <w:b/>
              </w:rPr>
              <w:t>= 168)</w:t>
            </w:r>
            <w:r w:rsidRPr="009B53A1">
              <w:rPr>
                <w:b/>
                <w:vertAlign w:val="superscript"/>
              </w:rPr>
              <w:t>c</w:t>
            </w:r>
          </w:p>
        </w:tc>
      </w:tr>
      <w:tr w:rsidR="00EE756F" w:rsidRPr="009B53A1" w14:paraId="6DCFA61C" w14:textId="77777777" w:rsidTr="002C3132">
        <w:trPr>
          <w:trHeight w:val="20"/>
        </w:trPr>
        <w:tc>
          <w:tcPr>
            <w:tcW w:w="2572" w:type="dxa"/>
            <w:tcBorders>
              <w:top w:val="single" w:sz="4" w:space="0" w:color="auto"/>
              <w:bottom w:val="single" w:sz="4" w:space="0" w:color="auto"/>
            </w:tcBorders>
          </w:tcPr>
          <w:p w14:paraId="38A59E2B" w14:textId="77777777" w:rsidR="00EE756F" w:rsidRPr="009B53A1" w:rsidRDefault="00EE756F" w:rsidP="00AB4905">
            <w:pPr>
              <w:pStyle w:val="TableParagraph"/>
              <w:autoSpaceDE/>
              <w:autoSpaceDN/>
              <w:ind w:left="29" w:right="29"/>
            </w:pPr>
          </w:p>
        </w:tc>
        <w:tc>
          <w:tcPr>
            <w:tcW w:w="1625" w:type="dxa"/>
            <w:gridSpan w:val="2"/>
            <w:tcBorders>
              <w:top w:val="single" w:sz="4" w:space="0" w:color="auto"/>
              <w:bottom w:val="single" w:sz="4" w:space="0" w:color="auto"/>
            </w:tcBorders>
            <w:vAlign w:val="bottom"/>
          </w:tcPr>
          <w:p w14:paraId="7E2D8AAA" w14:textId="59D2143D" w:rsidR="00EE756F" w:rsidRPr="009B53A1" w:rsidRDefault="00EE756F" w:rsidP="00AB4905">
            <w:pPr>
              <w:pStyle w:val="TableParagraph"/>
              <w:autoSpaceDE/>
              <w:autoSpaceDN/>
              <w:ind w:left="29" w:right="29"/>
            </w:pPr>
          </w:p>
        </w:tc>
        <w:tc>
          <w:tcPr>
            <w:tcW w:w="4875" w:type="dxa"/>
            <w:gridSpan w:val="3"/>
            <w:tcBorders>
              <w:top w:val="single" w:sz="4" w:space="0" w:color="auto"/>
              <w:bottom w:val="single" w:sz="4" w:space="0" w:color="auto"/>
            </w:tcBorders>
            <w:vAlign w:val="bottom"/>
          </w:tcPr>
          <w:p w14:paraId="44B1A339" w14:textId="71B69A43" w:rsidR="00EE756F" w:rsidRPr="009B53A1" w:rsidRDefault="00EE756F" w:rsidP="002C3132">
            <w:pPr>
              <w:pStyle w:val="TableParagraph"/>
              <w:autoSpaceDE/>
              <w:autoSpaceDN/>
              <w:ind w:left="29" w:right="29"/>
              <w:jc w:val="center"/>
            </w:pPr>
            <w:r w:rsidRPr="009B53A1">
              <w:rPr>
                <w:b/>
              </w:rPr>
              <w:t>Postotak (%) bolesnika</w:t>
            </w:r>
          </w:p>
        </w:tc>
      </w:tr>
      <w:tr w:rsidR="00AB4905" w:rsidRPr="009B53A1" w14:paraId="422FB1CC" w14:textId="77777777" w:rsidTr="001825EE">
        <w:trPr>
          <w:trHeight w:val="20"/>
        </w:trPr>
        <w:tc>
          <w:tcPr>
            <w:tcW w:w="2572" w:type="dxa"/>
            <w:tcBorders>
              <w:top w:val="single" w:sz="4" w:space="0" w:color="auto"/>
            </w:tcBorders>
          </w:tcPr>
          <w:p w14:paraId="5224694C" w14:textId="77777777" w:rsidR="00AB4905" w:rsidRPr="009B53A1" w:rsidRDefault="00AB4905" w:rsidP="00AB4905">
            <w:pPr>
              <w:pStyle w:val="TableParagraph"/>
              <w:autoSpaceDE/>
              <w:autoSpaceDN/>
              <w:ind w:left="29" w:right="29"/>
            </w:pPr>
            <w:r w:rsidRPr="009B53A1">
              <w:rPr>
                <w:b/>
              </w:rPr>
              <w:t>Hematološki parametri</w:t>
            </w:r>
          </w:p>
        </w:tc>
        <w:tc>
          <w:tcPr>
            <w:tcW w:w="6500" w:type="dxa"/>
            <w:gridSpan w:val="5"/>
            <w:tcBorders>
              <w:top w:val="single" w:sz="4" w:space="0" w:color="auto"/>
            </w:tcBorders>
            <w:vAlign w:val="bottom"/>
          </w:tcPr>
          <w:p w14:paraId="59E85C74" w14:textId="77777777" w:rsidR="00AB4905" w:rsidRPr="009B53A1" w:rsidRDefault="00AB4905" w:rsidP="00612D2B">
            <w:pPr>
              <w:pStyle w:val="TableParagraph"/>
              <w:autoSpaceDE/>
              <w:autoSpaceDN/>
              <w:ind w:left="29" w:right="29"/>
              <w:rPr>
                <w:b/>
              </w:rPr>
            </w:pPr>
          </w:p>
        </w:tc>
      </w:tr>
      <w:tr w:rsidR="00AB4905" w:rsidRPr="009B53A1" w14:paraId="1FFBB3FE" w14:textId="77777777" w:rsidTr="001825EE">
        <w:trPr>
          <w:trHeight w:val="20"/>
        </w:trPr>
        <w:tc>
          <w:tcPr>
            <w:tcW w:w="2572" w:type="dxa"/>
          </w:tcPr>
          <w:p w14:paraId="3AC4A8EA" w14:textId="77777777" w:rsidR="00AB4905" w:rsidRPr="009B53A1" w:rsidRDefault="00AB4905" w:rsidP="00AB4905">
            <w:pPr>
              <w:pStyle w:val="TableParagraph"/>
              <w:autoSpaceDE/>
              <w:autoSpaceDN/>
              <w:ind w:left="302" w:right="29"/>
            </w:pPr>
            <w:r w:rsidRPr="009B53A1">
              <w:t>Neutropenija</w:t>
            </w:r>
          </w:p>
        </w:tc>
        <w:tc>
          <w:tcPr>
            <w:tcW w:w="1490" w:type="dxa"/>
            <w:vAlign w:val="bottom"/>
          </w:tcPr>
          <w:p w14:paraId="2590EFA0" w14:textId="77777777" w:rsidR="00AB4905" w:rsidRPr="009B53A1" w:rsidRDefault="00AB4905" w:rsidP="00612D2B">
            <w:pPr>
              <w:pStyle w:val="TableParagraph"/>
              <w:autoSpaceDE/>
              <w:autoSpaceDN/>
              <w:ind w:left="29" w:right="29"/>
            </w:pPr>
            <w:r w:rsidRPr="009B53A1">
              <w:t>36</w:t>
            </w:r>
          </w:p>
        </w:tc>
        <w:tc>
          <w:tcPr>
            <w:tcW w:w="1649" w:type="dxa"/>
            <w:gridSpan w:val="2"/>
            <w:vAlign w:val="bottom"/>
          </w:tcPr>
          <w:p w14:paraId="4445A611" w14:textId="77777777" w:rsidR="00AB4905" w:rsidRPr="009B53A1" w:rsidRDefault="00AB4905" w:rsidP="00612D2B">
            <w:pPr>
              <w:pStyle w:val="TableParagraph"/>
              <w:autoSpaceDE/>
              <w:autoSpaceDN/>
              <w:ind w:left="29" w:right="29"/>
            </w:pPr>
            <w:r w:rsidRPr="009B53A1">
              <w:t>58</w:t>
            </w:r>
          </w:p>
        </w:tc>
        <w:tc>
          <w:tcPr>
            <w:tcW w:w="1495" w:type="dxa"/>
            <w:vAlign w:val="bottom"/>
          </w:tcPr>
          <w:p w14:paraId="3F00A4F4" w14:textId="77777777" w:rsidR="00AB4905" w:rsidRPr="009B53A1" w:rsidRDefault="00AB4905" w:rsidP="00612D2B">
            <w:pPr>
              <w:pStyle w:val="TableParagraph"/>
              <w:autoSpaceDE/>
              <w:autoSpaceDN/>
              <w:ind w:left="29" w:right="29"/>
            </w:pPr>
            <w:r w:rsidRPr="009B53A1">
              <w:t>77</w:t>
            </w:r>
          </w:p>
        </w:tc>
        <w:tc>
          <w:tcPr>
            <w:tcW w:w="1866" w:type="dxa"/>
            <w:vAlign w:val="bottom"/>
          </w:tcPr>
          <w:p w14:paraId="16C5091F" w14:textId="77777777" w:rsidR="00AB4905" w:rsidRPr="009B53A1" w:rsidRDefault="00AB4905" w:rsidP="00612D2B">
            <w:pPr>
              <w:pStyle w:val="TableParagraph"/>
              <w:autoSpaceDE/>
              <w:autoSpaceDN/>
              <w:ind w:left="29" w:right="29"/>
            </w:pPr>
            <w:r w:rsidRPr="009B53A1">
              <w:t>76</w:t>
            </w:r>
          </w:p>
        </w:tc>
      </w:tr>
      <w:tr w:rsidR="00AB4905" w:rsidRPr="009B53A1" w14:paraId="15D2EDA7" w14:textId="77777777" w:rsidTr="001825EE">
        <w:trPr>
          <w:trHeight w:val="20"/>
        </w:trPr>
        <w:tc>
          <w:tcPr>
            <w:tcW w:w="2572" w:type="dxa"/>
          </w:tcPr>
          <w:p w14:paraId="1634E6ED" w14:textId="77777777" w:rsidR="00AB4905" w:rsidRPr="009B53A1" w:rsidRDefault="00AB4905" w:rsidP="00AB4905">
            <w:pPr>
              <w:pStyle w:val="TableParagraph"/>
              <w:autoSpaceDE/>
              <w:autoSpaceDN/>
              <w:ind w:left="302" w:right="29"/>
            </w:pPr>
            <w:r w:rsidRPr="009B53A1">
              <w:t>Trombocitopenija</w:t>
            </w:r>
          </w:p>
        </w:tc>
        <w:tc>
          <w:tcPr>
            <w:tcW w:w="1490" w:type="dxa"/>
            <w:vAlign w:val="bottom"/>
          </w:tcPr>
          <w:p w14:paraId="068BC8CD" w14:textId="77777777" w:rsidR="00AB4905" w:rsidRPr="009B53A1" w:rsidRDefault="00AB4905" w:rsidP="00612D2B">
            <w:pPr>
              <w:pStyle w:val="TableParagraph"/>
              <w:autoSpaceDE/>
              <w:autoSpaceDN/>
              <w:ind w:left="29" w:right="29"/>
            </w:pPr>
            <w:r w:rsidRPr="009B53A1">
              <w:t>23</w:t>
            </w:r>
          </w:p>
        </w:tc>
        <w:tc>
          <w:tcPr>
            <w:tcW w:w="1649" w:type="dxa"/>
            <w:gridSpan w:val="2"/>
            <w:vAlign w:val="bottom"/>
          </w:tcPr>
          <w:p w14:paraId="3BA30484" w14:textId="77777777" w:rsidR="00AB4905" w:rsidRPr="009B53A1" w:rsidRDefault="00AB4905" w:rsidP="00612D2B">
            <w:pPr>
              <w:pStyle w:val="TableParagraph"/>
              <w:autoSpaceDE/>
              <w:autoSpaceDN/>
              <w:ind w:left="29" w:right="29"/>
            </w:pPr>
            <w:r w:rsidRPr="009B53A1">
              <w:t>63</w:t>
            </w:r>
          </w:p>
        </w:tc>
        <w:tc>
          <w:tcPr>
            <w:tcW w:w="1495" w:type="dxa"/>
            <w:vAlign w:val="bottom"/>
          </w:tcPr>
          <w:p w14:paraId="77F0FD96" w14:textId="77777777" w:rsidR="00AB4905" w:rsidRPr="009B53A1" w:rsidRDefault="00AB4905" w:rsidP="00612D2B">
            <w:pPr>
              <w:pStyle w:val="TableParagraph"/>
              <w:autoSpaceDE/>
              <w:autoSpaceDN/>
              <w:ind w:left="29" w:right="29"/>
            </w:pPr>
            <w:r w:rsidRPr="009B53A1">
              <w:t>78</w:t>
            </w:r>
          </w:p>
        </w:tc>
        <w:tc>
          <w:tcPr>
            <w:tcW w:w="1866" w:type="dxa"/>
            <w:vAlign w:val="bottom"/>
          </w:tcPr>
          <w:p w14:paraId="733D6830" w14:textId="77777777" w:rsidR="00AB4905" w:rsidRPr="009B53A1" w:rsidRDefault="00AB4905" w:rsidP="00612D2B">
            <w:pPr>
              <w:pStyle w:val="TableParagraph"/>
              <w:autoSpaceDE/>
              <w:autoSpaceDN/>
              <w:ind w:left="29" w:right="29"/>
            </w:pPr>
            <w:r w:rsidRPr="009B53A1">
              <w:t>74</w:t>
            </w:r>
          </w:p>
        </w:tc>
      </w:tr>
      <w:tr w:rsidR="00AB4905" w:rsidRPr="009B53A1" w14:paraId="75E4D374" w14:textId="77777777" w:rsidTr="001825EE">
        <w:trPr>
          <w:trHeight w:val="20"/>
        </w:trPr>
        <w:tc>
          <w:tcPr>
            <w:tcW w:w="2572" w:type="dxa"/>
            <w:tcBorders>
              <w:bottom w:val="single" w:sz="4" w:space="0" w:color="000000"/>
            </w:tcBorders>
          </w:tcPr>
          <w:p w14:paraId="57F3EF04" w14:textId="77777777" w:rsidR="00AB4905" w:rsidRPr="009B53A1" w:rsidRDefault="00AB4905" w:rsidP="00AB4905">
            <w:pPr>
              <w:pStyle w:val="TableParagraph"/>
              <w:autoSpaceDE/>
              <w:autoSpaceDN/>
              <w:ind w:left="302" w:right="29"/>
            </w:pPr>
            <w:r w:rsidRPr="009B53A1">
              <w:t>Anemija</w:t>
            </w:r>
          </w:p>
        </w:tc>
        <w:tc>
          <w:tcPr>
            <w:tcW w:w="1490" w:type="dxa"/>
            <w:tcBorders>
              <w:bottom w:val="single" w:sz="4" w:space="0" w:color="000000"/>
            </w:tcBorders>
            <w:vAlign w:val="bottom"/>
          </w:tcPr>
          <w:p w14:paraId="44255401" w14:textId="77777777" w:rsidR="00AB4905" w:rsidRPr="009B53A1" w:rsidRDefault="00AB4905" w:rsidP="00612D2B">
            <w:pPr>
              <w:pStyle w:val="TableParagraph"/>
              <w:autoSpaceDE/>
              <w:autoSpaceDN/>
              <w:ind w:left="29" w:right="29"/>
            </w:pPr>
            <w:r w:rsidRPr="009B53A1">
              <w:t>13</w:t>
            </w:r>
          </w:p>
        </w:tc>
        <w:tc>
          <w:tcPr>
            <w:tcW w:w="1649" w:type="dxa"/>
            <w:gridSpan w:val="2"/>
            <w:tcBorders>
              <w:bottom w:val="single" w:sz="4" w:space="0" w:color="000000"/>
            </w:tcBorders>
            <w:vAlign w:val="bottom"/>
          </w:tcPr>
          <w:p w14:paraId="67148540" w14:textId="77777777" w:rsidR="00AB4905" w:rsidRPr="009B53A1" w:rsidRDefault="00AB4905" w:rsidP="00612D2B">
            <w:pPr>
              <w:pStyle w:val="TableParagraph"/>
              <w:autoSpaceDE/>
              <w:autoSpaceDN/>
              <w:ind w:left="29" w:right="29"/>
            </w:pPr>
            <w:r w:rsidRPr="009B53A1">
              <w:t>47</w:t>
            </w:r>
          </w:p>
        </w:tc>
        <w:tc>
          <w:tcPr>
            <w:tcW w:w="1495" w:type="dxa"/>
            <w:tcBorders>
              <w:bottom w:val="single" w:sz="4" w:space="0" w:color="000000"/>
            </w:tcBorders>
            <w:vAlign w:val="bottom"/>
          </w:tcPr>
          <w:p w14:paraId="1948CEC1" w14:textId="77777777" w:rsidR="00AB4905" w:rsidRPr="009B53A1" w:rsidRDefault="00AB4905" w:rsidP="00612D2B">
            <w:pPr>
              <w:pStyle w:val="TableParagraph"/>
              <w:autoSpaceDE/>
              <w:autoSpaceDN/>
              <w:ind w:left="29" w:right="29"/>
            </w:pPr>
            <w:r w:rsidRPr="009B53A1">
              <w:t>74</w:t>
            </w:r>
          </w:p>
        </w:tc>
        <w:tc>
          <w:tcPr>
            <w:tcW w:w="1866" w:type="dxa"/>
            <w:tcBorders>
              <w:bottom w:val="single" w:sz="4" w:space="0" w:color="000000"/>
            </w:tcBorders>
            <w:vAlign w:val="bottom"/>
          </w:tcPr>
          <w:p w14:paraId="1930882D" w14:textId="77777777" w:rsidR="00AB4905" w:rsidRPr="009B53A1" w:rsidRDefault="00AB4905" w:rsidP="00612D2B">
            <w:pPr>
              <w:pStyle w:val="TableParagraph"/>
              <w:autoSpaceDE/>
              <w:autoSpaceDN/>
              <w:ind w:left="29" w:right="29"/>
            </w:pPr>
            <w:r w:rsidRPr="009B53A1">
              <w:t>44</w:t>
            </w:r>
          </w:p>
        </w:tc>
      </w:tr>
    </w:tbl>
    <w:p w14:paraId="6690F051" w14:textId="35BD8C37" w:rsidR="00AF7ABC" w:rsidRPr="00F25CE6" w:rsidRDefault="00422138" w:rsidP="001825EE">
      <w:pPr>
        <w:pStyle w:val="Footnote"/>
      </w:pPr>
      <w:r w:rsidRPr="001825EE">
        <w:rPr>
          <w:vertAlign w:val="superscript"/>
        </w:rPr>
        <w:t>a</w:t>
      </w:r>
      <w:r w:rsidR="00AB4905">
        <w:t xml:space="preserve"> </w:t>
      </w:r>
      <w:r w:rsidRPr="00F25CE6">
        <w:t xml:space="preserve">Rezultati ispitivanja optimizacije doze faze </w:t>
      </w:r>
      <w:r w:rsidR="00071F21">
        <w:t>III</w:t>
      </w:r>
      <w:r w:rsidRPr="00F25CE6">
        <w:t xml:space="preserve"> prijavljeni nakon 2 godine praćenja u sklopu ispitivanja.</w:t>
      </w:r>
    </w:p>
    <w:p w14:paraId="616031E9" w14:textId="4211B90D" w:rsidR="00AF7ABC" w:rsidRPr="00F25CE6" w:rsidRDefault="00422138" w:rsidP="001825EE">
      <w:pPr>
        <w:pStyle w:val="Footnote"/>
      </w:pPr>
      <w:r w:rsidRPr="001825EE">
        <w:rPr>
          <w:vertAlign w:val="superscript"/>
        </w:rPr>
        <w:t>b</w:t>
      </w:r>
      <w:r w:rsidR="00AB4905">
        <w:t xml:space="preserve"> </w:t>
      </w:r>
      <w:r w:rsidRPr="00F25CE6">
        <w:t>Rezultati ispitivanja CA180-034 uz preporučenu početnu dozu od 100 mg jedanput dnevno.</w:t>
      </w:r>
    </w:p>
    <w:p w14:paraId="4267935B" w14:textId="3CF4EF48" w:rsidR="00AF7ABC" w:rsidRPr="00F25CE6" w:rsidRDefault="00422138" w:rsidP="001825EE">
      <w:pPr>
        <w:pStyle w:val="Footnote"/>
      </w:pPr>
      <w:r w:rsidRPr="001825EE">
        <w:rPr>
          <w:vertAlign w:val="superscript"/>
        </w:rPr>
        <w:t>c</w:t>
      </w:r>
      <w:r w:rsidR="00AB4905">
        <w:t xml:space="preserve"> </w:t>
      </w:r>
      <w:r w:rsidRPr="00F25CE6">
        <w:t>Rezultati ispitivanja CA180-035 uz preporučenu početnu dozu od 140 mg jedanput dnevno.</w:t>
      </w:r>
    </w:p>
    <w:p w14:paraId="1A8CF07D" w14:textId="196294AB" w:rsidR="00AF7ABC" w:rsidRPr="00F25CE6" w:rsidRDefault="00422138" w:rsidP="001825EE">
      <w:pPr>
        <w:pStyle w:val="Footnote"/>
        <w:ind w:left="0" w:firstLine="0"/>
      </w:pPr>
      <w:r w:rsidRPr="00F25CE6">
        <w:t>CTC stupnjevi: neutropenija (stupanj 3 ≥</w:t>
      </w:r>
      <w:r w:rsidR="00446CFB">
        <w:t> </w:t>
      </w:r>
      <w:r w:rsidRPr="00F25CE6">
        <w:t>0.5</w:t>
      </w:r>
      <w:r w:rsidR="00B63A47" w:rsidRPr="009474C0">
        <w:rPr>
          <w:sz w:val="22"/>
          <w:szCs w:val="22"/>
        </w:rPr>
        <w:t> – </w:t>
      </w:r>
      <w:r w:rsidRPr="00F25CE6">
        <w:t>&lt;</w:t>
      </w:r>
      <w:r w:rsidR="00446CFB">
        <w:t> </w:t>
      </w:r>
      <w:r w:rsidRPr="00F25CE6">
        <w:t>1.0 × 10</w:t>
      </w:r>
      <w:r w:rsidRPr="00F25CE6">
        <w:rPr>
          <w:vertAlign w:val="superscript"/>
        </w:rPr>
        <w:t>9</w:t>
      </w:r>
      <w:r w:rsidRPr="00F25CE6">
        <w:t>/l, stupanj 4 &lt;</w:t>
      </w:r>
      <w:r w:rsidR="00446CFB">
        <w:t> </w:t>
      </w:r>
      <w:r w:rsidRPr="00F25CE6">
        <w:t>0.5 × 10</w:t>
      </w:r>
      <w:r w:rsidRPr="00F25CE6">
        <w:rPr>
          <w:vertAlign w:val="superscript"/>
        </w:rPr>
        <w:t>9</w:t>
      </w:r>
      <w:r w:rsidRPr="00F25CE6">
        <w:t>/l); trombocitopenija (stupanj 3 ≥25</w:t>
      </w:r>
      <w:r w:rsidR="00B63A47" w:rsidRPr="009474C0">
        <w:rPr>
          <w:sz w:val="22"/>
          <w:szCs w:val="22"/>
        </w:rPr>
        <w:t> – </w:t>
      </w:r>
      <w:r w:rsidRPr="00F25CE6">
        <w:t>&lt;</w:t>
      </w:r>
      <w:r w:rsidR="00446CFB">
        <w:t> </w:t>
      </w:r>
      <w:r w:rsidRPr="00F25CE6">
        <w:t>50</w:t>
      </w:r>
      <w:r w:rsidR="001825EE">
        <w:t xml:space="preserve"> </w:t>
      </w:r>
      <w:r w:rsidRPr="00F25CE6">
        <w:t>× 10</w:t>
      </w:r>
      <w:r w:rsidRPr="00F25CE6">
        <w:rPr>
          <w:vertAlign w:val="superscript"/>
        </w:rPr>
        <w:t>9</w:t>
      </w:r>
      <w:r w:rsidRPr="00F25CE6">
        <w:t>/l, stupanj 4 &lt;</w:t>
      </w:r>
      <w:r w:rsidR="00446CFB">
        <w:t> </w:t>
      </w:r>
      <w:r w:rsidRPr="00F25CE6">
        <w:t>25 × 10</w:t>
      </w:r>
      <w:r w:rsidRPr="00F25CE6">
        <w:rPr>
          <w:vertAlign w:val="superscript"/>
        </w:rPr>
        <w:t>9</w:t>
      </w:r>
      <w:r w:rsidRPr="00F25CE6">
        <w:t>/l); anemija (hemoglobin stupanj 3 ≥</w:t>
      </w:r>
      <w:r w:rsidR="00446CFB">
        <w:t> </w:t>
      </w:r>
      <w:r w:rsidRPr="00F25CE6">
        <w:t>65</w:t>
      </w:r>
      <w:r w:rsidR="00B63A47" w:rsidRPr="009474C0">
        <w:rPr>
          <w:sz w:val="22"/>
          <w:szCs w:val="22"/>
        </w:rPr>
        <w:t> – </w:t>
      </w:r>
      <w:r w:rsidRPr="00F25CE6">
        <w:t>&lt;</w:t>
      </w:r>
      <w:r w:rsidR="008B34FA">
        <w:t> </w:t>
      </w:r>
      <w:r w:rsidRPr="00F25CE6">
        <w:t>80 g/l, stupanj 4 &lt;</w:t>
      </w:r>
      <w:r w:rsidR="00446CFB">
        <w:t> </w:t>
      </w:r>
      <w:r w:rsidRPr="00F25CE6">
        <w:t>65 g/l).</w:t>
      </w:r>
    </w:p>
    <w:p w14:paraId="2BF2AA80" w14:textId="77777777" w:rsidR="00AF7ABC" w:rsidRPr="00F25CE6" w:rsidRDefault="00AF7ABC" w:rsidP="00F25CE6">
      <w:pPr>
        <w:pStyle w:val="BodyText"/>
        <w:widowControl/>
        <w:rPr>
          <w:rFonts w:asciiTheme="majorBidi" w:hAnsiTheme="majorBidi" w:cstheme="majorBidi"/>
          <w:szCs w:val="22"/>
        </w:rPr>
      </w:pPr>
    </w:p>
    <w:p w14:paraId="1783C818" w14:textId="77777777"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Među bolesnicima liječenima dozom od 100 mg jednom dnevno kumulativna incidencija citopenije</w:t>
      </w:r>
      <w:r w:rsidR="00CB67D9">
        <w:rPr>
          <w:rFonts w:asciiTheme="majorBidi" w:hAnsiTheme="majorBidi" w:cstheme="majorBidi"/>
          <w:szCs w:val="22"/>
        </w:rPr>
        <w:t xml:space="preserve"> </w:t>
      </w:r>
      <w:r w:rsidRPr="00F25CE6">
        <w:rPr>
          <w:rFonts w:asciiTheme="majorBidi" w:hAnsiTheme="majorBidi" w:cstheme="majorBidi"/>
          <w:szCs w:val="22"/>
        </w:rPr>
        <w:t>3. ili 4. stupnja bila je slična u 2. i 5. godini, uključujući: neutropeniju (35% nasuprot 36%), trombocitopeniju (23% nasuprot 24%) i anemiju (13% nasuprot 13%).</w:t>
      </w:r>
    </w:p>
    <w:p w14:paraId="35A0012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koji su razvili mijelosupresiju 3. ili 4. stupnja, oporavak je općenito nastupio nakon kratkih prekida davanja lijeka i/ili smanjenja doze, dok je liječenje trajno prekinuto u 5% bolesnika. Većina bolesnika nastavila je s liječenjem bez daljnjih znakova mijelosupresije.</w:t>
      </w:r>
    </w:p>
    <w:p w14:paraId="56593D76" w14:textId="77777777" w:rsidR="00AF7ABC" w:rsidRPr="00F25CE6" w:rsidRDefault="00AF7ABC" w:rsidP="00F25CE6">
      <w:pPr>
        <w:pStyle w:val="BodyText"/>
        <w:widowControl/>
        <w:rPr>
          <w:rFonts w:asciiTheme="majorBidi" w:hAnsiTheme="majorBidi" w:cstheme="majorBidi"/>
          <w:szCs w:val="22"/>
        </w:rPr>
      </w:pPr>
    </w:p>
    <w:p w14:paraId="3897C138"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Biokemijske pretrage</w:t>
      </w:r>
    </w:p>
    <w:p w14:paraId="30DC43A8" w14:textId="75EE1EC9"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U ispitivanju novodijagnosticiran</w:t>
      </w:r>
      <w:r w:rsidR="00BE5BF4">
        <w:rPr>
          <w:rFonts w:asciiTheme="majorBidi" w:hAnsiTheme="majorBidi" w:cstheme="majorBidi"/>
          <w:szCs w:val="22"/>
        </w:rPr>
        <w:t>og</w:t>
      </w:r>
      <w:r w:rsidRPr="00F25CE6">
        <w:rPr>
          <w:rFonts w:asciiTheme="majorBidi" w:hAnsiTheme="majorBidi" w:cstheme="majorBidi"/>
          <w:szCs w:val="22"/>
        </w:rPr>
        <w:t xml:space="preserve"> KML</w:t>
      </w:r>
      <w:r w:rsidR="00BE5BF4">
        <w:rPr>
          <w:rFonts w:asciiTheme="majorBidi" w:hAnsiTheme="majorBidi" w:cstheme="majorBidi"/>
          <w:szCs w:val="22"/>
        </w:rPr>
        <w:t>-a</w:t>
      </w:r>
      <w:r w:rsidRPr="00F25CE6">
        <w:rPr>
          <w:rFonts w:asciiTheme="majorBidi" w:hAnsiTheme="majorBidi" w:cstheme="majorBidi"/>
          <w:szCs w:val="22"/>
        </w:rPr>
        <w:t xml:space="preserve"> u kroničnoj fazi, nakon najmanje 12 mjeseci praćenja, hipofosfatemija 3. ili 4. stupnja bila je zabilježena u 4% bolesnika liječenih </w:t>
      </w:r>
      <w:r w:rsidR="006E43C5">
        <w:rPr>
          <w:rFonts w:asciiTheme="majorBidi" w:hAnsiTheme="majorBidi" w:cstheme="majorBidi"/>
          <w:szCs w:val="22"/>
        </w:rPr>
        <w:t>dasatinibom,</w:t>
      </w:r>
      <w:r w:rsidRPr="00F25CE6">
        <w:rPr>
          <w:rFonts w:asciiTheme="majorBidi" w:hAnsiTheme="majorBidi" w:cstheme="majorBidi"/>
          <w:szCs w:val="22"/>
        </w:rPr>
        <w:t xml:space="preserve"> dok su povišene vrijednosti transaminaza, kreatinina i bilirubina 3. ili 4. stupnja bile zabilježene u</w:t>
      </w:r>
      <w:r w:rsidR="00CB67D9">
        <w:rPr>
          <w:rFonts w:asciiTheme="majorBidi" w:hAnsiTheme="majorBidi" w:cstheme="majorBidi"/>
          <w:szCs w:val="22"/>
        </w:rPr>
        <w:t xml:space="preserve"> </w:t>
      </w:r>
      <w:r w:rsidRPr="00F25CE6">
        <w:rPr>
          <w:rFonts w:asciiTheme="majorBidi" w:hAnsiTheme="majorBidi" w:cstheme="majorBidi"/>
          <w:szCs w:val="22"/>
        </w:rPr>
        <w:t>≤</w:t>
      </w:r>
      <w:r w:rsidR="001B267A">
        <w:rPr>
          <w:rFonts w:asciiTheme="majorBidi" w:hAnsiTheme="majorBidi" w:cstheme="majorBidi"/>
          <w:szCs w:val="22"/>
        </w:rPr>
        <w:t> </w:t>
      </w:r>
      <w:r w:rsidRPr="00F25CE6">
        <w:rPr>
          <w:rFonts w:asciiTheme="majorBidi" w:hAnsiTheme="majorBidi" w:cstheme="majorBidi"/>
          <w:szCs w:val="22"/>
        </w:rPr>
        <w:t>1% bolesnika. Nakon najmanje 60 mjeseci praćenja kumulativna stopa pojave hipofosfatemije</w:t>
      </w:r>
      <w:r w:rsidR="00CB67D9">
        <w:rPr>
          <w:rFonts w:asciiTheme="majorBidi" w:hAnsiTheme="majorBidi" w:cstheme="majorBidi"/>
          <w:szCs w:val="22"/>
        </w:rPr>
        <w:t xml:space="preserve"> </w:t>
      </w:r>
      <w:r w:rsidRPr="00F25CE6">
        <w:rPr>
          <w:rFonts w:asciiTheme="majorBidi" w:hAnsiTheme="majorBidi" w:cstheme="majorBidi"/>
          <w:szCs w:val="22"/>
        </w:rPr>
        <w:t>3. ili 4. stupnja bila je 7%, povišenja kreatinina 3. ili 4. stupnja bila je 1%, a povišenja transaminaza</w:t>
      </w:r>
      <w:r w:rsidR="00CB67D9">
        <w:rPr>
          <w:rFonts w:asciiTheme="majorBidi" w:hAnsiTheme="majorBidi" w:cstheme="majorBidi"/>
          <w:szCs w:val="22"/>
        </w:rPr>
        <w:t xml:space="preserve"> </w:t>
      </w:r>
      <w:r w:rsidRPr="00F25CE6">
        <w:rPr>
          <w:rFonts w:asciiTheme="majorBidi" w:hAnsiTheme="majorBidi" w:cstheme="majorBidi"/>
          <w:szCs w:val="22"/>
        </w:rPr>
        <w:t xml:space="preserve">3. ili 4. stupnja je ostala 1%. Nije bilo prekida terapije </w:t>
      </w:r>
      <w:r w:rsidR="006E43C5">
        <w:rPr>
          <w:rFonts w:asciiTheme="majorBidi" w:hAnsiTheme="majorBidi" w:cstheme="majorBidi"/>
          <w:szCs w:val="22"/>
        </w:rPr>
        <w:t>dasatinibom</w:t>
      </w:r>
      <w:r w:rsidRPr="00F25CE6">
        <w:rPr>
          <w:rFonts w:asciiTheme="majorBidi" w:hAnsiTheme="majorBidi" w:cstheme="majorBidi"/>
          <w:szCs w:val="22"/>
        </w:rPr>
        <w:t xml:space="preserve"> zbog ovih promjena biokemijskih laboratorijskih parametara.</w:t>
      </w:r>
    </w:p>
    <w:p w14:paraId="0D1C545C" w14:textId="77777777" w:rsidR="00AF7ABC" w:rsidRPr="00F25CE6" w:rsidRDefault="00AF7ABC" w:rsidP="00F25CE6">
      <w:pPr>
        <w:pStyle w:val="BodyText"/>
        <w:widowControl/>
        <w:rPr>
          <w:rFonts w:asciiTheme="majorBidi" w:hAnsiTheme="majorBidi" w:cstheme="majorBidi"/>
          <w:szCs w:val="22"/>
        </w:rPr>
      </w:pPr>
    </w:p>
    <w:p w14:paraId="12DCF61C"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2 godine praćenja</w:t>
      </w:r>
    </w:p>
    <w:p w14:paraId="41DA5BDA" w14:textId="27BFBEA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Povišenje 3. ili 4. stupnja u vrijednostima transaminaza ili bilirubina bilo je prijavljeno u 1%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(koji ne podnose prethodnu terapiju imatinibom ili su otporni na imatinib) te uz zabilježeno povišenu učestalost od 1 do 7% u bolesnika </w:t>
      </w:r>
      <w:r w:rsidR="00BE5BF4">
        <w:rPr>
          <w:rFonts w:asciiTheme="majorBidi" w:hAnsiTheme="majorBidi" w:cstheme="majorBidi"/>
          <w:szCs w:val="22"/>
        </w:rPr>
        <w:t xml:space="preserve">s KML-om </w:t>
      </w:r>
      <w:r w:rsidRPr="00F25CE6">
        <w:rPr>
          <w:rFonts w:asciiTheme="majorBidi" w:hAnsiTheme="majorBidi" w:cstheme="majorBidi"/>
          <w:szCs w:val="22"/>
        </w:rPr>
        <w:t>u uznapredovaloj fazi i Ph+ ALL</w:t>
      </w:r>
      <w:r w:rsidR="00BE5BF4">
        <w:rPr>
          <w:rFonts w:asciiTheme="majorBidi" w:hAnsiTheme="majorBidi" w:cstheme="majorBidi"/>
          <w:szCs w:val="22"/>
        </w:rPr>
        <w:t>-om</w:t>
      </w:r>
      <w:r w:rsidRPr="00F25CE6">
        <w:rPr>
          <w:rFonts w:asciiTheme="majorBidi" w:hAnsiTheme="majorBidi" w:cstheme="majorBidi"/>
          <w:szCs w:val="22"/>
        </w:rPr>
        <w:t xml:space="preserve">. Vrijednosti su se obično normalizirale nakon smanjenja doze ili privremenog prekida </w:t>
      </w:r>
      <w:r w:rsidRPr="00F25CE6">
        <w:rPr>
          <w:rFonts w:asciiTheme="majorBidi" w:hAnsiTheme="majorBidi" w:cstheme="majorBidi"/>
          <w:szCs w:val="22"/>
        </w:rPr>
        <w:lastRenderedPageBreak/>
        <w:t>liječenja. U ispitivanju optimizacije doze faze III, povišenje 3. ili 4. stupnja vrijednosti transaminaza ili bilirubina bilo je prijavljeno u ≤</w:t>
      </w:r>
      <w:r w:rsidR="001B267A">
        <w:rPr>
          <w:rFonts w:asciiTheme="majorBidi" w:hAnsiTheme="majorBidi" w:cstheme="majorBidi"/>
          <w:szCs w:val="22"/>
        </w:rPr>
        <w:t> </w:t>
      </w:r>
      <w:r w:rsidRPr="00F25CE6">
        <w:rPr>
          <w:rFonts w:asciiTheme="majorBidi" w:hAnsiTheme="majorBidi" w:cstheme="majorBidi"/>
          <w:szCs w:val="22"/>
        </w:rPr>
        <w:t>1%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uz slično nisku incidenciju u sve četiri liječene skupine. U ispitivanju optimizacije doze faze III u </w:t>
      </w:r>
      <w:r w:rsidR="00797AB1">
        <w:rPr>
          <w:rFonts w:asciiTheme="majorBidi" w:hAnsiTheme="majorBidi" w:cstheme="majorBidi"/>
          <w:szCs w:val="22"/>
        </w:rPr>
        <w:t xml:space="preserve">KML-u u </w:t>
      </w:r>
      <w:r w:rsidRPr="00F25CE6">
        <w:rPr>
          <w:rFonts w:asciiTheme="majorBidi" w:hAnsiTheme="majorBidi" w:cstheme="majorBidi"/>
          <w:szCs w:val="22"/>
        </w:rPr>
        <w:t>uznapredovaloj fazi i Ph+ ALL</w:t>
      </w:r>
      <w:r w:rsidR="00797AB1">
        <w:rPr>
          <w:rFonts w:asciiTheme="majorBidi" w:hAnsiTheme="majorBidi" w:cstheme="majorBidi"/>
          <w:szCs w:val="22"/>
        </w:rPr>
        <w:t>-u</w:t>
      </w:r>
      <w:r w:rsidRPr="00F25CE6">
        <w:rPr>
          <w:rFonts w:asciiTheme="majorBidi" w:hAnsiTheme="majorBidi" w:cstheme="majorBidi"/>
          <w:szCs w:val="22"/>
        </w:rPr>
        <w:t>, povišene vrijednosti transaminaza ili bilirubina 3. ili 4. stupnja bile su zabilježene u 1% do 5% bolesnika u svim terapijskim skupinama.</w:t>
      </w:r>
    </w:p>
    <w:p w14:paraId="71027F34" w14:textId="77777777" w:rsidR="00AF7ABC" w:rsidRPr="00F25CE6" w:rsidRDefault="00AF7ABC" w:rsidP="00F25CE6">
      <w:pPr>
        <w:pStyle w:val="BodyText"/>
        <w:widowControl/>
        <w:rPr>
          <w:rFonts w:asciiTheme="majorBidi" w:hAnsiTheme="majorBidi" w:cstheme="majorBidi"/>
          <w:szCs w:val="22"/>
        </w:rPr>
      </w:pPr>
    </w:p>
    <w:p w14:paraId="58DC5E6A" w14:textId="527A0FA0" w:rsidR="008A564B"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oko 5% bolesnika liječenih </w:t>
      </w:r>
      <w:r w:rsidR="006E43C5">
        <w:rPr>
          <w:rFonts w:asciiTheme="majorBidi" w:hAnsiTheme="majorBidi" w:cstheme="majorBidi"/>
          <w:szCs w:val="22"/>
        </w:rPr>
        <w:t>dasatinibom</w:t>
      </w:r>
      <w:r w:rsidRPr="00F25CE6">
        <w:rPr>
          <w:rFonts w:asciiTheme="majorBidi" w:hAnsiTheme="majorBidi" w:cstheme="majorBidi"/>
          <w:szCs w:val="22"/>
        </w:rPr>
        <w:t>, koji su imali normalne početne vrijednosti kalcija, u nekom je trenutku tijekom trajanja ispitivanja nastupila prolazna hipokalcijemija 3. ili 4. stupnja.</w:t>
      </w:r>
      <w:r w:rsidR="008A564B">
        <w:rPr>
          <w:rFonts w:asciiTheme="majorBidi" w:hAnsiTheme="majorBidi" w:cstheme="majorBidi"/>
          <w:szCs w:val="22"/>
        </w:rPr>
        <w:t xml:space="preserve"> </w:t>
      </w:r>
      <w:r w:rsidRPr="00F25CE6">
        <w:rPr>
          <w:rFonts w:asciiTheme="majorBidi" w:hAnsiTheme="majorBidi" w:cstheme="majorBidi"/>
          <w:szCs w:val="22"/>
        </w:rPr>
        <w:t xml:space="preserve">Općenito, snižene vrijednosti kalcija nisu bile povezane s kliničkim simptomima. Bolesnici koji su razvili hipokalcijemiju 3. ili 4. stupnja često bi se oporavili uz uzimanje oralnih pripravaka za nadoknadu kalcija. </w:t>
      </w:r>
    </w:p>
    <w:p w14:paraId="57656F56" w14:textId="740BE11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Hipokalcijemija, hipokalijemija i hipofosfatemija 3. ili 4. stupnja prijavljene su u bolesnika</w:t>
      </w:r>
      <w:r w:rsidR="00BE5BF4">
        <w:rPr>
          <w:rFonts w:asciiTheme="majorBidi" w:hAnsiTheme="majorBidi" w:cstheme="majorBidi"/>
          <w:szCs w:val="22"/>
        </w:rPr>
        <w:t xml:space="preserve"> s KML-om</w:t>
      </w:r>
      <w:r w:rsidRPr="00F25CE6">
        <w:rPr>
          <w:rFonts w:asciiTheme="majorBidi" w:hAnsiTheme="majorBidi" w:cstheme="majorBidi"/>
          <w:szCs w:val="22"/>
        </w:rPr>
        <w:t xml:space="preserve"> u svim fazama, ali češće u bolesnika </w:t>
      </w:r>
      <w:r w:rsidR="00BE5BF4">
        <w:rPr>
          <w:rFonts w:asciiTheme="majorBidi" w:hAnsiTheme="majorBidi" w:cstheme="majorBidi"/>
          <w:szCs w:val="22"/>
        </w:rPr>
        <w:t xml:space="preserve">s KML-om </w:t>
      </w:r>
      <w:r w:rsidRPr="00F25CE6">
        <w:rPr>
          <w:rFonts w:asciiTheme="majorBidi" w:hAnsiTheme="majorBidi" w:cstheme="majorBidi"/>
          <w:szCs w:val="22"/>
        </w:rPr>
        <w:t>u mijeloidnoj ili limfoidnoj blastnoj krizi i Ph+ ALL</w:t>
      </w:r>
      <w:r w:rsidR="00BE5BF4">
        <w:rPr>
          <w:rFonts w:asciiTheme="majorBidi" w:hAnsiTheme="majorBidi" w:cstheme="majorBidi"/>
          <w:szCs w:val="22"/>
        </w:rPr>
        <w:t>-om</w:t>
      </w:r>
      <w:r w:rsidRPr="00F25CE6">
        <w:rPr>
          <w:rFonts w:asciiTheme="majorBidi" w:hAnsiTheme="majorBidi" w:cstheme="majorBidi"/>
          <w:szCs w:val="22"/>
        </w:rPr>
        <w:t>. Povišenje kreatinina 3. ili 4. stupnja bilo je prijavljeno u &lt;</w:t>
      </w:r>
      <w:r w:rsidR="008B34FA">
        <w:rPr>
          <w:rFonts w:asciiTheme="majorBidi" w:hAnsiTheme="majorBidi" w:cstheme="majorBidi"/>
          <w:szCs w:val="22"/>
        </w:rPr>
        <w:t> </w:t>
      </w:r>
      <w:r w:rsidRPr="00F25CE6">
        <w:rPr>
          <w:rFonts w:asciiTheme="majorBidi" w:hAnsiTheme="majorBidi" w:cstheme="majorBidi"/>
          <w:szCs w:val="22"/>
        </w:rPr>
        <w:t>1% bolesnika s KML</w:t>
      </w:r>
      <w:r w:rsidR="00BE5BF4">
        <w:rPr>
          <w:rFonts w:asciiTheme="majorBidi" w:hAnsiTheme="majorBidi" w:cstheme="majorBidi"/>
          <w:szCs w:val="22"/>
        </w:rPr>
        <w:t>-om</w:t>
      </w:r>
      <w:r w:rsidRPr="00F25CE6">
        <w:rPr>
          <w:rFonts w:asciiTheme="majorBidi" w:hAnsiTheme="majorBidi" w:cstheme="majorBidi"/>
          <w:szCs w:val="22"/>
        </w:rPr>
        <w:t xml:space="preserve"> u kroničnoj fazi te uz povećanu učestalost od 1 do 4% u bolesnika </w:t>
      </w:r>
      <w:r w:rsidR="00BE5BF4">
        <w:rPr>
          <w:rFonts w:asciiTheme="majorBidi" w:hAnsiTheme="majorBidi" w:cstheme="majorBidi"/>
          <w:szCs w:val="22"/>
        </w:rPr>
        <w:t xml:space="preserve">s KML-om </w:t>
      </w:r>
      <w:r w:rsidRPr="00F25CE6">
        <w:rPr>
          <w:rFonts w:asciiTheme="majorBidi" w:hAnsiTheme="majorBidi" w:cstheme="majorBidi"/>
          <w:szCs w:val="22"/>
        </w:rPr>
        <w:t>u uznapredovaloj fazi.</w:t>
      </w:r>
    </w:p>
    <w:p w14:paraId="696D0F68" w14:textId="77777777" w:rsidR="00AF7ABC" w:rsidRPr="00F25CE6" w:rsidRDefault="00AF7ABC" w:rsidP="00F25CE6">
      <w:pPr>
        <w:pStyle w:val="BodyText"/>
        <w:widowControl/>
        <w:rPr>
          <w:rFonts w:asciiTheme="majorBidi" w:hAnsiTheme="majorBidi" w:cstheme="majorBidi"/>
          <w:szCs w:val="22"/>
        </w:rPr>
      </w:pPr>
    </w:p>
    <w:p w14:paraId="17F4E878" w14:textId="77777777" w:rsidR="00AF7ABC" w:rsidRPr="00F25CE6" w:rsidRDefault="00422138" w:rsidP="00CB67D9">
      <w:pPr>
        <w:pStyle w:val="BodyText"/>
        <w:keepNext/>
        <w:widowControl/>
        <w:rPr>
          <w:rFonts w:asciiTheme="majorBidi" w:hAnsiTheme="majorBidi" w:cstheme="majorBidi"/>
          <w:szCs w:val="22"/>
        </w:rPr>
      </w:pPr>
      <w:r w:rsidRPr="00F25CE6">
        <w:rPr>
          <w:rFonts w:asciiTheme="majorBidi" w:hAnsiTheme="majorBidi" w:cstheme="majorBidi"/>
          <w:szCs w:val="22"/>
          <w:u w:val="single"/>
        </w:rPr>
        <w:t>Pedijatrijska populacija</w:t>
      </w:r>
    </w:p>
    <w:p w14:paraId="2986F559" w14:textId="66A14857"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 xml:space="preserve">Sigurnosni profil </w:t>
      </w:r>
      <w:r w:rsidR="006E43C5">
        <w:rPr>
          <w:rFonts w:asciiTheme="majorBidi" w:hAnsiTheme="majorBidi" w:cstheme="majorBidi"/>
          <w:szCs w:val="22"/>
        </w:rPr>
        <w:t>dasatiniba</w:t>
      </w:r>
      <w:r w:rsidRPr="00F25CE6">
        <w:rPr>
          <w:rFonts w:asciiTheme="majorBidi" w:hAnsiTheme="majorBidi" w:cstheme="majorBidi"/>
          <w:szCs w:val="22"/>
        </w:rPr>
        <w:t xml:space="preserve"> u monoterapiji u pedijatrijskih bolesnika s Ph+ KML</w:t>
      </w:r>
      <w:r w:rsidR="00BE5BF4">
        <w:rPr>
          <w:rFonts w:asciiTheme="majorBidi" w:hAnsiTheme="majorBidi" w:cstheme="majorBidi"/>
          <w:szCs w:val="22"/>
        </w:rPr>
        <w:t>-om</w:t>
      </w:r>
      <w:r w:rsidRPr="00F25CE6">
        <w:rPr>
          <w:rFonts w:asciiTheme="majorBidi" w:hAnsiTheme="majorBidi" w:cstheme="majorBidi"/>
          <w:szCs w:val="22"/>
        </w:rPr>
        <w:t xml:space="preserve"> u kroničnoj fazi bio je usporediv sa sigurnosnim profilom u odraslih. Sigurnosni profil </w:t>
      </w:r>
      <w:r w:rsidR="006E43C5">
        <w:rPr>
          <w:rFonts w:asciiTheme="majorBidi" w:hAnsiTheme="majorBidi" w:cstheme="majorBidi"/>
          <w:szCs w:val="22"/>
        </w:rPr>
        <w:t xml:space="preserve">dasatiniba </w:t>
      </w:r>
      <w:r w:rsidRPr="00F25CE6">
        <w:rPr>
          <w:rFonts w:asciiTheme="majorBidi" w:hAnsiTheme="majorBidi" w:cstheme="majorBidi"/>
          <w:szCs w:val="22"/>
        </w:rPr>
        <w:t>koji se primjenjuje u kombinaciji s kemoterapijom u pedijatrijskih bolesnika s Ph+ ALL</w:t>
      </w:r>
      <w:r w:rsidR="00ED06BA">
        <w:rPr>
          <w:rFonts w:asciiTheme="majorBidi" w:hAnsiTheme="majorBidi" w:cstheme="majorBidi"/>
          <w:szCs w:val="22"/>
        </w:rPr>
        <w:t>-om</w:t>
      </w:r>
      <w:r w:rsidRPr="00F25CE6">
        <w:rPr>
          <w:rFonts w:asciiTheme="majorBidi" w:hAnsiTheme="majorBidi" w:cstheme="majorBidi"/>
          <w:szCs w:val="22"/>
        </w:rPr>
        <w:t xml:space="preserve"> bio je u skladu s</w:t>
      </w:r>
      <w:r w:rsidR="00CB67D9">
        <w:rPr>
          <w:rFonts w:asciiTheme="majorBidi" w:hAnsiTheme="majorBidi" w:cstheme="majorBidi"/>
          <w:szCs w:val="22"/>
        </w:rPr>
        <w:t xml:space="preserve"> </w:t>
      </w:r>
      <w:r w:rsidRPr="00F25CE6">
        <w:rPr>
          <w:rFonts w:asciiTheme="majorBidi" w:hAnsiTheme="majorBidi" w:cstheme="majorBidi"/>
          <w:szCs w:val="22"/>
        </w:rPr>
        <w:t xml:space="preserve">poznatim sigurnosnim profilom </w:t>
      </w:r>
      <w:r w:rsidR="006E43C5">
        <w:rPr>
          <w:rFonts w:asciiTheme="majorBidi" w:hAnsiTheme="majorBidi" w:cstheme="majorBidi"/>
          <w:szCs w:val="22"/>
        </w:rPr>
        <w:t>dasatiniba</w:t>
      </w:r>
      <w:r w:rsidRPr="00F25CE6">
        <w:rPr>
          <w:rFonts w:asciiTheme="majorBidi" w:hAnsiTheme="majorBidi" w:cstheme="majorBidi"/>
          <w:szCs w:val="22"/>
        </w:rPr>
        <w:t xml:space="preserve"> u odraslih i očekivanim učincima kemoterapije, uz izuzetak niže stope pleuralnog izljeva u pedijatrijskih bolesnika u odnosu na odrasle.</w:t>
      </w:r>
    </w:p>
    <w:p w14:paraId="397F2230" w14:textId="77777777" w:rsidR="00AF7ABC" w:rsidRPr="00F25CE6" w:rsidRDefault="00AF7ABC" w:rsidP="00F25CE6">
      <w:pPr>
        <w:pStyle w:val="BodyText"/>
        <w:widowControl/>
        <w:rPr>
          <w:rFonts w:asciiTheme="majorBidi" w:hAnsiTheme="majorBidi" w:cstheme="majorBidi"/>
          <w:szCs w:val="22"/>
        </w:rPr>
      </w:pPr>
    </w:p>
    <w:p w14:paraId="5D4F5085" w14:textId="218D346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ispitivanjima liječenja KML</w:t>
      </w:r>
      <w:r w:rsidR="00BE5BF4">
        <w:rPr>
          <w:rFonts w:asciiTheme="majorBidi" w:hAnsiTheme="majorBidi" w:cstheme="majorBidi"/>
          <w:szCs w:val="22"/>
        </w:rPr>
        <w:t>-a</w:t>
      </w:r>
      <w:r w:rsidRPr="00F25CE6">
        <w:rPr>
          <w:rFonts w:asciiTheme="majorBidi" w:hAnsiTheme="majorBidi" w:cstheme="majorBidi"/>
          <w:szCs w:val="22"/>
        </w:rPr>
        <w:t xml:space="preserve"> u pedijatrijskih bolesnika stope odstupanja u laboratorijskim nalazima odgovarale su poznatom profilu za laboratorijske parametre u odraslih.</w:t>
      </w:r>
    </w:p>
    <w:p w14:paraId="46D0EA4A" w14:textId="77777777" w:rsidR="00AF7ABC" w:rsidRPr="00F25CE6" w:rsidRDefault="00AF7ABC" w:rsidP="00F25CE6">
      <w:pPr>
        <w:pStyle w:val="BodyText"/>
        <w:widowControl/>
        <w:rPr>
          <w:rFonts w:asciiTheme="majorBidi" w:hAnsiTheme="majorBidi" w:cstheme="majorBidi"/>
          <w:szCs w:val="22"/>
        </w:rPr>
      </w:pPr>
    </w:p>
    <w:p w14:paraId="57B8E8E8" w14:textId="477E843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ispitivanjima liječenja ALL</w:t>
      </w:r>
      <w:r w:rsidR="00BE5BF4">
        <w:rPr>
          <w:rFonts w:asciiTheme="majorBidi" w:hAnsiTheme="majorBidi" w:cstheme="majorBidi"/>
          <w:szCs w:val="22"/>
        </w:rPr>
        <w:t>-a</w:t>
      </w:r>
      <w:r w:rsidRPr="00F25CE6">
        <w:rPr>
          <w:rFonts w:asciiTheme="majorBidi" w:hAnsiTheme="majorBidi" w:cstheme="majorBidi"/>
          <w:szCs w:val="22"/>
        </w:rPr>
        <w:t xml:space="preserve"> u pedijatrijskih bolesnika stope odstupanja u laboratorijskim nalazima odgovarale su poznatom profilu za laboratorijske parametre u odraslih, u kontekstu bolesnika s akutnom leukemijom liječenog osnovnim kemoterapijskim režimom.</w:t>
      </w:r>
    </w:p>
    <w:p w14:paraId="6BCBE5D1" w14:textId="77777777" w:rsidR="00AF7ABC" w:rsidRPr="00F25CE6" w:rsidRDefault="00AF7ABC" w:rsidP="00F25CE6">
      <w:pPr>
        <w:pStyle w:val="BodyText"/>
        <w:widowControl/>
        <w:rPr>
          <w:rFonts w:asciiTheme="majorBidi" w:hAnsiTheme="majorBidi" w:cstheme="majorBidi"/>
          <w:szCs w:val="22"/>
        </w:rPr>
      </w:pPr>
    </w:p>
    <w:p w14:paraId="083C857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Posebna populacija</w:t>
      </w:r>
    </w:p>
    <w:p w14:paraId="14D876CE" w14:textId="682B231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Dok je sigurnosni profil </w:t>
      </w:r>
      <w:r w:rsidR="006E43C5">
        <w:rPr>
          <w:rFonts w:asciiTheme="majorBidi" w:hAnsiTheme="majorBidi" w:cstheme="majorBidi"/>
          <w:szCs w:val="22"/>
        </w:rPr>
        <w:t>dasatiniba</w:t>
      </w:r>
      <w:r w:rsidRPr="00F25CE6">
        <w:rPr>
          <w:rFonts w:asciiTheme="majorBidi" w:hAnsiTheme="majorBidi" w:cstheme="majorBidi"/>
          <w:szCs w:val="22"/>
        </w:rPr>
        <w:t xml:space="preserve"> u starijih osoba bio sličan onome u mlađoj populaciji, u bolesnika u dobi od 65 i više godina veća je vjerojatnost nastupa često prijavljenih nuspojava poput umora, pleuralnog izljeva, dispneje, kašlja, krvarenja u donjem dijelu gastrointestinalnog sustava i poremećaja apetita, kao i manje često prijavljenih nuspojava poput distenzije abdomena, omaglice, perikardijalnog izljeva, kongestivnog zatajenja srca i smanjenja tjelesne težine, pa stoga starije osobe moraju biti strogo nadzirane (vidjeti dio 4.4).</w:t>
      </w:r>
    </w:p>
    <w:p w14:paraId="4F527123" w14:textId="77777777" w:rsidR="00AF7ABC" w:rsidRPr="00F25CE6" w:rsidRDefault="00AF7ABC" w:rsidP="00F25CE6">
      <w:pPr>
        <w:pStyle w:val="BodyText"/>
        <w:widowControl/>
        <w:rPr>
          <w:rFonts w:asciiTheme="majorBidi" w:hAnsiTheme="majorBidi" w:cstheme="majorBidi"/>
          <w:szCs w:val="22"/>
        </w:rPr>
      </w:pPr>
    </w:p>
    <w:p w14:paraId="28CB1D50"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Prijavljivanje sumnji na nuspojavu</w:t>
      </w:r>
    </w:p>
    <w:p w14:paraId="1330587D" w14:textId="2B580A7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F25CE6">
        <w:rPr>
          <w:rFonts w:asciiTheme="majorBidi" w:hAnsiTheme="majorBidi" w:cstheme="majorBidi"/>
          <w:szCs w:val="22"/>
          <w:shd w:val="clear" w:color="auto" w:fill="D3D3D3"/>
        </w:rPr>
        <w:t>navedenog u</w:t>
      </w:r>
      <w:r w:rsidRPr="00F25CE6">
        <w:rPr>
          <w:rFonts w:asciiTheme="majorBidi" w:hAnsiTheme="majorBidi" w:cstheme="majorBidi"/>
          <w:szCs w:val="22"/>
        </w:rPr>
        <w:t xml:space="preserve"> </w:t>
      </w:r>
      <w:hyperlink r:id="rId11" w:history="1">
        <w:r w:rsidRPr="00A20899">
          <w:rPr>
            <w:rStyle w:val="Hyperlink"/>
            <w:rFonts w:asciiTheme="majorBidi" w:hAnsiTheme="majorBidi" w:cstheme="majorBidi"/>
            <w:szCs w:val="22"/>
            <w:shd w:val="clear" w:color="auto" w:fill="D3D3D3"/>
            <w:lang w:eastAsia="hr"/>
          </w:rPr>
          <w:t>Dodatku V</w:t>
        </w:r>
      </w:hyperlink>
      <w:r w:rsidRPr="00F25CE6">
        <w:rPr>
          <w:rFonts w:asciiTheme="majorBidi" w:hAnsiTheme="majorBidi" w:cstheme="majorBidi"/>
          <w:szCs w:val="22"/>
        </w:rPr>
        <w:t>.</w:t>
      </w:r>
    </w:p>
    <w:p w14:paraId="40BF5F65" w14:textId="77777777" w:rsidR="00AF7ABC" w:rsidRPr="00F25CE6" w:rsidRDefault="00AF7ABC" w:rsidP="00F25CE6">
      <w:pPr>
        <w:pStyle w:val="BodyText"/>
        <w:widowControl/>
        <w:rPr>
          <w:rFonts w:asciiTheme="majorBidi" w:hAnsiTheme="majorBidi" w:cstheme="majorBidi"/>
          <w:szCs w:val="22"/>
        </w:rPr>
      </w:pPr>
    </w:p>
    <w:p w14:paraId="08BB7113" w14:textId="77777777" w:rsidR="00AF7ABC" w:rsidRPr="00F25CE6" w:rsidRDefault="00422138" w:rsidP="00CB67D9">
      <w:pPr>
        <w:pStyle w:val="Heading2"/>
      </w:pPr>
      <w:r w:rsidRPr="00F25CE6">
        <w:t>Predoziranje</w:t>
      </w:r>
    </w:p>
    <w:p w14:paraId="19ED8F0A" w14:textId="77777777" w:rsidR="00AF7ABC" w:rsidRPr="00F25CE6" w:rsidRDefault="00AF7ABC" w:rsidP="00F25CE6">
      <w:pPr>
        <w:pStyle w:val="BodyText"/>
        <w:widowControl/>
        <w:rPr>
          <w:rFonts w:asciiTheme="majorBidi" w:hAnsiTheme="majorBidi" w:cstheme="majorBidi"/>
          <w:b/>
          <w:szCs w:val="22"/>
        </w:rPr>
      </w:pPr>
    </w:p>
    <w:p w14:paraId="499541C2" w14:textId="0B1CDDB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Iskustvo s predoziranjem </w:t>
      </w:r>
      <w:r w:rsidR="00C12A1B">
        <w:rPr>
          <w:rFonts w:asciiTheme="majorBidi" w:hAnsiTheme="majorBidi" w:cstheme="majorBidi"/>
          <w:szCs w:val="22"/>
        </w:rPr>
        <w:t>dasatinibom</w:t>
      </w:r>
      <w:r w:rsidRPr="00F25CE6">
        <w:rPr>
          <w:rFonts w:asciiTheme="majorBidi" w:hAnsiTheme="majorBidi" w:cstheme="majorBidi"/>
          <w:szCs w:val="22"/>
        </w:rPr>
        <w:t xml:space="preserve"> u kliničkim ispitivanjima ograničeno je na izolirane slučajeve. Najveće predoziranje od 280 mg dnevno tijekom jednog tjedna prijavljeno je u dva bolesnika u kojih je potom nastupilo značajno smanjenje broja trombocita. Budući da je dasatinib povezan s mijelosupresijom 3. ili 4. stupnja (vidjeti dio 4.4), bolesnici koji uzmu dozu veću od preporučene moraju biti strogo nadzirani zbog moguće mijelosupresije i primiti odgovarajuću potpornu terapiju.</w:t>
      </w:r>
    </w:p>
    <w:p w14:paraId="7E08821E" w14:textId="77777777" w:rsidR="00AF7ABC" w:rsidRDefault="00AF7ABC" w:rsidP="00F25CE6">
      <w:pPr>
        <w:pStyle w:val="BodyText"/>
        <w:widowControl/>
        <w:rPr>
          <w:rFonts w:asciiTheme="majorBidi" w:hAnsiTheme="majorBidi" w:cstheme="majorBidi"/>
          <w:szCs w:val="22"/>
        </w:rPr>
      </w:pPr>
    </w:p>
    <w:p w14:paraId="2774C684" w14:textId="77777777" w:rsidR="00CB67D9" w:rsidRPr="00F25CE6" w:rsidRDefault="00CB67D9" w:rsidP="00F25CE6">
      <w:pPr>
        <w:pStyle w:val="BodyText"/>
        <w:widowControl/>
        <w:rPr>
          <w:rFonts w:asciiTheme="majorBidi" w:hAnsiTheme="majorBidi" w:cstheme="majorBidi"/>
          <w:szCs w:val="22"/>
        </w:rPr>
      </w:pPr>
    </w:p>
    <w:p w14:paraId="45F0751E" w14:textId="77777777" w:rsidR="00AF7ABC" w:rsidRPr="00F25CE6" w:rsidRDefault="00422138" w:rsidP="00CB67D9">
      <w:pPr>
        <w:pStyle w:val="Heading1"/>
      </w:pPr>
      <w:r w:rsidRPr="00F25CE6">
        <w:t>FARMAKOLOŠKA SVOJSTVA</w:t>
      </w:r>
    </w:p>
    <w:p w14:paraId="34C9DE75" w14:textId="77777777" w:rsidR="00AF7ABC" w:rsidRPr="00F25CE6" w:rsidRDefault="00AF7ABC" w:rsidP="00F25CE6">
      <w:pPr>
        <w:pStyle w:val="BodyText"/>
        <w:widowControl/>
        <w:rPr>
          <w:rFonts w:asciiTheme="majorBidi" w:hAnsiTheme="majorBidi" w:cstheme="majorBidi"/>
          <w:b/>
          <w:szCs w:val="22"/>
        </w:rPr>
      </w:pPr>
    </w:p>
    <w:p w14:paraId="3F68112F" w14:textId="77777777" w:rsidR="00AF7ABC" w:rsidRPr="00F25CE6" w:rsidRDefault="00422138" w:rsidP="00CB67D9">
      <w:pPr>
        <w:pStyle w:val="Heading2"/>
      </w:pPr>
      <w:r w:rsidRPr="00F25CE6">
        <w:t>Farmakodinamička svojstva</w:t>
      </w:r>
    </w:p>
    <w:p w14:paraId="16681A62" w14:textId="77777777" w:rsidR="00AF7ABC" w:rsidRPr="00F25CE6" w:rsidRDefault="00AF7ABC" w:rsidP="00F25CE6">
      <w:pPr>
        <w:pStyle w:val="BodyText"/>
        <w:widowControl/>
        <w:rPr>
          <w:rFonts w:asciiTheme="majorBidi" w:hAnsiTheme="majorBidi" w:cstheme="majorBidi"/>
          <w:b/>
          <w:szCs w:val="22"/>
        </w:rPr>
      </w:pPr>
    </w:p>
    <w:p w14:paraId="32C8E111" w14:textId="06C67AC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lastRenderedPageBreak/>
        <w:t>Farmakoterapijska skupina: antineoplasti</w:t>
      </w:r>
      <w:r w:rsidR="00B63A47">
        <w:rPr>
          <w:rFonts w:asciiTheme="majorBidi" w:hAnsiTheme="majorBidi" w:cstheme="majorBidi"/>
          <w:szCs w:val="22"/>
        </w:rPr>
        <w:t>ci</w:t>
      </w:r>
      <w:r w:rsidRPr="00F25CE6">
        <w:rPr>
          <w:rFonts w:asciiTheme="majorBidi" w:hAnsiTheme="majorBidi" w:cstheme="majorBidi"/>
          <w:szCs w:val="22"/>
        </w:rPr>
        <w:t xml:space="preserve">, inhibitori protein kinaze, ATK oznaka: </w:t>
      </w:r>
      <w:r w:rsidR="006E43C5">
        <w:rPr>
          <w:rFonts w:asciiTheme="majorBidi" w:hAnsiTheme="majorBidi" w:cstheme="majorBidi"/>
          <w:szCs w:val="22"/>
        </w:rPr>
        <w:t>L01EA02</w:t>
      </w:r>
    </w:p>
    <w:p w14:paraId="5F6F1D3E" w14:textId="77777777" w:rsidR="00AF7ABC" w:rsidRPr="00F25CE6" w:rsidRDefault="00AF7ABC" w:rsidP="00F25CE6">
      <w:pPr>
        <w:pStyle w:val="BodyText"/>
        <w:widowControl/>
        <w:rPr>
          <w:rFonts w:asciiTheme="majorBidi" w:hAnsiTheme="majorBidi" w:cstheme="majorBidi"/>
          <w:szCs w:val="22"/>
        </w:rPr>
      </w:pPr>
    </w:p>
    <w:p w14:paraId="44C1CC15"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Farmakodinamika</w:t>
      </w:r>
    </w:p>
    <w:p w14:paraId="59BF256F" w14:textId="0CECAB21"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 xml:space="preserve">Dasatinib inhibira djelovanje BCR-ABL kinaze i obitelji SRC kinaza, kao i mnogih drugih pojedinih onkogenih kinaza, uključujući c-KIT, kinaze receptora efrina (EPH) i receptora PDGFβ. Dasatinib je potentni, subnanomolarni inhibitor BCR-ABL kinaze s djelotvornošću već pri </w:t>
      </w:r>
      <w:r w:rsidR="008C2C05">
        <w:rPr>
          <w:rFonts w:asciiTheme="majorBidi" w:hAnsiTheme="majorBidi" w:cstheme="majorBidi"/>
          <w:szCs w:val="22"/>
        </w:rPr>
        <w:t xml:space="preserve">koncentraciji od </w:t>
      </w:r>
      <w:r w:rsidRPr="00F25CE6">
        <w:rPr>
          <w:rFonts w:asciiTheme="majorBidi" w:hAnsiTheme="majorBidi" w:cstheme="majorBidi"/>
          <w:szCs w:val="22"/>
        </w:rPr>
        <w:t>0,6-0,8 nM. Dasatinib se veže i za aktivni i za neaktivni oblik BCR-ABL enzima.</w:t>
      </w:r>
    </w:p>
    <w:p w14:paraId="150BEB11" w14:textId="77777777" w:rsidR="00AF7ABC" w:rsidRPr="00F25CE6" w:rsidRDefault="00AF7ABC" w:rsidP="00F25CE6">
      <w:pPr>
        <w:pStyle w:val="BodyText"/>
        <w:widowControl/>
        <w:rPr>
          <w:rFonts w:asciiTheme="majorBidi" w:hAnsiTheme="majorBidi" w:cstheme="majorBidi"/>
          <w:szCs w:val="22"/>
        </w:rPr>
      </w:pPr>
    </w:p>
    <w:p w14:paraId="0545B98E"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Mehanizam djelovanja</w:t>
      </w:r>
    </w:p>
    <w:p w14:paraId="5EEC2FE9"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Dasatinib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djeluje na linije stanica leukemije koje predstavljaju varijante bolesti osjetljive i otporne na imatinib. Ova neklinička ispitivanja pokazuju da dasatinib može nadvladati otpornost na imatinib koja proizlazi iz prekomjerne ekspresije BCR-ABL, mutacija u domeni BCR-ABL kinaze, aktivacije alternativnih puteva signalizacije koji uključuju obitelj SRC kinaza (LYN, HCK) i prekomjerne ekspresije gena za otpornost na više lijekova (engl. </w:t>
      </w:r>
      <w:r w:rsidRPr="00F25CE6">
        <w:rPr>
          <w:rFonts w:asciiTheme="majorBidi" w:hAnsiTheme="majorBidi" w:cstheme="majorBidi"/>
          <w:i/>
          <w:szCs w:val="22"/>
        </w:rPr>
        <w:t>multidrug resistance gene overexpression</w:t>
      </w:r>
      <w:r w:rsidRPr="00F25CE6">
        <w:rPr>
          <w:rFonts w:asciiTheme="majorBidi" w:hAnsiTheme="majorBidi" w:cstheme="majorBidi"/>
          <w:szCs w:val="22"/>
        </w:rPr>
        <w:t>). Dodatno, dasatinib inhibira obitelj SRC kinaza pri subnanomolarnim koncentracijama.</w:t>
      </w:r>
    </w:p>
    <w:p w14:paraId="25F6E7BF" w14:textId="77777777" w:rsidR="00A15E8A" w:rsidRPr="00F25CE6" w:rsidRDefault="00A15E8A" w:rsidP="00F25CE6">
      <w:pPr>
        <w:widowControl/>
        <w:rPr>
          <w:rFonts w:asciiTheme="majorBidi" w:hAnsiTheme="majorBidi" w:cstheme="majorBidi"/>
        </w:rPr>
      </w:pPr>
    </w:p>
    <w:p w14:paraId="0C2545A9" w14:textId="07602AD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i/>
          <w:szCs w:val="22"/>
        </w:rPr>
        <w:t>In vivo</w:t>
      </w:r>
      <w:r w:rsidRPr="00F25CE6">
        <w:rPr>
          <w:rFonts w:asciiTheme="majorBidi" w:hAnsiTheme="majorBidi" w:cstheme="majorBidi"/>
          <w:szCs w:val="22"/>
        </w:rPr>
        <w:t>, u posebnim pokusima na mišjem modelu KML</w:t>
      </w:r>
      <w:r w:rsidR="00BE5BF4">
        <w:rPr>
          <w:rFonts w:asciiTheme="majorBidi" w:hAnsiTheme="majorBidi" w:cstheme="majorBidi"/>
          <w:szCs w:val="22"/>
        </w:rPr>
        <w:t>-a</w:t>
      </w:r>
      <w:r w:rsidRPr="00F25CE6">
        <w:rPr>
          <w:rFonts w:asciiTheme="majorBidi" w:hAnsiTheme="majorBidi" w:cstheme="majorBidi"/>
          <w:szCs w:val="22"/>
        </w:rPr>
        <w:t>, dasatinib je zaustavio progresiju kroničn</w:t>
      </w:r>
      <w:r w:rsidR="00BE5BF4">
        <w:rPr>
          <w:rFonts w:asciiTheme="majorBidi" w:hAnsiTheme="majorBidi" w:cstheme="majorBidi"/>
          <w:szCs w:val="22"/>
        </w:rPr>
        <w:t>og</w:t>
      </w:r>
      <w:r w:rsidRPr="00F25CE6">
        <w:rPr>
          <w:rFonts w:asciiTheme="majorBidi" w:hAnsiTheme="majorBidi" w:cstheme="majorBidi"/>
          <w:szCs w:val="22"/>
        </w:rPr>
        <w:t xml:space="preserve"> KML</w:t>
      </w:r>
      <w:r w:rsidR="00BE5BF4">
        <w:rPr>
          <w:rFonts w:asciiTheme="majorBidi" w:hAnsiTheme="majorBidi" w:cstheme="majorBidi"/>
          <w:szCs w:val="22"/>
        </w:rPr>
        <w:t>-a</w:t>
      </w:r>
      <w:r w:rsidRPr="00F25CE6">
        <w:rPr>
          <w:rFonts w:asciiTheme="majorBidi" w:hAnsiTheme="majorBidi" w:cstheme="majorBidi"/>
          <w:szCs w:val="22"/>
        </w:rPr>
        <w:t xml:space="preserve"> do blastne krize i produžio preživljenje miša u kojem su uzgojene kulture stanica KML-a bolesnika u različitim organima, uključujući i središnji živčani sustav.</w:t>
      </w:r>
    </w:p>
    <w:p w14:paraId="0CEE0B83" w14:textId="77777777" w:rsidR="00AF7ABC" w:rsidRPr="00F25CE6" w:rsidRDefault="00AF7ABC" w:rsidP="00F25CE6">
      <w:pPr>
        <w:pStyle w:val="BodyText"/>
        <w:widowControl/>
        <w:rPr>
          <w:rFonts w:asciiTheme="majorBidi" w:hAnsiTheme="majorBidi" w:cstheme="majorBidi"/>
          <w:szCs w:val="22"/>
        </w:rPr>
      </w:pPr>
    </w:p>
    <w:p w14:paraId="233C4D06"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Klinička djelotvornost i sigurnost</w:t>
      </w:r>
    </w:p>
    <w:p w14:paraId="5B63AE01" w14:textId="0F581CB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ispitivanju faze I zabilježen je hematološki i citogenetski odgovor </w:t>
      </w:r>
      <w:r w:rsidR="00D70A36">
        <w:rPr>
          <w:rFonts w:asciiTheme="majorBidi" w:hAnsiTheme="majorBidi" w:cstheme="majorBidi"/>
          <w:szCs w:val="22"/>
        </w:rPr>
        <w:t xml:space="preserve">za KML </w:t>
      </w:r>
      <w:r w:rsidRPr="00F25CE6">
        <w:rPr>
          <w:rFonts w:asciiTheme="majorBidi" w:hAnsiTheme="majorBidi" w:cstheme="majorBidi"/>
          <w:szCs w:val="22"/>
        </w:rPr>
        <w:t>u svim fazama i Ph+ ALL u prva 84 liječena bolesnika, koji su bili praćeni do 27 mjeseci. Odgovor je trajao tijekom svih faza KML</w:t>
      </w:r>
      <w:r w:rsidR="00D70A36">
        <w:rPr>
          <w:rFonts w:asciiTheme="majorBidi" w:hAnsiTheme="majorBidi" w:cstheme="majorBidi"/>
          <w:szCs w:val="22"/>
        </w:rPr>
        <w:t>-a</w:t>
      </w:r>
      <w:r w:rsidRPr="00F25CE6">
        <w:rPr>
          <w:rFonts w:asciiTheme="majorBidi" w:hAnsiTheme="majorBidi" w:cstheme="majorBidi"/>
          <w:szCs w:val="22"/>
        </w:rPr>
        <w:t xml:space="preserve"> i Ph+ ALL</w:t>
      </w:r>
      <w:r w:rsidR="00D70A36">
        <w:rPr>
          <w:rFonts w:asciiTheme="majorBidi" w:hAnsiTheme="majorBidi" w:cstheme="majorBidi"/>
          <w:szCs w:val="22"/>
        </w:rPr>
        <w:t>-a</w:t>
      </w:r>
      <w:r w:rsidRPr="00F25CE6">
        <w:rPr>
          <w:rFonts w:asciiTheme="majorBidi" w:hAnsiTheme="majorBidi" w:cstheme="majorBidi"/>
          <w:szCs w:val="22"/>
        </w:rPr>
        <w:t>.</w:t>
      </w:r>
    </w:p>
    <w:p w14:paraId="1A173980" w14:textId="77777777" w:rsidR="00AF7ABC" w:rsidRPr="00F25CE6" w:rsidRDefault="00AF7ABC" w:rsidP="00F25CE6">
      <w:pPr>
        <w:pStyle w:val="BodyText"/>
        <w:widowControl/>
        <w:rPr>
          <w:rFonts w:asciiTheme="majorBidi" w:hAnsiTheme="majorBidi" w:cstheme="majorBidi"/>
          <w:szCs w:val="22"/>
        </w:rPr>
      </w:pPr>
    </w:p>
    <w:p w14:paraId="0805B4E0" w14:textId="52DCDD9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Provedena su četiri nekontrolirana otvorena klinička ispitivanja faze II s jednom skupinom ispitanika da bi se utvrdila djelotvornost i sigurnost primjene dasatiniba u bolesnika s KML</w:t>
      </w:r>
      <w:r w:rsidR="00D70A36">
        <w:rPr>
          <w:rFonts w:asciiTheme="majorBidi" w:hAnsiTheme="majorBidi" w:cstheme="majorBidi"/>
          <w:szCs w:val="22"/>
        </w:rPr>
        <w:t>-om</w:t>
      </w:r>
      <w:r w:rsidRPr="00F25CE6">
        <w:rPr>
          <w:rFonts w:asciiTheme="majorBidi" w:hAnsiTheme="majorBidi" w:cstheme="majorBidi"/>
          <w:szCs w:val="22"/>
        </w:rPr>
        <w:t xml:space="preserve"> u kroničnoj fazi, fazi ubrzanja ili mijeloidnoj blastnoj krizi, koji su otporni na imatinib ili ga ne podnose. Jedno randomizirano nekomparativno ispitivanje provedeno je u bolesnika s KML</w:t>
      </w:r>
      <w:r w:rsidR="00D70A36">
        <w:rPr>
          <w:rFonts w:asciiTheme="majorBidi" w:hAnsiTheme="majorBidi" w:cstheme="majorBidi"/>
          <w:szCs w:val="22"/>
        </w:rPr>
        <w:t>-om</w:t>
      </w:r>
      <w:r w:rsidRPr="00F25CE6">
        <w:rPr>
          <w:rFonts w:asciiTheme="majorBidi" w:hAnsiTheme="majorBidi" w:cstheme="majorBidi"/>
          <w:szCs w:val="22"/>
        </w:rPr>
        <w:t xml:space="preserve"> u kroničnoj fazi u kojih prethodno liječenje imatinibom u dozi od 400 ili 600 mg nije bilo uspješno. Početna doza dasatiniba iznosila je 70 mg dvaput dnevno. Bile su dopuštene prilagodbe doze radi poboljšanja djelotvornosti i smanjenja toksičnosti (vidjeti dio 4.2).</w:t>
      </w:r>
    </w:p>
    <w:p w14:paraId="5DF8B2E4" w14:textId="4252BBE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Provedena su dva randomizirana, otvorena ispitivanja faze III za procjenu djelotvornosti dasatiniba kad se primjenjuje jedanput dnevno u usporedbi s primjenom dasatiniba dvaput dnevno. Uz to je provedeno i jedno otvoreno, randomizirano, komparativno ispitivanje faze III u odraslih bolesnika s novodijagnosticiran</w:t>
      </w:r>
      <w:r w:rsidR="00D70A36">
        <w:rPr>
          <w:rFonts w:asciiTheme="majorBidi" w:hAnsiTheme="majorBidi" w:cstheme="majorBidi"/>
          <w:szCs w:val="22"/>
        </w:rPr>
        <w:t>i</w:t>
      </w:r>
      <w:r w:rsidRPr="00F25CE6">
        <w:rPr>
          <w:rFonts w:asciiTheme="majorBidi" w:hAnsiTheme="majorBidi" w:cstheme="majorBidi"/>
          <w:szCs w:val="22"/>
        </w:rPr>
        <w:t>m KML</w:t>
      </w:r>
      <w:r w:rsidR="00D70A36">
        <w:rPr>
          <w:rFonts w:asciiTheme="majorBidi" w:hAnsiTheme="majorBidi" w:cstheme="majorBidi"/>
          <w:szCs w:val="22"/>
        </w:rPr>
        <w:t>-om</w:t>
      </w:r>
      <w:r w:rsidRPr="00F25CE6">
        <w:rPr>
          <w:rFonts w:asciiTheme="majorBidi" w:hAnsiTheme="majorBidi" w:cstheme="majorBidi"/>
          <w:szCs w:val="22"/>
        </w:rPr>
        <w:t xml:space="preserve"> u kroničnoj fazi.</w:t>
      </w:r>
    </w:p>
    <w:p w14:paraId="28F3B38A" w14:textId="77777777" w:rsidR="00AF7ABC" w:rsidRPr="00F25CE6" w:rsidRDefault="00AF7ABC" w:rsidP="00F25CE6">
      <w:pPr>
        <w:pStyle w:val="BodyText"/>
        <w:widowControl/>
        <w:rPr>
          <w:rFonts w:asciiTheme="majorBidi" w:hAnsiTheme="majorBidi" w:cstheme="majorBidi"/>
          <w:szCs w:val="22"/>
        </w:rPr>
      </w:pPr>
    </w:p>
    <w:p w14:paraId="283B7F6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Djelotvornost dasatiniba određuje se na temelju stopa hematoloških i citogenetskih odgovora. Trajnost odgovora i procjena stope preživljenja dodatni su dokazi povoljnog kliničkog djelovanja dasatiniba.</w:t>
      </w:r>
    </w:p>
    <w:p w14:paraId="0D92D308" w14:textId="77777777" w:rsidR="00AF7ABC" w:rsidRPr="00F25CE6" w:rsidRDefault="00AF7ABC" w:rsidP="00F25CE6">
      <w:pPr>
        <w:pStyle w:val="BodyText"/>
        <w:widowControl/>
        <w:rPr>
          <w:rFonts w:asciiTheme="majorBidi" w:hAnsiTheme="majorBidi" w:cstheme="majorBidi"/>
          <w:szCs w:val="22"/>
        </w:rPr>
      </w:pPr>
    </w:p>
    <w:p w14:paraId="54B69A1E" w14:textId="2F4D7E9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Klinička su ispitivanja uključila ukupno 2712 bolesnika, od kojih je 23% bilo u dobi od ≥</w:t>
      </w:r>
      <w:r w:rsidR="001B267A">
        <w:rPr>
          <w:rFonts w:asciiTheme="majorBidi" w:hAnsiTheme="majorBidi" w:cstheme="majorBidi"/>
          <w:szCs w:val="22"/>
        </w:rPr>
        <w:t> </w:t>
      </w:r>
      <w:r w:rsidRPr="00F25CE6">
        <w:rPr>
          <w:rFonts w:asciiTheme="majorBidi" w:hAnsiTheme="majorBidi" w:cstheme="majorBidi"/>
          <w:szCs w:val="22"/>
        </w:rPr>
        <w:t>65 godina, a 5% u dobi od ≥</w:t>
      </w:r>
      <w:r w:rsidR="001B267A">
        <w:rPr>
          <w:rFonts w:asciiTheme="majorBidi" w:hAnsiTheme="majorBidi" w:cstheme="majorBidi"/>
          <w:szCs w:val="22"/>
        </w:rPr>
        <w:t> </w:t>
      </w:r>
      <w:r w:rsidRPr="00F25CE6">
        <w:rPr>
          <w:rFonts w:asciiTheme="majorBidi" w:hAnsiTheme="majorBidi" w:cstheme="majorBidi"/>
          <w:szCs w:val="22"/>
        </w:rPr>
        <w:t>75 godina.</w:t>
      </w:r>
    </w:p>
    <w:p w14:paraId="7C436449" w14:textId="77777777" w:rsidR="00AF7ABC" w:rsidRPr="00F25CE6" w:rsidRDefault="00AF7ABC" w:rsidP="00F25CE6">
      <w:pPr>
        <w:pStyle w:val="BodyText"/>
        <w:widowControl/>
        <w:rPr>
          <w:rFonts w:asciiTheme="majorBidi" w:hAnsiTheme="majorBidi" w:cstheme="majorBidi"/>
          <w:szCs w:val="22"/>
        </w:rPr>
      </w:pPr>
    </w:p>
    <w:p w14:paraId="406B3A3B" w14:textId="01DFA5DF"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K</w:t>
      </w:r>
      <w:r w:rsidR="00D70A36">
        <w:rPr>
          <w:rFonts w:asciiTheme="majorBidi" w:hAnsiTheme="majorBidi" w:cstheme="majorBidi"/>
          <w:i/>
          <w:u w:val="single"/>
        </w:rPr>
        <w:t>ML u k</w:t>
      </w:r>
      <w:r w:rsidRPr="00F25CE6">
        <w:rPr>
          <w:rFonts w:asciiTheme="majorBidi" w:hAnsiTheme="majorBidi" w:cstheme="majorBidi"/>
          <w:i/>
          <w:u w:val="single"/>
        </w:rPr>
        <w:t>roničn</w:t>
      </w:r>
      <w:r w:rsidR="00D70A36">
        <w:rPr>
          <w:rFonts w:asciiTheme="majorBidi" w:hAnsiTheme="majorBidi" w:cstheme="majorBidi"/>
          <w:i/>
          <w:u w:val="single"/>
        </w:rPr>
        <w:t>oj</w:t>
      </w:r>
      <w:r w:rsidRPr="00F25CE6">
        <w:rPr>
          <w:rFonts w:asciiTheme="majorBidi" w:hAnsiTheme="majorBidi" w:cstheme="majorBidi"/>
          <w:i/>
          <w:u w:val="single"/>
        </w:rPr>
        <w:t xml:space="preserve"> faz</w:t>
      </w:r>
      <w:r w:rsidR="00D70A36">
        <w:rPr>
          <w:rFonts w:asciiTheme="majorBidi" w:hAnsiTheme="majorBidi" w:cstheme="majorBidi"/>
          <w:i/>
          <w:u w:val="single"/>
        </w:rPr>
        <w:t>i</w:t>
      </w:r>
      <w:r w:rsidRPr="00F25CE6">
        <w:rPr>
          <w:rFonts w:asciiTheme="majorBidi" w:hAnsiTheme="majorBidi" w:cstheme="majorBidi"/>
          <w:i/>
          <w:u w:val="single"/>
        </w:rPr>
        <w:t xml:space="preserve"> - novodijagnosticiran</w:t>
      </w:r>
    </w:p>
    <w:p w14:paraId="6CA5D10F" w14:textId="73855B9D"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Međunarodno, otvoreno, multicentrično, randomizirano, komparativno ispitivanje faze III provedeno je u odraslih bolesnika s novodijagnosticiran</w:t>
      </w:r>
      <w:r w:rsidR="00B63A47">
        <w:rPr>
          <w:rFonts w:asciiTheme="majorBidi" w:hAnsiTheme="majorBidi" w:cstheme="majorBidi"/>
          <w:szCs w:val="22"/>
        </w:rPr>
        <w:t>i</w:t>
      </w:r>
      <w:r w:rsidRPr="00F25CE6">
        <w:rPr>
          <w:rFonts w:asciiTheme="majorBidi" w:hAnsiTheme="majorBidi" w:cstheme="majorBidi"/>
          <w:szCs w:val="22"/>
        </w:rPr>
        <w:t>m KML</w:t>
      </w:r>
      <w:r w:rsidR="00B63A47">
        <w:rPr>
          <w:rFonts w:asciiTheme="majorBidi" w:hAnsiTheme="majorBidi" w:cstheme="majorBidi"/>
          <w:szCs w:val="22"/>
        </w:rPr>
        <w:t>-om</w:t>
      </w:r>
      <w:r w:rsidRPr="00F25CE6">
        <w:rPr>
          <w:rFonts w:asciiTheme="majorBidi" w:hAnsiTheme="majorBidi" w:cstheme="majorBidi"/>
          <w:szCs w:val="22"/>
        </w:rPr>
        <w:t xml:space="preserve"> u kroničnoj fazi. Bolesnici su bili randomizirani u skupinu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w:t>
      </w:r>
      <w:r w:rsidR="00B63A47">
        <w:rPr>
          <w:rFonts w:asciiTheme="majorBidi" w:hAnsiTheme="majorBidi" w:cstheme="majorBidi"/>
          <w:szCs w:val="22"/>
        </w:rPr>
        <w:t xml:space="preserve">u dozi od </w:t>
      </w:r>
      <w:r w:rsidRPr="00F25CE6">
        <w:rPr>
          <w:rFonts w:asciiTheme="majorBidi" w:hAnsiTheme="majorBidi" w:cstheme="majorBidi"/>
          <w:szCs w:val="22"/>
        </w:rPr>
        <w:t xml:space="preserve">100 mg jedanput dnevno ili imatinib </w:t>
      </w:r>
      <w:r w:rsidR="00B63A47">
        <w:rPr>
          <w:rFonts w:asciiTheme="majorBidi" w:hAnsiTheme="majorBidi" w:cstheme="majorBidi"/>
          <w:szCs w:val="22"/>
        </w:rPr>
        <w:t xml:space="preserve">u dozi od </w:t>
      </w:r>
      <w:r w:rsidRPr="00F25CE6">
        <w:rPr>
          <w:rFonts w:asciiTheme="majorBidi" w:hAnsiTheme="majorBidi" w:cstheme="majorBidi"/>
          <w:szCs w:val="22"/>
        </w:rPr>
        <w:t>400 mg jedanput dnevno.</w:t>
      </w:r>
      <w:r w:rsidR="00CB67D9">
        <w:rPr>
          <w:rFonts w:asciiTheme="majorBidi" w:hAnsiTheme="majorBidi" w:cstheme="majorBidi"/>
          <w:szCs w:val="22"/>
        </w:rPr>
        <w:t xml:space="preserve"> </w:t>
      </w:r>
      <w:r w:rsidRPr="00F25CE6">
        <w:rPr>
          <w:rFonts w:asciiTheme="majorBidi" w:hAnsiTheme="majorBidi" w:cstheme="majorBidi"/>
          <w:szCs w:val="22"/>
        </w:rPr>
        <w:t>Primarna mjera ishoda bila je udio potvrđenog potpunog citogenetskog odgovora (</w:t>
      </w:r>
      <w:r w:rsidR="006F066C">
        <w:rPr>
          <w:rFonts w:asciiTheme="majorBidi" w:hAnsiTheme="majorBidi" w:cstheme="majorBidi"/>
          <w:szCs w:val="22"/>
        </w:rPr>
        <w:t>engl.</w:t>
      </w:r>
      <w:r w:rsidR="006F066C" w:rsidRPr="006F066C">
        <w:rPr>
          <w:szCs w:val="22"/>
        </w:rPr>
        <w:t xml:space="preserve"> </w:t>
      </w:r>
      <w:r w:rsidR="006F066C" w:rsidRPr="00A66F1D">
        <w:rPr>
          <w:i/>
          <w:szCs w:val="22"/>
        </w:rPr>
        <w:t>confirmed complete cytogenetic response</w:t>
      </w:r>
      <w:r w:rsidR="006F066C">
        <w:rPr>
          <w:szCs w:val="22"/>
        </w:rPr>
        <w:t xml:space="preserve">, </w:t>
      </w:r>
      <w:r w:rsidRPr="00F25CE6">
        <w:rPr>
          <w:rFonts w:asciiTheme="majorBidi" w:hAnsiTheme="majorBidi" w:cstheme="majorBidi"/>
          <w:szCs w:val="22"/>
        </w:rPr>
        <w:t>cCCyR) unutar 12 mjeseci. Sekundarne mjere ishoda uključivale su vrijeme cCCyR (mjera trajanja odgovora), vrijeme do nastupa cCCyR</w:t>
      </w:r>
      <w:r w:rsidR="00FE6F1F">
        <w:rPr>
          <w:rFonts w:asciiTheme="majorBidi" w:hAnsiTheme="majorBidi" w:cstheme="majorBidi"/>
          <w:szCs w:val="22"/>
        </w:rPr>
        <w:t>-a</w:t>
      </w:r>
      <w:r w:rsidRPr="00F25CE6">
        <w:rPr>
          <w:rFonts w:asciiTheme="majorBidi" w:hAnsiTheme="majorBidi" w:cstheme="majorBidi"/>
          <w:szCs w:val="22"/>
        </w:rPr>
        <w:t>, stop</w:t>
      </w:r>
      <w:r w:rsidR="00B63A47">
        <w:rPr>
          <w:rFonts w:asciiTheme="majorBidi" w:hAnsiTheme="majorBidi" w:cstheme="majorBidi"/>
          <w:szCs w:val="22"/>
        </w:rPr>
        <w:t>u</w:t>
      </w:r>
      <w:r w:rsidRPr="00F25CE6">
        <w:rPr>
          <w:rFonts w:asciiTheme="majorBidi" w:hAnsiTheme="majorBidi" w:cstheme="majorBidi"/>
          <w:szCs w:val="22"/>
        </w:rPr>
        <w:t xml:space="preserve"> značajnog molekularnog odgovora (MMR), vrijeme do MMR</w:t>
      </w:r>
      <w:r w:rsidR="00B63A47">
        <w:rPr>
          <w:rFonts w:asciiTheme="majorBidi" w:hAnsiTheme="majorBidi" w:cstheme="majorBidi"/>
          <w:szCs w:val="22"/>
        </w:rPr>
        <w:t>-a</w:t>
      </w:r>
      <w:r w:rsidRPr="00F25CE6">
        <w:rPr>
          <w:rFonts w:asciiTheme="majorBidi" w:hAnsiTheme="majorBidi" w:cstheme="majorBidi"/>
          <w:szCs w:val="22"/>
        </w:rPr>
        <w:t>, preživljenje bez progresije bolesti (</w:t>
      </w:r>
      <w:r w:rsidR="00B57217">
        <w:rPr>
          <w:rFonts w:asciiTheme="majorBidi" w:hAnsiTheme="majorBidi" w:cstheme="majorBidi"/>
          <w:szCs w:val="22"/>
        </w:rPr>
        <w:t xml:space="preserve">engl. </w:t>
      </w:r>
      <w:r w:rsidR="00B57217" w:rsidRPr="00A66F1D">
        <w:rPr>
          <w:rFonts w:asciiTheme="majorBidi" w:hAnsiTheme="majorBidi" w:cstheme="majorBidi"/>
          <w:i/>
          <w:szCs w:val="22"/>
        </w:rPr>
        <w:t>progression free survival</w:t>
      </w:r>
      <w:r w:rsidR="00B57217">
        <w:rPr>
          <w:rFonts w:asciiTheme="majorBidi" w:hAnsiTheme="majorBidi" w:cstheme="majorBidi"/>
          <w:i/>
          <w:szCs w:val="22"/>
        </w:rPr>
        <w:t>,</w:t>
      </w:r>
      <w:r w:rsidR="00B57217" w:rsidRPr="00B57217">
        <w:rPr>
          <w:rFonts w:asciiTheme="majorBidi" w:hAnsiTheme="majorBidi" w:cstheme="majorBidi"/>
          <w:szCs w:val="22"/>
        </w:rPr>
        <w:t xml:space="preserve"> </w:t>
      </w:r>
      <w:r w:rsidRPr="00F25CE6">
        <w:rPr>
          <w:rFonts w:asciiTheme="majorBidi" w:hAnsiTheme="majorBidi" w:cstheme="majorBidi"/>
          <w:szCs w:val="22"/>
        </w:rPr>
        <w:t>PFS) i ukupno preživljenje (</w:t>
      </w:r>
      <w:r w:rsidR="00B57217">
        <w:rPr>
          <w:rFonts w:asciiTheme="majorBidi" w:hAnsiTheme="majorBidi" w:cstheme="majorBidi"/>
          <w:szCs w:val="22"/>
        </w:rPr>
        <w:t xml:space="preserve">engl. </w:t>
      </w:r>
      <w:r w:rsidR="00B57217" w:rsidRPr="00A66F1D">
        <w:rPr>
          <w:i/>
          <w:szCs w:val="22"/>
        </w:rPr>
        <w:t>overall survival</w:t>
      </w:r>
      <w:r w:rsidR="00B57217">
        <w:rPr>
          <w:i/>
          <w:szCs w:val="22"/>
        </w:rPr>
        <w:t>,</w:t>
      </w:r>
      <w:r w:rsidR="00B57217" w:rsidRPr="00C9463D">
        <w:rPr>
          <w:szCs w:val="22"/>
        </w:rPr>
        <w:t xml:space="preserve"> </w:t>
      </w:r>
      <w:r w:rsidRPr="00F25CE6">
        <w:rPr>
          <w:rFonts w:asciiTheme="majorBidi" w:hAnsiTheme="majorBidi" w:cstheme="majorBidi"/>
          <w:szCs w:val="22"/>
        </w:rPr>
        <w:t>OS). Ostali važni rezultati mjerenja djelotvornosti uključivali su stope CCyR</w:t>
      </w:r>
      <w:r w:rsidR="002D2F12">
        <w:rPr>
          <w:rFonts w:asciiTheme="majorBidi" w:hAnsiTheme="majorBidi" w:cstheme="majorBidi"/>
          <w:szCs w:val="22"/>
        </w:rPr>
        <w:t>-a</w:t>
      </w:r>
      <w:r w:rsidRPr="00F25CE6">
        <w:rPr>
          <w:rFonts w:asciiTheme="majorBidi" w:hAnsiTheme="majorBidi" w:cstheme="majorBidi"/>
          <w:szCs w:val="22"/>
        </w:rPr>
        <w:t xml:space="preserve"> i potpunog molekularnog odgovora (</w:t>
      </w:r>
      <w:r w:rsidR="006F066C">
        <w:rPr>
          <w:rFonts w:asciiTheme="majorBidi" w:hAnsiTheme="majorBidi" w:cstheme="majorBidi"/>
          <w:szCs w:val="22"/>
        </w:rPr>
        <w:t xml:space="preserve">engl. </w:t>
      </w:r>
      <w:r w:rsidR="006F066C" w:rsidRPr="00A66F1D">
        <w:rPr>
          <w:i/>
          <w:szCs w:val="22"/>
        </w:rPr>
        <w:t>complete molecular response</w:t>
      </w:r>
      <w:r w:rsidR="006F066C">
        <w:rPr>
          <w:rFonts w:asciiTheme="majorBidi" w:hAnsiTheme="majorBidi" w:cstheme="majorBidi"/>
          <w:szCs w:val="22"/>
        </w:rPr>
        <w:t>,</w:t>
      </w:r>
      <w:r w:rsidR="006F066C" w:rsidRPr="00A66F1D">
        <w:rPr>
          <w:rFonts w:asciiTheme="majorBidi" w:hAnsiTheme="majorBidi" w:cstheme="majorBidi"/>
          <w:szCs w:val="22"/>
        </w:rPr>
        <w:t xml:space="preserve"> </w:t>
      </w:r>
      <w:r w:rsidRPr="00F25CE6">
        <w:rPr>
          <w:rFonts w:asciiTheme="majorBidi" w:hAnsiTheme="majorBidi" w:cstheme="majorBidi"/>
          <w:szCs w:val="22"/>
        </w:rPr>
        <w:t>CMR). Ispitivanje je u tijeku.</w:t>
      </w:r>
    </w:p>
    <w:p w14:paraId="30520E4F" w14:textId="77777777" w:rsidR="00AF7ABC" w:rsidRPr="00F25CE6" w:rsidRDefault="00AF7ABC" w:rsidP="00F25CE6">
      <w:pPr>
        <w:pStyle w:val="BodyText"/>
        <w:widowControl/>
        <w:rPr>
          <w:rFonts w:asciiTheme="majorBidi" w:hAnsiTheme="majorBidi" w:cstheme="majorBidi"/>
          <w:szCs w:val="22"/>
        </w:rPr>
      </w:pPr>
    </w:p>
    <w:p w14:paraId="2DE6F9EF" w14:textId="01B4EB82" w:rsidR="00D4124C"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lastRenderedPageBreak/>
        <w:t>Ukupno je 519 bolesnika bilo randomizirano u dvije terapijske skupine: 259 u skupinu koja je primala</w:t>
      </w:r>
      <w:r w:rsidR="00A303A4">
        <w:rPr>
          <w:rFonts w:asciiTheme="majorBidi" w:hAnsiTheme="majorBidi" w:cstheme="majorBidi"/>
          <w:szCs w:val="22"/>
        </w:rPr>
        <w:t xml:space="preserve"> </w:t>
      </w:r>
      <w:r w:rsidR="0098018B">
        <w:rPr>
          <w:rFonts w:asciiTheme="majorBidi" w:hAnsiTheme="majorBidi" w:cstheme="majorBidi"/>
          <w:szCs w:val="22"/>
        </w:rPr>
        <w:t>dasatinib</w:t>
      </w:r>
      <w:r w:rsidRPr="00F25CE6">
        <w:rPr>
          <w:rFonts w:asciiTheme="majorBidi" w:hAnsiTheme="majorBidi" w:cstheme="majorBidi"/>
          <w:szCs w:val="22"/>
        </w:rPr>
        <w:t xml:space="preserve"> i 260 u skupinu koja je primala imatinib. Bolesnici u dvije terapijske skupine bili su slični u osnovnim značajkama kao što su dob (medijan dobi iznosio je 46 godina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u kojoj je 10% bolesnika bilo u dobi od 65 ili više godina, te 49 godina u skupini koja je primala imatinib, u kojoj je 11% bolesnika bilo u dobi od 65 ili više godina), spol (44% žena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i 37% u skupini koja je primala imatinib) i rasa (51% bijelaca i 42%</w:t>
      </w:r>
      <w:r w:rsidR="00CB67D9">
        <w:rPr>
          <w:rFonts w:asciiTheme="majorBidi" w:hAnsiTheme="majorBidi" w:cstheme="majorBidi"/>
          <w:szCs w:val="22"/>
        </w:rPr>
        <w:t xml:space="preserve"> </w:t>
      </w:r>
      <w:r w:rsidRPr="00F25CE6">
        <w:rPr>
          <w:rFonts w:asciiTheme="majorBidi" w:hAnsiTheme="majorBidi" w:cstheme="majorBidi"/>
          <w:szCs w:val="22"/>
        </w:rPr>
        <w:t xml:space="preserve">azijata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te 55% bijelaca i 37% azijata u skupini koja je primala imatinib). Stratifikacija po Hasfordu na početku ispitivanja bila je slična u obje terapijske skupine (niski rizik: 33%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i 34% u skupini koja je primala imatinib; umjereni rizik: 48%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i 47% u skupini koja je primala imatinib; visoki rizik: 19%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i 19% u skupini koja je primala imatinib).</w:t>
      </w:r>
      <w:r w:rsidR="00CB67D9">
        <w:rPr>
          <w:rFonts w:asciiTheme="majorBidi" w:hAnsiTheme="majorBidi" w:cstheme="majorBidi"/>
          <w:szCs w:val="22"/>
        </w:rPr>
        <w:t xml:space="preserve"> </w:t>
      </w:r>
    </w:p>
    <w:p w14:paraId="080E5EAC" w14:textId="77777777" w:rsidR="00D4124C" w:rsidRDefault="00D4124C" w:rsidP="00CB67D9">
      <w:pPr>
        <w:pStyle w:val="BodyText"/>
        <w:widowControl/>
        <w:rPr>
          <w:rFonts w:asciiTheme="majorBidi" w:hAnsiTheme="majorBidi" w:cstheme="majorBidi"/>
          <w:szCs w:val="22"/>
        </w:rPr>
      </w:pPr>
    </w:p>
    <w:p w14:paraId="56FBA8DE" w14:textId="5C0E4C13"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 xml:space="preserve">Uz najmanje 12 mjeseci praćenja, 85% bolesnika randomiziranih u skupinu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i 81% bolesnika randomiziranih u skupinu koja je primala imatinib i dalje je primalo terapiju prve linije. Prekid liječenja unutar 12 mjeseci zbog napredovanja bolesti dogodio se u 3% bolesnika liječenih lijekom </w:t>
      </w:r>
      <w:r w:rsidR="0098018B">
        <w:rPr>
          <w:rFonts w:asciiTheme="majorBidi" w:hAnsiTheme="majorBidi" w:cstheme="majorBidi"/>
          <w:szCs w:val="22"/>
        </w:rPr>
        <w:t>dasatinibom</w:t>
      </w:r>
      <w:r w:rsidRPr="00F25CE6">
        <w:rPr>
          <w:rFonts w:asciiTheme="majorBidi" w:hAnsiTheme="majorBidi" w:cstheme="majorBidi"/>
          <w:szCs w:val="22"/>
        </w:rPr>
        <w:t xml:space="preserve"> i 5% bolesnika liječenih imatinibom.</w:t>
      </w:r>
    </w:p>
    <w:p w14:paraId="0F8A2105" w14:textId="77777777" w:rsidR="00AF7ABC" w:rsidRPr="00F25CE6" w:rsidRDefault="00AF7ABC" w:rsidP="00F25CE6">
      <w:pPr>
        <w:pStyle w:val="BodyText"/>
        <w:widowControl/>
        <w:rPr>
          <w:rFonts w:asciiTheme="majorBidi" w:hAnsiTheme="majorBidi" w:cstheme="majorBidi"/>
          <w:szCs w:val="22"/>
        </w:rPr>
      </w:pPr>
    </w:p>
    <w:p w14:paraId="41218486" w14:textId="00A97D4C" w:rsidR="00AF7ABC" w:rsidRPr="00F25CE6" w:rsidRDefault="00422138" w:rsidP="00CB67D9">
      <w:pPr>
        <w:pStyle w:val="BodyText"/>
        <w:widowControl/>
        <w:rPr>
          <w:rFonts w:asciiTheme="majorBidi" w:hAnsiTheme="majorBidi" w:cstheme="majorBidi"/>
          <w:szCs w:val="22"/>
        </w:rPr>
      </w:pPr>
      <w:r w:rsidRPr="00F25CE6">
        <w:rPr>
          <w:rFonts w:asciiTheme="majorBidi" w:hAnsiTheme="majorBidi" w:cstheme="majorBidi"/>
          <w:szCs w:val="22"/>
        </w:rPr>
        <w:t xml:space="preserve">S najmanje 60 mjeseci praćenja bolesnika, 60% bolesnika randomiziranih u </w:t>
      </w:r>
      <w:r w:rsidR="0098018B">
        <w:rPr>
          <w:rFonts w:asciiTheme="majorBidi" w:hAnsiTheme="majorBidi" w:cstheme="majorBidi"/>
          <w:szCs w:val="22"/>
        </w:rPr>
        <w:t>dasatinib</w:t>
      </w:r>
      <w:r w:rsidRPr="00F25CE6">
        <w:rPr>
          <w:rFonts w:asciiTheme="majorBidi" w:hAnsiTheme="majorBidi" w:cstheme="majorBidi"/>
          <w:szCs w:val="22"/>
        </w:rPr>
        <w:t xml:space="preserve"> skupinu i 63% bolesnika randomiziranih u imatinib skupinu primalo je terapiju za prvu liniju. Prekid unutar</w:t>
      </w:r>
      <w:r w:rsidR="00CB67D9">
        <w:rPr>
          <w:rFonts w:asciiTheme="majorBidi" w:hAnsiTheme="majorBidi" w:cstheme="majorBidi"/>
          <w:szCs w:val="22"/>
        </w:rPr>
        <w:t xml:space="preserve"> </w:t>
      </w:r>
      <w:r w:rsidRPr="00F25CE6">
        <w:rPr>
          <w:rFonts w:asciiTheme="majorBidi" w:hAnsiTheme="majorBidi" w:cstheme="majorBidi"/>
          <w:szCs w:val="22"/>
        </w:rPr>
        <w:t xml:space="preserve">60 mjeseci zbog napredovanja bolesti javio se u 11% bolesnika liječenih </w:t>
      </w:r>
      <w:r w:rsidR="0098018B">
        <w:rPr>
          <w:rFonts w:asciiTheme="majorBidi" w:hAnsiTheme="majorBidi" w:cstheme="majorBidi"/>
          <w:szCs w:val="22"/>
        </w:rPr>
        <w:t>dasatinibom</w:t>
      </w:r>
      <w:r w:rsidRPr="00F25CE6">
        <w:rPr>
          <w:rFonts w:asciiTheme="majorBidi" w:hAnsiTheme="majorBidi" w:cstheme="majorBidi"/>
          <w:szCs w:val="22"/>
        </w:rPr>
        <w:t xml:space="preserve"> i u 14% bolesnika liječenih imatinibom.</w:t>
      </w:r>
    </w:p>
    <w:p w14:paraId="3DE5DC00" w14:textId="77777777" w:rsidR="00AF7ABC" w:rsidRPr="00F25CE6" w:rsidRDefault="00AF7ABC" w:rsidP="00F25CE6">
      <w:pPr>
        <w:pStyle w:val="BodyText"/>
        <w:widowControl/>
        <w:rPr>
          <w:rFonts w:asciiTheme="majorBidi" w:hAnsiTheme="majorBidi" w:cstheme="majorBidi"/>
          <w:szCs w:val="22"/>
        </w:rPr>
      </w:pPr>
    </w:p>
    <w:p w14:paraId="3635C53E" w14:textId="725EB6C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Rezultati ispitivanja djelotvornosti prikazani su u Tablici 9. Udio bolesnika koji su postigli cCCyR bio je statistički značajno veći u skupini koja je primala </w:t>
      </w:r>
      <w:r w:rsidR="0098018B">
        <w:rPr>
          <w:rFonts w:asciiTheme="majorBidi" w:hAnsiTheme="majorBidi" w:cstheme="majorBidi"/>
          <w:szCs w:val="22"/>
        </w:rPr>
        <w:t>dasatinib</w:t>
      </w:r>
      <w:r w:rsidRPr="00F25CE6">
        <w:rPr>
          <w:rFonts w:asciiTheme="majorBidi" w:hAnsiTheme="majorBidi" w:cstheme="majorBidi"/>
          <w:szCs w:val="22"/>
        </w:rPr>
        <w:t xml:space="preserve"> nego u skupini koja je primala imatinib u prvih 12 mjeseci liječenja. Djelotvornost </w:t>
      </w:r>
      <w:r w:rsidR="0098018B">
        <w:rPr>
          <w:rFonts w:asciiTheme="majorBidi" w:hAnsiTheme="majorBidi" w:cstheme="majorBidi"/>
          <w:szCs w:val="22"/>
        </w:rPr>
        <w:t>dasatiniba</w:t>
      </w:r>
      <w:r w:rsidRPr="00F25CE6">
        <w:rPr>
          <w:rFonts w:asciiTheme="majorBidi" w:hAnsiTheme="majorBidi" w:cstheme="majorBidi"/>
          <w:szCs w:val="22"/>
        </w:rPr>
        <w:t xml:space="preserve"> dosljedno je pokazana u svim podskupinama prema dobi, spolu i početnoj razini rizika po Hasfordu.</w:t>
      </w:r>
    </w:p>
    <w:p w14:paraId="47DC9BD0" w14:textId="77777777" w:rsidR="00A15E8A" w:rsidRPr="00F25CE6" w:rsidRDefault="00A15E8A" w:rsidP="00F25CE6">
      <w:pPr>
        <w:widowControl/>
        <w:rPr>
          <w:rFonts w:asciiTheme="majorBidi" w:hAnsiTheme="majorBidi" w:cstheme="majorBidi"/>
        </w:rPr>
      </w:pPr>
    </w:p>
    <w:p w14:paraId="29483FFB" w14:textId="3BBCCA84" w:rsidR="00AF3735" w:rsidRPr="00AF3735" w:rsidRDefault="00AF3735" w:rsidP="00AF3735">
      <w:pPr>
        <w:tabs>
          <w:tab w:val="left" w:pos="720"/>
        </w:tabs>
        <w:adjustRightInd w:val="0"/>
        <w:ind w:left="810" w:hanging="810"/>
        <w:rPr>
          <w:b/>
        </w:rPr>
      </w:pPr>
      <w:bookmarkStart w:id="1" w:name="_Hlk64461028"/>
      <w:r w:rsidRPr="00AF3735">
        <w:rPr>
          <w:b/>
        </w:rPr>
        <w:t xml:space="preserve">Tablica 9: </w:t>
      </w:r>
      <w:r>
        <w:rPr>
          <w:b/>
        </w:rPr>
        <w:t>Rezultati djelotvornosti u novodijagnosticiranih bolesnika s KML</w:t>
      </w:r>
      <w:r w:rsidR="00B63A47">
        <w:rPr>
          <w:b/>
        </w:rPr>
        <w:t>-om</w:t>
      </w:r>
      <w:r>
        <w:rPr>
          <w:b/>
        </w:rPr>
        <w:t xml:space="preserve"> u kroničnoj fazi iz ispitivanja faze </w:t>
      </w:r>
      <w:r w:rsidR="00071F21">
        <w:rPr>
          <w:b/>
        </w:rPr>
        <w:t>III</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116"/>
        <w:gridCol w:w="2219"/>
        <w:gridCol w:w="2010"/>
      </w:tblGrid>
      <w:tr w:rsidR="00AF3735" w:rsidRPr="00AF3735" w14:paraId="5B638B2C" w14:textId="77777777" w:rsidTr="0031614A">
        <w:trPr>
          <w:trHeight w:val="706"/>
          <w:tblHeader/>
        </w:trPr>
        <w:tc>
          <w:tcPr>
            <w:tcW w:w="2178" w:type="dxa"/>
            <w:tcBorders>
              <w:left w:val="nil"/>
              <w:bottom w:val="single" w:sz="4" w:space="0" w:color="auto"/>
              <w:right w:val="nil"/>
            </w:tcBorders>
          </w:tcPr>
          <w:p w14:paraId="53CB54C7" w14:textId="77777777" w:rsidR="00AF3735" w:rsidRPr="00AF3735" w:rsidRDefault="00AF3735" w:rsidP="00D90C85">
            <w:pPr>
              <w:adjustRightInd w:val="0"/>
              <w:rPr>
                <w:b/>
              </w:rPr>
            </w:pPr>
          </w:p>
        </w:tc>
        <w:tc>
          <w:tcPr>
            <w:tcW w:w="3116" w:type="dxa"/>
            <w:tcBorders>
              <w:left w:val="nil"/>
              <w:bottom w:val="single" w:sz="4" w:space="0" w:color="auto"/>
              <w:right w:val="nil"/>
            </w:tcBorders>
            <w:vAlign w:val="center"/>
          </w:tcPr>
          <w:p w14:paraId="3A8032E8" w14:textId="20C8158C" w:rsidR="00AF3735" w:rsidRPr="00AF3735" w:rsidRDefault="00AF3735" w:rsidP="00D90C85">
            <w:pPr>
              <w:adjustRightInd w:val="0"/>
              <w:jc w:val="center"/>
              <w:rPr>
                <w:rFonts w:eastAsia="TimesNewRoman,Bold"/>
                <w:b/>
                <w:bCs/>
              </w:rPr>
            </w:pPr>
            <w:r w:rsidRPr="00AF3735">
              <w:rPr>
                <w:rFonts w:eastAsia="SimSun"/>
                <w:b/>
              </w:rPr>
              <w:t>Dasatinib</w:t>
            </w:r>
          </w:p>
          <w:p w14:paraId="632DB53D" w14:textId="35D807E9" w:rsidR="00AF3735" w:rsidRPr="00AF3735" w:rsidRDefault="00AF3735" w:rsidP="00D90C85">
            <w:pPr>
              <w:adjustRightInd w:val="0"/>
              <w:jc w:val="center"/>
              <w:rPr>
                <w:b/>
              </w:rPr>
            </w:pPr>
            <w:r w:rsidRPr="00AF3735">
              <w:rPr>
                <w:rFonts w:eastAsia="TimesNewRoman,Bold"/>
                <w:b/>
                <w:bCs/>
              </w:rPr>
              <w:t>n</w:t>
            </w:r>
            <w:r w:rsidR="00D70A36">
              <w:rPr>
                <w:rFonts w:eastAsia="TimesNewRoman,Bold"/>
                <w:b/>
                <w:bCs/>
              </w:rPr>
              <w:t xml:space="preserve"> </w:t>
            </w:r>
            <w:r w:rsidRPr="00AF3735">
              <w:rPr>
                <w:rFonts w:eastAsia="TimesNewRoman,Bold"/>
                <w:b/>
                <w:bCs/>
              </w:rPr>
              <w:t>= 259</w:t>
            </w:r>
          </w:p>
        </w:tc>
        <w:tc>
          <w:tcPr>
            <w:tcW w:w="2219" w:type="dxa"/>
            <w:tcBorders>
              <w:left w:val="nil"/>
              <w:bottom w:val="single" w:sz="4" w:space="0" w:color="auto"/>
              <w:right w:val="nil"/>
            </w:tcBorders>
            <w:vAlign w:val="center"/>
          </w:tcPr>
          <w:p w14:paraId="6B8EBF85" w14:textId="00496924" w:rsidR="00AF3735" w:rsidRPr="00AF3735" w:rsidRDefault="008850F5" w:rsidP="00D90C85">
            <w:pPr>
              <w:adjustRightInd w:val="0"/>
              <w:jc w:val="center"/>
              <w:rPr>
                <w:rFonts w:eastAsia="TimesNewRoman,Bold"/>
                <w:b/>
                <w:bCs/>
              </w:rPr>
            </w:pPr>
            <w:r w:rsidRPr="00AF3735">
              <w:rPr>
                <w:rFonts w:eastAsia="TimesNewRoman,Bold"/>
                <w:b/>
                <w:bCs/>
              </w:rPr>
              <w:t>I</w:t>
            </w:r>
            <w:r w:rsidR="00AF3735" w:rsidRPr="00AF3735">
              <w:rPr>
                <w:rFonts w:eastAsia="TimesNewRoman,Bold"/>
                <w:b/>
                <w:bCs/>
              </w:rPr>
              <w:t>matinib</w:t>
            </w:r>
          </w:p>
          <w:p w14:paraId="5E5653C4" w14:textId="31A1E00A" w:rsidR="00AF3735" w:rsidRPr="00AF3735" w:rsidRDefault="00AF3735" w:rsidP="00D90C85">
            <w:pPr>
              <w:adjustRightInd w:val="0"/>
              <w:jc w:val="center"/>
              <w:rPr>
                <w:b/>
              </w:rPr>
            </w:pPr>
            <w:r w:rsidRPr="00AF3735">
              <w:rPr>
                <w:rFonts w:eastAsia="TimesNewRoman,Bold"/>
                <w:b/>
                <w:bCs/>
              </w:rPr>
              <w:t>n</w:t>
            </w:r>
            <w:r w:rsidR="00D70A36">
              <w:rPr>
                <w:rFonts w:eastAsia="TimesNewRoman,Bold"/>
                <w:b/>
                <w:bCs/>
              </w:rPr>
              <w:t xml:space="preserve"> </w:t>
            </w:r>
            <w:r w:rsidRPr="00AF3735">
              <w:rPr>
                <w:rFonts w:eastAsia="TimesNewRoman,Bold"/>
                <w:b/>
                <w:bCs/>
              </w:rPr>
              <w:t>= 260</w:t>
            </w:r>
          </w:p>
          <w:p w14:paraId="30D8692F" w14:textId="77777777" w:rsidR="00AF3735" w:rsidRPr="00AF3735" w:rsidRDefault="00AF3735" w:rsidP="00D90C85">
            <w:pPr>
              <w:jc w:val="center"/>
            </w:pPr>
          </w:p>
        </w:tc>
        <w:tc>
          <w:tcPr>
            <w:tcW w:w="2010" w:type="dxa"/>
            <w:tcBorders>
              <w:left w:val="nil"/>
              <w:bottom w:val="single" w:sz="4" w:space="0" w:color="auto"/>
              <w:right w:val="nil"/>
            </w:tcBorders>
            <w:vAlign w:val="center"/>
          </w:tcPr>
          <w:p w14:paraId="794807E3" w14:textId="55F908A6" w:rsidR="00AF3735" w:rsidRPr="00AF3735" w:rsidRDefault="00AF3735" w:rsidP="00D90C85">
            <w:pPr>
              <w:adjustRightInd w:val="0"/>
              <w:jc w:val="center"/>
              <w:rPr>
                <w:b/>
              </w:rPr>
            </w:pPr>
            <w:r w:rsidRPr="00AF3735">
              <w:rPr>
                <w:rFonts w:eastAsia="TimesNewRoman,Bold"/>
                <w:b/>
                <w:bCs/>
              </w:rPr>
              <w:t>p-</w:t>
            </w:r>
            <w:r>
              <w:rPr>
                <w:rFonts w:eastAsia="TimesNewRoman,Bold"/>
                <w:b/>
                <w:bCs/>
              </w:rPr>
              <w:t>vrijednost</w:t>
            </w:r>
          </w:p>
        </w:tc>
      </w:tr>
      <w:tr w:rsidR="00732977" w:rsidRPr="00AF3735" w14:paraId="35ECB34C" w14:textId="77777777" w:rsidTr="009E4149">
        <w:trPr>
          <w:tblHeader/>
        </w:trPr>
        <w:tc>
          <w:tcPr>
            <w:tcW w:w="2178" w:type="dxa"/>
            <w:tcBorders>
              <w:top w:val="single" w:sz="4" w:space="0" w:color="auto"/>
              <w:left w:val="nil"/>
              <w:bottom w:val="single" w:sz="4" w:space="0" w:color="auto"/>
              <w:right w:val="nil"/>
            </w:tcBorders>
          </w:tcPr>
          <w:p w14:paraId="14DEECA1" w14:textId="77777777" w:rsidR="00732977" w:rsidRPr="00AF3735" w:rsidRDefault="00732977" w:rsidP="00D90C85">
            <w:pPr>
              <w:adjustRightInd w:val="0"/>
              <w:rPr>
                <w:b/>
              </w:rPr>
            </w:pPr>
          </w:p>
        </w:tc>
        <w:tc>
          <w:tcPr>
            <w:tcW w:w="7345" w:type="dxa"/>
            <w:gridSpan w:val="3"/>
            <w:tcBorders>
              <w:top w:val="single" w:sz="4" w:space="0" w:color="auto"/>
              <w:left w:val="nil"/>
              <w:bottom w:val="single" w:sz="4" w:space="0" w:color="auto"/>
              <w:right w:val="nil"/>
            </w:tcBorders>
            <w:vAlign w:val="center"/>
          </w:tcPr>
          <w:p w14:paraId="13E43C5F" w14:textId="7D26A824" w:rsidR="00732977" w:rsidRPr="00AF3735" w:rsidRDefault="00732977" w:rsidP="00D90C85">
            <w:pPr>
              <w:adjustRightInd w:val="0"/>
              <w:jc w:val="center"/>
              <w:rPr>
                <w:b/>
              </w:rPr>
            </w:pPr>
            <w:r>
              <w:rPr>
                <w:rFonts w:eastAsia="TimesNewRoman,Bold"/>
                <w:b/>
                <w:bCs/>
              </w:rPr>
              <w:t>Stopa odgovora (95% CI)</w:t>
            </w:r>
          </w:p>
        </w:tc>
      </w:tr>
      <w:tr w:rsidR="00AF3735" w:rsidRPr="00AF3735" w14:paraId="58337914" w14:textId="77777777" w:rsidTr="0031614A">
        <w:tc>
          <w:tcPr>
            <w:tcW w:w="2178" w:type="dxa"/>
            <w:tcBorders>
              <w:top w:val="single" w:sz="4" w:space="0" w:color="auto"/>
              <w:left w:val="nil"/>
              <w:bottom w:val="nil"/>
              <w:right w:val="nil"/>
            </w:tcBorders>
          </w:tcPr>
          <w:p w14:paraId="54A73995" w14:textId="1C112BEA" w:rsidR="00AF3735" w:rsidRPr="00AF3735" w:rsidRDefault="00AF3735" w:rsidP="002C3132">
            <w:pPr>
              <w:adjustRightInd w:val="0"/>
              <w:rPr>
                <w:b/>
              </w:rPr>
            </w:pPr>
            <w:r>
              <w:rPr>
                <w:b/>
              </w:rPr>
              <w:t>Citogenetski odgovor unutar 12 mjeseci</w:t>
            </w:r>
          </w:p>
        </w:tc>
        <w:tc>
          <w:tcPr>
            <w:tcW w:w="3116" w:type="dxa"/>
            <w:tcBorders>
              <w:top w:val="single" w:sz="4" w:space="0" w:color="auto"/>
              <w:left w:val="nil"/>
              <w:bottom w:val="nil"/>
              <w:right w:val="nil"/>
            </w:tcBorders>
          </w:tcPr>
          <w:p w14:paraId="2E58F434" w14:textId="77777777" w:rsidR="00AF3735" w:rsidRPr="00AF3735" w:rsidRDefault="00AF3735" w:rsidP="00D90C85">
            <w:pPr>
              <w:adjustRightInd w:val="0"/>
              <w:jc w:val="center"/>
              <w:rPr>
                <w:b/>
              </w:rPr>
            </w:pPr>
          </w:p>
        </w:tc>
        <w:tc>
          <w:tcPr>
            <w:tcW w:w="2219" w:type="dxa"/>
            <w:tcBorders>
              <w:top w:val="single" w:sz="4" w:space="0" w:color="auto"/>
              <w:left w:val="nil"/>
              <w:bottom w:val="nil"/>
              <w:right w:val="nil"/>
            </w:tcBorders>
          </w:tcPr>
          <w:p w14:paraId="259D3806" w14:textId="77777777" w:rsidR="00AF3735" w:rsidRPr="00AF3735" w:rsidRDefault="00AF3735" w:rsidP="00D90C85">
            <w:pPr>
              <w:adjustRightInd w:val="0"/>
              <w:jc w:val="center"/>
              <w:rPr>
                <w:b/>
              </w:rPr>
            </w:pPr>
          </w:p>
        </w:tc>
        <w:tc>
          <w:tcPr>
            <w:tcW w:w="2010" w:type="dxa"/>
            <w:tcBorders>
              <w:top w:val="single" w:sz="4" w:space="0" w:color="auto"/>
              <w:left w:val="nil"/>
              <w:bottom w:val="nil"/>
              <w:right w:val="nil"/>
            </w:tcBorders>
          </w:tcPr>
          <w:p w14:paraId="1B7AFC73" w14:textId="77777777" w:rsidR="00AF3735" w:rsidRPr="00AF3735" w:rsidRDefault="00AF3735" w:rsidP="00D90C85">
            <w:pPr>
              <w:adjustRightInd w:val="0"/>
              <w:jc w:val="center"/>
              <w:rPr>
                <w:b/>
              </w:rPr>
            </w:pPr>
          </w:p>
        </w:tc>
      </w:tr>
      <w:tr w:rsidR="00AF3735" w:rsidRPr="00AF3735" w14:paraId="672137E4" w14:textId="77777777" w:rsidTr="0031614A">
        <w:tc>
          <w:tcPr>
            <w:tcW w:w="2178" w:type="dxa"/>
            <w:tcBorders>
              <w:top w:val="nil"/>
              <w:left w:val="nil"/>
              <w:bottom w:val="nil"/>
              <w:right w:val="nil"/>
            </w:tcBorders>
          </w:tcPr>
          <w:p w14:paraId="49B8E209" w14:textId="77777777" w:rsidR="00AF3735" w:rsidRPr="00AF3735" w:rsidRDefault="00AF3735" w:rsidP="00D90C85">
            <w:pPr>
              <w:adjustRightInd w:val="0"/>
              <w:jc w:val="center"/>
              <w:rPr>
                <w:b/>
                <w:vertAlign w:val="superscript"/>
              </w:rPr>
            </w:pPr>
            <w:r w:rsidRPr="00AF3735">
              <w:rPr>
                <w:rFonts w:eastAsia="SimSun"/>
              </w:rPr>
              <w:t>cCCyR</w:t>
            </w:r>
            <w:r w:rsidRPr="00AF3735">
              <w:rPr>
                <w:rFonts w:eastAsia="SimSun"/>
                <w:vertAlign w:val="superscript"/>
              </w:rPr>
              <w:t>a</w:t>
            </w:r>
          </w:p>
        </w:tc>
        <w:tc>
          <w:tcPr>
            <w:tcW w:w="3116" w:type="dxa"/>
            <w:tcBorders>
              <w:top w:val="nil"/>
              <w:left w:val="nil"/>
              <w:bottom w:val="nil"/>
              <w:right w:val="nil"/>
            </w:tcBorders>
          </w:tcPr>
          <w:p w14:paraId="54C45114" w14:textId="55935568" w:rsidR="00AF3735" w:rsidRPr="00AF3735" w:rsidRDefault="00AF3735" w:rsidP="00D90C85">
            <w:pPr>
              <w:adjustRightInd w:val="0"/>
              <w:jc w:val="center"/>
              <w:rPr>
                <w:b/>
              </w:rPr>
            </w:pPr>
            <w:r w:rsidRPr="00AF3735">
              <w:rPr>
                <w:rFonts w:eastAsia="SimSun"/>
              </w:rPr>
              <w:t>76</w:t>
            </w:r>
            <w:r>
              <w:rPr>
                <w:rFonts w:eastAsia="SimSun"/>
              </w:rPr>
              <w:t>,</w:t>
            </w:r>
            <w:r w:rsidRPr="00AF3735">
              <w:rPr>
                <w:rFonts w:eastAsia="SimSun"/>
              </w:rPr>
              <w:t>8% (71</w:t>
            </w:r>
            <w:r>
              <w:rPr>
                <w:rFonts w:eastAsia="SimSun"/>
              </w:rPr>
              <w:t>,</w:t>
            </w:r>
            <w:r w:rsidRPr="00AF3735">
              <w:rPr>
                <w:rFonts w:eastAsia="SimSun"/>
              </w:rPr>
              <w:t>2</w:t>
            </w:r>
            <w:r w:rsidR="00B63A47">
              <w:rPr>
                <w:rFonts w:eastAsia="SimSun"/>
              </w:rPr>
              <w:t xml:space="preserve"> </w:t>
            </w:r>
            <w:r w:rsidRPr="00AF3735">
              <w:rPr>
                <w:rFonts w:eastAsia="SimSun"/>
              </w:rPr>
              <w:t>–</w:t>
            </w:r>
            <w:r w:rsidR="00B63A47">
              <w:rPr>
                <w:rFonts w:eastAsia="SimSun"/>
              </w:rPr>
              <w:t xml:space="preserve"> </w:t>
            </w:r>
            <w:r w:rsidRPr="00AF3735">
              <w:rPr>
                <w:rFonts w:eastAsia="SimSun"/>
              </w:rPr>
              <w:t>81</w:t>
            </w:r>
            <w:r>
              <w:rPr>
                <w:rFonts w:eastAsia="SimSun"/>
              </w:rPr>
              <w:t>,</w:t>
            </w:r>
            <w:r w:rsidRPr="00AF3735">
              <w:rPr>
                <w:rFonts w:eastAsia="SimSun"/>
              </w:rPr>
              <w:t>8)</w:t>
            </w:r>
          </w:p>
        </w:tc>
        <w:tc>
          <w:tcPr>
            <w:tcW w:w="2219" w:type="dxa"/>
            <w:tcBorders>
              <w:top w:val="nil"/>
              <w:left w:val="nil"/>
              <w:bottom w:val="nil"/>
              <w:right w:val="nil"/>
            </w:tcBorders>
          </w:tcPr>
          <w:p w14:paraId="0A6755FE" w14:textId="2A41455E" w:rsidR="00AF3735" w:rsidRPr="00AF3735" w:rsidRDefault="00AF3735" w:rsidP="00D90C85">
            <w:pPr>
              <w:adjustRightInd w:val="0"/>
              <w:jc w:val="center"/>
              <w:rPr>
                <w:b/>
              </w:rPr>
            </w:pPr>
            <w:r w:rsidRPr="00AF3735">
              <w:rPr>
                <w:rFonts w:eastAsia="SimSun"/>
              </w:rPr>
              <w:t>66</w:t>
            </w:r>
            <w:r>
              <w:rPr>
                <w:rFonts w:eastAsia="SimSun"/>
              </w:rPr>
              <w:t>,</w:t>
            </w:r>
            <w:r w:rsidRPr="00AF3735">
              <w:rPr>
                <w:rFonts w:eastAsia="SimSun"/>
              </w:rPr>
              <w:t>2% (60</w:t>
            </w:r>
            <w:r>
              <w:rPr>
                <w:rFonts w:eastAsia="SimSun"/>
              </w:rPr>
              <w:t>,</w:t>
            </w:r>
            <w:r w:rsidRPr="00AF3735">
              <w:rPr>
                <w:rFonts w:eastAsia="SimSun"/>
              </w:rPr>
              <w:t>1</w:t>
            </w:r>
            <w:r w:rsidR="00B63A47">
              <w:rPr>
                <w:rFonts w:eastAsia="SimSun"/>
              </w:rPr>
              <w:t xml:space="preserve"> </w:t>
            </w:r>
            <w:r w:rsidRPr="00AF3735">
              <w:rPr>
                <w:rFonts w:eastAsia="SimSun"/>
              </w:rPr>
              <w:t>–</w:t>
            </w:r>
            <w:r w:rsidR="00B63A47">
              <w:rPr>
                <w:rFonts w:eastAsia="SimSun"/>
              </w:rPr>
              <w:t xml:space="preserve"> </w:t>
            </w:r>
            <w:r w:rsidRPr="00AF3735">
              <w:rPr>
                <w:rFonts w:eastAsia="SimSun"/>
              </w:rPr>
              <w:t>71</w:t>
            </w:r>
            <w:r>
              <w:rPr>
                <w:rFonts w:eastAsia="SimSun"/>
              </w:rPr>
              <w:t>,</w:t>
            </w:r>
            <w:r w:rsidRPr="00AF3735">
              <w:rPr>
                <w:rFonts w:eastAsia="SimSun"/>
              </w:rPr>
              <w:t>9)</w:t>
            </w:r>
          </w:p>
        </w:tc>
        <w:tc>
          <w:tcPr>
            <w:tcW w:w="2010" w:type="dxa"/>
            <w:tcBorders>
              <w:top w:val="nil"/>
              <w:left w:val="nil"/>
              <w:bottom w:val="nil"/>
              <w:right w:val="nil"/>
            </w:tcBorders>
          </w:tcPr>
          <w:p w14:paraId="395AB010" w14:textId="24509B57" w:rsidR="00AF3735" w:rsidRPr="00AF3735" w:rsidRDefault="00AF3735" w:rsidP="00D90C85">
            <w:pPr>
              <w:adjustRightInd w:val="0"/>
              <w:jc w:val="center"/>
              <w:rPr>
                <w:b/>
              </w:rPr>
            </w:pPr>
            <w:r w:rsidRPr="00AF3735">
              <w:rPr>
                <w:rFonts w:eastAsia="SimSun"/>
              </w:rPr>
              <w:t>p</w:t>
            </w:r>
            <w:r w:rsidR="008B34FA">
              <w:rPr>
                <w:rFonts w:eastAsia="SimSun"/>
              </w:rPr>
              <w:t> </w:t>
            </w:r>
            <w:r w:rsidRPr="00AF3735">
              <w:rPr>
                <w:rFonts w:eastAsia="SimSun"/>
              </w:rPr>
              <w:t>&lt;</w:t>
            </w:r>
            <w:r w:rsidR="008B34FA">
              <w:rPr>
                <w:rFonts w:eastAsia="SimSun"/>
              </w:rPr>
              <w:t> </w:t>
            </w:r>
            <w:r w:rsidRPr="00AF3735">
              <w:rPr>
                <w:rFonts w:eastAsia="SimSun"/>
              </w:rPr>
              <w:t>0</w:t>
            </w:r>
            <w:r>
              <w:rPr>
                <w:rFonts w:eastAsia="SimSun"/>
              </w:rPr>
              <w:t>,</w:t>
            </w:r>
            <w:r w:rsidRPr="00AF3735">
              <w:rPr>
                <w:rFonts w:eastAsia="SimSun"/>
              </w:rPr>
              <w:t>007*</w:t>
            </w:r>
          </w:p>
        </w:tc>
      </w:tr>
      <w:tr w:rsidR="00AF3735" w:rsidRPr="00AF3735" w14:paraId="1E3F9B81" w14:textId="77777777" w:rsidTr="0031614A">
        <w:tc>
          <w:tcPr>
            <w:tcW w:w="2178" w:type="dxa"/>
            <w:tcBorders>
              <w:top w:val="nil"/>
              <w:left w:val="nil"/>
              <w:bottom w:val="nil"/>
              <w:right w:val="nil"/>
            </w:tcBorders>
          </w:tcPr>
          <w:p w14:paraId="006A1D1E" w14:textId="77777777" w:rsidR="00AF3735" w:rsidRPr="00AF3735" w:rsidRDefault="00AF3735" w:rsidP="00D90C85">
            <w:pPr>
              <w:adjustRightInd w:val="0"/>
              <w:jc w:val="center"/>
              <w:rPr>
                <w:b/>
                <w:vertAlign w:val="superscript"/>
              </w:rPr>
            </w:pPr>
            <w:r w:rsidRPr="00AF3735">
              <w:rPr>
                <w:rFonts w:eastAsia="SimSun"/>
              </w:rPr>
              <w:t>CCyR</w:t>
            </w:r>
            <w:r w:rsidRPr="00AF3735">
              <w:rPr>
                <w:rFonts w:eastAsia="SimSun"/>
                <w:vertAlign w:val="superscript"/>
              </w:rPr>
              <w:t>b</w:t>
            </w:r>
          </w:p>
        </w:tc>
        <w:tc>
          <w:tcPr>
            <w:tcW w:w="3116" w:type="dxa"/>
            <w:tcBorders>
              <w:top w:val="nil"/>
              <w:left w:val="nil"/>
              <w:bottom w:val="nil"/>
              <w:right w:val="nil"/>
            </w:tcBorders>
          </w:tcPr>
          <w:p w14:paraId="01EBC1F9" w14:textId="5E1893FD" w:rsidR="00AF3735" w:rsidRPr="00AF3735" w:rsidRDefault="00AF3735" w:rsidP="00D90C85">
            <w:pPr>
              <w:adjustRightInd w:val="0"/>
              <w:jc w:val="center"/>
              <w:rPr>
                <w:b/>
              </w:rPr>
            </w:pPr>
            <w:r w:rsidRPr="00AF3735">
              <w:rPr>
                <w:rFonts w:eastAsia="SimSun"/>
              </w:rPr>
              <w:t>85</w:t>
            </w:r>
            <w:r>
              <w:rPr>
                <w:rFonts w:eastAsia="SimSun"/>
              </w:rPr>
              <w:t>,</w:t>
            </w:r>
            <w:r w:rsidRPr="00AF3735">
              <w:rPr>
                <w:rFonts w:eastAsia="SimSun"/>
              </w:rPr>
              <w:t>3% (80</w:t>
            </w:r>
            <w:r>
              <w:rPr>
                <w:rFonts w:eastAsia="SimSun"/>
              </w:rPr>
              <w:t>,</w:t>
            </w:r>
            <w:r w:rsidRPr="00AF3735">
              <w:rPr>
                <w:rFonts w:eastAsia="SimSun"/>
              </w:rPr>
              <w:t>4</w:t>
            </w:r>
            <w:r w:rsidR="00B63A47" w:rsidRPr="009474C0">
              <w:t> – </w:t>
            </w:r>
            <w:r w:rsidRPr="00AF3735">
              <w:rPr>
                <w:rFonts w:eastAsia="SimSun"/>
              </w:rPr>
              <w:t>89</w:t>
            </w:r>
            <w:r>
              <w:rPr>
                <w:rFonts w:eastAsia="SimSun"/>
              </w:rPr>
              <w:t>,</w:t>
            </w:r>
            <w:r w:rsidRPr="00AF3735">
              <w:rPr>
                <w:rFonts w:eastAsia="SimSun"/>
              </w:rPr>
              <w:t>4)</w:t>
            </w:r>
          </w:p>
        </w:tc>
        <w:tc>
          <w:tcPr>
            <w:tcW w:w="2219" w:type="dxa"/>
            <w:tcBorders>
              <w:top w:val="nil"/>
              <w:left w:val="nil"/>
              <w:bottom w:val="nil"/>
              <w:right w:val="nil"/>
            </w:tcBorders>
          </w:tcPr>
          <w:p w14:paraId="4C7D182B" w14:textId="6FF237C9" w:rsidR="00AF3735" w:rsidRPr="00AF3735" w:rsidRDefault="00AF3735" w:rsidP="00D90C85">
            <w:pPr>
              <w:adjustRightInd w:val="0"/>
              <w:jc w:val="center"/>
              <w:rPr>
                <w:b/>
              </w:rPr>
            </w:pPr>
            <w:r w:rsidRPr="00AF3735">
              <w:rPr>
                <w:rFonts w:eastAsia="SimSun"/>
              </w:rPr>
              <w:t>73</w:t>
            </w:r>
            <w:r>
              <w:rPr>
                <w:rFonts w:eastAsia="SimSun"/>
              </w:rPr>
              <w:t>,</w:t>
            </w:r>
            <w:r w:rsidRPr="00AF3735">
              <w:rPr>
                <w:rFonts w:eastAsia="SimSun"/>
              </w:rPr>
              <w:t>5% (67</w:t>
            </w:r>
            <w:r>
              <w:rPr>
                <w:rFonts w:eastAsia="SimSun"/>
              </w:rPr>
              <w:t>,</w:t>
            </w:r>
            <w:r w:rsidRPr="00AF3735">
              <w:rPr>
                <w:rFonts w:eastAsia="SimSun"/>
              </w:rPr>
              <w:t>7</w:t>
            </w:r>
            <w:r w:rsidR="00B63A47" w:rsidRPr="009474C0">
              <w:t> – </w:t>
            </w:r>
            <w:r w:rsidRPr="00AF3735">
              <w:rPr>
                <w:rFonts w:eastAsia="SimSun"/>
              </w:rPr>
              <w:t>78</w:t>
            </w:r>
            <w:r>
              <w:rPr>
                <w:rFonts w:eastAsia="SimSun"/>
              </w:rPr>
              <w:t>,</w:t>
            </w:r>
            <w:r w:rsidRPr="00AF3735">
              <w:rPr>
                <w:rFonts w:eastAsia="SimSun"/>
              </w:rPr>
              <w:t>7)</w:t>
            </w:r>
          </w:p>
        </w:tc>
        <w:tc>
          <w:tcPr>
            <w:tcW w:w="2010" w:type="dxa"/>
            <w:tcBorders>
              <w:top w:val="nil"/>
              <w:left w:val="nil"/>
              <w:bottom w:val="nil"/>
              <w:right w:val="nil"/>
            </w:tcBorders>
          </w:tcPr>
          <w:p w14:paraId="7614FD20" w14:textId="77777777" w:rsidR="00AF3735" w:rsidRPr="00AF3735" w:rsidRDefault="00AF3735" w:rsidP="00D90C85">
            <w:pPr>
              <w:adjustRightInd w:val="0"/>
              <w:jc w:val="center"/>
              <w:rPr>
                <w:b/>
              </w:rPr>
            </w:pPr>
            <w:r w:rsidRPr="00AF3735">
              <w:rPr>
                <w:b/>
              </w:rPr>
              <w:t>̲</w:t>
            </w:r>
          </w:p>
        </w:tc>
      </w:tr>
      <w:tr w:rsidR="00AF3735" w:rsidRPr="00AF3735" w14:paraId="52D68E43" w14:textId="77777777" w:rsidTr="0031614A">
        <w:tc>
          <w:tcPr>
            <w:tcW w:w="2178" w:type="dxa"/>
            <w:tcBorders>
              <w:top w:val="nil"/>
              <w:left w:val="nil"/>
              <w:bottom w:val="nil"/>
              <w:right w:val="nil"/>
            </w:tcBorders>
          </w:tcPr>
          <w:p w14:paraId="093D667A" w14:textId="6EEE9419" w:rsidR="00AF3735" w:rsidRPr="00AF3735" w:rsidRDefault="00AF3735" w:rsidP="00D90C85">
            <w:pPr>
              <w:adjustRightInd w:val="0"/>
              <w:rPr>
                <w:rFonts w:eastAsia="SimSun"/>
                <w:b/>
              </w:rPr>
            </w:pPr>
            <w:r>
              <w:rPr>
                <w:rFonts w:eastAsia="SimSun"/>
                <w:b/>
              </w:rPr>
              <w:t>unutar 24 mjeseca</w:t>
            </w:r>
          </w:p>
        </w:tc>
        <w:tc>
          <w:tcPr>
            <w:tcW w:w="3116" w:type="dxa"/>
            <w:tcBorders>
              <w:top w:val="nil"/>
              <w:left w:val="nil"/>
              <w:bottom w:val="nil"/>
              <w:right w:val="nil"/>
            </w:tcBorders>
          </w:tcPr>
          <w:p w14:paraId="13911C28" w14:textId="77777777" w:rsidR="00AF3735" w:rsidRPr="00AF3735" w:rsidRDefault="00AF3735" w:rsidP="00D90C85">
            <w:pPr>
              <w:adjustRightInd w:val="0"/>
              <w:jc w:val="center"/>
              <w:rPr>
                <w:rFonts w:eastAsia="SimSun"/>
              </w:rPr>
            </w:pPr>
          </w:p>
        </w:tc>
        <w:tc>
          <w:tcPr>
            <w:tcW w:w="2219" w:type="dxa"/>
            <w:tcBorders>
              <w:top w:val="nil"/>
              <w:left w:val="nil"/>
              <w:bottom w:val="nil"/>
              <w:right w:val="nil"/>
            </w:tcBorders>
          </w:tcPr>
          <w:p w14:paraId="40F1E919" w14:textId="77777777" w:rsidR="00AF3735" w:rsidRPr="00AF3735" w:rsidRDefault="00AF3735" w:rsidP="00D90C85">
            <w:pPr>
              <w:adjustRightInd w:val="0"/>
              <w:jc w:val="center"/>
              <w:rPr>
                <w:rFonts w:eastAsia="SimSun"/>
              </w:rPr>
            </w:pPr>
          </w:p>
        </w:tc>
        <w:tc>
          <w:tcPr>
            <w:tcW w:w="2010" w:type="dxa"/>
            <w:tcBorders>
              <w:top w:val="nil"/>
              <w:left w:val="nil"/>
              <w:bottom w:val="nil"/>
              <w:right w:val="nil"/>
            </w:tcBorders>
          </w:tcPr>
          <w:p w14:paraId="1B883143" w14:textId="77777777" w:rsidR="00AF3735" w:rsidRPr="00AF3735" w:rsidRDefault="00AF3735" w:rsidP="00D90C85">
            <w:pPr>
              <w:adjustRightInd w:val="0"/>
              <w:jc w:val="center"/>
              <w:rPr>
                <w:b/>
              </w:rPr>
            </w:pPr>
          </w:p>
        </w:tc>
      </w:tr>
      <w:tr w:rsidR="00AF3735" w:rsidRPr="00AF3735" w14:paraId="0959FA31" w14:textId="77777777" w:rsidTr="0031614A">
        <w:tc>
          <w:tcPr>
            <w:tcW w:w="2178" w:type="dxa"/>
            <w:tcBorders>
              <w:top w:val="nil"/>
              <w:left w:val="nil"/>
              <w:bottom w:val="nil"/>
              <w:right w:val="nil"/>
            </w:tcBorders>
          </w:tcPr>
          <w:p w14:paraId="0C1C7FA7" w14:textId="77777777" w:rsidR="00AF3735" w:rsidRPr="00AF3735" w:rsidRDefault="00AF3735" w:rsidP="00D90C85">
            <w:pPr>
              <w:adjustRightInd w:val="0"/>
              <w:jc w:val="center"/>
              <w:rPr>
                <w:b/>
                <w:vertAlign w:val="superscript"/>
              </w:rPr>
            </w:pPr>
            <w:r w:rsidRPr="00AF3735">
              <w:rPr>
                <w:rFonts w:eastAsia="SimSun"/>
              </w:rPr>
              <w:t>cCCyR</w:t>
            </w:r>
            <w:r w:rsidRPr="00AF3735">
              <w:rPr>
                <w:rFonts w:eastAsia="SimSun"/>
                <w:vertAlign w:val="superscript"/>
              </w:rPr>
              <w:t>a</w:t>
            </w:r>
          </w:p>
        </w:tc>
        <w:tc>
          <w:tcPr>
            <w:tcW w:w="3116" w:type="dxa"/>
            <w:tcBorders>
              <w:top w:val="nil"/>
              <w:left w:val="nil"/>
              <w:bottom w:val="nil"/>
              <w:right w:val="nil"/>
            </w:tcBorders>
          </w:tcPr>
          <w:p w14:paraId="3C59DEF1" w14:textId="7F8D6353" w:rsidR="00AF3735" w:rsidRPr="00AF3735" w:rsidRDefault="00AF3735" w:rsidP="00D90C85">
            <w:pPr>
              <w:adjustRightInd w:val="0"/>
              <w:jc w:val="center"/>
              <w:rPr>
                <w:rFonts w:eastAsia="SimSun"/>
              </w:rPr>
            </w:pPr>
            <w:r w:rsidRPr="00AF3735">
              <w:rPr>
                <w:rFonts w:eastAsia="SimSun"/>
              </w:rPr>
              <w:t>80</w:t>
            </w:r>
            <w:r>
              <w:rPr>
                <w:rFonts w:eastAsia="SimSun"/>
              </w:rPr>
              <w:t>,</w:t>
            </w:r>
            <w:r w:rsidRPr="00AF3735">
              <w:rPr>
                <w:rFonts w:eastAsia="SimSun"/>
              </w:rPr>
              <w:t>3%</w:t>
            </w:r>
          </w:p>
        </w:tc>
        <w:tc>
          <w:tcPr>
            <w:tcW w:w="2219" w:type="dxa"/>
            <w:tcBorders>
              <w:top w:val="nil"/>
              <w:left w:val="nil"/>
              <w:bottom w:val="nil"/>
              <w:right w:val="nil"/>
            </w:tcBorders>
          </w:tcPr>
          <w:p w14:paraId="5ECAA302" w14:textId="213F86B8" w:rsidR="00AF3735" w:rsidRPr="00AF3735" w:rsidRDefault="00AF3735" w:rsidP="00D90C85">
            <w:pPr>
              <w:adjustRightInd w:val="0"/>
              <w:jc w:val="center"/>
              <w:rPr>
                <w:rFonts w:eastAsia="SimSun"/>
              </w:rPr>
            </w:pPr>
            <w:r w:rsidRPr="00AF3735">
              <w:rPr>
                <w:rFonts w:eastAsia="SimSun"/>
              </w:rPr>
              <w:t>74</w:t>
            </w:r>
            <w:r>
              <w:rPr>
                <w:rFonts w:eastAsia="SimSun"/>
              </w:rPr>
              <w:t>,</w:t>
            </w:r>
            <w:r w:rsidRPr="00AF3735">
              <w:rPr>
                <w:rFonts w:eastAsia="SimSun"/>
              </w:rPr>
              <w:t>2%</w:t>
            </w:r>
          </w:p>
        </w:tc>
        <w:tc>
          <w:tcPr>
            <w:tcW w:w="2010" w:type="dxa"/>
            <w:tcBorders>
              <w:top w:val="nil"/>
              <w:left w:val="nil"/>
              <w:bottom w:val="nil"/>
              <w:right w:val="nil"/>
            </w:tcBorders>
          </w:tcPr>
          <w:p w14:paraId="1EDC6D4E" w14:textId="77777777" w:rsidR="00AF3735" w:rsidRPr="00AF3735" w:rsidRDefault="00AF3735" w:rsidP="00D90C85">
            <w:pPr>
              <w:adjustRightInd w:val="0"/>
              <w:jc w:val="center"/>
              <w:rPr>
                <w:b/>
              </w:rPr>
            </w:pPr>
            <w:r w:rsidRPr="00AF3735">
              <w:rPr>
                <w:b/>
              </w:rPr>
              <w:t>̲</w:t>
            </w:r>
          </w:p>
        </w:tc>
      </w:tr>
      <w:tr w:rsidR="00AF3735" w:rsidRPr="00AF3735" w14:paraId="5AB89BD7" w14:textId="77777777" w:rsidTr="0031614A">
        <w:tc>
          <w:tcPr>
            <w:tcW w:w="2178" w:type="dxa"/>
            <w:tcBorders>
              <w:top w:val="nil"/>
              <w:left w:val="nil"/>
              <w:bottom w:val="nil"/>
              <w:right w:val="nil"/>
            </w:tcBorders>
          </w:tcPr>
          <w:p w14:paraId="5BDFEDC2" w14:textId="77777777" w:rsidR="00AF3735" w:rsidRPr="00AF3735" w:rsidRDefault="00AF3735" w:rsidP="00D90C85">
            <w:pPr>
              <w:adjustRightInd w:val="0"/>
              <w:jc w:val="center"/>
              <w:rPr>
                <w:b/>
                <w:vertAlign w:val="superscript"/>
              </w:rPr>
            </w:pPr>
            <w:r w:rsidRPr="00AF3735">
              <w:rPr>
                <w:rFonts w:eastAsia="SimSun"/>
              </w:rPr>
              <w:t>CCyR</w:t>
            </w:r>
            <w:r w:rsidRPr="00AF3735">
              <w:rPr>
                <w:rFonts w:eastAsia="SimSun"/>
                <w:vertAlign w:val="superscript"/>
              </w:rPr>
              <w:t>b</w:t>
            </w:r>
          </w:p>
        </w:tc>
        <w:tc>
          <w:tcPr>
            <w:tcW w:w="3116" w:type="dxa"/>
            <w:tcBorders>
              <w:top w:val="nil"/>
              <w:left w:val="nil"/>
              <w:bottom w:val="nil"/>
              <w:right w:val="nil"/>
            </w:tcBorders>
          </w:tcPr>
          <w:p w14:paraId="38B12204" w14:textId="6FD56979" w:rsidR="00AF3735" w:rsidRPr="00AF3735" w:rsidRDefault="00AF3735" w:rsidP="00D90C85">
            <w:pPr>
              <w:adjustRightInd w:val="0"/>
              <w:jc w:val="center"/>
              <w:rPr>
                <w:rFonts w:eastAsia="SimSun"/>
              </w:rPr>
            </w:pPr>
            <w:r w:rsidRPr="00AF3735">
              <w:rPr>
                <w:rFonts w:eastAsia="SimSun"/>
              </w:rPr>
              <w:t>87</w:t>
            </w:r>
            <w:r>
              <w:rPr>
                <w:rFonts w:eastAsia="SimSun"/>
              </w:rPr>
              <w:t>,</w:t>
            </w:r>
            <w:r w:rsidRPr="00AF3735">
              <w:rPr>
                <w:rFonts w:eastAsia="SimSun"/>
              </w:rPr>
              <w:t>3%</w:t>
            </w:r>
          </w:p>
        </w:tc>
        <w:tc>
          <w:tcPr>
            <w:tcW w:w="2219" w:type="dxa"/>
            <w:tcBorders>
              <w:top w:val="nil"/>
              <w:left w:val="nil"/>
              <w:bottom w:val="nil"/>
              <w:right w:val="nil"/>
            </w:tcBorders>
          </w:tcPr>
          <w:p w14:paraId="7E72B490" w14:textId="46F053BF" w:rsidR="00AF3735" w:rsidRPr="00AF3735" w:rsidRDefault="00AF3735" w:rsidP="00D90C85">
            <w:pPr>
              <w:adjustRightInd w:val="0"/>
              <w:jc w:val="center"/>
              <w:rPr>
                <w:rFonts w:eastAsia="SimSun"/>
              </w:rPr>
            </w:pPr>
            <w:r w:rsidRPr="00AF3735">
              <w:rPr>
                <w:rFonts w:eastAsia="SimSun"/>
              </w:rPr>
              <w:t>82</w:t>
            </w:r>
            <w:r>
              <w:rPr>
                <w:rFonts w:eastAsia="SimSun"/>
              </w:rPr>
              <w:t>,</w:t>
            </w:r>
            <w:r w:rsidRPr="00AF3735">
              <w:rPr>
                <w:rFonts w:eastAsia="SimSun"/>
              </w:rPr>
              <w:t>3%</w:t>
            </w:r>
          </w:p>
        </w:tc>
        <w:tc>
          <w:tcPr>
            <w:tcW w:w="2010" w:type="dxa"/>
            <w:tcBorders>
              <w:top w:val="nil"/>
              <w:left w:val="nil"/>
              <w:bottom w:val="nil"/>
              <w:right w:val="nil"/>
            </w:tcBorders>
          </w:tcPr>
          <w:p w14:paraId="1185F299" w14:textId="77777777" w:rsidR="00AF3735" w:rsidRPr="00AF3735" w:rsidRDefault="00AF3735" w:rsidP="00D90C85">
            <w:pPr>
              <w:adjustRightInd w:val="0"/>
              <w:jc w:val="center"/>
              <w:rPr>
                <w:b/>
              </w:rPr>
            </w:pPr>
            <w:r w:rsidRPr="00AF3735">
              <w:rPr>
                <w:b/>
              </w:rPr>
              <w:t>̲</w:t>
            </w:r>
          </w:p>
        </w:tc>
      </w:tr>
      <w:tr w:rsidR="00AF3735" w:rsidRPr="00AF3735" w14:paraId="7B46AAD2" w14:textId="77777777" w:rsidTr="0031614A">
        <w:tc>
          <w:tcPr>
            <w:tcW w:w="2178" w:type="dxa"/>
            <w:tcBorders>
              <w:top w:val="nil"/>
              <w:left w:val="nil"/>
              <w:bottom w:val="nil"/>
              <w:right w:val="nil"/>
            </w:tcBorders>
          </w:tcPr>
          <w:p w14:paraId="773F7326" w14:textId="53252EB0" w:rsidR="00AF3735" w:rsidRPr="00AF3735" w:rsidRDefault="00AF3735" w:rsidP="00D90C85">
            <w:pPr>
              <w:adjustRightInd w:val="0"/>
              <w:rPr>
                <w:rFonts w:eastAsia="SimSun"/>
              </w:rPr>
            </w:pPr>
            <w:r>
              <w:rPr>
                <w:rFonts w:eastAsia="TimesNewRoman,Bold"/>
                <w:b/>
                <w:bCs/>
              </w:rPr>
              <w:t>unutar 36 mjeseci</w:t>
            </w:r>
          </w:p>
        </w:tc>
        <w:tc>
          <w:tcPr>
            <w:tcW w:w="3116" w:type="dxa"/>
            <w:tcBorders>
              <w:top w:val="nil"/>
              <w:left w:val="nil"/>
              <w:bottom w:val="nil"/>
              <w:right w:val="nil"/>
            </w:tcBorders>
          </w:tcPr>
          <w:p w14:paraId="58317629" w14:textId="77777777" w:rsidR="00AF3735" w:rsidRPr="00AF3735" w:rsidRDefault="00AF3735" w:rsidP="00D90C85">
            <w:pPr>
              <w:adjustRightInd w:val="0"/>
              <w:jc w:val="center"/>
              <w:rPr>
                <w:rFonts w:eastAsia="SimSun"/>
              </w:rPr>
            </w:pPr>
          </w:p>
        </w:tc>
        <w:tc>
          <w:tcPr>
            <w:tcW w:w="2219" w:type="dxa"/>
            <w:tcBorders>
              <w:top w:val="nil"/>
              <w:left w:val="nil"/>
              <w:bottom w:val="nil"/>
              <w:right w:val="nil"/>
            </w:tcBorders>
          </w:tcPr>
          <w:p w14:paraId="7C8ED862" w14:textId="77777777" w:rsidR="00AF3735" w:rsidRPr="00AF3735" w:rsidRDefault="00AF3735" w:rsidP="00D90C85">
            <w:pPr>
              <w:adjustRightInd w:val="0"/>
              <w:jc w:val="center"/>
              <w:rPr>
                <w:rFonts w:eastAsia="SimSun"/>
              </w:rPr>
            </w:pPr>
          </w:p>
        </w:tc>
        <w:tc>
          <w:tcPr>
            <w:tcW w:w="2010" w:type="dxa"/>
            <w:tcBorders>
              <w:top w:val="nil"/>
              <w:left w:val="nil"/>
              <w:bottom w:val="nil"/>
              <w:right w:val="nil"/>
            </w:tcBorders>
          </w:tcPr>
          <w:p w14:paraId="0F103179" w14:textId="77777777" w:rsidR="00AF3735" w:rsidRPr="00AF3735" w:rsidRDefault="00AF3735" w:rsidP="00D90C85">
            <w:pPr>
              <w:adjustRightInd w:val="0"/>
              <w:jc w:val="center"/>
              <w:rPr>
                <w:b/>
              </w:rPr>
            </w:pPr>
          </w:p>
        </w:tc>
      </w:tr>
      <w:tr w:rsidR="00AF3735" w:rsidRPr="00AF3735" w14:paraId="26D1BFC5" w14:textId="77777777" w:rsidTr="0031614A">
        <w:tc>
          <w:tcPr>
            <w:tcW w:w="2178" w:type="dxa"/>
            <w:tcBorders>
              <w:top w:val="nil"/>
              <w:left w:val="nil"/>
              <w:bottom w:val="nil"/>
              <w:right w:val="nil"/>
            </w:tcBorders>
          </w:tcPr>
          <w:p w14:paraId="61143F83" w14:textId="77777777" w:rsidR="00AF3735" w:rsidRPr="00AF3735" w:rsidRDefault="00AF3735" w:rsidP="00D90C85">
            <w:pPr>
              <w:adjustRightInd w:val="0"/>
              <w:jc w:val="center"/>
              <w:rPr>
                <w:b/>
                <w:vertAlign w:val="superscript"/>
              </w:rPr>
            </w:pPr>
            <w:r w:rsidRPr="00AF3735">
              <w:rPr>
                <w:rFonts w:eastAsia="SimSun"/>
              </w:rPr>
              <w:t>cCCyR</w:t>
            </w:r>
            <w:r w:rsidRPr="00AF3735">
              <w:rPr>
                <w:rFonts w:eastAsia="SimSun"/>
                <w:vertAlign w:val="superscript"/>
              </w:rPr>
              <w:t>a</w:t>
            </w:r>
          </w:p>
        </w:tc>
        <w:tc>
          <w:tcPr>
            <w:tcW w:w="3116" w:type="dxa"/>
            <w:tcBorders>
              <w:top w:val="nil"/>
              <w:left w:val="nil"/>
              <w:bottom w:val="nil"/>
              <w:right w:val="nil"/>
            </w:tcBorders>
          </w:tcPr>
          <w:p w14:paraId="60D55CEE" w14:textId="2F4834E8" w:rsidR="00AF3735" w:rsidRPr="00AF3735" w:rsidRDefault="00AF3735" w:rsidP="00D90C85">
            <w:pPr>
              <w:adjustRightInd w:val="0"/>
              <w:jc w:val="center"/>
              <w:rPr>
                <w:rFonts w:eastAsia="SimSun"/>
              </w:rPr>
            </w:pPr>
            <w:r w:rsidRPr="00AF3735">
              <w:rPr>
                <w:rFonts w:eastAsia="SimSun"/>
              </w:rPr>
              <w:t>82</w:t>
            </w:r>
            <w:r>
              <w:rPr>
                <w:rFonts w:eastAsia="SimSun"/>
              </w:rPr>
              <w:t>,</w:t>
            </w:r>
            <w:r w:rsidRPr="00AF3735">
              <w:rPr>
                <w:rFonts w:eastAsia="SimSun"/>
              </w:rPr>
              <w:t>6%</w:t>
            </w:r>
          </w:p>
        </w:tc>
        <w:tc>
          <w:tcPr>
            <w:tcW w:w="2219" w:type="dxa"/>
            <w:tcBorders>
              <w:top w:val="nil"/>
              <w:left w:val="nil"/>
              <w:bottom w:val="nil"/>
              <w:right w:val="nil"/>
            </w:tcBorders>
          </w:tcPr>
          <w:p w14:paraId="745AF637" w14:textId="43FE326E" w:rsidR="00AF3735" w:rsidRPr="00AF3735" w:rsidRDefault="00AF3735" w:rsidP="00D90C85">
            <w:pPr>
              <w:adjustRightInd w:val="0"/>
              <w:jc w:val="center"/>
              <w:rPr>
                <w:rFonts w:eastAsia="SimSun"/>
              </w:rPr>
            </w:pPr>
            <w:r w:rsidRPr="00AF3735">
              <w:rPr>
                <w:rFonts w:eastAsia="SimSun"/>
              </w:rPr>
              <w:t>77</w:t>
            </w:r>
            <w:r>
              <w:rPr>
                <w:rFonts w:eastAsia="SimSun"/>
              </w:rPr>
              <w:t>,</w:t>
            </w:r>
            <w:r w:rsidRPr="00AF3735">
              <w:rPr>
                <w:rFonts w:eastAsia="SimSun"/>
              </w:rPr>
              <w:t>3%</w:t>
            </w:r>
          </w:p>
        </w:tc>
        <w:tc>
          <w:tcPr>
            <w:tcW w:w="2010" w:type="dxa"/>
            <w:tcBorders>
              <w:top w:val="nil"/>
              <w:left w:val="nil"/>
              <w:bottom w:val="nil"/>
              <w:right w:val="nil"/>
            </w:tcBorders>
          </w:tcPr>
          <w:p w14:paraId="60A4A16D" w14:textId="77777777" w:rsidR="00AF3735" w:rsidRPr="00AF3735" w:rsidRDefault="00AF3735" w:rsidP="00D90C85">
            <w:pPr>
              <w:adjustRightInd w:val="0"/>
              <w:jc w:val="center"/>
              <w:rPr>
                <w:b/>
              </w:rPr>
            </w:pPr>
          </w:p>
        </w:tc>
      </w:tr>
      <w:tr w:rsidR="00AF3735" w:rsidRPr="00AF3735" w14:paraId="634A468D" w14:textId="77777777" w:rsidTr="0031614A">
        <w:tc>
          <w:tcPr>
            <w:tcW w:w="2178" w:type="dxa"/>
            <w:tcBorders>
              <w:top w:val="nil"/>
              <w:left w:val="nil"/>
              <w:bottom w:val="nil"/>
              <w:right w:val="nil"/>
            </w:tcBorders>
          </w:tcPr>
          <w:p w14:paraId="57B6B4FE" w14:textId="77777777" w:rsidR="00AF3735" w:rsidRPr="00AF3735" w:rsidRDefault="00AF3735" w:rsidP="00D90C85">
            <w:pPr>
              <w:adjustRightInd w:val="0"/>
              <w:jc w:val="center"/>
              <w:rPr>
                <w:b/>
                <w:vertAlign w:val="superscript"/>
              </w:rPr>
            </w:pPr>
            <w:r w:rsidRPr="00AF3735">
              <w:rPr>
                <w:rFonts w:eastAsia="SimSun"/>
              </w:rPr>
              <w:t>CCyR</w:t>
            </w:r>
            <w:r w:rsidRPr="00AF3735">
              <w:rPr>
                <w:rFonts w:eastAsia="SimSun"/>
                <w:vertAlign w:val="superscript"/>
              </w:rPr>
              <w:t>b</w:t>
            </w:r>
          </w:p>
        </w:tc>
        <w:tc>
          <w:tcPr>
            <w:tcW w:w="3116" w:type="dxa"/>
            <w:tcBorders>
              <w:top w:val="nil"/>
              <w:left w:val="nil"/>
              <w:bottom w:val="nil"/>
              <w:right w:val="nil"/>
            </w:tcBorders>
          </w:tcPr>
          <w:p w14:paraId="174A589B" w14:textId="29D9E814" w:rsidR="00AF3735" w:rsidRPr="00AF3735" w:rsidRDefault="00AF3735" w:rsidP="00D90C85">
            <w:pPr>
              <w:adjustRightInd w:val="0"/>
              <w:jc w:val="center"/>
              <w:rPr>
                <w:rFonts w:eastAsia="SimSun"/>
              </w:rPr>
            </w:pPr>
            <w:r w:rsidRPr="00AF3735">
              <w:rPr>
                <w:rFonts w:eastAsia="SimSun"/>
              </w:rPr>
              <w:t>88</w:t>
            </w:r>
            <w:r>
              <w:rPr>
                <w:rFonts w:eastAsia="SimSun"/>
              </w:rPr>
              <w:t>,</w:t>
            </w:r>
            <w:r w:rsidRPr="00AF3735">
              <w:rPr>
                <w:rFonts w:eastAsia="SimSun"/>
              </w:rPr>
              <w:t>0%</w:t>
            </w:r>
          </w:p>
        </w:tc>
        <w:tc>
          <w:tcPr>
            <w:tcW w:w="2219" w:type="dxa"/>
            <w:tcBorders>
              <w:top w:val="nil"/>
              <w:left w:val="nil"/>
              <w:bottom w:val="nil"/>
              <w:right w:val="nil"/>
            </w:tcBorders>
          </w:tcPr>
          <w:p w14:paraId="1A35EE1B" w14:textId="1A48E9F2" w:rsidR="00AF3735" w:rsidRPr="00AF3735" w:rsidRDefault="00AF3735" w:rsidP="00D90C85">
            <w:pPr>
              <w:adjustRightInd w:val="0"/>
              <w:jc w:val="center"/>
              <w:rPr>
                <w:rFonts w:eastAsia="SimSun"/>
              </w:rPr>
            </w:pPr>
            <w:r w:rsidRPr="00AF3735">
              <w:rPr>
                <w:rFonts w:eastAsia="SimSun"/>
              </w:rPr>
              <w:t>83</w:t>
            </w:r>
            <w:r>
              <w:rPr>
                <w:rFonts w:eastAsia="SimSun"/>
              </w:rPr>
              <w:t>,</w:t>
            </w:r>
            <w:r w:rsidRPr="00AF3735">
              <w:rPr>
                <w:rFonts w:eastAsia="SimSun"/>
              </w:rPr>
              <w:t>5%</w:t>
            </w:r>
          </w:p>
        </w:tc>
        <w:tc>
          <w:tcPr>
            <w:tcW w:w="2010" w:type="dxa"/>
            <w:tcBorders>
              <w:top w:val="nil"/>
              <w:left w:val="nil"/>
              <w:bottom w:val="nil"/>
              <w:right w:val="nil"/>
            </w:tcBorders>
          </w:tcPr>
          <w:p w14:paraId="21FC3357" w14:textId="77777777" w:rsidR="00AF3735" w:rsidRPr="00AF3735" w:rsidRDefault="00AF3735" w:rsidP="00D90C85">
            <w:pPr>
              <w:adjustRightInd w:val="0"/>
              <w:jc w:val="center"/>
              <w:rPr>
                <w:b/>
              </w:rPr>
            </w:pPr>
          </w:p>
        </w:tc>
      </w:tr>
      <w:tr w:rsidR="00AF3735" w:rsidRPr="00AF3735" w14:paraId="4391085C" w14:textId="77777777" w:rsidTr="0031614A">
        <w:tc>
          <w:tcPr>
            <w:tcW w:w="2178" w:type="dxa"/>
            <w:tcBorders>
              <w:top w:val="nil"/>
              <w:left w:val="nil"/>
              <w:bottom w:val="nil"/>
              <w:right w:val="nil"/>
            </w:tcBorders>
          </w:tcPr>
          <w:p w14:paraId="33818709" w14:textId="4EE563AA" w:rsidR="00AF3735" w:rsidRPr="00612D2B" w:rsidRDefault="00AF3735" w:rsidP="00D90C85">
            <w:pPr>
              <w:adjustRightInd w:val="0"/>
              <w:rPr>
                <w:rFonts w:eastAsia="SimSun"/>
                <w:b/>
                <w:bCs/>
              </w:rPr>
            </w:pPr>
            <w:r w:rsidRPr="00612D2B">
              <w:rPr>
                <w:rFonts w:eastAsia="SimSun"/>
                <w:b/>
                <w:bCs/>
              </w:rPr>
              <w:t>unutar 48 mjeseci</w:t>
            </w:r>
          </w:p>
        </w:tc>
        <w:tc>
          <w:tcPr>
            <w:tcW w:w="3116" w:type="dxa"/>
            <w:tcBorders>
              <w:top w:val="nil"/>
              <w:left w:val="nil"/>
              <w:bottom w:val="nil"/>
              <w:right w:val="nil"/>
            </w:tcBorders>
          </w:tcPr>
          <w:p w14:paraId="0B2628C2" w14:textId="77777777" w:rsidR="00AF3735" w:rsidRPr="00AF3735" w:rsidRDefault="00AF3735" w:rsidP="00D90C85">
            <w:pPr>
              <w:adjustRightInd w:val="0"/>
              <w:jc w:val="center"/>
              <w:rPr>
                <w:rFonts w:eastAsia="SimSun"/>
              </w:rPr>
            </w:pPr>
          </w:p>
        </w:tc>
        <w:tc>
          <w:tcPr>
            <w:tcW w:w="2219" w:type="dxa"/>
            <w:tcBorders>
              <w:top w:val="nil"/>
              <w:left w:val="nil"/>
              <w:bottom w:val="nil"/>
              <w:right w:val="nil"/>
            </w:tcBorders>
          </w:tcPr>
          <w:p w14:paraId="51F64EB3" w14:textId="77777777" w:rsidR="00AF3735" w:rsidRPr="00AF3735" w:rsidRDefault="00AF3735" w:rsidP="00D90C85">
            <w:pPr>
              <w:adjustRightInd w:val="0"/>
              <w:jc w:val="center"/>
              <w:rPr>
                <w:rFonts w:eastAsia="SimSun"/>
              </w:rPr>
            </w:pPr>
          </w:p>
        </w:tc>
        <w:tc>
          <w:tcPr>
            <w:tcW w:w="2010" w:type="dxa"/>
            <w:tcBorders>
              <w:top w:val="nil"/>
              <w:left w:val="nil"/>
              <w:bottom w:val="nil"/>
              <w:right w:val="nil"/>
            </w:tcBorders>
          </w:tcPr>
          <w:p w14:paraId="71361A04" w14:textId="77777777" w:rsidR="00AF3735" w:rsidRPr="00AF3735" w:rsidRDefault="00AF3735" w:rsidP="00D90C85">
            <w:pPr>
              <w:adjustRightInd w:val="0"/>
              <w:jc w:val="center"/>
              <w:rPr>
                <w:b/>
              </w:rPr>
            </w:pPr>
          </w:p>
        </w:tc>
      </w:tr>
      <w:tr w:rsidR="00AF3735" w:rsidRPr="00AF3735" w14:paraId="187356E5" w14:textId="77777777" w:rsidTr="0031614A">
        <w:tc>
          <w:tcPr>
            <w:tcW w:w="2178" w:type="dxa"/>
            <w:tcBorders>
              <w:top w:val="nil"/>
              <w:left w:val="nil"/>
              <w:bottom w:val="nil"/>
              <w:right w:val="nil"/>
            </w:tcBorders>
          </w:tcPr>
          <w:p w14:paraId="2DFA8378" w14:textId="77777777" w:rsidR="00AF3735" w:rsidRPr="00AF3735" w:rsidRDefault="00AF3735" w:rsidP="00D90C85">
            <w:pPr>
              <w:adjustRightInd w:val="0"/>
              <w:jc w:val="center"/>
              <w:rPr>
                <w:b/>
                <w:vertAlign w:val="superscript"/>
              </w:rPr>
            </w:pPr>
            <w:r w:rsidRPr="00AF3735">
              <w:rPr>
                <w:rFonts w:eastAsia="SimSun"/>
              </w:rPr>
              <w:t>cCCyR</w:t>
            </w:r>
            <w:r w:rsidRPr="00AF3735">
              <w:rPr>
                <w:rFonts w:eastAsia="SimSun"/>
                <w:vertAlign w:val="superscript"/>
              </w:rPr>
              <w:t>a</w:t>
            </w:r>
          </w:p>
        </w:tc>
        <w:tc>
          <w:tcPr>
            <w:tcW w:w="3116" w:type="dxa"/>
            <w:tcBorders>
              <w:top w:val="nil"/>
              <w:left w:val="nil"/>
              <w:bottom w:val="nil"/>
              <w:right w:val="nil"/>
            </w:tcBorders>
          </w:tcPr>
          <w:p w14:paraId="7E926875" w14:textId="1131FEB7" w:rsidR="00AF3735" w:rsidRPr="00AF3735" w:rsidRDefault="00AF3735" w:rsidP="00D90C85">
            <w:pPr>
              <w:adjustRightInd w:val="0"/>
              <w:jc w:val="center"/>
              <w:rPr>
                <w:rFonts w:eastAsia="SimSun"/>
              </w:rPr>
            </w:pPr>
            <w:r w:rsidRPr="00AF3735">
              <w:rPr>
                <w:rFonts w:eastAsia="SimSun"/>
              </w:rPr>
              <w:t>82</w:t>
            </w:r>
            <w:r>
              <w:rPr>
                <w:rFonts w:eastAsia="SimSun"/>
              </w:rPr>
              <w:t>,</w:t>
            </w:r>
            <w:r w:rsidRPr="00AF3735">
              <w:rPr>
                <w:rFonts w:eastAsia="SimSun"/>
              </w:rPr>
              <w:t>6%</w:t>
            </w:r>
          </w:p>
        </w:tc>
        <w:tc>
          <w:tcPr>
            <w:tcW w:w="2219" w:type="dxa"/>
            <w:tcBorders>
              <w:top w:val="nil"/>
              <w:left w:val="nil"/>
              <w:bottom w:val="nil"/>
              <w:right w:val="nil"/>
            </w:tcBorders>
          </w:tcPr>
          <w:p w14:paraId="51BE56D9" w14:textId="5A026435" w:rsidR="00AF3735" w:rsidRPr="00AF3735" w:rsidRDefault="00AF3735" w:rsidP="00D90C85">
            <w:pPr>
              <w:adjustRightInd w:val="0"/>
              <w:jc w:val="center"/>
              <w:rPr>
                <w:rFonts w:eastAsia="SimSun"/>
              </w:rPr>
            </w:pPr>
            <w:r w:rsidRPr="00AF3735">
              <w:rPr>
                <w:rFonts w:eastAsia="SimSun"/>
              </w:rPr>
              <w:t>78</w:t>
            </w:r>
            <w:r>
              <w:rPr>
                <w:rFonts w:eastAsia="SimSun"/>
              </w:rPr>
              <w:t>,</w:t>
            </w:r>
            <w:r w:rsidRPr="00AF3735">
              <w:rPr>
                <w:rFonts w:eastAsia="SimSun"/>
              </w:rPr>
              <w:t>5%</w:t>
            </w:r>
          </w:p>
        </w:tc>
        <w:tc>
          <w:tcPr>
            <w:tcW w:w="2010" w:type="dxa"/>
            <w:tcBorders>
              <w:top w:val="nil"/>
              <w:left w:val="nil"/>
              <w:bottom w:val="nil"/>
              <w:right w:val="nil"/>
            </w:tcBorders>
          </w:tcPr>
          <w:p w14:paraId="0E16B6E6" w14:textId="77777777" w:rsidR="00AF3735" w:rsidRPr="00AF3735" w:rsidRDefault="00AF3735" w:rsidP="00D90C85">
            <w:pPr>
              <w:adjustRightInd w:val="0"/>
              <w:jc w:val="center"/>
              <w:rPr>
                <w:b/>
              </w:rPr>
            </w:pPr>
            <w:r w:rsidRPr="00AF3735">
              <w:rPr>
                <w:b/>
              </w:rPr>
              <w:t>̲</w:t>
            </w:r>
          </w:p>
        </w:tc>
      </w:tr>
      <w:tr w:rsidR="00AF3735" w:rsidRPr="00AF3735" w14:paraId="2711AAFA" w14:textId="77777777" w:rsidTr="0031614A">
        <w:tc>
          <w:tcPr>
            <w:tcW w:w="2178" w:type="dxa"/>
            <w:tcBorders>
              <w:top w:val="nil"/>
              <w:left w:val="nil"/>
              <w:bottom w:val="nil"/>
              <w:right w:val="nil"/>
            </w:tcBorders>
          </w:tcPr>
          <w:p w14:paraId="1BD951A8" w14:textId="77777777" w:rsidR="00AF3735" w:rsidRPr="00AF3735" w:rsidRDefault="00AF3735" w:rsidP="00D90C85">
            <w:pPr>
              <w:adjustRightInd w:val="0"/>
              <w:jc w:val="center"/>
              <w:rPr>
                <w:b/>
                <w:vertAlign w:val="superscript"/>
              </w:rPr>
            </w:pPr>
            <w:r w:rsidRPr="00AF3735">
              <w:rPr>
                <w:rFonts w:eastAsia="SimSun"/>
              </w:rPr>
              <w:t>CCyR</w:t>
            </w:r>
            <w:r w:rsidRPr="00AF3735">
              <w:rPr>
                <w:rFonts w:eastAsia="SimSun"/>
                <w:vertAlign w:val="superscript"/>
              </w:rPr>
              <w:t>b</w:t>
            </w:r>
          </w:p>
        </w:tc>
        <w:tc>
          <w:tcPr>
            <w:tcW w:w="3116" w:type="dxa"/>
            <w:tcBorders>
              <w:top w:val="nil"/>
              <w:left w:val="nil"/>
              <w:bottom w:val="nil"/>
              <w:right w:val="nil"/>
            </w:tcBorders>
          </w:tcPr>
          <w:p w14:paraId="7B1E51ED" w14:textId="145AA30C" w:rsidR="00AF3735" w:rsidRPr="00AF3735" w:rsidRDefault="00AF3735" w:rsidP="00D90C85">
            <w:pPr>
              <w:adjustRightInd w:val="0"/>
              <w:jc w:val="center"/>
              <w:rPr>
                <w:rFonts w:eastAsia="SimSun"/>
              </w:rPr>
            </w:pPr>
            <w:r w:rsidRPr="00AF3735">
              <w:rPr>
                <w:rFonts w:eastAsia="SimSun"/>
              </w:rPr>
              <w:t>87</w:t>
            </w:r>
            <w:r>
              <w:rPr>
                <w:rFonts w:eastAsia="SimSun"/>
              </w:rPr>
              <w:t>,</w:t>
            </w:r>
            <w:r w:rsidRPr="00AF3735">
              <w:rPr>
                <w:rFonts w:eastAsia="SimSun"/>
              </w:rPr>
              <w:t>6%</w:t>
            </w:r>
          </w:p>
        </w:tc>
        <w:tc>
          <w:tcPr>
            <w:tcW w:w="2219" w:type="dxa"/>
            <w:tcBorders>
              <w:top w:val="nil"/>
              <w:left w:val="nil"/>
              <w:bottom w:val="nil"/>
              <w:right w:val="nil"/>
            </w:tcBorders>
          </w:tcPr>
          <w:p w14:paraId="5539DE44" w14:textId="1B10A74B" w:rsidR="00AF3735" w:rsidRPr="00AF3735" w:rsidRDefault="00AF3735" w:rsidP="00D90C85">
            <w:pPr>
              <w:adjustRightInd w:val="0"/>
              <w:jc w:val="center"/>
              <w:rPr>
                <w:rFonts w:eastAsia="SimSun"/>
              </w:rPr>
            </w:pPr>
            <w:r w:rsidRPr="00AF3735">
              <w:rPr>
                <w:rFonts w:eastAsia="SimSun"/>
              </w:rPr>
              <w:t>83</w:t>
            </w:r>
            <w:r>
              <w:rPr>
                <w:rFonts w:eastAsia="SimSun"/>
              </w:rPr>
              <w:t>,</w:t>
            </w:r>
            <w:r w:rsidRPr="00AF3735">
              <w:rPr>
                <w:rFonts w:eastAsia="SimSun"/>
              </w:rPr>
              <w:t>8%</w:t>
            </w:r>
          </w:p>
        </w:tc>
        <w:tc>
          <w:tcPr>
            <w:tcW w:w="2010" w:type="dxa"/>
            <w:tcBorders>
              <w:top w:val="nil"/>
              <w:left w:val="nil"/>
              <w:bottom w:val="nil"/>
              <w:right w:val="nil"/>
            </w:tcBorders>
          </w:tcPr>
          <w:p w14:paraId="2810C992" w14:textId="77777777" w:rsidR="00AF3735" w:rsidRPr="00AF3735" w:rsidRDefault="00AF3735" w:rsidP="00D90C85">
            <w:pPr>
              <w:adjustRightInd w:val="0"/>
              <w:jc w:val="center"/>
              <w:rPr>
                <w:b/>
              </w:rPr>
            </w:pPr>
            <w:r w:rsidRPr="00AF3735">
              <w:rPr>
                <w:b/>
              </w:rPr>
              <w:t>̲</w:t>
            </w:r>
          </w:p>
        </w:tc>
      </w:tr>
      <w:tr w:rsidR="00AF3735" w:rsidRPr="00AF3735" w14:paraId="12BE9D10" w14:textId="77777777" w:rsidTr="0031614A">
        <w:tc>
          <w:tcPr>
            <w:tcW w:w="2178" w:type="dxa"/>
            <w:tcBorders>
              <w:top w:val="nil"/>
              <w:left w:val="nil"/>
              <w:bottom w:val="nil"/>
              <w:right w:val="nil"/>
            </w:tcBorders>
          </w:tcPr>
          <w:p w14:paraId="6BD8F07D" w14:textId="0CDE4152" w:rsidR="00AF3735" w:rsidRPr="00AF3735" w:rsidRDefault="00AF3735" w:rsidP="00D90C85">
            <w:pPr>
              <w:adjustRightInd w:val="0"/>
              <w:rPr>
                <w:rFonts w:eastAsia="SimSun"/>
              </w:rPr>
            </w:pPr>
            <w:r>
              <w:rPr>
                <w:rFonts w:eastAsia="TimesNewRoman,Bold"/>
                <w:b/>
                <w:bCs/>
              </w:rPr>
              <w:t>unutar 60 mjeseci</w:t>
            </w:r>
          </w:p>
        </w:tc>
        <w:tc>
          <w:tcPr>
            <w:tcW w:w="3116" w:type="dxa"/>
            <w:tcBorders>
              <w:top w:val="nil"/>
              <w:left w:val="nil"/>
              <w:bottom w:val="nil"/>
              <w:right w:val="nil"/>
            </w:tcBorders>
          </w:tcPr>
          <w:p w14:paraId="7C8EEA09" w14:textId="77777777" w:rsidR="00AF3735" w:rsidRPr="00AF3735" w:rsidRDefault="00AF3735" w:rsidP="00D90C85">
            <w:pPr>
              <w:adjustRightInd w:val="0"/>
              <w:jc w:val="center"/>
              <w:rPr>
                <w:rFonts w:eastAsia="SimSun"/>
              </w:rPr>
            </w:pPr>
          </w:p>
        </w:tc>
        <w:tc>
          <w:tcPr>
            <w:tcW w:w="2219" w:type="dxa"/>
            <w:tcBorders>
              <w:top w:val="nil"/>
              <w:left w:val="nil"/>
              <w:bottom w:val="nil"/>
              <w:right w:val="nil"/>
            </w:tcBorders>
          </w:tcPr>
          <w:p w14:paraId="11B55A93" w14:textId="77777777" w:rsidR="00AF3735" w:rsidRPr="00AF3735" w:rsidRDefault="00AF3735" w:rsidP="00D90C85">
            <w:pPr>
              <w:adjustRightInd w:val="0"/>
              <w:jc w:val="center"/>
              <w:rPr>
                <w:rFonts w:eastAsia="SimSun"/>
              </w:rPr>
            </w:pPr>
          </w:p>
        </w:tc>
        <w:tc>
          <w:tcPr>
            <w:tcW w:w="2010" w:type="dxa"/>
            <w:tcBorders>
              <w:top w:val="nil"/>
              <w:left w:val="nil"/>
              <w:bottom w:val="nil"/>
              <w:right w:val="nil"/>
            </w:tcBorders>
          </w:tcPr>
          <w:p w14:paraId="75608441" w14:textId="77777777" w:rsidR="00AF3735" w:rsidRPr="00AF3735" w:rsidRDefault="00AF3735" w:rsidP="00D90C85">
            <w:pPr>
              <w:adjustRightInd w:val="0"/>
              <w:jc w:val="center"/>
              <w:rPr>
                <w:b/>
              </w:rPr>
            </w:pPr>
          </w:p>
        </w:tc>
      </w:tr>
      <w:tr w:rsidR="00AF3735" w:rsidRPr="00AF3735" w14:paraId="66255925" w14:textId="77777777" w:rsidTr="0031614A">
        <w:tc>
          <w:tcPr>
            <w:tcW w:w="2178" w:type="dxa"/>
            <w:tcBorders>
              <w:top w:val="nil"/>
              <w:left w:val="nil"/>
              <w:bottom w:val="nil"/>
              <w:right w:val="nil"/>
            </w:tcBorders>
          </w:tcPr>
          <w:p w14:paraId="359C3492" w14:textId="77777777" w:rsidR="00AF3735" w:rsidRPr="00AF3735" w:rsidRDefault="00AF3735" w:rsidP="00D90C85">
            <w:pPr>
              <w:adjustRightInd w:val="0"/>
              <w:jc w:val="center"/>
              <w:rPr>
                <w:b/>
                <w:vertAlign w:val="superscript"/>
              </w:rPr>
            </w:pPr>
            <w:r w:rsidRPr="00AF3735">
              <w:rPr>
                <w:rFonts w:eastAsia="SimSun"/>
              </w:rPr>
              <w:t>cCCyR</w:t>
            </w:r>
            <w:r w:rsidRPr="00AF3735">
              <w:rPr>
                <w:rFonts w:eastAsia="SimSun"/>
                <w:vertAlign w:val="superscript"/>
              </w:rPr>
              <w:t>a</w:t>
            </w:r>
          </w:p>
        </w:tc>
        <w:tc>
          <w:tcPr>
            <w:tcW w:w="3116" w:type="dxa"/>
            <w:tcBorders>
              <w:top w:val="nil"/>
              <w:left w:val="nil"/>
              <w:bottom w:val="nil"/>
              <w:right w:val="nil"/>
            </w:tcBorders>
          </w:tcPr>
          <w:p w14:paraId="4499A300" w14:textId="268246BE" w:rsidR="00AF3735" w:rsidRPr="00AF3735" w:rsidRDefault="00AF3735" w:rsidP="00D90C85">
            <w:pPr>
              <w:adjustRightInd w:val="0"/>
              <w:jc w:val="center"/>
              <w:rPr>
                <w:rFonts w:eastAsia="SimSun"/>
              </w:rPr>
            </w:pPr>
            <w:r w:rsidRPr="00AF3735">
              <w:rPr>
                <w:rFonts w:eastAsia="SimSun"/>
              </w:rPr>
              <w:t>83</w:t>
            </w:r>
            <w:r>
              <w:rPr>
                <w:rFonts w:eastAsia="SimSun"/>
              </w:rPr>
              <w:t>,</w:t>
            </w:r>
            <w:r w:rsidRPr="00AF3735">
              <w:rPr>
                <w:rFonts w:eastAsia="SimSun"/>
              </w:rPr>
              <w:t>0%</w:t>
            </w:r>
          </w:p>
        </w:tc>
        <w:tc>
          <w:tcPr>
            <w:tcW w:w="2219" w:type="dxa"/>
            <w:tcBorders>
              <w:top w:val="nil"/>
              <w:left w:val="nil"/>
              <w:bottom w:val="nil"/>
              <w:right w:val="nil"/>
            </w:tcBorders>
          </w:tcPr>
          <w:p w14:paraId="550F084C" w14:textId="3A182C39" w:rsidR="00AF3735" w:rsidRPr="00AF3735" w:rsidRDefault="00AF3735" w:rsidP="00D90C85">
            <w:pPr>
              <w:adjustRightInd w:val="0"/>
              <w:jc w:val="center"/>
              <w:rPr>
                <w:rFonts w:eastAsia="SimSun"/>
              </w:rPr>
            </w:pPr>
            <w:r w:rsidRPr="00AF3735">
              <w:rPr>
                <w:rFonts w:eastAsia="SimSun"/>
              </w:rPr>
              <w:t>78</w:t>
            </w:r>
            <w:r>
              <w:rPr>
                <w:rFonts w:eastAsia="SimSun"/>
              </w:rPr>
              <w:t>,</w:t>
            </w:r>
            <w:r w:rsidRPr="00AF3735">
              <w:rPr>
                <w:rFonts w:eastAsia="SimSun"/>
              </w:rPr>
              <w:t>5%</w:t>
            </w:r>
          </w:p>
        </w:tc>
        <w:tc>
          <w:tcPr>
            <w:tcW w:w="2010" w:type="dxa"/>
            <w:tcBorders>
              <w:top w:val="nil"/>
              <w:left w:val="nil"/>
              <w:bottom w:val="nil"/>
              <w:right w:val="nil"/>
            </w:tcBorders>
          </w:tcPr>
          <w:p w14:paraId="3CBE2885" w14:textId="77777777" w:rsidR="00AF3735" w:rsidRPr="00AF3735" w:rsidRDefault="00AF3735" w:rsidP="00D90C85">
            <w:pPr>
              <w:adjustRightInd w:val="0"/>
              <w:jc w:val="center"/>
              <w:rPr>
                <w:b/>
              </w:rPr>
            </w:pPr>
            <w:r w:rsidRPr="00AF3735">
              <w:rPr>
                <w:b/>
              </w:rPr>
              <w:t>̲</w:t>
            </w:r>
          </w:p>
        </w:tc>
      </w:tr>
      <w:tr w:rsidR="00AF3735" w:rsidRPr="00AF3735" w14:paraId="67E3E6E2" w14:textId="77777777" w:rsidTr="0031614A">
        <w:tc>
          <w:tcPr>
            <w:tcW w:w="2178" w:type="dxa"/>
            <w:tcBorders>
              <w:top w:val="nil"/>
              <w:left w:val="nil"/>
              <w:bottom w:val="nil"/>
              <w:right w:val="nil"/>
            </w:tcBorders>
          </w:tcPr>
          <w:p w14:paraId="41D9D0AF" w14:textId="77777777" w:rsidR="00AF3735" w:rsidRPr="00AF3735" w:rsidRDefault="00AF3735" w:rsidP="00D90C85">
            <w:pPr>
              <w:adjustRightInd w:val="0"/>
              <w:jc w:val="center"/>
              <w:rPr>
                <w:b/>
                <w:vertAlign w:val="superscript"/>
              </w:rPr>
            </w:pPr>
            <w:r w:rsidRPr="00AF3735">
              <w:rPr>
                <w:rFonts w:eastAsia="SimSun"/>
              </w:rPr>
              <w:t>CCyR</w:t>
            </w:r>
            <w:r w:rsidRPr="00AF3735">
              <w:rPr>
                <w:rFonts w:eastAsia="SimSun"/>
                <w:vertAlign w:val="superscript"/>
              </w:rPr>
              <w:t>b</w:t>
            </w:r>
          </w:p>
        </w:tc>
        <w:tc>
          <w:tcPr>
            <w:tcW w:w="3116" w:type="dxa"/>
            <w:tcBorders>
              <w:top w:val="nil"/>
              <w:left w:val="nil"/>
              <w:bottom w:val="nil"/>
              <w:right w:val="nil"/>
            </w:tcBorders>
          </w:tcPr>
          <w:p w14:paraId="5C27A729" w14:textId="687AA96D" w:rsidR="00AF3735" w:rsidRPr="00AF3735" w:rsidRDefault="00AF3735" w:rsidP="00D90C85">
            <w:pPr>
              <w:adjustRightInd w:val="0"/>
              <w:jc w:val="center"/>
              <w:rPr>
                <w:rFonts w:eastAsia="SimSun"/>
              </w:rPr>
            </w:pPr>
            <w:r w:rsidRPr="00AF3735">
              <w:rPr>
                <w:rFonts w:eastAsia="SimSun"/>
              </w:rPr>
              <w:t>88</w:t>
            </w:r>
            <w:r>
              <w:rPr>
                <w:rFonts w:eastAsia="SimSun"/>
              </w:rPr>
              <w:t>,</w:t>
            </w:r>
            <w:r w:rsidRPr="00AF3735">
              <w:rPr>
                <w:rFonts w:eastAsia="SimSun"/>
              </w:rPr>
              <w:t>0%</w:t>
            </w:r>
          </w:p>
        </w:tc>
        <w:tc>
          <w:tcPr>
            <w:tcW w:w="2219" w:type="dxa"/>
            <w:tcBorders>
              <w:top w:val="nil"/>
              <w:left w:val="nil"/>
              <w:bottom w:val="nil"/>
              <w:right w:val="nil"/>
            </w:tcBorders>
          </w:tcPr>
          <w:p w14:paraId="7844A4B6" w14:textId="7A210333" w:rsidR="00AF3735" w:rsidRPr="00AF3735" w:rsidRDefault="00AF3735" w:rsidP="00D90C85">
            <w:pPr>
              <w:adjustRightInd w:val="0"/>
              <w:jc w:val="center"/>
              <w:rPr>
                <w:rFonts w:eastAsia="SimSun"/>
              </w:rPr>
            </w:pPr>
            <w:r w:rsidRPr="00AF3735">
              <w:rPr>
                <w:rFonts w:eastAsia="SimSun"/>
              </w:rPr>
              <w:t>83</w:t>
            </w:r>
            <w:r>
              <w:rPr>
                <w:rFonts w:eastAsia="SimSun"/>
              </w:rPr>
              <w:t>,</w:t>
            </w:r>
            <w:r w:rsidRPr="00AF3735">
              <w:rPr>
                <w:rFonts w:eastAsia="SimSun"/>
              </w:rPr>
              <w:t>8%</w:t>
            </w:r>
          </w:p>
        </w:tc>
        <w:tc>
          <w:tcPr>
            <w:tcW w:w="2010" w:type="dxa"/>
            <w:tcBorders>
              <w:top w:val="nil"/>
              <w:left w:val="nil"/>
              <w:bottom w:val="nil"/>
              <w:right w:val="nil"/>
            </w:tcBorders>
          </w:tcPr>
          <w:p w14:paraId="7C6FCBA1" w14:textId="77777777" w:rsidR="00AF3735" w:rsidRPr="00AF3735" w:rsidRDefault="00AF3735" w:rsidP="00D90C85">
            <w:pPr>
              <w:adjustRightInd w:val="0"/>
              <w:jc w:val="center"/>
              <w:rPr>
                <w:b/>
              </w:rPr>
            </w:pPr>
            <w:r w:rsidRPr="00AF3735">
              <w:rPr>
                <w:b/>
              </w:rPr>
              <w:t>̲</w:t>
            </w:r>
          </w:p>
        </w:tc>
      </w:tr>
      <w:tr w:rsidR="00A31A43" w:rsidRPr="00AF3735" w14:paraId="0BDFF642" w14:textId="77777777" w:rsidTr="009E4149">
        <w:tc>
          <w:tcPr>
            <w:tcW w:w="9523" w:type="dxa"/>
            <w:gridSpan w:val="4"/>
            <w:tcBorders>
              <w:top w:val="nil"/>
              <w:left w:val="nil"/>
              <w:bottom w:val="nil"/>
              <w:right w:val="nil"/>
            </w:tcBorders>
          </w:tcPr>
          <w:p w14:paraId="069B38D5" w14:textId="74EDADAE" w:rsidR="00A31A43" w:rsidRPr="00AF3735" w:rsidRDefault="00A31A43" w:rsidP="002C3132">
            <w:pPr>
              <w:adjustRightInd w:val="0"/>
              <w:rPr>
                <w:b/>
              </w:rPr>
            </w:pPr>
            <w:r>
              <w:rPr>
                <w:rFonts w:eastAsia="TimesNewRoman,Bold"/>
                <w:b/>
                <w:bCs/>
              </w:rPr>
              <w:t>Značajni molekularni odgovor</w:t>
            </w:r>
            <w:r>
              <w:rPr>
                <w:rFonts w:eastAsia="TimesNewRoman,Bold"/>
                <w:b/>
                <w:bCs/>
                <w:vertAlign w:val="superscript"/>
              </w:rPr>
              <w:t>c</w:t>
            </w:r>
          </w:p>
        </w:tc>
      </w:tr>
      <w:tr w:rsidR="00AF3735" w:rsidRPr="00AF3735" w14:paraId="75A43A7F" w14:textId="77777777" w:rsidTr="0031614A">
        <w:tc>
          <w:tcPr>
            <w:tcW w:w="2178" w:type="dxa"/>
            <w:tcBorders>
              <w:top w:val="nil"/>
              <w:left w:val="nil"/>
              <w:bottom w:val="nil"/>
              <w:right w:val="nil"/>
            </w:tcBorders>
          </w:tcPr>
          <w:p w14:paraId="29F70244" w14:textId="24DC8507" w:rsidR="00AF3735" w:rsidRPr="00AF3735" w:rsidRDefault="00AF3735" w:rsidP="00D90C85">
            <w:pPr>
              <w:adjustRightInd w:val="0"/>
              <w:jc w:val="center"/>
              <w:rPr>
                <w:rFonts w:eastAsia="TimesNewRoman,Bold"/>
                <w:b/>
                <w:bCs/>
              </w:rPr>
            </w:pPr>
            <w:r w:rsidRPr="00AF3735">
              <w:rPr>
                <w:rFonts w:eastAsia="TimesNewRoman,Bold"/>
                <w:b/>
                <w:bCs/>
              </w:rPr>
              <w:t>12 </w:t>
            </w:r>
            <w:r>
              <w:rPr>
                <w:rFonts w:eastAsia="TimesNewRoman,Bold"/>
                <w:b/>
                <w:bCs/>
              </w:rPr>
              <w:t>mjeseci</w:t>
            </w:r>
          </w:p>
        </w:tc>
        <w:tc>
          <w:tcPr>
            <w:tcW w:w="3116" w:type="dxa"/>
            <w:tcBorders>
              <w:top w:val="nil"/>
              <w:left w:val="nil"/>
              <w:bottom w:val="nil"/>
              <w:right w:val="nil"/>
            </w:tcBorders>
          </w:tcPr>
          <w:p w14:paraId="041EBEB4" w14:textId="3A5302EB" w:rsidR="00AF3735" w:rsidRPr="00AF3735" w:rsidRDefault="00AF3735" w:rsidP="00D90C85">
            <w:pPr>
              <w:adjustRightInd w:val="0"/>
              <w:jc w:val="center"/>
              <w:rPr>
                <w:rFonts w:eastAsia="SimSun"/>
              </w:rPr>
            </w:pPr>
            <w:r w:rsidRPr="00AF3735">
              <w:rPr>
                <w:rFonts w:eastAsia="SimSun"/>
              </w:rPr>
              <w:t>52</w:t>
            </w:r>
            <w:r>
              <w:rPr>
                <w:rFonts w:eastAsia="SimSun"/>
              </w:rPr>
              <w:t>,</w:t>
            </w:r>
            <w:r w:rsidRPr="00AF3735">
              <w:rPr>
                <w:rFonts w:eastAsia="SimSun"/>
              </w:rPr>
              <w:t>1% (45</w:t>
            </w:r>
            <w:r>
              <w:rPr>
                <w:rFonts w:eastAsia="SimSun"/>
              </w:rPr>
              <w:t>,</w:t>
            </w:r>
            <w:r w:rsidRPr="00AF3735">
              <w:rPr>
                <w:rFonts w:eastAsia="SimSun"/>
              </w:rPr>
              <w:t>9</w:t>
            </w:r>
            <w:r w:rsidR="00B63A47" w:rsidRPr="009474C0">
              <w:t> – </w:t>
            </w:r>
            <w:r w:rsidRPr="00AF3735">
              <w:rPr>
                <w:rFonts w:eastAsia="SimSun"/>
              </w:rPr>
              <w:t>58</w:t>
            </w:r>
            <w:r>
              <w:rPr>
                <w:rFonts w:eastAsia="SimSun"/>
              </w:rPr>
              <w:t>,</w:t>
            </w:r>
            <w:r w:rsidRPr="00AF3735">
              <w:rPr>
                <w:rFonts w:eastAsia="SimSun"/>
              </w:rPr>
              <w:t>3)</w:t>
            </w:r>
          </w:p>
        </w:tc>
        <w:tc>
          <w:tcPr>
            <w:tcW w:w="2219" w:type="dxa"/>
            <w:tcBorders>
              <w:top w:val="nil"/>
              <w:left w:val="nil"/>
              <w:bottom w:val="nil"/>
              <w:right w:val="nil"/>
            </w:tcBorders>
          </w:tcPr>
          <w:p w14:paraId="2A86A442" w14:textId="1DA3D69A" w:rsidR="00AF3735" w:rsidRPr="00AF3735" w:rsidRDefault="00AF3735" w:rsidP="00D90C85">
            <w:pPr>
              <w:adjustRightInd w:val="0"/>
              <w:jc w:val="center"/>
              <w:rPr>
                <w:rFonts w:eastAsia="SimSun"/>
              </w:rPr>
            </w:pPr>
            <w:r w:rsidRPr="00AF3735">
              <w:rPr>
                <w:rFonts w:eastAsia="SimSun"/>
              </w:rPr>
              <w:t>33</w:t>
            </w:r>
            <w:r>
              <w:rPr>
                <w:rFonts w:eastAsia="SimSun"/>
              </w:rPr>
              <w:t>,</w:t>
            </w:r>
            <w:r w:rsidRPr="00AF3735">
              <w:rPr>
                <w:rFonts w:eastAsia="SimSun"/>
              </w:rPr>
              <w:t>8% (28</w:t>
            </w:r>
            <w:r>
              <w:rPr>
                <w:rFonts w:eastAsia="SimSun"/>
              </w:rPr>
              <w:t>,</w:t>
            </w:r>
            <w:r w:rsidRPr="00AF3735">
              <w:rPr>
                <w:rFonts w:eastAsia="SimSun"/>
              </w:rPr>
              <w:t>1</w:t>
            </w:r>
            <w:r w:rsidR="00B63A47" w:rsidRPr="009474C0">
              <w:t> – </w:t>
            </w:r>
            <w:r w:rsidRPr="00AF3735">
              <w:rPr>
                <w:rFonts w:eastAsia="SimSun"/>
              </w:rPr>
              <w:t>39</w:t>
            </w:r>
            <w:r>
              <w:rPr>
                <w:rFonts w:eastAsia="SimSun"/>
              </w:rPr>
              <w:t>,</w:t>
            </w:r>
            <w:r w:rsidRPr="00AF3735">
              <w:rPr>
                <w:rFonts w:eastAsia="SimSun"/>
              </w:rPr>
              <w:t>9)</w:t>
            </w:r>
          </w:p>
        </w:tc>
        <w:tc>
          <w:tcPr>
            <w:tcW w:w="2010" w:type="dxa"/>
            <w:tcBorders>
              <w:top w:val="nil"/>
              <w:left w:val="nil"/>
              <w:bottom w:val="nil"/>
              <w:right w:val="nil"/>
            </w:tcBorders>
          </w:tcPr>
          <w:p w14:paraId="0A58398B" w14:textId="3BBFC8FA" w:rsidR="00AF3735" w:rsidRPr="00AF3735" w:rsidRDefault="00AF3735" w:rsidP="00D90C85">
            <w:pPr>
              <w:adjustRightInd w:val="0"/>
              <w:jc w:val="center"/>
              <w:rPr>
                <w:b/>
              </w:rPr>
            </w:pPr>
            <w:r w:rsidRPr="00AF3735">
              <w:rPr>
                <w:rFonts w:eastAsia="SimSun"/>
              </w:rPr>
              <w:t>p</w:t>
            </w:r>
            <w:r w:rsidR="00056599">
              <w:rPr>
                <w:rFonts w:eastAsia="SimSun"/>
              </w:rPr>
              <w:t xml:space="preserve"> </w:t>
            </w:r>
            <w:r w:rsidRPr="00AF3735">
              <w:rPr>
                <w:rFonts w:eastAsia="SimSun"/>
              </w:rPr>
              <w:t>&lt;</w:t>
            </w:r>
            <w:r w:rsidR="00056599">
              <w:rPr>
                <w:rFonts w:eastAsia="SimSun"/>
              </w:rPr>
              <w:t xml:space="preserve"> </w:t>
            </w:r>
            <w:r w:rsidRPr="00AF3735">
              <w:rPr>
                <w:rFonts w:eastAsia="SimSun"/>
              </w:rPr>
              <w:t>0</w:t>
            </w:r>
            <w:r>
              <w:rPr>
                <w:rFonts w:eastAsia="SimSun"/>
              </w:rPr>
              <w:t>,</w:t>
            </w:r>
            <w:r w:rsidRPr="00AF3735">
              <w:rPr>
                <w:rFonts w:eastAsia="SimSun"/>
              </w:rPr>
              <w:t>00003*</w:t>
            </w:r>
          </w:p>
        </w:tc>
      </w:tr>
      <w:tr w:rsidR="00AF3735" w:rsidRPr="00AF3735" w14:paraId="3B8AF3E4" w14:textId="77777777" w:rsidTr="0031614A">
        <w:tc>
          <w:tcPr>
            <w:tcW w:w="2178" w:type="dxa"/>
            <w:tcBorders>
              <w:top w:val="nil"/>
              <w:left w:val="nil"/>
              <w:bottom w:val="nil"/>
              <w:right w:val="nil"/>
            </w:tcBorders>
          </w:tcPr>
          <w:p w14:paraId="38651266" w14:textId="74CC6CCE" w:rsidR="00AF3735" w:rsidRPr="00AF3735" w:rsidRDefault="00AF3735" w:rsidP="00D90C85">
            <w:pPr>
              <w:adjustRightInd w:val="0"/>
              <w:jc w:val="center"/>
              <w:rPr>
                <w:rFonts w:eastAsia="TimesNewRoman,Bold"/>
                <w:b/>
                <w:bCs/>
              </w:rPr>
            </w:pPr>
            <w:r w:rsidRPr="00AF3735">
              <w:rPr>
                <w:rFonts w:eastAsia="TimesNewRoman,Bold"/>
                <w:b/>
                <w:bCs/>
              </w:rPr>
              <w:t>24 </w:t>
            </w:r>
            <w:r>
              <w:rPr>
                <w:rFonts w:eastAsia="TimesNewRoman,Bold"/>
                <w:b/>
                <w:bCs/>
              </w:rPr>
              <w:t>mjeseca</w:t>
            </w:r>
          </w:p>
        </w:tc>
        <w:tc>
          <w:tcPr>
            <w:tcW w:w="3116" w:type="dxa"/>
            <w:tcBorders>
              <w:top w:val="nil"/>
              <w:left w:val="nil"/>
              <w:bottom w:val="nil"/>
              <w:right w:val="nil"/>
            </w:tcBorders>
          </w:tcPr>
          <w:p w14:paraId="187F9B10" w14:textId="316C94A2" w:rsidR="00AF3735" w:rsidRPr="00AF3735" w:rsidRDefault="00AF3735" w:rsidP="00D90C85">
            <w:pPr>
              <w:adjustRightInd w:val="0"/>
              <w:jc w:val="center"/>
              <w:rPr>
                <w:rFonts w:eastAsia="SimSun"/>
              </w:rPr>
            </w:pPr>
            <w:r w:rsidRPr="00AF3735">
              <w:rPr>
                <w:rFonts w:eastAsia="SimSun"/>
              </w:rPr>
              <w:t>64</w:t>
            </w:r>
            <w:r>
              <w:rPr>
                <w:rFonts w:eastAsia="SimSun"/>
              </w:rPr>
              <w:t>,</w:t>
            </w:r>
            <w:r w:rsidRPr="00AF3735">
              <w:rPr>
                <w:rFonts w:eastAsia="SimSun"/>
              </w:rPr>
              <w:t>5% (58</w:t>
            </w:r>
            <w:r>
              <w:rPr>
                <w:rFonts w:eastAsia="SimSun"/>
              </w:rPr>
              <w:t>,</w:t>
            </w:r>
            <w:r w:rsidRPr="00AF3735">
              <w:rPr>
                <w:rFonts w:eastAsia="SimSun"/>
              </w:rPr>
              <w:t>3</w:t>
            </w:r>
            <w:r w:rsidR="00B63A47" w:rsidRPr="009474C0">
              <w:t> – </w:t>
            </w:r>
            <w:r w:rsidRPr="00AF3735">
              <w:rPr>
                <w:rFonts w:eastAsia="SimSun"/>
              </w:rPr>
              <w:t>70</w:t>
            </w:r>
            <w:r>
              <w:rPr>
                <w:rFonts w:eastAsia="SimSun"/>
              </w:rPr>
              <w:t>,</w:t>
            </w:r>
            <w:r w:rsidRPr="00AF3735">
              <w:rPr>
                <w:rFonts w:eastAsia="SimSun"/>
              </w:rPr>
              <w:t>3)</w:t>
            </w:r>
          </w:p>
        </w:tc>
        <w:tc>
          <w:tcPr>
            <w:tcW w:w="2219" w:type="dxa"/>
            <w:tcBorders>
              <w:top w:val="nil"/>
              <w:left w:val="nil"/>
              <w:bottom w:val="nil"/>
              <w:right w:val="nil"/>
            </w:tcBorders>
          </w:tcPr>
          <w:p w14:paraId="726C7DA4" w14:textId="2D8ED7A8" w:rsidR="00AF3735" w:rsidRPr="00AF3735" w:rsidRDefault="00AF3735" w:rsidP="00D90C85">
            <w:pPr>
              <w:adjustRightInd w:val="0"/>
              <w:jc w:val="center"/>
              <w:rPr>
                <w:rFonts w:eastAsia="SimSun"/>
              </w:rPr>
            </w:pPr>
            <w:r w:rsidRPr="00AF3735">
              <w:rPr>
                <w:rFonts w:eastAsia="SimSun"/>
              </w:rPr>
              <w:t>50% (43</w:t>
            </w:r>
            <w:r>
              <w:rPr>
                <w:rFonts w:eastAsia="SimSun"/>
              </w:rPr>
              <w:t>,</w:t>
            </w:r>
            <w:r w:rsidRPr="00AF3735">
              <w:rPr>
                <w:rFonts w:eastAsia="SimSun"/>
              </w:rPr>
              <w:t>8</w:t>
            </w:r>
            <w:r w:rsidR="00B63A47" w:rsidRPr="009474C0">
              <w:t> – </w:t>
            </w:r>
            <w:r w:rsidRPr="00AF3735">
              <w:rPr>
                <w:rFonts w:eastAsia="SimSun"/>
              </w:rPr>
              <w:t>56</w:t>
            </w:r>
            <w:r>
              <w:rPr>
                <w:rFonts w:eastAsia="SimSun"/>
              </w:rPr>
              <w:t>,</w:t>
            </w:r>
            <w:r w:rsidRPr="00AF3735">
              <w:rPr>
                <w:rFonts w:eastAsia="SimSun"/>
              </w:rPr>
              <w:t>2)</w:t>
            </w:r>
          </w:p>
        </w:tc>
        <w:tc>
          <w:tcPr>
            <w:tcW w:w="2010" w:type="dxa"/>
            <w:tcBorders>
              <w:top w:val="nil"/>
              <w:left w:val="nil"/>
              <w:bottom w:val="nil"/>
              <w:right w:val="nil"/>
            </w:tcBorders>
          </w:tcPr>
          <w:p w14:paraId="471CEBB2" w14:textId="77777777" w:rsidR="00AF3735" w:rsidRPr="00AF3735" w:rsidRDefault="00AF3735" w:rsidP="00D90C85">
            <w:pPr>
              <w:adjustRightInd w:val="0"/>
              <w:jc w:val="center"/>
              <w:rPr>
                <w:b/>
              </w:rPr>
            </w:pPr>
            <w:r w:rsidRPr="00AF3735">
              <w:rPr>
                <w:b/>
              </w:rPr>
              <w:t>̲</w:t>
            </w:r>
          </w:p>
        </w:tc>
      </w:tr>
      <w:tr w:rsidR="00AF3735" w:rsidRPr="00AF3735" w14:paraId="08DD5779" w14:textId="77777777" w:rsidTr="0031614A">
        <w:tc>
          <w:tcPr>
            <w:tcW w:w="2178" w:type="dxa"/>
            <w:tcBorders>
              <w:top w:val="nil"/>
              <w:left w:val="nil"/>
              <w:bottom w:val="nil"/>
              <w:right w:val="nil"/>
            </w:tcBorders>
          </w:tcPr>
          <w:p w14:paraId="5CBB3EB4" w14:textId="798D0DB1" w:rsidR="00AF3735" w:rsidRPr="00AF3735" w:rsidRDefault="00AF3735" w:rsidP="00D90C85">
            <w:pPr>
              <w:adjustRightInd w:val="0"/>
              <w:jc w:val="center"/>
              <w:rPr>
                <w:rFonts w:eastAsia="TimesNewRoman,Bold"/>
                <w:b/>
                <w:bCs/>
              </w:rPr>
            </w:pPr>
            <w:r w:rsidRPr="00AF3735">
              <w:rPr>
                <w:rFonts w:eastAsia="TimesNewRoman,Bold"/>
                <w:b/>
                <w:bCs/>
              </w:rPr>
              <w:t>36 m</w:t>
            </w:r>
            <w:r>
              <w:rPr>
                <w:rFonts w:eastAsia="TimesNewRoman,Bold"/>
                <w:b/>
                <w:bCs/>
              </w:rPr>
              <w:t>jeseci</w:t>
            </w:r>
          </w:p>
        </w:tc>
        <w:tc>
          <w:tcPr>
            <w:tcW w:w="3116" w:type="dxa"/>
            <w:tcBorders>
              <w:top w:val="nil"/>
              <w:left w:val="nil"/>
              <w:bottom w:val="nil"/>
              <w:right w:val="nil"/>
            </w:tcBorders>
          </w:tcPr>
          <w:p w14:paraId="1661672B" w14:textId="5BF40279" w:rsidR="00AF3735" w:rsidRPr="00AF3735" w:rsidRDefault="00AF3735" w:rsidP="00D90C85">
            <w:pPr>
              <w:adjustRightInd w:val="0"/>
              <w:jc w:val="center"/>
              <w:rPr>
                <w:rFonts w:eastAsia="SimSun"/>
              </w:rPr>
            </w:pPr>
            <w:r w:rsidRPr="00AF3735">
              <w:rPr>
                <w:rFonts w:eastAsia="SimSun"/>
              </w:rPr>
              <w:t>69</w:t>
            </w:r>
            <w:r>
              <w:rPr>
                <w:rFonts w:eastAsia="SimSun"/>
              </w:rPr>
              <w:t>,</w:t>
            </w:r>
            <w:r w:rsidRPr="00AF3735">
              <w:rPr>
                <w:rFonts w:eastAsia="SimSun"/>
              </w:rPr>
              <w:t>1% (63</w:t>
            </w:r>
            <w:r>
              <w:rPr>
                <w:rFonts w:eastAsia="SimSun"/>
              </w:rPr>
              <w:t>,</w:t>
            </w:r>
            <w:r w:rsidRPr="00AF3735">
              <w:rPr>
                <w:rFonts w:eastAsia="SimSun"/>
              </w:rPr>
              <w:t>1</w:t>
            </w:r>
            <w:r w:rsidR="00B63A47" w:rsidRPr="009474C0">
              <w:t> – </w:t>
            </w:r>
            <w:r w:rsidRPr="00AF3735">
              <w:rPr>
                <w:rFonts w:eastAsia="SimSun"/>
              </w:rPr>
              <w:t>74</w:t>
            </w:r>
            <w:r>
              <w:rPr>
                <w:rFonts w:eastAsia="SimSun"/>
              </w:rPr>
              <w:t>,</w:t>
            </w:r>
            <w:r w:rsidRPr="00AF3735">
              <w:rPr>
                <w:rFonts w:eastAsia="SimSun"/>
              </w:rPr>
              <w:t>7)</w:t>
            </w:r>
          </w:p>
        </w:tc>
        <w:tc>
          <w:tcPr>
            <w:tcW w:w="2219" w:type="dxa"/>
            <w:tcBorders>
              <w:top w:val="nil"/>
              <w:left w:val="nil"/>
              <w:bottom w:val="nil"/>
              <w:right w:val="nil"/>
            </w:tcBorders>
          </w:tcPr>
          <w:p w14:paraId="31BFA60D" w14:textId="3B0FCFDF" w:rsidR="00AF3735" w:rsidRPr="00AF3735" w:rsidRDefault="00AF3735" w:rsidP="00D90C85">
            <w:pPr>
              <w:adjustRightInd w:val="0"/>
              <w:jc w:val="center"/>
              <w:rPr>
                <w:rFonts w:eastAsia="SimSun"/>
              </w:rPr>
            </w:pPr>
            <w:r w:rsidRPr="00AF3735">
              <w:rPr>
                <w:rFonts w:eastAsia="SimSun"/>
              </w:rPr>
              <w:t>56</w:t>
            </w:r>
            <w:r>
              <w:rPr>
                <w:rFonts w:eastAsia="SimSun"/>
              </w:rPr>
              <w:t>,</w:t>
            </w:r>
            <w:r w:rsidRPr="00AF3735">
              <w:rPr>
                <w:rFonts w:eastAsia="SimSun"/>
              </w:rPr>
              <w:t>2% (49</w:t>
            </w:r>
            <w:r>
              <w:rPr>
                <w:rFonts w:eastAsia="SimSun"/>
              </w:rPr>
              <w:t>,</w:t>
            </w:r>
            <w:r w:rsidRPr="00AF3735">
              <w:rPr>
                <w:rFonts w:eastAsia="SimSun"/>
              </w:rPr>
              <w:t>9</w:t>
            </w:r>
            <w:r w:rsidR="00B63A47" w:rsidRPr="009474C0">
              <w:t> – </w:t>
            </w:r>
            <w:r w:rsidRPr="00AF3735">
              <w:rPr>
                <w:rFonts w:eastAsia="SimSun"/>
              </w:rPr>
              <w:t>62</w:t>
            </w:r>
            <w:r>
              <w:rPr>
                <w:rFonts w:eastAsia="SimSun"/>
              </w:rPr>
              <w:t>,</w:t>
            </w:r>
            <w:r w:rsidRPr="00AF3735">
              <w:rPr>
                <w:rFonts w:eastAsia="SimSun"/>
              </w:rPr>
              <w:t>3)</w:t>
            </w:r>
          </w:p>
        </w:tc>
        <w:tc>
          <w:tcPr>
            <w:tcW w:w="2010" w:type="dxa"/>
            <w:tcBorders>
              <w:top w:val="nil"/>
              <w:left w:val="nil"/>
              <w:bottom w:val="nil"/>
              <w:right w:val="nil"/>
            </w:tcBorders>
          </w:tcPr>
          <w:p w14:paraId="20521ADD" w14:textId="77777777" w:rsidR="00AF3735" w:rsidRPr="00AF3735" w:rsidRDefault="00AF3735" w:rsidP="00D90C85">
            <w:pPr>
              <w:adjustRightInd w:val="0"/>
              <w:jc w:val="center"/>
              <w:rPr>
                <w:b/>
              </w:rPr>
            </w:pPr>
            <w:r w:rsidRPr="00AF3735">
              <w:rPr>
                <w:b/>
              </w:rPr>
              <w:t>̲</w:t>
            </w:r>
          </w:p>
        </w:tc>
      </w:tr>
      <w:tr w:rsidR="00AF3735" w:rsidRPr="00AF3735" w14:paraId="028FA0EE" w14:textId="77777777" w:rsidTr="0031614A">
        <w:tc>
          <w:tcPr>
            <w:tcW w:w="2178" w:type="dxa"/>
            <w:tcBorders>
              <w:top w:val="nil"/>
              <w:left w:val="nil"/>
              <w:bottom w:val="nil"/>
              <w:right w:val="nil"/>
            </w:tcBorders>
          </w:tcPr>
          <w:p w14:paraId="2E715F80" w14:textId="72176793" w:rsidR="00AF3735" w:rsidRPr="00AF3735" w:rsidRDefault="00AF3735" w:rsidP="00D90C85">
            <w:pPr>
              <w:adjustRightInd w:val="0"/>
              <w:jc w:val="center"/>
              <w:rPr>
                <w:rFonts w:eastAsia="TimesNewRoman,Bold"/>
                <w:b/>
                <w:bCs/>
              </w:rPr>
            </w:pPr>
            <w:r w:rsidRPr="00AF3735">
              <w:rPr>
                <w:rFonts w:eastAsia="TimesNewRoman,Bold"/>
                <w:b/>
                <w:bCs/>
              </w:rPr>
              <w:t>48 m</w:t>
            </w:r>
            <w:r>
              <w:rPr>
                <w:rFonts w:eastAsia="TimesNewRoman,Bold"/>
                <w:b/>
                <w:bCs/>
              </w:rPr>
              <w:t>jeseci</w:t>
            </w:r>
          </w:p>
        </w:tc>
        <w:tc>
          <w:tcPr>
            <w:tcW w:w="3116" w:type="dxa"/>
            <w:tcBorders>
              <w:top w:val="nil"/>
              <w:left w:val="nil"/>
              <w:bottom w:val="nil"/>
              <w:right w:val="nil"/>
            </w:tcBorders>
          </w:tcPr>
          <w:p w14:paraId="4E698139" w14:textId="68A677C6" w:rsidR="00AF3735" w:rsidRPr="00AF3735" w:rsidRDefault="00AF3735" w:rsidP="00D90C85">
            <w:pPr>
              <w:adjustRightInd w:val="0"/>
              <w:jc w:val="center"/>
              <w:rPr>
                <w:rFonts w:eastAsia="SimSun"/>
              </w:rPr>
            </w:pPr>
            <w:r w:rsidRPr="00AF3735">
              <w:rPr>
                <w:rFonts w:eastAsia="SimSun"/>
              </w:rPr>
              <w:t>75</w:t>
            </w:r>
            <w:r>
              <w:rPr>
                <w:rFonts w:eastAsia="SimSun"/>
              </w:rPr>
              <w:t>,</w:t>
            </w:r>
            <w:r w:rsidRPr="00AF3735">
              <w:rPr>
                <w:rFonts w:eastAsia="SimSun"/>
              </w:rPr>
              <w:t>7% (70</w:t>
            </w:r>
            <w:r>
              <w:rPr>
                <w:rFonts w:eastAsia="SimSun"/>
              </w:rPr>
              <w:t>,</w:t>
            </w:r>
            <w:r w:rsidRPr="00AF3735">
              <w:rPr>
                <w:rFonts w:eastAsia="SimSun"/>
              </w:rPr>
              <w:t>0</w:t>
            </w:r>
            <w:r w:rsidR="00B63A47" w:rsidRPr="009474C0">
              <w:t> – </w:t>
            </w:r>
            <w:r w:rsidRPr="00AF3735">
              <w:rPr>
                <w:rFonts w:eastAsia="SimSun"/>
              </w:rPr>
              <w:t>80</w:t>
            </w:r>
            <w:r>
              <w:rPr>
                <w:rFonts w:eastAsia="SimSun"/>
              </w:rPr>
              <w:t>,</w:t>
            </w:r>
            <w:r w:rsidRPr="00AF3735">
              <w:rPr>
                <w:rFonts w:eastAsia="SimSun"/>
              </w:rPr>
              <w:t>8)</w:t>
            </w:r>
          </w:p>
        </w:tc>
        <w:tc>
          <w:tcPr>
            <w:tcW w:w="2219" w:type="dxa"/>
            <w:tcBorders>
              <w:top w:val="nil"/>
              <w:left w:val="nil"/>
              <w:bottom w:val="nil"/>
              <w:right w:val="nil"/>
            </w:tcBorders>
          </w:tcPr>
          <w:p w14:paraId="408F4BBD" w14:textId="554DD7FF" w:rsidR="00AF3735" w:rsidRPr="00AF3735" w:rsidRDefault="00AF3735" w:rsidP="00D90C85">
            <w:pPr>
              <w:adjustRightInd w:val="0"/>
              <w:jc w:val="center"/>
              <w:rPr>
                <w:rFonts w:eastAsia="SimSun"/>
              </w:rPr>
            </w:pPr>
            <w:r w:rsidRPr="00AF3735">
              <w:rPr>
                <w:rFonts w:eastAsia="SimSun"/>
              </w:rPr>
              <w:t>62</w:t>
            </w:r>
            <w:r>
              <w:rPr>
                <w:rFonts w:eastAsia="SimSun"/>
              </w:rPr>
              <w:t>,</w:t>
            </w:r>
            <w:r w:rsidRPr="00AF3735">
              <w:rPr>
                <w:rFonts w:eastAsia="SimSun"/>
              </w:rPr>
              <w:t>7% (56</w:t>
            </w:r>
            <w:r>
              <w:rPr>
                <w:rFonts w:eastAsia="SimSun"/>
              </w:rPr>
              <w:t>,</w:t>
            </w:r>
            <w:r w:rsidRPr="00AF3735">
              <w:rPr>
                <w:rFonts w:eastAsia="SimSun"/>
              </w:rPr>
              <w:t>5</w:t>
            </w:r>
            <w:r w:rsidR="00B63A47" w:rsidRPr="009474C0">
              <w:t> – </w:t>
            </w:r>
            <w:r w:rsidRPr="00AF3735">
              <w:rPr>
                <w:rFonts w:eastAsia="SimSun"/>
              </w:rPr>
              <w:t>68</w:t>
            </w:r>
            <w:r>
              <w:rPr>
                <w:rFonts w:eastAsia="SimSun"/>
              </w:rPr>
              <w:t>,</w:t>
            </w:r>
            <w:r w:rsidRPr="00AF3735">
              <w:rPr>
                <w:rFonts w:eastAsia="SimSun"/>
              </w:rPr>
              <w:t>6)</w:t>
            </w:r>
          </w:p>
        </w:tc>
        <w:tc>
          <w:tcPr>
            <w:tcW w:w="2010" w:type="dxa"/>
            <w:tcBorders>
              <w:top w:val="nil"/>
              <w:left w:val="nil"/>
              <w:bottom w:val="nil"/>
              <w:right w:val="nil"/>
            </w:tcBorders>
          </w:tcPr>
          <w:p w14:paraId="545957F1" w14:textId="77777777" w:rsidR="00AF3735" w:rsidRPr="00AF3735" w:rsidRDefault="00AF3735" w:rsidP="00D90C85">
            <w:pPr>
              <w:adjustRightInd w:val="0"/>
              <w:jc w:val="center"/>
              <w:rPr>
                <w:b/>
              </w:rPr>
            </w:pPr>
            <w:r w:rsidRPr="00AF3735">
              <w:rPr>
                <w:b/>
              </w:rPr>
              <w:t>̲</w:t>
            </w:r>
          </w:p>
        </w:tc>
      </w:tr>
      <w:tr w:rsidR="00AF3735" w:rsidRPr="00AF3735" w14:paraId="2BAF9BDE" w14:textId="77777777" w:rsidTr="0031614A">
        <w:tc>
          <w:tcPr>
            <w:tcW w:w="2178" w:type="dxa"/>
            <w:tcBorders>
              <w:top w:val="nil"/>
              <w:left w:val="nil"/>
              <w:bottom w:val="single" w:sz="4" w:space="0" w:color="auto"/>
              <w:right w:val="nil"/>
            </w:tcBorders>
          </w:tcPr>
          <w:p w14:paraId="5B1D7EE9" w14:textId="0C2C7441" w:rsidR="00AF3735" w:rsidRPr="00AF3735" w:rsidRDefault="00AF3735" w:rsidP="00D90C85">
            <w:pPr>
              <w:adjustRightInd w:val="0"/>
              <w:jc w:val="center"/>
              <w:rPr>
                <w:rFonts w:eastAsia="TimesNewRoman,Bold"/>
                <w:b/>
                <w:bCs/>
              </w:rPr>
            </w:pPr>
            <w:r w:rsidRPr="00AF3735">
              <w:rPr>
                <w:rFonts w:eastAsia="TimesNewRoman,Bold"/>
                <w:b/>
                <w:bCs/>
              </w:rPr>
              <w:t>60 m</w:t>
            </w:r>
            <w:r>
              <w:rPr>
                <w:rFonts w:eastAsia="TimesNewRoman,Bold"/>
                <w:b/>
                <w:bCs/>
              </w:rPr>
              <w:t>jeseci</w:t>
            </w:r>
          </w:p>
        </w:tc>
        <w:tc>
          <w:tcPr>
            <w:tcW w:w="3116" w:type="dxa"/>
            <w:tcBorders>
              <w:top w:val="nil"/>
              <w:left w:val="nil"/>
              <w:bottom w:val="single" w:sz="4" w:space="0" w:color="auto"/>
              <w:right w:val="nil"/>
            </w:tcBorders>
          </w:tcPr>
          <w:p w14:paraId="159A902F" w14:textId="26642F26" w:rsidR="00AF3735" w:rsidRPr="00AF3735" w:rsidRDefault="00AF3735" w:rsidP="00D90C85">
            <w:pPr>
              <w:adjustRightInd w:val="0"/>
              <w:jc w:val="center"/>
              <w:rPr>
                <w:rFonts w:eastAsia="SimSun"/>
              </w:rPr>
            </w:pPr>
            <w:r w:rsidRPr="00AF3735">
              <w:rPr>
                <w:rFonts w:eastAsia="SimSun"/>
              </w:rPr>
              <w:t>76</w:t>
            </w:r>
            <w:r>
              <w:rPr>
                <w:rFonts w:eastAsia="SimSun"/>
              </w:rPr>
              <w:t>,</w:t>
            </w:r>
            <w:r w:rsidRPr="00AF3735">
              <w:rPr>
                <w:rFonts w:eastAsia="SimSun"/>
              </w:rPr>
              <w:t>4% (70</w:t>
            </w:r>
            <w:r>
              <w:rPr>
                <w:rFonts w:eastAsia="SimSun"/>
              </w:rPr>
              <w:t>,</w:t>
            </w:r>
            <w:r w:rsidRPr="00AF3735">
              <w:rPr>
                <w:rFonts w:eastAsia="SimSun"/>
              </w:rPr>
              <w:t>8</w:t>
            </w:r>
            <w:r w:rsidR="00B63A47" w:rsidRPr="009474C0">
              <w:t> – </w:t>
            </w:r>
            <w:r w:rsidRPr="00AF3735">
              <w:rPr>
                <w:rFonts w:eastAsia="SimSun"/>
              </w:rPr>
              <w:t>81</w:t>
            </w:r>
            <w:r>
              <w:rPr>
                <w:rFonts w:eastAsia="SimSun"/>
              </w:rPr>
              <w:t>,</w:t>
            </w:r>
            <w:r w:rsidRPr="00AF3735">
              <w:rPr>
                <w:rFonts w:eastAsia="SimSun"/>
              </w:rPr>
              <w:t>5)</w:t>
            </w:r>
          </w:p>
        </w:tc>
        <w:tc>
          <w:tcPr>
            <w:tcW w:w="2219" w:type="dxa"/>
            <w:tcBorders>
              <w:top w:val="nil"/>
              <w:left w:val="nil"/>
              <w:bottom w:val="single" w:sz="4" w:space="0" w:color="auto"/>
              <w:right w:val="nil"/>
            </w:tcBorders>
          </w:tcPr>
          <w:p w14:paraId="659A15E4" w14:textId="6C7192A7" w:rsidR="00AF3735" w:rsidRPr="00AF3735" w:rsidRDefault="00AF3735" w:rsidP="00D90C85">
            <w:pPr>
              <w:adjustRightInd w:val="0"/>
              <w:jc w:val="center"/>
              <w:rPr>
                <w:rFonts w:eastAsia="SimSun"/>
              </w:rPr>
            </w:pPr>
            <w:r w:rsidRPr="00AF3735">
              <w:rPr>
                <w:rFonts w:eastAsia="SimSun"/>
              </w:rPr>
              <w:t>64</w:t>
            </w:r>
            <w:r>
              <w:rPr>
                <w:rFonts w:eastAsia="SimSun"/>
              </w:rPr>
              <w:t>,</w:t>
            </w:r>
            <w:r w:rsidRPr="00AF3735">
              <w:rPr>
                <w:rFonts w:eastAsia="SimSun"/>
              </w:rPr>
              <w:t>2% (58</w:t>
            </w:r>
            <w:r>
              <w:rPr>
                <w:rFonts w:eastAsia="SimSun"/>
              </w:rPr>
              <w:t>,</w:t>
            </w:r>
            <w:r w:rsidRPr="00AF3735">
              <w:rPr>
                <w:rFonts w:eastAsia="SimSun"/>
              </w:rPr>
              <w:t>1</w:t>
            </w:r>
            <w:r w:rsidR="00B63A47" w:rsidRPr="009474C0">
              <w:t> – </w:t>
            </w:r>
            <w:r w:rsidRPr="00AF3735">
              <w:rPr>
                <w:rFonts w:eastAsia="SimSun"/>
              </w:rPr>
              <w:t>70</w:t>
            </w:r>
            <w:r>
              <w:rPr>
                <w:rFonts w:eastAsia="SimSun"/>
              </w:rPr>
              <w:t>,</w:t>
            </w:r>
            <w:r w:rsidRPr="00AF3735">
              <w:rPr>
                <w:rFonts w:eastAsia="SimSun"/>
              </w:rPr>
              <w:t>1)</w:t>
            </w:r>
          </w:p>
        </w:tc>
        <w:tc>
          <w:tcPr>
            <w:tcW w:w="2010" w:type="dxa"/>
            <w:tcBorders>
              <w:top w:val="nil"/>
              <w:left w:val="nil"/>
              <w:bottom w:val="single" w:sz="4" w:space="0" w:color="auto"/>
              <w:right w:val="nil"/>
            </w:tcBorders>
          </w:tcPr>
          <w:p w14:paraId="6346BC38" w14:textId="44084A29" w:rsidR="00AF3735" w:rsidRPr="00AF3735" w:rsidRDefault="00AF3735" w:rsidP="00D90C85">
            <w:pPr>
              <w:adjustRightInd w:val="0"/>
              <w:jc w:val="center"/>
              <w:rPr>
                <w:b/>
              </w:rPr>
            </w:pPr>
            <w:r w:rsidRPr="00AF3735">
              <w:rPr>
                <w:rFonts w:eastAsia="SimSun"/>
              </w:rPr>
              <w:t>p</w:t>
            </w:r>
            <w:r w:rsidR="00056599">
              <w:rPr>
                <w:rFonts w:eastAsia="SimSun"/>
              </w:rPr>
              <w:t xml:space="preserve"> </w:t>
            </w:r>
            <w:r w:rsidRPr="00AF3735">
              <w:rPr>
                <w:rFonts w:eastAsia="SimSun"/>
              </w:rPr>
              <w:t>=</w:t>
            </w:r>
            <w:r w:rsidR="00056599">
              <w:rPr>
                <w:rFonts w:eastAsia="SimSun"/>
              </w:rPr>
              <w:t xml:space="preserve"> </w:t>
            </w:r>
            <w:r w:rsidRPr="00AF3735">
              <w:rPr>
                <w:rFonts w:eastAsia="SimSun"/>
              </w:rPr>
              <w:t>0</w:t>
            </w:r>
            <w:r>
              <w:rPr>
                <w:rFonts w:eastAsia="SimSun"/>
              </w:rPr>
              <w:t>,</w:t>
            </w:r>
            <w:r w:rsidRPr="00AF3735">
              <w:rPr>
                <w:rFonts w:eastAsia="SimSun"/>
              </w:rPr>
              <w:t>0021</w:t>
            </w:r>
          </w:p>
        </w:tc>
      </w:tr>
      <w:tr w:rsidR="00E17911" w:rsidRPr="00AF3735" w14:paraId="51911483" w14:textId="77777777" w:rsidTr="0031614A">
        <w:tc>
          <w:tcPr>
            <w:tcW w:w="2178" w:type="dxa"/>
            <w:tcBorders>
              <w:left w:val="nil"/>
              <w:bottom w:val="nil"/>
              <w:right w:val="nil"/>
            </w:tcBorders>
          </w:tcPr>
          <w:p w14:paraId="0AFB603B" w14:textId="77777777" w:rsidR="00E17911" w:rsidRPr="00AF3735" w:rsidRDefault="00E17911" w:rsidP="00D90C85">
            <w:pPr>
              <w:adjustRightInd w:val="0"/>
              <w:jc w:val="center"/>
              <w:rPr>
                <w:rFonts w:eastAsia="TimesNewRoman,Bold"/>
                <w:b/>
                <w:bCs/>
              </w:rPr>
            </w:pPr>
          </w:p>
        </w:tc>
        <w:tc>
          <w:tcPr>
            <w:tcW w:w="5335" w:type="dxa"/>
            <w:gridSpan w:val="2"/>
            <w:vMerge w:val="restart"/>
            <w:tcBorders>
              <w:left w:val="nil"/>
              <w:right w:val="nil"/>
            </w:tcBorders>
          </w:tcPr>
          <w:p w14:paraId="76D4779B" w14:textId="77777777" w:rsidR="00E17911" w:rsidRPr="00AF3735" w:rsidRDefault="00E17911" w:rsidP="00D90C85">
            <w:pPr>
              <w:adjustRightInd w:val="0"/>
              <w:jc w:val="center"/>
              <w:rPr>
                <w:rFonts w:eastAsia="SimSun"/>
              </w:rPr>
            </w:pPr>
            <w:r>
              <w:rPr>
                <w:rFonts w:eastAsia="TimesNewRoman,Bold"/>
                <w:b/>
                <w:bCs/>
              </w:rPr>
              <w:t>Omjer hazarda</w:t>
            </w:r>
            <w:r w:rsidRPr="00AF3735">
              <w:rPr>
                <w:rFonts w:eastAsia="TimesNewRoman,Bold"/>
                <w:b/>
                <w:bCs/>
              </w:rPr>
              <w:t xml:space="preserve"> (HR)</w:t>
            </w:r>
          </w:p>
          <w:p w14:paraId="4FFD7908" w14:textId="77777777" w:rsidR="00E17911" w:rsidRPr="00AF3735" w:rsidRDefault="00E17911" w:rsidP="00D90C85">
            <w:pPr>
              <w:adjustRightInd w:val="0"/>
              <w:jc w:val="center"/>
              <w:rPr>
                <w:rFonts w:eastAsia="SimSun"/>
              </w:rPr>
            </w:pPr>
            <w:r>
              <w:rPr>
                <w:rFonts w:eastAsia="TimesNewRoman,Bold"/>
                <w:b/>
                <w:bCs/>
              </w:rPr>
              <w:lastRenderedPageBreak/>
              <w:t>unutar 12 mjeseci</w:t>
            </w:r>
            <w:r w:rsidRPr="00AF3735">
              <w:rPr>
                <w:rFonts w:eastAsia="TimesNewRoman,Bold"/>
                <w:b/>
                <w:bCs/>
              </w:rPr>
              <w:t xml:space="preserve"> (99</w:t>
            </w:r>
            <w:r>
              <w:rPr>
                <w:rFonts w:eastAsia="TimesNewRoman,Bold"/>
                <w:b/>
                <w:bCs/>
              </w:rPr>
              <w:t>,</w:t>
            </w:r>
            <w:r w:rsidRPr="00AF3735">
              <w:rPr>
                <w:rFonts w:eastAsia="TimesNewRoman,Bold"/>
                <w:b/>
                <w:bCs/>
              </w:rPr>
              <w:t>99% CI)</w:t>
            </w:r>
          </w:p>
          <w:p w14:paraId="4A190E55" w14:textId="5C14064E"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55 (1</w:t>
            </w:r>
            <w:r>
              <w:rPr>
                <w:rFonts w:eastAsia="SimSun"/>
              </w:rPr>
              <w:t>,</w:t>
            </w:r>
            <w:r w:rsidRPr="00AF3735">
              <w:rPr>
                <w:rFonts w:eastAsia="SimSun"/>
              </w:rPr>
              <w:t>0</w:t>
            </w:r>
            <w:r w:rsidR="00B63A47" w:rsidRPr="009474C0">
              <w:t> – </w:t>
            </w:r>
            <w:r w:rsidRPr="00AF3735">
              <w:rPr>
                <w:rFonts w:eastAsia="SimSun"/>
              </w:rPr>
              <w:t>2</w:t>
            </w:r>
            <w:r>
              <w:rPr>
                <w:rFonts w:eastAsia="SimSun"/>
              </w:rPr>
              <w:t>,</w:t>
            </w:r>
            <w:r w:rsidRPr="00AF3735">
              <w:rPr>
                <w:rFonts w:eastAsia="SimSun"/>
              </w:rPr>
              <w:t>3)</w:t>
            </w:r>
          </w:p>
          <w:p w14:paraId="3E47B855" w14:textId="0742BF12" w:rsidR="00E17911" w:rsidRPr="00AF3735" w:rsidRDefault="00E17911" w:rsidP="00D90C85">
            <w:pPr>
              <w:adjustRightInd w:val="0"/>
              <w:jc w:val="center"/>
              <w:rPr>
                <w:rFonts w:eastAsia="SimSun"/>
              </w:rPr>
            </w:pPr>
            <w:r w:rsidRPr="00AF3735">
              <w:rPr>
                <w:rFonts w:eastAsia="SimSun"/>
              </w:rPr>
              <w:t>2</w:t>
            </w:r>
            <w:r>
              <w:rPr>
                <w:rFonts w:eastAsia="SimSun"/>
              </w:rPr>
              <w:t>,</w:t>
            </w:r>
            <w:r w:rsidRPr="00AF3735">
              <w:rPr>
                <w:rFonts w:eastAsia="SimSun"/>
              </w:rPr>
              <w:t>01 (1</w:t>
            </w:r>
            <w:r>
              <w:rPr>
                <w:rFonts w:eastAsia="SimSun"/>
              </w:rPr>
              <w:t>,</w:t>
            </w:r>
            <w:r w:rsidRPr="00AF3735">
              <w:rPr>
                <w:rFonts w:eastAsia="SimSun"/>
              </w:rPr>
              <w:t>2</w:t>
            </w:r>
            <w:r w:rsidR="00B63A47" w:rsidRPr="009474C0">
              <w:t> – </w:t>
            </w:r>
            <w:r w:rsidRPr="00AF3735">
              <w:rPr>
                <w:rFonts w:eastAsia="SimSun"/>
              </w:rPr>
              <w:t>3</w:t>
            </w:r>
            <w:r>
              <w:rPr>
                <w:rFonts w:eastAsia="SimSun"/>
              </w:rPr>
              <w:t>,</w:t>
            </w:r>
            <w:r w:rsidRPr="00AF3735">
              <w:rPr>
                <w:rFonts w:eastAsia="SimSun"/>
              </w:rPr>
              <w:t>4)</w:t>
            </w:r>
          </w:p>
          <w:p w14:paraId="60776C78" w14:textId="26A8DC20" w:rsidR="00E17911" w:rsidRPr="00AF3735" w:rsidRDefault="00E17911" w:rsidP="00D90C85">
            <w:pPr>
              <w:adjustRightInd w:val="0"/>
              <w:jc w:val="center"/>
              <w:rPr>
                <w:rFonts w:eastAsia="SimSun"/>
              </w:rPr>
            </w:pPr>
            <w:r w:rsidRPr="00AF3735">
              <w:rPr>
                <w:rFonts w:eastAsia="SimSun"/>
              </w:rPr>
              <w:t>0</w:t>
            </w:r>
            <w:r>
              <w:rPr>
                <w:rFonts w:eastAsia="SimSun"/>
              </w:rPr>
              <w:t>,</w:t>
            </w:r>
            <w:r w:rsidRPr="00AF3735">
              <w:rPr>
                <w:rFonts w:eastAsia="SimSun"/>
              </w:rPr>
              <w:t>7 (0</w:t>
            </w:r>
            <w:r>
              <w:rPr>
                <w:rFonts w:eastAsia="SimSun"/>
              </w:rPr>
              <w:t>,</w:t>
            </w:r>
            <w:r w:rsidRPr="00AF3735">
              <w:rPr>
                <w:rFonts w:eastAsia="SimSun"/>
              </w:rPr>
              <w:t>4</w:t>
            </w:r>
            <w:r w:rsidR="00B63A47" w:rsidRPr="009474C0">
              <w:t> – </w:t>
            </w:r>
            <w:r w:rsidRPr="00AF3735">
              <w:rPr>
                <w:rFonts w:eastAsia="SimSun"/>
              </w:rPr>
              <w:t>1</w:t>
            </w:r>
            <w:r>
              <w:rPr>
                <w:rFonts w:eastAsia="SimSun"/>
              </w:rPr>
              <w:t>,</w:t>
            </w:r>
            <w:r w:rsidRPr="00AF3735">
              <w:rPr>
                <w:rFonts w:eastAsia="SimSun"/>
              </w:rPr>
              <w:t>4)</w:t>
            </w:r>
          </w:p>
          <w:p w14:paraId="60891E65" w14:textId="77777777" w:rsidR="00E17911" w:rsidRPr="00AF3735" w:rsidRDefault="00E17911" w:rsidP="00D90C85">
            <w:pPr>
              <w:adjustRightInd w:val="0"/>
              <w:jc w:val="center"/>
              <w:rPr>
                <w:rFonts w:eastAsia="SimSun"/>
              </w:rPr>
            </w:pPr>
            <w:r>
              <w:rPr>
                <w:rFonts w:eastAsia="TimesNewRoman,Bold"/>
                <w:b/>
                <w:bCs/>
              </w:rPr>
              <w:t>unutar 24 mjeseca</w:t>
            </w:r>
            <w:r w:rsidRPr="00AF3735">
              <w:rPr>
                <w:rFonts w:eastAsia="TimesNewRoman,Bold"/>
                <w:b/>
                <w:bCs/>
              </w:rPr>
              <w:t xml:space="preserve"> (95% CI)</w:t>
            </w:r>
          </w:p>
          <w:p w14:paraId="075FEAA0" w14:textId="37116F26"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49 (1</w:t>
            </w:r>
            <w:r>
              <w:rPr>
                <w:rFonts w:eastAsia="SimSun"/>
              </w:rPr>
              <w:t>,</w:t>
            </w:r>
            <w:r w:rsidRPr="00AF3735">
              <w:rPr>
                <w:rFonts w:eastAsia="SimSun"/>
              </w:rPr>
              <w:t>22</w:t>
            </w:r>
            <w:r w:rsidR="00B63A47" w:rsidRPr="009474C0">
              <w:t> – </w:t>
            </w:r>
            <w:r w:rsidRPr="00AF3735">
              <w:rPr>
                <w:rFonts w:eastAsia="SimSun"/>
              </w:rPr>
              <w:t>1</w:t>
            </w:r>
            <w:r>
              <w:rPr>
                <w:rFonts w:eastAsia="SimSun"/>
              </w:rPr>
              <w:t>,</w:t>
            </w:r>
            <w:r w:rsidRPr="00AF3735">
              <w:rPr>
                <w:rFonts w:eastAsia="SimSun"/>
              </w:rPr>
              <w:t>82)</w:t>
            </w:r>
          </w:p>
          <w:p w14:paraId="05B8BF1D" w14:textId="32E1CF22"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69 (1</w:t>
            </w:r>
            <w:r>
              <w:rPr>
                <w:rFonts w:eastAsia="SimSun"/>
              </w:rPr>
              <w:t>,</w:t>
            </w:r>
            <w:r w:rsidRPr="00AF3735">
              <w:rPr>
                <w:rFonts w:eastAsia="SimSun"/>
              </w:rPr>
              <w:t>34</w:t>
            </w:r>
            <w:r w:rsidR="00B63A47" w:rsidRPr="009474C0">
              <w:t> – </w:t>
            </w:r>
            <w:r w:rsidRPr="00AF3735">
              <w:rPr>
                <w:rFonts w:eastAsia="SimSun"/>
              </w:rPr>
              <w:t>2</w:t>
            </w:r>
            <w:r>
              <w:rPr>
                <w:rFonts w:eastAsia="SimSun"/>
              </w:rPr>
              <w:t>,</w:t>
            </w:r>
            <w:r w:rsidRPr="00AF3735">
              <w:rPr>
                <w:rFonts w:eastAsia="SimSun"/>
              </w:rPr>
              <w:t>12)</w:t>
            </w:r>
          </w:p>
          <w:p w14:paraId="1B887DD9" w14:textId="1BD42C63" w:rsidR="00E17911" w:rsidRPr="00AF3735" w:rsidRDefault="00E17911" w:rsidP="00D90C85">
            <w:pPr>
              <w:adjustRightInd w:val="0"/>
              <w:jc w:val="center"/>
              <w:rPr>
                <w:rFonts w:eastAsia="SimSun"/>
              </w:rPr>
            </w:pPr>
            <w:r w:rsidRPr="00AF3735">
              <w:rPr>
                <w:rFonts w:eastAsia="SimSun"/>
              </w:rPr>
              <w:t>0</w:t>
            </w:r>
            <w:r>
              <w:rPr>
                <w:rFonts w:eastAsia="SimSun"/>
              </w:rPr>
              <w:t>,</w:t>
            </w:r>
            <w:r w:rsidRPr="00AF3735">
              <w:rPr>
                <w:rFonts w:eastAsia="SimSun"/>
              </w:rPr>
              <w:t>77 (0</w:t>
            </w:r>
            <w:r>
              <w:rPr>
                <w:rFonts w:eastAsia="SimSun"/>
              </w:rPr>
              <w:t>,</w:t>
            </w:r>
            <w:r w:rsidRPr="00AF3735">
              <w:rPr>
                <w:rFonts w:eastAsia="SimSun"/>
              </w:rPr>
              <w:t>55</w:t>
            </w:r>
            <w:r w:rsidR="00B63A47" w:rsidRPr="009474C0">
              <w:t> – </w:t>
            </w:r>
            <w:r w:rsidRPr="00AF3735">
              <w:rPr>
                <w:rFonts w:eastAsia="SimSun"/>
              </w:rPr>
              <w:t>1</w:t>
            </w:r>
            <w:r>
              <w:rPr>
                <w:rFonts w:eastAsia="SimSun"/>
              </w:rPr>
              <w:t>,</w:t>
            </w:r>
            <w:r w:rsidRPr="00AF3735">
              <w:rPr>
                <w:rFonts w:eastAsia="SimSun"/>
              </w:rPr>
              <w:t>10)</w:t>
            </w:r>
          </w:p>
          <w:p w14:paraId="5E50BE27" w14:textId="77777777" w:rsidR="00E17911" w:rsidRPr="00AF3735" w:rsidRDefault="00E17911" w:rsidP="00D90C85">
            <w:pPr>
              <w:adjustRightInd w:val="0"/>
              <w:jc w:val="center"/>
              <w:rPr>
                <w:rFonts w:eastAsia="SimSun"/>
              </w:rPr>
            </w:pPr>
            <w:r>
              <w:rPr>
                <w:rFonts w:eastAsia="TimesNewRoman,Bold"/>
                <w:b/>
                <w:bCs/>
              </w:rPr>
              <w:t>unutar 36 mjeseci</w:t>
            </w:r>
            <w:r w:rsidRPr="00AF3735">
              <w:rPr>
                <w:rFonts w:eastAsia="TimesNewRoman,Bold"/>
                <w:b/>
                <w:bCs/>
              </w:rPr>
              <w:t xml:space="preserve"> (95% CI)</w:t>
            </w:r>
          </w:p>
          <w:p w14:paraId="5A9BD394" w14:textId="35B78E0F"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48 (1</w:t>
            </w:r>
            <w:r>
              <w:rPr>
                <w:rFonts w:eastAsia="SimSun"/>
              </w:rPr>
              <w:t>,</w:t>
            </w:r>
            <w:r w:rsidRPr="00AF3735">
              <w:rPr>
                <w:rFonts w:eastAsia="SimSun"/>
              </w:rPr>
              <w:t>22</w:t>
            </w:r>
            <w:r w:rsidR="00B63A47" w:rsidRPr="009474C0">
              <w:t> – </w:t>
            </w:r>
            <w:r w:rsidRPr="00AF3735">
              <w:rPr>
                <w:rFonts w:eastAsia="SimSun"/>
              </w:rPr>
              <w:t>1</w:t>
            </w:r>
            <w:r>
              <w:rPr>
                <w:rFonts w:eastAsia="SimSun"/>
              </w:rPr>
              <w:t>,</w:t>
            </w:r>
            <w:r w:rsidRPr="00AF3735">
              <w:rPr>
                <w:rFonts w:eastAsia="SimSun"/>
              </w:rPr>
              <w:t>80)</w:t>
            </w:r>
          </w:p>
          <w:p w14:paraId="2710C6CF" w14:textId="5DD1A2D9"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59 (1</w:t>
            </w:r>
            <w:r>
              <w:rPr>
                <w:rFonts w:eastAsia="SimSun"/>
              </w:rPr>
              <w:t>,</w:t>
            </w:r>
            <w:r w:rsidRPr="00AF3735">
              <w:rPr>
                <w:rFonts w:eastAsia="SimSun"/>
              </w:rPr>
              <w:t>28</w:t>
            </w:r>
            <w:r w:rsidR="00B63A47" w:rsidRPr="009474C0">
              <w:t> – </w:t>
            </w:r>
            <w:r w:rsidRPr="00AF3735">
              <w:rPr>
                <w:rFonts w:eastAsia="SimSun"/>
              </w:rPr>
              <w:t>1</w:t>
            </w:r>
            <w:r>
              <w:rPr>
                <w:rFonts w:eastAsia="SimSun"/>
              </w:rPr>
              <w:t>,</w:t>
            </w:r>
            <w:r w:rsidRPr="00AF3735">
              <w:rPr>
                <w:rFonts w:eastAsia="SimSun"/>
              </w:rPr>
              <w:t>99</w:t>
            </w:r>
          </w:p>
          <w:p w14:paraId="49A7B835" w14:textId="4E615106" w:rsidR="00E17911" w:rsidRPr="00AF3735" w:rsidRDefault="00E17911" w:rsidP="00D90C85">
            <w:pPr>
              <w:adjustRightInd w:val="0"/>
              <w:jc w:val="center"/>
              <w:rPr>
                <w:rFonts w:eastAsia="SimSun"/>
              </w:rPr>
            </w:pPr>
            <w:r w:rsidRPr="00AF3735">
              <w:rPr>
                <w:rFonts w:eastAsia="SimSun"/>
              </w:rPr>
              <w:t>0</w:t>
            </w:r>
            <w:r>
              <w:rPr>
                <w:rFonts w:eastAsia="SimSun"/>
              </w:rPr>
              <w:t>,</w:t>
            </w:r>
            <w:r w:rsidRPr="00AF3735">
              <w:rPr>
                <w:rFonts w:eastAsia="SimSun"/>
              </w:rPr>
              <w:t>77 (0</w:t>
            </w:r>
            <w:r>
              <w:rPr>
                <w:rFonts w:eastAsia="SimSun"/>
              </w:rPr>
              <w:t>,</w:t>
            </w:r>
            <w:r w:rsidRPr="00AF3735">
              <w:rPr>
                <w:rFonts w:eastAsia="SimSun"/>
              </w:rPr>
              <w:t>53</w:t>
            </w:r>
            <w:r w:rsidR="00B63A47" w:rsidRPr="009474C0">
              <w:t> – </w:t>
            </w:r>
            <w:r w:rsidRPr="00AF3735">
              <w:rPr>
                <w:rFonts w:eastAsia="SimSun"/>
              </w:rPr>
              <w:t>1</w:t>
            </w:r>
            <w:r>
              <w:rPr>
                <w:rFonts w:eastAsia="SimSun"/>
              </w:rPr>
              <w:t>,</w:t>
            </w:r>
            <w:r w:rsidRPr="00AF3735">
              <w:rPr>
                <w:rFonts w:eastAsia="SimSun"/>
              </w:rPr>
              <w:t>11)</w:t>
            </w:r>
          </w:p>
          <w:p w14:paraId="4252AE42" w14:textId="77777777" w:rsidR="00E17911" w:rsidRPr="00AF3735" w:rsidRDefault="00E17911" w:rsidP="00D90C85">
            <w:pPr>
              <w:adjustRightInd w:val="0"/>
              <w:jc w:val="center"/>
              <w:rPr>
                <w:rFonts w:eastAsia="SimSun"/>
              </w:rPr>
            </w:pPr>
            <w:r>
              <w:rPr>
                <w:rFonts w:eastAsia="TimesNewRoman,Bold"/>
                <w:b/>
                <w:bCs/>
              </w:rPr>
              <w:t xml:space="preserve">unutar 48 mjeseci </w:t>
            </w:r>
            <w:r w:rsidRPr="00AF3735">
              <w:rPr>
                <w:rFonts w:eastAsia="TimesNewRoman,Bold"/>
                <w:b/>
                <w:bCs/>
              </w:rPr>
              <w:t>(95% CI)</w:t>
            </w:r>
          </w:p>
          <w:p w14:paraId="78F3EE1E" w14:textId="066E2621"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45 (1</w:t>
            </w:r>
            <w:r>
              <w:rPr>
                <w:rFonts w:eastAsia="SimSun"/>
              </w:rPr>
              <w:t>,</w:t>
            </w:r>
            <w:r w:rsidRPr="00AF3735">
              <w:rPr>
                <w:rFonts w:eastAsia="SimSun"/>
              </w:rPr>
              <w:t>20</w:t>
            </w:r>
            <w:r w:rsidR="00B63A47" w:rsidRPr="009474C0">
              <w:t> – </w:t>
            </w:r>
            <w:r w:rsidRPr="00AF3735">
              <w:rPr>
                <w:rFonts w:eastAsia="SimSun"/>
              </w:rPr>
              <w:t>1</w:t>
            </w:r>
            <w:r>
              <w:rPr>
                <w:rFonts w:eastAsia="SimSun"/>
              </w:rPr>
              <w:t>,</w:t>
            </w:r>
            <w:r w:rsidRPr="00AF3735">
              <w:rPr>
                <w:rFonts w:eastAsia="SimSun"/>
              </w:rPr>
              <w:t>77)</w:t>
            </w:r>
          </w:p>
          <w:p w14:paraId="4102F46D" w14:textId="4AB97663" w:rsidR="00E17911" w:rsidRPr="00AF3735" w:rsidRDefault="00E17911" w:rsidP="00D90C85">
            <w:pPr>
              <w:adjustRightInd w:val="0"/>
              <w:jc w:val="center"/>
              <w:rPr>
                <w:rFonts w:eastAsia="SimSun"/>
              </w:rPr>
            </w:pPr>
            <w:r w:rsidRPr="00AF3735">
              <w:rPr>
                <w:rFonts w:eastAsia="SimSun"/>
              </w:rPr>
              <w:t>1</w:t>
            </w:r>
            <w:r>
              <w:rPr>
                <w:rFonts w:eastAsia="SimSun"/>
              </w:rPr>
              <w:t>,</w:t>
            </w:r>
            <w:r w:rsidRPr="00AF3735">
              <w:rPr>
                <w:rFonts w:eastAsia="SimSun"/>
              </w:rPr>
              <w:t>55 (1</w:t>
            </w:r>
            <w:r>
              <w:rPr>
                <w:rFonts w:eastAsia="SimSun"/>
              </w:rPr>
              <w:t>,</w:t>
            </w:r>
            <w:r w:rsidRPr="00AF3735">
              <w:rPr>
                <w:rFonts w:eastAsia="SimSun"/>
              </w:rPr>
              <w:t>26</w:t>
            </w:r>
            <w:r w:rsidR="00B63A47" w:rsidRPr="009474C0">
              <w:t> – </w:t>
            </w:r>
            <w:r w:rsidRPr="00AF3735">
              <w:rPr>
                <w:rFonts w:eastAsia="SimSun"/>
              </w:rPr>
              <w:t>1</w:t>
            </w:r>
            <w:r>
              <w:rPr>
                <w:rFonts w:eastAsia="SimSun"/>
              </w:rPr>
              <w:t>,</w:t>
            </w:r>
            <w:r w:rsidRPr="00AF3735">
              <w:rPr>
                <w:rFonts w:eastAsia="SimSun"/>
              </w:rPr>
              <w:t>91)</w:t>
            </w:r>
          </w:p>
          <w:p w14:paraId="2967D96F" w14:textId="47FF88DC" w:rsidR="00E17911" w:rsidRPr="00AF3735" w:rsidRDefault="00E17911" w:rsidP="00D90C85">
            <w:pPr>
              <w:adjustRightInd w:val="0"/>
              <w:jc w:val="center"/>
              <w:rPr>
                <w:rFonts w:eastAsia="SimSun"/>
              </w:rPr>
            </w:pPr>
            <w:r w:rsidRPr="00AF3735">
              <w:rPr>
                <w:rFonts w:eastAsia="SimSun"/>
              </w:rPr>
              <w:t>0</w:t>
            </w:r>
            <w:r>
              <w:rPr>
                <w:rFonts w:eastAsia="SimSun"/>
              </w:rPr>
              <w:t>,</w:t>
            </w:r>
            <w:r w:rsidRPr="00AF3735">
              <w:rPr>
                <w:rFonts w:eastAsia="SimSun"/>
              </w:rPr>
              <w:t>81 (0</w:t>
            </w:r>
            <w:r>
              <w:rPr>
                <w:rFonts w:eastAsia="SimSun"/>
              </w:rPr>
              <w:t>,</w:t>
            </w:r>
            <w:r w:rsidRPr="00AF3735">
              <w:rPr>
                <w:rFonts w:eastAsia="SimSun"/>
              </w:rPr>
              <w:t>56</w:t>
            </w:r>
            <w:r w:rsidR="00B63A47" w:rsidRPr="009474C0">
              <w:t> – </w:t>
            </w:r>
            <w:r w:rsidRPr="00AF3735">
              <w:rPr>
                <w:rFonts w:eastAsia="SimSun"/>
              </w:rPr>
              <w:t>1</w:t>
            </w:r>
            <w:r>
              <w:rPr>
                <w:rFonts w:eastAsia="SimSun"/>
              </w:rPr>
              <w:t>,</w:t>
            </w:r>
            <w:r w:rsidRPr="00AF3735">
              <w:rPr>
                <w:rFonts w:eastAsia="SimSun"/>
              </w:rPr>
              <w:t>17)</w:t>
            </w:r>
          </w:p>
          <w:p w14:paraId="100D3704" w14:textId="77777777" w:rsidR="00E17911" w:rsidRPr="00AF3735" w:rsidRDefault="00E17911" w:rsidP="00D90C85">
            <w:pPr>
              <w:adjustRightInd w:val="0"/>
              <w:jc w:val="center"/>
              <w:rPr>
                <w:rFonts w:eastAsia="SimSun"/>
              </w:rPr>
            </w:pPr>
            <w:r>
              <w:rPr>
                <w:rFonts w:eastAsia="TimesNewRoman,Bold"/>
                <w:b/>
                <w:bCs/>
              </w:rPr>
              <w:t>unutar 60 mjeseci</w:t>
            </w:r>
            <w:r w:rsidRPr="00AF3735">
              <w:rPr>
                <w:rFonts w:eastAsia="TimesNewRoman,Bold"/>
                <w:b/>
                <w:bCs/>
              </w:rPr>
              <w:t xml:space="preserve"> (95% CI)</w:t>
            </w:r>
          </w:p>
          <w:p w14:paraId="66045710" w14:textId="3132320B" w:rsidR="00E17911" w:rsidRPr="00AF3735" w:rsidRDefault="00E17911" w:rsidP="00D90C85">
            <w:pPr>
              <w:adjustRightInd w:val="0"/>
              <w:jc w:val="center"/>
              <w:rPr>
                <w:rFonts w:eastAsia="TimesNewRoman,Bold"/>
                <w:b/>
                <w:bCs/>
              </w:rPr>
            </w:pPr>
            <w:r w:rsidRPr="00AF3735">
              <w:rPr>
                <w:rFonts w:eastAsia="SimSun"/>
              </w:rPr>
              <w:t>1</w:t>
            </w:r>
            <w:r>
              <w:rPr>
                <w:rFonts w:eastAsia="SimSun"/>
              </w:rPr>
              <w:t>,</w:t>
            </w:r>
            <w:r w:rsidRPr="00AF3735">
              <w:rPr>
                <w:rFonts w:eastAsia="SimSun"/>
              </w:rPr>
              <w:t>46 (1</w:t>
            </w:r>
            <w:r>
              <w:rPr>
                <w:rFonts w:eastAsia="SimSun"/>
              </w:rPr>
              <w:t>,</w:t>
            </w:r>
            <w:r w:rsidRPr="00AF3735">
              <w:rPr>
                <w:rFonts w:eastAsia="SimSun"/>
              </w:rPr>
              <w:t>20</w:t>
            </w:r>
            <w:r w:rsidR="00B63A47" w:rsidRPr="009474C0">
              <w:t> – </w:t>
            </w:r>
            <w:r w:rsidRPr="00AF3735">
              <w:rPr>
                <w:rFonts w:eastAsia="SimSun"/>
              </w:rPr>
              <w:t>1</w:t>
            </w:r>
            <w:r>
              <w:rPr>
                <w:rFonts w:eastAsia="SimSun"/>
              </w:rPr>
              <w:t>,</w:t>
            </w:r>
            <w:r w:rsidRPr="00AF3735">
              <w:rPr>
                <w:rFonts w:eastAsia="SimSun"/>
              </w:rPr>
              <w:t>77)</w:t>
            </w:r>
          </w:p>
          <w:p w14:paraId="4F8CED02" w14:textId="6DB6ACD4" w:rsidR="00E17911" w:rsidRPr="00AF3735" w:rsidRDefault="00E17911" w:rsidP="00D90C85">
            <w:pPr>
              <w:adjustRightInd w:val="0"/>
              <w:jc w:val="center"/>
              <w:rPr>
                <w:rFonts w:eastAsia="TimesNewRoman,Bold"/>
                <w:b/>
                <w:bCs/>
              </w:rPr>
            </w:pPr>
            <w:r w:rsidRPr="00AF3735">
              <w:rPr>
                <w:rFonts w:eastAsia="SimSun"/>
              </w:rPr>
              <w:t>1</w:t>
            </w:r>
            <w:r>
              <w:rPr>
                <w:rFonts w:eastAsia="SimSun"/>
              </w:rPr>
              <w:t>,</w:t>
            </w:r>
            <w:r w:rsidRPr="00AF3735">
              <w:rPr>
                <w:rFonts w:eastAsia="SimSun"/>
              </w:rPr>
              <w:t>54 (1</w:t>
            </w:r>
            <w:r>
              <w:rPr>
                <w:rFonts w:eastAsia="SimSun"/>
              </w:rPr>
              <w:t>,</w:t>
            </w:r>
            <w:r w:rsidRPr="00AF3735">
              <w:rPr>
                <w:rFonts w:eastAsia="SimSun"/>
              </w:rPr>
              <w:t>25</w:t>
            </w:r>
            <w:r w:rsidR="00B63A47" w:rsidRPr="009474C0">
              <w:t> – </w:t>
            </w:r>
            <w:r w:rsidRPr="00AF3735">
              <w:rPr>
                <w:rFonts w:eastAsia="SimSun"/>
              </w:rPr>
              <w:t>1</w:t>
            </w:r>
            <w:r>
              <w:rPr>
                <w:rFonts w:eastAsia="SimSun"/>
              </w:rPr>
              <w:t>,</w:t>
            </w:r>
            <w:r w:rsidRPr="00AF3735">
              <w:rPr>
                <w:rFonts w:eastAsia="SimSun"/>
              </w:rPr>
              <w:t>89)</w:t>
            </w:r>
          </w:p>
          <w:p w14:paraId="77A6965E" w14:textId="1411433E" w:rsidR="00E17911" w:rsidRPr="00AF3735" w:rsidRDefault="00E17911" w:rsidP="00D90C85">
            <w:pPr>
              <w:adjustRightInd w:val="0"/>
              <w:jc w:val="center"/>
              <w:rPr>
                <w:rFonts w:eastAsia="SimSun"/>
              </w:rPr>
            </w:pPr>
            <w:r w:rsidRPr="00AF3735">
              <w:rPr>
                <w:rFonts w:eastAsia="SimSun"/>
              </w:rPr>
              <w:t>0</w:t>
            </w:r>
            <w:r>
              <w:rPr>
                <w:rFonts w:eastAsia="SimSun"/>
              </w:rPr>
              <w:t>,</w:t>
            </w:r>
            <w:r w:rsidRPr="00AF3735">
              <w:rPr>
                <w:rFonts w:eastAsia="SimSun"/>
              </w:rPr>
              <w:t>79 (0</w:t>
            </w:r>
            <w:r>
              <w:rPr>
                <w:rFonts w:eastAsia="SimSun"/>
              </w:rPr>
              <w:t>,</w:t>
            </w:r>
            <w:r w:rsidRPr="00AF3735">
              <w:rPr>
                <w:rFonts w:eastAsia="SimSun"/>
              </w:rPr>
              <w:t>55</w:t>
            </w:r>
            <w:r w:rsidR="00B63A47" w:rsidRPr="009474C0">
              <w:t> – </w:t>
            </w:r>
            <w:r w:rsidRPr="00AF3735">
              <w:rPr>
                <w:rFonts w:eastAsia="SimSun"/>
              </w:rPr>
              <w:t>1</w:t>
            </w:r>
            <w:r>
              <w:rPr>
                <w:rFonts w:eastAsia="SimSun"/>
              </w:rPr>
              <w:t>,</w:t>
            </w:r>
            <w:r w:rsidRPr="00AF3735">
              <w:rPr>
                <w:rFonts w:eastAsia="SimSun"/>
              </w:rPr>
              <w:t>13)</w:t>
            </w:r>
          </w:p>
        </w:tc>
        <w:tc>
          <w:tcPr>
            <w:tcW w:w="2010" w:type="dxa"/>
            <w:tcBorders>
              <w:left w:val="nil"/>
              <w:bottom w:val="nil"/>
              <w:right w:val="nil"/>
            </w:tcBorders>
          </w:tcPr>
          <w:p w14:paraId="4CE39327" w14:textId="77777777" w:rsidR="00E17911" w:rsidRPr="00AF3735" w:rsidRDefault="00E17911" w:rsidP="00D90C85">
            <w:pPr>
              <w:adjustRightInd w:val="0"/>
              <w:jc w:val="center"/>
              <w:rPr>
                <w:rFonts w:eastAsia="SimSun"/>
              </w:rPr>
            </w:pPr>
          </w:p>
        </w:tc>
      </w:tr>
      <w:tr w:rsidR="00E17911" w:rsidRPr="00AF3735" w14:paraId="7871E577" w14:textId="77777777" w:rsidTr="0031614A">
        <w:tc>
          <w:tcPr>
            <w:tcW w:w="2178" w:type="dxa"/>
            <w:tcBorders>
              <w:top w:val="nil"/>
              <w:left w:val="nil"/>
              <w:bottom w:val="nil"/>
              <w:right w:val="nil"/>
            </w:tcBorders>
          </w:tcPr>
          <w:p w14:paraId="45CCBB28" w14:textId="77777777" w:rsidR="00E17911" w:rsidRPr="00AF3735" w:rsidRDefault="00E17911" w:rsidP="00D90C85">
            <w:pPr>
              <w:adjustRightInd w:val="0"/>
              <w:jc w:val="center"/>
              <w:rPr>
                <w:rFonts w:eastAsia="TimesNewRoman,Bold"/>
                <w:b/>
                <w:bCs/>
              </w:rPr>
            </w:pPr>
          </w:p>
        </w:tc>
        <w:tc>
          <w:tcPr>
            <w:tcW w:w="5335" w:type="dxa"/>
            <w:gridSpan w:val="2"/>
            <w:vMerge/>
            <w:tcBorders>
              <w:left w:val="nil"/>
              <w:right w:val="nil"/>
            </w:tcBorders>
          </w:tcPr>
          <w:p w14:paraId="384F7C79" w14:textId="3F00E228"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C670D31" w14:textId="77777777" w:rsidR="00E17911" w:rsidRPr="00AF3735" w:rsidRDefault="00E17911" w:rsidP="00D90C85">
            <w:pPr>
              <w:adjustRightInd w:val="0"/>
              <w:jc w:val="center"/>
              <w:rPr>
                <w:rFonts w:eastAsia="SimSun"/>
              </w:rPr>
            </w:pPr>
          </w:p>
        </w:tc>
      </w:tr>
      <w:tr w:rsidR="00E17911" w:rsidRPr="00AF3735" w14:paraId="2656E67E" w14:textId="77777777" w:rsidTr="0031614A">
        <w:tc>
          <w:tcPr>
            <w:tcW w:w="2178" w:type="dxa"/>
            <w:tcBorders>
              <w:top w:val="nil"/>
              <w:left w:val="nil"/>
              <w:bottom w:val="nil"/>
              <w:right w:val="nil"/>
            </w:tcBorders>
          </w:tcPr>
          <w:p w14:paraId="447D102C" w14:textId="52F9C2A6"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615432AE" w14:textId="71032D94"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76293804" w14:textId="30A2B8D4"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&lt;</w:t>
            </w:r>
            <w:r w:rsidR="00056599">
              <w:rPr>
                <w:rFonts w:eastAsia="SimSun"/>
              </w:rPr>
              <w:t xml:space="preserve"> </w:t>
            </w:r>
            <w:r w:rsidRPr="00AF3735">
              <w:rPr>
                <w:rFonts w:eastAsia="SimSun"/>
              </w:rPr>
              <w:t>0</w:t>
            </w:r>
            <w:r>
              <w:rPr>
                <w:rFonts w:eastAsia="SimSun"/>
              </w:rPr>
              <w:t>,</w:t>
            </w:r>
            <w:r w:rsidRPr="00AF3735">
              <w:rPr>
                <w:rFonts w:eastAsia="SimSun"/>
              </w:rPr>
              <w:t>0001*</w:t>
            </w:r>
          </w:p>
        </w:tc>
      </w:tr>
      <w:tr w:rsidR="00E17911" w:rsidRPr="00AF3735" w14:paraId="63CA9EFF" w14:textId="77777777" w:rsidTr="0031614A">
        <w:tc>
          <w:tcPr>
            <w:tcW w:w="2178" w:type="dxa"/>
            <w:tcBorders>
              <w:top w:val="nil"/>
              <w:left w:val="nil"/>
              <w:bottom w:val="nil"/>
              <w:right w:val="nil"/>
            </w:tcBorders>
          </w:tcPr>
          <w:p w14:paraId="6ED53F1F" w14:textId="2CDACBF0"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MMR</w:t>
            </w:r>
            <w:r w:rsidR="002D2F12">
              <w:rPr>
                <w:rFonts w:eastAsia="SimSun"/>
              </w:rPr>
              <w:t>-a</w:t>
            </w:r>
          </w:p>
        </w:tc>
        <w:tc>
          <w:tcPr>
            <w:tcW w:w="5335" w:type="dxa"/>
            <w:gridSpan w:val="2"/>
            <w:vMerge/>
            <w:tcBorders>
              <w:left w:val="nil"/>
              <w:right w:val="nil"/>
            </w:tcBorders>
          </w:tcPr>
          <w:p w14:paraId="0145599B" w14:textId="6C5C4C3A"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C8B3705" w14:textId="4011048F"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&lt;</w:t>
            </w:r>
            <w:r w:rsidR="00056599">
              <w:rPr>
                <w:rFonts w:eastAsia="SimSun"/>
              </w:rPr>
              <w:t xml:space="preserve"> </w:t>
            </w:r>
            <w:r w:rsidRPr="00AF3735">
              <w:rPr>
                <w:rFonts w:eastAsia="SimSun"/>
              </w:rPr>
              <w:t>0</w:t>
            </w:r>
            <w:r>
              <w:rPr>
                <w:rFonts w:eastAsia="SimSun"/>
              </w:rPr>
              <w:t>,</w:t>
            </w:r>
            <w:r w:rsidRPr="00AF3735">
              <w:rPr>
                <w:rFonts w:eastAsia="SimSun"/>
              </w:rPr>
              <w:t>0001*</w:t>
            </w:r>
          </w:p>
        </w:tc>
      </w:tr>
      <w:tr w:rsidR="00E17911" w:rsidRPr="00AF3735" w14:paraId="3483BD15" w14:textId="77777777" w:rsidTr="0031614A">
        <w:tc>
          <w:tcPr>
            <w:tcW w:w="2178" w:type="dxa"/>
            <w:tcBorders>
              <w:top w:val="nil"/>
              <w:left w:val="nil"/>
              <w:bottom w:val="nil"/>
              <w:right w:val="nil"/>
            </w:tcBorders>
          </w:tcPr>
          <w:p w14:paraId="6F427C51" w14:textId="6355777F" w:rsidR="00E17911" w:rsidRPr="00AF3735" w:rsidRDefault="00E17911" w:rsidP="00D90C85">
            <w:pPr>
              <w:adjustRightInd w:val="0"/>
              <w:jc w:val="center"/>
              <w:rPr>
                <w:rFonts w:eastAsia="TimesNewRoman,Bold"/>
                <w:b/>
                <w:bCs/>
              </w:rPr>
            </w:pPr>
            <w:r>
              <w:rPr>
                <w:rFonts w:eastAsia="SimSun"/>
              </w:rPr>
              <w:t>Trajanje</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22F5E823" w14:textId="0ECFA7E6"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4ED74BCC" w14:textId="214260E3"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&lt;</w:t>
            </w:r>
            <w:r w:rsidR="00056599">
              <w:rPr>
                <w:rFonts w:eastAsia="SimSun"/>
              </w:rPr>
              <w:t xml:space="preserve"> </w:t>
            </w:r>
            <w:r w:rsidRPr="00AF3735">
              <w:rPr>
                <w:rFonts w:eastAsia="SimSun"/>
              </w:rPr>
              <w:t>0</w:t>
            </w:r>
            <w:r>
              <w:rPr>
                <w:rFonts w:eastAsia="SimSun"/>
              </w:rPr>
              <w:t>,</w:t>
            </w:r>
            <w:r w:rsidRPr="00AF3735">
              <w:rPr>
                <w:rFonts w:eastAsia="SimSun"/>
              </w:rPr>
              <w:t>035</w:t>
            </w:r>
          </w:p>
        </w:tc>
      </w:tr>
      <w:tr w:rsidR="00E17911" w:rsidRPr="00AF3735" w14:paraId="01A0EB55" w14:textId="77777777" w:rsidTr="0031614A">
        <w:tc>
          <w:tcPr>
            <w:tcW w:w="2178" w:type="dxa"/>
            <w:tcBorders>
              <w:top w:val="nil"/>
              <w:left w:val="nil"/>
              <w:bottom w:val="nil"/>
              <w:right w:val="nil"/>
            </w:tcBorders>
          </w:tcPr>
          <w:p w14:paraId="3CF99EA7" w14:textId="77777777" w:rsidR="00E17911" w:rsidRPr="00AF3735" w:rsidRDefault="00E17911" w:rsidP="00D90C85">
            <w:pPr>
              <w:adjustRightInd w:val="0"/>
              <w:jc w:val="center"/>
              <w:rPr>
                <w:rFonts w:eastAsia="TimesNewRoman,Bold"/>
                <w:b/>
                <w:bCs/>
              </w:rPr>
            </w:pPr>
          </w:p>
        </w:tc>
        <w:tc>
          <w:tcPr>
            <w:tcW w:w="5335" w:type="dxa"/>
            <w:gridSpan w:val="2"/>
            <w:vMerge/>
            <w:tcBorders>
              <w:left w:val="nil"/>
              <w:right w:val="nil"/>
            </w:tcBorders>
          </w:tcPr>
          <w:p w14:paraId="22BA3B6B" w14:textId="5C88ED22"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D863B61" w14:textId="77777777" w:rsidR="00E17911" w:rsidRPr="00AF3735" w:rsidRDefault="00E17911" w:rsidP="00D90C85">
            <w:pPr>
              <w:adjustRightInd w:val="0"/>
              <w:jc w:val="center"/>
              <w:rPr>
                <w:rFonts w:eastAsia="SimSun"/>
              </w:rPr>
            </w:pPr>
          </w:p>
        </w:tc>
      </w:tr>
      <w:tr w:rsidR="00E17911" w:rsidRPr="00AF3735" w14:paraId="44F3B33F" w14:textId="77777777" w:rsidTr="0031614A">
        <w:tc>
          <w:tcPr>
            <w:tcW w:w="2178" w:type="dxa"/>
            <w:tcBorders>
              <w:top w:val="nil"/>
              <w:left w:val="nil"/>
              <w:bottom w:val="nil"/>
              <w:right w:val="nil"/>
            </w:tcBorders>
          </w:tcPr>
          <w:p w14:paraId="1570CF5C" w14:textId="3C73B5BC"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706295D2" w14:textId="7ADF2B62"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111A9C87"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3793ED43" w14:textId="77777777" w:rsidTr="0031614A">
        <w:tc>
          <w:tcPr>
            <w:tcW w:w="2178" w:type="dxa"/>
            <w:tcBorders>
              <w:top w:val="nil"/>
              <w:left w:val="nil"/>
              <w:bottom w:val="nil"/>
              <w:right w:val="nil"/>
            </w:tcBorders>
          </w:tcPr>
          <w:p w14:paraId="5430474F" w14:textId="15D9CC9F"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MMR</w:t>
            </w:r>
            <w:r w:rsidR="002D2F12">
              <w:rPr>
                <w:rFonts w:eastAsia="SimSun"/>
              </w:rPr>
              <w:t>-a</w:t>
            </w:r>
          </w:p>
        </w:tc>
        <w:tc>
          <w:tcPr>
            <w:tcW w:w="5335" w:type="dxa"/>
            <w:gridSpan w:val="2"/>
            <w:vMerge/>
            <w:tcBorders>
              <w:left w:val="nil"/>
              <w:right w:val="nil"/>
            </w:tcBorders>
          </w:tcPr>
          <w:p w14:paraId="57A58B1C" w14:textId="6D612678"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04D6980D"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3A62B4C8" w14:textId="77777777" w:rsidTr="0031614A">
        <w:tc>
          <w:tcPr>
            <w:tcW w:w="2178" w:type="dxa"/>
            <w:tcBorders>
              <w:top w:val="nil"/>
              <w:left w:val="nil"/>
              <w:bottom w:val="nil"/>
              <w:right w:val="nil"/>
            </w:tcBorders>
          </w:tcPr>
          <w:p w14:paraId="4101E234" w14:textId="2946CEC9" w:rsidR="00E17911" w:rsidRPr="00AF3735" w:rsidRDefault="00E17911" w:rsidP="00D90C85">
            <w:pPr>
              <w:adjustRightInd w:val="0"/>
              <w:jc w:val="center"/>
              <w:rPr>
                <w:rFonts w:eastAsia="TimesNewRoman,Bold"/>
                <w:b/>
                <w:bCs/>
              </w:rPr>
            </w:pPr>
            <w:r>
              <w:rPr>
                <w:rFonts w:eastAsia="SimSun"/>
              </w:rPr>
              <w:t>Trajanje</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109C635B" w14:textId="2876E16F"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A9C5481"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479A5FEC" w14:textId="77777777" w:rsidTr="0031614A">
        <w:tc>
          <w:tcPr>
            <w:tcW w:w="2178" w:type="dxa"/>
            <w:tcBorders>
              <w:top w:val="nil"/>
              <w:left w:val="nil"/>
              <w:bottom w:val="nil"/>
              <w:right w:val="nil"/>
            </w:tcBorders>
          </w:tcPr>
          <w:p w14:paraId="77BE397D" w14:textId="77777777" w:rsidR="00E17911" w:rsidRPr="00AF3735" w:rsidRDefault="00E17911" w:rsidP="00D90C85">
            <w:pPr>
              <w:adjustRightInd w:val="0"/>
              <w:jc w:val="center"/>
              <w:rPr>
                <w:rFonts w:eastAsia="TimesNewRoman,Bold"/>
                <w:b/>
                <w:bCs/>
              </w:rPr>
            </w:pPr>
          </w:p>
        </w:tc>
        <w:tc>
          <w:tcPr>
            <w:tcW w:w="5335" w:type="dxa"/>
            <w:gridSpan w:val="2"/>
            <w:vMerge/>
            <w:tcBorders>
              <w:left w:val="nil"/>
              <w:right w:val="nil"/>
            </w:tcBorders>
          </w:tcPr>
          <w:p w14:paraId="272AA55E" w14:textId="03E966C9"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2A16CBEF" w14:textId="77777777" w:rsidR="00E17911" w:rsidRPr="00AF3735" w:rsidRDefault="00E17911" w:rsidP="00D90C85">
            <w:pPr>
              <w:adjustRightInd w:val="0"/>
              <w:jc w:val="center"/>
              <w:rPr>
                <w:rFonts w:eastAsia="SimSun"/>
              </w:rPr>
            </w:pPr>
          </w:p>
        </w:tc>
      </w:tr>
      <w:tr w:rsidR="00E17911" w:rsidRPr="00AF3735" w14:paraId="4486A58D" w14:textId="77777777" w:rsidTr="0031614A">
        <w:trPr>
          <w:trHeight w:val="269"/>
        </w:trPr>
        <w:tc>
          <w:tcPr>
            <w:tcW w:w="2178" w:type="dxa"/>
            <w:tcBorders>
              <w:top w:val="nil"/>
              <w:left w:val="nil"/>
              <w:bottom w:val="nil"/>
              <w:right w:val="nil"/>
            </w:tcBorders>
          </w:tcPr>
          <w:p w14:paraId="085EC13F" w14:textId="1D6BCC88"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411B6190" w14:textId="72F565D1"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27A9A84"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04AEA08D" w14:textId="77777777" w:rsidTr="0031614A">
        <w:tc>
          <w:tcPr>
            <w:tcW w:w="2178" w:type="dxa"/>
            <w:tcBorders>
              <w:top w:val="nil"/>
              <w:left w:val="nil"/>
              <w:bottom w:val="nil"/>
              <w:right w:val="nil"/>
            </w:tcBorders>
          </w:tcPr>
          <w:p w14:paraId="7C89E5C4" w14:textId="0C15F9C4"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MMR</w:t>
            </w:r>
            <w:r w:rsidR="002D2F12">
              <w:rPr>
                <w:rFonts w:eastAsia="SimSun"/>
              </w:rPr>
              <w:t>-a</w:t>
            </w:r>
          </w:p>
        </w:tc>
        <w:tc>
          <w:tcPr>
            <w:tcW w:w="5335" w:type="dxa"/>
            <w:gridSpan w:val="2"/>
            <w:vMerge/>
            <w:tcBorders>
              <w:left w:val="nil"/>
              <w:right w:val="nil"/>
            </w:tcBorders>
          </w:tcPr>
          <w:p w14:paraId="323BF6C6" w14:textId="082253F6"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4176C69F"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74561A23" w14:textId="77777777" w:rsidTr="0031614A">
        <w:tc>
          <w:tcPr>
            <w:tcW w:w="2178" w:type="dxa"/>
            <w:tcBorders>
              <w:top w:val="nil"/>
              <w:left w:val="nil"/>
              <w:bottom w:val="nil"/>
              <w:right w:val="nil"/>
            </w:tcBorders>
          </w:tcPr>
          <w:p w14:paraId="3A51EC15" w14:textId="089E440B" w:rsidR="00E17911" w:rsidRPr="00AF3735" w:rsidRDefault="00E17911" w:rsidP="00D90C85">
            <w:pPr>
              <w:adjustRightInd w:val="0"/>
              <w:jc w:val="center"/>
              <w:rPr>
                <w:rFonts w:eastAsia="TimesNewRoman,Bold"/>
                <w:b/>
                <w:bCs/>
              </w:rPr>
            </w:pPr>
            <w:r>
              <w:rPr>
                <w:rFonts w:eastAsia="SimSun"/>
              </w:rPr>
              <w:t>Trajanje</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28C142FE" w14:textId="0A76D4DD"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1933D3EE"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14170DEC" w14:textId="77777777" w:rsidTr="0031614A">
        <w:tc>
          <w:tcPr>
            <w:tcW w:w="2178" w:type="dxa"/>
            <w:tcBorders>
              <w:top w:val="nil"/>
              <w:left w:val="nil"/>
              <w:bottom w:val="nil"/>
              <w:right w:val="nil"/>
            </w:tcBorders>
          </w:tcPr>
          <w:p w14:paraId="2635B843" w14:textId="77777777" w:rsidR="00E17911" w:rsidRPr="00AF3735" w:rsidRDefault="00E17911" w:rsidP="00D90C85">
            <w:pPr>
              <w:adjustRightInd w:val="0"/>
              <w:jc w:val="center"/>
              <w:rPr>
                <w:rFonts w:eastAsia="SimSun"/>
              </w:rPr>
            </w:pPr>
          </w:p>
        </w:tc>
        <w:tc>
          <w:tcPr>
            <w:tcW w:w="5335" w:type="dxa"/>
            <w:gridSpan w:val="2"/>
            <w:vMerge/>
            <w:tcBorders>
              <w:left w:val="nil"/>
              <w:right w:val="nil"/>
            </w:tcBorders>
          </w:tcPr>
          <w:p w14:paraId="46E65D8B" w14:textId="05A12310"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0E9F65F5" w14:textId="77777777" w:rsidR="00E17911" w:rsidRPr="00AF3735" w:rsidRDefault="00E17911" w:rsidP="00D90C85">
            <w:pPr>
              <w:adjustRightInd w:val="0"/>
              <w:jc w:val="center"/>
              <w:rPr>
                <w:rFonts w:eastAsia="SimSun"/>
              </w:rPr>
            </w:pPr>
          </w:p>
        </w:tc>
      </w:tr>
      <w:tr w:rsidR="00E17911" w:rsidRPr="00AF3735" w14:paraId="273B6BD0" w14:textId="77777777" w:rsidTr="0031614A">
        <w:tc>
          <w:tcPr>
            <w:tcW w:w="2178" w:type="dxa"/>
            <w:tcBorders>
              <w:top w:val="nil"/>
              <w:left w:val="nil"/>
              <w:bottom w:val="nil"/>
              <w:right w:val="nil"/>
            </w:tcBorders>
          </w:tcPr>
          <w:p w14:paraId="537DC6C3" w14:textId="207DA919"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5D85284D" w14:textId="653ACE74"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5867F554"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0FF322EB" w14:textId="77777777" w:rsidTr="0031614A">
        <w:tc>
          <w:tcPr>
            <w:tcW w:w="2178" w:type="dxa"/>
            <w:tcBorders>
              <w:top w:val="nil"/>
              <w:left w:val="nil"/>
              <w:bottom w:val="nil"/>
              <w:right w:val="nil"/>
            </w:tcBorders>
          </w:tcPr>
          <w:p w14:paraId="2DA3CB4D" w14:textId="56C2C57A"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MMR</w:t>
            </w:r>
            <w:r w:rsidR="002D2F12">
              <w:rPr>
                <w:rFonts w:eastAsia="SimSun"/>
              </w:rPr>
              <w:t>-a</w:t>
            </w:r>
          </w:p>
        </w:tc>
        <w:tc>
          <w:tcPr>
            <w:tcW w:w="5335" w:type="dxa"/>
            <w:gridSpan w:val="2"/>
            <w:vMerge/>
            <w:tcBorders>
              <w:left w:val="nil"/>
              <w:right w:val="nil"/>
            </w:tcBorders>
          </w:tcPr>
          <w:p w14:paraId="48D75B5F" w14:textId="35345A5D"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08D935D7"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5CFACFE2" w14:textId="77777777" w:rsidTr="0031614A">
        <w:tc>
          <w:tcPr>
            <w:tcW w:w="2178" w:type="dxa"/>
            <w:tcBorders>
              <w:top w:val="nil"/>
              <w:left w:val="nil"/>
              <w:bottom w:val="nil"/>
              <w:right w:val="nil"/>
            </w:tcBorders>
          </w:tcPr>
          <w:p w14:paraId="7D8F527B" w14:textId="74CCA9B3" w:rsidR="00E17911" w:rsidRPr="00AF3735" w:rsidRDefault="00E17911" w:rsidP="00D90C85">
            <w:pPr>
              <w:adjustRightInd w:val="0"/>
              <w:jc w:val="center"/>
              <w:rPr>
                <w:rFonts w:eastAsia="TimesNewRoman,Bold"/>
                <w:b/>
                <w:bCs/>
              </w:rPr>
            </w:pPr>
            <w:r>
              <w:rPr>
                <w:rFonts w:eastAsia="SimSun"/>
              </w:rPr>
              <w:t>Trajanje</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321C185B" w14:textId="7B720848"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7ADF20D0" w14:textId="77777777" w:rsidR="00E17911" w:rsidRPr="00AF3735" w:rsidRDefault="00E17911" w:rsidP="00D90C85">
            <w:pPr>
              <w:adjustRightInd w:val="0"/>
              <w:jc w:val="center"/>
              <w:rPr>
                <w:rFonts w:eastAsia="SimSun"/>
              </w:rPr>
            </w:pPr>
            <w:r w:rsidRPr="00AF3735">
              <w:rPr>
                <w:rFonts w:eastAsia="SimSun"/>
              </w:rPr>
              <w:t>̲</w:t>
            </w:r>
          </w:p>
        </w:tc>
      </w:tr>
      <w:tr w:rsidR="00E17911" w:rsidRPr="00AF3735" w14:paraId="7DA0980C" w14:textId="77777777" w:rsidTr="0031614A">
        <w:tc>
          <w:tcPr>
            <w:tcW w:w="2178" w:type="dxa"/>
            <w:tcBorders>
              <w:top w:val="nil"/>
              <w:left w:val="nil"/>
              <w:bottom w:val="nil"/>
              <w:right w:val="nil"/>
            </w:tcBorders>
          </w:tcPr>
          <w:p w14:paraId="1D0608EA" w14:textId="77777777" w:rsidR="00E17911" w:rsidRPr="00AF3735" w:rsidRDefault="00E17911" w:rsidP="00D90C85">
            <w:pPr>
              <w:adjustRightInd w:val="0"/>
              <w:jc w:val="center"/>
              <w:rPr>
                <w:rFonts w:eastAsia="SimSun"/>
              </w:rPr>
            </w:pPr>
          </w:p>
        </w:tc>
        <w:tc>
          <w:tcPr>
            <w:tcW w:w="5335" w:type="dxa"/>
            <w:gridSpan w:val="2"/>
            <w:vMerge/>
            <w:tcBorders>
              <w:left w:val="nil"/>
              <w:right w:val="nil"/>
            </w:tcBorders>
          </w:tcPr>
          <w:p w14:paraId="4AC2655D" w14:textId="2498ED41"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1EB76B6B" w14:textId="77777777" w:rsidR="00E17911" w:rsidRPr="00AF3735" w:rsidRDefault="00E17911" w:rsidP="00D90C85">
            <w:pPr>
              <w:adjustRightInd w:val="0"/>
              <w:jc w:val="center"/>
              <w:rPr>
                <w:rFonts w:eastAsia="SimSun"/>
              </w:rPr>
            </w:pPr>
          </w:p>
        </w:tc>
      </w:tr>
      <w:tr w:rsidR="00E17911" w:rsidRPr="00AF3735" w14:paraId="61A442EB" w14:textId="77777777" w:rsidTr="0031614A">
        <w:tc>
          <w:tcPr>
            <w:tcW w:w="2178" w:type="dxa"/>
            <w:tcBorders>
              <w:top w:val="nil"/>
              <w:left w:val="nil"/>
              <w:bottom w:val="nil"/>
              <w:right w:val="nil"/>
            </w:tcBorders>
          </w:tcPr>
          <w:p w14:paraId="14F5FCB2" w14:textId="633A0362"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68F0C328" w14:textId="337C1384"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777BC0E7" w14:textId="35DEC8E8"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w:t>
            </w:r>
            <w:r w:rsidR="00056599">
              <w:rPr>
                <w:rFonts w:eastAsia="SimSun"/>
              </w:rPr>
              <w:t xml:space="preserve"> </w:t>
            </w:r>
            <w:r w:rsidRPr="00AF3735">
              <w:rPr>
                <w:rFonts w:eastAsia="SimSun"/>
              </w:rPr>
              <w:t>0</w:t>
            </w:r>
            <w:r>
              <w:rPr>
                <w:rFonts w:eastAsia="SimSun"/>
              </w:rPr>
              <w:t>,</w:t>
            </w:r>
            <w:r w:rsidRPr="00AF3735">
              <w:rPr>
                <w:rFonts w:eastAsia="SimSun"/>
              </w:rPr>
              <w:t>0001</w:t>
            </w:r>
          </w:p>
        </w:tc>
      </w:tr>
      <w:tr w:rsidR="00E17911" w:rsidRPr="00AF3735" w14:paraId="0343D074" w14:textId="77777777" w:rsidTr="0031614A">
        <w:tc>
          <w:tcPr>
            <w:tcW w:w="2178" w:type="dxa"/>
            <w:tcBorders>
              <w:top w:val="nil"/>
              <w:left w:val="nil"/>
              <w:bottom w:val="nil"/>
              <w:right w:val="nil"/>
            </w:tcBorders>
          </w:tcPr>
          <w:p w14:paraId="75A82BE0" w14:textId="20A44EA7" w:rsidR="00E17911" w:rsidRPr="00AF3735" w:rsidRDefault="00E17911" w:rsidP="00D90C85">
            <w:pPr>
              <w:adjustRightInd w:val="0"/>
              <w:jc w:val="center"/>
              <w:rPr>
                <w:rFonts w:eastAsia="TimesNewRoman,Bold"/>
                <w:b/>
                <w:bCs/>
              </w:rPr>
            </w:pPr>
            <w:r>
              <w:rPr>
                <w:rFonts w:eastAsia="SimSun"/>
              </w:rPr>
              <w:t>Vrijeme do</w:t>
            </w:r>
            <w:r w:rsidRPr="00AF3735">
              <w:rPr>
                <w:rFonts w:eastAsia="SimSun"/>
              </w:rPr>
              <w:t xml:space="preserve"> MMR</w:t>
            </w:r>
            <w:r w:rsidR="002D2F12">
              <w:rPr>
                <w:rFonts w:eastAsia="SimSun"/>
              </w:rPr>
              <w:t>-a</w:t>
            </w:r>
          </w:p>
        </w:tc>
        <w:tc>
          <w:tcPr>
            <w:tcW w:w="5335" w:type="dxa"/>
            <w:gridSpan w:val="2"/>
            <w:vMerge/>
            <w:tcBorders>
              <w:left w:val="nil"/>
              <w:right w:val="nil"/>
            </w:tcBorders>
          </w:tcPr>
          <w:p w14:paraId="024290C1" w14:textId="45724E5C" w:rsidR="00E17911" w:rsidRPr="00AF3735" w:rsidRDefault="00E17911" w:rsidP="00D90C85">
            <w:pPr>
              <w:adjustRightInd w:val="0"/>
              <w:jc w:val="center"/>
              <w:rPr>
                <w:rFonts w:eastAsia="SimSun"/>
              </w:rPr>
            </w:pPr>
          </w:p>
        </w:tc>
        <w:tc>
          <w:tcPr>
            <w:tcW w:w="2010" w:type="dxa"/>
            <w:tcBorders>
              <w:top w:val="nil"/>
              <w:left w:val="nil"/>
              <w:bottom w:val="nil"/>
              <w:right w:val="nil"/>
            </w:tcBorders>
          </w:tcPr>
          <w:p w14:paraId="4EB7FBCD" w14:textId="6CD2AF0D"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&lt;</w:t>
            </w:r>
            <w:r w:rsidR="00056599">
              <w:rPr>
                <w:rFonts w:eastAsia="SimSun"/>
              </w:rPr>
              <w:t xml:space="preserve"> </w:t>
            </w:r>
            <w:r w:rsidRPr="00AF3735">
              <w:rPr>
                <w:rFonts w:eastAsia="SimSun"/>
              </w:rPr>
              <w:t>0</w:t>
            </w:r>
            <w:r>
              <w:rPr>
                <w:rFonts w:eastAsia="SimSun"/>
              </w:rPr>
              <w:t>,</w:t>
            </w:r>
            <w:r w:rsidRPr="00AF3735">
              <w:rPr>
                <w:rFonts w:eastAsia="SimSun"/>
              </w:rPr>
              <w:t>0001</w:t>
            </w:r>
          </w:p>
        </w:tc>
      </w:tr>
      <w:tr w:rsidR="00E17911" w:rsidRPr="00AF3735" w14:paraId="2B70B9E3" w14:textId="77777777" w:rsidTr="0031614A">
        <w:tc>
          <w:tcPr>
            <w:tcW w:w="2178" w:type="dxa"/>
            <w:tcBorders>
              <w:top w:val="nil"/>
              <w:left w:val="nil"/>
              <w:right w:val="nil"/>
            </w:tcBorders>
          </w:tcPr>
          <w:p w14:paraId="5BA0A89D" w14:textId="1626D6A1" w:rsidR="00E17911" w:rsidRPr="00AF3735" w:rsidRDefault="00E17911" w:rsidP="00D90C85">
            <w:pPr>
              <w:adjustRightInd w:val="0"/>
              <w:jc w:val="center"/>
              <w:rPr>
                <w:rFonts w:eastAsia="TimesNewRoman,Bold"/>
                <w:b/>
                <w:bCs/>
              </w:rPr>
            </w:pPr>
            <w:r>
              <w:rPr>
                <w:rFonts w:eastAsia="SimSun"/>
              </w:rPr>
              <w:t>Trajanje</w:t>
            </w:r>
            <w:r w:rsidRPr="00AF3735">
              <w:rPr>
                <w:rFonts w:eastAsia="SimSun"/>
              </w:rPr>
              <w:t xml:space="preserve"> cCCyR</w:t>
            </w:r>
            <w:r w:rsidR="002D2F12">
              <w:rPr>
                <w:rFonts w:eastAsia="SimSun"/>
              </w:rPr>
              <w:t>-a</w:t>
            </w:r>
          </w:p>
        </w:tc>
        <w:tc>
          <w:tcPr>
            <w:tcW w:w="5335" w:type="dxa"/>
            <w:gridSpan w:val="2"/>
            <w:vMerge/>
            <w:tcBorders>
              <w:left w:val="nil"/>
              <w:right w:val="nil"/>
            </w:tcBorders>
          </w:tcPr>
          <w:p w14:paraId="431EDE8F" w14:textId="44FA3140" w:rsidR="00E17911" w:rsidRPr="00AF3735" w:rsidRDefault="00E17911" w:rsidP="00D90C85">
            <w:pPr>
              <w:adjustRightInd w:val="0"/>
              <w:jc w:val="center"/>
              <w:rPr>
                <w:rFonts w:eastAsia="SimSun"/>
              </w:rPr>
            </w:pPr>
          </w:p>
        </w:tc>
        <w:tc>
          <w:tcPr>
            <w:tcW w:w="2010" w:type="dxa"/>
            <w:tcBorders>
              <w:top w:val="nil"/>
              <w:left w:val="nil"/>
              <w:right w:val="nil"/>
            </w:tcBorders>
          </w:tcPr>
          <w:p w14:paraId="124CE819" w14:textId="6C0D462F" w:rsidR="00E17911" w:rsidRPr="00AF3735" w:rsidRDefault="00E17911" w:rsidP="00D90C85">
            <w:pPr>
              <w:adjustRightInd w:val="0"/>
              <w:jc w:val="center"/>
              <w:rPr>
                <w:rFonts w:eastAsia="SimSun"/>
              </w:rPr>
            </w:pPr>
            <w:r w:rsidRPr="00AF3735">
              <w:rPr>
                <w:rFonts w:eastAsia="SimSun"/>
              </w:rPr>
              <w:t>p</w:t>
            </w:r>
            <w:r w:rsidR="00056599">
              <w:rPr>
                <w:rFonts w:eastAsia="SimSun"/>
              </w:rPr>
              <w:t xml:space="preserve"> </w:t>
            </w:r>
            <w:r w:rsidRPr="00AF3735">
              <w:rPr>
                <w:rFonts w:eastAsia="SimSun"/>
              </w:rPr>
              <w:t>=</w:t>
            </w:r>
            <w:r w:rsidR="00056599">
              <w:rPr>
                <w:rFonts w:eastAsia="SimSun"/>
              </w:rPr>
              <w:t xml:space="preserve"> </w:t>
            </w:r>
            <w:r w:rsidRPr="00AF3735">
              <w:rPr>
                <w:rFonts w:eastAsia="SimSun"/>
              </w:rPr>
              <w:t>0</w:t>
            </w:r>
            <w:r>
              <w:rPr>
                <w:rFonts w:eastAsia="SimSun"/>
              </w:rPr>
              <w:t>,</w:t>
            </w:r>
            <w:r w:rsidRPr="00AF3735">
              <w:rPr>
                <w:rFonts w:eastAsia="SimSun"/>
              </w:rPr>
              <w:t>1983</w:t>
            </w:r>
          </w:p>
        </w:tc>
      </w:tr>
    </w:tbl>
    <w:bookmarkEnd w:id="1"/>
    <w:p w14:paraId="658A820C" w14:textId="77937F19" w:rsidR="00AF7ABC" w:rsidRPr="00F25CE6" w:rsidRDefault="00422138" w:rsidP="00612D2B">
      <w:pPr>
        <w:pStyle w:val="Footnote"/>
        <w:ind w:left="0" w:firstLine="0"/>
      </w:pPr>
      <w:r w:rsidRPr="00CB67D9">
        <w:rPr>
          <w:vertAlign w:val="superscript"/>
        </w:rPr>
        <w:t>a</w:t>
      </w:r>
      <w:r w:rsidR="00A97997">
        <w:rPr>
          <w:vertAlign w:val="superscript"/>
        </w:rPr>
        <w:t xml:space="preserve"> </w:t>
      </w:r>
      <w:r w:rsidRPr="00F25CE6">
        <w:t>Potvrđen potpuni citogenetski odgovor (cCCyR) definira se kao odgovor zabilježen na dva uzastopna pregleda (u razmaku od najmanje 28 dana).</w:t>
      </w:r>
    </w:p>
    <w:p w14:paraId="0DABFBED" w14:textId="707FC9EE" w:rsidR="00AF7ABC" w:rsidRPr="00F25CE6" w:rsidRDefault="00422138" w:rsidP="00612D2B">
      <w:pPr>
        <w:pStyle w:val="Footnote"/>
        <w:ind w:left="0" w:firstLine="0"/>
      </w:pPr>
      <w:r w:rsidRPr="00CB67D9">
        <w:rPr>
          <w:vertAlign w:val="superscript"/>
        </w:rPr>
        <w:t>b</w:t>
      </w:r>
      <w:r w:rsidR="00A97997">
        <w:rPr>
          <w:vertAlign w:val="superscript"/>
        </w:rPr>
        <w:t xml:space="preserve"> </w:t>
      </w:r>
      <w:r w:rsidRPr="00F25CE6">
        <w:t>Potpuni citogenetski odgovor (CCyR) temelji se na samo jednoj citogenetskoj pretrazi koštane srži.</w:t>
      </w:r>
    </w:p>
    <w:p w14:paraId="19EC665A" w14:textId="7172A65F" w:rsidR="00AF7ABC" w:rsidRPr="00F25CE6" w:rsidRDefault="00422138" w:rsidP="00612D2B">
      <w:pPr>
        <w:pStyle w:val="Footnote"/>
        <w:ind w:left="0" w:firstLine="0"/>
      </w:pPr>
      <w:r w:rsidRPr="00CB67D9">
        <w:rPr>
          <w:vertAlign w:val="superscript"/>
        </w:rPr>
        <w:t>c</w:t>
      </w:r>
      <w:r w:rsidR="00A97997">
        <w:t xml:space="preserve"> </w:t>
      </w:r>
      <w:r w:rsidRPr="00F25CE6">
        <w:t>Značajni molekularni odgovor (u bilo kojem trenutku) definirao se kao BCR-ABL omjer ≤ 0,1% na RQ-PCR u uzorcima periferne krvi standardiziran prema Međunarodnoj ljestvici. Ovo su kumulativne vrijednosti koje predstavljaju minimum praćenja za navedeni zadani rok.</w:t>
      </w:r>
    </w:p>
    <w:p w14:paraId="1D1F4777" w14:textId="56656E8A" w:rsidR="00AF7ABC" w:rsidRPr="00F25CE6" w:rsidRDefault="00422138" w:rsidP="00612D2B">
      <w:pPr>
        <w:pStyle w:val="Footnote"/>
        <w:ind w:left="0" w:firstLine="0"/>
      </w:pPr>
      <w:r w:rsidRPr="00F25CE6">
        <w:t>*</w:t>
      </w:r>
      <w:r w:rsidR="00A97997">
        <w:t xml:space="preserve"> </w:t>
      </w:r>
      <w:r w:rsidRPr="00F25CE6">
        <w:t>Prilagođeno prema rezultatu po Hasfordu i navedena statistička značajnost prema unaprijed određenoj nominalnoj razini značajnosti.</w:t>
      </w:r>
    </w:p>
    <w:p w14:paraId="54055F9E" w14:textId="303D2C87" w:rsidR="00AF7ABC" w:rsidRPr="00F25CE6" w:rsidRDefault="00422138" w:rsidP="00CB67D9">
      <w:pPr>
        <w:pStyle w:val="Footnote"/>
      </w:pPr>
      <w:r w:rsidRPr="00F25CE6">
        <w:t xml:space="preserve">CI </w:t>
      </w:r>
      <w:r w:rsidR="00056599">
        <w:t xml:space="preserve">(engl. </w:t>
      </w:r>
      <w:r w:rsidR="00056599" w:rsidRPr="0031614A">
        <w:rPr>
          <w:i/>
        </w:rPr>
        <w:t>confidence interval</w:t>
      </w:r>
      <w:r w:rsidR="00056599">
        <w:t xml:space="preserve">) </w:t>
      </w:r>
      <w:r w:rsidRPr="00F25CE6">
        <w:t>=</w:t>
      </w:r>
      <w:r w:rsidR="00056599">
        <w:t xml:space="preserve"> interval</w:t>
      </w:r>
      <w:r w:rsidRPr="00F25CE6">
        <w:t xml:space="preserve"> pouzdanosti.</w:t>
      </w:r>
    </w:p>
    <w:p w14:paraId="6D3223DC" w14:textId="77777777" w:rsidR="00AF7ABC" w:rsidRPr="00F25CE6" w:rsidRDefault="00AF7ABC" w:rsidP="00F25CE6">
      <w:pPr>
        <w:pStyle w:val="BodyText"/>
        <w:widowControl/>
        <w:rPr>
          <w:rFonts w:asciiTheme="majorBidi" w:hAnsiTheme="majorBidi" w:cstheme="majorBidi"/>
          <w:szCs w:val="22"/>
        </w:rPr>
      </w:pPr>
    </w:p>
    <w:p w14:paraId="3796AB9A" w14:textId="58C041C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s potvrđenim CCyR</w:t>
      </w:r>
      <w:r w:rsidR="00FE6F1F">
        <w:rPr>
          <w:rFonts w:asciiTheme="majorBidi" w:hAnsiTheme="majorBidi" w:cstheme="majorBidi"/>
          <w:szCs w:val="22"/>
        </w:rPr>
        <w:t>-om</w:t>
      </w:r>
      <w:r w:rsidRPr="00F25CE6">
        <w:rPr>
          <w:rFonts w:asciiTheme="majorBidi" w:hAnsiTheme="majorBidi" w:cstheme="majorBidi"/>
          <w:szCs w:val="22"/>
        </w:rPr>
        <w:t>, nakon 60 mjeseci praćenja, medijan vremena do cCCyR</w:t>
      </w:r>
      <w:r w:rsidR="002D2F12">
        <w:rPr>
          <w:rFonts w:asciiTheme="majorBidi" w:hAnsiTheme="majorBidi" w:cstheme="majorBidi"/>
          <w:szCs w:val="22"/>
        </w:rPr>
        <w:t>-a</w:t>
      </w:r>
      <w:r w:rsidRPr="00F25CE6">
        <w:rPr>
          <w:rFonts w:asciiTheme="majorBidi" w:hAnsiTheme="majorBidi" w:cstheme="majorBidi"/>
          <w:szCs w:val="22"/>
        </w:rPr>
        <w:t xml:space="preserve"> iznosio je 3,1 mjeseci u skupini koja je primala </w:t>
      </w:r>
      <w:r w:rsidR="004E17E6">
        <w:rPr>
          <w:rFonts w:asciiTheme="majorBidi" w:hAnsiTheme="majorBidi" w:cstheme="majorBidi"/>
          <w:szCs w:val="22"/>
        </w:rPr>
        <w:t>dasatinib</w:t>
      </w:r>
      <w:r w:rsidRPr="00F25CE6">
        <w:rPr>
          <w:rFonts w:asciiTheme="majorBidi" w:hAnsiTheme="majorBidi" w:cstheme="majorBidi"/>
          <w:szCs w:val="22"/>
        </w:rPr>
        <w:t xml:space="preserve"> i 5,8 mjeseci u skupini koja je primala imatinib.</w:t>
      </w:r>
    </w:p>
    <w:p w14:paraId="2A421660" w14:textId="5B5C13B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Medijan vremena do MMR</w:t>
      </w:r>
      <w:r w:rsidR="002D2F12">
        <w:rPr>
          <w:rFonts w:asciiTheme="majorBidi" w:hAnsiTheme="majorBidi" w:cstheme="majorBidi"/>
          <w:szCs w:val="22"/>
        </w:rPr>
        <w:t>-a</w:t>
      </w:r>
      <w:r w:rsidRPr="00F25CE6">
        <w:rPr>
          <w:rFonts w:asciiTheme="majorBidi" w:hAnsiTheme="majorBidi" w:cstheme="majorBidi"/>
          <w:szCs w:val="22"/>
        </w:rPr>
        <w:t xml:space="preserve"> nakon 60 mjeseci praćenja bio je 9,3 mjeseca u skupini koja je primala </w:t>
      </w:r>
      <w:r w:rsidR="004E17E6">
        <w:rPr>
          <w:rFonts w:asciiTheme="majorBidi" w:hAnsiTheme="majorBidi" w:cstheme="majorBidi"/>
          <w:szCs w:val="22"/>
        </w:rPr>
        <w:t>dasatinib</w:t>
      </w:r>
      <w:r w:rsidRPr="00F25CE6">
        <w:rPr>
          <w:rFonts w:asciiTheme="majorBidi" w:hAnsiTheme="majorBidi" w:cstheme="majorBidi"/>
          <w:szCs w:val="22"/>
        </w:rPr>
        <w:t xml:space="preserve"> i 15,0 mjeseci u skupini koja je primala imatinib u bolesnika s MMR</w:t>
      </w:r>
      <w:r w:rsidR="00797AB1">
        <w:rPr>
          <w:rFonts w:asciiTheme="majorBidi" w:hAnsiTheme="majorBidi" w:cstheme="majorBidi"/>
          <w:szCs w:val="22"/>
        </w:rPr>
        <w:t>-om</w:t>
      </w:r>
      <w:r w:rsidRPr="00F25CE6">
        <w:rPr>
          <w:rFonts w:asciiTheme="majorBidi" w:hAnsiTheme="majorBidi" w:cstheme="majorBidi"/>
          <w:szCs w:val="22"/>
        </w:rPr>
        <w:t>. Ovi rezultati su dosljedni s onima viđenim nakon 12, 24 i 36 mjeseci.</w:t>
      </w:r>
    </w:p>
    <w:p w14:paraId="44613C23" w14:textId="77777777" w:rsidR="00AF7ABC" w:rsidRPr="00F25CE6" w:rsidRDefault="00AF7ABC" w:rsidP="00F25CE6">
      <w:pPr>
        <w:pStyle w:val="BodyText"/>
        <w:widowControl/>
        <w:rPr>
          <w:rFonts w:asciiTheme="majorBidi" w:hAnsiTheme="majorBidi" w:cstheme="majorBidi"/>
          <w:szCs w:val="22"/>
        </w:rPr>
      </w:pPr>
    </w:p>
    <w:p w14:paraId="614CEDB2" w14:textId="3D75294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Vrijeme do MMR</w:t>
      </w:r>
      <w:r w:rsidR="002D2F12">
        <w:rPr>
          <w:rFonts w:asciiTheme="majorBidi" w:hAnsiTheme="majorBidi" w:cstheme="majorBidi"/>
          <w:szCs w:val="22"/>
        </w:rPr>
        <w:t>-a</w:t>
      </w:r>
      <w:r w:rsidRPr="00F25CE6">
        <w:rPr>
          <w:rFonts w:asciiTheme="majorBidi" w:hAnsiTheme="majorBidi" w:cstheme="majorBidi"/>
          <w:szCs w:val="22"/>
        </w:rPr>
        <w:t xml:space="preserve"> grafički je prikazano na Slici 1. Vrijeme do MMR</w:t>
      </w:r>
      <w:r w:rsidR="002D2F12">
        <w:rPr>
          <w:rFonts w:asciiTheme="majorBidi" w:hAnsiTheme="majorBidi" w:cstheme="majorBidi"/>
          <w:szCs w:val="22"/>
        </w:rPr>
        <w:t>-a</w:t>
      </w:r>
      <w:r w:rsidRPr="00F25CE6">
        <w:rPr>
          <w:rFonts w:asciiTheme="majorBidi" w:hAnsiTheme="majorBidi" w:cstheme="majorBidi"/>
          <w:szCs w:val="22"/>
        </w:rPr>
        <w:t xml:space="preserve"> dosljedno je bilo kraće u bolesnika liječenih dasatinibom nego u onih liječenih imatinibom.</w:t>
      </w:r>
    </w:p>
    <w:p w14:paraId="5C59D603" w14:textId="7D74163D" w:rsidR="002618E0" w:rsidRDefault="002618E0" w:rsidP="00F25CE6">
      <w:pPr>
        <w:pStyle w:val="BodyText"/>
        <w:widowControl/>
        <w:rPr>
          <w:rFonts w:asciiTheme="majorBidi" w:hAnsiTheme="majorBidi" w:cstheme="majorBidi"/>
          <w:szCs w:val="22"/>
        </w:rPr>
      </w:pPr>
    </w:p>
    <w:p w14:paraId="69862A9A" w14:textId="5B1D4D4E" w:rsidR="002618E0" w:rsidRDefault="002618E0" w:rsidP="00F25CE6">
      <w:pPr>
        <w:pStyle w:val="BodyText"/>
        <w:widowControl/>
        <w:rPr>
          <w:rFonts w:asciiTheme="majorBidi" w:hAnsiTheme="majorBidi" w:cstheme="majorBidi"/>
          <w:szCs w:val="22"/>
        </w:rPr>
      </w:pPr>
    </w:p>
    <w:p w14:paraId="0E2B90BE" w14:textId="385C6F9D" w:rsidR="002618E0" w:rsidRDefault="002618E0" w:rsidP="00F25CE6">
      <w:pPr>
        <w:pStyle w:val="BodyText"/>
        <w:widowControl/>
        <w:rPr>
          <w:rFonts w:asciiTheme="majorBidi" w:hAnsiTheme="majorBidi" w:cstheme="majorBidi"/>
          <w:szCs w:val="22"/>
        </w:rPr>
      </w:pPr>
    </w:p>
    <w:p w14:paraId="4D32A26A" w14:textId="2A8DA82E" w:rsidR="002618E0" w:rsidRDefault="002618E0" w:rsidP="00F25CE6">
      <w:pPr>
        <w:pStyle w:val="BodyText"/>
        <w:widowControl/>
        <w:rPr>
          <w:rFonts w:asciiTheme="majorBidi" w:hAnsiTheme="majorBidi" w:cstheme="majorBidi"/>
          <w:szCs w:val="22"/>
        </w:rPr>
      </w:pPr>
    </w:p>
    <w:p w14:paraId="1779C73A" w14:textId="35DCBFBB" w:rsidR="002618E0" w:rsidRDefault="002618E0" w:rsidP="00F25CE6">
      <w:pPr>
        <w:pStyle w:val="BodyText"/>
        <w:widowControl/>
        <w:rPr>
          <w:rFonts w:asciiTheme="majorBidi" w:hAnsiTheme="majorBidi" w:cstheme="majorBidi"/>
          <w:szCs w:val="22"/>
        </w:rPr>
      </w:pPr>
    </w:p>
    <w:p w14:paraId="70B44398" w14:textId="4E92162E" w:rsidR="002618E0" w:rsidRDefault="002618E0" w:rsidP="00F25CE6">
      <w:pPr>
        <w:pStyle w:val="BodyText"/>
        <w:widowControl/>
        <w:rPr>
          <w:rFonts w:asciiTheme="majorBidi" w:hAnsiTheme="majorBidi" w:cstheme="majorBidi"/>
          <w:szCs w:val="22"/>
        </w:rPr>
      </w:pPr>
    </w:p>
    <w:p w14:paraId="5569B535" w14:textId="53598B91" w:rsidR="002618E0" w:rsidRDefault="002618E0" w:rsidP="00F25CE6">
      <w:pPr>
        <w:pStyle w:val="BodyText"/>
        <w:widowControl/>
        <w:rPr>
          <w:rFonts w:asciiTheme="majorBidi" w:hAnsiTheme="majorBidi" w:cstheme="majorBidi"/>
          <w:szCs w:val="22"/>
        </w:rPr>
      </w:pPr>
    </w:p>
    <w:p w14:paraId="2D4C274C" w14:textId="5D8C5E7B" w:rsidR="002618E0" w:rsidRDefault="002618E0" w:rsidP="00F25CE6">
      <w:pPr>
        <w:pStyle w:val="BodyText"/>
        <w:widowControl/>
        <w:rPr>
          <w:rFonts w:asciiTheme="majorBidi" w:hAnsiTheme="majorBidi" w:cstheme="majorBidi"/>
          <w:szCs w:val="22"/>
        </w:rPr>
      </w:pPr>
    </w:p>
    <w:p w14:paraId="6D1186A6" w14:textId="546772B5" w:rsidR="002618E0" w:rsidRDefault="002618E0" w:rsidP="00F25CE6">
      <w:pPr>
        <w:pStyle w:val="BodyText"/>
        <w:widowControl/>
        <w:rPr>
          <w:rFonts w:asciiTheme="majorBidi" w:hAnsiTheme="majorBidi" w:cstheme="majorBidi"/>
          <w:szCs w:val="22"/>
        </w:rPr>
      </w:pPr>
    </w:p>
    <w:p w14:paraId="1FA872E1" w14:textId="1C4BF583" w:rsidR="002618E0" w:rsidRDefault="002618E0" w:rsidP="00F25CE6">
      <w:pPr>
        <w:pStyle w:val="BodyText"/>
        <w:widowControl/>
        <w:rPr>
          <w:rFonts w:asciiTheme="majorBidi" w:hAnsiTheme="majorBidi" w:cstheme="majorBidi"/>
          <w:szCs w:val="22"/>
        </w:rPr>
      </w:pPr>
    </w:p>
    <w:p w14:paraId="291658EA" w14:textId="595DD6EF" w:rsidR="002618E0" w:rsidRDefault="002618E0" w:rsidP="00F25CE6">
      <w:pPr>
        <w:pStyle w:val="BodyText"/>
        <w:widowControl/>
        <w:rPr>
          <w:rFonts w:asciiTheme="majorBidi" w:hAnsiTheme="majorBidi" w:cstheme="majorBidi"/>
          <w:szCs w:val="22"/>
        </w:rPr>
      </w:pPr>
    </w:p>
    <w:p w14:paraId="000B6512" w14:textId="503119A3" w:rsidR="002618E0" w:rsidRDefault="002618E0" w:rsidP="00F25CE6">
      <w:pPr>
        <w:pStyle w:val="BodyText"/>
        <w:widowControl/>
        <w:rPr>
          <w:rFonts w:asciiTheme="majorBidi" w:hAnsiTheme="majorBidi" w:cstheme="majorBidi"/>
          <w:szCs w:val="22"/>
        </w:rPr>
      </w:pPr>
    </w:p>
    <w:p w14:paraId="06B1619B" w14:textId="77777777" w:rsidR="002618E0" w:rsidRPr="00F25CE6" w:rsidRDefault="002618E0" w:rsidP="00F25CE6">
      <w:pPr>
        <w:pStyle w:val="BodyText"/>
        <w:widowControl/>
        <w:rPr>
          <w:rFonts w:asciiTheme="majorBidi" w:hAnsiTheme="majorBidi" w:cstheme="majorBidi"/>
          <w:szCs w:val="22"/>
        </w:rPr>
      </w:pPr>
    </w:p>
    <w:p w14:paraId="43C123E1" w14:textId="35E206D8" w:rsidR="00E31EEB" w:rsidRDefault="00E31EEB">
      <w:pPr>
        <w:rPr>
          <w:rFonts w:asciiTheme="majorBidi" w:hAnsiTheme="majorBidi" w:cstheme="majorBidi"/>
          <w:b/>
          <w:bCs/>
        </w:rPr>
      </w:pPr>
    </w:p>
    <w:p w14:paraId="59714D07" w14:textId="2B24F469" w:rsidR="00AF7ABC" w:rsidRPr="00F25CE6" w:rsidRDefault="00422138" w:rsidP="00CB67D9">
      <w:pPr>
        <w:pStyle w:val="FigureHeading"/>
      </w:pPr>
      <w:r w:rsidRPr="00F25CE6">
        <w:lastRenderedPageBreak/>
        <w:t>Slika 1:</w:t>
      </w:r>
      <w:r w:rsidR="00CB67D9">
        <w:tab/>
      </w:r>
      <w:r w:rsidRPr="00F25CE6">
        <w:t>Procjena vremena po Kaplan-Meieru do značajnog molekularnog odgovora (MMR)</w:t>
      </w:r>
    </w:p>
    <w:p w14:paraId="6AA4DB1C" w14:textId="77777777" w:rsidR="00CB67D9" w:rsidRDefault="00CB67D9" w:rsidP="00CB67D9">
      <w:pPr>
        <w:pStyle w:val="BodyText"/>
        <w:widowControl/>
        <w:jc w:val="center"/>
        <w:rPr>
          <w:rFonts w:asciiTheme="majorBidi" w:hAnsiTheme="majorBidi" w:cstheme="majorBidi"/>
          <w:b/>
          <w:szCs w:val="22"/>
        </w:rPr>
      </w:pPr>
    </w:p>
    <w:p w14:paraId="4E374C7F" w14:textId="5F5674C6" w:rsidR="005F3BC5" w:rsidRDefault="009C07EF">
      <w:pPr>
        <w:pStyle w:val="BodyText"/>
        <w:widowControl/>
        <w:jc w:val="center"/>
        <w:rPr>
          <w:rFonts w:asciiTheme="majorBidi" w:hAnsiTheme="majorBidi" w:cstheme="majorBidi"/>
          <w:b/>
          <w:szCs w:val="22"/>
        </w:rPr>
      </w:pPr>
      <w:r>
        <w:rPr>
          <w:noProof/>
          <w:lang w:val="en-IN" w:eastAsia="en-IN"/>
        </w:rPr>
        <mc:AlternateContent>
          <mc:Choice Requires="wps">
            <w:drawing>
              <wp:anchor distT="0" distB="0" distL="114300" distR="114300" simplePos="0" relativeHeight="251663360" behindDoc="0" locked="0" layoutInCell="1" allowOverlap="1" wp14:anchorId="19EFFA63" wp14:editId="5CE420FD">
                <wp:simplePos x="0" y="0"/>
                <wp:positionH relativeFrom="column">
                  <wp:posOffset>3196590</wp:posOffset>
                </wp:positionH>
                <wp:positionV relativeFrom="paragraph">
                  <wp:posOffset>2084070</wp:posOffset>
                </wp:positionV>
                <wp:extent cx="2066925" cy="190500"/>
                <wp:effectExtent l="0" t="0" r="9525" b="0"/>
                <wp:wrapNone/>
                <wp:docPr id="38" name="Text Box 38"/>
                <wp:cNvGraphicFramePr/>
                <a:graphic xmlns:a="http://schemas.openxmlformats.org/drawingml/2006/main">
                  <a:graphicData uri="http://schemas.microsoft.com/office/word/2010/wordprocessingShape">
                    <wps:wsp>
                      <wps:cNvSpPr txBox="1"/>
                      <wps:spPr>
                        <a:xfrm>
                          <a:off x="0" y="0"/>
                          <a:ext cx="2066925" cy="190500"/>
                        </a:xfrm>
                        <a:prstGeom prst="rect">
                          <a:avLst/>
                        </a:prstGeom>
                        <a:solidFill>
                          <a:schemeClr val="lt1"/>
                        </a:solidFill>
                        <a:ln w="6350">
                          <a:noFill/>
                        </a:ln>
                      </wps:spPr>
                      <wps:txbx>
                        <w:txbxContent>
                          <w:p w14:paraId="6375B8C5" w14:textId="2B3203DB" w:rsidR="00106F7D" w:rsidRPr="00612D2B" w:rsidRDefault="00106F7D">
                            <w:pPr>
                              <w:rPr>
                                <w:sz w:val="12"/>
                                <w:szCs w:val="12"/>
                              </w:rPr>
                            </w:pPr>
                            <w:r w:rsidRPr="00612D2B">
                              <w:rPr>
                                <w:sz w:val="12"/>
                                <w:szCs w:val="12"/>
                              </w:rPr>
                              <w:t>STRATIFICIRANA L</w:t>
                            </w:r>
                            <w:r>
                              <w:rPr>
                                <w:sz w:val="12"/>
                                <w:szCs w:val="12"/>
                              </w:rPr>
                              <w:t>OG RANG VRIJEDNOST =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FFA63" id="_x0000_t202" coordsize="21600,21600" o:spt="202" path="m,l,21600r21600,l21600,xe">
                <v:stroke joinstyle="miter"/>
                <v:path gradientshapeok="t" o:connecttype="rect"/>
              </v:shapetype>
              <v:shape id="Text Box 38" o:spid="_x0000_s1026" type="#_x0000_t202" style="position:absolute;left:0;text-align:left;margin-left:251.7pt;margin-top:164.1pt;width:162.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" fillcolor="white [3201]" stroked="f" strokeweight=".5pt">
                <v:textbox>
                  <w:txbxContent>
                    <w:p w14:paraId="6375B8C5" w14:textId="2B3203DB" w:rsidR="00106F7D" w:rsidRPr="00612D2B" w:rsidRDefault="00106F7D">
                      <w:pPr>
                        <w:rPr>
                          <w:sz w:val="12"/>
                          <w:szCs w:val="12"/>
                        </w:rPr>
                      </w:pPr>
                      <w:r w:rsidRPr="00612D2B">
                        <w:rPr>
                          <w:sz w:val="12"/>
                          <w:szCs w:val="12"/>
                        </w:rPr>
                        <w:t>STRATIFICIRANA L</w:t>
                      </w:r>
                      <w:r>
                        <w:rPr>
                          <w:sz w:val="12"/>
                          <w:szCs w:val="12"/>
                        </w:rPr>
                        <w:t>OG RANG VRIJEDNOST = 0,0001</w:t>
                      </w:r>
                    </w:p>
                  </w:txbxContent>
                </v:textbox>
              </v:shape>
            </w:pict>
          </mc:Fallback>
        </mc:AlternateContent>
      </w:r>
      <w:r>
        <w:rPr>
          <w:noProof/>
          <w:lang w:val="en-IN" w:eastAsia="en-IN"/>
        </w:rPr>
        <mc:AlternateContent>
          <mc:Choice Requires="wps">
            <w:drawing>
              <wp:anchor distT="0" distB="0" distL="114300" distR="114300" simplePos="0" relativeHeight="251659264" behindDoc="0" locked="0" layoutInCell="1" allowOverlap="1" wp14:anchorId="5A19DD28" wp14:editId="6CC01592">
                <wp:simplePos x="0" y="0"/>
                <wp:positionH relativeFrom="page">
                  <wp:posOffset>1100455</wp:posOffset>
                </wp:positionH>
                <wp:positionV relativeFrom="paragraph">
                  <wp:posOffset>334010</wp:posOffset>
                </wp:positionV>
                <wp:extent cx="144780" cy="1838325"/>
                <wp:effectExtent l="0" t="0" r="7620" b="9525"/>
                <wp:wrapNone/>
                <wp:docPr id="3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634C" w14:textId="77777777" w:rsidR="00106F7D" w:rsidRDefault="00106F7D">
                            <w:pPr>
                              <w:spacing w:before="12"/>
                              <w:ind w:left="20"/>
                              <w:rPr>
                                <w:b/>
                                <w:sz w:val="17"/>
                              </w:rPr>
                            </w:pPr>
                            <w:r>
                              <w:rPr>
                                <w:b/>
                                <w:sz w:val="17"/>
                              </w:rPr>
                              <w:t>UDIO BOLESNIKA S ODGOVOROM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9DD28" id="Text Box 71" o:spid="_x0000_s1027" type="#_x0000_t202" style="position:absolute;left:0;text-align:left;margin-left:86.65pt;margin-top:26.3pt;width:11.4pt;height:14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" filled="f" stroked="f">
                <v:textbox style="layout-flow:vertical;mso-layout-flow-alt:bottom-to-top" inset="0,0,0,0">
                  <w:txbxContent>
                    <w:p w14:paraId="1A09634C" w14:textId="77777777" w:rsidR="00106F7D" w:rsidRDefault="00106F7D">
                      <w:pPr>
                        <w:spacing w:before="12"/>
                        <w:ind w:left="20"/>
                        <w:rPr>
                          <w:b/>
                          <w:sz w:val="17"/>
                        </w:rPr>
                      </w:pPr>
                      <w:r>
                        <w:rPr>
                          <w:b/>
                          <w:sz w:val="17"/>
                        </w:rPr>
                        <w:t>UDIO BOLESNIKA S ODGOVOROM</w:t>
                      </w:r>
                    </w:p>
                  </w:txbxContent>
                </v:textbox>
                <w10:wrap anchorx="page"/>
              </v:shape>
            </w:pict>
          </mc:Fallback>
        </mc:AlternateContent>
      </w:r>
      <w:r w:rsidRPr="00612D2B">
        <w:rPr>
          <w:rFonts w:asciiTheme="majorBidi" w:hAnsiTheme="majorBidi" w:cstheme="majorBidi"/>
          <w:noProof/>
          <w:szCs w:val="22"/>
          <w:lang w:val="en-IN" w:eastAsia="en-IN"/>
        </w:rPr>
        <w:drawing>
          <wp:inline distT="0" distB="0" distL="0" distR="0" wp14:anchorId="7949E3D7" wp14:editId="2EF26FA2">
            <wp:extent cx="5087060" cy="255305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2">
                      <a:extLst>
                        <a:ext uri="{28A0092B-C50C-407E-A947-70E740481C1C}">
                          <a14:useLocalDpi xmlns:a14="http://schemas.microsoft.com/office/drawing/2010/main" val="0"/>
                        </a:ext>
                      </a:extLst>
                    </a:blip>
                    <a:stretch>
                      <a:fillRect/>
                    </a:stretch>
                  </pic:blipFill>
                  <pic:spPr>
                    <a:xfrm>
                      <a:off x="0" y="0"/>
                      <a:ext cx="5087060" cy="2553056"/>
                    </a:xfrm>
                    <a:prstGeom prst="rect">
                      <a:avLst/>
                    </a:prstGeom>
                  </pic:spPr>
                </pic:pic>
              </a:graphicData>
            </a:graphic>
          </wp:inline>
        </w:drawing>
      </w:r>
    </w:p>
    <w:p w14:paraId="6363BA2E" w14:textId="7F8CA09B" w:rsidR="005F3BC5" w:rsidRPr="0031614A" w:rsidRDefault="00C476E1" w:rsidP="0031614A">
      <w:pPr>
        <w:tabs>
          <w:tab w:val="center" w:pos="1156"/>
        </w:tabs>
        <w:spacing w:line="259" w:lineRule="auto"/>
        <w:jc w:val="center"/>
        <w:rPr>
          <w:sz w:val="17"/>
          <w:szCs w:val="17"/>
        </w:rPr>
      </w:pPr>
      <w:r w:rsidRPr="0031614A">
        <w:rPr>
          <w:b/>
          <w:sz w:val="17"/>
          <w:szCs w:val="17"/>
        </w:rPr>
        <w:t xml:space="preserve">                                                                                                                              </w:t>
      </w:r>
      <w:r>
        <w:rPr>
          <w:b/>
          <w:sz w:val="17"/>
          <w:szCs w:val="17"/>
        </w:rPr>
        <w:t xml:space="preserve">               </w:t>
      </w:r>
      <w:r w:rsidR="005F3BC5" w:rsidRPr="0031614A">
        <w:rPr>
          <w:b/>
          <w:sz w:val="17"/>
          <w:szCs w:val="17"/>
        </w:rPr>
        <w:t xml:space="preserve">MJESECI </w:t>
      </w:r>
    </w:p>
    <w:p w14:paraId="03EA7485" w14:textId="77777777" w:rsidR="005F3BC5" w:rsidRPr="0031614A" w:rsidRDefault="005F3BC5" w:rsidP="005F3BC5">
      <w:pPr>
        <w:spacing w:line="259" w:lineRule="auto"/>
        <w:ind w:left="36"/>
        <w:rPr>
          <w:sz w:val="20"/>
          <w:szCs w:val="20"/>
        </w:rPr>
      </w:pPr>
      <w:r w:rsidRPr="0031614A">
        <w:rPr>
          <w:b/>
          <w:sz w:val="20"/>
          <w:szCs w:val="20"/>
        </w:rPr>
        <w:t xml:space="preserve">             </w:t>
      </w:r>
    </w:p>
    <w:p w14:paraId="5484C4D1" w14:textId="7123B7B2" w:rsidR="005F3BC5" w:rsidRPr="0031614A" w:rsidRDefault="005F3BC5" w:rsidP="005F3BC5">
      <w:pPr>
        <w:tabs>
          <w:tab w:val="center" w:pos="1476"/>
          <w:tab w:val="center" w:pos="2196"/>
          <w:tab w:val="center" w:pos="2916"/>
          <w:tab w:val="center" w:pos="3636"/>
          <w:tab w:val="center" w:pos="4356"/>
          <w:tab w:val="center" w:pos="5076"/>
          <w:tab w:val="center" w:pos="6371"/>
        </w:tabs>
        <w:spacing w:line="254" w:lineRule="auto"/>
        <w:rPr>
          <w:sz w:val="17"/>
          <w:szCs w:val="17"/>
        </w:rPr>
      </w:pPr>
      <w:r w:rsidRPr="0031614A">
        <w:rPr>
          <w:b/>
          <w:sz w:val="17"/>
          <w:szCs w:val="17"/>
        </w:rPr>
        <w:t xml:space="preserve">    </w:t>
      </w:r>
      <w:r w:rsidR="00C476E1">
        <w:rPr>
          <w:b/>
          <w:sz w:val="17"/>
          <w:szCs w:val="17"/>
        </w:rPr>
        <w:t xml:space="preserve">    </w:t>
      </w:r>
      <w:r w:rsidRPr="0031614A">
        <w:rPr>
          <w:b/>
          <w:sz w:val="17"/>
          <w:szCs w:val="17"/>
        </w:rPr>
        <w:t xml:space="preserve"> ___ </w:t>
      </w:r>
      <w:r w:rsidRPr="0031614A">
        <w:rPr>
          <w:sz w:val="17"/>
          <w:szCs w:val="17"/>
        </w:rPr>
        <w:t xml:space="preserve">Dasatinib </w:t>
      </w:r>
      <w:r w:rsidRPr="0031614A">
        <w:rPr>
          <w:sz w:val="17"/>
          <w:szCs w:val="17"/>
        </w:rPr>
        <w:tab/>
        <w:t xml:space="preserve"> </w:t>
      </w:r>
      <w:r w:rsidRPr="0031614A">
        <w:rPr>
          <w:sz w:val="17"/>
          <w:szCs w:val="17"/>
        </w:rPr>
        <w:tab/>
        <w:t xml:space="preserve"> </w:t>
      </w:r>
      <w:r w:rsidRPr="0031614A">
        <w:rPr>
          <w:sz w:val="17"/>
          <w:szCs w:val="17"/>
        </w:rPr>
        <w:tab/>
        <w:t xml:space="preserve"> </w:t>
      </w:r>
      <w:r w:rsidRPr="0031614A">
        <w:rPr>
          <w:sz w:val="17"/>
          <w:szCs w:val="17"/>
        </w:rPr>
        <w:tab/>
        <w:t xml:space="preserve"> </w:t>
      </w:r>
      <w:r w:rsidRPr="0031614A">
        <w:rPr>
          <w:sz w:val="17"/>
          <w:szCs w:val="17"/>
        </w:rPr>
        <w:tab/>
        <w:t xml:space="preserve"> </w:t>
      </w:r>
      <w:r w:rsidR="00C476E1">
        <w:rPr>
          <w:sz w:val="17"/>
          <w:szCs w:val="17"/>
        </w:rPr>
        <w:t xml:space="preserve">                                   </w:t>
      </w:r>
      <w:r w:rsidRPr="0031614A">
        <w:rPr>
          <w:sz w:val="17"/>
          <w:szCs w:val="17"/>
        </w:rPr>
        <w:t xml:space="preserve"> ------ Imatinib </w:t>
      </w:r>
    </w:p>
    <w:p w14:paraId="047F701A" w14:textId="1490AC13" w:rsidR="005F3BC5" w:rsidRPr="0031614A" w:rsidRDefault="00C476E1" w:rsidP="005F3BC5">
      <w:pPr>
        <w:tabs>
          <w:tab w:val="center" w:pos="2196"/>
          <w:tab w:val="center" w:pos="2916"/>
          <w:tab w:val="center" w:pos="3636"/>
          <w:tab w:val="center" w:pos="4356"/>
          <w:tab w:val="center" w:pos="5076"/>
          <w:tab w:val="center" w:pos="5796"/>
          <w:tab w:val="center" w:pos="7180"/>
        </w:tabs>
        <w:spacing w:after="28" w:line="254" w:lineRule="auto"/>
        <w:rPr>
          <w:sz w:val="17"/>
          <w:szCs w:val="17"/>
        </w:rPr>
      </w:pPr>
      <w:r>
        <w:rPr>
          <w:noProof/>
          <w:sz w:val="17"/>
          <w:szCs w:val="17"/>
        </w:rPr>
        <w:t xml:space="preserve">  </w:t>
      </w:r>
      <w:r w:rsidR="005F3BC5" w:rsidRPr="0031614A">
        <w:rPr>
          <w:noProof/>
          <w:sz w:val="17"/>
          <w:szCs w:val="17"/>
          <w:lang w:val="en-IN" w:eastAsia="en-IN"/>
        </w:rPr>
        <w:drawing>
          <wp:inline distT="0" distB="0" distL="0" distR="0" wp14:anchorId="27FC57AF" wp14:editId="16BC9DEF">
            <wp:extent cx="373380" cy="87630"/>
            <wp:effectExtent l="0" t="0" r="0" b="0"/>
            <wp:docPr id="5684" name="Picture 5684"/>
            <wp:cNvGraphicFramePr/>
            <a:graphic xmlns:a="http://schemas.openxmlformats.org/drawingml/2006/main">
              <a:graphicData uri="http://schemas.openxmlformats.org/drawingml/2006/picture">
                <pic:pic xmlns:pic="http://schemas.openxmlformats.org/drawingml/2006/picture">
                  <pic:nvPicPr>
                    <pic:cNvPr id="5684" name="Picture 5684"/>
                    <pic:cNvPicPr/>
                  </pic:nvPicPr>
                  <pic:blipFill>
                    <a:blip r:embed="rId13"/>
                    <a:stretch>
                      <a:fillRect/>
                    </a:stretch>
                  </pic:blipFill>
                  <pic:spPr>
                    <a:xfrm>
                      <a:off x="0" y="0"/>
                      <a:ext cx="373380" cy="87630"/>
                    </a:xfrm>
                    <a:prstGeom prst="rect">
                      <a:avLst/>
                    </a:prstGeom>
                  </pic:spPr>
                </pic:pic>
              </a:graphicData>
            </a:graphic>
          </wp:inline>
        </w:drawing>
      </w:r>
      <w:r w:rsidR="005F3BC5" w:rsidRPr="0031614A">
        <w:rPr>
          <w:sz w:val="17"/>
          <w:szCs w:val="17"/>
        </w:rPr>
        <w:t xml:space="preserve">Cenzurirano </w:t>
      </w:r>
      <w:r w:rsidR="005F3BC5" w:rsidRPr="0031614A">
        <w:rPr>
          <w:sz w:val="17"/>
          <w:szCs w:val="17"/>
        </w:rPr>
        <w:tab/>
        <w:t xml:space="preserve"> </w:t>
      </w:r>
      <w:r w:rsidR="005F3BC5" w:rsidRPr="0031614A">
        <w:rPr>
          <w:sz w:val="17"/>
          <w:szCs w:val="17"/>
        </w:rPr>
        <w:tab/>
        <w:t xml:space="preserve"> </w:t>
      </w:r>
      <w:r w:rsidR="005F3BC5" w:rsidRPr="0031614A">
        <w:rPr>
          <w:sz w:val="17"/>
          <w:szCs w:val="17"/>
        </w:rPr>
        <w:tab/>
        <w:t xml:space="preserve"> </w:t>
      </w:r>
      <w:r w:rsidR="005F3BC5" w:rsidRPr="0031614A">
        <w:rPr>
          <w:sz w:val="17"/>
          <w:szCs w:val="17"/>
        </w:rPr>
        <w:tab/>
        <w:t xml:space="preserve"> </w:t>
      </w:r>
      <w:r w:rsidR="005F3BC5" w:rsidRPr="0031614A">
        <w:rPr>
          <w:sz w:val="17"/>
          <w:szCs w:val="17"/>
        </w:rPr>
        <w:tab/>
        <w:t xml:space="preserve"> </w:t>
      </w:r>
      <w:r>
        <w:rPr>
          <w:sz w:val="17"/>
          <w:szCs w:val="17"/>
        </w:rPr>
        <w:t xml:space="preserve">               </w:t>
      </w:r>
      <w:r w:rsidR="005F3BC5" w:rsidRPr="0031614A">
        <w:rPr>
          <w:noProof/>
          <w:sz w:val="17"/>
          <w:szCs w:val="17"/>
          <w:lang w:val="en-IN" w:eastAsia="en-IN"/>
        </w:rPr>
        <w:drawing>
          <wp:inline distT="0" distB="0" distL="0" distR="0" wp14:anchorId="5D0386A1" wp14:editId="6B50C027">
            <wp:extent cx="278130" cy="87630"/>
            <wp:effectExtent l="0" t="0" r="0" b="0"/>
            <wp:docPr id="5688" name="Picture 5688"/>
            <wp:cNvGraphicFramePr/>
            <a:graphic xmlns:a="http://schemas.openxmlformats.org/drawingml/2006/main">
              <a:graphicData uri="http://schemas.openxmlformats.org/drawingml/2006/picture">
                <pic:pic xmlns:pic="http://schemas.openxmlformats.org/drawingml/2006/picture">
                  <pic:nvPicPr>
                    <pic:cNvPr id="5688" name="Picture 5688"/>
                    <pic:cNvPicPr/>
                  </pic:nvPicPr>
                  <pic:blipFill>
                    <a:blip r:embed="rId14"/>
                    <a:stretch>
                      <a:fillRect/>
                    </a:stretch>
                  </pic:blipFill>
                  <pic:spPr>
                    <a:xfrm>
                      <a:off x="0" y="0"/>
                      <a:ext cx="278130" cy="87630"/>
                    </a:xfrm>
                    <a:prstGeom prst="rect">
                      <a:avLst/>
                    </a:prstGeom>
                  </pic:spPr>
                </pic:pic>
              </a:graphicData>
            </a:graphic>
          </wp:inline>
        </w:drawing>
      </w:r>
      <w:r w:rsidR="005F3BC5" w:rsidRPr="0031614A">
        <w:rPr>
          <w:sz w:val="17"/>
          <w:szCs w:val="17"/>
        </w:rPr>
        <w:t xml:space="preserve">Cenzurirano </w:t>
      </w:r>
    </w:p>
    <w:p w14:paraId="03C6241A" w14:textId="77777777" w:rsidR="005F3BC5" w:rsidRPr="00F25CE6" w:rsidRDefault="005F3BC5" w:rsidP="0031614A">
      <w:pPr>
        <w:pStyle w:val="BodyText"/>
        <w:widowControl/>
        <w:rPr>
          <w:rFonts w:asciiTheme="majorBidi" w:hAnsiTheme="majorBidi" w:cstheme="majorBidi"/>
          <w:b/>
          <w:szCs w:val="22"/>
        </w:rPr>
      </w:pPr>
    </w:p>
    <w:p w14:paraId="4C1C030E" w14:textId="77777777" w:rsidR="0052358B" w:rsidRDefault="0052358B" w:rsidP="00CB67D9">
      <w:pPr>
        <w:widowControl/>
        <w:ind w:right="1246"/>
        <w:jc w:val="right"/>
        <w:rPr>
          <w:rFonts w:asciiTheme="majorBidi" w:hAnsiTheme="majorBidi" w:cstheme="majorBidi"/>
          <w:b/>
          <w:sz w:val="20"/>
          <w:szCs w:val="20"/>
        </w:rPr>
      </w:pPr>
    </w:p>
    <w:tbl>
      <w:tblPr>
        <w:tblW w:w="9360" w:type="dxa"/>
        <w:tblLayout w:type="fixed"/>
        <w:tblCellMar>
          <w:top w:w="14" w:type="dxa"/>
          <w:left w:w="0" w:type="dxa"/>
          <w:bottom w:w="14" w:type="dxa"/>
          <w:right w:w="0" w:type="dxa"/>
        </w:tblCellMar>
        <w:tblLook w:val="01E0" w:firstRow="1" w:lastRow="1" w:firstColumn="1" w:lastColumn="1" w:noHBand="0" w:noVBand="0"/>
      </w:tblPr>
      <w:tblGrid>
        <w:gridCol w:w="2553"/>
        <w:gridCol w:w="4179"/>
        <w:gridCol w:w="2628"/>
      </w:tblGrid>
      <w:tr w:rsidR="0052358B" w14:paraId="17EB0C59" w14:textId="77777777" w:rsidTr="0052358B">
        <w:trPr>
          <w:trHeight w:val="20"/>
        </w:trPr>
        <w:tc>
          <w:tcPr>
            <w:tcW w:w="2553" w:type="dxa"/>
          </w:tcPr>
          <w:p w14:paraId="6AB4B651" w14:textId="631C959F" w:rsidR="0052358B" w:rsidRPr="0052358B" w:rsidRDefault="0052358B" w:rsidP="009E4149">
            <w:pPr>
              <w:adjustRightInd w:val="0"/>
              <w:rPr>
                <w:rFonts w:asciiTheme="majorBidi" w:hAnsiTheme="majorBidi" w:cstheme="majorBidi"/>
                <w:sz w:val="20"/>
                <w:szCs w:val="20"/>
              </w:rPr>
            </w:pPr>
            <w:r>
              <w:rPr>
                <w:rFonts w:asciiTheme="majorBidi" w:hAnsiTheme="majorBidi" w:cstheme="majorBidi"/>
                <w:sz w:val="20"/>
                <w:szCs w:val="20"/>
              </w:rPr>
              <w:t>Skupina</w:t>
            </w:r>
          </w:p>
        </w:tc>
        <w:tc>
          <w:tcPr>
            <w:tcW w:w="4179" w:type="dxa"/>
          </w:tcPr>
          <w:p w14:paraId="31C32CE0" w14:textId="0072DD29" w:rsidR="0052358B" w:rsidRPr="0052358B" w:rsidRDefault="00D51102" w:rsidP="002C3132">
            <w:pPr>
              <w:adjustRightInd w:val="0"/>
              <w:jc w:val="center"/>
              <w:rPr>
                <w:rFonts w:asciiTheme="majorBidi" w:hAnsiTheme="majorBidi" w:cstheme="majorBidi"/>
                <w:sz w:val="20"/>
                <w:szCs w:val="20"/>
              </w:rPr>
            </w:pPr>
            <w:r>
              <w:rPr>
                <w:sz w:val="18"/>
                <w:u w:val="single" w:color="000000"/>
              </w:rPr>
              <w:t xml:space="preserve"># </w:t>
            </w:r>
            <w:r w:rsidR="0052358B">
              <w:rPr>
                <w:rFonts w:asciiTheme="majorBidi" w:hAnsiTheme="majorBidi" w:cstheme="majorBidi"/>
                <w:sz w:val="20"/>
                <w:szCs w:val="20"/>
              </w:rPr>
              <w:t xml:space="preserve">BR. BOLESNIKA S ODGOVOROM / </w:t>
            </w:r>
            <w:r>
              <w:rPr>
                <w:sz w:val="18"/>
                <w:u w:val="single" w:color="000000"/>
              </w:rPr>
              <w:t xml:space="preserve"># </w:t>
            </w:r>
            <w:r w:rsidR="0052358B">
              <w:rPr>
                <w:rFonts w:asciiTheme="majorBidi" w:hAnsiTheme="majorBidi" w:cstheme="majorBidi"/>
                <w:sz w:val="20"/>
                <w:szCs w:val="20"/>
              </w:rPr>
              <w:t>BR. RANDOMIZIRANIH BOLESNIKA</w:t>
            </w:r>
          </w:p>
        </w:tc>
        <w:tc>
          <w:tcPr>
            <w:tcW w:w="2628" w:type="dxa"/>
          </w:tcPr>
          <w:p w14:paraId="279D52FC" w14:textId="62C969D5" w:rsidR="0052358B" w:rsidRPr="0052358B" w:rsidRDefault="0052358B" w:rsidP="002C3132">
            <w:pPr>
              <w:adjustRightInd w:val="0"/>
              <w:jc w:val="center"/>
              <w:rPr>
                <w:rFonts w:asciiTheme="majorBidi" w:hAnsiTheme="majorBidi" w:cstheme="majorBidi"/>
                <w:sz w:val="20"/>
                <w:szCs w:val="20"/>
              </w:rPr>
            </w:pPr>
            <w:r>
              <w:rPr>
                <w:rFonts w:asciiTheme="majorBidi" w:hAnsiTheme="majorBidi" w:cstheme="majorBidi"/>
                <w:sz w:val="20"/>
                <w:szCs w:val="20"/>
              </w:rPr>
              <w:t>OMJER HAZARDA (95% CI)</w:t>
            </w:r>
          </w:p>
        </w:tc>
      </w:tr>
      <w:tr w:rsidR="0052358B" w14:paraId="4CC61D50" w14:textId="77777777" w:rsidTr="0052358B">
        <w:trPr>
          <w:trHeight w:val="20"/>
        </w:trPr>
        <w:tc>
          <w:tcPr>
            <w:tcW w:w="2553" w:type="dxa"/>
          </w:tcPr>
          <w:p w14:paraId="6E4BF6D8" w14:textId="77777777" w:rsidR="0052358B" w:rsidRPr="0052358B" w:rsidRDefault="0052358B" w:rsidP="009E4149">
            <w:pPr>
              <w:adjustRightInd w:val="0"/>
              <w:rPr>
                <w:rFonts w:asciiTheme="majorBidi" w:hAnsiTheme="majorBidi" w:cstheme="majorBidi"/>
                <w:sz w:val="20"/>
                <w:szCs w:val="20"/>
              </w:rPr>
            </w:pPr>
            <w:r w:rsidRPr="0052358B">
              <w:rPr>
                <w:rFonts w:asciiTheme="majorBidi" w:hAnsiTheme="majorBidi" w:cstheme="majorBidi"/>
                <w:sz w:val="20"/>
                <w:szCs w:val="20"/>
              </w:rPr>
              <w:t>Dasatinib</w:t>
            </w:r>
          </w:p>
        </w:tc>
        <w:tc>
          <w:tcPr>
            <w:tcW w:w="4179" w:type="dxa"/>
          </w:tcPr>
          <w:p w14:paraId="73499CD3" w14:textId="77777777" w:rsidR="0052358B" w:rsidRPr="0052358B" w:rsidRDefault="0052358B" w:rsidP="002C3132">
            <w:pPr>
              <w:adjustRightInd w:val="0"/>
              <w:jc w:val="center"/>
              <w:rPr>
                <w:rFonts w:asciiTheme="majorBidi" w:hAnsiTheme="majorBidi" w:cstheme="majorBidi"/>
                <w:sz w:val="20"/>
                <w:szCs w:val="20"/>
              </w:rPr>
            </w:pPr>
            <w:r w:rsidRPr="0052358B">
              <w:rPr>
                <w:rFonts w:asciiTheme="majorBidi" w:hAnsiTheme="majorBidi" w:cstheme="majorBidi"/>
                <w:sz w:val="20"/>
                <w:szCs w:val="20"/>
              </w:rPr>
              <w:t>198/259</w:t>
            </w:r>
          </w:p>
        </w:tc>
        <w:tc>
          <w:tcPr>
            <w:tcW w:w="2628" w:type="dxa"/>
          </w:tcPr>
          <w:p w14:paraId="6A123B44" w14:textId="77777777" w:rsidR="0052358B" w:rsidRPr="0052358B" w:rsidRDefault="0052358B" w:rsidP="002C3132">
            <w:pPr>
              <w:adjustRightInd w:val="0"/>
              <w:jc w:val="center"/>
              <w:rPr>
                <w:rFonts w:asciiTheme="majorBidi" w:hAnsiTheme="majorBidi" w:cstheme="majorBidi"/>
                <w:sz w:val="20"/>
                <w:szCs w:val="20"/>
              </w:rPr>
            </w:pPr>
          </w:p>
        </w:tc>
      </w:tr>
      <w:tr w:rsidR="0052358B" w14:paraId="36C2F2B5" w14:textId="77777777" w:rsidTr="0052358B">
        <w:trPr>
          <w:trHeight w:val="20"/>
        </w:trPr>
        <w:tc>
          <w:tcPr>
            <w:tcW w:w="2553" w:type="dxa"/>
          </w:tcPr>
          <w:p w14:paraId="26A6D870" w14:textId="77777777" w:rsidR="0052358B" w:rsidRPr="0052358B" w:rsidRDefault="0052358B" w:rsidP="009E4149">
            <w:pPr>
              <w:adjustRightInd w:val="0"/>
              <w:rPr>
                <w:rFonts w:asciiTheme="majorBidi" w:hAnsiTheme="majorBidi" w:cstheme="majorBidi"/>
                <w:sz w:val="20"/>
                <w:szCs w:val="20"/>
              </w:rPr>
            </w:pPr>
            <w:r w:rsidRPr="0052358B">
              <w:rPr>
                <w:rFonts w:asciiTheme="majorBidi" w:hAnsiTheme="majorBidi" w:cstheme="majorBidi"/>
                <w:sz w:val="20"/>
                <w:szCs w:val="20"/>
              </w:rPr>
              <w:t>Imatinib</w:t>
            </w:r>
          </w:p>
        </w:tc>
        <w:tc>
          <w:tcPr>
            <w:tcW w:w="4179" w:type="dxa"/>
          </w:tcPr>
          <w:p w14:paraId="69CA0997" w14:textId="77777777" w:rsidR="0052358B" w:rsidRPr="0052358B" w:rsidRDefault="0052358B" w:rsidP="002C3132">
            <w:pPr>
              <w:adjustRightInd w:val="0"/>
              <w:jc w:val="center"/>
              <w:rPr>
                <w:rFonts w:asciiTheme="majorBidi" w:hAnsiTheme="majorBidi" w:cstheme="majorBidi"/>
                <w:sz w:val="20"/>
                <w:szCs w:val="20"/>
              </w:rPr>
            </w:pPr>
            <w:r w:rsidRPr="0052358B">
              <w:rPr>
                <w:rFonts w:asciiTheme="majorBidi" w:hAnsiTheme="majorBidi" w:cstheme="majorBidi"/>
                <w:sz w:val="20"/>
                <w:szCs w:val="20"/>
              </w:rPr>
              <w:t>167/260</w:t>
            </w:r>
          </w:p>
        </w:tc>
        <w:tc>
          <w:tcPr>
            <w:tcW w:w="2628" w:type="dxa"/>
          </w:tcPr>
          <w:p w14:paraId="06DEDBF2" w14:textId="77777777" w:rsidR="0052358B" w:rsidRPr="0052358B" w:rsidRDefault="0052358B" w:rsidP="002C3132">
            <w:pPr>
              <w:adjustRightInd w:val="0"/>
              <w:jc w:val="center"/>
              <w:rPr>
                <w:rFonts w:asciiTheme="majorBidi" w:hAnsiTheme="majorBidi" w:cstheme="majorBidi"/>
                <w:sz w:val="20"/>
                <w:szCs w:val="20"/>
              </w:rPr>
            </w:pPr>
          </w:p>
        </w:tc>
      </w:tr>
      <w:tr w:rsidR="0052358B" w14:paraId="1FBBFA83" w14:textId="77777777" w:rsidTr="0052358B">
        <w:trPr>
          <w:trHeight w:val="20"/>
        </w:trPr>
        <w:tc>
          <w:tcPr>
            <w:tcW w:w="2553" w:type="dxa"/>
          </w:tcPr>
          <w:p w14:paraId="13BF6A6A" w14:textId="47D50FC8" w:rsidR="0052358B" w:rsidRPr="0052358B" w:rsidRDefault="0052358B" w:rsidP="009E4149">
            <w:pPr>
              <w:adjustRightInd w:val="0"/>
              <w:rPr>
                <w:rFonts w:asciiTheme="majorBidi" w:hAnsiTheme="majorBidi" w:cstheme="majorBidi"/>
                <w:sz w:val="20"/>
                <w:szCs w:val="20"/>
              </w:rPr>
            </w:pPr>
            <w:r w:rsidRPr="0052358B">
              <w:rPr>
                <w:rFonts w:asciiTheme="majorBidi" w:hAnsiTheme="majorBidi" w:cstheme="majorBidi"/>
                <w:sz w:val="20"/>
                <w:szCs w:val="20"/>
              </w:rPr>
              <w:t xml:space="preserve">Dasatinib </w:t>
            </w:r>
            <w:r>
              <w:rPr>
                <w:rFonts w:asciiTheme="majorBidi" w:hAnsiTheme="majorBidi" w:cstheme="majorBidi"/>
                <w:sz w:val="20"/>
                <w:szCs w:val="20"/>
              </w:rPr>
              <w:t>prema</w:t>
            </w:r>
            <w:r w:rsidRPr="0052358B">
              <w:rPr>
                <w:rFonts w:asciiTheme="majorBidi" w:hAnsiTheme="majorBidi" w:cstheme="majorBidi"/>
                <w:sz w:val="20"/>
                <w:szCs w:val="20"/>
              </w:rPr>
              <w:t xml:space="preserve"> imatinib</w:t>
            </w:r>
            <w:r>
              <w:rPr>
                <w:rFonts w:asciiTheme="majorBidi" w:hAnsiTheme="majorBidi" w:cstheme="majorBidi"/>
                <w:sz w:val="20"/>
                <w:szCs w:val="20"/>
              </w:rPr>
              <w:t>u</w:t>
            </w:r>
          </w:p>
        </w:tc>
        <w:tc>
          <w:tcPr>
            <w:tcW w:w="4179" w:type="dxa"/>
          </w:tcPr>
          <w:p w14:paraId="31622685" w14:textId="77777777" w:rsidR="0052358B" w:rsidRPr="0052358B" w:rsidRDefault="0052358B" w:rsidP="002C3132">
            <w:pPr>
              <w:adjustRightInd w:val="0"/>
              <w:jc w:val="center"/>
              <w:rPr>
                <w:rFonts w:asciiTheme="majorBidi" w:hAnsiTheme="majorBidi" w:cstheme="majorBidi"/>
                <w:sz w:val="20"/>
                <w:szCs w:val="20"/>
              </w:rPr>
            </w:pPr>
          </w:p>
        </w:tc>
        <w:tc>
          <w:tcPr>
            <w:tcW w:w="2628" w:type="dxa"/>
          </w:tcPr>
          <w:p w14:paraId="1D6C9722" w14:textId="114789A4" w:rsidR="0052358B" w:rsidRPr="0052358B" w:rsidRDefault="0052358B" w:rsidP="002C3132">
            <w:pPr>
              <w:adjustRightInd w:val="0"/>
              <w:jc w:val="center"/>
              <w:rPr>
                <w:rFonts w:asciiTheme="majorBidi" w:hAnsiTheme="majorBidi" w:cstheme="majorBidi"/>
                <w:sz w:val="20"/>
                <w:szCs w:val="20"/>
              </w:rPr>
            </w:pPr>
            <w:r w:rsidRPr="0052358B">
              <w:rPr>
                <w:rFonts w:asciiTheme="majorBidi" w:hAnsiTheme="majorBidi" w:cstheme="majorBidi"/>
                <w:sz w:val="20"/>
                <w:szCs w:val="20"/>
              </w:rPr>
              <w:t>1</w:t>
            </w:r>
            <w:r>
              <w:rPr>
                <w:rFonts w:asciiTheme="majorBidi" w:hAnsiTheme="majorBidi" w:cstheme="majorBidi"/>
                <w:sz w:val="20"/>
                <w:szCs w:val="20"/>
              </w:rPr>
              <w:t>,</w:t>
            </w:r>
            <w:r w:rsidRPr="0052358B">
              <w:rPr>
                <w:rFonts w:asciiTheme="majorBidi" w:hAnsiTheme="majorBidi" w:cstheme="majorBidi"/>
                <w:sz w:val="20"/>
                <w:szCs w:val="20"/>
              </w:rPr>
              <w:t>54 (1</w:t>
            </w:r>
            <w:r>
              <w:rPr>
                <w:rFonts w:asciiTheme="majorBidi" w:hAnsiTheme="majorBidi" w:cstheme="majorBidi"/>
                <w:sz w:val="20"/>
                <w:szCs w:val="20"/>
              </w:rPr>
              <w:t>,</w:t>
            </w:r>
            <w:r w:rsidRPr="0052358B">
              <w:rPr>
                <w:rFonts w:asciiTheme="majorBidi" w:hAnsiTheme="majorBidi" w:cstheme="majorBidi"/>
                <w:sz w:val="20"/>
                <w:szCs w:val="20"/>
              </w:rPr>
              <w:t>25</w:t>
            </w:r>
            <w:r>
              <w:rPr>
                <w:rFonts w:asciiTheme="majorBidi" w:hAnsiTheme="majorBidi" w:cstheme="majorBidi"/>
                <w:sz w:val="20"/>
                <w:szCs w:val="20"/>
              </w:rPr>
              <w:t xml:space="preserve"> – </w:t>
            </w:r>
            <w:r w:rsidRPr="0052358B">
              <w:rPr>
                <w:rFonts w:asciiTheme="majorBidi" w:hAnsiTheme="majorBidi" w:cstheme="majorBidi"/>
                <w:sz w:val="20"/>
                <w:szCs w:val="20"/>
              </w:rPr>
              <w:t>1</w:t>
            </w:r>
            <w:r>
              <w:rPr>
                <w:rFonts w:asciiTheme="majorBidi" w:hAnsiTheme="majorBidi" w:cstheme="majorBidi"/>
                <w:sz w:val="20"/>
                <w:szCs w:val="20"/>
              </w:rPr>
              <w:t>,</w:t>
            </w:r>
            <w:r w:rsidRPr="0052358B">
              <w:rPr>
                <w:rFonts w:asciiTheme="majorBidi" w:hAnsiTheme="majorBidi" w:cstheme="majorBidi"/>
                <w:sz w:val="20"/>
                <w:szCs w:val="20"/>
              </w:rPr>
              <w:t>89)</w:t>
            </w:r>
          </w:p>
        </w:tc>
      </w:tr>
    </w:tbl>
    <w:p w14:paraId="37244DC4" w14:textId="77777777" w:rsidR="0052358B" w:rsidRDefault="0052358B" w:rsidP="00F25CE6">
      <w:pPr>
        <w:pStyle w:val="BodyText"/>
        <w:widowControl/>
        <w:rPr>
          <w:rFonts w:asciiTheme="majorBidi" w:hAnsiTheme="majorBidi" w:cstheme="majorBidi"/>
          <w:szCs w:val="22"/>
        </w:rPr>
      </w:pPr>
    </w:p>
    <w:p w14:paraId="51A8A51D" w14:textId="75872D10" w:rsidR="00AF7ABC" w:rsidRPr="00F25CE6" w:rsidRDefault="00422138" w:rsidP="000B2AE7">
      <w:pPr>
        <w:pStyle w:val="BodyText"/>
        <w:widowControl/>
        <w:rPr>
          <w:rFonts w:asciiTheme="majorBidi" w:hAnsiTheme="majorBidi" w:cstheme="majorBidi"/>
          <w:szCs w:val="22"/>
        </w:rPr>
      </w:pPr>
      <w:r w:rsidRPr="00F25CE6">
        <w:rPr>
          <w:rFonts w:asciiTheme="majorBidi" w:hAnsiTheme="majorBidi" w:cstheme="majorBidi"/>
          <w:szCs w:val="22"/>
        </w:rPr>
        <w:t>Stope cCCyR</w:t>
      </w:r>
      <w:r w:rsidR="002D2F12">
        <w:rPr>
          <w:rFonts w:asciiTheme="majorBidi" w:hAnsiTheme="majorBidi" w:cstheme="majorBidi"/>
          <w:szCs w:val="22"/>
        </w:rPr>
        <w:t>-a</w:t>
      </w:r>
      <w:r w:rsidRPr="00F25CE6">
        <w:rPr>
          <w:rFonts w:asciiTheme="majorBidi" w:hAnsiTheme="majorBidi" w:cstheme="majorBidi"/>
          <w:szCs w:val="22"/>
        </w:rPr>
        <w:t xml:space="preserve"> u terapijskoj skupini koja je primala </w:t>
      </w:r>
      <w:r w:rsidR="004E17E6">
        <w:rPr>
          <w:rFonts w:asciiTheme="majorBidi" w:hAnsiTheme="majorBidi" w:cstheme="majorBidi"/>
          <w:szCs w:val="22"/>
        </w:rPr>
        <w:t>dasatinib</w:t>
      </w:r>
      <w:r w:rsidRPr="00F25CE6">
        <w:rPr>
          <w:rFonts w:asciiTheme="majorBidi" w:hAnsiTheme="majorBidi" w:cstheme="majorBidi"/>
          <w:szCs w:val="22"/>
        </w:rPr>
        <w:t xml:space="preserve"> odnosno terapijskoj skupini koja je primala imatinib nakon 3 mjeseca (54% odnosno 30%), 6 mjeseci (70% odnosno 56%), 9 mjeseci</w:t>
      </w:r>
      <w:r w:rsidR="000B2AE7">
        <w:rPr>
          <w:rFonts w:asciiTheme="majorBidi" w:hAnsiTheme="majorBidi" w:cstheme="majorBidi"/>
          <w:szCs w:val="22"/>
        </w:rPr>
        <w:t xml:space="preserve"> </w:t>
      </w:r>
      <w:r w:rsidRPr="00F25CE6">
        <w:rPr>
          <w:rFonts w:asciiTheme="majorBidi" w:hAnsiTheme="majorBidi" w:cstheme="majorBidi"/>
          <w:szCs w:val="22"/>
        </w:rPr>
        <w:t>(75% odnosno 63%), 24 mjeseca (80% i 74%), 36 mjeseci (83% i 77%), 48 mjeseci (83% i 79%) i 60 mjeseci (83% i 79%) bile su dosljedne primarnoj mjeri ishoda. Stope MMR</w:t>
      </w:r>
      <w:r w:rsidR="002D2F12">
        <w:rPr>
          <w:rFonts w:asciiTheme="majorBidi" w:hAnsiTheme="majorBidi" w:cstheme="majorBidi"/>
          <w:szCs w:val="22"/>
        </w:rPr>
        <w:t>-a</w:t>
      </w:r>
      <w:r w:rsidRPr="00F25CE6">
        <w:rPr>
          <w:rFonts w:asciiTheme="majorBidi" w:hAnsiTheme="majorBidi" w:cstheme="majorBidi"/>
          <w:szCs w:val="22"/>
        </w:rPr>
        <w:t xml:space="preserve"> u terapijskoj skupini koja je primala </w:t>
      </w:r>
      <w:r w:rsidR="004E17E6">
        <w:rPr>
          <w:rFonts w:asciiTheme="majorBidi" w:hAnsiTheme="majorBidi" w:cstheme="majorBidi"/>
          <w:szCs w:val="22"/>
        </w:rPr>
        <w:t>dasatinib</w:t>
      </w:r>
      <w:r w:rsidRPr="00F25CE6">
        <w:rPr>
          <w:rFonts w:asciiTheme="majorBidi" w:hAnsiTheme="majorBidi" w:cstheme="majorBidi"/>
          <w:szCs w:val="22"/>
        </w:rPr>
        <w:t xml:space="preserve"> odnosno imatinib unutar 3 mjeseca (8% odnosno 0,4%), 6 mjeseci (27%</w:t>
      </w:r>
      <w:r w:rsidR="000B2AE7">
        <w:rPr>
          <w:rFonts w:asciiTheme="majorBidi" w:hAnsiTheme="majorBidi" w:cstheme="majorBidi"/>
          <w:szCs w:val="22"/>
        </w:rPr>
        <w:t xml:space="preserve"> </w:t>
      </w:r>
      <w:r w:rsidRPr="00F25CE6">
        <w:rPr>
          <w:rFonts w:asciiTheme="majorBidi" w:hAnsiTheme="majorBidi" w:cstheme="majorBidi"/>
          <w:szCs w:val="22"/>
        </w:rPr>
        <w:t>odnosno 8%), 9 mjeseci (39% odnosno 18%), 12 mjeseci (46% odnosno 28%), 24 mjeseca (64% i</w:t>
      </w:r>
      <w:r w:rsidR="000B2AE7">
        <w:rPr>
          <w:rFonts w:asciiTheme="majorBidi" w:hAnsiTheme="majorBidi" w:cstheme="majorBidi"/>
          <w:szCs w:val="22"/>
        </w:rPr>
        <w:t xml:space="preserve"> </w:t>
      </w:r>
      <w:r w:rsidRPr="00F25CE6">
        <w:rPr>
          <w:rFonts w:asciiTheme="majorBidi" w:hAnsiTheme="majorBidi" w:cstheme="majorBidi"/>
          <w:szCs w:val="22"/>
        </w:rPr>
        <w:t>46%), 36 mjeseci (67% i 55% ), 48 mjeseci (73% i 60%) i 60 mjeseci (76% i 64%) također su bile dosljedne primarnoj mjeri ishoda.</w:t>
      </w:r>
    </w:p>
    <w:p w14:paraId="4DD319DC" w14:textId="77777777" w:rsidR="00AF7ABC" w:rsidRPr="00F25CE6" w:rsidRDefault="00AF7ABC" w:rsidP="00F25CE6">
      <w:pPr>
        <w:pStyle w:val="BodyText"/>
        <w:widowControl/>
        <w:rPr>
          <w:rFonts w:asciiTheme="majorBidi" w:hAnsiTheme="majorBidi" w:cstheme="majorBidi"/>
          <w:szCs w:val="22"/>
        </w:rPr>
      </w:pPr>
    </w:p>
    <w:p w14:paraId="3693DBF9" w14:textId="0D0BEAD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Stope MMR</w:t>
      </w:r>
      <w:r w:rsidR="002D2F12">
        <w:rPr>
          <w:rFonts w:asciiTheme="majorBidi" w:hAnsiTheme="majorBidi" w:cstheme="majorBidi"/>
          <w:szCs w:val="22"/>
        </w:rPr>
        <w:t>-a</w:t>
      </w:r>
      <w:r w:rsidRPr="00F25CE6">
        <w:rPr>
          <w:rFonts w:asciiTheme="majorBidi" w:hAnsiTheme="majorBidi" w:cstheme="majorBidi"/>
          <w:szCs w:val="22"/>
        </w:rPr>
        <w:t xml:space="preserve"> u specifičnim vremenskim točkama grafički su prikazane na Slici 2. Stope MMR</w:t>
      </w:r>
      <w:r w:rsidR="002D2F12">
        <w:rPr>
          <w:rFonts w:asciiTheme="majorBidi" w:hAnsiTheme="majorBidi" w:cstheme="majorBidi"/>
          <w:szCs w:val="22"/>
        </w:rPr>
        <w:t>-a</w:t>
      </w:r>
      <w:r w:rsidRPr="00F25CE6">
        <w:rPr>
          <w:rFonts w:asciiTheme="majorBidi" w:hAnsiTheme="majorBidi" w:cstheme="majorBidi"/>
          <w:szCs w:val="22"/>
        </w:rPr>
        <w:t xml:space="preserve"> dosljedno su bile više u bolesnika liječenih dasatinibom nego u onih liječenih imatinibom.</w:t>
      </w:r>
    </w:p>
    <w:p w14:paraId="616AAB22" w14:textId="77777777" w:rsidR="00A15E8A" w:rsidRPr="00F25CE6" w:rsidRDefault="00A15E8A" w:rsidP="00F25CE6">
      <w:pPr>
        <w:widowControl/>
        <w:rPr>
          <w:rFonts w:asciiTheme="majorBidi" w:hAnsiTheme="majorBidi" w:cstheme="majorBidi"/>
        </w:rPr>
      </w:pPr>
    </w:p>
    <w:p w14:paraId="543422B9" w14:textId="4E025EAF" w:rsidR="008E2B61" w:rsidRDefault="008E2B61">
      <w:pPr>
        <w:rPr>
          <w:rFonts w:asciiTheme="majorBidi" w:hAnsiTheme="majorBidi" w:cstheme="majorBidi"/>
          <w:b/>
          <w:bCs/>
        </w:rPr>
      </w:pPr>
      <w:r>
        <w:br w:type="page"/>
      </w:r>
    </w:p>
    <w:p w14:paraId="6F24F835" w14:textId="0F35C209" w:rsidR="00AF7ABC" w:rsidRPr="00F25CE6" w:rsidRDefault="00422138" w:rsidP="000B2AE7">
      <w:pPr>
        <w:pStyle w:val="FigureHeading"/>
      </w:pPr>
      <w:r w:rsidRPr="00F25CE6">
        <w:rPr>
          <w:noProof/>
          <w:lang w:val="en-IN" w:eastAsia="en-IN"/>
        </w:rPr>
        <w:lastRenderedPageBreak/>
        <w:drawing>
          <wp:anchor distT="0" distB="0" distL="0" distR="0" simplePos="0" relativeHeight="251657728" behindDoc="0" locked="0" layoutInCell="1" allowOverlap="1" wp14:anchorId="778E0374" wp14:editId="1E27693C">
            <wp:simplePos x="0" y="0"/>
            <wp:positionH relativeFrom="page">
              <wp:posOffset>1081277</wp:posOffset>
            </wp:positionH>
            <wp:positionV relativeFrom="paragraph">
              <wp:posOffset>1140154</wp:posOffset>
            </wp:positionV>
            <wp:extent cx="360964" cy="488632"/>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5" cstate="print"/>
                    <a:stretch>
                      <a:fillRect/>
                    </a:stretch>
                  </pic:blipFill>
                  <pic:spPr>
                    <a:xfrm>
                      <a:off x="0" y="0"/>
                      <a:ext cx="360964" cy="488632"/>
                    </a:xfrm>
                    <a:prstGeom prst="rect">
                      <a:avLst/>
                    </a:prstGeom>
                  </pic:spPr>
                </pic:pic>
              </a:graphicData>
            </a:graphic>
          </wp:anchor>
        </w:drawing>
      </w:r>
      <w:r w:rsidR="00B14A0E">
        <w:rPr>
          <w:noProof/>
          <w:lang w:val="en-IN" w:eastAsia="en-IN"/>
        </w:rPr>
        <mc:AlternateContent>
          <mc:Choice Requires="wps">
            <w:drawing>
              <wp:anchor distT="0" distB="0" distL="114300" distR="114300" simplePos="0" relativeHeight="251660288" behindDoc="0" locked="0" layoutInCell="1" allowOverlap="1" wp14:anchorId="68FCF272" wp14:editId="0C5C5A60">
                <wp:simplePos x="0" y="0"/>
                <wp:positionH relativeFrom="page">
                  <wp:posOffset>1164590</wp:posOffset>
                </wp:positionH>
                <wp:positionV relativeFrom="paragraph">
                  <wp:posOffset>1130300</wp:posOffset>
                </wp:positionV>
                <wp:extent cx="144780" cy="509905"/>
                <wp:effectExtent l="2540" t="2540" r="0" b="1905"/>
                <wp:wrapNone/>
                <wp:docPr id="3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8FEC9" w14:textId="77777777" w:rsidR="00106F7D" w:rsidRDefault="00106F7D">
                            <w:pPr>
                              <w:spacing w:before="12"/>
                              <w:ind w:left="20"/>
                              <w:rPr>
                                <w:b/>
                                <w:sz w:val="17"/>
                              </w:rPr>
                            </w:pPr>
                            <w:r>
                              <w:rPr>
                                <w:b/>
                                <w:sz w:val="17"/>
                              </w:rPr>
                              <w:t>% s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F272" id="Text Box 56" o:spid="_x0000_s1028" type="#_x0000_t202" style="position:absolute;left:0;text-align:left;margin-left:91.7pt;margin-top:89pt;width:11.4pt;height:40.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" filled="f" stroked="f">
                <v:textbox style="layout-flow:vertical;mso-layout-flow-alt:bottom-to-top" inset="0,0,0,0">
                  <w:txbxContent>
                    <w:p w14:paraId="41B8FEC9" w14:textId="77777777" w:rsidR="00106F7D" w:rsidRDefault="00106F7D">
                      <w:pPr>
                        <w:spacing w:before="12"/>
                        <w:ind w:left="20"/>
                        <w:rPr>
                          <w:b/>
                          <w:sz w:val="17"/>
                        </w:rPr>
                      </w:pPr>
                      <w:r>
                        <w:rPr>
                          <w:b/>
                          <w:sz w:val="17"/>
                        </w:rPr>
                        <w:t>% s MMR</w:t>
                      </w:r>
                    </w:p>
                  </w:txbxContent>
                </v:textbox>
                <w10:wrap anchorx="page"/>
              </v:shape>
            </w:pict>
          </mc:Fallback>
        </mc:AlternateContent>
      </w:r>
      <w:r w:rsidRPr="00F25CE6">
        <w:t>Slika 2:</w:t>
      </w:r>
      <w:r w:rsidRPr="00F25CE6">
        <w:tab/>
        <w:t>Stope MMR</w:t>
      </w:r>
      <w:r w:rsidR="002D2F12">
        <w:t>-a</w:t>
      </w:r>
      <w:r w:rsidRPr="00F25CE6">
        <w:t xml:space="preserve"> tijekom vremena - svi randomizirani bolesnici u ispitivanju faze </w:t>
      </w:r>
      <w:r w:rsidR="00711852">
        <w:t>III</w:t>
      </w:r>
      <w:r w:rsidRPr="00F25CE6">
        <w:t xml:space="preserve"> provedenom u bolesnika s novodijagnosticiran</w:t>
      </w:r>
      <w:r w:rsidR="00797AB1">
        <w:t>i</w:t>
      </w:r>
      <w:r w:rsidRPr="00F25CE6">
        <w:t>m KML</w:t>
      </w:r>
      <w:r w:rsidR="002D2F12">
        <w:t>-om</w:t>
      </w:r>
      <w:r w:rsidRPr="00F25CE6">
        <w:t xml:space="preserve"> u kroničnoj fazi</w:t>
      </w:r>
    </w:p>
    <w:p w14:paraId="785303C2" w14:textId="6A3EC839" w:rsidR="000B2AE7" w:rsidRDefault="00B14A0E" w:rsidP="000B2AE7">
      <w:pPr>
        <w:widowControl/>
        <w:jc w:val="center"/>
        <w:rPr>
          <w:rFonts w:asciiTheme="majorBidi" w:hAnsiTheme="majorBidi" w:cstheme="majorBidi"/>
          <w:b/>
        </w:rPr>
      </w:pPr>
      <w:r>
        <w:rPr>
          <w:rFonts w:asciiTheme="majorBidi" w:hAnsiTheme="majorBidi" w:cstheme="majorBidi"/>
          <w:b/>
          <w:noProof/>
          <w:lang w:val="en-IN" w:eastAsia="en-IN"/>
        </w:rPr>
        <mc:AlternateContent>
          <mc:Choice Requires="wpg">
            <w:drawing>
              <wp:inline distT="0" distB="0" distL="0" distR="0" wp14:anchorId="4AEDDC7A" wp14:editId="669A2EFD">
                <wp:extent cx="5017135" cy="2743200"/>
                <wp:effectExtent l="0" t="0" r="0" b="0"/>
                <wp:docPr id="2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135" cy="2743200"/>
                          <a:chOff x="2445" y="671"/>
                          <a:chExt cx="7901" cy="4320"/>
                        </a:xfrm>
                      </wpg:grpSpPr>
                      <pic:pic xmlns:pic="http://schemas.openxmlformats.org/drawingml/2006/picture">
                        <pic:nvPicPr>
                          <pic:cNvPr id="24" name="Picture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45" y="671"/>
                            <a:ext cx="790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8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044" y="2318"/>
                            <a:ext cx="1224" cy="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98" y="1483"/>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38" y="1316"/>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479" y="105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019" y="937"/>
                            <a:ext cx="1224" cy="546"/>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90"/>
                        <wps:cNvSpPr txBox="1">
                          <a:spLocks noChangeArrowheads="1"/>
                        </wps:cNvSpPr>
                        <wps:spPr bwMode="auto">
                          <a:xfrm>
                            <a:off x="4460" y="1493"/>
                            <a:ext cx="1243"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54F12" w14:textId="3290597D" w:rsidR="00106F7D" w:rsidRDefault="00106F7D" w:rsidP="00612D2B">
                              <w:pPr>
                                <w:spacing w:line="189" w:lineRule="exact"/>
                                <w:ind w:left="83"/>
                                <w:rPr>
                                  <w:rFonts w:ascii="Arial"/>
                                  <w:sz w:val="17"/>
                                </w:rPr>
                              </w:pPr>
                              <w:r>
                                <w:rPr>
                                  <w:rFonts w:ascii="Arial"/>
                                  <w:sz w:val="17"/>
                                  <w:u w:val="single"/>
                                </w:rPr>
                                <w:t>Do 2. godine</w:t>
                              </w:r>
                            </w:p>
                            <w:p w14:paraId="32976D29" w14:textId="26FC5DA1" w:rsidR="00106F7D" w:rsidRDefault="00106F7D" w:rsidP="00612D2B">
                              <w:pPr>
                                <w:spacing w:before="1"/>
                                <w:ind w:left="145"/>
                                <w:rPr>
                                  <w:rFonts w:ascii="Arial"/>
                                  <w:sz w:val="15"/>
                                </w:rPr>
                              </w:pPr>
                              <w:r>
                                <w:rPr>
                                  <w:rFonts w:ascii="Arial"/>
                                  <w:sz w:val="15"/>
                                </w:rPr>
                                <w:t>64%, p</w:t>
                              </w:r>
                              <w:r>
                                <w:rPr>
                                  <w:rFonts w:ascii="Arial"/>
                                  <w:sz w:val="15"/>
                                </w:rPr>
                                <w:t> </w:t>
                              </w:r>
                              <w:r>
                                <w:rPr>
                                  <w:rFonts w:ascii="Arial"/>
                                  <w:sz w:val="15"/>
                                </w:rPr>
                                <w:t>&lt;</w:t>
                              </w:r>
                              <w:r>
                                <w:rPr>
                                  <w:rFonts w:ascii="Arial"/>
                                  <w:sz w:val="15"/>
                                </w:rPr>
                                <w:t> </w:t>
                              </w:r>
                              <w:r>
                                <w:rPr>
                                  <w:rFonts w:ascii="Arial"/>
                                  <w:sz w:val="15"/>
                                </w:rPr>
                                <w:t>0,0001</w:t>
                              </w:r>
                            </w:p>
                          </w:txbxContent>
                        </wps:txbx>
                        <wps:bodyPr rot="0" vert="horz" wrap="square" lIns="0" tIns="0" rIns="0" bIns="0" anchor="t" anchorCtr="0" upright="1">
                          <a:noAutofit/>
                        </wps:bodyPr>
                      </wps:wsp>
                      <wps:wsp>
                        <wps:cNvPr id="31" name="Text Box 91"/>
                        <wps:cNvSpPr txBox="1">
                          <a:spLocks noChangeArrowheads="1"/>
                        </wps:cNvSpPr>
                        <wps:spPr bwMode="auto">
                          <a:xfrm>
                            <a:off x="5877" y="1324"/>
                            <a:ext cx="1423"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88052" w14:textId="66C5E36E" w:rsidR="00106F7D" w:rsidRPr="00612D2B" w:rsidRDefault="00106F7D" w:rsidP="00612D2B">
                              <w:pPr>
                                <w:spacing w:line="188" w:lineRule="exact"/>
                                <w:ind w:left="84"/>
                                <w:rPr>
                                  <w:rFonts w:ascii="Arial"/>
                                  <w:sz w:val="16"/>
                                  <w:szCs w:val="20"/>
                                </w:rPr>
                              </w:pPr>
                              <w:r w:rsidRPr="00612D2B">
                                <w:rPr>
                                  <w:rFonts w:ascii="Arial"/>
                                  <w:sz w:val="16"/>
                                  <w:szCs w:val="20"/>
                                  <w:u w:val="single"/>
                                </w:rPr>
                                <w:t>Do 3.</w:t>
                              </w:r>
                              <w:r>
                                <w:rPr>
                                  <w:rFonts w:ascii="Arial"/>
                                  <w:sz w:val="16"/>
                                  <w:szCs w:val="20"/>
                                  <w:u w:val="single"/>
                                </w:rPr>
                                <w:t xml:space="preserve"> </w:t>
                              </w:r>
                              <w:r w:rsidRPr="00612D2B">
                                <w:rPr>
                                  <w:rFonts w:ascii="Arial"/>
                                  <w:sz w:val="16"/>
                                  <w:szCs w:val="20"/>
                                  <w:u w:val="single"/>
                                </w:rPr>
                                <w:t>godine</w:t>
                              </w:r>
                            </w:p>
                            <w:p w14:paraId="556F7A7E" w14:textId="4EA6F40B" w:rsidR="00106F7D" w:rsidRPr="00612D2B" w:rsidRDefault="00106F7D" w:rsidP="00612D2B">
                              <w:pPr>
                                <w:spacing w:before="2"/>
                                <w:ind w:left="145"/>
                                <w:rPr>
                                  <w:rFonts w:ascii="Arial"/>
                                  <w:sz w:val="13"/>
                                  <w:szCs w:val="20"/>
                                </w:rPr>
                              </w:pPr>
                              <w:r w:rsidRPr="00612D2B">
                                <w:rPr>
                                  <w:rFonts w:ascii="Arial"/>
                                  <w:sz w:val="13"/>
                                  <w:szCs w:val="20"/>
                                </w:rPr>
                                <w:t>67%,</w:t>
                              </w:r>
                              <w:r>
                                <w:rPr>
                                  <w:rFonts w:ascii="Arial"/>
                                  <w:sz w:val="13"/>
                                  <w:szCs w:val="20"/>
                                </w:rPr>
                                <w:t xml:space="preserve"> p</w:t>
                              </w:r>
                              <w:r>
                                <w:rPr>
                                  <w:rFonts w:ascii="Arial"/>
                                  <w:sz w:val="13"/>
                                  <w:szCs w:val="20"/>
                                </w:rPr>
                                <w:t> </w:t>
                              </w:r>
                              <w:r>
                                <w:rPr>
                                  <w:rFonts w:ascii="Arial"/>
                                  <w:sz w:val="13"/>
                                  <w:szCs w:val="20"/>
                                </w:rPr>
                                <w:t>&gt;</w:t>
                              </w:r>
                              <w:r>
                                <w:rPr>
                                  <w:rFonts w:ascii="Arial"/>
                                  <w:sz w:val="13"/>
                                  <w:szCs w:val="20"/>
                                </w:rPr>
                                <w:t> </w:t>
                              </w:r>
                              <w:r>
                                <w:rPr>
                                  <w:rFonts w:ascii="Arial"/>
                                  <w:sz w:val="13"/>
                                  <w:szCs w:val="20"/>
                                </w:rPr>
                                <w:t>0,0055</w:t>
                              </w:r>
                            </w:p>
                          </w:txbxContent>
                        </wps:txbx>
                        <wps:bodyPr rot="0" vert="horz" wrap="square" lIns="0" tIns="0" rIns="0" bIns="0" anchor="t" anchorCtr="0" upright="1">
                          <a:noAutofit/>
                        </wps:bodyPr>
                      </wps:wsp>
                      <wps:wsp>
                        <wps:cNvPr id="32" name="Text Box 92"/>
                        <wps:cNvSpPr txBox="1">
                          <a:spLocks noChangeArrowheads="1"/>
                        </wps:cNvSpPr>
                        <wps:spPr bwMode="auto">
                          <a:xfrm>
                            <a:off x="7268" y="1056"/>
                            <a:ext cx="1434"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402A4" w14:textId="50B2EDB1" w:rsidR="00106F7D" w:rsidRDefault="00106F7D" w:rsidP="00612D2B">
                              <w:pPr>
                                <w:spacing w:line="189" w:lineRule="exact"/>
                                <w:ind w:left="84"/>
                                <w:rPr>
                                  <w:rFonts w:ascii="Arial"/>
                                  <w:sz w:val="17"/>
                                </w:rPr>
                              </w:pPr>
                              <w:r>
                                <w:rPr>
                                  <w:rFonts w:ascii="Arial"/>
                                  <w:sz w:val="17"/>
                                  <w:u w:val="single"/>
                                </w:rPr>
                                <w:t>Do 4. godine</w:t>
                              </w:r>
                            </w:p>
                            <w:p w14:paraId="591617D5" w14:textId="32ED47BD" w:rsidR="00106F7D" w:rsidRDefault="00106F7D" w:rsidP="00612D2B">
                              <w:pPr>
                                <w:ind w:left="146"/>
                                <w:rPr>
                                  <w:rFonts w:ascii="Arial"/>
                                  <w:sz w:val="15"/>
                                </w:rPr>
                              </w:pPr>
                              <w:r>
                                <w:rPr>
                                  <w:rFonts w:ascii="Arial"/>
                                  <w:sz w:val="15"/>
                                </w:rPr>
                                <w:t>73%, p</w:t>
                              </w:r>
                              <w:r>
                                <w:rPr>
                                  <w:rFonts w:ascii="Arial"/>
                                  <w:sz w:val="15"/>
                                </w:rPr>
                                <w:t> </w:t>
                              </w:r>
                              <w:r>
                                <w:rPr>
                                  <w:rFonts w:ascii="Arial"/>
                                  <w:sz w:val="15"/>
                                </w:rPr>
                                <w:t>&lt;</w:t>
                              </w:r>
                              <w:r>
                                <w:rPr>
                                  <w:rFonts w:ascii="Arial"/>
                                  <w:sz w:val="15"/>
                                </w:rPr>
                                <w:t> </w:t>
                              </w:r>
                              <w:r>
                                <w:rPr>
                                  <w:rFonts w:ascii="Arial"/>
                                  <w:sz w:val="15"/>
                                </w:rPr>
                                <w:t>0,0021</w:t>
                              </w:r>
                            </w:p>
                          </w:txbxContent>
                        </wps:txbx>
                        <wps:bodyPr rot="0" vert="horz" wrap="square" lIns="0" tIns="0" rIns="0" bIns="0" anchor="t" anchorCtr="0" upright="1">
                          <a:noAutofit/>
                        </wps:bodyPr>
                      </wps:wsp>
                      <wps:wsp>
                        <wps:cNvPr id="33" name="Text Box 93"/>
                        <wps:cNvSpPr txBox="1">
                          <a:spLocks noChangeArrowheads="1"/>
                        </wps:cNvSpPr>
                        <wps:spPr bwMode="auto">
                          <a:xfrm>
                            <a:off x="8835" y="943"/>
                            <a:ext cx="128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76E84" w14:textId="7B558D5E" w:rsidR="00106F7D" w:rsidRDefault="00106F7D" w:rsidP="00612D2B">
                              <w:pPr>
                                <w:spacing w:line="188" w:lineRule="exact"/>
                                <w:ind w:left="83"/>
                                <w:rPr>
                                  <w:rFonts w:ascii="Arial"/>
                                  <w:sz w:val="17"/>
                                </w:rPr>
                              </w:pPr>
                              <w:r>
                                <w:rPr>
                                  <w:rFonts w:ascii="Arial"/>
                                  <w:sz w:val="17"/>
                                  <w:u w:val="single"/>
                                </w:rPr>
                                <w:t>Do 5. godine</w:t>
                              </w:r>
                            </w:p>
                            <w:p w14:paraId="0D778D4E" w14:textId="6B5EC678" w:rsidR="00106F7D" w:rsidRDefault="00106F7D" w:rsidP="00612D2B">
                              <w:pPr>
                                <w:spacing w:before="1"/>
                                <w:ind w:left="145"/>
                                <w:rPr>
                                  <w:rFonts w:ascii="Arial"/>
                                  <w:sz w:val="15"/>
                                </w:rPr>
                              </w:pPr>
                              <w:r>
                                <w:rPr>
                                  <w:rFonts w:ascii="Arial"/>
                                  <w:sz w:val="15"/>
                                </w:rPr>
                                <w:t>76%, 0,0022</w:t>
                              </w:r>
                            </w:p>
                          </w:txbxContent>
                        </wps:txbx>
                        <wps:bodyPr rot="0" vert="horz" wrap="square" lIns="0" tIns="0" rIns="0" bIns="0" anchor="t" anchorCtr="0" upright="1">
                          <a:noAutofit/>
                        </wps:bodyPr>
                      </wps:wsp>
                      <wps:wsp>
                        <wps:cNvPr id="34" name="Text Box 94"/>
                        <wps:cNvSpPr txBox="1">
                          <a:spLocks noChangeArrowheads="1"/>
                        </wps:cNvSpPr>
                        <wps:spPr bwMode="auto">
                          <a:xfrm>
                            <a:off x="3092" y="2326"/>
                            <a:ext cx="1223"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EEE2D" w14:textId="1C1D48D6" w:rsidR="00106F7D" w:rsidRPr="00612D2B" w:rsidRDefault="00106F7D" w:rsidP="00612D2B">
                              <w:pPr>
                                <w:spacing w:line="189" w:lineRule="exact"/>
                                <w:ind w:left="84"/>
                                <w:rPr>
                                  <w:rFonts w:ascii="Arial"/>
                                  <w:sz w:val="16"/>
                                  <w:szCs w:val="20"/>
                                </w:rPr>
                              </w:pPr>
                              <w:r w:rsidRPr="00612D2B">
                                <w:rPr>
                                  <w:rFonts w:ascii="Arial"/>
                                  <w:sz w:val="16"/>
                                  <w:szCs w:val="20"/>
                                  <w:u w:val="single"/>
                                </w:rPr>
                                <w:t>Do 1.</w:t>
                              </w:r>
                              <w:r>
                                <w:rPr>
                                  <w:rFonts w:ascii="Arial"/>
                                  <w:sz w:val="16"/>
                                  <w:szCs w:val="20"/>
                                  <w:u w:val="single"/>
                                </w:rPr>
                                <w:t xml:space="preserve"> </w:t>
                              </w:r>
                              <w:r w:rsidRPr="00612D2B">
                                <w:rPr>
                                  <w:rFonts w:ascii="Arial"/>
                                  <w:sz w:val="16"/>
                                  <w:szCs w:val="20"/>
                                  <w:u w:val="single"/>
                                </w:rPr>
                                <w:t>godine</w:t>
                              </w:r>
                            </w:p>
                            <w:p w14:paraId="03F420C6" w14:textId="1C54DF35" w:rsidR="00106F7D" w:rsidRPr="00612D2B" w:rsidRDefault="00106F7D" w:rsidP="00612D2B">
                              <w:pPr>
                                <w:spacing w:before="1"/>
                                <w:ind w:left="145"/>
                                <w:rPr>
                                  <w:rFonts w:ascii="Arial"/>
                                  <w:sz w:val="13"/>
                                  <w:szCs w:val="20"/>
                                </w:rPr>
                              </w:pPr>
                              <w:r w:rsidRPr="00612D2B">
                                <w:rPr>
                                  <w:rFonts w:ascii="Arial"/>
                                  <w:sz w:val="13"/>
                                  <w:szCs w:val="20"/>
                                </w:rPr>
                                <w:t>46%,</w:t>
                              </w:r>
                              <w:r>
                                <w:rPr>
                                  <w:rFonts w:ascii="Arial"/>
                                  <w:sz w:val="13"/>
                                  <w:szCs w:val="20"/>
                                </w:rPr>
                                <w:t xml:space="preserve"> p</w:t>
                              </w:r>
                              <w:r>
                                <w:rPr>
                                  <w:rFonts w:ascii="Arial"/>
                                  <w:sz w:val="13"/>
                                  <w:szCs w:val="20"/>
                                </w:rPr>
                                <w:t> </w:t>
                              </w:r>
                              <w:r>
                                <w:rPr>
                                  <w:rFonts w:ascii="Arial"/>
                                  <w:sz w:val="13"/>
                                  <w:szCs w:val="20"/>
                                </w:rPr>
                                <w:t>&lt;</w:t>
                              </w:r>
                              <w:r>
                                <w:rPr>
                                  <w:rFonts w:ascii="Arial"/>
                                  <w:sz w:val="13"/>
                                  <w:szCs w:val="20"/>
                                </w:rPr>
                                <w:t> </w:t>
                              </w:r>
                              <w:r>
                                <w:rPr>
                                  <w:rFonts w:ascii="Arial"/>
                                  <w:sz w:val="13"/>
                                  <w:szCs w:val="20"/>
                                </w:rPr>
                                <w:t>0,0001</w:t>
                              </w:r>
                            </w:p>
                          </w:txbxContent>
                        </wps:txbx>
                        <wps:bodyPr rot="0" vert="horz" wrap="square" lIns="0" tIns="0" rIns="0" bIns="0" anchor="t" anchorCtr="0" upright="1">
                          <a:noAutofit/>
                        </wps:bodyPr>
                      </wps:wsp>
                    </wpg:wgp>
                  </a:graphicData>
                </a:graphic>
              </wp:inline>
            </w:drawing>
          </mc:Choice>
          <mc:Fallback>
            <w:pict>
              <v:group w14:anchorId="4AEDDC7A" id="Group 83" o:spid="_x0000_s1029" style="width:395.05pt;height:3in;mso-position-horizontal-relative:char;mso-position-vertical-relative:line" coordorigin="2445,671" coordsize="790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30" type="#_x0000_t75" style="position:absolute;left:2445;top:671;width:790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">
                  <v:imagedata r:id="rId21" o:title=""/>
                </v:shape>
                <v:shape id="Picture 85" o:spid="_x0000_s1031" type="#_x0000_t75" style="position:absolute;left:3044;top:2318;width:122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">
                  <v:imagedata r:id="rId22" o:title=""/>
                </v:shape>
                <v:shape id="Picture 86" o:spid="_x0000_s1032" type="#_x0000_t75" style="position:absolute;left:4598;top:1483;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">
                  <v:imagedata r:id="rId23" o:title=""/>
                </v:shape>
                <v:shape id="Picture 87" o:spid="_x0000_s1033" type="#_x0000_t75" style="position:absolute;left:6038;top:1316;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">
                  <v:imagedata r:id="rId24" o:title=""/>
                </v:shape>
                <v:shape id="Picture 88" o:spid="_x0000_s1034" type="#_x0000_t75" style="position:absolute;left:7479;top:105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">
                  <v:imagedata r:id="rId25" o:title=""/>
                </v:shape>
                <v:shape id="Picture 89" o:spid="_x0000_s1035" type="#_x0000_t75" style="position:absolute;left:9019;top:937;width:122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">
                  <v:imagedata r:id="rId25" o:title=""/>
                </v:shape>
                <v:shape id="Text Box 90" o:spid="_x0000_s1036" type="#_x0000_t202" style="position:absolute;left:4460;top:1493;width:1243;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D654F12" w14:textId="3290597D" w:rsidR="00106F7D" w:rsidRDefault="00106F7D" w:rsidP="00612D2B">
                        <w:pPr>
                          <w:spacing w:line="189" w:lineRule="exact"/>
                          <w:ind w:left="83"/>
                          <w:rPr>
                            <w:rFonts w:ascii="Arial"/>
                            <w:sz w:val="17"/>
                          </w:rPr>
                        </w:pPr>
                        <w:r>
                          <w:rPr>
                            <w:rFonts w:ascii="Arial"/>
                            <w:sz w:val="17"/>
                            <w:u w:val="single"/>
                          </w:rPr>
                          <w:t>Do 2. godine</w:t>
                        </w:r>
                      </w:p>
                      <w:p w14:paraId="32976D29" w14:textId="26FC5DA1" w:rsidR="00106F7D" w:rsidRDefault="00106F7D" w:rsidP="00612D2B">
                        <w:pPr>
                          <w:spacing w:before="1"/>
                          <w:ind w:left="145"/>
                          <w:rPr>
                            <w:rFonts w:ascii="Arial"/>
                            <w:sz w:val="15"/>
                          </w:rPr>
                        </w:pPr>
                        <w:r>
                          <w:rPr>
                            <w:rFonts w:ascii="Arial"/>
                            <w:sz w:val="15"/>
                          </w:rPr>
                          <w:t>64%, p</w:t>
                        </w:r>
                        <w:r>
                          <w:rPr>
                            <w:rFonts w:ascii="Arial"/>
                            <w:sz w:val="15"/>
                          </w:rPr>
                          <w:t> </w:t>
                        </w:r>
                        <w:r>
                          <w:rPr>
                            <w:rFonts w:ascii="Arial"/>
                            <w:sz w:val="15"/>
                          </w:rPr>
                          <w:t>&lt;</w:t>
                        </w:r>
                        <w:r>
                          <w:rPr>
                            <w:rFonts w:ascii="Arial"/>
                            <w:sz w:val="15"/>
                          </w:rPr>
                          <w:t> </w:t>
                        </w:r>
                        <w:r>
                          <w:rPr>
                            <w:rFonts w:ascii="Arial"/>
                            <w:sz w:val="15"/>
                          </w:rPr>
                          <w:t>0,0001</w:t>
                        </w:r>
                      </w:p>
                    </w:txbxContent>
                  </v:textbox>
                </v:shape>
                <v:shape id="Text Box 91" o:spid="_x0000_s1037" type="#_x0000_t202" style="position:absolute;left:5877;top:1324;width:1423;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1488052" w14:textId="66C5E36E" w:rsidR="00106F7D" w:rsidRPr="00612D2B" w:rsidRDefault="00106F7D" w:rsidP="00612D2B">
                        <w:pPr>
                          <w:spacing w:line="188" w:lineRule="exact"/>
                          <w:ind w:left="84"/>
                          <w:rPr>
                            <w:rFonts w:ascii="Arial"/>
                            <w:sz w:val="16"/>
                            <w:szCs w:val="20"/>
                          </w:rPr>
                        </w:pPr>
                        <w:r w:rsidRPr="00612D2B">
                          <w:rPr>
                            <w:rFonts w:ascii="Arial"/>
                            <w:sz w:val="16"/>
                            <w:szCs w:val="20"/>
                            <w:u w:val="single"/>
                          </w:rPr>
                          <w:t>Do 3.</w:t>
                        </w:r>
                        <w:r>
                          <w:rPr>
                            <w:rFonts w:ascii="Arial"/>
                            <w:sz w:val="16"/>
                            <w:szCs w:val="20"/>
                            <w:u w:val="single"/>
                          </w:rPr>
                          <w:t xml:space="preserve"> </w:t>
                        </w:r>
                        <w:r w:rsidRPr="00612D2B">
                          <w:rPr>
                            <w:rFonts w:ascii="Arial"/>
                            <w:sz w:val="16"/>
                            <w:szCs w:val="20"/>
                            <w:u w:val="single"/>
                          </w:rPr>
                          <w:t>godine</w:t>
                        </w:r>
                      </w:p>
                      <w:p w14:paraId="556F7A7E" w14:textId="4EA6F40B" w:rsidR="00106F7D" w:rsidRPr="00612D2B" w:rsidRDefault="00106F7D" w:rsidP="00612D2B">
                        <w:pPr>
                          <w:spacing w:before="2"/>
                          <w:ind w:left="145"/>
                          <w:rPr>
                            <w:rFonts w:ascii="Arial"/>
                            <w:sz w:val="13"/>
                            <w:szCs w:val="20"/>
                          </w:rPr>
                        </w:pPr>
                        <w:r w:rsidRPr="00612D2B">
                          <w:rPr>
                            <w:rFonts w:ascii="Arial"/>
                            <w:sz w:val="13"/>
                            <w:szCs w:val="20"/>
                          </w:rPr>
                          <w:t>67%,</w:t>
                        </w:r>
                        <w:r>
                          <w:rPr>
                            <w:rFonts w:ascii="Arial"/>
                            <w:sz w:val="13"/>
                            <w:szCs w:val="20"/>
                          </w:rPr>
                          <w:t xml:space="preserve"> p</w:t>
                        </w:r>
                        <w:r>
                          <w:rPr>
                            <w:rFonts w:ascii="Arial"/>
                            <w:sz w:val="13"/>
                            <w:szCs w:val="20"/>
                          </w:rPr>
                          <w:t> </w:t>
                        </w:r>
                        <w:r>
                          <w:rPr>
                            <w:rFonts w:ascii="Arial"/>
                            <w:sz w:val="13"/>
                            <w:szCs w:val="20"/>
                          </w:rPr>
                          <w:t>&gt;</w:t>
                        </w:r>
                        <w:r>
                          <w:rPr>
                            <w:rFonts w:ascii="Arial"/>
                            <w:sz w:val="13"/>
                            <w:szCs w:val="20"/>
                          </w:rPr>
                          <w:t> </w:t>
                        </w:r>
                        <w:r>
                          <w:rPr>
                            <w:rFonts w:ascii="Arial"/>
                            <w:sz w:val="13"/>
                            <w:szCs w:val="20"/>
                          </w:rPr>
                          <w:t>0,0055</w:t>
                        </w:r>
                      </w:p>
                    </w:txbxContent>
                  </v:textbox>
                </v:shape>
                <v:shape id="Text Box 92" o:spid="_x0000_s1038" type="#_x0000_t202" style="position:absolute;left:7268;top:1056;width:1434;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1F402A4" w14:textId="50B2EDB1" w:rsidR="00106F7D" w:rsidRDefault="00106F7D" w:rsidP="00612D2B">
                        <w:pPr>
                          <w:spacing w:line="189" w:lineRule="exact"/>
                          <w:ind w:left="84"/>
                          <w:rPr>
                            <w:rFonts w:ascii="Arial"/>
                            <w:sz w:val="17"/>
                          </w:rPr>
                        </w:pPr>
                        <w:r>
                          <w:rPr>
                            <w:rFonts w:ascii="Arial"/>
                            <w:sz w:val="17"/>
                            <w:u w:val="single"/>
                          </w:rPr>
                          <w:t>Do 4. godine</w:t>
                        </w:r>
                      </w:p>
                      <w:p w14:paraId="591617D5" w14:textId="32ED47BD" w:rsidR="00106F7D" w:rsidRDefault="00106F7D" w:rsidP="00612D2B">
                        <w:pPr>
                          <w:ind w:left="146"/>
                          <w:rPr>
                            <w:rFonts w:ascii="Arial"/>
                            <w:sz w:val="15"/>
                          </w:rPr>
                        </w:pPr>
                        <w:r>
                          <w:rPr>
                            <w:rFonts w:ascii="Arial"/>
                            <w:sz w:val="15"/>
                          </w:rPr>
                          <w:t>73%, p</w:t>
                        </w:r>
                        <w:r>
                          <w:rPr>
                            <w:rFonts w:ascii="Arial"/>
                            <w:sz w:val="15"/>
                          </w:rPr>
                          <w:t> </w:t>
                        </w:r>
                        <w:r>
                          <w:rPr>
                            <w:rFonts w:ascii="Arial"/>
                            <w:sz w:val="15"/>
                          </w:rPr>
                          <w:t>&lt;</w:t>
                        </w:r>
                        <w:r>
                          <w:rPr>
                            <w:rFonts w:ascii="Arial"/>
                            <w:sz w:val="15"/>
                          </w:rPr>
                          <w:t> </w:t>
                        </w:r>
                        <w:r>
                          <w:rPr>
                            <w:rFonts w:ascii="Arial"/>
                            <w:sz w:val="15"/>
                          </w:rPr>
                          <w:t>0,0021</w:t>
                        </w:r>
                      </w:p>
                    </w:txbxContent>
                  </v:textbox>
                </v:shape>
                <v:shape id="Text Box 93" o:spid="_x0000_s1039" type="#_x0000_t202" style="position:absolute;left:8835;top:943;width:1288;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5976E84" w14:textId="7B558D5E" w:rsidR="00106F7D" w:rsidRDefault="00106F7D" w:rsidP="00612D2B">
                        <w:pPr>
                          <w:spacing w:line="188" w:lineRule="exact"/>
                          <w:ind w:left="83"/>
                          <w:rPr>
                            <w:rFonts w:ascii="Arial"/>
                            <w:sz w:val="17"/>
                          </w:rPr>
                        </w:pPr>
                        <w:r>
                          <w:rPr>
                            <w:rFonts w:ascii="Arial"/>
                            <w:sz w:val="17"/>
                            <w:u w:val="single"/>
                          </w:rPr>
                          <w:t>Do 5. godine</w:t>
                        </w:r>
                      </w:p>
                      <w:p w14:paraId="0D778D4E" w14:textId="6B5EC678" w:rsidR="00106F7D" w:rsidRDefault="00106F7D" w:rsidP="00612D2B">
                        <w:pPr>
                          <w:spacing w:before="1"/>
                          <w:ind w:left="145"/>
                          <w:rPr>
                            <w:rFonts w:ascii="Arial"/>
                            <w:sz w:val="15"/>
                          </w:rPr>
                        </w:pPr>
                        <w:r>
                          <w:rPr>
                            <w:rFonts w:ascii="Arial"/>
                            <w:sz w:val="15"/>
                          </w:rPr>
                          <w:t>76%, 0,0022</w:t>
                        </w:r>
                      </w:p>
                    </w:txbxContent>
                  </v:textbox>
                </v:shape>
                <v:shape id="Text Box 94" o:spid="_x0000_s1040" type="#_x0000_t202" style="position:absolute;left:3092;top:2326;width:1223;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AAEEE2D" w14:textId="1C1D48D6" w:rsidR="00106F7D" w:rsidRPr="00612D2B" w:rsidRDefault="00106F7D" w:rsidP="00612D2B">
                        <w:pPr>
                          <w:spacing w:line="189" w:lineRule="exact"/>
                          <w:ind w:left="84"/>
                          <w:rPr>
                            <w:rFonts w:ascii="Arial"/>
                            <w:sz w:val="16"/>
                            <w:szCs w:val="20"/>
                          </w:rPr>
                        </w:pPr>
                        <w:r w:rsidRPr="00612D2B">
                          <w:rPr>
                            <w:rFonts w:ascii="Arial"/>
                            <w:sz w:val="16"/>
                            <w:szCs w:val="20"/>
                            <w:u w:val="single"/>
                          </w:rPr>
                          <w:t>Do 1.</w:t>
                        </w:r>
                        <w:r>
                          <w:rPr>
                            <w:rFonts w:ascii="Arial"/>
                            <w:sz w:val="16"/>
                            <w:szCs w:val="20"/>
                            <w:u w:val="single"/>
                          </w:rPr>
                          <w:t xml:space="preserve"> </w:t>
                        </w:r>
                        <w:r w:rsidRPr="00612D2B">
                          <w:rPr>
                            <w:rFonts w:ascii="Arial"/>
                            <w:sz w:val="16"/>
                            <w:szCs w:val="20"/>
                            <w:u w:val="single"/>
                          </w:rPr>
                          <w:t>godine</w:t>
                        </w:r>
                      </w:p>
                      <w:p w14:paraId="03F420C6" w14:textId="1C54DF35" w:rsidR="00106F7D" w:rsidRPr="00612D2B" w:rsidRDefault="00106F7D" w:rsidP="00612D2B">
                        <w:pPr>
                          <w:spacing w:before="1"/>
                          <w:ind w:left="145"/>
                          <w:rPr>
                            <w:rFonts w:ascii="Arial"/>
                            <w:sz w:val="13"/>
                            <w:szCs w:val="20"/>
                          </w:rPr>
                        </w:pPr>
                        <w:r w:rsidRPr="00612D2B">
                          <w:rPr>
                            <w:rFonts w:ascii="Arial"/>
                            <w:sz w:val="13"/>
                            <w:szCs w:val="20"/>
                          </w:rPr>
                          <w:t>46%,</w:t>
                        </w:r>
                        <w:r>
                          <w:rPr>
                            <w:rFonts w:ascii="Arial"/>
                            <w:sz w:val="13"/>
                            <w:szCs w:val="20"/>
                          </w:rPr>
                          <w:t xml:space="preserve"> p</w:t>
                        </w:r>
                        <w:r>
                          <w:rPr>
                            <w:rFonts w:ascii="Arial"/>
                            <w:sz w:val="13"/>
                            <w:szCs w:val="20"/>
                          </w:rPr>
                          <w:t> </w:t>
                        </w:r>
                        <w:r>
                          <w:rPr>
                            <w:rFonts w:ascii="Arial"/>
                            <w:sz w:val="13"/>
                            <w:szCs w:val="20"/>
                          </w:rPr>
                          <w:t>&lt;</w:t>
                        </w:r>
                        <w:r>
                          <w:rPr>
                            <w:rFonts w:ascii="Arial"/>
                            <w:sz w:val="13"/>
                            <w:szCs w:val="20"/>
                          </w:rPr>
                          <w:t> </w:t>
                        </w:r>
                        <w:r>
                          <w:rPr>
                            <w:rFonts w:ascii="Arial"/>
                            <w:sz w:val="13"/>
                            <w:szCs w:val="20"/>
                          </w:rPr>
                          <w:t>0,0001</w:t>
                        </w:r>
                      </w:p>
                    </w:txbxContent>
                  </v:textbox>
                </v:shape>
                <w10:anchorlock/>
              </v:group>
            </w:pict>
          </mc:Fallback>
        </mc:AlternateContent>
      </w:r>
    </w:p>
    <w:p w14:paraId="23C42915" w14:textId="77777777" w:rsidR="00AF7ABC" w:rsidRPr="007F3849" w:rsidRDefault="00422138" w:rsidP="000B2AE7">
      <w:pPr>
        <w:widowControl/>
        <w:ind w:right="778"/>
        <w:jc w:val="right"/>
        <w:rPr>
          <w:rFonts w:asciiTheme="majorBidi" w:hAnsiTheme="majorBidi" w:cstheme="majorBidi"/>
          <w:b/>
          <w:sz w:val="20"/>
          <w:szCs w:val="20"/>
        </w:rPr>
      </w:pPr>
      <w:r w:rsidRPr="007F3849">
        <w:rPr>
          <w:rFonts w:asciiTheme="majorBidi" w:hAnsiTheme="majorBidi" w:cstheme="majorBidi"/>
          <w:b/>
          <w:sz w:val="20"/>
          <w:szCs w:val="20"/>
        </w:rPr>
        <w:t>Mjeseci od randomizacije</w:t>
      </w:r>
    </w:p>
    <w:p w14:paraId="3768CAFE" w14:textId="77777777" w:rsidR="00AF7ABC" w:rsidRPr="00F25CE6" w:rsidRDefault="000B2AE7" w:rsidP="000B2AE7">
      <w:pPr>
        <w:pStyle w:val="BodyText"/>
        <w:widowControl/>
        <w:tabs>
          <w:tab w:val="left" w:pos="5040"/>
        </w:tabs>
        <w:rPr>
          <w:rFonts w:asciiTheme="majorBidi" w:hAnsiTheme="majorBidi" w:cstheme="majorBidi"/>
          <w:szCs w:val="22"/>
        </w:rPr>
      </w:pPr>
      <w:r w:rsidRPr="000B2AE7">
        <w:rPr>
          <w:rFonts w:asciiTheme="majorBidi" w:hAnsiTheme="majorBidi" w:cstheme="majorBidi"/>
          <w:szCs w:val="22"/>
        </w:rPr>
        <w:tab/>
      </w:r>
      <w:r w:rsidR="00422138" w:rsidRPr="00F25CE6">
        <w:rPr>
          <w:rFonts w:asciiTheme="majorBidi" w:hAnsiTheme="majorBidi" w:cstheme="majorBidi"/>
          <w:szCs w:val="22"/>
          <w:u w:val="single"/>
        </w:rPr>
        <w:t>N</w:t>
      </w:r>
    </w:p>
    <w:p w14:paraId="4A404D3C" w14:textId="26CDCFA1" w:rsidR="00AF7ABC" w:rsidRPr="00F25CE6" w:rsidRDefault="000B2AE7" w:rsidP="000B2AE7">
      <w:pPr>
        <w:widowControl/>
        <w:tabs>
          <w:tab w:val="left" w:pos="5040"/>
        </w:tabs>
        <w:rPr>
          <w:rFonts w:asciiTheme="majorBidi" w:hAnsiTheme="majorBidi" w:cstheme="majorBidi"/>
        </w:rPr>
      </w:pPr>
      <w:r w:rsidRPr="000B2AE7">
        <w:rPr>
          <w:rFonts w:asciiTheme="majorBidi" w:hAnsiTheme="majorBidi" w:cstheme="majorBidi"/>
        </w:rPr>
        <w:t>______</w:t>
      </w:r>
      <w:r w:rsidR="00422138" w:rsidRPr="00F25CE6">
        <w:rPr>
          <w:rFonts w:asciiTheme="majorBidi" w:hAnsiTheme="majorBidi" w:cstheme="majorBidi"/>
        </w:rPr>
        <w:t xml:space="preserve"> Dasatinib 100 mg jedanput dnevno</w:t>
      </w:r>
      <w:r>
        <w:rPr>
          <w:rFonts w:asciiTheme="majorBidi" w:hAnsiTheme="majorBidi" w:cstheme="majorBidi"/>
        </w:rPr>
        <w:tab/>
      </w:r>
      <w:r w:rsidR="00422138" w:rsidRPr="00F25CE6">
        <w:rPr>
          <w:rFonts w:asciiTheme="majorBidi" w:hAnsiTheme="majorBidi" w:cstheme="majorBidi"/>
        </w:rPr>
        <w:t>259</w:t>
      </w:r>
    </w:p>
    <w:p w14:paraId="1FDFE445" w14:textId="77777777" w:rsidR="00AF7ABC" w:rsidRPr="00F25CE6" w:rsidRDefault="00422138" w:rsidP="000B2AE7">
      <w:pPr>
        <w:widowControl/>
        <w:tabs>
          <w:tab w:val="left" w:pos="5040"/>
        </w:tabs>
        <w:rPr>
          <w:rFonts w:asciiTheme="majorBidi" w:hAnsiTheme="majorBidi" w:cstheme="majorBidi"/>
        </w:rPr>
      </w:pPr>
      <w:r w:rsidRPr="00F25CE6">
        <w:rPr>
          <w:rFonts w:asciiTheme="majorBidi" w:hAnsiTheme="majorBidi" w:cstheme="majorBidi"/>
        </w:rPr>
        <w:t>--------- Imatinib 400 mg jedanput dnevno</w:t>
      </w:r>
      <w:r w:rsidRPr="00F25CE6">
        <w:rPr>
          <w:rFonts w:asciiTheme="majorBidi" w:hAnsiTheme="majorBidi" w:cstheme="majorBidi"/>
        </w:rPr>
        <w:tab/>
        <w:t>260</w:t>
      </w:r>
    </w:p>
    <w:p w14:paraId="6B44ED00" w14:textId="77777777" w:rsidR="000B2AE7" w:rsidRDefault="000B2AE7" w:rsidP="00F25CE6">
      <w:pPr>
        <w:pStyle w:val="BodyText"/>
        <w:widowControl/>
        <w:rPr>
          <w:rFonts w:asciiTheme="majorBidi" w:hAnsiTheme="majorBidi" w:cstheme="majorBidi"/>
          <w:szCs w:val="22"/>
        </w:rPr>
      </w:pPr>
    </w:p>
    <w:p w14:paraId="4E451335" w14:textId="573524B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Udio bolesnika koji su postigli omjer BCR-ABL ≤</w:t>
      </w:r>
      <w:r w:rsidR="008B34FA">
        <w:rPr>
          <w:rFonts w:asciiTheme="majorBidi" w:hAnsiTheme="majorBidi" w:cstheme="majorBidi"/>
          <w:szCs w:val="22"/>
        </w:rPr>
        <w:t> </w:t>
      </w:r>
      <w:r w:rsidRPr="00F25CE6">
        <w:rPr>
          <w:rFonts w:asciiTheme="majorBidi" w:hAnsiTheme="majorBidi" w:cstheme="majorBidi"/>
          <w:szCs w:val="22"/>
        </w:rPr>
        <w:t xml:space="preserve">0,01% (smanjene 4-log) u bilo koje vrijeme bila je viša u </w:t>
      </w:r>
      <w:r w:rsidR="004E17E6">
        <w:rPr>
          <w:rFonts w:asciiTheme="majorBidi" w:hAnsiTheme="majorBidi" w:cstheme="majorBidi"/>
          <w:szCs w:val="22"/>
        </w:rPr>
        <w:t>dasatinib</w:t>
      </w:r>
      <w:r w:rsidRPr="00F25CE6">
        <w:rPr>
          <w:rFonts w:asciiTheme="majorBidi" w:hAnsiTheme="majorBidi" w:cstheme="majorBidi"/>
          <w:szCs w:val="22"/>
        </w:rPr>
        <w:t xml:space="preserve"> skupini u usporedbi sa imatinib skupinom (54,1% nasuprot 45%). Udio bolesnika koji su postigli omjer BCR-ABL ≤</w:t>
      </w:r>
      <w:r w:rsidR="008B34FA">
        <w:rPr>
          <w:rFonts w:asciiTheme="majorBidi" w:hAnsiTheme="majorBidi" w:cstheme="majorBidi"/>
          <w:szCs w:val="22"/>
        </w:rPr>
        <w:t> </w:t>
      </w:r>
      <w:r w:rsidRPr="00F25CE6">
        <w:rPr>
          <w:rFonts w:asciiTheme="majorBidi" w:hAnsiTheme="majorBidi" w:cstheme="majorBidi"/>
          <w:szCs w:val="22"/>
        </w:rPr>
        <w:t xml:space="preserve">0,0032% (smanjenje 4,5-log) u bilo koje vrijeme bila je viša u </w:t>
      </w:r>
      <w:r w:rsidR="004E17E6">
        <w:rPr>
          <w:rFonts w:asciiTheme="majorBidi" w:hAnsiTheme="majorBidi" w:cstheme="majorBidi"/>
          <w:szCs w:val="22"/>
        </w:rPr>
        <w:t>dasatinib</w:t>
      </w:r>
      <w:r w:rsidRPr="00F25CE6">
        <w:rPr>
          <w:rFonts w:asciiTheme="majorBidi" w:hAnsiTheme="majorBidi" w:cstheme="majorBidi"/>
          <w:szCs w:val="22"/>
        </w:rPr>
        <w:t xml:space="preserve"> skupini u usporedbi sa imatinib skupinom (44% nasuprot 34%).</w:t>
      </w:r>
    </w:p>
    <w:p w14:paraId="4AFEBBFC" w14:textId="77777777" w:rsidR="000B2AE7" w:rsidRDefault="000B2AE7" w:rsidP="00F25CE6">
      <w:pPr>
        <w:pStyle w:val="BodyText"/>
        <w:widowControl/>
        <w:rPr>
          <w:rFonts w:asciiTheme="majorBidi" w:hAnsiTheme="majorBidi" w:cstheme="majorBidi"/>
          <w:szCs w:val="22"/>
        </w:rPr>
      </w:pPr>
    </w:p>
    <w:p w14:paraId="297E8352" w14:textId="77777777" w:rsidR="008E2B61" w:rsidRDefault="00422138" w:rsidP="008E2B61">
      <w:pPr>
        <w:pStyle w:val="BodyText"/>
        <w:widowControl/>
        <w:rPr>
          <w:rFonts w:asciiTheme="majorBidi" w:hAnsiTheme="majorBidi" w:cstheme="majorBidi"/>
          <w:szCs w:val="22"/>
        </w:rPr>
      </w:pPr>
      <w:r w:rsidRPr="00F25CE6">
        <w:rPr>
          <w:rFonts w:asciiTheme="majorBidi" w:hAnsiTheme="majorBidi" w:cstheme="majorBidi"/>
          <w:szCs w:val="22"/>
        </w:rPr>
        <w:t>Stope MR4,5 tijekom vremena grafički su prikazane na Slici 3. Stope MR4,5 dosljedno su bile više u bolesnika liječenih dasatinibom nego u onih liječenih imatinibom.</w:t>
      </w:r>
    </w:p>
    <w:p w14:paraId="7580B348" w14:textId="77777777" w:rsidR="008E2B61" w:rsidRDefault="008E2B61" w:rsidP="008E2B61">
      <w:pPr>
        <w:pStyle w:val="BodyText"/>
        <w:widowControl/>
        <w:rPr>
          <w:rFonts w:asciiTheme="majorBidi" w:hAnsiTheme="majorBidi" w:cstheme="majorBidi"/>
          <w:szCs w:val="22"/>
        </w:rPr>
      </w:pPr>
    </w:p>
    <w:p w14:paraId="656AD0D5" w14:textId="41346B01" w:rsidR="00AF7ABC" w:rsidRPr="008E2B61" w:rsidRDefault="00422138" w:rsidP="008B34FA">
      <w:pPr>
        <w:pStyle w:val="BodyText"/>
        <w:widowControl/>
        <w:ind w:left="851" w:hanging="851"/>
        <w:rPr>
          <w:b/>
        </w:rPr>
      </w:pPr>
      <w:r w:rsidRPr="008E2B61">
        <w:rPr>
          <w:b/>
        </w:rPr>
        <w:t>Slika 3:</w:t>
      </w:r>
      <w:r w:rsidRPr="008E2B61">
        <w:rPr>
          <w:b/>
        </w:rPr>
        <w:tab/>
        <w:t xml:space="preserve">Stope MR4,5 tijekom vremena - svi randomizirani bolesnici u ispitivanju faze </w:t>
      </w:r>
      <w:r w:rsidR="00711852">
        <w:rPr>
          <w:b/>
        </w:rPr>
        <w:t>III</w:t>
      </w:r>
      <w:r w:rsidRPr="008E2B61">
        <w:rPr>
          <w:b/>
        </w:rPr>
        <w:t xml:space="preserve"> provedenom u</w:t>
      </w:r>
      <w:r w:rsidR="00D70A36">
        <w:rPr>
          <w:b/>
        </w:rPr>
        <w:t xml:space="preserve"> novodijagnosticiranih</w:t>
      </w:r>
      <w:r w:rsidRPr="008E2B61">
        <w:rPr>
          <w:b/>
        </w:rPr>
        <w:t xml:space="preserve"> bolesnika s KML</w:t>
      </w:r>
      <w:r w:rsidR="002D2F12">
        <w:rPr>
          <w:b/>
        </w:rPr>
        <w:t>-om</w:t>
      </w:r>
      <w:r w:rsidRPr="008E2B61">
        <w:rPr>
          <w:b/>
        </w:rPr>
        <w:t xml:space="preserve"> u kroničnoj fazi</w:t>
      </w:r>
    </w:p>
    <w:p w14:paraId="7BAC2ED5" w14:textId="77777777" w:rsidR="007B316F" w:rsidRPr="00F25CE6" w:rsidRDefault="007B316F" w:rsidP="000B2AE7">
      <w:pPr>
        <w:pStyle w:val="BodyText"/>
        <w:widowControl/>
        <w:jc w:val="center"/>
        <w:rPr>
          <w:rFonts w:asciiTheme="majorBidi" w:hAnsiTheme="majorBidi" w:cstheme="majorBidi"/>
          <w:b/>
          <w:szCs w:val="22"/>
        </w:rPr>
      </w:pPr>
    </w:p>
    <w:p w14:paraId="2E62BADC" w14:textId="2124A2BA" w:rsidR="007B316F" w:rsidRPr="00F25CE6" w:rsidRDefault="007B316F" w:rsidP="000B2AE7">
      <w:pPr>
        <w:widowControl/>
        <w:ind w:right="1057"/>
        <w:jc w:val="right"/>
        <w:rPr>
          <w:rFonts w:asciiTheme="majorBidi" w:hAnsiTheme="majorBidi" w:cstheme="majorBidi"/>
          <w:b/>
        </w:rPr>
      </w:pPr>
      <w:r w:rsidRPr="00612D2B">
        <w:rPr>
          <w:rFonts w:asciiTheme="majorBidi" w:hAnsiTheme="majorBidi" w:cstheme="majorBidi"/>
          <w:b/>
          <w:noProof/>
          <w:lang w:val="en-IN" w:eastAsia="en-IN"/>
        </w:rPr>
        <w:drawing>
          <wp:inline distT="0" distB="0" distL="0" distR="0" wp14:anchorId="34021D2C" wp14:editId="5B9D2BF8">
            <wp:extent cx="5760085" cy="30029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extLst>
                        <a:ext uri="{28A0092B-C50C-407E-A947-70E740481C1C}">
                          <a14:useLocalDpi xmlns:a14="http://schemas.microsoft.com/office/drawing/2010/main" val="0"/>
                        </a:ext>
                      </a:extLst>
                    </a:blip>
                    <a:stretch>
                      <a:fillRect/>
                    </a:stretch>
                  </pic:blipFill>
                  <pic:spPr>
                    <a:xfrm>
                      <a:off x="0" y="0"/>
                      <a:ext cx="5760085" cy="3002915"/>
                    </a:xfrm>
                    <a:prstGeom prst="rect">
                      <a:avLst/>
                    </a:prstGeom>
                  </pic:spPr>
                </pic:pic>
              </a:graphicData>
            </a:graphic>
          </wp:inline>
        </w:drawing>
      </w:r>
    </w:p>
    <w:p w14:paraId="0C9100FB" w14:textId="77777777" w:rsidR="00AF7ABC" w:rsidRPr="00F25CE6" w:rsidRDefault="000B2AE7" w:rsidP="000B2AE7">
      <w:pPr>
        <w:widowControl/>
        <w:tabs>
          <w:tab w:val="left" w:pos="5040"/>
        </w:tabs>
        <w:rPr>
          <w:rFonts w:asciiTheme="majorBidi" w:hAnsiTheme="majorBidi" w:cstheme="majorBidi"/>
        </w:rPr>
      </w:pPr>
      <w:r w:rsidRPr="000B2AE7">
        <w:rPr>
          <w:rFonts w:asciiTheme="majorBidi" w:hAnsiTheme="majorBidi" w:cstheme="majorBidi"/>
        </w:rPr>
        <w:tab/>
      </w:r>
      <w:r w:rsidR="00422138" w:rsidRPr="00F25CE6">
        <w:rPr>
          <w:rFonts w:asciiTheme="majorBidi" w:hAnsiTheme="majorBidi" w:cstheme="majorBidi"/>
          <w:u w:val="single"/>
        </w:rPr>
        <w:t>N</w:t>
      </w:r>
    </w:p>
    <w:p w14:paraId="31DF5B3A" w14:textId="77777777" w:rsidR="00AF7ABC" w:rsidRPr="00F25CE6" w:rsidRDefault="000B2AE7" w:rsidP="000B2AE7">
      <w:pPr>
        <w:widowControl/>
        <w:tabs>
          <w:tab w:val="left" w:pos="5040"/>
        </w:tabs>
        <w:rPr>
          <w:rFonts w:asciiTheme="majorBidi" w:hAnsiTheme="majorBidi" w:cstheme="majorBidi"/>
        </w:rPr>
      </w:pPr>
      <w:r>
        <w:rPr>
          <w:rFonts w:asciiTheme="majorBidi" w:hAnsiTheme="majorBidi" w:cstheme="majorBidi"/>
        </w:rPr>
        <w:t>______</w:t>
      </w:r>
      <w:r w:rsidR="00422138" w:rsidRPr="00F25CE6">
        <w:rPr>
          <w:rFonts w:asciiTheme="majorBidi" w:hAnsiTheme="majorBidi" w:cstheme="majorBidi"/>
        </w:rPr>
        <w:t xml:space="preserve"> Dasatinib 100 mg jedanput dnevno</w:t>
      </w:r>
      <w:r>
        <w:rPr>
          <w:rFonts w:asciiTheme="majorBidi" w:hAnsiTheme="majorBidi" w:cstheme="majorBidi"/>
        </w:rPr>
        <w:tab/>
      </w:r>
      <w:r w:rsidR="00422138" w:rsidRPr="00F25CE6">
        <w:rPr>
          <w:rFonts w:asciiTheme="majorBidi" w:hAnsiTheme="majorBidi" w:cstheme="majorBidi"/>
        </w:rPr>
        <w:t>259</w:t>
      </w:r>
    </w:p>
    <w:p w14:paraId="60BB82D4" w14:textId="07C6073B" w:rsidR="00AF7ABC" w:rsidRPr="00F25CE6" w:rsidRDefault="00422138" w:rsidP="000B2AE7">
      <w:pPr>
        <w:widowControl/>
        <w:tabs>
          <w:tab w:val="left" w:pos="5040"/>
        </w:tabs>
        <w:rPr>
          <w:rFonts w:asciiTheme="majorBidi" w:hAnsiTheme="majorBidi" w:cstheme="majorBidi"/>
        </w:rPr>
      </w:pPr>
      <w:r w:rsidRPr="00F25CE6">
        <w:rPr>
          <w:rFonts w:asciiTheme="majorBidi" w:hAnsiTheme="majorBidi" w:cstheme="majorBidi"/>
        </w:rPr>
        <w:t>--------- Imatinib 400 mg jedanput dnevno</w:t>
      </w:r>
      <w:r w:rsidRPr="00F25CE6">
        <w:rPr>
          <w:rFonts w:asciiTheme="majorBidi" w:hAnsiTheme="majorBidi" w:cstheme="majorBidi"/>
        </w:rPr>
        <w:tab/>
        <w:t>260</w:t>
      </w:r>
    </w:p>
    <w:p w14:paraId="1496F927" w14:textId="77777777" w:rsidR="00AF7ABC" w:rsidRPr="00F25CE6" w:rsidRDefault="00AF7ABC" w:rsidP="00F25CE6">
      <w:pPr>
        <w:pStyle w:val="BodyText"/>
        <w:widowControl/>
        <w:rPr>
          <w:rFonts w:asciiTheme="majorBidi" w:hAnsiTheme="majorBidi" w:cstheme="majorBidi"/>
          <w:szCs w:val="22"/>
        </w:rPr>
      </w:pPr>
    </w:p>
    <w:p w14:paraId="7EE1037D" w14:textId="23E2FFC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Stopa MMR</w:t>
      </w:r>
      <w:r w:rsidR="002D2F12">
        <w:rPr>
          <w:rFonts w:asciiTheme="majorBidi" w:hAnsiTheme="majorBidi" w:cstheme="majorBidi"/>
          <w:szCs w:val="22"/>
        </w:rPr>
        <w:t>-a</w:t>
      </w:r>
      <w:r w:rsidRPr="00F25CE6">
        <w:rPr>
          <w:rFonts w:asciiTheme="majorBidi" w:hAnsiTheme="majorBidi" w:cstheme="majorBidi"/>
          <w:szCs w:val="22"/>
        </w:rPr>
        <w:t xml:space="preserve"> u bilo kojem trenutku u svakoj rizičnoj skupini bila je određena Hasford rezultatom koji je bio veći u </w:t>
      </w:r>
      <w:r w:rsidR="004E17E6">
        <w:rPr>
          <w:rFonts w:asciiTheme="majorBidi" w:hAnsiTheme="majorBidi" w:cstheme="majorBidi"/>
          <w:szCs w:val="22"/>
        </w:rPr>
        <w:t>dasatinib</w:t>
      </w:r>
      <w:r w:rsidRPr="00F25CE6">
        <w:rPr>
          <w:rFonts w:asciiTheme="majorBidi" w:hAnsiTheme="majorBidi" w:cstheme="majorBidi"/>
          <w:szCs w:val="22"/>
        </w:rPr>
        <w:t xml:space="preserve"> skupini u usporedbi sa imatinib skupinom (nizak rizik: 90% i 69%; srednji rizik: 71% i 65%; visok rizik: 67% i 54%).</w:t>
      </w:r>
    </w:p>
    <w:p w14:paraId="194FC6B4" w14:textId="77777777" w:rsidR="00AF7ABC" w:rsidRPr="00F25CE6" w:rsidRDefault="00AF7ABC" w:rsidP="00F25CE6">
      <w:pPr>
        <w:pStyle w:val="BodyText"/>
        <w:widowControl/>
        <w:rPr>
          <w:rFonts w:asciiTheme="majorBidi" w:hAnsiTheme="majorBidi" w:cstheme="majorBidi"/>
          <w:szCs w:val="22"/>
        </w:rPr>
      </w:pPr>
    </w:p>
    <w:p w14:paraId="24869746"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dodatnoj je analizi rani molekularni odgovor (definiran kao razine BCR-ABL ≤ 10% u 3. mjesecu) postigao veći broj bolesnika liječenih dasatinibom (84%) nego bolesnika liječenih imatinibom (64%). U bolesnika koji su postigli rani molekularni odgovor postojao je manji rizik od transformacije, veća stopa preživljenja bez progresije bolesti (PFS) i veća stopa ukupnog preživljenja (OS), kao što je prikazano u Tablici 10.</w:t>
      </w:r>
    </w:p>
    <w:p w14:paraId="5A660E87" w14:textId="77777777" w:rsidR="00AF7ABC" w:rsidRPr="00F25CE6" w:rsidRDefault="00AF7ABC" w:rsidP="00F25CE6">
      <w:pPr>
        <w:pStyle w:val="BodyText"/>
        <w:widowControl/>
        <w:rPr>
          <w:rFonts w:asciiTheme="majorBidi" w:hAnsiTheme="majorBidi" w:cstheme="majorBidi"/>
          <w:szCs w:val="22"/>
        </w:rPr>
      </w:pPr>
    </w:p>
    <w:p w14:paraId="1848306E" w14:textId="09C1A795" w:rsidR="00AF7ABC" w:rsidRPr="00F25CE6" w:rsidRDefault="00422138" w:rsidP="00D12A5F">
      <w:pPr>
        <w:pStyle w:val="FigureHeading"/>
        <w:ind w:left="1134" w:hanging="1134"/>
      </w:pPr>
      <w:r w:rsidRPr="00F25CE6">
        <w:t>Tablica 10:</w:t>
      </w:r>
      <w:r w:rsidR="000B2AE7">
        <w:tab/>
      </w:r>
      <w:r w:rsidRPr="00F25CE6">
        <w:t>Bolesnici liječeni dasatinibom koji su imali BCR-ABL ≤</w:t>
      </w:r>
      <w:r w:rsidR="002D2F12">
        <w:t> </w:t>
      </w:r>
      <w:r w:rsidRPr="00F25CE6">
        <w:t>10% i &gt;</w:t>
      </w:r>
      <w:r w:rsidR="00193979">
        <w:t xml:space="preserve"> </w:t>
      </w:r>
      <w:r w:rsidRPr="00F25CE6">
        <w:t>10% u 3. mjesecu</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498"/>
        <w:gridCol w:w="2681"/>
        <w:gridCol w:w="2728"/>
      </w:tblGrid>
      <w:tr w:rsidR="00AF7ABC" w:rsidRPr="00F25CE6" w14:paraId="764A8855" w14:textId="77777777" w:rsidTr="000B2AE7">
        <w:trPr>
          <w:trHeight w:val="20"/>
        </w:trPr>
        <w:tc>
          <w:tcPr>
            <w:tcW w:w="3498" w:type="dxa"/>
            <w:tcBorders>
              <w:top w:val="single" w:sz="4" w:space="0" w:color="000000"/>
              <w:bottom w:val="single" w:sz="6" w:space="0" w:color="000000"/>
            </w:tcBorders>
          </w:tcPr>
          <w:p w14:paraId="2476A835" w14:textId="77777777" w:rsidR="00AF7ABC" w:rsidRPr="00F25CE6" w:rsidRDefault="00AF7ABC" w:rsidP="000B2AE7">
            <w:pPr>
              <w:pStyle w:val="TableParagraph"/>
              <w:autoSpaceDE/>
              <w:autoSpaceDN/>
              <w:ind w:left="29" w:right="29"/>
              <w:rPr>
                <w:rFonts w:asciiTheme="majorBidi" w:hAnsiTheme="majorBidi" w:cstheme="majorBidi"/>
                <w:b/>
              </w:rPr>
            </w:pPr>
          </w:p>
          <w:p w14:paraId="771FAE3A" w14:textId="77777777" w:rsidR="00AF7ABC" w:rsidRPr="00F25CE6" w:rsidRDefault="00AF7ABC" w:rsidP="000B2AE7">
            <w:pPr>
              <w:pStyle w:val="TableParagraph"/>
              <w:autoSpaceDE/>
              <w:autoSpaceDN/>
              <w:ind w:left="29" w:right="29"/>
              <w:rPr>
                <w:rFonts w:asciiTheme="majorBidi" w:hAnsiTheme="majorBidi" w:cstheme="majorBidi"/>
                <w:b/>
              </w:rPr>
            </w:pPr>
          </w:p>
          <w:p w14:paraId="156BD106" w14:textId="77777777" w:rsidR="00AF7ABC" w:rsidRPr="00F25CE6" w:rsidRDefault="00422138" w:rsidP="000B2AE7">
            <w:pPr>
              <w:pStyle w:val="TableParagraph"/>
              <w:autoSpaceDE/>
              <w:autoSpaceDN/>
              <w:ind w:left="29" w:right="29"/>
              <w:rPr>
                <w:rFonts w:asciiTheme="majorBidi" w:hAnsiTheme="majorBidi" w:cstheme="majorBidi"/>
                <w:b/>
              </w:rPr>
            </w:pPr>
            <w:r w:rsidRPr="00F25CE6">
              <w:rPr>
                <w:rFonts w:asciiTheme="majorBidi" w:hAnsiTheme="majorBidi" w:cstheme="majorBidi"/>
                <w:b/>
              </w:rPr>
              <w:t>Dasatinib N = 235</w:t>
            </w:r>
          </w:p>
        </w:tc>
        <w:tc>
          <w:tcPr>
            <w:tcW w:w="2681" w:type="dxa"/>
            <w:tcBorders>
              <w:top w:val="single" w:sz="4" w:space="0" w:color="000000"/>
              <w:bottom w:val="single" w:sz="6" w:space="0" w:color="000000"/>
            </w:tcBorders>
          </w:tcPr>
          <w:p w14:paraId="643E80A9" w14:textId="3C5EF092" w:rsidR="00AF7ABC" w:rsidRPr="00F25CE6" w:rsidRDefault="00422138" w:rsidP="000B2AE7">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Bolesnici koji su imali BCR-ABL ≤</w:t>
            </w:r>
            <w:r w:rsidR="002D2F12">
              <w:rPr>
                <w:rFonts w:asciiTheme="majorBidi" w:hAnsiTheme="majorBidi" w:cstheme="majorBidi"/>
                <w:b/>
              </w:rPr>
              <w:t> </w:t>
            </w:r>
            <w:r w:rsidRPr="00F25CE6">
              <w:rPr>
                <w:rFonts w:asciiTheme="majorBidi" w:hAnsiTheme="majorBidi" w:cstheme="majorBidi"/>
                <w:b/>
              </w:rPr>
              <w:t>10% u</w:t>
            </w:r>
          </w:p>
          <w:p w14:paraId="4CDAB70C" w14:textId="77777777" w:rsidR="00AF7ABC" w:rsidRPr="00F25CE6" w:rsidRDefault="00422138" w:rsidP="000B2AE7">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 mjesecu</w:t>
            </w:r>
          </w:p>
        </w:tc>
        <w:tc>
          <w:tcPr>
            <w:tcW w:w="2728" w:type="dxa"/>
            <w:tcBorders>
              <w:top w:val="single" w:sz="4" w:space="0" w:color="000000"/>
              <w:bottom w:val="single" w:sz="6" w:space="0" w:color="000000"/>
            </w:tcBorders>
          </w:tcPr>
          <w:p w14:paraId="7DAD3786" w14:textId="75482132" w:rsidR="00AF7ABC" w:rsidRPr="00F25CE6" w:rsidRDefault="00422138" w:rsidP="000B2AE7">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Bolesnici koji su imali BCR-ABL &gt;</w:t>
            </w:r>
            <w:r w:rsidR="002D2F12">
              <w:rPr>
                <w:rFonts w:asciiTheme="majorBidi" w:hAnsiTheme="majorBidi" w:cstheme="majorBidi"/>
                <w:b/>
              </w:rPr>
              <w:t> </w:t>
            </w:r>
            <w:r w:rsidRPr="00F25CE6">
              <w:rPr>
                <w:rFonts w:asciiTheme="majorBidi" w:hAnsiTheme="majorBidi" w:cstheme="majorBidi"/>
                <w:b/>
              </w:rPr>
              <w:t>10% u</w:t>
            </w:r>
          </w:p>
          <w:p w14:paraId="79380CA8" w14:textId="77777777" w:rsidR="00AF7ABC" w:rsidRPr="00F25CE6" w:rsidRDefault="00422138" w:rsidP="000B2AE7">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 mjesecu</w:t>
            </w:r>
          </w:p>
        </w:tc>
      </w:tr>
      <w:tr w:rsidR="00AF7ABC" w:rsidRPr="00F25CE6" w14:paraId="37EE1E59" w14:textId="77777777" w:rsidTr="000B2AE7">
        <w:trPr>
          <w:trHeight w:val="20"/>
        </w:trPr>
        <w:tc>
          <w:tcPr>
            <w:tcW w:w="3498" w:type="dxa"/>
            <w:tcBorders>
              <w:top w:val="single" w:sz="6" w:space="0" w:color="000000"/>
            </w:tcBorders>
          </w:tcPr>
          <w:p w14:paraId="245D1619" w14:textId="77777777" w:rsidR="00AF7ABC" w:rsidRPr="00F25CE6" w:rsidRDefault="00422138" w:rsidP="000B2AE7">
            <w:pPr>
              <w:pStyle w:val="TableParagraph"/>
              <w:autoSpaceDE/>
              <w:autoSpaceDN/>
              <w:ind w:left="29" w:right="29"/>
              <w:rPr>
                <w:rFonts w:asciiTheme="majorBidi" w:hAnsiTheme="majorBidi" w:cstheme="majorBidi"/>
              </w:rPr>
            </w:pPr>
            <w:r w:rsidRPr="00F25CE6">
              <w:rPr>
                <w:rFonts w:asciiTheme="majorBidi" w:hAnsiTheme="majorBidi" w:cstheme="majorBidi"/>
              </w:rPr>
              <w:t>Broj bolesnika (%)</w:t>
            </w:r>
          </w:p>
        </w:tc>
        <w:tc>
          <w:tcPr>
            <w:tcW w:w="2681" w:type="dxa"/>
            <w:tcBorders>
              <w:top w:val="single" w:sz="6" w:space="0" w:color="000000"/>
            </w:tcBorders>
          </w:tcPr>
          <w:p w14:paraId="2225823E" w14:textId="77777777"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198 (84,3)</w:t>
            </w:r>
          </w:p>
        </w:tc>
        <w:tc>
          <w:tcPr>
            <w:tcW w:w="2728" w:type="dxa"/>
            <w:tcBorders>
              <w:top w:val="single" w:sz="6" w:space="0" w:color="000000"/>
            </w:tcBorders>
          </w:tcPr>
          <w:p w14:paraId="1402511A" w14:textId="77777777"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37 (15,7)</w:t>
            </w:r>
          </w:p>
        </w:tc>
      </w:tr>
      <w:tr w:rsidR="00AF7ABC" w:rsidRPr="00F25CE6" w14:paraId="525B5AD0" w14:textId="77777777" w:rsidTr="000B2AE7">
        <w:trPr>
          <w:trHeight w:val="20"/>
        </w:trPr>
        <w:tc>
          <w:tcPr>
            <w:tcW w:w="3498" w:type="dxa"/>
          </w:tcPr>
          <w:p w14:paraId="450F163F" w14:textId="77777777" w:rsidR="00AF7ABC" w:rsidRPr="00F25CE6" w:rsidRDefault="00422138" w:rsidP="000B2AE7">
            <w:pPr>
              <w:pStyle w:val="TableParagraph"/>
              <w:autoSpaceDE/>
              <w:autoSpaceDN/>
              <w:ind w:left="29" w:right="29"/>
              <w:rPr>
                <w:rFonts w:asciiTheme="majorBidi" w:hAnsiTheme="majorBidi" w:cstheme="majorBidi"/>
              </w:rPr>
            </w:pPr>
            <w:r w:rsidRPr="00F25CE6">
              <w:rPr>
                <w:rFonts w:asciiTheme="majorBidi" w:hAnsiTheme="majorBidi" w:cstheme="majorBidi"/>
              </w:rPr>
              <w:t>Transformacija u 60. mjesecu, n/N</w:t>
            </w:r>
            <w:r w:rsidR="000B2AE7">
              <w:rPr>
                <w:rFonts w:asciiTheme="majorBidi" w:hAnsiTheme="majorBidi" w:cstheme="majorBidi"/>
              </w:rPr>
              <w:t xml:space="preserve"> </w:t>
            </w:r>
            <w:r w:rsidR="000B2AE7" w:rsidRPr="00F25CE6">
              <w:rPr>
                <w:rFonts w:asciiTheme="majorBidi" w:hAnsiTheme="majorBidi" w:cstheme="majorBidi"/>
              </w:rPr>
              <w:t>(%)</w:t>
            </w:r>
          </w:p>
        </w:tc>
        <w:tc>
          <w:tcPr>
            <w:tcW w:w="2681" w:type="dxa"/>
          </w:tcPr>
          <w:p w14:paraId="6ED54786" w14:textId="77777777"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6/198 (3,0)</w:t>
            </w:r>
          </w:p>
        </w:tc>
        <w:tc>
          <w:tcPr>
            <w:tcW w:w="2728" w:type="dxa"/>
          </w:tcPr>
          <w:p w14:paraId="0725DB51" w14:textId="77777777"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5/37 (13,5)</w:t>
            </w:r>
          </w:p>
        </w:tc>
      </w:tr>
      <w:tr w:rsidR="00AF7ABC" w:rsidRPr="00F25CE6" w14:paraId="2655EEAE" w14:textId="77777777" w:rsidTr="000B2AE7">
        <w:trPr>
          <w:trHeight w:val="20"/>
        </w:trPr>
        <w:tc>
          <w:tcPr>
            <w:tcW w:w="3498" w:type="dxa"/>
          </w:tcPr>
          <w:p w14:paraId="15B7B3BC" w14:textId="77777777" w:rsidR="00AF7ABC" w:rsidRPr="00F25CE6" w:rsidRDefault="00422138" w:rsidP="000B2AE7">
            <w:pPr>
              <w:pStyle w:val="TableParagraph"/>
              <w:autoSpaceDE/>
              <w:autoSpaceDN/>
              <w:ind w:left="29" w:right="29"/>
              <w:rPr>
                <w:rFonts w:asciiTheme="majorBidi" w:hAnsiTheme="majorBidi" w:cstheme="majorBidi"/>
              </w:rPr>
            </w:pPr>
            <w:r w:rsidRPr="00F25CE6">
              <w:rPr>
                <w:rFonts w:asciiTheme="majorBidi" w:hAnsiTheme="majorBidi" w:cstheme="majorBidi"/>
              </w:rPr>
              <w:t>Stopa PFS-a u 60. mjesecu (95% CI)</w:t>
            </w:r>
          </w:p>
        </w:tc>
        <w:tc>
          <w:tcPr>
            <w:tcW w:w="2681" w:type="dxa"/>
          </w:tcPr>
          <w:p w14:paraId="4376E26D" w14:textId="12F9E580"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92,0% (89,6</w:t>
            </w:r>
            <w:r w:rsidR="002D2F12">
              <w:rPr>
                <w:rFonts w:asciiTheme="majorBidi" w:hAnsiTheme="majorBidi" w:cstheme="majorBidi"/>
              </w:rPr>
              <w:t>;</w:t>
            </w:r>
            <w:r w:rsidRPr="00F25CE6">
              <w:rPr>
                <w:rFonts w:asciiTheme="majorBidi" w:hAnsiTheme="majorBidi" w:cstheme="majorBidi"/>
              </w:rPr>
              <w:t xml:space="preserve"> 95,2)</w:t>
            </w:r>
          </w:p>
        </w:tc>
        <w:tc>
          <w:tcPr>
            <w:tcW w:w="2728" w:type="dxa"/>
          </w:tcPr>
          <w:p w14:paraId="42D9531A" w14:textId="17E614B4"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73,8% (52,0</w:t>
            </w:r>
            <w:r w:rsidR="002D2F12">
              <w:rPr>
                <w:rFonts w:asciiTheme="majorBidi" w:hAnsiTheme="majorBidi" w:cstheme="majorBidi"/>
              </w:rPr>
              <w:t>;</w:t>
            </w:r>
            <w:r w:rsidRPr="00F25CE6">
              <w:rPr>
                <w:rFonts w:asciiTheme="majorBidi" w:hAnsiTheme="majorBidi" w:cstheme="majorBidi"/>
              </w:rPr>
              <w:t xml:space="preserve"> 86,8)</w:t>
            </w:r>
          </w:p>
        </w:tc>
      </w:tr>
      <w:tr w:rsidR="00AF7ABC" w:rsidRPr="00F25CE6" w14:paraId="281AE8A0" w14:textId="77777777" w:rsidTr="000B2AE7">
        <w:trPr>
          <w:trHeight w:val="20"/>
        </w:trPr>
        <w:tc>
          <w:tcPr>
            <w:tcW w:w="3498" w:type="dxa"/>
            <w:tcBorders>
              <w:bottom w:val="single" w:sz="4" w:space="0" w:color="000000"/>
            </w:tcBorders>
          </w:tcPr>
          <w:p w14:paraId="49B241B5" w14:textId="77777777" w:rsidR="00AF7ABC" w:rsidRPr="00F25CE6" w:rsidRDefault="00422138" w:rsidP="000B2AE7">
            <w:pPr>
              <w:pStyle w:val="TableParagraph"/>
              <w:autoSpaceDE/>
              <w:autoSpaceDN/>
              <w:ind w:left="29" w:right="29"/>
              <w:rPr>
                <w:rFonts w:asciiTheme="majorBidi" w:hAnsiTheme="majorBidi" w:cstheme="majorBidi"/>
              </w:rPr>
            </w:pPr>
            <w:r w:rsidRPr="00F25CE6">
              <w:rPr>
                <w:rFonts w:asciiTheme="majorBidi" w:hAnsiTheme="majorBidi" w:cstheme="majorBidi"/>
              </w:rPr>
              <w:t>Stopa OS-a u 60. mjesecu (95% CI)</w:t>
            </w:r>
          </w:p>
        </w:tc>
        <w:tc>
          <w:tcPr>
            <w:tcW w:w="2681" w:type="dxa"/>
            <w:tcBorders>
              <w:bottom w:val="single" w:sz="4" w:space="0" w:color="000000"/>
            </w:tcBorders>
          </w:tcPr>
          <w:p w14:paraId="568F94F2" w14:textId="70B4EF84"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93,8% (89,3</w:t>
            </w:r>
            <w:r w:rsidR="002D2F12">
              <w:rPr>
                <w:rFonts w:asciiTheme="majorBidi" w:hAnsiTheme="majorBidi" w:cstheme="majorBidi"/>
              </w:rPr>
              <w:t>;</w:t>
            </w:r>
            <w:r w:rsidRPr="00F25CE6">
              <w:rPr>
                <w:rFonts w:asciiTheme="majorBidi" w:hAnsiTheme="majorBidi" w:cstheme="majorBidi"/>
              </w:rPr>
              <w:t xml:space="preserve"> 96,4)</w:t>
            </w:r>
          </w:p>
        </w:tc>
        <w:tc>
          <w:tcPr>
            <w:tcW w:w="2728" w:type="dxa"/>
            <w:tcBorders>
              <w:bottom w:val="single" w:sz="4" w:space="0" w:color="000000"/>
            </w:tcBorders>
          </w:tcPr>
          <w:p w14:paraId="5D51D9BC" w14:textId="685588A5" w:rsidR="00AF7ABC" w:rsidRPr="00F25CE6" w:rsidRDefault="00422138" w:rsidP="000B2AE7">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80,6% (63,5</w:t>
            </w:r>
            <w:r w:rsidR="002D2F12">
              <w:rPr>
                <w:rFonts w:asciiTheme="majorBidi" w:hAnsiTheme="majorBidi" w:cstheme="majorBidi"/>
              </w:rPr>
              <w:t>;</w:t>
            </w:r>
            <w:r w:rsidRPr="00F25CE6">
              <w:rPr>
                <w:rFonts w:asciiTheme="majorBidi" w:hAnsiTheme="majorBidi" w:cstheme="majorBidi"/>
              </w:rPr>
              <w:t xml:space="preserve"> 90,2)</w:t>
            </w:r>
          </w:p>
        </w:tc>
      </w:tr>
    </w:tbl>
    <w:p w14:paraId="2B5B081C" w14:textId="77777777" w:rsidR="00AF7ABC" w:rsidRPr="00F25CE6" w:rsidRDefault="00AF7ABC" w:rsidP="00F25CE6">
      <w:pPr>
        <w:pStyle w:val="BodyText"/>
        <w:widowControl/>
        <w:rPr>
          <w:rFonts w:asciiTheme="majorBidi" w:hAnsiTheme="majorBidi" w:cstheme="majorBidi"/>
          <w:b/>
          <w:szCs w:val="22"/>
        </w:rPr>
      </w:pPr>
    </w:p>
    <w:p w14:paraId="5E52E6AC" w14:textId="184DBE87" w:rsidR="00160E44" w:rsidRDefault="00422138" w:rsidP="00160E44">
      <w:pPr>
        <w:pStyle w:val="BodyText"/>
        <w:widowControl/>
        <w:rPr>
          <w:rFonts w:asciiTheme="majorBidi" w:hAnsiTheme="majorBidi" w:cstheme="majorBidi"/>
          <w:szCs w:val="22"/>
        </w:rPr>
      </w:pPr>
      <w:r w:rsidRPr="00F25CE6">
        <w:rPr>
          <w:rFonts w:asciiTheme="majorBidi" w:hAnsiTheme="majorBidi" w:cstheme="majorBidi"/>
          <w:szCs w:val="22"/>
        </w:rPr>
        <w:t>Stopa OS</w:t>
      </w:r>
      <w:r w:rsidR="00797AB1">
        <w:rPr>
          <w:rFonts w:asciiTheme="majorBidi" w:hAnsiTheme="majorBidi" w:cstheme="majorBidi"/>
          <w:szCs w:val="22"/>
        </w:rPr>
        <w:t>-a</w:t>
      </w:r>
      <w:r w:rsidRPr="00F25CE6">
        <w:rPr>
          <w:rFonts w:asciiTheme="majorBidi" w:hAnsiTheme="majorBidi" w:cstheme="majorBidi"/>
          <w:szCs w:val="22"/>
        </w:rPr>
        <w:t xml:space="preserve"> u specifičnim vremenskim točkama grafički je prikazana na Slici 4. Stopa OS</w:t>
      </w:r>
      <w:r w:rsidR="00797AB1">
        <w:rPr>
          <w:rFonts w:asciiTheme="majorBidi" w:hAnsiTheme="majorBidi" w:cstheme="majorBidi"/>
          <w:szCs w:val="22"/>
        </w:rPr>
        <w:t>-a</w:t>
      </w:r>
      <w:r w:rsidRPr="00F25CE6">
        <w:rPr>
          <w:rFonts w:asciiTheme="majorBidi" w:hAnsiTheme="majorBidi" w:cstheme="majorBidi"/>
          <w:szCs w:val="22"/>
        </w:rPr>
        <w:t xml:space="preserve"> dosljedno je bila viša u bolesnika liječenih dasatinibom koji su postigli razinu BCR-ABL ≤ 10% u 3. mjesecu nego u onih koji nisu.</w:t>
      </w:r>
    </w:p>
    <w:p w14:paraId="2D683FC8" w14:textId="6B12C742" w:rsidR="00160E44" w:rsidRDefault="00160E44" w:rsidP="00160E44">
      <w:pPr>
        <w:pStyle w:val="BodyText"/>
        <w:widowControl/>
        <w:rPr>
          <w:rFonts w:asciiTheme="majorBidi" w:hAnsiTheme="majorBidi" w:cstheme="majorBidi"/>
          <w:szCs w:val="22"/>
        </w:rPr>
      </w:pPr>
    </w:p>
    <w:p w14:paraId="1363B9B2" w14:textId="15BAAE81" w:rsidR="00AF7ABC" w:rsidRPr="00160E44" w:rsidRDefault="00422138" w:rsidP="00160E44">
      <w:pPr>
        <w:pStyle w:val="BodyText"/>
        <w:widowControl/>
        <w:ind w:left="709" w:hanging="709"/>
        <w:rPr>
          <w:b/>
        </w:rPr>
      </w:pPr>
      <w:r w:rsidRPr="00160E44">
        <w:rPr>
          <w:b/>
        </w:rPr>
        <w:t>Slika 4:</w:t>
      </w:r>
      <w:r w:rsidRPr="00160E44">
        <w:rPr>
          <w:b/>
        </w:rPr>
        <w:tab/>
        <w:t xml:space="preserve">Grafikon ključnih vremenskih točaka za ukupno preživljenje uz primjenu dasatiniba prema razini BCR-ABL (≤ 10% ili &gt; 10%) u 3. mjesecu u ispitivanju faze </w:t>
      </w:r>
      <w:r w:rsidR="00711852">
        <w:rPr>
          <w:b/>
        </w:rPr>
        <w:t>III</w:t>
      </w:r>
      <w:r w:rsidRPr="00160E44">
        <w:rPr>
          <w:b/>
        </w:rPr>
        <w:t xml:space="preserve"> provedenom u novodijagnosticiranih bolesnika s KML</w:t>
      </w:r>
      <w:r w:rsidR="002D2F12">
        <w:rPr>
          <w:b/>
        </w:rPr>
        <w:t>-om</w:t>
      </w:r>
      <w:r w:rsidRPr="00160E44">
        <w:rPr>
          <w:b/>
        </w:rPr>
        <w:t xml:space="preserve"> u kroničnoj fazi</w:t>
      </w:r>
    </w:p>
    <w:p w14:paraId="73D79390" w14:textId="534874A0" w:rsidR="00AF7ABC" w:rsidRDefault="004A75D0" w:rsidP="00C9686E">
      <w:pPr>
        <w:pStyle w:val="BodyText"/>
        <w:widowControl/>
        <w:jc w:val="center"/>
        <w:rPr>
          <w:rFonts w:asciiTheme="majorBidi" w:hAnsiTheme="majorBidi" w:cstheme="majorBidi"/>
          <w:b/>
          <w:szCs w:val="22"/>
        </w:rPr>
      </w:pPr>
      <w:r>
        <w:rPr>
          <w:b/>
          <w:noProof/>
          <w:lang w:val="en-IN" w:eastAsia="en-IN"/>
        </w:rPr>
        <mc:AlternateContent>
          <mc:Choice Requires="wps">
            <w:drawing>
              <wp:anchor distT="0" distB="0" distL="114300" distR="114300" simplePos="0" relativeHeight="251662336" behindDoc="0" locked="0" layoutInCell="1" allowOverlap="1" wp14:anchorId="0AA2FA4E" wp14:editId="1124B37B">
                <wp:simplePos x="0" y="0"/>
                <wp:positionH relativeFrom="page">
                  <wp:posOffset>806450</wp:posOffset>
                </wp:positionH>
                <wp:positionV relativeFrom="paragraph">
                  <wp:posOffset>257810</wp:posOffset>
                </wp:positionV>
                <wp:extent cx="144780" cy="1315720"/>
                <wp:effectExtent l="0" t="1270" r="0" b="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31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9951" w14:textId="77777777" w:rsidR="00106F7D" w:rsidRDefault="00106F7D">
                            <w:pPr>
                              <w:spacing w:before="12"/>
                              <w:ind w:left="20"/>
                              <w:rPr>
                                <w:b/>
                                <w:sz w:val="17"/>
                              </w:rPr>
                            </w:pPr>
                            <w:r>
                              <w:rPr>
                                <w:b/>
                                <w:sz w:val="17"/>
                              </w:rPr>
                              <w:t>UDIO ŽIVIH ISPITANIKA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2FA4E" id="Text Box 42" o:spid="_x0000_s1041" type="#_x0000_t202" style="position:absolute;left:0;text-align:left;margin-left:63.5pt;margin-top:20.3pt;width:11.4pt;height:10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" filled="f" stroked="f">
                <v:textbox style="layout-flow:vertical;mso-layout-flow-alt:bottom-to-top" inset="0,0,0,0">
                  <w:txbxContent>
                    <w:p w14:paraId="6DB39951" w14:textId="77777777" w:rsidR="00106F7D" w:rsidRDefault="00106F7D">
                      <w:pPr>
                        <w:spacing w:before="12"/>
                        <w:ind w:left="20"/>
                        <w:rPr>
                          <w:b/>
                          <w:sz w:val="17"/>
                        </w:rPr>
                      </w:pPr>
                      <w:r>
                        <w:rPr>
                          <w:b/>
                          <w:sz w:val="17"/>
                        </w:rPr>
                        <w:t>UDIO ŽIVIH ISPITANIKA</w:t>
                      </w:r>
                    </w:p>
                  </w:txbxContent>
                </v:textbox>
                <w10:wrap anchorx="page"/>
              </v:shape>
            </w:pict>
          </mc:Fallback>
        </mc:AlternateContent>
      </w:r>
      <w:r w:rsidR="00422138" w:rsidRPr="00F25CE6">
        <w:rPr>
          <w:rFonts w:asciiTheme="majorBidi" w:hAnsiTheme="majorBidi" w:cstheme="majorBidi"/>
          <w:noProof/>
          <w:szCs w:val="22"/>
          <w:lang w:val="en-IN" w:eastAsia="en-IN"/>
        </w:rPr>
        <w:drawing>
          <wp:inline distT="0" distB="0" distL="0" distR="0" wp14:anchorId="29694181" wp14:editId="4602AA0F">
            <wp:extent cx="5418898" cy="1889759"/>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18898" cy="1889759"/>
                    </a:xfrm>
                    <a:prstGeom prst="rect">
                      <a:avLst/>
                    </a:prstGeom>
                  </pic:spPr>
                </pic:pic>
              </a:graphicData>
            </a:graphic>
          </wp:inline>
        </w:drawing>
      </w:r>
    </w:p>
    <w:p w14:paraId="3044FA78" w14:textId="77777777" w:rsidR="00C9686E" w:rsidRPr="00C9686E" w:rsidRDefault="00C9686E" w:rsidP="00C9686E">
      <w:pPr>
        <w:pStyle w:val="BodyText"/>
        <w:widowControl/>
        <w:ind w:right="778"/>
        <w:jc w:val="right"/>
        <w:rPr>
          <w:rFonts w:asciiTheme="majorBidi" w:hAnsiTheme="majorBidi" w:cstheme="majorBidi"/>
          <w:b/>
          <w:sz w:val="18"/>
          <w:szCs w:val="18"/>
        </w:rPr>
      </w:pPr>
      <w:r w:rsidRPr="00C9686E">
        <w:rPr>
          <w:rFonts w:asciiTheme="majorBidi" w:hAnsiTheme="majorBidi" w:cstheme="majorBidi"/>
          <w:b/>
          <w:sz w:val="18"/>
          <w:szCs w:val="18"/>
        </w:rPr>
        <w:t>MJESECI</w:t>
      </w:r>
    </w:p>
    <w:p w14:paraId="61498A82" w14:textId="77777777" w:rsidR="00C9686E" w:rsidRPr="00C9686E" w:rsidRDefault="00C9686E" w:rsidP="00C9686E">
      <w:pPr>
        <w:pStyle w:val="BodyText"/>
        <w:widowControl/>
        <w:rPr>
          <w:rFonts w:asciiTheme="majorBidi" w:hAnsiTheme="majorBidi" w:cstheme="majorBidi"/>
          <w:b/>
          <w:sz w:val="21"/>
          <w:szCs w:val="21"/>
        </w:rPr>
      </w:pPr>
      <w:r w:rsidRPr="00C9686E">
        <w:rPr>
          <w:rFonts w:asciiTheme="majorBidi" w:hAnsiTheme="majorBidi" w:cstheme="majorBidi"/>
          <w:b/>
          <w:sz w:val="18"/>
          <w:szCs w:val="18"/>
        </w:rPr>
        <w:t>Bolesnici pod rizikom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76"/>
        <w:gridCol w:w="345"/>
        <w:gridCol w:w="346"/>
        <w:gridCol w:w="345"/>
        <w:gridCol w:w="346"/>
        <w:gridCol w:w="346"/>
        <w:gridCol w:w="345"/>
        <w:gridCol w:w="346"/>
        <w:gridCol w:w="345"/>
        <w:gridCol w:w="346"/>
        <w:gridCol w:w="346"/>
        <w:gridCol w:w="345"/>
        <w:gridCol w:w="346"/>
        <w:gridCol w:w="346"/>
        <w:gridCol w:w="345"/>
        <w:gridCol w:w="346"/>
        <w:gridCol w:w="345"/>
        <w:gridCol w:w="346"/>
        <w:gridCol w:w="346"/>
        <w:gridCol w:w="345"/>
        <w:gridCol w:w="346"/>
        <w:gridCol w:w="345"/>
        <w:gridCol w:w="346"/>
        <w:gridCol w:w="346"/>
        <w:gridCol w:w="345"/>
        <w:gridCol w:w="236"/>
        <w:gridCol w:w="254"/>
      </w:tblGrid>
      <w:tr w:rsidR="00C9686E" w:rsidRPr="00C9686E" w14:paraId="0925B990" w14:textId="77777777" w:rsidTr="00C9686E">
        <w:trPr>
          <w:trHeight w:val="20"/>
        </w:trPr>
        <w:tc>
          <w:tcPr>
            <w:tcW w:w="576" w:type="dxa"/>
          </w:tcPr>
          <w:p w14:paraId="5D5390EA" w14:textId="725F524D" w:rsidR="00C9686E" w:rsidRPr="00C9686E" w:rsidRDefault="00C9686E" w:rsidP="00C9686E">
            <w:pPr>
              <w:pStyle w:val="TableParagraph"/>
              <w:autoSpaceDE/>
              <w:autoSpaceDN/>
              <w:ind w:left="29" w:right="29"/>
              <w:rPr>
                <w:rFonts w:asciiTheme="majorBidi" w:hAnsiTheme="majorBidi" w:cstheme="majorBidi"/>
                <w:sz w:val="16"/>
                <w:szCs w:val="16"/>
              </w:rPr>
            </w:pPr>
            <w:r w:rsidRPr="00C9686E">
              <w:rPr>
                <w:rFonts w:asciiTheme="majorBidi" w:hAnsiTheme="majorBidi" w:cstheme="majorBidi"/>
                <w:sz w:val="16"/>
                <w:szCs w:val="16"/>
              </w:rPr>
              <w:t>&lt;</w:t>
            </w:r>
            <w:r w:rsidR="00DE0F71">
              <w:rPr>
                <w:rFonts w:asciiTheme="majorBidi" w:hAnsiTheme="majorBidi" w:cstheme="majorBidi"/>
                <w:sz w:val="16"/>
                <w:szCs w:val="16"/>
              </w:rPr>
              <w:t> </w:t>
            </w:r>
            <w:r w:rsidRPr="00C9686E">
              <w:rPr>
                <w:rFonts w:asciiTheme="majorBidi" w:hAnsiTheme="majorBidi" w:cstheme="majorBidi"/>
                <w:sz w:val="16"/>
                <w:szCs w:val="16"/>
              </w:rPr>
              <w:t>=10%</w:t>
            </w:r>
          </w:p>
        </w:tc>
        <w:tc>
          <w:tcPr>
            <w:tcW w:w="345" w:type="dxa"/>
          </w:tcPr>
          <w:p w14:paraId="69EB4C3A"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198</w:t>
            </w:r>
          </w:p>
        </w:tc>
        <w:tc>
          <w:tcPr>
            <w:tcW w:w="346" w:type="dxa"/>
          </w:tcPr>
          <w:p w14:paraId="02D84A81"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198</w:t>
            </w:r>
          </w:p>
        </w:tc>
        <w:tc>
          <w:tcPr>
            <w:tcW w:w="345" w:type="dxa"/>
          </w:tcPr>
          <w:p w14:paraId="3EAEECE3"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197</w:t>
            </w:r>
          </w:p>
        </w:tc>
        <w:tc>
          <w:tcPr>
            <w:tcW w:w="346" w:type="dxa"/>
          </w:tcPr>
          <w:p w14:paraId="57C298E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196</w:t>
            </w:r>
          </w:p>
        </w:tc>
        <w:tc>
          <w:tcPr>
            <w:tcW w:w="346" w:type="dxa"/>
          </w:tcPr>
          <w:p w14:paraId="5F6FED77"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195</w:t>
            </w:r>
          </w:p>
        </w:tc>
        <w:tc>
          <w:tcPr>
            <w:tcW w:w="345" w:type="dxa"/>
          </w:tcPr>
          <w:p w14:paraId="63F5E67D"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193</w:t>
            </w:r>
          </w:p>
        </w:tc>
        <w:tc>
          <w:tcPr>
            <w:tcW w:w="346" w:type="dxa"/>
          </w:tcPr>
          <w:p w14:paraId="6B9837B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193</w:t>
            </w:r>
          </w:p>
        </w:tc>
        <w:tc>
          <w:tcPr>
            <w:tcW w:w="345" w:type="dxa"/>
          </w:tcPr>
          <w:p w14:paraId="499DDC9E"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191</w:t>
            </w:r>
          </w:p>
        </w:tc>
        <w:tc>
          <w:tcPr>
            <w:tcW w:w="346" w:type="dxa"/>
          </w:tcPr>
          <w:p w14:paraId="4825665A"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191</w:t>
            </w:r>
          </w:p>
        </w:tc>
        <w:tc>
          <w:tcPr>
            <w:tcW w:w="346" w:type="dxa"/>
          </w:tcPr>
          <w:p w14:paraId="5DD45313"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190</w:t>
            </w:r>
          </w:p>
        </w:tc>
        <w:tc>
          <w:tcPr>
            <w:tcW w:w="345" w:type="dxa"/>
          </w:tcPr>
          <w:p w14:paraId="3583EB93"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188</w:t>
            </w:r>
          </w:p>
        </w:tc>
        <w:tc>
          <w:tcPr>
            <w:tcW w:w="346" w:type="dxa"/>
          </w:tcPr>
          <w:p w14:paraId="20F140EB"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187</w:t>
            </w:r>
          </w:p>
        </w:tc>
        <w:tc>
          <w:tcPr>
            <w:tcW w:w="346" w:type="dxa"/>
          </w:tcPr>
          <w:p w14:paraId="62543B08"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187</w:t>
            </w:r>
          </w:p>
        </w:tc>
        <w:tc>
          <w:tcPr>
            <w:tcW w:w="345" w:type="dxa"/>
          </w:tcPr>
          <w:p w14:paraId="54697C9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184</w:t>
            </w:r>
          </w:p>
        </w:tc>
        <w:tc>
          <w:tcPr>
            <w:tcW w:w="346" w:type="dxa"/>
          </w:tcPr>
          <w:p w14:paraId="6DDCBEA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182</w:t>
            </w:r>
          </w:p>
        </w:tc>
        <w:tc>
          <w:tcPr>
            <w:tcW w:w="345" w:type="dxa"/>
          </w:tcPr>
          <w:p w14:paraId="488A45A3"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181</w:t>
            </w:r>
          </w:p>
        </w:tc>
        <w:tc>
          <w:tcPr>
            <w:tcW w:w="346" w:type="dxa"/>
          </w:tcPr>
          <w:p w14:paraId="7B9E508F"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180</w:t>
            </w:r>
          </w:p>
        </w:tc>
        <w:tc>
          <w:tcPr>
            <w:tcW w:w="346" w:type="dxa"/>
          </w:tcPr>
          <w:p w14:paraId="03856FB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179</w:t>
            </w:r>
          </w:p>
        </w:tc>
        <w:tc>
          <w:tcPr>
            <w:tcW w:w="345" w:type="dxa"/>
          </w:tcPr>
          <w:p w14:paraId="311AA8F3"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179</w:t>
            </w:r>
          </w:p>
        </w:tc>
        <w:tc>
          <w:tcPr>
            <w:tcW w:w="346" w:type="dxa"/>
          </w:tcPr>
          <w:p w14:paraId="66D04F56"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177</w:t>
            </w:r>
          </w:p>
        </w:tc>
        <w:tc>
          <w:tcPr>
            <w:tcW w:w="345" w:type="dxa"/>
          </w:tcPr>
          <w:p w14:paraId="6080870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171</w:t>
            </w:r>
          </w:p>
        </w:tc>
        <w:tc>
          <w:tcPr>
            <w:tcW w:w="346" w:type="dxa"/>
          </w:tcPr>
          <w:p w14:paraId="3DC83FBA"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96</w:t>
            </w:r>
          </w:p>
        </w:tc>
        <w:tc>
          <w:tcPr>
            <w:tcW w:w="346" w:type="dxa"/>
          </w:tcPr>
          <w:p w14:paraId="4641A0E8"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54</w:t>
            </w:r>
          </w:p>
        </w:tc>
        <w:tc>
          <w:tcPr>
            <w:tcW w:w="345" w:type="dxa"/>
          </w:tcPr>
          <w:p w14:paraId="5EC6B20E"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29</w:t>
            </w:r>
          </w:p>
        </w:tc>
        <w:tc>
          <w:tcPr>
            <w:tcW w:w="236" w:type="dxa"/>
          </w:tcPr>
          <w:p w14:paraId="07A9B1C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w:t>
            </w:r>
          </w:p>
        </w:tc>
        <w:tc>
          <w:tcPr>
            <w:tcW w:w="254" w:type="dxa"/>
          </w:tcPr>
          <w:p w14:paraId="14151DD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0</w:t>
            </w:r>
          </w:p>
        </w:tc>
      </w:tr>
      <w:tr w:rsidR="00C9686E" w:rsidRPr="00C9686E" w14:paraId="68B70358" w14:textId="77777777" w:rsidTr="00C9686E">
        <w:trPr>
          <w:trHeight w:val="20"/>
        </w:trPr>
        <w:tc>
          <w:tcPr>
            <w:tcW w:w="576" w:type="dxa"/>
          </w:tcPr>
          <w:p w14:paraId="074C8C9A" w14:textId="4B526DC3" w:rsidR="00C9686E" w:rsidRPr="00C9686E" w:rsidRDefault="00C9686E" w:rsidP="00C9686E">
            <w:pPr>
              <w:pStyle w:val="TableParagraph"/>
              <w:autoSpaceDE/>
              <w:autoSpaceDN/>
              <w:ind w:left="29" w:right="29"/>
              <w:rPr>
                <w:rFonts w:asciiTheme="majorBidi" w:hAnsiTheme="majorBidi" w:cstheme="majorBidi"/>
                <w:sz w:val="16"/>
                <w:szCs w:val="16"/>
              </w:rPr>
            </w:pPr>
            <w:r w:rsidRPr="00C9686E">
              <w:rPr>
                <w:rFonts w:asciiTheme="majorBidi" w:hAnsiTheme="majorBidi" w:cstheme="majorBidi"/>
                <w:sz w:val="16"/>
                <w:szCs w:val="16"/>
              </w:rPr>
              <w:t>&gt;</w:t>
            </w:r>
            <w:r w:rsidR="00DE0F71">
              <w:rPr>
                <w:rFonts w:asciiTheme="majorBidi" w:hAnsiTheme="majorBidi" w:cstheme="majorBidi"/>
                <w:sz w:val="16"/>
                <w:szCs w:val="16"/>
              </w:rPr>
              <w:t> </w:t>
            </w:r>
            <w:r w:rsidRPr="00C9686E">
              <w:rPr>
                <w:rFonts w:asciiTheme="majorBidi" w:hAnsiTheme="majorBidi" w:cstheme="majorBidi"/>
                <w:sz w:val="16"/>
                <w:szCs w:val="16"/>
              </w:rPr>
              <w:t>10%</w:t>
            </w:r>
          </w:p>
        </w:tc>
        <w:tc>
          <w:tcPr>
            <w:tcW w:w="345" w:type="dxa"/>
          </w:tcPr>
          <w:p w14:paraId="1EBAA7C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37</w:t>
            </w:r>
          </w:p>
        </w:tc>
        <w:tc>
          <w:tcPr>
            <w:tcW w:w="346" w:type="dxa"/>
          </w:tcPr>
          <w:p w14:paraId="79C2F067"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37</w:t>
            </w:r>
          </w:p>
        </w:tc>
        <w:tc>
          <w:tcPr>
            <w:tcW w:w="345" w:type="dxa"/>
          </w:tcPr>
          <w:p w14:paraId="468D965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37</w:t>
            </w:r>
          </w:p>
        </w:tc>
        <w:tc>
          <w:tcPr>
            <w:tcW w:w="346" w:type="dxa"/>
          </w:tcPr>
          <w:p w14:paraId="40CCF88C"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35</w:t>
            </w:r>
          </w:p>
        </w:tc>
        <w:tc>
          <w:tcPr>
            <w:tcW w:w="346" w:type="dxa"/>
          </w:tcPr>
          <w:p w14:paraId="1267D92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34</w:t>
            </w:r>
          </w:p>
        </w:tc>
        <w:tc>
          <w:tcPr>
            <w:tcW w:w="345" w:type="dxa"/>
          </w:tcPr>
          <w:p w14:paraId="3502227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34</w:t>
            </w:r>
          </w:p>
        </w:tc>
        <w:tc>
          <w:tcPr>
            <w:tcW w:w="346" w:type="dxa"/>
          </w:tcPr>
          <w:p w14:paraId="2DF096F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34</w:t>
            </w:r>
          </w:p>
        </w:tc>
        <w:tc>
          <w:tcPr>
            <w:tcW w:w="345" w:type="dxa"/>
          </w:tcPr>
          <w:p w14:paraId="01DBEE2E"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33</w:t>
            </w:r>
          </w:p>
        </w:tc>
        <w:tc>
          <w:tcPr>
            <w:tcW w:w="346" w:type="dxa"/>
          </w:tcPr>
          <w:p w14:paraId="6D4CFE86"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33</w:t>
            </w:r>
          </w:p>
        </w:tc>
        <w:tc>
          <w:tcPr>
            <w:tcW w:w="346" w:type="dxa"/>
          </w:tcPr>
          <w:p w14:paraId="3DCD542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31</w:t>
            </w:r>
          </w:p>
        </w:tc>
        <w:tc>
          <w:tcPr>
            <w:tcW w:w="345" w:type="dxa"/>
          </w:tcPr>
          <w:p w14:paraId="0921C46B"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30</w:t>
            </w:r>
          </w:p>
        </w:tc>
        <w:tc>
          <w:tcPr>
            <w:tcW w:w="346" w:type="dxa"/>
          </w:tcPr>
          <w:p w14:paraId="6F79007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29</w:t>
            </w:r>
          </w:p>
        </w:tc>
        <w:tc>
          <w:tcPr>
            <w:tcW w:w="346" w:type="dxa"/>
          </w:tcPr>
          <w:p w14:paraId="10135C34"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29</w:t>
            </w:r>
          </w:p>
        </w:tc>
        <w:tc>
          <w:tcPr>
            <w:tcW w:w="345" w:type="dxa"/>
          </w:tcPr>
          <w:p w14:paraId="51C4E65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29</w:t>
            </w:r>
          </w:p>
        </w:tc>
        <w:tc>
          <w:tcPr>
            <w:tcW w:w="346" w:type="dxa"/>
          </w:tcPr>
          <w:p w14:paraId="09C4B0CF"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28</w:t>
            </w:r>
          </w:p>
        </w:tc>
        <w:tc>
          <w:tcPr>
            <w:tcW w:w="345" w:type="dxa"/>
          </w:tcPr>
          <w:p w14:paraId="59BFA09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28</w:t>
            </w:r>
          </w:p>
        </w:tc>
        <w:tc>
          <w:tcPr>
            <w:tcW w:w="346" w:type="dxa"/>
          </w:tcPr>
          <w:p w14:paraId="2780547D"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28</w:t>
            </w:r>
          </w:p>
        </w:tc>
        <w:tc>
          <w:tcPr>
            <w:tcW w:w="346" w:type="dxa"/>
          </w:tcPr>
          <w:p w14:paraId="0136098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27</w:t>
            </w:r>
          </w:p>
        </w:tc>
        <w:tc>
          <w:tcPr>
            <w:tcW w:w="345" w:type="dxa"/>
          </w:tcPr>
          <w:p w14:paraId="1117D91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27</w:t>
            </w:r>
          </w:p>
        </w:tc>
        <w:tc>
          <w:tcPr>
            <w:tcW w:w="346" w:type="dxa"/>
          </w:tcPr>
          <w:p w14:paraId="5AEFC316"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27</w:t>
            </w:r>
          </w:p>
        </w:tc>
        <w:tc>
          <w:tcPr>
            <w:tcW w:w="345" w:type="dxa"/>
          </w:tcPr>
          <w:p w14:paraId="3B1BFAC5"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26</w:t>
            </w:r>
          </w:p>
        </w:tc>
        <w:tc>
          <w:tcPr>
            <w:tcW w:w="346" w:type="dxa"/>
          </w:tcPr>
          <w:p w14:paraId="3B703C92"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15</w:t>
            </w:r>
          </w:p>
        </w:tc>
        <w:tc>
          <w:tcPr>
            <w:tcW w:w="346" w:type="dxa"/>
          </w:tcPr>
          <w:p w14:paraId="5BD0812F"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10</w:t>
            </w:r>
          </w:p>
        </w:tc>
        <w:tc>
          <w:tcPr>
            <w:tcW w:w="345" w:type="dxa"/>
          </w:tcPr>
          <w:p w14:paraId="68F8C13D"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6</w:t>
            </w:r>
          </w:p>
        </w:tc>
        <w:tc>
          <w:tcPr>
            <w:tcW w:w="236" w:type="dxa"/>
          </w:tcPr>
          <w:p w14:paraId="2A1A20D8"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0</w:t>
            </w:r>
          </w:p>
        </w:tc>
        <w:tc>
          <w:tcPr>
            <w:tcW w:w="254" w:type="dxa"/>
          </w:tcPr>
          <w:p w14:paraId="476AD696" w14:textId="77777777" w:rsidR="00C9686E" w:rsidRPr="00C9686E" w:rsidRDefault="00C9686E" w:rsidP="00C9686E">
            <w:pPr>
              <w:pStyle w:val="TableParagraph"/>
              <w:autoSpaceDE/>
              <w:autoSpaceDN/>
              <w:ind w:left="29" w:right="29"/>
              <w:jc w:val="center"/>
              <w:rPr>
                <w:rFonts w:asciiTheme="majorBidi" w:hAnsiTheme="majorBidi" w:cstheme="majorBidi"/>
                <w:sz w:val="16"/>
                <w:szCs w:val="16"/>
              </w:rPr>
            </w:pPr>
            <w:r w:rsidRPr="00C9686E">
              <w:rPr>
                <w:rFonts w:asciiTheme="majorBidi" w:hAnsiTheme="majorBidi" w:cstheme="majorBidi"/>
                <w:sz w:val="16"/>
                <w:szCs w:val="16"/>
              </w:rPr>
              <w:t>0</w:t>
            </w:r>
          </w:p>
        </w:tc>
      </w:tr>
    </w:tbl>
    <w:p w14:paraId="5008326A" w14:textId="77777777" w:rsidR="00C9686E" w:rsidRDefault="00C9686E" w:rsidP="00F25CE6">
      <w:pPr>
        <w:widowControl/>
        <w:tabs>
          <w:tab w:val="left" w:pos="798"/>
          <w:tab w:val="left" w:pos="4726"/>
        </w:tabs>
        <w:rPr>
          <w:rFonts w:asciiTheme="majorBidi" w:hAnsiTheme="majorBidi" w:cstheme="majorBidi"/>
          <w:u w:val="single"/>
        </w:rPr>
      </w:pPr>
    </w:p>
    <w:p w14:paraId="6582F87A" w14:textId="66341FDC" w:rsidR="00C9686E" w:rsidRPr="00C9686E" w:rsidRDefault="00C9686E" w:rsidP="00C9686E">
      <w:pPr>
        <w:widowControl/>
        <w:tabs>
          <w:tab w:val="left" w:pos="4726"/>
        </w:tabs>
        <w:rPr>
          <w:rFonts w:asciiTheme="majorBidi" w:hAnsiTheme="majorBidi" w:cstheme="majorBidi"/>
          <w:sz w:val="18"/>
          <w:szCs w:val="18"/>
        </w:rPr>
      </w:pPr>
      <w:r w:rsidRPr="00C9686E">
        <w:rPr>
          <w:rFonts w:asciiTheme="majorBidi" w:hAnsiTheme="majorBidi" w:cstheme="majorBidi"/>
          <w:sz w:val="18"/>
          <w:szCs w:val="18"/>
        </w:rPr>
        <w:t>___</w:t>
      </w:r>
      <w:r w:rsidR="00422138" w:rsidRPr="00C9686E">
        <w:rPr>
          <w:rFonts w:asciiTheme="majorBidi" w:hAnsiTheme="majorBidi" w:cstheme="majorBidi"/>
          <w:sz w:val="18"/>
          <w:szCs w:val="18"/>
        </w:rPr>
        <w:t>≤</w:t>
      </w:r>
      <w:r w:rsidR="00DE0F71">
        <w:rPr>
          <w:rFonts w:asciiTheme="majorBidi" w:hAnsiTheme="majorBidi" w:cstheme="majorBidi"/>
          <w:sz w:val="18"/>
          <w:szCs w:val="18"/>
        </w:rPr>
        <w:t> </w:t>
      </w:r>
      <w:r w:rsidR="00422138" w:rsidRPr="00C9686E">
        <w:rPr>
          <w:rFonts w:asciiTheme="majorBidi" w:hAnsiTheme="majorBidi" w:cstheme="majorBidi"/>
          <w:sz w:val="18"/>
          <w:szCs w:val="18"/>
        </w:rPr>
        <w:t>10%</w:t>
      </w:r>
      <w:r w:rsidR="00422138" w:rsidRPr="00C9686E">
        <w:rPr>
          <w:rFonts w:asciiTheme="majorBidi" w:hAnsiTheme="majorBidi" w:cstheme="majorBidi"/>
          <w:sz w:val="18"/>
          <w:szCs w:val="18"/>
        </w:rPr>
        <w:tab/>
        <w:t>------ &gt;</w:t>
      </w:r>
      <w:r w:rsidR="00DE0F71">
        <w:rPr>
          <w:rFonts w:asciiTheme="majorBidi" w:hAnsiTheme="majorBidi" w:cstheme="majorBidi"/>
          <w:sz w:val="18"/>
          <w:szCs w:val="18"/>
        </w:rPr>
        <w:t> </w:t>
      </w:r>
      <w:r w:rsidR="00422138" w:rsidRPr="00C9686E">
        <w:rPr>
          <w:rFonts w:asciiTheme="majorBidi" w:hAnsiTheme="majorBidi" w:cstheme="majorBidi"/>
          <w:sz w:val="18"/>
          <w:szCs w:val="18"/>
        </w:rPr>
        <w:t>10%</w:t>
      </w:r>
    </w:p>
    <w:p w14:paraId="6C8356B4" w14:textId="77777777" w:rsidR="00AF7ABC" w:rsidRPr="00C9686E" w:rsidRDefault="00422138" w:rsidP="00C9686E">
      <w:pPr>
        <w:widowControl/>
        <w:tabs>
          <w:tab w:val="left" w:pos="4726"/>
        </w:tabs>
        <w:rPr>
          <w:rFonts w:asciiTheme="majorBidi" w:hAnsiTheme="majorBidi" w:cstheme="majorBidi"/>
          <w:sz w:val="18"/>
          <w:szCs w:val="18"/>
        </w:rPr>
      </w:pPr>
      <w:r w:rsidRPr="00C9686E">
        <w:rPr>
          <w:rFonts w:asciiTheme="majorBidi" w:hAnsiTheme="majorBidi" w:cstheme="majorBidi"/>
          <w:noProof/>
          <w:sz w:val="18"/>
          <w:szCs w:val="18"/>
          <w:lang w:val="en-IN" w:eastAsia="en-IN"/>
        </w:rPr>
        <w:drawing>
          <wp:inline distT="0" distB="0" distL="0" distR="0" wp14:anchorId="6F42E421" wp14:editId="7436A84B">
            <wp:extent cx="234187" cy="50643"/>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00C9686E" w:rsidRPr="00C9686E">
        <w:rPr>
          <w:rFonts w:asciiTheme="majorBidi" w:hAnsiTheme="majorBidi" w:cstheme="majorBidi"/>
          <w:sz w:val="18"/>
          <w:szCs w:val="18"/>
        </w:rPr>
        <w:t xml:space="preserve"> </w:t>
      </w:r>
      <w:r w:rsidRPr="00C9686E">
        <w:rPr>
          <w:rFonts w:asciiTheme="majorBidi" w:hAnsiTheme="majorBidi" w:cstheme="majorBidi"/>
          <w:sz w:val="18"/>
          <w:szCs w:val="18"/>
        </w:rPr>
        <w:t>Cenzurirano</w:t>
      </w:r>
      <w:r w:rsidRPr="00C9686E">
        <w:rPr>
          <w:rFonts w:asciiTheme="majorBidi" w:hAnsiTheme="majorBidi" w:cstheme="majorBidi"/>
          <w:sz w:val="18"/>
          <w:szCs w:val="18"/>
        </w:rPr>
        <w:tab/>
      </w:r>
      <w:r w:rsidR="00C9686E" w:rsidRPr="00C9686E">
        <w:rPr>
          <w:rFonts w:asciiTheme="majorBidi" w:hAnsiTheme="majorBidi" w:cstheme="majorBidi"/>
          <w:noProof/>
          <w:sz w:val="18"/>
          <w:szCs w:val="18"/>
          <w:lang w:val="en-IN" w:eastAsia="en-IN"/>
        </w:rPr>
        <w:drawing>
          <wp:inline distT="0" distB="0" distL="0" distR="0" wp14:anchorId="6FE32B12" wp14:editId="78F84C0B">
            <wp:extent cx="198581" cy="411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581" cy="41148"/>
                    </a:xfrm>
                    <a:prstGeom prst="rect">
                      <a:avLst/>
                    </a:prstGeom>
                  </pic:spPr>
                </pic:pic>
              </a:graphicData>
            </a:graphic>
          </wp:inline>
        </w:drawing>
      </w:r>
      <w:r w:rsidR="00C9686E" w:rsidRPr="00C9686E">
        <w:rPr>
          <w:rFonts w:asciiTheme="majorBidi" w:hAnsiTheme="majorBidi" w:cstheme="majorBidi"/>
          <w:sz w:val="18"/>
          <w:szCs w:val="18"/>
        </w:rPr>
        <w:t xml:space="preserve"> </w:t>
      </w:r>
      <w:r w:rsidRPr="00C9686E">
        <w:rPr>
          <w:rFonts w:asciiTheme="majorBidi" w:hAnsiTheme="majorBidi" w:cstheme="majorBidi"/>
          <w:sz w:val="18"/>
          <w:szCs w:val="18"/>
        </w:rPr>
        <w:t>Cenzurirano</w:t>
      </w:r>
    </w:p>
    <w:p w14:paraId="05A2374C" w14:textId="77777777" w:rsidR="00AF7ABC" w:rsidRPr="00F25CE6" w:rsidRDefault="00AF7ABC" w:rsidP="00F25CE6">
      <w:pPr>
        <w:pStyle w:val="BodyText"/>
        <w:widowControl/>
        <w:rPr>
          <w:rFonts w:asciiTheme="majorBidi" w:hAnsiTheme="majorBidi" w:cstheme="majorBidi"/>
          <w:szCs w:val="22"/>
        </w:rPr>
      </w:pPr>
    </w:p>
    <w:tbl>
      <w:tblPr>
        <w:tblW w:w="0" w:type="auto"/>
        <w:tblLayout w:type="fixed"/>
        <w:tblCellMar>
          <w:top w:w="14" w:type="dxa"/>
          <w:left w:w="0" w:type="dxa"/>
          <w:bottom w:w="14" w:type="dxa"/>
          <w:right w:w="0" w:type="dxa"/>
        </w:tblCellMar>
        <w:tblLook w:val="01E0" w:firstRow="1" w:lastRow="1" w:firstColumn="1" w:lastColumn="1" w:noHBand="0" w:noVBand="0"/>
      </w:tblPr>
      <w:tblGrid>
        <w:gridCol w:w="1217"/>
        <w:gridCol w:w="2275"/>
        <w:gridCol w:w="2068"/>
        <w:gridCol w:w="2507"/>
      </w:tblGrid>
      <w:tr w:rsidR="00AF7ABC" w:rsidRPr="00C9686E" w14:paraId="7BB4D877" w14:textId="77777777" w:rsidTr="00C9686E">
        <w:trPr>
          <w:trHeight w:val="20"/>
        </w:trPr>
        <w:tc>
          <w:tcPr>
            <w:tcW w:w="1217" w:type="dxa"/>
          </w:tcPr>
          <w:p w14:paraId="3B30147C" w14:textId="77777777" w:rsidR="00AF7ABC" w:rsidRPr="00C9686E" w:rsidRDefault="00422138" w:rsidP="00C9686E">
            <w:pPr>
              <w:pStyle w:val="TableParagraph"/>
              <w:autoSpaceDE/>
              <w:autoSpaceDN/>
              <w:ind w:left="29" w:right="29"/>
              <w:rPr>
                <w:rFonts w:asciiTheme="majorBidi" w:hAnsiTheme="majorBidi" w:cstheme="majorBidi"/>
                <w:sz w:val="18"/>
                <w:szCs w:val="18"/>
              </w:rPr>
            </w:pPr>
            <w:r w:rsidRPr="00C9686E">
              <w:rPr>
                <w:rFonts w:asciiTheme="majorBidi" w:hAnsiTheme="majorBidi" w:cstheme="majorBidi"/>
                <w:sz w:val="18"/>
                <w:szCs w:val="18"/>
              </w:rPr>
              <w:t>SKUPINA</w:t>
            </w:r>
          </w:p>
        </w:tc>
        <w:tc>
          <w:tcPr>
            <w:tcW w:w="2275" w:type="dxa"/>
          </w:tcPr>
          <w:p w14:paraId="3E8EA387" w14:textId="06990775" w:rsidR="00AF7ABC" w:rsidRPr="00C9686E" w:rsidRDefault="0052358B" w:rsidP="002C3132">
            <w:pPr>
              <w:pStyle w:val="TableParagraph"/>
              <w:autoSpaceDE/>
              <w:autoSpaceDN/>
              <w:ind w:left="29" w:right="29"/>
              <w:jc w:val="center"/>
              <w:rPr>
                <w:rFonts w:asciiTheme="majorBidi" w:hAnsiTheme="majorBidi" w:cstheme="majorBidi"/>
                <w:sz w:val="18"/>
                <w:szCs w:val="18"/>
              </w:rPr>
            </w:pPr>
            <w:r>
              <w:rPr>
                <w:rFonts w:asciiTheme="majorBidi" w:hAnsiTheme="majorBidi" w:cstheme="majorBidi"/>
                <w:sz w:val="18"/>
                <w:szCs w:val="18"/>
              </w:rPr>
              <w:t>BR.</w:t>
            </w:r>
            <w:r w:rsidR="00422138" w:rsidRPr="00C9686E">
              <w:rPr>
                <w:rFonts w:asciiTheme="majorBidi" w:hAnsiTheme="majorBidi" w:cstheme="majorBidi"/>
                <w:sz w:val="18"/>
                <w:szCs w:val="18"/>
              </w:rPr>
              <w:t xml:space="preserve"> SMRTI / </w:t>
            </w:r>
            <w:r>
              <w:rPr>
                <w:rFonts w:asciiTheme="majorBidi" w:hAnsiTheme="majorBidi" w:cstheme="majorBidi"/>
                <w:sz w:val="18"/>
                <w:szCs w:val="18"/>
              </w:rPr>
              <w:t>Br.</w:t>
            </w:r>
            <w:r w:rsidR="00422138" w:rsidRPr="00C9686E">
              <w:rPr>
                <w:rFonts w:asciiTheme="majorBidi" w:hAnsiTheme="majorBidi" w:cstheme="majorBidi"/>
                <w:sz w:val="18"/>
                <w:szCs w:val="18"/>
              </w:rPr>
              <w:t xml:space="preserve"> bolesnika</w:t>
            </w:r>
          </w:p>
        </w:tc>
        <w:tc>
          <w:tcPr>
            <w:tcW w:w="2068" w:type="dxa"/>
          </w:tcPr>
          <w:p w14:paraId="01243AA7" w14:textId="77777777"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MEDIJAN (95% CI)</w:t>
            </w:r>
          </w:p>
        </w:tc>
        <w:tc>
          <w:tcPr>
            <w:tcW w:w="2507" w:type="dxa"/>
          </w:tcPr>
          <w:p w14:paraId="65EACC84" w14:textId="77777777"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OMJER HAZARDA (95% CI)</w:t>
            </w:r>
          </w:p>
        </w:tc>
      </w:tr>
      <w:tr w:rsidR="00AF7ABC" w:rsidRPr="00C9686E" w14:paraId="51ACD04A" w14:textId="77777777" w:rsidTr="00C9686E">
        <w:trPr>
          <w:trHeight w:val="20"/>
        </w:trPr>
        <w:tc>
          <w:tcPr>
            <w:tcW w:w="1217" w:type="dxa"/>
          </w:tcPr>
          <w:p w14:paraId="63E143D7" w14:textId="22076261" w:rsidR="00AF7ABC" w:rsidRPr="00C9686E" w:rsidRDefault="00422138" w:rsidP="00C9686E">
            <w:pPr>
              <w:pStyle w:val="TableParagraph"/>
              <w:autoSpaceDE/>
              <w:autoSpaceDN/>
              <w:ind w:left="29" w:right="29"/>
              <w:rPr>
                <w:rFonts w:asciiTheme="majorBidi" w:hAnsiTheme="majorBidi" w:cstheme="majorBidi"/>
                <w:sz w:val="18"/>
                <w:szCs w:val="18"/>
              </w:rPr>
            </w:pPr>
            <w:r w:rsidRPr="00C9686E">
              <w:rPr>
                <w:rFonts w:asciiTheme="majorBidi" w:hAnsiTheme="majorBidi" w:cstheme="majorBidi"/>
                <w:sz w:val="18"/>
                <w:szCs w:val="18"/>
              </w:rPr>
              <w:t>≤</w:t>
            </w:r>
            <w:r w:rsidR="00DE0F71">
              <w:rPr>
                <w:rFonts w:asciiTheme="majorBidi" w:hAnsiTheme="majorBidi" w:cstheme="majorBidi"/>
                <w:sz w:val="18"/>
                <w:szCs w:val="18"/>
              </w:rPr>
              <w:t> </w:t>
            </w:r>
            <w:r w:rsidRPr="00C9686E">
              <w:rPr>
                <w:rFonts w:asciiTheme="majorBidi" w:hAnsiTheme="majorBidi" w:cstheme="majorBidi"/>
                <w:sz w:val="18"/>
                <w:szCs w:val="18"/>
              </w:rPr>
              <w:t>10%</w:t>
            </w:r>
          </w:p>
        </w:tc>
        <w:tc>
          <w:tcPr>
            <w:tcW w:w="2275" w:type="dxa"/>
          </w:tcPr>
          <w:p w14:paraId="53F47DA0" w14:textId="77777777"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14/198</w:t>
            </w:r>
          </w:p>
        </w:tc>
        <w:tc>
          <w:tcPr>
            <w:tcW w:w="2068" w:type="dxa"/>
          </w:tcPr>
          <w:p w14:paraId="658439E4" w14:textId="2450E9C3"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 - ,)</w:t>
            </w:r>
          </w:p>
        </w:tc>
        <w:tc>
          <w:tcPr>
            <w:tcW w:w="2507" w:type="dxa"/>
          </w:tcPr>
          <w:p w14:paraId="1CADC6B5" w14:textId="77777777" w:rsidR="00AF7ABC" w:rsidRPr="00C9686E" w:rsidRDefault="00AF7ABC" w:rsidP="002C3132">
            <w:pPr>
              <w:pStyle w:val="TableParagraph"/>
              <w:autoSpaceDE/>
              <w:autoSpaceDN/>
              <w:ind w:left="29" w:right="29"/>
              <w:jc w:val="center"/>
              <w:rPr>
                <w:rFonts w:asciiTheme="majorBidi" w:hAnsiTheme="majorBidi" w:cstheme="majorBidi"/>
                <w:sz w:val="18"/>
                <w:szCs w:val="18"/>
              </w:rPr>
            </w:pPr>
          </w:p>
        </w:tc>
      </w:tr>
      <w:tr w:rsidR="00AF7ABC" w:rsidRPr="00C9686E" w14:paraId="5E23889A" w14:textId="77777777" w:rsidTr="00C9686E">
        <w:trPr>
          <w:trHeight w:val="20"/>
        </w:trPr>
        <w:tc>
          <w:tcPr>
            <w:tcW w:w="1217" w:type="dxa"/>
          </w:tcPr>
          <w:p w14:paraId="6DBF8C1C" w14:textId="2DF0F428" w:rsidR="00AF7ABC" w:rsidRPr="00C9686E" w:rsidRDefault="00422138" w:rsidP="00C9686E">
            <w:pPr>
              <w:pStyle w:val="TableParagraph"/>
              <w:autoSpaceDE/>
              <w:autoSpaceDN/>
              <w:ind w:left="29" w:right="29"/>
              <w:rPr>
                <w:rFonts w:asciiTheme="majorBidi" w:hAnsiTheme="majorBidi" w:cstheme="majorBidi"/>
                <w:sz w:val="18"/>
                <w:szCs w:val="18"/>
              </w:rPr>
            </w:pPr>
            <w:r w:rsidRPr="00C9686E">
              <w:rPr>
                <w:rFonts w:asciiTheme="majorBidi" w:hAnsiTheme="majorBidi" w:cstheme="majorBidi"/>
                <w:sz w:val="18"/>
                <w:szCs w:val="18"/>
              </w:rPr>
              <w:t>&gt;</w:t>
            </w:r>
            <w:r w:rsidR="00DE0F71">
              <w:rPr>
                <w:rFonts w:asciiTheme="majorBidi" w:hAnsiTheme="majorBidi" w:cstheme="majorBidi"/>
                <w:sz w:val="18"/>
                <w:szCs w:val="18"/>
              </w:rPr>
              <w:t> </w:t>
            </w:r>
            <w:r w:rsidRPr="00C9686E">
              <w:rPr>
                <w:rFonts w:asciiTheme="majorBidi" w:hAnsiTheme="majorBidi" w:cstheme="majorBidi"/>
                <w:sz w:val="18"/>
                <w:szCs w:val="18"/>
              </w:rPr>
              <w:t>10%</w:t>
            </w:r>
          </w:p>
        </w:tc>
        <w:tc>
          <w:tcPr>
            <w:tcW w:w="2275" w:type="dxa"/>
          </w:tcPr>
          <w:p w14:paraId="686EF738" w14:textId="77777777"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8/37</w:t>
            </w:r>
          </w:p>
        </w:tc>
        <w:tc>
          <w:tcPr>
            <w:tcW w:w="2068" w:type="dxa"/>
          </w:tcPr>
          <w:p w14:paraId="040F12AA" w14:textId="4F249B81" w:rsidR="00AF7ABC" w:rsidRPr="00C9686E" w:rsidRDefault="00422138"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 - ,)</w:t>
            </w:r>
          </w:p>
        </w:tc>
        <w:tc>
          <w:tcPr>
            <w:tcW w:w="2507" w:type="dxa"/>
          </w:tcPr>
          <w:p w14:paraId="514BA5C6" w14:textId="783C7071" w:rsidR="00AF7ABC" w:rsidRPr="00C9686E" w:rsidRDefault="00D34C82" w:rsidP="002C3132">
            <w:pPr>
              <w:pStyle w:val="TableParagraph"/>
              <w:autoSpaceDE/>
              <w:autoSpaceDN/>
              <w:ind w:left="29" w:right="29"/>
              <w:jc w:val="center"/>
              <w:rPr>
                <w:rFonts w:asciiTheme="majorBidi" w:hAnsiTheme="majorBidi" w:cstheme="majorBidi"/>
                <w:sz w:val="18"/>
                <w:szCs w:val="18"/>
              </w:rPr>
            </w:pPr>
            <w:r w:rsidRPr="00C9686E">
              <w:rPr>
                <w:rFonts w:asciiTheme="majorBidi" w:hAnsiTheme="majorBidi" w:cstheme="majorBidi"/>
                <w:sz w:val="18"/>
                <w:szCs w:val="18"/>
              </w:rPr>
              <w:t>0,29 (0,12 – 0,69)</w:t>
            </w:r>
          </w:p>
        </w:tc>
      </w:tr>
      <w:tr w:rsidR="00AF7ABC" w:rsidRPr="00C9686E" w14:paraId="1D61C91E" w14:textId="77777777" w:rsidTr="00C9686E">
        <w:trPr>
          <w:trHeight w:val="20"/>
        </w:trPr>
        <w:tc>
          <w:tcPr>
            <w:tcW w:w="1217" w:type="dxa"/>
          </w:tcPr>
          <w:p w14:paraId="143C5676" w14:textId="77777777" w:rsidR="00AF7ABC" w:rsidRPr="00C9686E" w:rsidRDefault="00AF7ABC" w:rsidP="00C9686E">
            <w:pPr>
              <w:pStyle w:val="TableParagraph"/>
              <w:autoSpaceDE/>
              <w:autoSpaceDN/>
              <w:ind w:left="29" w:right="29"/>
              <w:rPr>
                <w:rFonts w:asciiTheme="majorBidi" w:hAnsiTheme="majorBidi" w:cstheme="majorBidi"/>
                <w:sz w:val="18"/>
                <w:szCs w:val="18"/>
              </w:rPr>
            </w:pPr>
          </w:p>
        </w:tc>
        <w:tc>
          <w:tcPr>
            <w:tcW w:w="2275" w:type="dxa"/>
          </w:tcPr>
          <w:p w14:paraId="69CDB086" w14:textId="77777777" w:rsidR="00AF7ABC" w:rsidRPr="00C9686E" w:rsidRDefault="00AF7ABC" w:rsidP="00C9686E">
            <w:pPr>
              <w:pStyle w:val="TableParagraph"/>
              <w:autoSpaceDE/>
              <w:autoSpaceDN/>
              <w:ind w:left="29" w:right="29"/>
              <w:rPr>
                <w:rFonts w:asciiTheme="majorBidi" w:hAnsiTheme="majorBidi" w:cstheme="majorBidi"/>
                <w:sz w:val="18"/>
                <w:szCs w:val="18"/>
              </w:rPr>
            </w:pPr>
          </w:p>
        </w:tc>
        <w:tc>
          <w:tcPr>
            <w:tcW w:w="2068" w:type="dxa"/>
          </w:tcPr>
          <w:p w14:paraId="12FA05B6" w14:textId="77777777" w:rsidR="00AF7ABC" w:rsidRPr="00C9686E" w:rsidRDefault="00AF7ABC" w:rsidP="00C9686E">
            <w:pPr>
              <w:pStyle w:val="TableParagraph"/>
              <w:autoSpaceDE/>
              <w:autoSpaceDN/>
              <w:ind w:left="29" w:right="29"/>
              <w:rPr>
                <w:rFonts w:asciiTheme="majorBidi" w:hAnsiTheme="majorBidi" w:cstheme="majorBidi"/>
                <w:sz w:val="18"/>
                <w:szCs w:val="18"/>
              </w:rPr>
            </w:pPr>
          </w:p>
        </w:tc>
        <w:tc>
          <w:tcPr>
            <w:tcW w:w="2507" w:type="dxa"/>
          </w:tcPr>
          <w:p w14:paraId="1CB9C25A" w14:textId="327223AA" w:rsidR="00AF7ABC" w:rsidRPr="00C9686E" w:rsidRDefault="00AF7ABC" w:rsidP="00C9686E">
            <w:pPr>
              <w:pStyle w:val="TableParagraph"/>
              <w:autoSpaceDE/>
              <w:autoSpaceDN/>
              <w:ind w:left="29" w:right="29"/>
              <w:rPr>
                <w:rFonts w:asciiTheme="majorBidi" w:hAnsiTheme="majorBidi" w:cstheme="majorBidi"/>
                <w:sz w:val="18"/>
                <w:szCs w:val="18"/>
              </w:rPr>
            </w:pPr>
          </w:p>
        </w:tc>
      </w:tr>
    </w:tbl>
    <w:p w14:paraId="4B6D563F" w14:textId="77777777" w:rsidR="00AF7ABC" w:rsidRPr="00F25CE6" w:rsidRDefault="00AF7ABC" w:rsidP="00F25CE6">
      <w:pPr>
        <w:pStyle w:val="BodyText"/>
        <w:widowControl/>
        <w:rPr>
          <w:rFonts w:asciiTheme="majorBidi" w:hAnsiTheme="majorBidi" w:cstheme="majorBidi"/>
          <w:szCs w:val="22"/>
        </w:rPr>
      </w:pPr>
    </w:p>
    <w:p w14:paraId="3C927A44" w14:textId="63B767AE"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Progresija bolesti bila je definirana kao povećanje broja bijelih krvnih stanica unatoč odgovarajućem terapijskom liječenju, gubitak CHR</w:t>
      </w:r>
      <w:r w:rsidR="00DE0F71">
        <w:rPr>
          <w:rFonts w:asciiTheme="majorBidi" w:hAnsiTheme="majorBidi" w:cstheme="majorBidi"/>
          <w:szCs w:val="22"/>
        </w:rPr>
        <w:t>-a</w:t>
      </w:r>
      <w:r w:rsidRPr="00F25CE6">
        <w:rPr>
          <w:rFonts w:asciiTheme="majorBidi" w:hAnsiTheme="majorBidi" w:cstheme="majorBidi"/>
          <w:szCs w:val="22"/>
        </w:rPr>
        <w:t>, djelomični CyR ili CCyR, napredovanje u ubrzanu fazu ili blastnu fazu ili smrt. Procijenjena 60-mjesečna stopa PFS</w:t>
      </w:r>
      <w:r w:rsidR="000D27A5">
        <w:rPr>
          <w:rFonts w:asciiTheme="majorBidi" w:hAnsiTheme="majorBidi" w:cstheme="majorBidi"/>
          <w:szCs w:val="22"/>
        </w:rPr>
        <w:t>-a</w:t>
      </w:r>
      <w:r w:rsidRPr="00F25CE6">
        <w:rPr>
          <w:rFonts w:asciiTheme="majorBidi" w:hAnsiTheme="majorBidi" w:cstheme="majorBidi"/>
          <w:szCs w:val="22"/>
        </w:rPr>
        <w:t xml:space="preserve"> bila je 88,9% (CI: 84% </w:t>
      </w:r>
      <w:r w:rsidR="00DE0F71" w:rsidRPr="009474C0">
        <w:rPr>
          <w:szCs w:val="22"/>
        </w:rPr>
        <w:t>–</w:t>
      </w:r>
      <w:r w:rsidRPr="00F25CE6">
        <w:rPr>
          <w:rFonts w:asciiTheme="majorBidi" w:hAnsiTheme="majorBidi" w:cstheme="majorBidi"/>
          <w:szCs w:val="22"/>
        </w:rPr>
        <w:t xml:space="preserve"> 92,4%) i u skupini liječenoj dasatinibom i u skupini liječenoj imatinibom. U 60. mjesecu, transformacija u ubrzanu ili blastnu fazu javila se u manje bolesnika liječenih dasatinibom (n</w:t>
      </w:r>
      <w:r w:rsidR="00DE0F71">
        <w:rPr>
          <w:rFonts w:asciiTheme="majorBidi" w:hAnsiTheme="majorBidi" w:cstheme="majorBidi"/>
          <w:szCs w:val="22"/>
        </w:rPr>
        <w:t xml:space="preserve"> </w:t>
      </w:r>
      <w:r w:rsidRPr="00F25CE6">
        <w:rPr>
          <w:rFonts w:asciiTheme="majorBidi" w:hAnsiTheme="majorBidi" w:cstheme="majorBidi"/>
          <w:szCs w:val="22"/>
        </w:rPr>
        <w:t>=</w:t>
      </w:r>
      <w:r w:rsidR="00DE0F71">
        <w:rPr>
          <w:rFonts w:asciiTheme="majorBidi" w:hAnsiTheme="majorBidi" w:cstheme="majorBidi"/>
          <w:szCs w:val="22"/>
        </w:rPr>
        <w:t xml:space="preserve"> </w:t>
      </w:r>
      <w:r w:rsidRPr="00F25CE6">
        <w:rPr>
          <w:rFonts w:asciiTheme="majorBidi" w:hAnsiTheme="majorBidi" w:cstheme="majorBidi"/>
          <w:szCs w:val="22"/>
        </w:rPr>
        <w:t>8; 3%) u usporedbi s bolesnicima liječenim imatinibom (n</w:t>
      </w:r>
      <w:r w:rsidR="00DE0F71">
        <w:rPr>
          <w:rFonts w:asciiTheme="majorBidi" w:hAnsiTheme="majorBidi" w:cstheme="majorBidi"/>
          <w:szCs w:val="22"/>
        </w:rPr>
        <w:t xml:space="preserve"> </w:t>
      </w:r>
      <w:r w:rsidRPr="00F25CE6">
        <w:rPr>
          <w:rFonts w:asciiTheme="majorBidi" w:hAnsiTheme="majorBidi" w:cstheme="majorBidi"/>
          <w:szCs w:val="22"/>
        </w:rPr>
        <w:t>=</w:t>
      </w:r>
      <w:r w:rsidR="00DE0F71">
        <w:rPr>
          <w:rFonts w:asciiTheme="majorBidi" w:hAnsiTheme="majorBidi" w:cstheme="majorBidi"/>
          <w:szCs w:val="22"/>
        </w:rPr>
        <w:t xml:space="preserve"> </w:t>
      </w:r>
      <w:r w:rsidRPr="00F25CE6">
        <w:rPr>
          <w:rFonts w:asciiTheme="majorBidi" w:hAnsiTheme="majorBidi" w:cstheme="majorBidi"/>
          <w:szCs w:val="22"/>
        </w:rPr>
        <w:t xml:space="preserve">15; 5,8%). Procijenjena 60-mjesečna stopa preživljenja za </w:t>
      </w:r>
      <w:r w:rsidRPr="00F25CE6">
        <w:rPr>
          <w:rFonts w:asciiTheme="majorBidi" w:hAnsiTheme="majorBidi" w:cstheme="majorBidi"/>
          <w:szCs w:val="22"/>
        </w:rPr>
        <w:lastRenderedPageBreak/>
        <w:t xml:space="preserve">bolesnike liječene dasatinibom i imatinibom bila je 90,9% (CI: 86,6% </w:t>
      </w:r>
      <w:r w:rsidR="00DE0F71" w:rsidRPr="009474C0">
        <w:rPr>
          <w:szCs w:val="22"/>
        </w:rPr>
        <w:t>–</w:t>
      </w:r>
      <w:r w:rsidRPr="00F25CE6">
        <w:rPr>
          <w:rFonts w:asciiTheme="majorBidi" w:hAnsiTheme="majorBidi" w:cstheme="majorBidi"/>
          <w:szCs w:val="22"/>
        </w:rPr>
        <w:t xml:space="preserve"> 93,8%) odnosno 89,6% (CI: 85,2% </w:t>
      </w:r>
      <w:r w:rsidR="00DE0F71" w:rsidRPr="009474C0">
        <w:rPr>
          <w:szCs w:val="22"/>
        </w:rPr>
        <w:t>–</w:t>
      </w:r>
      <w:r w:rsidRPr="00F25CE6">
        <w:rPr>
          <w:rFonts w:asciiTheme="majorBidi" w:hAnsiTheme="majorBidi" w:cstheme="majorBidi"/>
          <w:szCs w:val="22"/>
        </w:rPr>
        <w:t xml:space="preserve"> 92,8%).</w:t>
      </w:r>
      <w:r w:rsidR="00C9686E">
        <w:rPr>
          <w:rFonts w:asciiTheme="majorBidi" w:hAnsiTheme="majorBidi" w:cstheme="majorBidi"/>
          <w:szCs w:val="22"/>
        </w:rPr>
        <w:t xml:space="preserve"> </w:t>
      </w:r>
      <w:r w:rsidRPr="00F25CE6">
        <w:rPr>
          <w:rFonts w:asciiTheme="majorBidi" w:hAnsiTheme="majorBidi" w:cstheme="majorBidi"/>
          <w:szCs w:val="22"/>
        </w:rPr>
        <w:t>Nije primijećena razlika u OS</w:t>
      </w:r>
      <w:r w:rsidR="000D27A5">
        <w:rPr>
          <w:rFonts w:asciiTheme="majorBidi" w:hAnsiTheme="majorBidi" w:cstheme="majorBidi"/>
          <w:szCs w:val="22"/>
        </w:rPr>
        <w:t>-u</w:t>
      </w:r>
      <w:r w:rsidRPr="00F25CE6">
        <w:rPr>
          <w:rFonts w:asciiTheme="majorBidi" w:hAnsiTheme="majorBidi" w:cstheme="majorBidi"/>
          <w:szCs w:val="22"/>
        </w:rPr>
        <w:t xml:space="preserve"> (HR 1,01</w:t>
      </w:r>
      <w:r w:rsidR="00DE0F71">
        <w:rPr>
          <w:rFonts w:asciiTheme="majorBidi" w:hAnsiTheme="majorBidi" w:cstheme="majorBidi"/>
          <w:szCs w:val="22"/>
        </w:rPr>
        <w:t>;</w:t>
      </w:r>
      <w:r w:rsidRPr="00F25CE6">
        <w:rPr>
          <w:rFonts w:asciiTheme="majorBidi" w:hAnsiTheme="majorBidi" w:cstheme="majorBidi"/>
          <w:szCs w:val="22"/>
        </w:rPr>
        <w:t xml:space="preserve"> 95% CI: 0,58</w:t>
      </w:r>
      <w:r w:rsidR="00DE0F71">
        <w:rPr>
          <w:rFonts w:asciiTheme="majorBidi" w:hAnsiTheme="majorBidi" w:cstheme="majorBidi"/>
          <w:szCs w:val="22"/>
        </w:rPr>
        <w:t xml:space="preserve"> </w:t>
      </w:r>
      <w:r w:rsidR="00DE0F71" w:rsidRPr="009474C0">
        <w:rPr>
          <w:szCs w:val="22"/>
        </w:rPr>
        <w:t>–</w:t>
      </w:r>
      <w:r w:rsidR="00DE0F71">
        <w:rPr>
          <w:szCs w:val="22"/>
        </w:rPr>
        <w:t xml:space="preserve"> </w:t>
      </w:r>
      <w:r w:rsidRPr="00F25CE6">
        <w:rPr>
          <w:rFonts w:asciiTheme="majorBidi" w:hAnsiTheme="majorBidi" w:cstheme="majorBidi"/>
          <w:szCs w:val="22"/>
        </w:rPr>
        <w:t>1,73, p</w:t>
      </w:r>
      <w:r w:rsidR="00DE0F71">
        <w:rPr>
          <w:rFonts w:asciiTheme="majorBidi" w:hAnsiTheme="majorBidi" w:cstheme="majorBidi"/>
          <w:szCs w:val="22"/>
        </w:rPr>
        <w:t xml:space="preserve"> </w:t>
      </w:r>
      <w:r w:rsidRPr="00F25CE6">
        <w:rPr>
          <w:rFonts w:asciiTheme="majorBidi" w:hAnsiTheme="majorBidi" w:cstheme="majorBidi"/>
          <w:szCs w:val="22"/>
        </w:rPr>
        <w:t>=</w:t>
      </w:r>
      <w:r w:rsidR="00DE0F71">
        <w:rPr>
          <w:rFonts w:asciiTheme="majorBidi" w:hAnsiTheme="majorBidi" w:cstheme="majorBidi"/>
          <w:szCs w:val="22"/>
        </w:rPr>
        <w:t xml:space="preserve"> </w:t>
      </w:r>
      <w:r w:rsidRPr="00F25CE6">
        <w:rPr>
          <w:rFonts w:asciiTheme="majorBidi" w:hAnsiTheme="majorBidi" w:cstheme="majorBidi"/>
          <w:szCs w:val="22"/>
        </w:rPr>
        <w:t>0,9800) ni PFS</w:t>
      </w:r>
      <w:r w:rsidR="000D27A5">
        <w:rPr>
          <w:rFonts w:asciiTheme="majorBidi" w:hAnsiTheme="majorBidi" w:cstheme="majorBidi"/>
          <w:szCs w:val="22"/>
        </w:rPr>
        <w:t>-u</w:t>
      </w:r>
      <w:r w:rsidRPr="00F25CE6">
        <w:rPr>
          <w:rFonts w:asciiTheme="majorBidi" w:hAnsiTheme="majorBidi" w:cstheme="majorBidi"/>
          <w:szCs w:val="22"/>
        </w:rPr>
        <w:t xml:space="preserve"> (HR 1,00</w:t>
      </w:r>
      <w:r w:rsidR="00DE0F71">
        <w:rPr>
          <w:rFonts w:asciiTheme="majorBidi" w:hAnsiTheme="majorBidi" w:cstheme="majorBidi"/>
          <w:szCs w:val="22"/>
        </w:rPr>
        <w:t>;</w:t>
      </w:r>
      <w:r w:rsidRPr="00F25CE6">
        <w:rPr>
          <w:rFonts w:asciiTheme="majorBidi" w:hAnsiTheme="majorBidi" w:cstheme="majorBidi"/>
          <w:szCs w:val="22"/>
        </w:rPr>
        <w:t xml:space="preserve"> 95% CI: 0,58</w:t>
      </w:r>
      <w:r w:rsidR="00DE0F71">
        <w:rPr>
          <w:rFonts w:asciiTheme="majorBidi" w:hAnsiTheme="majorBidi" w:cstheme="majorBidi"/>
          <w:szCs w:val="22"/>
        </w:rPr>
        <w:t xml:space="preserve"> </w:t>
      </w:r>
      <w:r w:rsidR="00DE0F71" w:rsidRPr="009474C0">
        <w:rPr>
          <w:szCs w:val="22"/>
        </w:rPr>
        <w:t>–</w:t>
      </w:r>
      <w:r w:rsidR="00DE0F71">
        <w:rPr>
          <w:szCs w:val="22"/>
        </w:rPr>
        <w:t xml:space="preserve"> </w:t>
      </w:r>
      <w:r w:rsidRPr="00F25CE6">
        <w:rPr>
          <w:rFonts w:asciiTheme="majorBidi" w:hAnsiTheme="majorBidi" w:cstheme="majorBidi"/>
          <w:szCs w:val="22"/>
        </w:rPr>
        <w:t>1,72, p</w:t>
      </w:r>
      <w:r w:rsidR="00DE0F71">
        <w:rPr>
          <w:rFonts w:asciiTheme="majorBidi" w:hAnsiTheme="majorBidi" w:cstheme="majorBidi"/>
          <w:szCs w:val="22"/>
        </w:rPr>
        <w:t xml:space="preserve"> </w:t>
      </w:r>
      <w:r w:rsidRPr="00F25CE6">
        <w:rPr>
          <w:rFonts w:asciiTheme="majorBidi" w:hAnsiTheme="majorBidi" w:cstheme="majorBidi"/>
          <w:szCs w:val="22"/>
        </w:rPr>
        <w:t>=</w:t>
      </w:r>
      <w:r w:rsidR="00DE0F71">
        <w:rPr>
          <w:rFonts w:asciiTheme="majorBidi" w:hAnsiTheme="majorBidi" w:cstheme="majorBidi"/>
          <w:szCs w:val="22"/>
        </w:rPr>
        <w:t xml:space="preserve"> </w:t>
      </w:r>
      <w:r w:rsidRPr="00F25CE6">
        <w:rPr>
          <w:rFonts w:asciiTheme="majorBidi" w:hAnsiTheme="majorBidi" w:cstheme="majorBidi"/>
          <w:szCs w:val="22"/>
        </w:rPr>
        <w:t>0,9998) između dasatiniba i imatiniba.</w:t>
      </w:r>
    </w:p>
    <w:p w14:paraId="5A695233" w14:textId="77777777" w:rsidR="00AF7ABC" w:rsidRPr="00F25CE6" w:rsidRDefault="00AF7ABC" w:rsidP="00F25CE6">
      <w:pPr>
        <w:pStyle w:val="BodyText"/>
        <w:widowControl/>
        <w:rPr>
          <w:rFonts w:asciiTheme="majorBidi" w:hAnsiTheme="majorBidi" w:cstheme="majorBidi"/>
          <w:szCs w:val="22"/>
        </w:rPr>
      </w:pPr>
    </w:p>
    <w:p w14:paraId="15836405"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bolesnika koji prijavljuju pogoršanje bolesti ili prekid liječenja dasatinibom ili imatinibom, provedeno je BCR-ABL sekvencioniranje na uzorcima krvi bolesnika gdje su uzorci bili dostupni. Zabilježene su slične stope mutacija u obje skupine bolesnika. Mutacije T315I, F317I/L i V299L otkrivene su među bolesnicima liječenim dasatinibom dok je u skupini bolesnika liječenih imatinibom otkriven drugačiji spektar mutacija. Na temelju </w:t>
      </w:r>
      <w:r w:rsidRPr="00F25CE6">
        <w:rPr>
          <w:rFonts w:asciiTheme="majorBidi" w:hAnsiTheme="majorBidi" w:cstheme="majorBidi"/>
          <w:i/>
          <w:szCs w:val="22"/>
        </w:rPr>
        <w:t xml:space="preserve">in vitro </w:t>
      </w:r>
      <w:r w:rsidRPr="00F25CE6">
        <w:rPr>
          <w:rFonts w:asciiTheme="majorBidi" w:hAnsiTheme="majorBidi" w:cstheme="majorBidi"/>
          <w:szCs w:val="22"/>
        </w:rPr>
        <w:t>podataka, čini se da dasatinib nije aktivan protiv T315I mutacija.</w:t>
      </w:r>
    </w:p>
    <w:p w14:paraId="6CA0C019" w14:textId="77777777" w:rsidR="00AF7ABC" w:rsidRPr="00F25CE6" w:rsidRDefault="00AF7ABC" w:rsidP="00F25CE6">
      <w:pPr>
        <w:pStyle w:val="BodyText"/>
        <w:widowControl/>
        <w:rPr>
          <w:rFonts w:asciiTheme="majorBidi" w:hAnsiTheme="majorBidi" w:cstheme="majorBidi"/>
          <w:szCs w:val="22"/>
        </w:rPr>
      </w:pPr>
    </w:p>
    <w:p w14:paraId="6DF66655" w14:textId="4F3C05BA"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K</w:t>
      </w:r>
      <w:r w:rsidR="00D70A36">
        <w:rPr>
          <w:rFonts w:asciiTheme="majorBidi" w:hAnsiTheme="majorBidi" w:cstheme="majorBidi"/>
          <w:i/>
          <w:u w:val="single"/>
        </w:rPr>
        <w:t>ML u k</w:t>
      </w:r>
      <w:r w:rsidRPr="00F25CE6">
        <w:rPr>
          <w:rFonts w:asciiTheme="majorBidi" w:hAnsiTheme="majorBidi" w:cstheme="majorBidi"/>
          <w:i/>
          <w:u w:val="single"/>
        </w:rPr>
        <w:t>roničn</w:t>
      </w:r>
      <w:r w:rsidR="00D70A36">
        <w:rPr>
          <w:rFonts w:asciiTheme="majorBidi" w:hAnsiTheme="majorBidi" w:cstheme="majorBidi"/>
          <w:i/>
          <w:u w:val="single"/>
        </w:rPr>
        <w:t>oj</w:t>
      </w:r>
      <w:r w:rsidRPr="00F25CE6">
        <w:rPr>
          <w:rFonts w:asciiTheme="majorBidi" w:hAnsiTheme="majorBidi" w:cstheme="majorBidi"/>
          <w:i/>
          <w:u w:val="single"/>
        </w:rPr>
        <w:t xml:space="preserve"> faz</w:t>
      </w:r>
      <w:r w:rsidR="00D70A36">
        <w:rPr>
          <w:rFonts w:asciiTheme="majorBidi" w:hAnsiTheme="majorBidi" w:cstheme="majorBidi"/>
          <w:i/>
          <w:u w:val="single"/>
        </w:rPr>
        <w:t>i</w:t>
      </w:r>
      <w:r w:rsidRPr="00F25CE6">
        <w:rPr>
          <w:rFonts w:asciiTheme="majorBidi" w:hAnsiTheme="majorBidi" w:cstheme="majorBidi"/>
          <w:i/>
          <w:u w:val="single"/>
        </w:rPr>
        <w:t xml:space="preserve"> - nepodnošenje prethodne terapije imatinibom ili otpornost na imatinib</w:t>
      </w:r>
    </w:p>
    <w:p w14:paraId="20C0B069" w14:textId="18F3BDC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Dva klinička ispitivanja provedena su u bolesnika koji su otporni na imatinib ili ga ne podnose; primarn</w:t>
      </w:r>
      <w:r w:rsidR="008C0693">
        <w:rPr>
          <w:rFonts w:asciiTheme="majorBidi" w:hAnsiTheme="majorBidi" w:cstheme="majorBidi"/>
          <w:szCs w:val="22"/>
        </w:rPr>
        <w:t>a mjera</w:t>
      </w:r>
      <w:r w:rsidRPr="00F25CE6">
        <w:rPr>
          <w:rFonts w:asciiTheme="majorBidi" w:hAnsiTheme="majorBidi" w:cstheme="majorBidi"/>
          <w:szCs w:val="22"/>
        </w:rPr>
        <w:t xml:space="preserve"> ishod</w:t>
      </w:r>
      <w:r w:rsidR="008C0693">
        <w:rPr>
          <w:rFonts w:asciiTheme="majorBidi" w:hAnsiTheme="majorBidi" w:cstheme="majorBidi"/>
          <w:szCs w:val="22"/>
        </w:rPr>
        <w:t>a</w:t>
      </w:r>
      <w:r w:rsidRPr="00F25CE6">
        <w:rPr>
          <w:rFonts w:asciiTheme="majorBidi" w:hAnsiTheme="majorBidi" w:cstheme="majorBidi"/>
          <w:szCs w:val="22"/>
        </w:rPr>
        <w:t xml:space="preserve"> za procjenu djelotvornosti u ovim je ispitivanjima bi</w:t>
      </w:r>
      <w:r w:rsidR="008C0693">
        <w:rPr>
          <w:rFonts w:asciiTheme="majorBidi" w:hAnsiTheme="majorBidi" w:cstheme="majorBidi"/>
          <w:szCs w:val="22"/>
        </w:rPr>
        <w:t>la</w:t>
      </w:r>
      <w:r w:rsidRPr="00F25CE6">
        <w:rPr>
          <w:rFonts w:asciiTheme="majorBidi" w:hAnsiTheme="majorBidi" w:cstheme="majorBidi"/>
          <w:szCs w:val="22"/>
        </w:rPr>
        <w:t xml:space="preserve"> značaj</w:t>
      </w:r>
      <w:r w:rsidR="008C0693">
        <w:rPr>
          <w:rFonts w:asciiTheme="majorBidi" w:hAnsiTheme="majorBidi" w:cstheme="majorBidi"/>
          <w:szCs w:val="22"/>
        </w:rPr>
        <w:t>a</w:t>
      </w:r>
      <w:r w:rsidRPr="00F25CE6">
        <w:rPr>
          <w:rFonts w:asciiTheme="majorBidi" w:hAnsiTheme="majorBidi" w:cstheme="majorBidi"/>
          <w:szCs w:val="22"/>
        </w:rPr>
        <w:t xml:space="preserve">n citogenetski odgovor (engl. </w:t>
      </w:r>
      <w:r w:rsidRPr="00F25CE6">
        <w:rPr>
          <w:rFonts w:asciiTheme="majorBidi" w:hAnsiTheme="majorBidi" w:cstheme="majorBidi"/>
          <w:i/>
          <w:szCs w:val="22"/>
        </w:rPr>
        <w:t>Major Cytogenetic Response</w:t>
      </w:r>
      <w:r w:rsidR="008C0693">
        <w:rPr>
          <w:rFonts w:asciiTheme="majorBidi" w:hAnsiTheme="majorBidi" w:cstheme="majorBidi"/>
          <w:szCs w:val="22"/>
        </w:rPr>
        <w:t xml:space="preserve">, </w:t>
      </w:r>
      <w:r w:rsidRPr="00F25CE6">
        <w:rPr>
          <w:rFonts w:asciiTheme="majorBidi" w:hAnsiTheme="majorBidi" w:cstheme="majorBidi"/>
          <w:szCs w:val="22"/>
        </w:rPr>
        <w:t>MCyR).</w:t>
      </w:r>
    </w:p>
    <w:p w14:paraId="1B3C646B" w14:textId="77777777" w:rsidR="00AF7ABC" w:rsidRPr="00F25CE6" w:rsidRDefault="00AF7ABC" w:rsidP="00F25CE6">
      <w:pPr>
        <w:pStyle w:val="BodyText"/>
        <w:widowControl/>
        <w:rPr>
          <w:rFonts w:asciiTheme="majorBidi" w:hAnsiTheme="majorBidi" w:cstheme="majorBidi"/>
          <w:szCs w:val="22"/>
        </w:rPr>
      </w:pPr>
    </w:p>
    <w:p w14:paraId="76E52027"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Ispitivanje 1</w:t>
      </w:r>
    </w:p>
    <w:p w14:paraId="4F0F7CB7" w14:textId="20DBD915"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Randomizirano, multicentrično, nekomparativno ispitivanje otvorenog tipa provelo se u bolesnika u kojih početno liječenje imatinibom u dozi od 400 ili 600 mg nije bilo uspješno. Bolesnici su bili randomizirani (2:1) u dvije skupine, jednu koja je primala dasatinib (70 mg dvaput dnevno) i drugu koja je primala imatinib (400 mg dvaput dnevno). Prelazak iz jedne u drugu terapijsku skupnu bio je dopušten u slučaju znakova progresije bolesti ili nepodnošenja lijeka koje se nije moglo riješiti prilagodbom doze. Primarn</w:t>
      </w:r>
      <w:r w:rsidR="008C0693">
        <w:rPr>
          <w:rFonts w:asciiTheme="majorBidi" w:hAnsiTheme="majorBidi" w:cstheme="majorBidi"/>
          <w:szCs w:val="22"/>
        </w:rPr>
        <w:t>a mjera</w:t>
      </w:r>
      <w:r w:rsidRPr="00F25CE6">
        <w:rPr>
          <w:rFonts w:asciiTheme="majorBidi" w:hAnsiTheme="majorBidi" w:cstheme="majorBidi"/>
          <w:szCs w:val="22"/>
        </w:rPr>
        <w:t xml:space="preserve"> ishod</w:t>
      </w:r>
      <w:r w:rsidR="008C0693">
        <w:rPr>
          <w:rFonts w:asciiTheme="majorBidi" w:hAnsiTheme="majorBidi" w:cstheme="majorBidi"/>
          <w:szCs w:val="22"/>
        </w:rPr>
        <w:t>a</w:t>
      </w:r>
      <w:r w:rsidRPr="00F25CE6">
        <w:rPr>
          <w:rFonts w:asciiTheme="majorBidi" w:hAnsiTheme="majorBidi" w:cstheme="majorBidi"/>
          <w:szCs w:val="22"/>
        </w:rPr>
        <w:t xml:space="preserve"> bi</w:t>
      </w:r>
      <w:r w:rsidR="008C0693">
        <w:rPr>
          <w:rFonts w:asciiTheme="majorBidi" w:hAnsiTheme="majorBidi" w:cstheme="majorBidi"/>
          <w:szCs w:val="22"/>
        </w:rPr>
        <w:t>la</w:t>
      </w:r>
      <w:r w:rsidRPr="00F25CE6">
        <w:rPr>
          <w:rFonts w:asciiTheme="majorBidi" w:hAnsiTheme="majorBidi" w:cstheme="majorBidi"/>
          <w:szCs w:val="22"/>
        </w:rPr>
        <w:t xml:space="preserve"> je značaj</w:t>
      </w:r>
      <w:r w:rsidR="008C0693">
        <w:rPr>
          <w:rFonts w:asciiTheme="majorBidi" w:hAnsiTheme="majorBidi" w:cstheme="majorBidi"/>
          <w:szCs w:val="22"/>
        </w:rPr>
        <w:t>a</w:t>
      </w:r>
      <w:r w:rsidRPr="00F25CE6">
        <w:rPr>
          <w:rFonts w:asciiTheme="majorBidi" w:hAnsiTheme="majorBidi" w:cstheme="majorBidi"/>
          <w:szCs w:val="22"/>
        </w:rPr>
        <w:t>n citogenetski odgovor (MCyR) u 12. tjednu liječenja. Rezultati su dostupni za 150 bolesnika: 101 bolesnika u skupini koja je primala dasatinib i</w:t>
      </w:r>
      <w:r w:rsidR="00C9686E">
        <w:rPr>
          <w:rFonts w:asciiTheme="majorBidi" w:hAnsiTheme="majorBidi" w:cstheme="majorBidi"/>
          <w:szCs w:val="22"/>
        </w:rPr>
        <w:t xml:space="preserve"> </w:t>
      </w:r>
      <w:r w:rsidRPr="00F25CE6">
        <w:rPr>
          <w:rFonts w:asciiTheme="majorBidi" w:hAnsiTheme="majorBidi" w:cstheme="majorBidi"/>
          <w:szCs w:val="22"/>
        </w:rPr>
        <w:t xml:space="preserve">49 bolesnika u skupini koja je primala imatinib (svi otporni na imatinib). Medijan vremena od dijagnoze do randomizacije iznosio je 64 mjeseca u skupini koja je primala dasatinib te 52 mjeseca u skupini koja je primala imatinib. Svi su bolesnici prethodno bili opsežno liječeni. Potpuni hematološki odgovor (engl. </w:t>
      </w:r>
      <w:r w:rsidRPr="00F25CE6">
        <w:rPr>
          <w:rFonts w:asciiTheme="majorBidi" w:hAnsiTheme="majorBidi" w:cstheme="majorBidi"/>
          <w:i/>
          <w:szCs w:val="22"/>
        </w:rPr>
        <w:t>complete haematologic response</w:t>
      </w:r>
      <w:r w:rsidR="00DE0F71">
        <w:rPr>
          <w:rFonts w:asciiTheme="majorBidi" w:hAnsiTheme="majorBidi" w:cstheme="majorBidi"/>
          <w:szCs w:val="22"/>
        </w:rPr>
        <w:t xml:space="preserve">, </w:t>
      </w:r>
      <w:r w:rsidR="00DE0F71" w:rsidRPr="00F25CE6">
        <w:rPr>
          <w:rFonts w:asciiTheme="majorBidi" w:hAnsiTheme="majorBidi" w:cstheme="majorBidi"/>
          <w:szCs w:val="22"/>
        </w:rPr>
        <w:t>CHR</w:t>
      </w:r>
      <w:r w:rsidRPr="00F25CE6">
        <w:rPr>
          <w:rFonts w:asciiTheme="majorBidi" w:hAnsiTheme="majorBidi" w:cstheme="majorBidi"/>
          <w:szCs w:val="22"/>
        </w:rPr>
        <w:t>) na prethodno liječenje imatinibom postiglo je 93% svih bolesnika. Značajni citogenetski odgovor na prethodno liječenje imatinibom postiglo je 28% bolesnika u skupini koja je primala dasatinib i 29% bolesnika u skupini koja je primala imatinib.</w:t>
      </w:r>
      <w:r w:rsidR="00C9686E">
        <w:rPr>
          <w:rFonts w:asciiTheme="majorBidi" w:hAnsiTheme="majorBidi" w:cstheme="majorBidi"/>
          <w:szCs w:val="22"/>
        </w:rPr>
        <w:t xml:space="preserve"> </w:t>
      </w:r>
      <w:r w:rsidRPr="00F25CE6">
        <w:rPr>
          <w:rFonts w:asciiTheme="majorBidi" w:hAnsiTheme="majorBidi" w:cstheme="majorBidi"/>
          <w:szCs w:val="22"/>
        </w:rPr>
        <w:t>Medijan trajanja liječenja iznosio je 23 mjeseca za dasatinib (s time da je do tada 44% bolesnika bilo liječeno &gt;</w:t>
      </w:r>
      <w:r w:rsidR="00DE0F71">
        <w:rPr>
          <w:rFonts w:asciiTheme="majorBidi" w:hAnsiTheme="majorBidi" w:cstheme="majorBidi"/>
          <w:szCs w:val="22"/>
        </w:rPr>
        <w:t> </w:t>
      </w:r>
      <w:r w:rsidRPr="00F25CE6">
        <w:rPr>
          <w:rFonts w:asciiTheme="majorBidi" w:hAnsiTheme="majorBidi" w:cstheme="majorBidi"/>
          <w:szCs w:val="22"/>
        </w:rPr>
        <w:t>24 mjeseca), a 3 mjeseca za imatinib (s time da je do tada 10% bolesnika bilo liječeno</w:t>
      </w:r>
      <w:r w:rsidR="00C9686E">
        <w:rPr>
          <w:rFonts w:asciiTheme="majorBidi" w:hAnsiTheme="majorBidi" w:cstheme="majorBidi"/>
          <w:szCs w:val="22"/>
        </w:rPr>
        <w:t xml:space="preserve"> </w:t>
      </w:r>
      <w:r w:rsidRPr="00F25CE6">
        <w:rPr>
          <w:rFonts w:asciiTheme="majorBidi" w:hAnsiTheme="majorBidi" w:cstheme="majorBidi"/>
          <w:szCs w:val="22"/>
        </w:rPr>
        <w:t>&gt;</w:t>
      </w:r>
      <w:r w:rsidR="00DE0F71">
        <w:rPr>
          <w:rFonts w:asciiTheme="majorBidi" w:hAnsiTheme="majorBidi" w:cstheme="majorBidi"/>
          <w:szCs w:val="22"/>
        </w:rPr>
        <w:t> </w:t>
      </w:r>
      <w:r w:rsidRPr="00F25CE6">
        <w:rPr>
          <w:rFonts w:asciiTheme="majorBidi" w:hAnsiTheme="majorBidi" w:cstheme="majorBidi"/>
          <w:szCs w:val="22"/>
        </w:rPr>
        <w:t>24 mjeseca). Prije prelaska u suprotnu skupinu, 93% bolesnika koji su primali dasatinib i 82% bolesnika koji su primali imatinib postiglo je potpuni hematološki odgovor.</w:t>
      </w:r>
    </w:p>
    <w:p w14:paraId="20305EC3" w14:textId="77777777" w:rsidR="00AF7ABC" w:rsidRPr="00F25CE6" w:rsidRDefault="00AF7ABC" w:rsidP="00F25CE6">
      <w:pPr>
        <w:pStyle w:val="BodyText"/>
        <w:widowControl/>
        <w:rPr>
          <w:rFonts w:asciiTheme="majorBidi" w:hAnsiTheme="majorBidi" w:cstheme="majorBidi"/>
          <w:szCs w:val="22"/>
        </w:rPr>
      </w:pPr>
    </w:p>
    <w:p w14:paraId="7AB00FFD"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Nakon 3 mjeseca, značajni citogenetski odgovor je bio češći u skupini koja je primala dasatinib (36%) nego u skupini koja je primala imatinib (29%). Osobito treba istaknuti da je potpuni citogenetski odgovor zabilježen u 22% bolesnika u skupini na dasatinibu te u samo 8% bolesnika u skupini na imatinibu. Nakon dugotrajnijeg liječenja i praćenja (medijan trajanja, 24 mjeseca), značajni citogenetski odgovor postiglo je 53% bolesnika liječenih dasatinibom (potpuni citogenetski odgovor u 44%) te 33% bolesnika liječenih imatinibom (potpuni citogenetski odgovor u 18%) prije prelaska u suprotnu skupinu. Među bolesnicima koji su primali imatinib u dozi od 400 mg prije uključenja u ispitivanje, značajni citogenetski odgovor postiglo je 61% bolesnika u skupini na dasatinibu te 50% bolesnika u skupini na imatinibu.</w:t>
      </w:r>
    </w:p>
    <w:p w14:paraId="4F62631B" w14:textId="0ECD9FC3"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Na temelju procjene po Kaplan-Meieru, udio bolesnika u kojih se održao značajni citogenetski odgovor tijekom 1 godine iznosio je 92% (95% CI: [85%</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100%]) za dasatinib (potpuni citogenetski odgovor, 97%; 95% CI: [92%</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100%]) te 74% (95% CI: [49%</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100%]) u skupini za imatinib (potpuni citogenetski odgovor, 100%). Udio bolesnika u kojih se održao značajni citogenetski odgovor tijekom 18 mjeseci iznosio je 90% (95% CI: [82%</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98%]) za dasatinib (potpuni citogenetski odgovor, 94%;</w:t>
      </w:r>
      <w:r w:rsidR="00C9686E">
        <w:rPr>
          <w:rFonts w:asciiTheme="majorBidi" w:hAnsiTheme="majorBidi" w:cstheme="majorBidi"/>
          <w:szCs w:val="22"/>
        </w:rPr>
        <w:t xml:space="preserve"> </w:t>
      </w:r>
      <w:r w:rsidRPr="00F25CE6">
        <w:rPr>
          <w:rFonts w:asciiTheme="majorBidi" w:hAnsiTheme="majorBidi" w:cstheme="majorBidi"/>
          <w:szCs w:val="22"/>
        </w:rPr>
        <w:t>95% CI: [87%</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100%]) te 74% (95% CI: [49%</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100%]) za imatinib (potpuni citogenetski odgovor,</w:t>
      </w:r>
      <w:r w:rsidR="00C9686E">
        <w:rPr>
          <w:rFonts w:asciiTheme="majorBidi" w:hAnsiTheme="majorBidi" w:cstheme="majorBidi"/>
          <w:szCs w:val="22"/>
        </w:rPr>
        <w:t xml:space="preserve"> </w:t>
      </w:r>
      <w:r w:rsidRPr="00F25CE6">
        <w:rPr>
          <w:rFonts w:asciiTheme="majorBidi" w:hAnsiTheme="majorBidi" w:cstheme="majorBidi"/>
          <w:szCs w:val="22"/>
        </w:rPr>
        <w:t>100%).</w:t>
      </w:r>
    </w:p>
    <w:p w14:paraId="0C80E8F0" w14:textId="77777777" w:rsidR="00AF7ABC" w:rsidRPr="00F25CE6" w:rsidRDefault="00AF7ABC" w:rsidP="00F25CE6">
      <w:pPr>
        <w:pStyle w:val="BodyText"/>
        <w:widowControl/>
        <w:rPr>
          <w:rFonts w:asciiTheme="majorBidi" w:hAnsiTheme="majorBidi" w:cstheme="majorBidi"/>
          <w:szCs w:val="22"/>
        </w:rPr>
      </w:pPr>
    </w:p>
    <w:p w14:paraId="487508C4" w14:textId="3E91C153"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Na temelju procjene preživljenja po Kaplan-Meieru, PFS tijekom 1 godine iznosilo je 91% (95% CI: [85%</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97%]) za dasatinib te 73% (95% CI: [54%</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91%]) za imatinib. PFS nakon 2 godine iznosilo je</w:t>
      </w:r>
      <w:r w:rsidR="00C9686E">
        <w:rPr>
          <w:rFonts w:asciiTheme="majorBidi" w:hAnsiTheme="majorBidi" w:cstheme="majorBidi"/>
          <w:szCs w:val="22"/>
        </w:rPr>
        <w:t xml:space="preserve"> </w:t>
      </w:r>
      <w:r w:rsidRPr="00F25CE6">
        <w:rPr>
          <w:rFonts w:asciiTheme="majorBidi" w:hAnsiTheme="majorBidi" w:cstheme="majorBidi"/>
          <w:szCs w:val="22"/>
        </w:rPr>
        <w:t>86% (95% CI: [78%</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93%]) za dasatinib i 65% (95% CI: [43%</w:t>
      </w:r>
      <w:r w:rsidR="005854EA">
        <w:rPr>
          <w:rFonts w:asciiTheme="majorBidi" w:hAnsiTheme="majorBidi" w:cstheme="majorBidi"/>
          <w:szCs w:val="22"/>
        </w:rPr>
        <w:t xml:space="preserve"> </w:t>
      </w:r>
      <w:r w:rsidR="005854EA" w:rsidRPr="009474C0">
        <w:rPr>
          <w:szCs w:val="22"/>
        </w:rPr>
        <w:t>–</w:t>
      </w:r>
      <w:r w:rsidR="005854EA">
        <w:rPr>
          <w:szCs w:val="22"/>
        </w:rPr>
        <w:t xml:space="preserve"> </w:t>
      </w:r>
      <w:r w:rsidRPr="00F25CE6">
        <w:rPr>
          <w:rFonts w:asciiTheme="majorBidi" w:hAnsiTheme="majorBidi" w:cstheme="majorBidi"/>
          <w:szCs w:val="22"/>
        </w:rPr>
        <w:t>87%]) za imatinib.</w:t>
      </w:r>
    </w:p>
    <w:p w14:paraId="4CDE2F47" w14:textId="77777777" w:rsidR="00AF7ABC" w:rsidRPr="00F25CE6" w:rsidRDefault="00AF7ABC" w:rsidP="00F25CE6">
      <w:pPr>
        <w:pStyle w:val="BodyText"/>
        <w:widowControl/>
        <w:rPr>
          <w:rFonts w:asciiTheme="majorBidi" w:hAnsiTheme="majorBidi" w:cstheme="majorBidi"/>
          <w:szCs w:val="22"/>
        </w:rPr>
      </w:pPr>
    </w:p>
    <w:p w14:paraId="02C89C1A"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lastRenderedPageBreak/>
        <w:t>Liječenje nije uspjelo u 43% bolesnika u skupini koja je primala dasatinib i u 82% u skupini koja je primala imatinib, a neuspjeh liječenja definirao se kao progresija bolesti ili prelazak u drugu terapijsku skupinu (izostanak odgovora, nepodnošenje ispitivanog lijeka, itd.).</w:t>
      </w:r>
    </w:p>
    <w:p w14:paraId="651934BC" w14:textId="77777777" w:rsidR="00AF7ABC" w:rsidRPr="00F25CE6" w:rsidRDefault="00AF7ABC" w:rsidP="00F25CE6">
      <w:pPr>
        <w:pStyle w:val="BodyText"/>
        <w:widowControl/>
        <w:rPr>
          <w:rFonts w:asciiTheme="majorBidi" w:hAnsiTheme="majorBidi" w:cstheme="majorBidi"/>
          <w:szCs w:val="22"/>
        </w:rPr>
      </w:pPr>
    </w:p>
    <w:p w14:paraId="1308FF59" w14:textId="65877A7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Stopa značajnog molekularnog odgovora (definiranog kao BCR-ABL/kontrolni transkripti ≤</w:t>
      </w:r>
      <w:r w:rsidR="005854EA">
        <w:rPr>
          <w:rFonts w:asciiTheme="majorBidi" w:hAnsiTheme="majorBidi" w:cstheme="majorBidi"/>
          <w:szCs w:val="22"/>
        </w:rPr>
        <w:t> </w:t>
      </w:r>
      <w:r w:rsidRPr="00F25CE6">
        <w:rPr>
          <w:rFonts w:asciiTheme="majorBidi" w:hAnsiTheme="majorBidi" w:cstheme="majorBidi"/>
          <w:szCs w:val="22"/>
        </w:rPr>
        <w:t>0,1% po RQ-PCR u uzorcima periferne krvi) prije prelaska u drugu terapijsku skupinu iznosila je 29% za dasatinib i 12% za imatinib.</w:t>
      </w:r>
    </w:p>
    <w:p w14:paraId="5B38A4CA" w14:textId="77777777" w:rsidR="00AF7ABC" w:rsidRPr="00F25CE6" w:rsidRDefault="00AF7ABC" w:rsidP="00F25CE6">
      <w:pPr>
        <w:pStyle w:val="BodyText"/>
        <w:widowControl/>
        <w:rPr>
          <w:rFonts w:asciiTheme="majorBidi" w:hAnsiTheme="majorBidi" w:cstheme="majorBidi"/>
          <w:szCs w:val="22"/>
        </w:rPr>
      </w:pPr>
    </w:p>
    <w:p w14:paraId="2716C0B6"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Ispitivanje 2</w:t>
      </w:r>
    </w:p>
    <w:p w14:paraId="2EEBCC1A"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Multicentrično ispitivanje otvorenog tipa u jednoj skupini provedeno je u bolesnika koji su otporni na imatinib ili ga ne podnose (tj. bolesnici u kojih su značajni toksični učinci nastali tijekom liječenja imatinibom onemogućili daljnje liječenje).</w:t>
      </w:r>
    </w:p>
    <w:p w14:paraId="2701CDF3" w14:textId="708FAEEB"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Ukupno je 387 bolesnika primilo dasatinib u dozi od 70 mg dvaput dnevno (288 s rezistencijom i 99 s nepodnošljivošću). Medijan vremena od dijagnoze do početka liječenja iznosio je 61 mjesec. Većina bolesnika (53%) prethodno je primala imatinib duže od 3 godine. Većina bolesnika s rezistencijom (72%) primala je &gt;</w:t>
      </w:r>
      <w:r w:rsidR="005854EA">
        <w:rPr>
          <w:rFonts w:asciiTheme="majorBidi" w:hAnsiTheme="majorBidi" w:cstheme="majorBidi"/>
          <w:szCs w:val="22"/>
        </w:rPr>
        <w:t> </w:t>
      </w:r>
      <w:r w:rsidRPr="00F25CE6">
        <w:rPr>
          <w:rFonts w:asciiTheme="majorBidi" w:hAnsiTheme="majorBidi" w:cstheme="majorBidi"/>
          <w:szCs w:val="22"/>
        </w:rPr>
        <w:t>600 mg imatiniba. Uz imatinib, 35% bolesnika prethodno je primilo citotoksičnu kemoterapiju, 65% interferon, a 10% transplantaciju matičnih stanica. Trideset i osam posto bolesnika imalo je osnovne mutacije za koje se zna da uzrokuju otpornost na imatinib. Medijan trajanja liječenja dasatinibom iznosio je 24 mjeseca, s time da je do tada 51% bolesnika bilo liječeno &gt;</w:t>
      </w:r>
      <w:r w:rsidR="006268ED">
        <w:rPr>
          <w:rFonts w:asciiTheme="majorBidi" w:hAnsiTheme="majorBidi" w:cstheme="majorBidi"/>
          <w:szCs w:val="22"/>
        </w:rPr>
        <w:t> </w:t>
      </w:r>
      <w:r w:rsidRPr="00F25CE6">
        <w:rPr>
          <w:rFonts w:asciiTheme="majorBidi" w:hAnsiTheme="majorBidi" w:cstheme="majorBidi"/>
          <w:szCs w:val="22"/>
        </w:rPr>
        <w:t>24 mjeseca.</w:t>
      </w:r>
      <w:r w:rsidR="00C9686E">
        <w:rPr>
          <w:rFonts w:asciiTheme="majorBidi" w:hAnsiTheme="majorBidi" w:cstheme="majorBidi"/>
          <w:szCs w:val="22"/>
        </w:rPr>
        <w:t xml:space="preserve"> </w:t>
      </w:r>
      <w:r w:rsidRPr="00F25CE6">
        <w:rPr>
          <w:rFonts w:asciiTheme="majorBidi" w:hAnsiTheme="majorBidi" w:cstheme="majorBidi"/>
          <w:szCs w:val="22"/>
        </w:rPr>
        <w:t>Rezultati djelotvornosti prikazani su u tablici 11. Značajni citogenetski odgovor postigao se u 55% bolesnika otpornih na imatinib i 82% bolesnika koji nisu podnosili imatinib. Nakon najmanje</w:t>
      </w:r>
      <w:r w:rsidR="00C9686E">
        <w:rPr>
          <w:rFonts w:asciiTheme="majorBidi" w:hAnsiTheme="majorBidi" w:cstheme="majorBidi"/>
          <w:szCs w:val="22"/>
        </w:rPr>
        <w:t xml:space="preserve"> </w:t>
      </w:r>
      <w:r w:rsidRPr="00F25CE6">
        <w:rPr>
          <w:rFonts w:asciiTheme="majorBidi" w:hAnsiTheme="majorBidi" w:cstheme="majorBidi"/>
          <w:szCs w:val="22"/>
        </w:rPr>
        <w:t>24 mjeseca praćenja, progresija bolesti nastupila je u 21 od 240 bolesnika koji su postigli značajni citogenetski odgovor (MCyR) i u njih medijan trajanja MCyR nije dostignut.</w:t>
      </w:r>
    </w:p>
    <w:p w14:paraId="0B46A837" w14:textId="77777777" w:rsidR="00A15E8A" w:rsidRPr="00F25CE6" w:rsidRDefault="00A15E8A" w:rsidP="00F25CE6">
      <w:pPr>
        <w:widowControl/>
        <w:rPr>
          <w:rFonts w:asciiTheme="majorBidi" w:hAnsiTheme="majorBidi" w:cstheme="majorBidi"/>
        </w:rPr>
      </w:pPr>
    </w:p>
    <w:p w14:paraId="30AFFDA7" w14:textId="66210F4C"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Na temelju procjene preživljenja po Kaplan-Meieru, 95% (95% CI: [92%</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98%]) bolesnika održalo je MCyR tijekom 1 godine, dok je 88% (95% CI: [83%</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93%]) održalo MCyR tijekom 2 godine. Potpuni citogenetski odgovor (CCyR) tijekom 1 godine održalo je 97% bolesnika (95% CI: [94%</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99%]) a tijekom 2 godine 90% bolesnika (95% CI: [86%</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95%]). Četrdeset i dva posto bolesnika otpornih na imatinib koji prethodno nisu postigli MCyR na imatinib (n</w:t>
      </w:r>
      <w:r w:rsidR="00797AB1">
        <w:rPr>
          <w:rFonts w:asciiTheme="majorBidi" w:hAnsiTheme="majorBidi" w:cstheme="majorBidi"/>
          <w:szCs w:val="22"/>
        </w:rPr>
        <w:t> </w:t>
      </w:r>
      <w:r w:rsidRPr="00F25CE6">
        <w:rPr>
          <w:rFonts w:asciiTheme="majorBidi" w:hAnsiTheme="majorBidi" w:cstheme="majorBidi"/>
          <w:szCs w:val="22"/>
        </w:rPr>
        <w:t>=</w:t>
      </w:r>
      <w:r w:rsidR="00797AB1">
        <w:rPr>
          <w:rFonts w:asciiTheme="majorBidi" w:hAnsiTheme="majorBidi" w:cstheme="majorBidi"/>
          <w:szCs w:val="22"/>
        </w:rPr>
        <w:t> </w:t>
      </w:r>
      <w:r w:rsidRPr="00F25CE6">
        <w:rPr>
          <w:rFonts w:asciiTheme="majorBidi" w:hAnsiTheme="majorBidi" w:cstheme="majorBidi"/>
          <w:szCs w:val="22"/>
        </w:rPr>
        <w:t>188) postigli su MCyR na dasatinib.</w:t>
      </w:r>
      <w:r w:rsidR="00C9686E">
        <w:rPr>
          <w:rFonts w:asciiTheme="majorBidi" w:hAnsiTheme="majorBidi" w:cstheme="majorBidi"/>
          <w:szCs w:val="22"/>
        </w:rPr>
        <w:t xml:space="preserve"> </w:t>
      </w:r>
      <w:r w:rsidRPr="00F25CE6">
        <w:rPr>
          <w:rFonts w:asciiTheme="majorBidi" w:hAnsiTheme="majorBidi" w:cstheme="majorBidi"/>
          <w:szCs w:val="22"/>
        </w:rPr>
        <w:t>Pronašlo se 45 različitih BCR-ABL mutacija u 38% bolesnika uključenih u ovo ispitivanje. Potpuni hematološki odgovor (CHR) ili MCyR postigao se u bolesnika koji su imali niz raznih BCR-ABL mutacija povezanih s otpornošću na imatinib, osim T315I. Stope MCyR</w:t>
      </w:r>
      <w:r w:rsidR="00FE6F1F">
        <w:rPr>
          <w:rFonts w:asciiTheme="majorBidi" w:hAnsiTheme="majorBidi" w:cstheme="majorBidi"/>
          <w:szCs w:val="22"/>
        </w:rPr>
        <w:t>-a</w:t>
      </w:r>
      <w:r w:rsidRPr="00F25CE6">
        <w:rPr>
          <w:rFonts w:asciiTheme="majorBidi" w:hAnsiTheme="majorBidi" w:cstheme="majorBidi"/>
          <w:szCs w:val="22"/>
        </w:rPr>
        <w:t xml:space="preserve"> nakon 2 godine bile su slične bez obzira na to jesu li bolesnici imali osnovnu BCR-ABL mutaciju (63%), mutaciju P-petlje (61%) ili nisu imali mutaciju (62%).</w:t>
      </w:r>
    </w:p>
    <w:p w14:paraId="6AA2C7EE" w14:textId="77777777" w:rsidR="00AF7ABC" w:rsidRPr="00F25CE6" w:rsidRDefault="00AF7ABC" w:rsidP="00F25CE6">
      <w:pPr>
        <w:pStyle w:val="BodyText"/>
        <w:widowControl/>
        <w:rPr>
          <w:rFonts w:asciiTheme="majorBidi" w:hAnsiTheme="majorBidi" w:cstheme="majorBidi"/>
          <w:szCs w:val="22"/>
        </w:rPr>
      </w:pPr>
    </w:p>
    <w:p w14:paraId="01DCF49E" w14:textId="4CCA7349"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Među bolesnicima otpornima na imatinib, procijenjena stopa preživljenja bez progresije bolesti (PFS) iznosila je 88% (95% CI: [84%</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92%]) nakon 1 godine te 75% (95% CI: [69%</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81%]) nakon 2 godine. U bolesnika koji nisu podnosili imatinib, procijenjena stopa PFS</w:t>
      </w:r>
      <w:r w:rsidR="000D27A5">
        <w:rPr>
          <w:rFonts w:asciiTheme="majorBidi" w:hAnsiTheme="majorBidi" w:cstheme="majorBidi"/>
          <w:szCs w:val="22"/>
        </w:rPr>
        <w:t>-a</w:t>
      </w:r>
      <w:r w:rsidRPr="00F25CE6">
        <w:rPr>
          <w:rFonts w:asciiTheme="majorBidi" w:hAnsiTheme="majorBidi" w:cstheme="majorBidi"/>
          <w:szCs w:val="22"/>
        </w:rPr>
        <w:t xml:space="preserve"> iznosila je 98% (95% CI:</w:t>
      </w:r>
      <w:r w:rsidR="00C9686E">
        <w:rPr>
          <w:rFonts w:asciiTheme="majorBidi" w:hAnsiTheme="majorBidi" w:cstheme="majorBidi"/>
          <w:szCs w:val="22"/>
        </w:rPr>
        <w:t xml:space="preserve"> </w:t>
      </w:r>
      <w:r w:rsidRPr="00F25CE6">
        <w:rPr>
          <w:rFonts w:asciiTheme="majorBidi" w:hAnsiTheme="majorBidi" w:cstheme="majorBidi"/>
          <w:szCs w:val="22"/>
        </w:rPr>
        <w:t>[95%</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100%]) nakon 1 godine i 94% (95% CI: [88%</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99%]) nakon 2 godine.</w:t>
      </w:r>
    </w:p>
    <w:p w14:paraId="14A10E3E" w14:textId="77777777" w:rsidR="00AF7ABC" w:rsidRPr="00F25CE6" w:rsidRDefault="00AF7ABC" w:rsidP="00F25CE6">
      <w:pPr>
        <w:pStyle w:val="BodyText"/>
        <w:widowControl/>
        <w:rPr>
          <w:rFonts w:asciiTheme="majorBidi" w:hAnsiTheme="majorBidi" w:cstheme="majorBidi"/>
          <w:szCs w:val="22"/>
        </w:rPr>
      </w:pPr>
    </w:p>
    <w:p w14:paraId="01AC26E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Stopa značajnog molekularnog odgovora (MMR) nakon 24 mjeseca iznosila je 45% (35% za bolesnike otporne na imatinib i 74% za bolesnike koji ne podnose imatinib).</w:t>
      </w:r>
    </w:p>
    <w:p w14:paraId="445C8C16" w14:textId="77777777" w:rsidR="00AF7ABC" w:rsidRPr="00F25CE6" w:rsidRDefault="00AF7ABC" w:rsidP="00F25CE6">
      <w:pPr>
        <w:pStyle w:val="BodyText"/>
        <w:widowControl/>
        <w:rPr>
          <w:rFonts w:asciiTheme="majorBidi" w:hAnsiTheme="majorBidi" w:cstheme="majorBidi"/>
          <w:szCs w:val="22"/>
        </w:rPr>
      </w:pPr>
    </w:p>
    <w:p w14:paraId="2D76F59F" w14:textId="55C42247" w:rsidR="00AF7ABC" w:rsidRPr="00F25CE6" w:rsidRDefault="00D70A36" w:rsidP="00F25CE6">
      <w:pPr>
        <w:widowControl/>
        <w:rPr>
          <w:rFonts w:asciiTheme="majorBidi" w:hAnsiTheme="majorBidi" w:cstheme="majorBidi"/>
          <w:i/>
        </w:rPr>
      </w:pPr>
      <w:r>
        <w:rPr>
          <w:rFonts w:asciiTheme="majorBidi" w:hAnsiTheme="majorBidi" w:cstheme="majorBidi"/>
          <w:i/>
          <w:u w:val="single"/>
        </w:rPr>
        <w:t>KML u f</w:t>
      </w:r>
      <w:r w:rsidR="00422138" w:rsidRPr="00F25CE6">
        <w:rPr>
          <w:rFonts w:asciiTheme="majorBidi" w:hAnsiTheme="majorBidi" w:cstheme="majorBidi"/>
          <w:i/>
          <w:u w:val="single"/>
        </w:rPr>
        <w:t>az</w:t>
      </w:r>
      <w:r>
        <w:rPr>
          <w:rFonts w:asciiTheme="majorBidi" w:hAnsiTheme="majorBidi" w:cstheme="majorBidi"/>
          <w:i/>
          <w:u w:val="single"/>
        </w:rPr>
        <w:t>i</w:t>
      </w:r>
      <w:r w:rsidR="00422138" w:rsidRPr="00F25CE6">
        <w:rPr>
          <w:rFonts w:asciiTheme="majorBidi" w:hAnsiTheme="majorBidi" w:cstheme="majorBidi"/>
          <w:i/>
          <w:u w:val="single"/>
        </w:rPr>
        <w:t xml:space="preserve"> ubrzanja</w:t>
      </w:r>
    </w:p>
    <w:p w14:paraId="47B9A622" w14:textId="2D22C376"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Multicentrično ispitivanje otvorenog tipa u jednoj skupini provedeno je u bolesnika koji su otporni na imatinib ili ga ne podnose. Ukupno je 174 bolesnika primilo dasatinib u dozi od 70 mg dvaput dnevno (161 s otpornošću i 13 s nepodnošljivošću na imatinib). Medijan vremena od dijagnoze do početka liječenja iznosio je 82 mjeseca. Medijan trajanja liječenja dasatinibom iznosio je 14 mjeseci uz 31% bolesnika liječenih &gt;</w:t>
      </w:r>
      <w:r w:rsidR="006268ED">
        <w:rPr>
          <w:rFonts w:asciiTheme="majorBidi" w:hAnsiTheme="majorBidi" w:cstheme="majorBidi"/>
          <w:szCs w:val="22"/>
        </w:rPr>
        <w:t> </w:t>
      </w:r>
      <w:r w:rsidRPr="00F25CE6">
        <w:rPr>
          <w:rFonts w:asciiTheme="majorBidi" w:hAnsiTheme="majorBidi" w:cstheme="majorBidi"/>
          <w:szCs w:val="22"/>
        </w:rPr>
        <w:t>24 mjeseca do tada. Stopa MMR</w:t>
      </w:r>
      <w:r w:rsidR="00FE6F1F">
        <w:rPr>
          <w:rFonts w:asciiTheme="majorBidi" w:hAnsiTheme="majorBidi" w:cstheme="majorBidi"/>
          <w:szCs w:val="22"/>
        </w:rPr>
        <w:t>-a</w:t>
      </w:r>
      <w:r w:rsidRPr="00F25CE6">
        <w:rPr>
          <w:rFonts w:asciiTheme="majorBidi" w:hAnsiTheme="majorBidi" w:cstheme="majorBidi"/>
          <w:szCs w:val="22"/>
        </w:rPr>
        <w:t xml:space="preserve"> (određenog u 41 bolesnika s CCyR</w:t>
      </w:r>
      <w:r w:rsidR="00FE6F1F">
        <w:rPr>
          <w:rFonts w:asciiTheme="majorBidi" w:hAnsiTheme="majorBidi" w:cstheme="majorBidi"/>
          <w:szCs w:val="22"/>
        </w:rPr>
        <w:t>-om</w:t>
      </w:r>
      <w:r w:rsidRPr="00F25CE6">
        <w:rPr>
          <w:rFonts w:asciiTheme="majorBidi" w:hAnsiTheme="majorBidi" w:cstheme="majorBidi"/>
          <w:szCs w:val="22"/>
        </w:rPr>
        <w:t>) iznosila je 46% nakon 24 mjeseca. Daljnji rezultati djelotvornosti prikazani su u tablici 11.</w:t>
      </w:r>
    </w:p>
    <w:p w14:paraId="38274A3B" w14:textId="77777777" w:rsidR="00AF7ABC" w:rsidRPr="00F25CE6" w:rsidRDefault="00AF7ABC" w:rsidP="00F25CE6">
      <w:pPr>
        <w:pStyle w:val="BodyText"/>
        <w:widowControl/>
        <w:rPr>
          <w:rFonts w:asciiTheme="majorBidi" w:hAnsiTheme="majorBidi" w:cstheme="majorBidi"/>
          <w:szCs w:val="22"/>
        </w:rPr>
      </w:pPr>
    </w:p>
    <w:p w14:paraId="56579824" w14:textId="3D8DBBA9"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Mijeloidna blastna kriza KML</w:t>
      </w:r>
      <w:r w:rsidR="00D70A36">
        <w:rPr>
          <w:rFonts w:asciiTheme="majorBidi" w:hAnsiTheme="majorBidi" w:cstheme="majorBidi"/>
          <w:i/>
          <w:u w:val="single"/>
        </w:rPr>
        <w:t>-a</w:t>
      </w:r>
    </w:p>
    <w:p w14:paraId="79748DB1" w14:textId="1B80B68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Multicentrično ispitivanje otvorenog tipa u jednoj skupini provedeno je u bolesnika koji ne podnose ili su otporni na imatinib. Ukupno je 109 bolesnika primilo dasatinib u dozi od 70 mg dvaput dnevno (99 s otpornošću i 10 s nepodnošljivošću na imatinib). Medijan vremena od dijagnoze do početka liječenja iznosio je 48 mjeseci. Medijan trajanja liječenja dasatinibom iznosio je 3,5 mjeseci s time da je 12% bolesnika do tada bilo liječeno &gt;</w:t>
      </w:r>
      <w:r w:rsidR="006268ED">
        <w:rPr>
          <w:rFonts w:asciiTheme="majorBidi" w:hAnsiTheme="majorBidi" w:cstheme="majorBidi"/>
          <w:szCs w:val="22"/>
        </w:rPr>
        <w:t> </w:t>
      </w:r>
      <w:r w:rsidRPr="00F25CE6">
        <w:rPr>
          <w:rFonts w:asciiTheme="majorBidi" w:hAnsiTheme="majorBidi" w:cstheme="majorBidi"/>
          <w:szCs w:val="22"/>
        </w:rPr>
        <w:t xml:space="preserve">24 mjeseca. Stopa značajnog molekularnog odgovora (MMR) </w:t>
      </w:r>
      <w:r w:rsidRPr="00F25CE6">
        <w:rPr>
          <w:rFonts w:asciiTheme="majorBidi" w:hAnsiTheme="majorBidi" w:cstheme="majorBidi"/>
          <w:szCs w:val="22"/>
        </w:rPr>
        <w:lastRenderedPageBreak/>
        <w:t>(određenog u 19 bolesnika s CCyR</w:t>
      </w:r>
      <w:r w:rsidR="000D27A5">
        <w:rPr>
          <w:rFonts w:asciiTheme="majorBidi" w:hAnsiTheme="majorBidi" w:cstheme="majorBidi"/>
          <w:szCs w:val="22"/>
        </w:rPr>
        <w:t>-om</w:t>
      </w:r>
      <w:r w:rsidRPr="00F25CE6">
        <w:rPr>
          <w:rFonts w:asciiTheme="majorBidi" w:hAnsiTheme="majorBidi" w:cstheme="majorBidi"/>
          <w:szCs w:val="22"/>
        </w:rPr>
        <w:t>) bila je 68% nakon 24 mjeseca. Daljnji rezultati djelotvornosti prikazani su u Tablici 11.</w:t>
      </w:r>
    </w:p>
    <w:p w14:paraId="076CBFBB" w14:textId="77777777" w:rsidR="00AF7ABC" w:rsidRPr="00F25CE6" w:rsidRDefault="00AF7ABC" w:rsidP="00F25CE6">
      <w:pPr>
        <w:pStyle w:val="BodyText"/>
        <w:widowControl/>
        <w:rPr>
          <w:rFonts w:asciiTheme="majorBidi" w:hAnsiTheme="majorBidi" w:cstheme="majorBidi"/>
          <w:szCs w:val="22"/>
        </w:rPr>
      </w:pPr>
    </w:p>
    <w:p w14:paraId="7204294B" w14:textId="376CB0CB"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Limfoidna blastna kriza KML</w:t>
      </w:r>
      <w:r w:rsidR="00D70A36">
        <w:rPr>
          <w:rFonts w:asciiTheme="majorBidi" w:hAnsiTheme="majorBidi" w:cstheme="majorBidi"/>
          <w:i/>
          <w:u w:val="single"/>
        </w:rPr>
        <w:t>-a</w:t>
      </w:r>
      <w:r w:rsidRPr="00F25CE6">
        <w:rPr>
          <w:rFonts w:asciiTheme="majorBidi" w:hAnsiTheme="majorBidi" w:cstheme="majorBidi"/>
          <w:i/>
          <w:u w:val="single"/>
        </w:rPr>
        <w:t xml:space="preserve"> i Ph+ ALL</w:t>
      </w:r>
    </w:p>
    <w:p w14:paraId="24B12393" w14:textId="372D6A2F"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Multicentrično ispitivanje otvorenog tipa u jednoj skupini provelo se u bolesnika u limfoidnoj blastnoj krizi KML</w:t>
      </w:r>
      <w:r w:rsidR="00D70A36">
        <w:rPr>
          <w:rFonts w:asciiTheme="majorBidi" w:hAnsiTheme="majorBidi" w:cstheme="majorBidi"/>
          <w:szCs w:val="22"/>
        </w:rPr>
        <w:t>-a</w:t>
      </w:r>
      <w:r w:rsidRPr="00F25CE6">
        <w:rPr>
          <w:rFonts w:asciiTheme="majorBidi" w:hAnsiTheme="majorBidi" w:cstheme="majorBidi"/>
          <w:szCs w:val="22"/>
        </w:rPr>
        <w:t xml:space="preserve"> ili </w:t>
      </w:r>
      <w:r w:rsidR="00D70A36">
        <w:rPr>
          <w:rFonts w:asciiTheme="majorBidi" w:hAnsiTheme="majorBidi" w:cstheme="majorBidi"/>
          <w:szCs w:val="22"/>
        </w:rPr>
        <w:t xml:space="preserve">s </w:t>
      </w:r>
      <w:r w:rsidRPr="00F25CE6">
        <w:rPr>
          <w:rFonts w:asciiTheme="majorBidi" w:hAnsiTheme="majorBidi" w:cstheme="majorBidi"/>
          <w:szCs w:val="22"/>
        </w:rPr>
        <w:t>Ph+ ALL</w:t>
      </w:r>
      <w:r w:rsidR="00D70A36">
        <w:rPr>
          <w:rFonts w:asciiTheme="majorBidi" w:hAnsiTheme="majorBidi" w:cstheme="majorBidi"/>
          <w:szCs w:val="22"/>
        </w:rPr>
        <w:t>-om</w:t>
      </w:r>
      <w:r w:rsidRPr="00F25CE6">
        <w:rPr>
          <w:rFonts w:asciiTheme="majorBidi" w:hAnsiTheme="majorBidi" w:cstheme="majorBidi"/>
          <w:szCs w:val="22"/>
        </w:rPr>
        <w:t xml:space="preserve"> koji su otporni na imatinib ili ga ne podnose. Ukupno 48 bolesnika u limfoidnoj blastnoj fazi KML</w:t>
      </w:r>
      <w:r w:rsidR="00D70A36">
        <w:rPr>
          <w:rFonts w:asciiTheme="majorBidi" w:hAnsiTheme="majorBidi" w:cstheme="majorBidi"/>
          <w:szCs w:val="22"/>
        </w:rPr>
        <w:t>-a</w:t>
      </w:r>
      <w:r w:rsidRPr="00F25CE6">
        <w:rPr>
          <w:rFonts w:asciiTheme="majorBidi" w:hAnsiTheme="majorBidi" w:cstheme="majorBidi"/>
          <w:szCs w:val="22"/>
        </w:rPr>
        <w:t xml:space="preserve"> primilo je dasatinib u dozi 70 mg dvaput dnevno (42 s otpornošću na imatinib i 6 s nepodnošljivošću). Medijan vremena od dijagnoze do početka liječenja iznosio je</w:t>
      </w:r>
      <w:r w:rsidR="00C9686E">
        <w:rPr>
          <w:rFonts w:asciiTheme="majorBidi" w:hAnsiTheme="majorBidi" w:cstheme="majorBidi"/>
          <w:szCs w:val="22"/>
        </w:rPr>
        <w:t xml:space="preserve"> </w:t>
      </w:r>
      <w:r w:rsidRPr="00F25CE6">
        <w:rPr>
          <w:rFonts w:asciiTheme="majorBidi" w:hAnsiTheme="majorBidi" w:cstheme="majorBidi"/>
          <w:szCs w:val="22"/>
        </w:rPr>
        <w:t>28 mjeseci. Medijan trajanja liječenja dasatinibom iznosio je 3 mjeseca, s time da je do tada 2% bolesnika bilo liječeno &gt;</w:t>
      </w:r>
      <w:r w:rsidR="005854EA">
        <w:rPr>
          <w:rFonts w:asciiTheme="majorBidi" w:hAnsiTheme="majorBidi" w:cstheme="majorBidi"/>
          <w:szCs w:val="22"/>
        </w:rPr>
        <w:t> </w:t>
      </w:r>
      <w:r w:rsidRPr="00F25CE6">
        <w:rPr>
          <w:rFonts w:asciiTheme="majorBidi" w:hAnsiTheme="majorBidi" w:cstheme="majorBidi"/>
          <w:szCs w:val="22"/>
        </w:rPr>
        <w:t>24 mjeseca. Stopa značajnog molekularnog odgovora (sva 22 liječena bolesnika s potpunim citogenetskim odgovorom) iznosila je 50% nakon 24 mjeseca. Također,</w:t>
      </w:r>
      <w:r w:rsidR="00C9686E">
        <w:rPr>
          <w:rFonts w:asciiTheme="majorBidi" w:hAnsiTheme="majorBidi" w:cstheme="majorBidi"/>
          <w:szCs w:val="22"/>
        </w:rPr>
        <w:t xml:space="preserve"> </w:t>
      </w:r>
      <w:r w:rsidRPr="00F25CE6">
        <w:rPr>
          <w:rFonts w:asciiTheme="majorBidi" w:hAnsiTheme="majorBidi" w:cstheme="majorBidi"/>
          <w:szCs w:val="22"/>
        </w:rPr>
        <w:t>46 bolesnika s Ph+ ALL</w:t>
      </w:r>
      <w:r w:rsidR="00ED06BA">
        <w:rPr>
          <w:rFonts w:asciiTheme="majorBidi" w:hAnsiTheme="majorBidi" w:cstheme="majorBidi"/>
          <w:szCs w:val="22"/>
        </w:rPr>
        <w:t>-om</w:t>
      </w:r>
      <w:r w:rsidRPr="00F25CE6">
        <w:rPr>
          <w:rFonts w:asciiTheme="majorBidi" w:hAnsiTheme="majorBidi" w:cstheme="majorBidi"/>
          <w:szCs w:val="22"/>
        </w:rPr>
        <w:t xml:space="preserve"> primilo je dasatinib u dozi od 70 mg dvaput dnevno (44 s otpornošću i 2 s nepodnošljivošću imatiniba). Medijan vremena od dijagnoze do početka liječenja iznosio je 18 mjeseci. Medijan trajanja liječenja dasatinibom iznosio je 3 mjeseca s time da je do tada 7% bolesnika bilo liječeno &gt;</w:t>
      </w:r>
      <w:r w:rsidR="008B34FA">
        <w:rPr>
          <w:rFonts w:asciiTheme="majorBidi" w:hAnsiTheme="majorBidi" w:cstheme="majorBidi"/>
          <w:szCs w:val="22"/>
        </w:rPr>
        <w:t> </w:t>
      </w:r>
      <w:r w:rsidRPr="00F25CE6">
        <w:rPr>
          <w:rFonts w:asciiTheme="majorBidi" w:hAnsiTheme="majorBidi" w:cstheme="majorBidi"/>
          <w:szCs w:val="22"/>
        </w:rPr>
        <w:t xml:space="preserve">24 mjeseca. Stopa značajnog molekularnog odgovora (svih 25 liječenih bolesnika s potpunim citogenetskim odgovorom) iznosila je 52% nakon 24 mjeseca. Daljnji rezultati djelotvornosti prikazani su u Tablici 11. Valja napomenuti da se značajan hematološki odgovor (engl. </w:t>
      </w:r>
      <w:r w:rsidRPr="00F25CE6">
        <w:rPr>
          <w:rFonts w:asciiTheme="majorBidi" w:hAnsiTheme="majorBidi" w:cstheme="majorBidi"/>
          <w:i/>
          <w:szCs w:val="22"/>
        </w:rPr>
        <w:t>major hematologic response</w:t>
      </w:r>
      <w:r w:rsidRPr="00F25CE6">
        <w:rPr>
          <w:rFonts w:asciiTheme="majorBidi" w:hAnsiTheme="majorBidi" w:cstheme="majorBidi"/>
          <w:szCs w:val="22"/>
        </w:rPr>
        <w:t>, MaHR) brzo dostigao (uglavnom unutar 35 dana od prve primjene dasatiniba u bolesnika s KML</w:t>
      </w:r>
      <w:r w:rsidR="00D70A36">
        <w:rPr>
          <w:rFonts w:asciiTheme="majorBidi" w:hAnsiTheme="majorBidi" w:cstheme="majorBidi"/>
          <w:szCs w:val="22"/>
        </w:rPr>
        <w:t>-om</w:t>
      </w:r>
      <w:r w:rsidRPr="00F25CE6">
        <w:rPr>
          <w:rFonts w:asciiTheme="majorBidi" w:hAnsiTheme="majorBidi" w:cstheme="majorBidi"/>
          <w:szCs w:val="22"/>
        </w:rPr>
        <w:t xml:space="preserve"> u limfocitnoj blastnoj krizi te unutar 55 dana u bolesnika s Ph+ ALL</w:t>
      </w:r>
      <w:r w:rsidR="00446CFB">
        <w:rPr>
          <w:rFonts w:asciiTheme="majorBidi" w:hAnsiTheme="majorBidi" w:cstheme="majorBidi"/>
          <w:szCs w:val="22"/>
        </w:rPr>
        <w:t>-om</w:t>
      </w:r>
      <w:r w:rsidRPr="00F25CE6">
        <w:rPr>
          <w:rFonts w:asciiTheme="majorBidi" w:hAnsiTheme="majorBidi" w:cstheme="majorBidi"/>
          <w:szCs w:val="22"/>
        </w:rPr>
        <w:t>).</w:t>
      </w:r>
    </w:p>
    <w:p w14:paraId="3AAE85A9" w14:textId="77777777" w:rsidR="00A15E8A" w:rsidRPr="00F25CE6" w:rsidRDefault="00A15E8A" w:rsidP="00F25CE6">
      <w:pPr>
        <w:widowControl/>
        <w:rPr>
          <w:rFonts w:asciiTheme="majorBidi" w:hAnsiTheme="majorBidi" w:cstheme="majorBidi"/>
        </w:rPr>
      </w:pPr>
    </w:p>
    <w:p w14:paraId="544A7444" w14:textId="208C52A9" w:rsidR="00891B95" w:rsidRPr="00F25CE6" w:rsidRDefault="00891B95" w:rsidP="00F25CE6">
      <w:pPr>
        <w:pStyle w:val="BodyText"/>
        <w:widowControl/>
        <w:rPr>
          <w:rFonts w:asciiTheme="majorBidi" w:hAnsiTheme="majorBidi" w:cstheme="majorBidi"/>
          <w:b/>
          <w:szCs w:val="22"/>
        </w:rPr>
      </w:pPr>
      <w:r w:rsidRPr="00F25CE6">
        <w:rPr>
          <w:rFonts w:asciiTheme="majorBidi" w:hAnsiTheme="majorBidi" w:cstheme="majorBidi"/>
          <w:b/>
          <w:szCs w:val="22"/>
        </w:rPr>
        <w:t xml:space="preserve">Tablica 11:Djelotvornost </w:t>
      </w:r>
      <w:r w:rsidR="004E17E6">
        <w:rPr>
          <w:rFonts w:asciiTheme="majorBidi" w:hAnsiTheme="majorBidi" w:cstheme="majorBidi"/>
          <w:b/>
          <w:szCs w:val="22"/>
        </w:rPr>
        <w:t>dasatiniba</w:t>
      </w:r>
      <w:r w:rsidRPr="00F25CE6">
        <w:rPr>
          <w:rFonts w:asciiTheme="majorBidi" w:hAnsiTheme="majorBidi" w:cstheme="majorBidi"/>
          <w:b/>
          <w:szCs w:val="22"/>
        </w:rPr>
        <w:t xml:space="preserve"> u kliničkim ispitivanjima faze II s jednom skupinom</w:t>
      </w:r>
      <w:r w:rsidRPr="00C9686E">
        <w:rPr>
          <w:rFonts w:asciiTheme="majorBidi" w:hAnsiTheme="majorBidi" w:cstheme="majorBidi"/>
          <w:b/>
          <w:szCs w:val="22"/>
          <w:vertAlign w:val="superscript"/>
        </w:rPr>
        <w:t>a</w:t>
      </w:r>
    </w:p>
    <w:tbl>
      <w:tblPr>
        <w:tblW w:w="9072" w:type="dxa"/>
        <w:tblInd w:w="58" w:type="dxa"/>
        <w:tblLayout w:type="fixed"/>
        <w:tblCellMar>
          <w:top w:w="14" w:type="dxa"/>
          <w:left w:w="58" w:type="dxa"/>
          <w:bottom w:w="14" w:type="dxa"/>
          <w:right w:w="58" w:type="dxa"/>
        </w:tblCellMar>
        <w:tblLook w:val="01E0" w:firstRow="1" w:lastRow="1" w:firstColumn="1" w:lastColumn="1" w:noHBand="0" w:noVBand="0"/>
      </w:tblPr>
      <w:tblGrid>
        <w:gridCol w:w="2028"/>
        <w:gridCol w:w="1465"/>
        <w:gridCol w:w="1393"/>
        <w:gridCol w:w="1394"/>
        <w:gridCol w:w="1395"/>
        <w:gridCol w:w="1397"/>
      </w:tblGrid>
      <w:tr w:rsidR="00C9686E" w:rsidRPr="008433BC" w14:paraId="6CEC06F5" w14:textId="77777777" w:rsidTr="00396A82">
        <w:trPr>
          <w:trHeight w:val="20"/>
        </w:trPr>
        <w:tc>
          <w:tcPr>
            <w:tcW w:w="2028" w:type="dxa"/>
            <w:tcBorders>
              <w:top w:val="single" w:sz="4" w:space="0" w:color="auto"/>
              <w:bottom w:val="single" w:sz="4" w:space="0" w:color="auto"/>
            </w:tcBorders>
            <w:vAlign w:val="center"/>
          </w:tcPr>
          <w:p w14:paraId="475B46AB" w14:textId="77777777" w:rsidR="00C9686E" w:rsidRPr="008433BC" w:rsidRDefault="00C9686E" w:rsidP="00396A82">
            <w:pPr>
              <w:pStyle w:val="TableParagraph"/>
              <w:jc w:val="center"/>
            </w:pPr>
          </w:p>
        </w:tc>
        <w:tc>
          <w:tcPr>
            <w:tcW w:w="1465" w:type="dxa"/>
            <w:tcBorders>
              <w:top w:val="single" w:sz="4" w:space="0" w:color="auto"/>
              <w:bottom w:val="single" w:sz="4" w:space="0" w:color="auto"/>
            </w:tcBorders>
            <w:vAlign w:val="bottom"/>
          </w:tcPr>
          <w:p w14:paraId="13B2F287" w14:textId="77777777" w:rsidR="00C9686E" w:rsidRPr="008433BC" w:rsidRDefault="00C9686E" w:rsidP="00396A82">
            <w:pPr>
              <w:widowControl/>
              <w:adjustRightInd w:val="0"/>
              <w:jc w:val="center"/>
              <w:rPr>
                <w:rFonts w:eastAsia="TimesNewRomanPS-BoldMT"/>
                <w:b/>
                <w:bCs/>
                <w:szCs w:val="21"/>
                <w:lang w:val="en-US" w:eastAsia="ko-KR"/>
              </w:rPr>
            </w:pPr>
            <w:proofErr w:type="spellStart"/>
            <w:r w:rsidRPr="008433BC">
              <w:rPr>
                <w:rFonts w:eastAsia="TimesNewRomanPS-BoldMT"/>
                <w:b/>
                <w:bCs/>
                <w:szCs w:val="21"/>
                <w:lang w:val="en-US" w:eastAsia="ko-KR"/>
              </w:rPr>
              <w:t>kroni</w:t>
            </w:r>
            <w:r w:rsidRPr="008433BC">
              <w:rPr>
                <w:rFonts w:eastAsia="TimesNewRomanPS-BoldMT" w:hint="eastAsia"/>
                <w:b/>
                <w:bCs/>
                <w:szCs w:val="21"/>
                <w:lang w:val="en-US" w:eastAsia="ko-KR"/>
              </w:rPr>
              <w:t>č</w:t>
            </w:r>
            <w:r w:rsidRPr="008433BC">
              <w:rPr>
                <w:rFonts w:eastAsia="TimesNewRomanPS-BoldMT"/>
                <w:b/>
                <w:bCs/>
                <w:szCs w:val="21"/>
                <w:lang w:val="en-US" w:eastAsia="ko-KR"/>
              </w:rPr>
              <w:t>na</w:t>
            </w:r>
            <w:proofErr w:type="spellEnd"/>
          </w:p>
          <w:p w14:paraId="530EE7CE" w14:textId="082491DE" w:rsidR="00C9686E" w:rsidRPr="008433BC" w:rsidRDefault="00C9686E" w:rsidP="00396A82">
            <w:pPr>
              <w:pStyle w:val="TableParagraph"/>
              <w:tabs>
                <w:tab w:val="left" w:pos="2032"/>
              </w:tabs>
              <w:jc w:val="center"/>
            </w:pPr>
            <w:r w:rsidRPr="008433BC">
              <w:rPr>
                <w:rFonts w:eastAsia="TimesNewRomanPS-BoldMT"/>
                <w:b/>
                <w:bCs/>
                <w:szCs w:val="21"/>
                <w:lang w:val="en-US" w:eastAsia="ko-KR"/>
              </w:rPr>
              <w:t>(n</w:t>
            </w:r>
            <w:r w:rsidR="006268ED">
              <w:rPr>
                <w:rFonts w:eastAsia="TimesNewRomanPS-BoldMT"/>
                <w:b/>
                <w:bCs/>
                <w:szCs w:val="21"/>
                <w:lang w:val="en-US" w:eastAsia="ko-KR"/>
              </w:rPr>
              <w:t> </w:t>
            </w:r>
            <w:r w:rsidRPr="008433BC">
              <w:rPr>
                <w:rFonts w:eastAsia="TimesNewRomanPS-BoldMT"/>
                <w:b/>
                <w:bCs/>
                <w:szCs w:val="21"/>
                <w:lang w:val="en-US" w:eastAsia="ko-KR"/>
              </w:rPr>
              <w:t>= 387)</w:t>
            </w:r>
          </w:p>
        </w:tc>
        <w:tc>
          <w:tcPr>
            <w:tcW w:w="1393" w:type="dxa"/>
            <w:tcBorders>
              <w:top w:val="single" w:sz="4" w:space="0" w:color="auto"/>
              <w:bottom w:val="single" w:sz="4" w:space="0" w:color="auto"/>
            </w:tcBorders>
            <w:vAlign w:val="bottom"/>
          </w:tcPr>
          <w:p w14:paraId="7DDF9D9A" w14:textId="77777777" w:rsidR="00C9686E" w:rsidRPr="008433BC" w:rsidRDefault="00C9686E" w:rsidP="00396A82">
            <w:pPr>
              <w:widowControl/>
              <w:adjustRightInd w:val="0"/>
              <w:jc w:val="center"/>
              <w:rPr>
                <w:rFonts w:eastAsia="TimesNewRomanPS-BoldMT"/>
                <w:b/>
                <w:bCs/>
                <w:szCs w:val="21"/>
                <w:lang w:val="en-US" w:eastAsia="ko-KR"/>
              </w:rPr>
            </w:pPr>
            <w:proofErr w:type="spellStart"/>
            <w:r w:rsidRPr="008433BC">
              <w:rPr>
                <w:rFonts w:eastAsia="TimesNewRomanPS-BoldMT"/>
                <w:b/>
                <w:bCs/>
                <w:szCs w:val="21"/>
                <w:lang w:val="en-US" w:eastAsia="ko-KR"/>
              </w:rPr>
              <w:t>ubrzanje</w:t>
            </w:r>
            <w:proofErr w:type="spellEnd"/>
          </w:p>
          <w:p w14:paraId="06AE2000" w14:textId="45823B8B" w:rsidR="00C9686E" w:rsidRPr="008433BC" w:rsidRDefault="00C9686E" w:rsidP="00396A82">
            <w:pPr>
              <w:pStyle w:val="TableParagraph"/>
              <w:jc w:val="center"/>
            </w:pPr>
            <w:r w:rsidRPr="008433BC">
              <w:rPr>
                <w:rFonts w:eastAsia="TimesNewRomanPS-BoldMT"/>
                <w:b/>
                <w:bCs/>
                <w:szCs w:val="21"/>
                <w:lang w:val="en-US" w:eastAsia="ko-KR"/>
              </w:rPr>
              <w:t>(n</w:t>
            </w:r>
            <w:r w:rsidR="006268ED">
              <w:rPr>
                <w:rFonts w:eastAsia="TimesNewRomanPS-BoldMT"/>
                <w:b/>
                <w:bCs/>
                <w:szCs w:val="21"/>
                <w:lang w:val="en-US" w:eastAsia="ko-KR"/>
              </w:rPr>
              <w:t> </w:t>
            </w:r>
            <w:r w:rsidRPr="008433BC">
              <w:rPr>
                <w:rFonts w:eastAsia="TimesNewRomanPS-BoldMT"/>
                <w:b/>
                <w:bCs/>
                <w:szCs w:val="21"/>
                <w:lang w:val="en-US" w:eastAsia="ko-KR"/>
              </w:rPr>
              <w:t>= 174)</w:t>
            </w:r>
          </w:p>
        </w:tc>
        <w:tc>
          <w:tcPr>
            <w:tcW w:w="1394" w:type="dxa"/>
            <w:tcBorders>
              <w:top w:val="single" w:sz="4" w:space="0" w:color="auto"/>
              <w:bottom w:val="single" w:sz="4" w:space="0" w:color="auto"/>
            </w:tcBorders>
            <w:vAlign w:val="bottom"/>
          </w:tcPr>
          <w:p w14:paraId="610E47A3" w14:textId="77777777" w:rsidR="00C9686E" w:rsidRPr="008433BC" w:rsidRDefault="00C9686E" w:rsidP="00396A82">
            <w:pPr>
              <w:widowControl/>
              <w:adjustRightInd w:val="0"/>
              <w:jc w:val="center"/>
              <w:rPr>
                <w:rFonts w:eastAsia="TimesNewRomanPS-BoldMT"/>
                <w:b/>
                <w:bCs/>
                <w:szCs w:val="21"/>
                <w:lang w:val="en-US" w:eastAsia="ko-KR"/>
              </w:rPr>
            </w:pPr>
            <w:proofErr w:type="spellStart"/>
            <w:r w:rsidRPr="008433BC">
              <w:rPr>
                <w:rFonts w:eastAsia="TimesNewRomanPS-BoldMT"/>
                <w:b/>
                <w:bCs/>
                <w:szCs w:val="21"/>
                <w:lang w:val="en-US" w:eastAsia="ko-KR"/>
              </w:rPr>
              <w:t>mijeloidna</w:t>
            </w:r>
            <w:proofErr w:type="spellEnd"/>
            <w:r>
              <w:rPr>
                <w:rFonts w:eastAsia="TimesNewRomanPS-BoldMT"/>
                <w:b/>
                <w:bCs/>
                <w:szCs w:val="21"/>
                <w:lang w:val="en-US" w:eastAsia="ko-KR"/>
              </w:rPr>
              <w:t xml:space="preserve"> </w:t>
            </w:r>
            <w:proofErr w:type="spellStart"/>
            <w:r w:rsidRPr="008433BC">
              <w:rPr>
                <w:rFonts w:eastAsia="TimesNewRomanPS-BoldMT"/>
                <w:b/>
                <w:bCs/>
                <w:szCs w:val="21"/>
                <w:lang w:val="en-US" w:eastAsia="ko-KR"/>
              </w:rPr>
              <w:t>blastna</w:t>
            </w:r>
            <w:proofErr w:type="spellEnd"/>
          </w:p>
          <w:p w14:paraId="7BDF156C" w14:textId="657507FB" w:rsidR="00C9686E" w:rsidRPr="008433BC" w:rsidRDefault="00C9686E" w:rsidP="00396A82">
            <w:pPr>
              <w:pStyle w:val="TableParagraph"/>
              <w:jc w:val="center"/>
            </w:pPr>
            <w:r w:rsidRPr="008433BC">
              <w:rPr>
                <w:rFonts w:eastAsia="TimesNewRomanPS-BoldMT"/>
                <w:b/>
                <w:bCs/>
                <w:szCs w:val="21"/>
                <w:lang w:val="en-US" w:eastAsia="ko-KR"/>
              </w:rPr>
              <w:t>(n</w:t>
            </w:r>
            <w:r w:rsidR="006268ED">
              <w:rPr>
                <w:rFonts w:eastAsia="TimesNewRomanPS-BoldMT"/>
                <w:b/>
                <w:bCs/>
                <w:szCs w:val="21"/>
                <w:lang w:val="en-US" w:eastAsia="ko-KR"/>
              </w:rPr>
              <w:t> </w:t>
            </w:r>
            <w:r w:rsidRPr="008433BC">
              <w:rPr>
                <w:rFonts w:eastAsia="TimesNewRomanPS-BoldMT"/>
                <w:b/>
                <w:bCs/>
                <w:szCs w:val="21"/>
                <w:lang w:val="en-US" w:eastAsia="ko-KR"/>
              </w:rPr>
              <w:t>= 109)</w:t>
            </w:r>
          </w:p>
        </w:tc>
        <w:tc>
          <w:tcPr>
            <w:tcW w:w="1395" w:type="dxa"/>
            <w:tcBorders>
              <w:top w:val="single" w:sz="4" w:space="0" w:color="auto"/>
              <w:bottom w:val="single" w:sz="4" w:space="0" w:color="auto"/>
            </w:tcBorders>
            <w:vAlign w:val="bottom"/>
          </w:tcPr>
          <w:p w14:paraId="3845CEF0" w14:textId="77777777" w:rsidR="00C9686E" w:rsidRPr="008433BC" w:rsidRDefault="00C9686E" w:rsidP="00396A82">
            <w:pPr>
              <w:widowControl/>
              <w:adjustRightInd w:val="0"/>
              <w:jc w:val="center"/>
              <w:rPr>
                <w:rFonts w:eastAsia="TimesNewRomanPS-BoldMT"/>
                <w:b/>
                <w:bCs/>
                <w:szCs w:val="21"/>
                <w:lang w:val="en-US" w:eastAsia="ko-KR"/>
              </w:rPr>
            </w:pPr>
            <w:proofErr w:type="spellStart"/>
            <w:r w:rsidRPr="008433BC">
              <w:rPr>
                <w:rFonts w:eastAsia="TimesNewRomanPS-BoldMT"/>
                <w:b/>
                <w:bCs/>
                <w:szCs w:val="21"/>
                <w:lang w:val="en-US" w:eastAsia="ko-KR"/>
              </w:rPr>
              <w:t>limfoidna</w:t>
            </w:r>
            <w:proofErr w:type="spellEnd"/>
            <w:r>
              <w:rPr>
                <w:rFonts w:eastAsia="TimesNewRomanPS-BoldMT"/>
                <w:b/>
                <w:bCs/>
                <w:szCs w:val="21"/>
                <w:lang w:val="en-US" w:eastAsia="ko-KR"/>
              </w:rPr>
              <w:t xml:space="preserve"> </w:t>
            </w:r>
            <w:proofErr w:type="spellStart"/>
            <w:r w:rsidRPr="008433BC">
              <w:rPr>
                <w:rFonts w:eastAsia="TimesNewRomanPS-BoldMT"/>
                <w:b/>
                <w:bCs/>
                <w:szCs w:val="21"/>
                <w:lang w:val="en-US" w:eastAsia="ko-KR"/>
              </w:rPr>
              <w:t>blastna</w:t>
            </w:r>
            <w:proofErr w:type="spellEnd"/>
          </w:p>
          <w:p w14:paraId="6920AD05" w14:textId="50557310" w:rsidR="00C9686E" w:rsidRPr="008433BC" w:rsidRDefault="00C9686E" w:rsidP="00C9686E">
            <w:pPr>
              <w:pStyle w:val="TableParagraph"/>
              <w:jc w:val="center"/>
            </w:pPr>
            <w:r w:rsidRPr="008433BC">
              <w:rPr>
                <w:rFonts w:eastAsia="TimesNewRomanPS-BoldMT"/>
                <w:b/>
                <w:bCs/>
                <w:szCs w:val="21"/>
                <w:lang w:val="en-US" w:eastAsia="ko-KR"/>
              </w:rPr>
              <w:t>(n</w:t>
            </w:r>
            <w:r w:rsidR="006268ED">
              <w:rPr>
                <w:rFonts w:eastAsia="TimesNewRomanPS-BoldMT"/>
                <w:b/>
                <w:bCs/>
                <w:szCs w:val="21"/>
                <w:lang w:val="en-US" w:eastAsia="ko-KR"/>
              </w:rPr>
              <w:t> </w:t>
            </w:r>
            <w:r w:rsidRPr="008433BC">
              <w:rPr>
                <w:rFonts w:eastAsia="TimesNewRomanPS-BoldMT"/>
                <w:b/>
                <w:bCs/>
                <w:szCs w:val="21"/>
                <w:lang w:val="en-US" w:eastAsia="ko-KR"/>
              </w:rPr>
              <w:t>= 48)</w:t>
            </w:r>
          </w:p>
        </w:tc>
        <w:tc>
          <w:tcPr>
            <w:tcW w:w="1397" w:type="dxa"/>
            <w:tcBorders>
              <w:top w:val="single" w:sz="4" w:space="0" w:color="auto"/>
              <w:bottom w:val="single" w:sz="4" w:space="0" w:color="auto"/>
            </w:tcBorders>
            <w:vAlign w:val="bottom"/>
          </w:tcPr>
          <w:p w14:paraId="259A7EDF"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Ph+ ALL</w:t>
            </w:r>
          </w:p>
          <w:p w14:paraId="3301F3A0" w14:textId="56C5CFC5" w:rsidR="00C9686E" w:rsidRPr="008433BC" w:rsidRDefault="00C9686E" w:rsidP="00396A82">
            <w:pPr>
              <w:pStyle w:val="TableParagraph"/>
              <w:jc w:val="center"/>
            </w:pPr>
            <w:r w:rsidRPr="008433BC">
              <w:rPr>
                <w:rFonts w:eastAsia="TimesNewRomanPS-BoldMT"/>
                <w:b/>
                <w:bCs/>
                <w:szCs w:val="21"/>
                <w:lang w:val="en-US" w:eastAsia="ko-KR"/>
              </w:rPr>
              <w:t>(n</w:t>
            </w:r>
            <w:r w:rsidR="006268ED">
              <w:rPr>
                <w:rFonts w:eastAsia="TimesNewRomanPS-BoldMT"/>
                <w:b/>
                <w:bCs/>
                <w:szCs w:val="21"/>
                <w:lang w:val="en-US" w:eastAsia="ko-KR"/>
              </w:rPr>
              <w:t> </w:t>
            </w:r>
            <w:r w:rsidRPr="008433BC">
              <w:rPr>
                <w:rFonts w:eastAsia="TimesNewRomanPS-BoldMT"/>
                <w:b/>
                <w:bCs/>
                <w:szCs w:val="21"/>
                <w:lang w:val="en-US" w:eastAsia="ko-KR"/>
              </w:rPr>
              <w:t>= 46)</w:t>
            </w:r>
          </w:p>
        </w:tc>
      </w:tr>
      <w:tr w:rsidR="00C9686E" w:rsidRPr="008433BC" w14:paraId="18F6A314" w14:textId="77777777" w:rsidTr="00396A82">
        <w:trPr>
          <w:trHeight w:val="20"/>
        </w:trPr>
        <w:tc>
          <w:tcPr>
            <w:tcW w:w="9072" w:type="dxa"/>
            <w:gridSpan w:val="6"/>
            <w:tcBorders>
              <w:top w:val="single" w:sz="4" w:space="0" w:color="auto"/>
              <w:bottom w:val="single" w:sz="4" w:space="0" w:color="auto"/>
            </w:tcBorders>
            <w:vAlign w:val="center"/>
          </w:tcPr>
          <w:p w14:paraId="35D3C9EF" w14:textId="77777777" w:rsidR="00C9686E" w:rsidRPr="008433BC" w:rsidRDefault="00C9686E" w:rsidP="00396A82">
            <w:pPr>
              <w:pStyle w:val="TableParagraph"/>
            </w:pPr>
            <w:r w:rsidRPr="008433BC">
              <w:rPr>
                <w:rFonts w:eastAsia="TimesNewRomanPS-BoldMT"/>
                <w:b/>
                <w:bCs/>
                <w:szCs w:val="21"/>
                <w:lang w:val="en-US" w:eastAsia="ko-KR"/>
              </w:rPr>
              <w:t xml:space="preserve">Stopa </w:t>
            </w:r>
            <w:proofErr w:type="spellStart"/>
            <w:r w:rsidRPr="008433BC">
              <w:rPr>
                <w:rFonts w:eastAsia="TimesNewRomanPS-BoldMT"/>
                <w:b/>
                <w:bCs/>
                <w:szCs w:val="21"/>
                <w:lang w:val="en-US" w:eastAsia="ko-KR"/>
              </w:rPr>
              <w:t>hematolo</w:t>
            </w:r>
            <w:r w:rsidRPr="008433BC">
              <w:rPr>
                <w:rFonts w:eastAsia="TimesNewRomanPS-BoldMT" w:hint="eastAsia"/>
                <w:b/>
                <w:bCs/>
                <w:szCs w:val="21"/>
                <w:lang w:val="en-US" w:eastAsia="ko-KR"/>
              </w:rPr>
              <w:t>š</w:t>
            </w:r>
            <w:r w:rsidRPr="008433BC">
              <w:rPr>
                <w:rFonts w:eastAsia="TimesNewRomanPS-BoldMT"/>
                <w:b/>
                <w:bCs/>
                <w:szCs w:val="21"/>
                <w:lang w:val="en-US" w:eastAsia="ko-KR"/>
              </w:rPr>
              <w:t>kog</w:t>
            </w:r>
            <w:proofErr w:type="spellEnd"/>
            <w:r w:rsidRPr="008433BC">
              <w:rPr>
                <w:rFonts w:eastAsia="TimesNewRomanPS-BoldMT"/>
                <w:b/>
                <w:bCs/>
                <w:szCs w:val="21"/>
                <w:lang w:val="en-US" w:eastAsia="ko-KR"/>
              </w:rPr>
              <w:t xml:space="preserve"> </w:t>
            </w:r>
            <w:proofErr w:type="spellStart"/>
            <w:r w:rsidRPr="008433BC">
              <w:rPr>
                <w:rFonts w:eastAsia="TimesNewRomanPS-BoldMT"/>
                <w:b/>
                <w:bCs/>
                <w:szCs w:val="21"/>
                <w:lang w:val="en-US" w:eastAsia="ko-KR"/>
              </w:rPr>
              <w:t>odgovora</w:t>
            </w:r>
            <w:r w:rsidRPr="008433BC">
              <w:rPr>
                <w:rFonts w:eastAsia="TimesNewRomanPS-BoldMT"/>
                <w:b/>
                <w:bCs/>
                <w:szCs w:val="17"/>
                <w:vertAlign w:val="superscript"/>
                <w:lang w:val="en-US" w:eastAsia="ko-KR"/>
              </w:rPr>
              <w:t>b</w:t>
            </w:r>
            <w:proofErr w:type="spellEnd"/>
            <w:r w:rsidRPr="008433BC">
              <w:rPr>
                <w:rFonts w:eastAsia="TimesNewRomanPS-BoldMT"/>
                <w:b/>
                <w:bCs/>
                <w:szCs w:val="17"/>
                <w:lang w:val="en-US" w:eastAsia="ko-KR"/>
              </w:rPr>
              <w:t xml:space="preserve"> </w:t>
            </w:r>
            <w:r w:rsidRPr="008433BC">
              <w:rPr>
                <w:rFonts w:eastAsia="TimesNewRomanPS-BoldMT"/>
                <w:b/>
                <w:bCs/>
                <w:szCs w:val="21"/>
                <w:lang w:val="en-US" w:eastAsia="ko-KR"/>
              </w:rPr>
              <w:t>(%)</w:t>
            </w:r>
          </w:p>
        </w:tc>
      </w:tr>
      <w:tr w:rsidR="00C9686E" w:rsidRPr="008433BC" w14:paraId="22D30272" w14:textId="77777777" w:rsidTr="00396A82">
        <w:trPr>
          <w:trHeight w:val="20"/>
        </w:trPr>
        <w:tc>
          <w:tcPr>
            <w:tcW w:w="2028" w:type="dxa"/>
            <w:tcBorders>
              <w:top w:val="single" w:sz="4" w:space="0" w:color="auto"/>
            </w:tcBorders>
            <w:vAlign w:val="center"/>
          </w:tcPr>
          <w:p w14:paraId="48DAF428" w14:textId="77777777" w:rsidR="00C9686E" w:rsidRPr="008433BC" w:rsidRDefault="00C9686E" w:rsidP="002C3132">
            <w:pPr>
              <w:pStyle w:val="TableParagraph"/>
              <w:jc w:val="center"/>
            </w:pPr>
            <w:proofErr w:type="spellStart"/>
            <w:r w:rsidRPr="008433BC">
              <w:rPr>
                <w:rFonts w:eastAsia="TimesNewRomanPSMT"/>
                <w:szCs w:val="21"/>
                <w:lang w:val="en-US" w:eastAsia="ko-KR"/>
              </w:rPr>
              <w:t>Zna</w:t>
            </w:r>
            <w:r w:rsidRPr="008433BC">
              <w:rPr>
                <w:rFonts w:eastAsia="TimesNewRomanPSMT" w:hint="eastAsia"/>
                <w:szCs w:val="21"/>
                <w:lang w:val="en-US" w:eastAsia="ko-KR"/>
              </w:rPr>
              <w:t>č</w:t>
            </w:r>
            <w:r w:rsidRPr="008433BC">
              <w:rPr>
                <w:rFonts w:eastAsia="TimesNewRomanPSMT"/>
                <w:szCs w:val="21"/>
                <w:lang w:val="en-US" w:eastAsia="ko-KR"/>
              </w:rPr>
              <w:t>ajan</w:t>
            </w:r>
            <w:proofErr w:type="spellEnd"/>
            <w:r w:rsidRPr="008433BC">
              <w:rPr>
                <w:rFonts w:eastAsia="TimesNewRomanPSMT"/>
                <w:szCs w:val="21"/>
                <w:lang w:val="en-US" w:eastAsia="ko-KR"/>
              </w:rPr>
              <w:t xml:space="preserve"> (95% CI)</w:t>
            </w:r>
          </w:p>
        </w:tc>
        <w:tc>
          <w:tcPr>
            <w:tcW w:w="1465" w:type="dxa"/>
            <w:tcBorders>
              <w:top w:val="single" w:sz="4" w:space="0" w:color="auto"/>
            </w:tcBorders>
            <w:vAlign w:val="center"/>
          </w:tcPr>
          <w:p w14:paraId="12D57DB9" w14:textId="77777777" w:rsidR="00C9686E" w:rsidRPr="008433BC" w:rsidRDefault="00C9686E" w:rsidP="00396A82">
            <w:pPr>
              <w:pStyle w:val="TableParagraph"/>
              <w:tabs>
                <w:tab w:val="left" w:pos="2032"/>
              </w:tabs>
              <w:jc w:val="center"/>
            </w:pPr>
            <w:r w:rsidRPr="008433BC">
              <w:rPr>
                <w:rFonts w:eastAsia="TimesNewRomanPSMT"/>
                <w:szCs w:val="21"/>
                <w:lang w:val="en-US" w:eastAsia="ko-KR"/>
              </w:rPr>
              <w:t>n/p</w:t>
            </w:r>
          </w:p>
        </w:tc>
        <w:tc>
          <w:tcPr>
            <w:tcW w:w="1393" w:type="dxa"/>
            <w:tcBorders>
              <w:top w:val="single" w:sz="4" w:space="0" w:color="auto"/>
            </w:tcBorders>
            <w:vAlign w:val="center"/>
          </w:tcPr>
          <w:p w14:paraId="2344D7DC"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64%</w:t>
            </w:r>
          </w:p>
          <w:p w14:paraId="2319C87F" w14:textId="6063CF8A" w:rsidR="00C9686E" w:rsidRPr="008433BC" w:rsidRDefault="00C9686E" w:rsidP="00396A82">
            <w:pPr>
              <w:pStyle w:val="TableParagraph"/>
              <w:jc w:val="center"/>
            </w:pPr>
            <w:r w:rsidRPr="008433BC">
              <w:rPr>
                <w:rFonts w:eastAsia="TimesNewRomanPS-BoldMT"/>
                <w:b/>
                <w:bCs/>
                <w:szCs w:val="21"/>
                <w:lang w:val="en-US" w:eastAsia="ko-KR"/>
              </w:rPr>
              <w:t>(57</w:t>
            </w:r>
            <w:r w:rsidR="006268ED">
              <w:t>–</w:t>
            </w:r>
            <w:r w:rsidRPr="008433BC">
              <w:rPr>
                <w:rFonts w:eastAsia="TimesNewRomanPS-BoldMT"/>
                <w:b/>
                <w:bCs/>
                <w:szCs w:val="21"/>
                <w:lang w:val="en-US" w:eastAsia="ko-KR"/>
              </w:rPr>
              <w:t>72)</w:t>
            </w:r>
          </w:p>
        </w:tc>
        <w:tc>
          <w:tcPr>
            <w:tcW w:w="1394" w:type="dxa"/>
            <w:tcBorders>
              <w:top w:val="single" w:sz="4" w:space="0" w:color="auto"/>
            </w:tcBorders>
            <w:vAlign w:val="center"/>
          </w:tcPr>
          <w:p w14:paraId="2F2D851B"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33%</w:t>
            </w:r>
          </w:p>
          <w:p w14:paraId="005835E7" w14:textId="701DC17D" w:rsidR="00C9686E" w:rsidRPr="008433BC" w:rsidRDefault="00C9686E" w:rsidP="00396A82">
            <w:pPr>
              <w:pStyle w:val="TableParagraph"/>
              <w:jc w:val="center"/>
            </w:pPr>
            <w:r w:rsidRPr="008433BC">
              <w:rPr>
                <w:rFonts w:eastAsia="TimesNewRomanPS-BoldMT"/>
                <w:b/>
                <w:bCs/>
                <w:szCs w:val="21"/>
                <w:lang w:val="en-US" w:eastAsia="ko-KR"/>
              </w:rPr>
              <w:t>(24</w:t>
            </w:r>
            <w:r w:rsidR="006268ED">
              <w:t>–</w:t>
            </w:r>
            <w:r w:rsidRPr="008433BC">
              <w:rPr>
                <w:rFonts w:eastAsia="TimesNewRomanPS-BoldMT"/>
                <w:b/>
                <w:bCs/>
                <w:szCs w:val="21"/>
                <w:lang w:val="en-US" w:eastAsia="ko-KR"/>
              </w:rPr>
              <w:t>43)</w:t>
            </w:r>
          </w:p>
        </w:tc>
        <w:tc>
          <w:tcPr>
            <w:tcW w:w="1395" w:type="dxa"/>
            <w:tcBorders>
              <w:top w:val="single" w:sz="4" w:space="0" w:color="auto"/>
            </w:tcBorders>
            <w:vAlign w:val="center"/>
          </w:tcPr>
          <w:p w14:paraId="53189145"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35%</w:t>
            </w:r>
          </w:p>
          <w:p w14:paraId="7089E04D" w14:textId="4094C8E1" w:rsidR="00C9686E" w:rsidRPr="008433BC" w:rsidRDefault="00C9686E" w:rsidP="00396A82">
            <w:pPr>
              <w:pStyle w:val="TableParagraph"/>
              <w:jc w:val="center"/>
            </w:pPr>
            <w:r w:rsidRPr="008433BC">
              <w:rPr>
                <w:rFonts w:eastAsia="TimesNewRomanPS-BoldMT"/>
                <w:b/>
                <w:bCs/>
                <w:szCs w:val="21"/>
                <w:lang w:val="en-US" w:eastAsia="ko-KR"/>
              </w:rPr>
              <w:t>(22</w:t>
            </w:r>
            <w:r w:rsidR="006268ED">
              <w:t>–</w:t>
            </w:r>
            <w:r w:rsidRPr="008433BC">
              <w:rPr>
                <w:rFonts w:eastAsia="TimesNewRomanPS-BoldMT"/>
                <w:b/>
                <w:bCs/>
                <w:szCs w:val="21"/>
                <w:lang w:val="en-US" w:eastAsia="ko-KR"/>
              </w:rPr>
              <w:t>51)</w:t>
            </w:r>
          </w:p>
        </w:tc>
        <w:tc>
          <w:tcPr>
            <w:tcW w:w="1397" w:type="dxa"/>
            <w:tcBorders>
              <w:top w:val="single" w:sz="4" w:space="0" w:color="auto"/>
            </w:tcBorders>
            <w:vAlign w:val="center"/>
          </w:tcPr>
          <w:p w14:paraId="746EE933"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41%</w:t>
            </w:r>
          </w:p>
          <w:p w14:paraId="5DF533D9" w14:textId="26EB2BF1" w:rsidR="00C9686E" w:rsidRPr="008433BC" w:rsidRDefault="00C9686E" w:rsidP="00396A82">
            <w:pPr>
              <w:pStyle w:val="TableParagraph"/>
              <w:jc w:val="center"/>
            </w:pPr>
            <w:r w:rsidRPr="008433BC">
              <w:rPr>
                <w:rFonts w:eastAsia="TimesNewRomanPS-BoldMT"/>
                <w:b/>
                <w:bCs/>
                <w:szCs w:val="21"/>
                <w:lang w:val="en-US" w:eastAsia="ko-KR"/>
              </w:rPr>
              <w:t>(27</w:t>
            </w:r>
            <w:r w:rsidR="006268ED">
              <w:t>–</w:t>
            </w:r>
            <w:r w:rsidRPr="008433BC">
              <w:rPr>
                <w:rFonts w:eastAsia="TimesNewRomanPS-BoldMT"/>
                <w:b/>
                <w:bCs/>
                <w:szCs w:val="21"/>
                <w:lang w:val="en-US" w:eastAsia="ko-KR"/>
              </w:rPr>
              <w:t>57)</w:t>
            </w:r>
          </w:p>
        </w:tc>
      </w:tr>
      <w:tr w:rsidR="00C9686E" w:rsidRPr="008433BC" w14:paraId="731F3649" w14:textId="77777777" w:rsidTr="00396A82">
        <w:trPr>
          <w:trHeight w:val="20"/>
        </w:trPr>
        <w:tc>
          <w:tcPr>
            <w:tcW w:w="2028" w:type="dxa"/>
            <w:vAlign w:val="center"/>
          </w:tcPr>
          <w:p w14:paraId="14119780" w14:textId="77777777" w:rsidR="00C9686E" w:rsidRPr="008433BC" w:rsidRDefault="00C9686E" w:rsidP="002C3132">
            <w:pPr>
              <w:pStyle w:val="TableParagraph"/>
              <w:ind w:right="72" w:firstLine="360"/>
              <w:jc w:val="center"/>
            </w:pPr>
            <w:proofErr w:type="spellStart"/>
            <w:r w:rsidRPr="008433BC">
              <w:rPr>
                <w:rFonts w:eastAsia="TimesNewRomanPSMT"/>
                <w:szCs w:val="21"/>
                <w:lang w:val="en-US" w:eastAsia="ko-KR"/>
              </w:rPr>
              <w:t>Potpun</w:t>
            </w:r>
            <w:proofErr w:type="spellEnd"/>
            <w:r w:rsidRPr="008433BC">
              <w:rPr>
                <w:rFonts w:eastAsia="TimesNewRomanPSMT"/>
                <w:szCs w:val="21"/>
                <w:lang w:val="en-US" w:eastAsia="ko-KR"/>
              </w:rPr>
              <w:t xml:space="preserve"> (95% CI)</w:t>
            </w:r>
          </w:p>
        </w:tc>
        <w:tc>
          <w:tcPr>
            <w:tcW w:w="1465" w:type="dxa"/>
            <w:vAlign w:val="center"/>
          </w:tcPr>
          <w:p w14:paraId="01EDB2F1"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91%</w:t>
            </w:r>
          </w:p>
          <w:p w14:paraId="16F665D3" w14:textId="27018BFA" w:rsidR="00C9686E" w:rsidRPr="008433BC" w:rsidRDefault="00C9686E" w:rsidP="00396A82">
            <w:pPr>
              <w:pStyle w:val="TableParagraph"/>
              <w:tabs>
                <w:tab w:val="left" w:pos="2032"/>
              </w:tabs>
              <w:jc w:val="center"/>
            </w:pPr>
            <w:r w:rsidRPr="008433BC">
              <w:rPr>
                <w:rFonts w:eastAsia="TimesNewRomanPS-BoldMT"/>
                <w:b/>
                <w:bCs/>
                <w:szCs w:val="21"/>
                <w:lang w:val="en-US" w:eastAsia="ko-KR"/>
              </w:rPr>
              <w:t>(88</w:t>
            </w:r>
            <w:r w:rsidR="006268ED" w:rsidRPr="0031614A">
              <w:rPr>
                <w:b/>
              </w:rPr>
              <w:t>–</w:t>
            </w:r>
            <w:r w:rsidRPr="008433BC">
              <w:rPr>
                <w:rFonts w:eastAsia="TimesNewRomanPS-BoldMT"/>
                <w:b/>
                <w:bCs/>
                <w:szCs w:val="21"/>
                <w:lang w:val="en-US" w:eastAsia="ko-KR"/>
              </w:rPr>
              <w:t>94)</w:t>
            </w:r>
          </w:p>
        </w:tc>
        <w:tc>
          <w:tcPr>
            <w:tcW w:w="1393" w:type="dxa"/>
            <w:vAlign w:val="center"/>
          </w:tcPr>
          <w:p w14:paraId="05AD11D2" w14:textId="0163BDFB" w:rsidR="00C9686E" w:rsidRPr="008433BC" w:rsidRDefault="00C9686E" w:rsidP="00396A82">
            <w:pPr>
              <w:pStyle w:val="TableParagraph"/>
              <w:jc w:val="center"/>
            </w:pPr>
            <w:r w:rsidRPr="008433BC">
              <w:rPr>
                <w:rFonts w:eastAsia="TimesNewRomanPSMT"/>
                <w:szCs w:val="21"/>
                <w:lang w:val="en-US" w:eastAsia="ko-KR"/>
              </w:rPr>
              <w:t>50% (42</w:t>
            </w:r>
            <w:r w:rsidR="006268ED">
              <w:t>–</w:t>
            </w:r>
            <w:r w:rsidRPr="008433BC">
              <w:rPr>
                <w:rFonts w:eastAsia="TimesNewRomanPSMT"/>
                <w:szCs w:val="21"/>
                <w:lang w:val="en-US" w:eastAsia="ko-KR"/>
              </w:rPr>
              <w:t>58)</w:t>
            </w:r>
          </w:p>
        </w:tc>
        <w:tc>
          <w:tcPr>
            <w:tcW w:w="1394" w:type="dxa"/>
            <w:vAlign w:val="center"/>
          </w:tcPr>
          <w:p w14:paraId="5B915850" w14:textId="6A7BF696" w:rsidR="00C9686E" w:rsidRPr="008433BC" w:rsidRDefault="00C9686E" w:rsidP="00396A82">
            <w:pPr>
              <w:pStyle w:val="TableParagraph"/>
              <w:jc w:val="center"/>
            </w:pPr>
            <w:r w:rsidRPr="008433BC">
              <w:rPr>
                <w:rFonts w:eastAsia="TimesNewRomanPSMT"/>
                <w:szCs w:val="21"/>
                <w:lang w:val="en-US" w:eastAsia="ko-KR"/>
              </w:rPr>
              <w:t>26% (18</w:t>
            </w:r>
            <w:r w:rsidR="006268ED">
              <w:t>–</w:t>
            </w:r>
            <w:r w:rsidRPr="008433BC">
              <w:rPr>
                <w:rFonts w:eastAsia="TimesNewRomanPSMT"/>
                <w:szCs w:val="21"/>
                <w:lang w:val="en-US" w:eastAsia="ko-KR"/>
              </w:rPr>
              <w:t>35)</w:t>
            </w:r>
          </w:p>
        </w:tc>
        <w:tc>
          <w:tcPr>
            <w:tcW w:w="1395" w:type="dxa"/>
            <w:vAlign w:val="center"/>
          </w:tcPr>
          <w:p w14:paraId="71F5E9A6" w14:textId="30AFBF5F" w:rsidR="00C9686E" w:rsidRPr="008433BC" w:rsidRDefault="00C9686E" w:rsidP="00396A82">
            <w:pPr>
              <w:pStyle w:val="TableParagraph"/>
              <w:jc w:val="center"/>
            </w:pPr>
            <w:r w:rsidRPr="008433BC">
              <w:rPr>
                <w:rFonts w:eastAsia="TimesNewRomanPSMT"/>
                <w:szCs w:val="21"/>
                <w:lang w:val="en-US" w:eastAsia="ko-KR"/>
              </w:rPr>
              <w:t>29% (17</w:t>
            </w:r>
            <w:r w:rsidR="006268ED">
              <w:t>–</w:t>
            </w:r>
            <w:r w:rsidRPr="008433BC">
              <w:rPr>
                <w:rFonts w:eastAsia="TimesNewRomanPSMT"/>
                <w:szCs w:val="21"/>
                <w:lang w:val="en-US" w:eastAsia="ko-KR"/>
              </w:rPr>
              <w:t>44)</w:t>
            </w:r>
          </w:p>
        </w:tc>
        <w:tc>
          <w:tcPr>
            <w:tcW w:w="1397" w:type="dxa"/>
            <w:vAlign w:val="center"/>
          </w:tcPr>
          <w:p w14:paraId="0211776D" w14:textId="614D6D83" w:rsidR="00C9686E" w:rsidRPr="008433BC" w:rsidRDefault="00C9686E" w:rsidP="00396A82">
            <w:pPr>
              <w:pStyle w:val="TableParagraph"/>
              <w:jc w:val="center"/>
            </w:pPr>
            <w:r w:rsidRPr="008433BC">
              <w:rPr>
                <w:rFonts w:eastAsia="TimesNewRomanPSMT"/>
                <w:szCs w:val="21"/>
                <w:lang w:val="en-US" w:eastAsia="ko-KR"/>
              </w:rPr>
              <w:t>35% (21</w:t>
            </w:r>
            <w:r w:rsidR="006268ED">
              <w:t>–</w:t>
            </w:r>
            <w:r w:rsidRPr="008433BC">
              <w:rPr>
                <w:rFonts w:eastAsia="TimesNewRomanPSMT"/>
                <w:szCs w:val="21"/>
                <w:lang w:val="en-US" w:eastAsia="ko-KR"/>
              </w:rPr>
              <w:t>50)</w:t>
            </w:r>
          </w:p>
        </w:tc>
      </w:tr>
      <w:tr w:rsidR="00C9686E" w:rsidRPr="008433BC" w14:paraId="2DCC951D" w14:textId="77777777" w:rsidTr="00396A82">
        <w:trPr>
          <w:trHeight w:val="20"/>
        </w:trPr>
        <w:tc>
          <w:tcPr>
            <w:tcW w:w="2028" w:type="dxa"/>
            <w:vAlign w:val="center"/>
          </w:tcPr>
          <w:p w14:paraId="0F727660" w14:textId="77777777" w:rsidR="00C9686E" w:rsidRPr="008433BC" w:rsidRDefault="00C9686E" w:rsidP="00396A82">
            <w:pPr>
              <w:pStyle w:val="TableParagraph"/>
              <w:ind w:firstLine="360"/>
            </w:pPr>
            <w:r w:rsidRPr="008433BC">
              <w:rPr>
                <w:rFonts w:eastAsia="TimesNewRomanPSMT"/>
                <w:szCs w:val="21"/>
                <w:lang w:val="en-US" w:eastAsia="ko-KR"/>
              </w:rPr>
              <w:t>NEL (95% CI)</w:t>
            </w:r>
          </w:p>
        </w:tc>
        <w:tc>
          <w:tcPr>
            <w:tcW w:w="1465" w:type="dxa"/>
            <w:vAlign w:val="center"/>
          </w:tcPr>
          <w:p w14:paraId="353401FD" w14:textId="77777777" w:rsidR="00C9686E" w:rsidRPr="008433BC" w:rsidRDefault="00C9686E" w:rsidP="00396A82">
            <w:pPr>
              <w:pStyle w:val="TableParagraph"/>
              <w:tabs>
                <w:tab w:val="left" w:pos="2032"/>
              </w:tabs>
              <w:jc w:val="center"/>
            </w:pPr>
            <w:r w:rsidRPr="008433BC">
              <w:rPr>
                <w:rFonts w:eastAsia="TimesNewRomanPSMT"/>
                <w:szCs w:val="21"/>
                <w:lang w:val="en-US" w:eastAsia="ko-KR"/>
              </w:rPr>
              <w:t>n/p</w:t>
            </w:r>
          </w:p>
        </w:tc>
        <w:tc>
          <w:tcPr>
            <w:tcW w:w="1393" w:type="dxa"/>
            <w:vAlign w:val="center"/>
          </w:tcPr>
          <w:p w14:paraId="273D1AD5" w14:textId="726F17CC" w:rsidR="00C9686E" w:rsidRPr="008433BC" w:rsidRDefault="00C9686E" w:rsidP="00396A82">
            <w:pPr>
              <w:pStyle w:val="TableParagraph"/>
              <w:jc w:val="center"/>
            </w:pPr>
            <w:r w:rsidRPr="008433BC">
              <w:rPr>
                <w:rFonts w:eastAsia="TimesNewRomanPSMT"/>
                <w:szCs w:val="21"/>
                <w:lang w:val="en-US" w:eastAsia="ko-KR"/>
              </w:rPr>
              <w:t>14% (10</w:t>
            </w:r>
            <w:r w:rsidR="006268ED">
              <w:t>–</w:t>
            </w:r>
            <w:r w:rsidRPr="008433BC">
              <w:rPr>
                <w:rFonts w:eastAsia="TimesNewRomanPSMT"/>
                <w:szCs w:val="21"/>
                <w:lang w:val="en-US" w:eastAsia="ko-KR"/>
              </w:rPr>
              <w:t>21)</w:t>
            </w:r>
          </w:p>
        </w:tc>
        <w:tc>
          <w:tcPr>
            <w:tcW w:w="1394" w:type="dxa"/>
            <w:vAlign w:val="center"/>
          </w:tcPr>
          <w:p w14:paraId="6E3B21A3" w14:textId="2AF0EBD1" w:rsidR="00C9686E" w:rsidRPr="008433BC" w:rsidRDefault="00C9686E" w:rsidP="00396A82">
            <w:pPr>
              <w:pStyle w:val="TableParagraph"/>
              <w:jc w:val="center"/>
            </w:pPr>
            <w:r w:rsidRPr="008433BC">
              <w:rPr>
                <w:rFonts w:eastAsia="TimesNewRomanPSMT"/>
                <w:szCs w:val="21"/>
                <w:lang w:val="en-US" w:eastAsia="ko-KR"/>
              </w:rPr>
              <w:t>7% (3</w:t>
            </w:r>
            <w:r w:rsidR="006268ED">
              <w:t>–</w:t>
            </w:r>
            <w:r w:rsidRPr="008433BC">
              <w:rPr>
                <w:rFonts w:eastAsia="TimesNewRomanPSMT"/>
                <w:szCs w:val="21"/>
                <w:lang w:val="en-US" w:eastAsia="ko-KR"/>
              </w:rPr>
              <w:t>14)</w:t>
            </w:r>
          </w:p>
        </w:tc>
        <w:tc>
          <w:tcPr>
            <w:tcW w:w="1395" w:type="dxa"/>
            <w:vAlign w:val="center"/>
          </w:tcPr>
          <w:p w14:paraId="6D865642" w14:textId="77936A65" w:rsidR="00C9686E" w:rsidRPr="008433BC" w:rsidRDefault="00C9686E" w:rsidP="00396A82">
            <w:pPr>
              <w:pStyle w:val="TableParagraph"/>
              <w:jc w:val="center"/>
            </w:pPr>
            <w:r w:rsidRPr="008433BC">
              <w:rPr>
                <w:rFonts w:eastAsia="TimesNewRomanPSMT"/>
                <w:szCs w:val="21"/>
                <w:lang w:val="en-US" w:eastAsia="ko-KR"/>
              </w:rPr>
              <w:t>6% (1</w:t>
            </w:r>
            <w:r w:rsidR="006268ED">
              <w:t>–</w:t>
            </w:r>
            <w:r w:rsidRPr="008433BC">
              <w:rPr>
                <w:rFonts w:eastAsia="TimesNewRomanPSMT"/>
                <w:szCs w:val="21"/>
                <w:lang w:val="en-US" w:eastAsia="ko-KR"/>
              </w:rPr>
              <w:t>17)</w:t>
            </w:r>
          </w:p>
        </w:tc>
        <w:tc>
          <w:tcPr>
            <w:tcW w:w="1397" w:type="dxa"/>
            <w:vAlign w:val="center"/>
          </w:tcPr>
          <w:p w14:paraId="55A81F7B" w14:textId="6D658ABE" w:rsidR="00C9686E" w:rsidRPr="008433BC" w:rsidRDefault="00C9686E" w:rsidP="00396A82">
            <w:pPr>
              <w:pStyle w:val="TableParagraph"/>
              <w:jc w:val="center"/>
            </w:pPr>
            <w:r w:rsidRPr="008433BC">
              <w:rPr>
                <w:rFonts w:eastAsia="TimesNewRomanPSMT"/>
                <w:szCs w:val="21"/>
                <w:lang w:val="en-US" w:eastAsia="ko-KR"/>
              </w:rPr>
              <w:t>7% (1</w:t>
            </w:r>
            <w:r w:rsidR="006268ED">
              <w:t>–</w:t>
            </w:r>
            <w:r w:rsidRPr="008433BC">
              <w:rPr>
                <w:rFonts w:eastAsia="TimesNewRomanPSMT"/>
                <w:szCs w:val="21"/>
                <w:lang w:val="en-US" w:eastAsia="ko-KR"/>
              </w:rPr>
              <w:t>18)</w:t>
            </w:r>
          </w:p>
        </w:tc>
      </w:tr>
      <w:tr w:rsidR="002B6120" w:rsidRPr="008433BC" w14:paraId="0864FC2A" w14:textId="77777777" w:rsidTr="009E4149">
        <w:trPr>
          <w:trHeight w:val="20"/>
        </w:trPr>
        <w:tc>
          <w:tcPr>
            <w:tcW w:w="9072" w:type="dxa"/>
            <w:gridSpan w:val="6"/>
            <w:vAlign w:val="center"/>
          </w:tcPr>
          <w:p w14:paraId="64A0D053" w14:textId="19F49829" w:rsidR="002B6120" w:rsidRPr="008433BC" w:rsidRDefault="002B6120" w:rsidP="002C3132">
            <w:pPr>
              <w:pStyle w:val="TableParagraph"/>
            </w:pPr>
            <w:r w:rsidRPr="008433BC">
              <w:rPr>
                <w:rFonts w:eastAsia="TimesNewRomanPSMT"/>
                <w:szCs w:val="21"/>
                <w:lang w:eastAsia="ko-KR"/>
              </w:rPr>
              <w:t>Trajanje zna</w:t>
            </w:r>
            <w:r w:rsidRPr="008433BC">
              <w:rPr>
                <w:rFonts w:eastAsia="TimesNewRomanPSMT" w:hint="eastAsia"/>
                <w:szCs w:val="21"/>
                <w:lang w:eastAsia="ko-KR"/>
              </w:rPr>
              <w:t>č</w:t>
            </w:r>
            <w:r w:rsidRPr="008433BC">
              <w:rPr>
                <w:rFonts w:eastAsia="TimesNewRomanPSMT"/>
                <w:szCs w:val="21"/>
                <w:lang w:eastAsia="ko-KR"/>
              </w:rPr>
              <w:t>ajnog hematolo</w:t>
            </w:r>
            <w:r w:rsidRPr="008433BC">
              <w:rPr>
                <w:rFonts w:eastAsia="TimesNewRomanPSMT" w:hint="eastAsia"/>
                <w:szCs w:val="21"/>
                <w:lang w:eastAsia="ko-KR"/>
              </w:rPr>
              <w:t>š</w:t>
            </w:r>
            <w:r w:rsidRPr="008433BC">
              <w:rPr>
                <w:rFonts w:eastAsia="TimesNewRomanPSMT"/>
                <w:szCs w:val="21"/>
                <w:lang w:eastAsia="ko-KR"/>
              </w:rPr>
              <w:t>kog odgovora (%; procjena po Kaplan-Meieru)</w:t>
            </w:r>
          </w:p>
        </w:tc>
      </w:tr>
      <w:tr w:rsidR="00C9686E" w:rsidRPr="008433BC" w14:paraId="0A6D35EC" w14:textId="77777777" w:rsidTr="00396A82">
        <w:trPr>
          <w:trHeight w:val="20"/>
        </w:trPr>
        <w:tc>
          <w:tcPr>
            <w:tcW w:w="2028" w:type="dxa"/>
            <w:vAlign w:val="center"/>
          </w:tcPr>
          <w:p w14:paraId="252A7BFA" w14:textId="77777777" w:rsidR="00C9686E" w:rsidRPr="008433BC" w:rsidRDefault="00C9686E" w:rsidP="00396A82">
            <w:pPr>
              <w:pStyle w:val="TableParagraph"/>
              <w:ind w:firstLine="360"/>
            </w:pPr>
            <w:r w:rsidRPr="008433BC">
              <w:rPr>
                <w:rFonts w:eastAsia="TimesNewRomanPSMT"/>
                <w:szCs w:val="21"/>
                <w:lang w:val="en-US" w:eastAsia="ko-KR"/>
              </w:rPr>
              <w:t xml:space="preserve">1 </w:t>
            </w:r>
            <w:proofErr w:type="spellStart"/>
            <w:r w:rsidRPr="008433BC">
              <w:rPr>
                <w:rFonts w:eastAsia="TimesNewRomanPSMT"/>
                <w:szCs w:val="21"/>
                <w:lang w:val="en-US" w:eastAsia="ko-KR"/>
              </w:rPr>
              <w:t>godina</w:t>
            </w:r>
            <w:proofErr w:type="spellEnd"/>
          </w:p>
        </w:tc>
        <w:tc>
          <w:tcPr>
            <w:tcW w:w="1465" w:type="dxa"/>
            <w:vAlign w:val="center"/>
          </w:tcPr>
          <w:p w14:paraId="69E2D972" w14:textId="77777777" w:rsidR="00C9686E" w:rsidRPr="008433BC" w:rsidRDefault="00C9686E" w:rsidP="00396A82">
            <w:pPr>
              <w:pStyle w:val="TableParagraph"/>
              <w:tabs>
                <w:tab w:val="left" w:pos="2032"/>
              </w:tabs>
              <w:jc w:val="center"/>
            </w:pPr>
            <w:r w:rsidRPr="008433BC">
              <w:rPr>
                <w:rFonts w:eastAsia="TimesNewRomanPSMT"/>
                <w:szCs w:val="21"/>
                <w:lang w:val="en-US" w:eastAsia="ko-KR"/>
              </w:rPr>
              <w:t>n/p</w:t>
            </w:r>
          </w:p>
        </w:tc>
        <w:tc>
          <w:tcPr>
            <w:tcW w:w="1393" w:type="dxa"/>
            <w:vAlign w:val="center"/>
          </w:tcPr>
          <w:p w14:paraId="3EBCCA06" w14:textId="6B888425" w:rsidR="00C9686E" w:rsidRPr="008433BC" w:rsidRDefault="00C9686E" w:rsidP="00396A82">
            <w:pPr>
              <w:pStyle w:val="TableParagraph"/>
              <w:jc w:val="center"/>
            </w:pPr>
            <w:r w:rsidRPr="008433BC">
              <w:rPr>
                <w:rFonts w:eastAsia="TimesNewRomanPSMT"/>
                <w:szCs w:val="21"/>
                <w:lang w:val="en-US" w:eastAsia="ko-KR"/>
              </w:rPr>
              <w:t>79% (71</w:t>
            </w:r>
            <w:r w:rsidR="006268ED">
              <w:t>–</w:t>
            </w:r>
            <w:r w:rsidRPr="008433BC">
              <w:rPr>
                <w:rFonts w:eastAsia="TimesNewRomanPSMT"/>
                <w:szCs w:val="21"/>
                <w:lang w:val="en-US" w:eastAsia="ko-KR"/>
              </w:rPr>
              <w:t>87)</w:t>
            </w:r>
          </w:p>
        </w:tc>
        <w:tc>
          <w:tcPr>
            <w:tcW w:w="1394" w:type="dxa"/>
            <w:vAlign w:val="center"/>
          </w:tcPr>
          <w:p w14:paraId="6B9F1953" w14:textId="6F4279A6" w:rsidR="00C9686E" w:rsidRPr="008433BC" w:rsidRDefault="00C9686E" w:rsidP="00396A82">
            <w:pPr>
              <w:pStyle w:val="TableParagraph"/>
              <w:jc w:val="center"/>
            </w:pPr>
            <w:r w:rsidRPr="008433BC">
              <w:rPr>
                <w:rFonts w:eastAsia="TimesNewRomanPSMT"/>
                <w:szCs w:val="21"/>
                <w:lang w:val="en-US" w:eastAsia="ko-KR"/>
              </w:rPr>
              <w:t>71% (55</w:t>
            </w:r>
            <w:r w:rsidR="006268ED">
              <w:t>–</w:t>
            </w:r>
            <w:r w:rsidRPr="008433BC">
              <w:rPr>
                <w:rFonts w:eastAsia="TimesNewRomanPSMT"/>
                <w:szCs w:val="21"/>
                <w:lang w:val="en-US" w:eastAsia="ko-KR"/>
              </w:rPr>
              <w:t>87)</w:t>
            </w:r>
          </w:p>
        </w:tc>
        <w:tc>
          <w:tcPr>
            <w:tcW w:w="1395" w:type="dxa"/>
            <w:vAlign w:val="center"/>
          </w:tcPr>
          <w:p w14:paraId="519B7A7D" w14:textId="6441B908" w:rsidR="00C9686E" w:rsidRPr="008433BC" w:rsidRDefault="00C9686E" w:rsidP="00396A82">
            <w:pPr>
              <w:pStyle w:val="TableParagraph"/>
              <w:jc w:val="center"/>
            </w:pPr>
            <w:r w:rsidRPr="008433BC">
              <w:rPr>
                <w:rFonts w:eastAsia="TimesNewRomanPSMT"/>
                <w:szCs w:val="21"/>
                <w:lang w:val="en-US" w:eastAsia="ko-KR"/>
              </w:rPr>
              <w:t>29% (3</w:t>
            </w:r>
            <w:r w:rsidR="006268ED">
              <w:t>–</w:t>
            </w:r>
            <w:r w:rsidRPr="008433BC">
              <w:rPr>
                <w:rFonts w:eastAsia="TimesNewRomanPSMT"/>
                <w:szCs w:val="21"/>
                <w:lang w:val="en-US" w:eastAsia="ko-KR"/>
              </w:rPr>
              <w:t>56)</w:t>
            </w:r>
          </w:p>
        </w:tc>
        <w:tc>
          <w:tcPr>
            <w:tcW w:w="1397" w:type="dxa"/>
            <w:vAlign w:val="center"/>
          </w:tcPr>
          <w:p w14:paraId="54B6F8A2" w14:textId="48645F1E" w:rsidR="00C9686E" w:rsidRPr="008433BC" w:rsidRDefault="00C9686E" w:rsidP="00396A82">
            <w:pPr>
              <w:pStyle w:val="TableParagraph"/>
              <w:jc w:val="center"/>
            </w:pPr>
            <w:r w:rsidRPr="008433BC">
              <w:rPr>
                <w:rFonts w:eastAsia="TimesNewRomanPSMT"/>
                <w:szCs w:val="21"/>
                <w:lang w:val="en-US" w:eastAsia="ko-KR"/>
              </w:rPr>
              <w:t>32% (8</w:t>
            </w:r>
            <w:r w:rsidR="006268ED">
              <w:t>–</w:t>
            </w:r>
            <w:r w:rsidRPr="008433BC">
              <w:rPr>
                <w:rFonts w:eastAsia="TimesNewRomanPSMT"/>
                <w:szCs w:val="21"/>
                <w:lang w:val="en-US" w:eastAsia="ko-KR"/>
              </w:rPr>
              <w:t>56)</w:t>
            </w:r>
          </w:p>
        </w:tc>
      </w:tr>
      <w:tr w:rsidR="00C9686E" w:rsidRPr="008433BC" w14:paraId="44ECC4F9" w14:textId="77777777" w:rsidTr="00396A82">
        <w:trPr>
          <w:trHeight w:val="20"/>
        </w:trPr>
        <w:tc>
          <w:tcPr>
            <w:tcW w:w="2028" w:type="dxa"/>
            <w:tcBorders>
              <w:bottom w:val="single" w:sz="4" w:space="0" w:color="auto"/>
            </w:tcBorders>
            <w:vAlign w:val="center"/>
          </w:tcPr>
          <w:p w14:paraId="1ABA54C3" w14:textId="77777777" w:rsidR="00C9686E" w:rsidRPr="008433BC" w:rsidRDefault="00C9686E" w:rsidP="00396A82">
            <w:pPr>
              <w:pStyle w:val="TableParagraph"/>
              <w:ind w:firstLine="360"/>
            </w:pPr>
            <w:r w:rsidRPr="008433BC">
              <w:rPr>
                <w:rFonts w:eastAsia="TimesNewRomanPSMT"/>
                <w:szCs w:val="21"/>
                <w:lang w:val="en-US" w:eastAsia="ko-KR"/>
              </w:rPr>
              <w:t xml:space="preserve">2 </w:t>
            </w:r>
            <w:proofErr w:type="spellStart"/>
            <w:r w:rsidRPr="008433BC">
              <w:rPr>
                <w:rFonts w:eastAsia="TimesNewRomanPSMT"/>
                <w:szCs w:val="21"/>
                <w:lang w:val="en-US" w:eastAsia="ko-KR"/>
              </w:rPr>
              <w:t>godine</w:t>
            </w:r>
            <w:proofErr w:type="spellEnd"/>
          </w:p>
        </w:tc>
        <w:tc>
          <w:tcPr>
            <w:tcW w:w="1465" w:type="dxa"/>
            <w:tcBorders>
              <w:bottom w:val="single" w:sz="4" w:space="0" w:color="auto"/>
            </w:tcBorders>
            <w:vAlign w:val="center"/>
          </w:tcPr>
          <w:p w14:paraId="79526EE4" w14:textId="77777777" w:rsidR="00C9686E" w:rsidRPr="008433BC" w:rsidRDefault="00C9686E" w:rsidP="00396A82">
            <w:pPr>
              <w:pStyle w:val="TableParagraph"/>
              <w:tabs>
                <w:tab w:val="left" w:pos="2032"/>
              </w:tabs>
              <w:jc w:val="center"/>
            </w:pPr>
            <w:r w:rsidRPr="008433BC">
              <w:rPr>
                <w:rFonts w:eastAsia="TimesNewRomanPSMT"/>
                <w:szCs w:val="21"/>
                <w:lang w:val="en-US" w:eastAsia="ko-KR"/>
              </w:rPr>
              <w:t>n/p</w:t>
            </w:r>
          </w:p>
        </w:tc>
        <w:tc>
          <w:tcPr>
            <w:tcW w:w="1393" w:type="dxa"/>
            <w:tcBorders>
              <w:bottom w:val="single" w:sz="4" w:space="0" w:color="auto"/>
            </w:tcBorders>
            <w:vAlign w:val="center"/>
          </w:tcPr>
          <w:p w14:paraId="6A75078D" w14:textId="4DA1DB5D" w:rsidR="00C9686E" w:rsidRPr="008433BC" w:rsidRDefault="00C9686E" w:rsidP="00396A82">
            <w:pPr>
              <w:pStyle w:val="TableParagraph"/>
              <w:jc w:val="center"/>
            </w:pPr>
            <w:r w:rsidRPr="008433BC">
              <w:rPr>
                <w:rFonts w:eastAsia="TimesNewRomanPSMT"/>
                <w:szCs w:val="21"/>
                <w:lang w:val="en-US" w:eastAsia="ko-KR"/>
              </w:rPr>
              <w:t>60% (50</w:t>
            </w:r>
            <w:r w:rsidR="006268ED">
              <w:t>–</w:t>
            </w:r>
            <w:r w:rsidRPr="008433BC">
              <w:rPr>
                <w:rFonts w:eastAsia="TimesNewRomanPSMT"/>
                <w:szCs w:val="21"/>
                <w:lang w:val="en-US" w:eastAsia="ko-KR"/>
              </w:rPr>
              <w:t>70)</w:t>
            </w:r>
          </w:p>
        </w:tc>
        <w:tc>
          <w:tcPr>
            <w:tcW w:w="1394" w:type="dxa"/>
            <w:tcBorders>
              <w:bottom w:val="single" w:sz="4" w:space="0" w:color="auto"/>
            </w:tcBorders>
            <w:vAlign w:val="center"/>
          </w:tcPr>
          <w:p w14:paraId="26AFADA0" w14:textId="556953FA" w:rsidR="00C9686E" w:rsidRPr="008433BC" w:rsidRDefault="00C9686E" w:rsidP="00396A82">
            <w:pPr>
              <w:pStyle w:val="TableParagraph"/>
              <w:jc w:val="center"/>
            </w:pPr>
            <w:r w:rsidRPr="008433BC">
              <w:rPr>
                <w:rFonts w:eastAsia="TimesNewRomanPSMT"/>
                <w:szCs w:val="21"/>
                <w:lang w:val="en-US" w:eastAsia="ko-KR"/>
              </w:rPr>
              <w:t>41% (21</w:t>
            </w:r>
            <w:r w:rsidR="006268ED">
              <w:t>–</w:t>
            </w:r>
            <w:r w:rsidRPr="008433BC">
              <w:rPr>
                <w:rFonts w:eastAsia="TimesNewRomanPSMT"/>
                <w:szCs w:val="21"/>
                <w:lang w:val="en-US" w:eastAsia="ko-KR"/>
              </w:rPr>
              <w:t>60)</w:t>
            </w:r>
          </w:p>
        </w:tc>
        <w:tc>
          <w:tcPr>
            <w:tcW w:w="1395" w:type="dxa"/>
            <w:tcBorders>
              <w:bottom w:val="single" w:sz="4" w:space="0" w:color="auto"/>
            </w:tcBorders>
            <w:vAlign w:val="center"/>
          </w:tcPr>
          <w:p w14:paraId="3CA4A133" w14:textId="44C78BD1" w:rsidR="00C9686E" w:rsidRPr="008433BC" w:rsidRDefault="00C9686E" w:rsidP="00396A82">
            <w:pPr>
              <w:pStyle w:val="TableParagraph"/>
              <w:jc w:val="center"/>
            </w:pPr>
            <w:r w:rsidRPr="008433BC">
              <w:rPr>
                <w:rFonts w:eastAsia="TimesNewRomanPSMT"/>
                <w:szCs w:val="21"/>
                <w:lang w:val="en-US" w:eastAsia="ko-KR"/>
              </w:rPr>
              <w:t>10% (0</w:t>
            </w:r>
            <w:r w:rsidR="006268ED">
              <w:t>–</w:t>
            </w:r>
            <w:r w:rsidRPr="008433BC">
              <w:rPr>
                <w:rFonts w:eastAsia="TimesNewRomanPSMT"/>
                <w:szCs w:val="21"/>
                <w:lang w:val="en-US" w:eastAsia="ko-KR"/>
              </w:rPr>
              <w:t>28)</w:t>
            </w:r>
          </w:p>
        </w:tc>
        <w:tc>
          <w:tcPr>
            <w:tcW w:w="1397" w:type="dxa"/>
            <w:tcBorders>
              <w:bottom w:val="single" w:sz="4" w:space="0" w:color="auto"/>
            </w:tcBorders>
            <w:vAlign w:val="center"/>
          </w:tcPr>
          <w:p w14:paraId="12C905B6" w14:textId="364B9D47" w:rsidR="00C9686E" w:rsidRPr="008433BC" w:rsidRDefault="00C9686E" w:rsidP="00396A82">
            <w:pPr>
              <w:pStyle w:val="TableParagraph"/>
              <w:jc w:val="center"/>
            </w:pPr>
            <w:r w:rsidRPr="008433BC">
              <w:rPr>
                <w:rFonts w:eastAsia="TimesNewRomanPSMT"/>
                <w:szCs w:val="21"/>
                <w:lang w:val="en-US" w:eastAsia="ko-KR"/>
              </w:rPr>
              <w:t>24% (2</w:t>
            </w:r>
            <w:r w:rsidR="006268ED">
              <w:t>–</w:t>
            </w:r>
            <w:r w:rsidRPr="008433BC">
              <w:rPr>
                <w:rFonts w:eastAsia="TimesNewRomanPSMT"/>
                <w:szCs w:val="21"/>
                <w:lang w:val="en-US" w:eastAsia="ko-KR"/>
              </w:rPr>
              <w:t>47)</w:t>
            </w:r>
          </w:p>
        </w:tc>
      </w:tr>
      <w:tr w:rsidR="00C9686E" w:rsidRPr="008433BC" w14:paraId="1618D06C" w14:textId="77777777" w:rsidTr="00396A82">
        <w:trPr>
          <w:trHeight w:val="20"/>
        </w:trPr>
        <w:tc>
          <w:tcPr>
            <w:tcW w:w="9072" w:type="dxa"/>
            <w:gridSpan w:val="6"/>
            <w:tcBorders>
              <w:top w:val="single" w:sz="4" w:space="0" w:color="auto"/>
              <w:bottom w:val="single" w:sz="4" w:space="0" w:color="auto"/>
            </w:tcBorders>
            <w:vAlign w:val="center"/>
          </w:tcPr>
          <w:p w14:paraId="4A4D6497" w14:textId="77777777" w:rsidR="00C9686E" w:rsidRPr="008433BC" w:rsidRDefault="00C9686E" w:rsidP="00396A82">
            <w:pPr>
              <w:pStyle w:val="TableParagraph"/>
              <w:rPr>
                <w:rFonts w:eastAsia="TimesNewRomanPSMT"/>
                <w:szCs w:val="21"/>
                <w:lang w:val="en-US" w:eastAsia="ko-KR"/>
              </w:rPr>
            </w:pPr>
            <w:proofErr w:type="spellStart"/>
            <w:r w:rsidRPr="008433BC">
              <w:rPr>
                <w:rFonts w:eastAsia="TimesNewRomanPS-BoldMT"/>
                <w:b/>
                <w:bCs/>
                <w:szCs w:val="21"/>
                <w:lang w:val="en-US" w:eastAsia="ko-KR"/>
              </w:rPr>
              <w:t>Citogenetski</w:t>
            </w:r>
            <w:proofErr w:type="spellEnd"/>
            <w:r w:rsidRPr="008433BC">
              <w:rPr>
                <w:rFonts w:eastAsia="TimesNewRomanPS-BoldMT"/>
                <w:b/>
                <w:bCs/>
                <w:szCs w:val="21"/>
                <w:lang w:val="en-US" w:eastAsia="ko-KR"/>
              </w:rPr>
              <w:t xml:space="preserve"> </w:t>
            </w:r>
            <w:proofErr w:type="spellStart"/>
            <w:r w:rsidRPr="008433BC">
              <w:rPr>
                <w:rFonts w:eastAsia="TimesNewRomanPS-BoldMT"/>
                <w:b/>
                <w:bCs/>
                <w:szCs w:val="21"/>
                <w:lang w:val="en-US" w:eastAsia="ko-KR"/>
              </w:rPr>
              <w:t>odgovor</w:t>
            </w:r>
            <w:r w:rsidRPr="008433BC">
              <w:rPr>
                <w:rFonts w:eastAsia="TimesNewRomanPS-BoldMT"/>
                <w:b/>
                <w:bCs/>
                <w:szCs w:val="17"/>
                <w:vertAlign w:val="superscript"/>
                <w:lang w:val="en-US" w:eastAsia="ko-KR"/>
              </w:rPr>
              <w:t>c</w:t>
            </w:r>
            <w:proofErr w:type="spellEnd"/>
            <w:r w:rsidRPr="008433BC">
              <w:rPr>
                <w:rFonts w:eastAsia="TimesNewRomanPS-BoldMT"/>
                <w:b/>
                <w:bCs/>
                <w:szCs w:val="17"/>
                <w:lang w:val="en-US" w:eastAsia="ko-KR"/>
              </w:rPr>
              <w:t xml:space="preserve"> </w:t>
            </w:r>
            <w:r w:rsidRPr="008433BC">
              <w:rPr>
                <w:rFonts w:eastAsia="TimesNewRomanPS-BoldMT"/>
                <w:b/>
                <w:bCs/>
                <w:szCs w:val="21"/>
                <w:lang w:val="en-US" w:eastAsia="ko-KR"/>
              </w:rPr>
              <w:t>(%)</w:t>
            </w:r>
          </w:p>
        </w:tc>
      </w:tr>
      <w:tr w:rsidR="00C9686E" w:rsidRPr="008433BC" w14:paraId="5C4597B8" w14:textId="77777777" w:rsidTr="00396A82">
        <w:trPr>
          <w:trHeight w:val="20"/>
        </w:trPr>
        <w:tc>
          <w:tcPr>
            <w:tcW w:w="2028" w:type="dxa"/>
            <w:tcBorders>
              <w:top w:val="single" w:sz="4" w:space="0" w:color="auto"/>
            </w:tcBorders>
            <w:vAlign w:val="center"/>
          </w:tcPr>
          <w:p w14:paraId="5100715C" w14:textId="77777777" w:rsidR="00C9686E" w:rsidRPr="008433BC" w:rsidRDefault="00C9686E" w:rsidP="002C3132">
            <w:pPr>
              <w:pStyle w:val="TableParagraph"/>
              <w:jc w:val="center"/>
              <w:rPr>
                <w:rFonts w:eastAsia="TimesNewRomanPSMT"/>
                <w:szCs w:val="21"/>
                <w:lang w:val="en-US" w:eastAsia="ko-KR"/>
              </w:rPr>
            </w:pPr>
            <w:proofErr w:type="spellStart"/>
            <w:r w:rsidRPr="008433BC">
              <w:rPr>
                <w:rFonts w:eastAsia="TimesNewRomanPSMT"/>
                <w:szCs w:val="21"/>
                <w:lang w:val="en-US" w:eastAsia="ko-KR"/>
              </w:rPr>
              <w:t>Zna</w:t>
            </w:r>
            <w:r w:rsidRPr="008433BC">
              <w:rPr>
                <w:rFonts w:eastAsia="TimesNewRomanPSMT" w:hint="eastAsia"/>
                <w:szCs w:val="21"/>
                <w:lang w:val="en-US" w:eastAsia="ko-KR"/>
              </w:rPr>
              <w:t>č</w:t>
            </w:r>
            <w:r w:rsidRPr="008433BC">
              <w:rPr>
                <w:rFonts w:eastAsia="TimesNewRomanPSMT"/>
                <w:szCs w:val="21"/>
                <w:lang w:val="en-US" w:eastAsia="ko-KR"/>
              </w:rPr>
              <w:t>ajan</w:t>
            </w:r>
            <w:proofErr w:type="spellEnd"/>
            <w:r w:rsidRPr="008433BC">
              <w:rPr>
                <w:rFonts w:eastAsia="TimesNewRomanPSMT"/>
                <w:szCs w:val="21"/>
                <w:lang w:val="en-US" w:eastAsia="ko-KR"/>
              </w:rPr>
              <w:t xml:space="preserve"> (95% CI)</w:t>
            </w:r>
          </w:p>
        </w:tc>
        <w:tc>
          <w:tcPr>
            <w:tcW w:w="1465" w:type="dxa"/>
            <w:tcBorders>
              <w:top w:val="single" w:sz="4" w:space="0" w:color="auto"/>
            </w:tcBorders>
            <w:vAlign w:val="center"/>
          </w:tcPr>
          <w:p w14:paraId="1909C41F" w14:textId="77777777" w:rsidR="00C9686E" w:rsidRPr="008433BC" w:rsidRDefault="00C9686E" w:rsidP="00396A82">
            <w:pPr>
              <w:widowControl/>
              <w:adjustRightInd w:val="0"/>
              <w:jc w:val="center"/>
              <w:rPr>
                <w:rFonts w:eastAsia="TimesNewRomanPS-BoldMT"/>
                <w:b/>
                <w:bCs/>
                <w:szCs w:val="21"/>
                <w:lang w:val="en-US" w:eastAsia="ko-KR"/>
              </w:rPr>
            </w:pPr>
            <w:r w:rsidRPr="008433BC">
              <w:rPr>
                <w:rFonts w:eastAsia="TimesNewRomanPS-BoldMT"/>
                <w:b/>
                <w:bCs/>
                <w:szCs w:val="21"/>
                <w:lang w:val="en-US" w:eastAsia="ko-KR"/>
              </w:rPr>
              <w:t>62%</w:t>
            </w:r>
          </w:p>
          <w:p w14:paraId="26B589BE" w14:textId="0DDD8A28" w:rsidR="00C9686E" w:rsidRPr="008433BC" w:rsidRDefault="00C9686E" w:rsidP="00396A82">
            <w:pPr>
              <w:pStyle w:val="TableParagraph"/>
              <w:tabs>
                <w:tab w:val="left" w:pos="2032"/>
              </w:tabs>
              <w:jc w:val="center"/>
              <w:rPr>
                <w:rFonts w:eastAsia="TimesNewRomanPSMT"/>
                <w:szCs w:val="21"/>
                <w:lang w:val="en-US" w:eastAsia="ko-KR"/>
              </w:rPr>
            </w:pPr>
            <w:r w:rsidRPr="008433BC">
              <w:rPr>
                <w:rFonts w:eastAsia="TimesNewRomanPS-BoldMT"/>
                <w:b/>
                <w:bCs/>
                <w:szCs w:val="21"/>
                <w:lang w:val="en-US" w:eastAsia="ko-KR"/>
              </w:rPr>
              <w:t>(57</w:t>
            </w:r>
            <w:r w:rsidR="006268ED" w:rsidRPr="0031614A">
              <w:rPr>
                <w:b/>
              </w:rPr>
              <w:t>–</w:t>
            </w:r>
            <w:r w:rsidRPr="006268ED">
              <w:rPr>
                <w:rFonts w:eastAsia="TimesNewRomanPS-BoldMT"/>
                <w:b/>
                <w:bCs/>
                <w:szCs w:val="21"/>
                <w:lang w:val="en-US" w:eastAsia="ko-KR"/>
              </w:rPr>
              <w:t>67</w:t>
            </w:r>
            <w:r w:rsidRPr="008433BC">
              <w:rPr>
                <w:rFonts w:eastAsia="TimesNewRomanPS-BoldMT"/>
                <w:b/>
                <w:bCs/>
                <w:szCs w:val="21"/>
                <w:lang w:val="en-US" w:eastAsia="ko-KR"/>
              </w:rPr>
              <w:t>)</w:t>
            </w:r>
          </w:p>
        </w:tc>
        <w:tc>
          <w:tcPr>
            <w:tcW w:w="1393" w:type="dxa"/>
            <w:tcBorders>
              <w:top w:val="single" w:sz="4" w:space="0" w:color="auto"/>
            </w:tcBorders>
            <w:vAlign w:val="center"/>
          </w:tcPr>
          <w:p w14:paraId="1D720582" w14:textId="0709E073" w:rsidR="00C9686E" w:rsidRPr="008433BC" w:rsidRDefault="00C9686E" w:rsidP="00396A82">
            <w:pPr>
              <w:pStyle w:val="TableParagraph"/>
              <w:jc w:val="center"/>
              <w:rPr>
                <w:rFonts w:eastAsia="TimesNewRomanPSMT"/>
                <w:szCs w:val="21"/>
                <w:lang w:val="en-US" w:eastAsia="ko-KR"/>
              </w:rPr>
            </w:pPr>
            <w:r w:rsidRPr="008433BC">
              <w:rPr>
                <w:rFonts w:eastAsia="TimesNewRomanPSMT"/>
                <w:szCs w:val="21"/>
                <w:lang w:val="en-US" w:eastAsia="ko-KR"/>
              </w:rPr>
              <w:t>40% (33</w:t>
            </w:r>
            <w:r w:rsidR="006268ED">
              <w:t>–</w:t>
            </w:r>
            <w:r w:rsidRPr="008433BC">
              <w:rPr>
                <w:rFonts w:eastAsia="TimesNewRomanPSMT"/>
                <w:szCs w:val="21"/>
                <w:lang w:val="en-US" w:eastAsia="ko-KR"/>
              </w:rPr>
              <w:t>48)</w:t>
            </w:r>
          </w:p>
        </w:tc>
        <w:tc>
          <w:tcPr>
            <w:tcW w:w="1394" w:type="dxa"/>
            <w:tcBorders>
              <w:top w:val="single" w:sz="4" w:space="0" w:color="auto"/>
            </w:tcBorders>
            <w:vAlign w:val="center"/>
          </w:tcPr>
          <w:p w14:paraId="3A4A0AA4" w14:textId="20F44CEF" w:rsidR="00C9686E" w:rsidRPr="008433BC" w:rsidRDefault="00C9686E" w:rsidP="00396A82">
            <w:pPr>
              <w:pStyle w:val="TableParagraph"/>
              <w:jc w:val="center"/>
              <w:rPr>
                <w:rFonts w:eastAsia="TimesNewRomanPSMT"/>
                <w:szCs w:val="21"/>
                <w:lang w:val="en-US" w:eastAsia="ko-KR"/>
              </w:rPr>
            </w:pPr>
            <w:r w:rsidRPr="008433BC">
              <w:rPr>
                <w:rFonts w:eastAsia="TimesNewRomanPSMT"/>
                <w:szCs w:val="21"/>
                <w:lang w:val="en-US" w:eastAsia="ko-KR"/>
              </w:rPr>
              <w:t>34% (25</w:t>
            </w:r>
            <w:r w:rsidR="006268ED">
              <w:t>–</w:t>
            </w:r>
            <w:r w:rsidRPr="008433BC">
              <w:rPr>
                <w:rFonts w:eastAsia="TimesNewRomanPSMT"/>
                <w:szCs w:val="21"/>
                <w:lang w:val="en-US" w:eastAsia="ko-KR"/>
              </w:rPr>
              <w:t>44)</w:t>
            </w:r>
          </w:p>
        </w:tc>
        <w:tc>
          <w:tcPr>
            <w:tcW w:w="1395" w:type="dxa"/>
            <w:tcBorders>
              <w:top w:val="single" w:sz="4" w:space="0" w:color="auto"/>
            </w:tcBorders>
            <w:vAlign w:val="center"/>
          </w:tcPr>
          <w:p w14:paraId="45871B2E" w14:textId="5738264B" w:rsidR="00C9686E" w:rsidRPr="008433BC" w:rsidRDefault="00C9686E" w:rsidP="00396A82">
            <w:pPr>
              <w:pStyle w:val="TableParagraph"/>
              <w:jc w:val="center"/>
              <w:rPr>
                <w:rFonts w:eastAsia="TimesNewRomanPSMT"/>
                <w:szCs w:val="21"/>
                <w:lang w:val="en-US" w:eastAsia="ko-KR"/>
              </w:rPr>
            </w:pPr>
            <w:r w:rsidRPr="008433BC">
              <w:rPr>
                <w:rFonts w:eastAsia="TimesNewRomanPSMT"/>
                <w:szCs w:val="21"/>
                <w:lang w:val="en-US" w:eastAsia="ko-KR"/>
              </w:rPr>
              <w:t>52% (37</w:t>
            </w:r>
            <w:r w:rsidR="006268ED">
              <w:t>–</w:t>
            </w:r>
            <w:r w:rsidRPr="008433BC">
              <w:rPr>
                <w:rFonts w:eastAsia="TimesNewRomanPSMT"/>
                <w:szCs w:val="21"/>
                <w:lang w:val="en-US" w:eastAsia="ko-KR"/>
              </w:rPr>
              <w:t>67)</w:t>
            </w:r>
          </w:p>
        </w:tc>
        <w:tc>
          <w:tcPr>
            <w:tcW w:w="1397" w:type="dxa"/>
            <w:tcBorders>
              <w:top w:val="single" w:sz="4" w:space="0" w:color="auto"/>
            </w:tcBorders>
            <w:vAlign w:val="center"/>
          </w:tcPr>
          <w:p w14:paraId="6B2A993D" w14:textId="2021F14D" w:rsidR="00C9686E" w:rsidRPr="008433BC" w:rsidRDefault="00C9686E" w:rsidP="00396A82">
            <w:pPr>
              <w:pStyle w:val="TableParagraph"/>
              <w:jc w:val="center"/>
              <w:rPr>
                <w:rFonts w:eastAsia="TimesNewRomanPSMT"/>
                <w:szCs w:val="21"/>
                <w:lang w:val="en-US" w:eastAsia="ko-KR"/>
              </w:rPr>
            </w:pPr>
            <w:r w:rsidRPr="008433BC">
              <w:rPr>
                <w:rFonts w:eastAsia="TimesNewRomanPSMT"/>
                <w:szCs w:val="21"/>
                <w:lang w:val="en-US" w:eastAsia="ko-KR"/>
              </w:rPr>
              <w:t>57% (41</w:t>
            </w:r>
            <w:r w:rsidR="006268ED">
              <w:t>–</w:t>
            </w:r>
            <w:r w:rsidRPr="008433BC">
              <w:rPr>
                <w:rFonts w:eastAsia="TimesNewRomanPSMT"/>
                <w:szCs w:val="21"/>
                <w:lang w:val="en-US" w:eastAsia="ko-KR"/>
              </w:rPr>
              <w:t>71)</w:t>
            </w:r>
          </w:p>
        </w:tc>
      </w:tr>
      <w:tr w:rsidR="00C9686E" w:rsidRPr="008433BC" w14:paraId="639B098D" w14:textId="77777777" w:rsidTr="00396A82">
        <w:trPr>
          <w:trHeight w:val="20"/>
        </w:trPr>
        <w:tc>
          <w:tcPr>
            <w:tcW w:w="2028" w:type="dxa"/>
            <w:tcBorders>
              <w:bottom w:val="single" w:sz="4" w:space="0" w:color="auto"/>
            </w:tcBorders>
            <w:vAlign w:val="center"/>
          </w:tcPr>
          <w:p w14:paraId="74DA50AC" w14:textId="77777777" w:rsidR="00C9686E" w:rsidRPr="008433BC" w:rsidRDefault="00C9686E" w:rsidP="00396A82">
            <w:pPr>
              <w:pStyle w:val="TableParagraph"/>
              <w:ind w:firstLine="360"/>
            </w:pPr>
            <w:r w:rsidRPr="008433BC">
              <w:t>Potpun (95% CI)</w:t>
            </w:r>
          </w:p>
        </w:tc>
        <w:tc>
          <w:tcPr>
            <w:tcW w:w="1465" w:type="dxa"/>
            <w:tcBorders>
              <w:bottom w:val="single" w:sz="4" w:space="0" w:color="auto"/>
            </w:tcBorders>
            <w:vAlign w:val="center"/>
          </w:tcPr>
          <w:p w14:paraId="7655C6B9" w14:textId="5132D995" w:rsidR="00C9686E" w:rsidRPr="008433BC" w:rsidRDefault="00C9686E" w:rsidP="00396A82">
            <w:pPr>
              <w:pStyle w:val="TableParagraph"/>
              <w:tabs>
                <w:tab w:val="left" w:pos="2032"/>
              </w:tabs>
              <w:jc w:val="center"/>
            </w:pPr>
            <w:r w:rsidRPr="008433BC">
              <w:t>54% (48</w:t>
            </w:r>
            <w:r w:rsidR="006268ED">
              <w:t>–</w:t>
            </w:r>
            <w:r w:rsidRPr="008433BC">
              <w:t>59)</w:t>
            </w:r>
          </w:p>
        </w:tc>
        <w:tc>
          <w:tcPr>
            <w:tcW w:w="1393" w:type="dxa"/>
            <w:tcBorders>
              <w:bottom w:val="single" w:sz="4" w:space="0" w:color="auto"/>
            </w:tcBorders>
            <w:vAlign w:val="center"/>
          </w:tcPr>
          <w:p w14:paraId="53B5AB4E" w14:textId="26D21554" w:rsidR="00C9686E" w:rsidRPr="008433BC" w:rsidRDefault="00C9686E" w:rsidP="00396A82">
            <w:pPr>
              <w:pStyle w:val="TableParagraph"/>
              <w:jc w:val="center"/>
            </w:pPr>
            <w:r w:rsidRPr="008433BC">
              <w:t>33% (26</w:t>
            </w:r>
            <w:r w:rsidR="006268ED">
              <w:t>–</w:t>
            </w:r>
            <w:r w:rsidRPr="008433BC">
              <w:t>41)</w:t>
            </w:r>
          </w:p>
        </w:tc>
        <w:tc>
          <w:tcPr>
            <w:tcW w:w="1394" w:type="dxa"/>
            <w:tcBorders>
              <w:bottom w:val="single" w:sz="4" w:space="0" w:color="auto"/>
            </w:tcBorders>
            <w:vAlign w:val="center"/>
          </w:tcPr>
          <w:p w14:paraId="7B79B22A" w14:textId="6488F614" w:rsidR="00C9686E" w:rsidRPr="008433BC" w:rsidRDefault="00C9686E" w:rsidP="00396A82">
            <w:pPr>
              <w:pStyle w:val="TableParagraph"/>
              <w:jc w:val="center"/>
            </w:pPr>
            <w:r w:rsidRPr="008433BC">
              <w:t>27% (19</w:t>
            </w:r>
            <w:r w:rsidR="006268ED">
              <w:t>–</w:t>
            </w:r>
            <w:r w:rsidRPr="008433BC">
              <w:t>36)</w:t>
            </w:r>
          </w:p>
        </w:tc>
        <w:tc>
          <w:tcPr>
            <w:tcW w:w="1395" w:type="dxa"/>
            <w:tcBorders>
              <w:bottom w:val="single" w:sz="4" w:space="0" w:color="auto"/>
            </w:tcBorders>
            <w:vAlign w:val="center"/>
          </w:tcPr>
          <w:p w14:paraId="06B4E581" w14:textId="755550CD" w:rsidR="00C9686E" w:rsidRPr="008433BC" w:rsidRDefault="00C9686E" w:rsidP="00396A82">
            <w:pPr>
              <w:pStyle w:val="TableParagraph"/>
              <w:jc w:val="center"/>
            </w:pPr>
            <w:r w:rsidRPr="008433BC">
              <w:t>46% (31</w:t>
            </w:r>
            <w:r w:rsidR="006268ED">
              <w:t>–</w:t>
            </w:r>
            <w:r w:rsidRPr="008433BC">
              <w:t>61)</w:t>
            </w:r>
          </w:p>
        </w:tc>
        <w:tc>
          <w:tcPr>
            <w:tcW w:w="1397" w:type="dxa"/>
            <w:tcBorders>
              <w:bottom w:val="single" w:sz="4" w:space="0" w:color="auto"/>
            </w:tcBorders>
            <w:vAlign w:val="center"/>
          </w:tcPr>
          <w:p w14:paraId="64D53D3C" w14:textId="6509CC1F" w:rsidR="00C9686E" w:rsidRPr="008433BC" w:rsidRDefault="00C9686E" w:rsidP="00396A82">
            <w:pPr>
              <w:pStyle w:val="TableParagraph"/>
              <w:jc w:val="center"/>
            </w:pPr>
            <w:r w:rsidRPr="008433BC">
              <w:t>54% (39</w:t>
            </w:r>
            <w:r w:rsidR="006268ED">
              <w:t>–</w:t>
            </w:r>
            <w:r w:rsidRPr="008433BC">
              <w:t>69)</w:t>
            </w:r>
          </w:p>
        </w:tc>
      </w:tr>
      <w:tr w:rsidR="00C9686E" w:rsidRPr="008433BC" w14:paraId="65589CD7" w14:textId="77777777" w:rsidTr="00396A82">
        <w:trPr>
          <w:trHeight w:val="20"/>
        </w:trPr>
        <w:tc>
          <w:tcPr>
            <w:tcW w:w="9072" w:type="dxa"/>
            <w:gridSpan w:val="6"/>
            <w:tcBorders>
              <w:top w:val="single" w:sz="4" w:space="0" w:color="auto"/>
              <w:bottom w:val="single" w:sz="4" w:space="0" w:color="auto"/>
            </w:tcBorders>
            <w:vAlign w:val="center"/>
          </w:tcPr>
          <w:p w14:paraId="4DCA4F7F" w14:textId="77777777" w:rsidR="00C9686E" w:rsidRPr="008433BC" w:rsidRDefault="00C9686E" w:rsidP="00396A82">
            <w:pPr>
              <w:pStyle w:val="TableParagraph"/>
            </w:pPr>
            <w:r w:rsidRPr="008433BC">
              <w:rPr>
                <w:b/>
              </w:rPr>
              <w:t>Preživljenje (%; procjena po Kaplan-Meieru)</w:t>
            </w:r>
          </w:p>
        </w:tc>
      </w:tr>
      <w:tr w:rsidR="00C9686E" w:rsidRPr="008433BC" w14:paraId="509B78D7" w14:textId="77777777" w:rsidTr="00396A82">
        <w:trPr>
          <w:trHeight w:val="20"/>
        </w:trPr>
        <w:tc>
          <w:tcPr>
            <w:tcW w:w="2028" w:type="dxa"/>
            <w:tcBorders>
              <w:top w:val="single" w:sz="4" w:space="0" w:color="auto"/>
            </w:tcBorders>
            <w:vAlign w:val="center"/>
          </w:tcPr>
          <w:p w14:paraId="1385DEEA" w14:textId="77777777" w:rsidR="00C9686E" w:rsidRPr="008433BC" w:rsidRDefault="00C9686E" w:rsidP="002C3132">
            <w:pPr>
              <w:pStyle w:val="TableParagraph"/>
              <w:jc w:val="center"/>
            </w:pPr>
            <w:r w:rsidRPr="008433BC">
              <w:t>Bez progresije</w:t>
            </w:r>
          </w:p>
        </w:tc>
        <w:tc>
          <w:tcPr>
            <w:tcW w:w="1465" w:type="dxa"/>
            <w:tcBorders>
              <w:top w:val="single" w:sz="4" w:space="0" w:color="auto"/>
            </w:tcBorders>
            <w:vAlign w:val="center"/>
          </w:tcPr>
          <w:p w14:paraId="11C585B0" w14:textId="77777777" w:rsidR="00C9686E" w:rsidRPr="008433BC" w:rsidRDefault="00C9686E" w:rsidP="00396A82">
            <w:pPr>
              <w:pStyle w:val="TableParagraph"/>
              <w:jc w:val="center"/>
            </w:pPr>
          </w:p>
        </w:tc>
        <w:tc>
          <w:tcPr>
            <w:tcW w:w="1393" w:type="dxa"/>
            <w:tcBorders>
              <w:top w:val="single" w:sz="4" w:space="0" w:color="auto"/>
            </w:tcBorders>
            <w:vAlign w:val="center"/>
          </w:tcPr>
          <w:p w14:paraId="61A659C6" w14:textId="77777777" w:rsidR="00C9686E" w:rsidRPr="008433BC" w:rsidRDefault="00C9686E" w:rsidP="00396A82">
            <w:pPr>
              <w:pStyle w:val="TableParagraph"/>
              <w:jc w:val="center"/>
            </w:pPr>
          </w:p>
        </w:tc>
        <w:tc>
          <w:tcPr>
            <w:tcW w:w="1394" w:type="dxa"/>
            <w:tcBorders>
              <w:top w:val="single" w:sz="4" w:space="0" w:color="auto"/>
            </w:tcBorders>
            <w:vAlign w:val="center"/>
          </w:tcPr>
          <w:p w14:paraId="45CEDA8B" w14:textId="77777777" w:rsidR="00C9686E" w:rsidRPr="008433BC" w:rsidRDefault="00C9686E" w:rsidP="00396A82">
            <w:pPr>
              <w:pStyle w:val="TableParagraph"/>
              <w:jc w:val="center"/>
            </w:pPr>
          </w:p>
        </w:tc>
        <w:tc>
          <w:tcPr>
            <w:tcW w:w="1395" w:type="dxa"/>
            <w:tcBorders>
              <w:top w:val="single" w:sz="4" w:space="0" w:color="auto"/>
            </w:tcBorders>
            <w:vAlign w:val="center"/>
          </w:tcPr>
          <w:p w14:paraId="2BA2E9A1" w14:textId="77777777" w:rsidR="00C9686E" w:rsidRPr="008433BC" w:rsidRDefault="00C9686E" w:rsidP="00396A82">
            <w:pPr>
              <w:pStyle w:val="TableParagraph"/>
              <w:jc w:val="center"/>
            </w:pPr>
          </w:p>
        </w:tc>
        <w:tc>
          <w:tcPr>
            <w:tcW w:w="1397" w:type="dxa"/>
            <w:tcBorders>
              <w:top w:val="single" w:sz="4" w:space="0" w:color="auto"/>
            </w:tcBorders>
            <w:vAlign w:val="center"/>
          </w:tcPr>
          <w:p w14:paraId="23E984E1" w14:textId="77777777" w:rsidR="00C9686E" w:rsidRPr="008433BC" w:rsidRDefault="00C9686E" w:rsidP="00396A82">
            <w:pPr>
              <w:pStyle w:val="TableParagraph"/>
              <w:jc w:val="center"/>
            </w:pPr>
          </w:p>
        </w:tc>
      </w:tr>
      <w:tr w:rsidR="00C9686E" w:rsidRPr="008433BC" w14:paraId="2125B0F0" w14:textId="77777777" w:rsidTr="00396A82">
        <w:trPr>
          <w:trHeight w:val="20"/>
        </w:trPr>
        <w:tc>
          <w:tcPr>
            <w:tcW w:w="2028" w:type="dxa"/>
            <w:vAlign w:val="center"/>
          </w:tcPr>
          <w:p w14:paraId="7777A66B" w14:textId="77777777" w:rsidR="00C9686E" w:rsidRPr="008433BC" w:rsidRDefault="00C9686E" w:rsidP="002C3132">
            <w:pPr>
              <w:pStyle w:val="TableParagraph"/>
              <w:ind w:firstLine="360"/>
              <w:jc w:val="center"/>
            </w:pPr>
            <w:r w:rsidRPr="008433BC">
              <w:t>1 godina</w:t>
            </w:r>
          </w:p>
        </w:tc>
        <w:tc>
          <w:tcPr>
            <w:tcW w:w="1465" w:type="dxa"/>
            <w:vAlign w:val="center"/>
          </w:tcPr>
          <w:p w14:paraId="443860AA" w14:textId="43E8A0A5" w:rsidR="00C9686E" w:rsidRPr="008433BC" w:rsidRDefault="00C9686E" w:rsidP="00396A82">
            <w:pPr>
              <w:pStyle w:val="TableParagraph"/>
              <w:jc w:val="center"/>
            </w:pPr>
            <w:r w:rsidRPr="008433BC">
              <w:t>91% (88</w:t>
            </w:r>
            <w:r w:rsidR="006268ED">
              <w:t>–</w:t>
            </w:r>
            <w:r w:rsidRPr="008433BC">
              <w:t>94)</w:t>
            </w:r>
          </w:p>
        </w:tc>
        <w:tc>
          <w:tcPr>
            <w:tcW w:w="1393" w:type="dxa"/>
            <w:vAlign w:val="center"/>
          </w:tcPr>
          <w:p w14:paraId="41E13518" w14:textId="4E67BC8C" w:rsidR="00C9686E" w:rsidRPr="008433BC" w:rsidRDefault="00C9686E" w:rsidP="00396A82">
            <w:pPr>
              <w:pStyle w:val="TableParagraph"/>
              <w:jc w:val="center"/>
            </w:pPr>
            <w:r w:rsidRPr="008433BC">
              <w:t>64% (57</w:t>
            </w:r>
            <w:r w:rsidR="006268ED">
              <w:t>–</w:t>
            </w:r>
            <w:r w:rsidRPr="008433BC">
              <w:t>72)</w:t>
            </w:r>
          </w:p>
        </w:tc>
        <w:tc>
          <w:tcPr>
            <w:tcW w:w="1394" w:type="dxa"/>
            <w:vAlign w:val="center"/>
          </w:tcPr>
          <w:p w14:paraId="77BEC3AA" w14:textId="7CB92232" w:rsidR="00C9686E" w:rsidRPr="008433BC" w:rsidRDefault="00C9686E" w:rsidP="00396A82">
            <w:pPr>
              <w:pStyle w:val="TableParagraph"/>
              <w:jc w:val="center"/>
            </w:pPr>
            <w:r w:rsidRPr="008433BC">
              <w:t>35% (25</w:t>
            </w:r>
            <w:r w:rsidR="006268ED">
              <w:t>–</w:t>
            </w:r>
            <w:r w:rsidRPr="008433BC">
              <w:t>45)</w:t>
            </w:r>
          </w:p>
        </w:tc>
        <w:tc>
          <w:tcPr>
            <w:tcW w:w="1395" w:type="dxa"/>
            <w:vAlign w:val="center"/>
          </w:tcPr>
          <w:p w14:paraId="6C654AD0" w14:textId="6561C21C" w:rsidR="00C9686E" w:rsidRPr="008433BC" w:rsidRDefault="00C9686E" w:rsidP="00396A82">
            <w:pPr>
              <w:pStyle w:val="TableParagraph"/>
              <w:jc w:val="center"/>
            </w:pPr>
            <w:r w:rsidRPr="008433BC">
              <w:t>14% (3</w:t>
            </w:r>
            <w:r w:rsidR="006268ED">
              <w:t>–</w:t>
            </w:r>
            <w:r w:rsidRPr="008433BC">
              <w:t>25)</w:t>
            </w:r>
          </w:p>
        </w:tc>
        <w:tc>
          <w:tcPr>
            <w:tcW w:w="1397" w:type="dxa"/>
            <w:vAlign w:val="center"/>
          </w:tcPr>
          <w:p w14:paraId="04F409B9" w14:textId="7260A661" w:rsidR="00C9686E" w:rsidRPr="008433BC" w:rsidRDefault="00C9686E" w:rsidP="00396A82">
            <w:pPr>
              <w:pStyle w:val="TableParagraph"/>
              <w:jc w:val="center"/>
            </w:pPr>
            <w:r w:rsidRPr="008433BC">
              <w:t>21% (9</w:t>
            </w:r>
            <w:r w:rsidR="006268ED">
              <w:t>–</w:t>
            </w:r>
            <w:r w:rsidRPr="008433BC">
              <w:t>34)</w:t>
            </w:r>
          </w:p>
        </w:tc>
      </w:tr>
      <w:tr w:rsidR="00C9686E" w:rsidRPr="008433BC" w14:paraId="12066A6D" w14:textId="77777777" w:rsidTr="00396A82">
        <w:trPr>
          <w:trHeight w:val="20"/>
        </w:trPr>
        <w:tc>
          <w:tcPr>
            <w:tcW w:w="2028" w:type="dxa"/>
            <w:tcBorders>
              <w:bottom w:val="single" w:sz="4" w:space="0" w:color="auto"/>
            </w:tcBorders>
            <w:vAlign w:val="center"/>
          </w:tcPr>
          <w:p w14:paraId="3E01998A" w14:textId="77777777" w:rsidR="00C9686E" w:rsidRPr="008433BC" w:rsidRDefault="00C9686E" w:rsidP="002C3132">
            <w:pPr>
              <w:pStyle w:val="TableParagraph"/>
              <w:ind w:firstLine="360"/>
              <w:jc w:val="center"/>
            </w:pPr>
            <w:r w:rsidRPr="008433BC">
              <w:t>2 godine</w:t>
            </w:r>
          </w:p>
        </w:tc>
        <w:tc>
          <w:tcPr>
            <w:tcW w:w="1465" w:type="dxa"/>
            <w:tcBorders>
              <w:bottom w:val="single" w:sz="4" w:space="0" w:color="auto"/>
            </w:tcBorders>
            <w:vAlign w:val="center"/>
          </w:tcPr>
          <w:p w14:paraId="5E6C1F5E" w14:textId="00DBBAE6" w:rsidR="00C9686E" w:rsidRPr="008433BC" w:rsidRDefault="00C9686E" w:rsidP="00396A82">
            <w:pPr>
              <w:pStyle w:val="TableParagraph"/>
              <w:jc w:val="center"/>
            </w:pPr>
            <w:r w:rsidRPr="008433BC">
              <w:t>80% (75</w:t>
            </w:r>
            <w:r w:rsidR="006268ED">
              <w:t>–</w:t>
            </w:r>
            <w:r w:rsidRPr="008433BC">
              <w:t>84)</w:t>
            </w:r>
          </w:p>
        </w:tc>
        <w:tc>
          <w:tcPr>
            <w:tcW w:w="1393" w:type="dxa"/>
            <w:tcBorders>
              <w:bottom w:val="single" w:sz="4" w:space="0" w:color="auto"/>
            </w:tcBorders>
            <w:vAlign w:val="center"/>
          </w:tcPr>
          <w:p w14:paraId="74FC49FD" w14:textId="089DAD26" w:rsidR="00C9686E" w:rsidRPr="008433BC" w:rsidRDefault="00C9686E" w:rsidP="006268ED">
            <w:pPr>
              <w:pStyle w:val="TableParagraph"/>
              <w:jc w:val="center"/>
            </w:pPr>
            <w:r w:rsidRPr="008433BC">
              <w:t>46% (38</w:t>
            </w:r>
            <w:r w:rsidR="006268ED">
              <w:t>–</w:t>
            </w:r>
            <w:r w:rsidRPr="008433BC">
              <w:t>54)</w:t>
            </w:r>
          </w:p>
        </w:tc>
        <w:tc>
          <w:tcPr>
            <w:tcW w:w="1394" w:type="dxa"/>
            <w:tcBorders>
              <w:bottom w:val="single" w:sz="4" w:space="0" w:color="auto"/>
            </w:tcBorders>
            <w:vAlign w:val="center"/>
          </w:tcPr>
          <w:p w14:paraId="0DAF5DE2" w14:textId="24084900" w:rsidR="00C9686E" w:rsidRPr="008433BC" w:rsidRDefault="00C9686E" w:rsidP="00396A82">
            <w:pPr>
              <w:pStyle w:val="TableParagraph"/>
              <w:jc w:val="center"/>
            </w:pPr>
            <w:r w:rsidRPr="008433BC">
              <w:t>20% (11</w:t>
            </w:r>
            <w:r w:rsidR="006268ED">
              <w:t>–</w:t>
            </w:r>
            <w:r w:rsidRPr="008433BC">
              <w:t>29)</w:t>
            </w:r>
          </w:p>
        </w:tc>
        <w:tc>
          <w:tcPr>
            <w:tcW w:w="1395" w:type="dxa"/>
            <w:tcBorders>
              <w:bottom w:val="single" w:sz="4" w:space="0" w:color="auto"/>
            </w:tcBorders>
            <w:vAlign w:val="center"/>
          </w:tcPr>
          <w:p w14:paraId="1BB15B08" w14:textId="6CE53AD5" w:rsidR="00C9686E" w:rsidRPr="008433BC" w:rsidRDefault="00C9686E" w:rsidP="00396A82">
            <w:pPr>
              <w:pStyle w:val="TableParagraph"/>
              <w:jc w:val="center"/>
            </w:pPr>
            <w:r w:rsidRPr="008433BC">
              <w:t>5% (0</w:t>
            </w:r>
            <w:r w:rsidR="006268ED">
              <w:t>–</w:t>
            </w:r>
            <w:r w:rsidRPr="008433BC">
              <w:t>13)</w:t>
            </w:r>
          </w:p>
        </w:tc>
        <w:tc>
          <w:tcPr>
            <w:tcW w:w="1397" w:type="dxa"/>
            <w:tcBorders>
              <w:bottom w:val="single" w:sz="4" w:space="0" w:color="auto"/>
            </w:tcBorders>
            <w:vAlign w:val="center"/>
          </w:tcPr>
          <w:p w14:paraId="7DFDF0A8" w14:textId="310EFDEB" w:rsidR="00C9686E" w:rsidRPr="008433BC" w:rsidRDefault="00C9686E" w:rsidP="00396A82">
            <w:pPr>
              <w:pStyle w:val="TableParagraph"/>
              <w:jc w:val="center"/>
            </w:pPr>
            <w:r w:rsidRPr="008433BC">
              <w:t>12% (2</w:t>
            </w:r>
            <w:r w:rsidR="006268ED">
              <w:t>–</w:t>
            </w:r>
            <w:r w:rsidRPr="008433BC">
              <w:t>23)</w:t>
            </w:r>
          </w:p>
        </w:tc>
      </w:tr>
      <w:tr w:rsidR="00C9686E" w:rsidRPr="008433BC" w14:paraId="1B16F9F3" w14:textId="77777777" w:rsidTr="00396A82">
        <w:trPr>
          <w:trHeight w:val="20"/>
        </w:trPr>
        <w:tc>
          <w:tcPr>
            <w:tcW w:w="2028" w:type="dxa"/>
            <w:tcBorders>
              <w:top w:val="single" w:sz="4" w:space="0" w:color="auto"/>
            </w:tcBorders>
            <w:vAlign w:val="center"/>
          </w:tcPr>
          <w:p w14:paraId="1B2D81C9" w14:textId="77777777" w:rsidR="00C9686E" w:rsidRPr="008433BC" w:rsidRDefault="00C9686E" w:rsidP="002C3132">
            <w:pPr>
              <w:pStyle w:val="TableParagraph"/>
              <w:jc w:val="center"/>
            </w:pPr>
            <w:r w:rsidRPr="008433BC">
              <w:t>Ukupno</w:t>
            </w:r>
          </w:p>
        </w:tc>
        <w:tc>
          <w:tcPr>
            <w:tcW w:w="1465" w:type="dxa"/>
            <w:tcBorders>
              <w:top w:val="single" w:sz="4" w:space="0" w:color="auto"/>
            </w:tcBorders>
            <w:vAlign w:val="center"/>
          </w:tcPr>
          <w:p w14:paraId="3BD8B99C" w14:textId="77777777" w:rsidR="00C9686E" w:rsidRPr="008433BC" w:rsidRDefault="00C9686E" w:rsidP="00396A82">
            <w:pPr>
              <w:pStyle w:val="TableParagraph"/>
              <w:jc w:val="center"/>
            </w:pPr>
          </w:p>
        </w:tc>
        <w:tc>
          <w:tcPr>
            <w:tcW w:w="1393" w:type="dxa"/>
            <w:tcBorders>
              <w:top w:val="single" w:sz="4" w:space="0" w:color="auto"/>
            </w:tcBorders>
            <w:vAlign w:val="center"/>
          </w:tcPr>
          <w:p w14:paraId="04557B5B" w14:textId="77777777" w:rsidR="00C9686E" w:rsidRPr="008433BC" w:rsidRDefault="00C9686E" w:rsidP="00396A82">
            <w:pPr>
              <w:pStyle w:val="TableParagraph"/>
              <w:jc w:val="center"/>
            </w:pPr>
          </w:p>
        </w:tc>
        <w:tc>
          <w:tcPr>
            <w:tcW w:w="1394" w:type="dxa"/>
            <w:tcBorders>
              <w:top w:val="single" w:sz="4" w:space="0" w:color="auto"/>
            </w:tcBorders>
            <w:vAlign w:val="center"/>
          </w:tcPr>
          <w:p w14:paraId="5E69F1D4" w14:textId="77777777" w:rsidR="00C9686E" w:rsidRPr="008433BC" w:rsidRDefault="00C9686E" w:rsidP="00396A82">
            <w:pPr>
              <w:pStyle w:val="TableParagraph"/>
              <w:jc w:val="center"/>
            </w:pPr>
          </w:p>
        </w:tc>
        <w:tc>
          <w:tcPr>
            <w:tcW w:w="1395" w:type="dxa"/>
            <w:tcBorders>
              <w:top w:val="single" w:sz="4" w:space="0" w:color="auto"/>
            </w:tcBorders>
            <w:vAlign w:val="center"/>
          </w:tcPr>
          <w:p w14:paraId="216F2C75" w14:textId="77777777" w:rsidR="00C9686E" w:rsidRPr="008433BC" w:rsidRDefault="00C9686E" w:rsidP="00396A82">
            <w:pPr>
              <w:pStyle w:val="TableParagraph"/>
              <w:jc w:val="center"/>
            </w:pPr>
          </w:p>
        </w:tc>
        <w:tc>
          <w:tcPr>
            <w:tcW w:w="1397" w:type="dxa"/>
            <w:tcBorders>
              <w:top w:val="single" w:sz="4" w:space="0" w:color="auto"/>
            </w:tcBorders>
            <w:vAlign w:val="center"/>
          </w:tcPr>
          <w:p w14:paraId="41094132" w14:textId="77777777" w:rsidR="00C9686E" w:rsidRPr="008433BC" w:rsidRDefault="00C9686E" w:rsidP="00396A82">
            <w:pPr>
              <w:pStyle w:val="TableParagraph"/>
              <w:jc w:val="center"/>
            </w:pPr>
          </w:p>
        </w:tc>
      </w:tr>
      <w:tr w:rsidR="00C9686E" w:rsidRPr="008433BC" w14:paraId="2BF82A6A" w14:textId="77777777" w:rsidTr="00396A82">
        <w:trPr>
          <w:trHeight w:val="20"/>
        </w:trPr>
        <w:tc>
          <w:tcPr>
            <w:tcW w:w="2028" w:type="dxa"/>
            <w:vAlign w:val="center"/>
          </w:tcPr>
          <w:p w14:paraId="5B7FB080" w14:textId="77777777" w:rsidR="00C9686E" w:rsidRPr="008433BC" w:rsidRDefault="00C9686E" w:rsidP="002C3132">
            <w:pPr>
              <w:pStyle w:val="TableParagraph"/>
              <w:ind w:firstLine="360"/>
              <w:jc w:val="center"/>
            </w:pPr>
            <w:r w:rsidRPr="008433BC">
              <w:t>1 godina</w:t>
            </w:r>
          </w:p>
        </w:tc>
        <w:tc>
          <w:tcPr>
            <w:tcW w:w="1465" w:type="dxa"/>
            <w:vAlign w:val="center"/>
          </w:tcPr>
          <w:p w14:paraId="4CA2F471" w14:textId="272FFE42" w:rsidR="00C9686E" w:rsidRPr="008433BC" w:rsidRDefault="00C9686E" w:rsidP="00396A82">
            <w:pPr>
              <w:pStyle w:val="TableParagraph"/>
              <w:jc w:val="center"/>
            </w:pPr>
            <w:r w:rsidRPr="008433BC">
              <w:t>97% (95</w:t>
            </w:r>
            <w:r w:rsidR="006268ED">
              <w:t>–</w:t>
            </w:r>
            <w:r w:rsidRPr="008433BC">
              <w:t>99)</w:t>
            </w:r>
          </w:p>
        </w:tc>
        <w:tc>
          <w:tcPr>
            <w:tcW w:w="1393" w:type="dxa"/>
            <w:vAlign w:val="center"/>
          </w:tcPr>
          <w:p w14:paraId="22887A01" w14:textId="7739F44D" w:rsidR="00C9686E" w:rsidRPr="008433BC" w:rsidRDefault="00C9686E" w:rsidP="00396A82">
            <w:pPr>
              <w:pStyle w:val="TableParagraph"/>
              <w:jc w:val="center"/>
            </w:pPr>
            <w:r w:rsidRPr="008433BC">
              <w:t>83% (77</w:t>
            </w:r>
            <w:r w:rsidR="006268ED">
              <w:t>–</w:t>
            </w:r>
            <w:r w:rsidRPr="008433BC">
              <w:t>89)</w:t>
            </w:r>
          </w:p>
        </w:tc>
        <w:tc>
          <w:tcPr>
            <w:tcW w:w="1394" w:type="dxa"/>
            <w:vAlign w:val="center"/>
          </w:tcPr>
          <w:p w14:paraId="68BD41DE" w14:textId="055E355F" w:rsidR="00C9686E" w:rsidRPr="008433BC" w:rsidRDefault="00C9686E" w:rsidP="00396A82">
            <w:pPr>
              <w:pStyle w:val="TableParagraph"/>
              <w:jc w:val="center"/>
            </w:pPr>
            <w:r w:rsidRPr="008433BC">
              <w:t>48% (38</w:t>
            </w:r>
            <w:r w:rsidR="006268ED">
              <w:t>–</w:t>
            </w:r>
            <w:r w:rsidRPr="008433BC">
              <w:t>59)</w:t>
            </w:r>
          </w:p>
        </w:tc>
        <w:tc>
          <w:tcPr>
            <w:tcW w:w="1395" w:type="dxa"/>
            <w:vAlign w:val="center"/>
          </w:tcPr>
          <w:p w14:paraId="3F94C2C1" w14:textId="0A3239AF" w:rsidR="00C9686E" w:rsidRPr="008433BC" w:rsidRDefault="00C9686E" w:rsidP="00396A82">
            <w:pPr>
              <w:pStyle w:val="TableParagraph"/>
              <w:jc w:val="center"/>
            </w:pPr>
            <w:r w:rsidRPr="008433BC">
              <w:t>30% (14</w:t>
            </w:r>
            <w:r w:rsidR="006268ED">
              <w:t>–</w:t>
            </w:r>
            <w:r w:rsidRPr="008433BC">
              <w:t>47)</w:t>
            </w:r>
          </w:p>
        </w:tc>
        <w:tc>
          <w:tcPr>
            <w:tcW w:w="1397" w:type="dxa"/>
            <w:vAlign w:val="center"/>
          </w:tcPr>
          <w:p w14:paraId="49004F8A" w14:textId="43DB9C95" w:rsidR="00C9686E" w:rsidRPr="008433BC" w:rsidRDefault="00C9686E" w:rsidP="00396A82">
            <w:pPr>
              <w:pStyle w:val="TableParagraph"/>
              <w:jc w:val="center"/>
            </w:pPr>
            <w:r w:rsidRPr="008433BC">
              <w:t>35% (20</w:t>
            </w:r>
            <w:r w:rsidR="006268ED">
              <w:t>–</w:t>
            </w:r>
            <w:r w:rsidRPr="008433BC">
              <w:t>51)</w:t>
            </w:r>
          </w:p>
        </w:tc>
      </w:tr>
      <w:tr w:rsidR="00C9686E" w:rsidRPr="008433BC" w14:paraId="207792D4" w14:textId="77777777" w:rsidTr="00396A82">
        <w:trPr>
          <w:trHeight w:val="20"/>
        </w:trPr>
        <w:tc>
          <w:tcPr>
            <w:tcW w:w="2028" w:type="dxa"/>
            <w:tcBorders>
              <w:bottom w:val="single" w:sz="4" w:space="0" w:color="auto"/>
            </w:tcBorders>
            <w:vAlign w:val="center"/>
          </w:tcPr>
          <w:p w14:paraId="6A7FF0B5" w14:textId="77777777" w:rsidR="00C9686E" w:rsidRPr="008433BC" w:rsidRDefault="00C9686E" w:rsidP="002C3132">
            <w:pPr>
              <w:pStyle w:val="TableParagraph"/>
              <w:ind w:firstLine="360"/>
              <w:jc w:val="center"/>
            </w:pPr>
            <w:r w:rsidRPr="008433BC">
              <w:t>2 godine</w:t>
            </w:r>
          </w:p>
        </w:tc>
        <w:tc>
          <w:tcPr>
            <w:tcW w:w="1465" w:type="dxa"/>
            <w:tcBorders>
              <w:bottom w:val="single" w:sz="4" w:space="0" w:color="auto"/>
            </w:tcBorders>
            <w:vAlign w:val="center"/>
          </w:tcPr>
          <w:p w14:paraId="4942458A" w14:textId="5B12C7D5" w:rsidR="00C9686E" w:rsidRPr="008433BC" w:rsidRDefault="00C9686E" w:rsidP="00396A82">
            <w:pPr>
              <w:pStyle w:val="TableParagraph"/>
              <w:jc w:val="center"/>
            </w:pPr>
            <w:r w:rsidRPr="008433BC">
              <w:t>94% (91</w:t>
            </w:r>
            <w:r w:rsidR="006268ED">
              <w:t>–</w:t>
            </w:r>
            <w:r w:rsidRPr="008433BC">
              <w:t>97)</w:t>
            </w:r>
          </w:p>
        </w:tc>
        <w:tc>
          <w:tcPr>
            <w:tcW w:w="1393" w:type="dxa"/>
            <w:tcBorders>
              <w:bottom w:val="single" w:sz="4" w:space="0" w:color="auto"/>
            </w:tcBorders>
            <w:vAlign w:val="center"/>
          </w:tcPr>
          <w:p w14:paraId="0E72ADA8" w14:textId="7A89300F" w:rsidR="00C9686E" w:rsidRPr="008433BC" w:rsidRDefault="00C9686E" w:rsidP="00396A82">
            <w:pPr>
              <w:pStyle w:val="TableParagraph"/>
              <w:jc w:val="center"/>
            </w:pPr>
            <w:r w:rsidRPr="008433BC">
              <w:t>72% (64</w:t>
            </w:r>
            <w:r w:rsidR="006268ED">
              <w:t>–</w:t>
            </w:r>
            <w:r w:rsidRPr="008433BC">
              <w:t>79)</w:t>
            </w:r>
          </w:p>
        </w:tc>
        <w:tc>
          <w:tcPr>
            <w:tcW w:w="1394" w:type="dxa"/>
            <w:tcBorders>
              <w:bottom w:val="single" w:sz="4" w:space="0" w:color="auto"/>
            </w:tcBorders>
            <w:vAlign w:val="center"/>
          </w:tcPr>
          <w:p w14:paraId="607CB66F" w14:textId="7C05AF0C" w:rsidR="00C9686E" w:rsidRPr="008433BC" w:rsidRDefault="00C9686E" w:rsidP="00396A82">
            <w:pPr>
              <w:pStyle w:val="TableParagraph"/>
              <w:jc w:val="center"/>
            </w:pPr>
            <w:r w:rsidRPr="008433BC">
              <w:t>38% (27</w:t>
            </w:r>
            <w:r w:rsidR="006268ED">
              <w:t>–</w:t>
            </w:r>
            <w:r w:rsidRPr="008433BC">
              <w:t>50)</w:t>
            </w:r>
          </w:p>
        </w:tc>
        <w:tc>
          <w:tcPr>
            <w:tcW w:w="1395" w:type="dxa"/>
            <w:tcBorders>
              <w:bottom w:val="single" w:sz="4" w:space="0" w:color="auto"/>
            </w:tcBorders>
            <w:vAlign w:val="center"/>
          </w:tcPr>
          <w:p w14:paraId="2B6FA734" w14:textId="01196C74" w:rsidR="00C9686E" w:rsidRPr="008433BC" w:rsidRDefault="00C9686E" w:rsidP="00396A82">
            <w:pPr>
              <w:pStyle w:val="TableParagraph"/>
              <w:jc w:val="center"/>
            </w:pPr>
            <w:r w:rsidRPr="008433BC">
              <w:t>26% (10</w:t>
            </w:r>
            <w:r w:rsidR="006268ED">
              <w:t>–</w:t>
            </w:r>
            <w:r w:rsidRPr="008433BC">
              <w:t>42)</w:t>
            </w:r>
          </w:p>
        </w:tc>
        <w:tc>
          <w:tcPr>
            <w:tcW w:w="1397" w:type="dxa"/>
            <w:tcBorders>
              <w:bottom w:val="single" w:sz="4" w:space="0" w:color="auto"/>
            </w:tcBorders>
            <w:vAlign w:val="center"/>
          </w:tcPr>
          <w:p w14:paraId="756E386D" w14:textId="476252D1" w:rsidR="00C9686E" w:rsidRPr="008433BC" w:rsidRDefault="00C9686E" w:rsidP="00396A82">
            <w:pPr>
              <w:pStyle w:val="TableParagraph"/>
              <w:jc w:val="center"/>
            </w:pPr>
            <w:r w:rsidRPr="008433BC">
              <w:t>31% (16</w:t>
            </w:r>
            <w:r w:rsidR="006268ED">
              <w:t>–</w:t>
            </w:r>
            <w:r w:rsidRPr="008433BC">
              <w:t>47)</w:t>
            </w:r>
          </w:p>
        </w:tc>
      </w:tr>
    </w:tbl>
    <w:p w14:paraId="264891C7" w14:textId="6C77D011" w:rsidR="00AF7ABC" w:rsidRPr="00F25CE6" w:rsidRDefault="00422138" w:rsidP="00C9686E">
      <w:pPr>
        <w:pStyle w:val="Footnote"/>
        <w:ind w:left="0" w:firstLine="0"/>
      </w:pPr>
      <w:r w:rsidRPr="00F25CE6">
        <w:t xml:space="preserve">Podaci prikazani u ovoj tablici su iz ispitivanja u kojima se kao početna doza koristilo 70 mg </w:t>
      </w:r>
      <w:r w:rsidR="00CA0D31">
        <w:t xml:space="preserve">dasatiniba </w:t>
      </w:r>
      <w:r w:rsidRPr="00F25CE6">
        <w:t>dva puta dnevno. Vidjeti dio 4.2 za preporučenu početnu dozu.</w:t>
      </w:r>
    </w:p>
    <w:p w14:paraId="490D5310" w14:textId="220FEA01" w:rsidR="00AF7ABC" w:rsidRPr="00F25CE6" w:rsidRDefault="00422138" w:rsidP="00C9686E">
      <w:pPr>
        <w:pStyle w:val="Footnote"/>
      </w:pPr>
      <w:r w:rsidRPr="00C9686E">
        <w:rPr>
          <w:vertAlign w:val="superscript"/>
        </w:rPr>
        <w:t>a</w:t>
      </w:r>
      <w:r w:rsidR="002963F6">
        <w:t xml:space="preserve"> </w:t>
      </w:r>
      <w:r w:rsidRPr="00F25CE6">
        <w:t xml:space="preserve">Masno otisnute znamenke pokazuju rezultate za primarne </w:t>
      </w:r>
      <w:r w:rsidR="008C0693">
        <w:t xml:space="preserve">mjere </w:t>
      </w:r>
      <w:r w:rsidRPr="00F25CE6">
        <w:t>ishod</w:t>
      </w:r>
      <w:r w:rsidR="008C0693">
        <w:t>a</w:t>
      </w:r>
    </w:p>
    <w:p w14:paraId="1F386980" w14:textId="5EE09D43" w:rsidR="00AF7ABC" w:rsidRPr="00F25CE6" w:rsidRDefault="00422138" w:rsidP="00612D2B">
      <w:pPr>
        <w:pStyle w:val="Footnote"/>
        <w:ind w:left="0" w:firstLine="0"/>
      </w:pPr>
      <w:r w:rsidRPr="00C9686E">
        <w:rPr>
          <w:vertAlign w:val="superscript"/>
        </w:rPr>
        <w:t>b</w:t>
      </w:r>
      <w:r w:rsidR="002963F6">
        <w:t xml:space="preserve"> </w:t>
      </w:r>
      <w:r w:rsidRPr="00F25CE6">
        <w:t>Kriteriji hematološkog odgovora (svi odgovori potvrđeni nakon 4 tjedna): Značajan hematološki odgovor</w:t>
      </w:r>
      <w:r w:rsidR="000E36F7">
        <w:t xml:space="preserve"> (MaHR)</w:t>
      </w:r>
      <w:r w:rsidRPr="00F25CE6">
        <w:t xml:space="preserve"> = potpun hematološki odgovor </w:t>
      </w:r>
      <w:r w:rsidR="000E36F7">
        <w:t xml:space="preserve">(CHR) </w:t>
      </w:r>
      <w:r w:rsidRPr="00F25CE6">
        <w:t>+ nema dokaza leukemije</w:t>
      </w:r>
      <w:r w:rsidR="000E36F7" w:rsidRPr="000E36F7">
        <w:t xml:space="preserve"> </w:t>
      </w:r>
      <w:r w:rsidR="000E36F7" w:rsidRPr="00F25CE6">
        <w:t>(</w:t>
      </w:r>
      <w:r w:rsidR="000E36F7">
        <w:t>engl.</w:t>
      </w:r>
      <w:r w:rsidR="000E36F7" w:rsidRPr="000E36F7">
        <w:t xml:space="preserve"> </w:t>
      </w:r>
      <w:r w:rsidR="000E36F7" w:rsidRPr="00A66F1D">
        <w:rPr>
          <w:i/>
        </w:rPr>
        <w:t>no evidence of leukaemia</w:t>
      </w:r>
      <w:r w:rsidR="000E36F7">
        <w:rPr>
          <w:i/>
        </w:rPr>
        <w:t>,</w:t>
      </w:r>
      <w:r w:rsidR="000E36F7">
        <w:t xml:space="preserve"> </w:t>
      </w:r>
      <w:r w:rsidR="000E36F7" w:rsidRPr="00F25CE6">
        <w:t>NEL</w:t>
      </w:r>
      <w:r w:rsidRPr="00F25CE6">
        <w:t>).</w:t>
      </w:r>
    </w:p>
    <w:p w14:paraId="5234216D" w14:textId="69FDFF89" w:rsidR="00AF7ABC" w:rsidRPr="00F25CE6" w:rsidRDefault="00422138" w:rsidP="00612D2B">
      <w:pPr>
        <w:pStyle w:val="Footnote"/>
        <w:ind w:left="426" w:firstLine="0"/>
      </w:pPr>
      <w:r w:rsidRPr="00F25CE6">
        <w:t>CHR</w:t>
      </w:r>
      <w:r w:rsidR="0041164B">
        <w:t xml:space="preserve"> </w:t>
      </w:r>
      <w:r w:rsidRPr="00F25CE6">
        <w:t>(kroničn</w:t>
      </w:r>
      <w:r w:rsidR="00D70A36">
        <w:t>i</w:t>
      </w:r>
      <w:r w:rsidRPr="00F25CE6">
        <w:t xml:space="preserve"> KML): broj leukocita ≤ GGN za laboratorij, trombociti</w:t>
      </w:r>
      <w:r w:rsidR="00C9686E">
        <w:t xml:space="preserve"> </w:t>
      </w:r>
      <w:r w:rsidRPr="00F25CE6">
        <w:t>&lt; 450 000/mm</w:t>
      </w:r>
      <w:r w:rsidRPr="00F25CE6">
        <w:rPr>
          <w:vertAlign w:val="superscript"/>
        </w:rPr>
        <w:t>3</w:t>
      </w:r>
      <w:r w:rsidRPr="00F25CE6">
        <w:t>, bez blasta ili promijelocita u perifernoj krvi, &lt; 5% mijelocita plus metamijelociti u perifernoj krvi, bazofili u perifernoj krvi &lt; 20%, i bez ekstramedularne bolesti.</w:t>
      </w:r>
    </w:p>
    <w:p w14:paraId="34F328D7" w14:textId="50410FB3" w:rsidR="00AF7ABC" w:rsidRPr="00F25CE6" w:rsidRDefault="00422138" w:rsidP="00612D2B">
      <w:pPr>
        <w:pStyle w:val="Footnote"/>
        <w:ind w:left="426" w:firstLine="0"/>
      </w:pPr>
      <w:r w:rsidRPr="00F25CE6">
        <w:t>CHR (uznapredoval</w:t>
      </w:r>
      <w:r w:rsidR="00D70A36">
        <w:t>i</w:t>
      </w:r>
      <w:r w:rsidRPr="00F25CE6">
        <w:t xml:space="preserve"> KML/Ph+ ALL): broj leukocita ≤ GGN za laboratorij, ABN ≥ 1000/mm</w:t>
      </w:r>
      <w:r w:rsidRPr="00F25CE6">
        <w:rPr>
          <w:vertAlign w:val="superscript"/>
        </w:rPr>
        <w:t>3</w:t>
      </w:r>
      <w:r w:rsidRPr="00F25CE6">
        <w:t>, trombociti</w:t>
      </w:r>
      <w:r w:rsidR="00C9686E">
        <w:t xml:space="preserve"> </w:t>
      </w:r>
      <w:r w:rsidRPr="00F25CE6">
        <w:t>≥ 100 000/mm</w:t>
      </w:r>
      <w:r w:rsidRPr="00F25CE6">
        <w:rPr>
          <w:vertAlign w:val="superscript"/>
        </w:rPr>
        <w:t>3</w:t>
      </w:r>
      <w:r w:rsidRPr="00F25CE6">
        <w:t>, bez blasta ili promijelocita u perifernoj krvi, blasti u koštanoj srži ≤ 5%, &lt; 5% mijelociti plus metamijelociti u perifernoj krvi, bazofili u perifernoj krvi &lt; 20%, i bez ekstramedularne bolesti.</w:t>
      </w:r>
    </w:p>
    <w:p w14:paraId="6F729C90" w14:textId="77777777" w:rsidR="00AF7ABC" w:rsidRPr="00F25CE6" w:rsidRDefault="00422138" w:rsidP="00612D2B">
      <w:pPr>
        <w:pStyle w:val="Footnote"/>
        <w:ind w:left="426" w:firstLine="0"/>
      </w:pPr>
      <w:r w:rsidRPr="00F25CE6">
        <w:lastRenderedPageBreak/>
        <w:t>Nema dokaza leukemije: isti kriteriji kao i za CHR, ali ABN ≥ 500/mm</w:t>
      </w:r>
      <w:r w:rsidRPr="00F25CE6">
        <w:rPr>
          <w:vertAlign w:val="superscript"/>
        </w:rPr>
        <w:t>3</w:t>
      </w:r>
      <w:r w:rsidRPr="00F25CE6">
        <w:t xml:space="preserve"> i &lt; 1000/mm</w:t>
      </w:r>
      <w:r w:rsidRPr="00F25CE6">
        <w:rPr>
          <w:vertAlign w:val="superscript"/>
        </w:rPr>
        <w:t>3</w:t>
      </w:r>
      <w:r w:rsidRPr="00F25CE6">
        <w:t>, ili trombociti ≥ 20 000/mm</w:t>
      </w:r>
      <w:r w:rsidRPr="00F25CE6">
        <w:rPr>
          <w:vertAlign w:val="superscript"/>
        </w:rPr>
        <w:t>3</w:t>
      </w:r>
      <w:r w:rsidRPr="00F25CE6">
        <w:t xml:space="preserve"> i</w:t>
      </w:r>
      <w:r w:rsidR="00C9686E">
        <w:t xml:space="preserve"> </w:t>
      </w:r>
      <w:r w:rsidRPr="00F25CE6">
        <w:t>≤ 100 000/mm</w:t>
      </w:r>
      <w:r w:rsidRPr="00F25CE6">
        <w:rPr>
          <w:vertAlign w:val="superscript"/>
        </w:rPr>
        <w:t>3</w:t>
      </w:r>
      <w:r w:rsidRPr="00F25CE6">
        <w:t>.</w:t>
      </w:r>
    </w:p>
    <w:p w14:paraId="1AED4610" w14:textId="16618F2E" w:rsidR="00AF7ABC" w:rsidRPr="00F25CE6" w:rsidRDefault="00422138" w:rsidP="00612D2B">
      <w:pPr>
        <w:pStyle w:val="Footnote"/>
        <w:ind w:left="0" w:firstLine="0"/>
      </w:pPr>
      <w:r w:rsidRPr="00C9686E">
        <w:rPr>
          <w:vertAlign w:val="superscript"/>
        </w:rPr>
        <w:t>c</w:t>
      </w:r>
      <w:r w:rsidR="002963F6">
        <w:t xml:space="preserve"> </w:t>
      </w:r>
      <w:r w:rsidRPr="00F25CE6">
        <w:t>Kriteriji citogenetskog odgovora: potpuni (0% Ph+ metafaze) ili djelomični (&gt; 0%</w:t>
      </w:r>
      <w:r w:rsidR="008B34FA" w:rsidRPr="009474C0">
        <w:rPr>
          <w:sz w:val="22"/>
          <w:szCs w:val="22"/>
        </w:rPr>
        <w:t> – </w:t>
      </w:r>
      <w:r w:rsidRPr="00F25CE6">
        <w:t>35%). MCyR (0%</w:t>
      </w:r>
      <w:r w:rsidR="008B34FA" w:rsidRPr="009474C0">
        <w:rPr>
          <w:sz w:val="22"/>
          <w:szCs w:val="22"/>
        </w:rPr>
        <w:t> – </w:t>
      </w:r>
      <w:r w:rsidRPr="00F25CE6">
        <w:t>35%) obuhvaća i potpuni i djelomični odgovor.</w:t>
      </w:r>
    </w:p>
    <w:p w14:paraId="1BA59022" w14:textId="37BE90BB" w:rsidR="00AF7ABC" w:rsidRPr="00F25CE6" w:rsidRDefault="00422138" w:rsidP="00C9686E">
      <w:pPr>
        <w:pStyle w:val="Footnote"/>
      </w:pPr>
      <w:r w:rsidRPr="00F25CE6">
        <w:t xml:space="preserve">n/p = nije primjenjivo CI = </w:t>
      </w:r>
      <w:r w:rsidR="00446CFB">
        <w:t>interval</w:t>
      </w:r>
      <w:r w:rsidR="00446CFB" w:rsidRPr="00F25CE6">
        <w:t xml:space="preserve"> </w:t>
      </w:r>
      <w:r w:rsidRPr="00F25CE6">
        <w:t>pouzdanosti; GGN = gornja granica normalnog raspona.</w:t>
      </w:r>
    </w:p>
    <w:p w14:paraId="3997244B" w14:textId="77777777" w:rsidR="00AF7ABC" w:rsidRPr="00F25CE6" w:rsidRDefault="00AF7ABC" w:rsidP="00F25CE6">
      <w:pPr>
        <w:pStyle w:val="BodyText"/>
        <w:widowControl/>
        <w:rPr>
          <w:rFonts w:asciiTheme="majorBidi" w:hAnsiTheme="majorBidi" w:cstheme="majorBidi"/>
          <w:szCs w:val="22"/>
        </w:rPr>
      </w:pPr>
    </w:p>
    <w:p w14:paraId="76583712"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Ishod bolesnika s transplantacijom koštane srži nakon liječenja dasatinibom nije još u potpunosti ocijenjen.</w:t>
      </w:r>
    </w:p>
    <w:p w14:paraId="3145A7F9" w14:textId="77777777" w:rsidR="00AF7ABC" w:rsidRPr="00F25CE6" w:rsidRDefault="00AF7ABC" w:rsidP="00F25CE6">
      <w:pPr>
        <w:pStyle w:val="BodyText"/>
        <w:widowControl/>
        <w:rPr>
          <w:rFonts w:asciiTheme="majorBidi" w:hAnsiTheme="majorBidi" w:cstheme="majorBidi"/>
          <w:szCs w:val="22"/>
        </w:rPr>
      </w:pPr>
    </w:p>
    <w:p w14:paraId="5849CDCD" w14:textId="24C3388B" w:rsidR="00C9686E" w:rsidRDefault="00422138" w:rsidP="00C9686E">
      <w:pPr>
        <w:keepNext/>
        <w:widowControl/>
        <w:rPr>
          <w:rFonts w:asciiTheme="majorBidi" w:hAnsiTheme="majorBidi" w:cstheme="majorBidi"/>
          <w:i/>
        </w:rPr>
      </w:pPr>
      <w:r w:rsidRPr="00F25CE6">
        <w:rPr>
          <w:rFonts w:asciiTheme="majorBidi" w:hAnsiTheme="majorBidi" w:cstheme="majorBidi"/>
          <w:i/>
          <w:u w:val="single"/>
        </w:rPr>
        <w:t>Klinička ispitivanja faze III u bolesnika s KML</w:t>
      </w:r>
      <w:r w:rsidR="00D70A36">
        <w:rPr>
          <w:rFonts w:asciiTheme="majorBidi" w:hAnsiTheme="majorBidi" w:cstheme="majorBidi"/>
          <w:i/>
          <w:u w:val="single"/>
        </w:rPr>
        <w:t>-om</w:t>
      </w:r>
      <w:r w:rsidRPr="00F25CE6">
        <w:rPr>
          <w:rFonts w:asciiTheme="majorBidi" w:hAnsiTheme="majorBidi" w:cstheme="majorBidi"/>
          <w:i/>
          <w:u w:val="single"/>
        </w:rPr>
        <w:t xml:space="preserve"> u kroničnoj fazi, uznapredovaloj fazi ili fazi mijeloi</w:t>
      </w:r>
      <w:r w:rsidR="003E6C6B">
        <w:rPr>
          <w:rFonts w:asciiTheme="majorBidi" w:hAnsiTheme="majorBidi" w:cstheme="majorBidi"/>
          <w:i/>
          <w:u w:val="single"/>
        </w:rPr>
        <w:t>d</w:t>
      </w:r>
      <w:r w:rsidRPr="00F25CE6">
        <w:rPr>
          <w:rFonts w:asciiTheme="majorBidi" w:hAnsiTheme="majorBidi" w:cstheme="majorBidi"/>
          <w:i/>
          <w:u w:val="single"/>
        </w:rPr>
        <w:t>ne</w:t>
      </w:r>
      <w:r w:rsidRPr="00F25CE6">
        <w:rPr>
          <w:rFonts w:asciiTheme="majorBidi" w:hAnsiTheme="majorBidi" w:cstheme="majorBidi"/>
          <w:i/>
        </w:rPr>
        <w:t xml:space="preserve"> </w:t>
      </w:r>
      <w:r w:rsidRPr="00F25CE6">
        <w:rPr>
          <w:rFonts w:asciiTheme="majorBidi" w:hAnsiTheme="majorBidi" w:cstheme="majorBidi"/>
          <w:i/>
          <w:u w:val="single"/>
        </w:rPr>
        <w:t>blastne krize i Ph+ ALL</w:t>
      </w:r>
      <w:r w:rsidR="00446CFB">
        <w:rPr>
          <w:rFonts w:asciiTheme="majorBidi" w:hAnsiTheme="majorBidi" w:cstheme="majorBidi"/>
          <w:i/>
          <w:u w:val="single"/>
        </w:rPr>
        <w:t>-om</w:t>
      </w:r>
      <w:r w:rsidRPr="00F25CE6">
        <w:rPr>
          <w:rFonts w:asciiTheme="majorBidi" w:hAnsiTheme="majorBidi" w:cstheme="majorBidi"/>
          <w:i/>
          <w:u w:val="single"/>
        </w:rPr>
        <w:t xml:space="preserve"> koji ne podnose prethodnu terapiju imatinibom ili su otporni na imatinib</w:t>
      </w:r>
    </w:p>
    <w:p w14:paraId="22692337" w14:textId="77777777" w:rsidR="00AF7ABC" w:rsidRPr="00F25CE6" w:rsidRDefault="00422138" w:rsidP="00C9686E">
      <w:pPr>
        <w:widowControl/>
        <w:rPr>
          <w:rFonts w:asciiTheme="majorBidi" w:hAnsiTheme="majorBidi" w:cstheme="majorBidi"/>
        </w:rPr>
      </w:pPr>
      <w:r w:rsidRPr="00F25CE6">
        <w:rPr>
          <w:rFonts w:asciiTheme="majorBidi" w:hAnsiTheme="majorBidi" w:cstheme="majorBidi"/>
        </w:rPr>
        <w:t>Provedena su dva randomizirana ispitivanja otvorenog tipa da bi se ispitala djelotvornost primjene dasatiniba jedanput dnevno u usporedbi s primjenom dvaput dnevno. Niže navedeni rezultati temelje se na podacima nakon najmanje 2 godine i 7 godina praćenja od početka liječenja dasatinibom.</w:t>
      </w:r>
    </w:p>
    <w:p w14:paraId="3678C47B" w14:textId="77777777" w:rsidR="00AF7ABC" w:rsidRPr="00F25CE6" w:rsidRDefault="00AF7ABC" w:rsidP="00F25CE6">
      <w:pPr>
        <w:pStyle w:val="BodyText"/>
        <w:widowControl/>
        <w:rPr>
          <w:rFonts w:asciiTheme="majorBidi" w:hAnsiTheme="majorBidi" w:cstheme="majorBidi"/>
          <w:szCs w:val="22"/>
        </w:rPr>
      </w:pPr>
    </w:p>
    <w:p w14:paraId="521671CF"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Ispitivanje 1</w:t>
      </w:r>
    </w:p>
    <w:p w14:paraId="4218E4D8" w14:textId="767B079E" w:rsidR="00AF7ABC" w:rsidRPr="00F25CE6" w:rsidRDefault="00422138" w:rsidP="00C9686E">
      <w:pPr>
        <w:pStyle w:val="BodyText"/>
        <w:widowControl/>
        <w:rPr>
          <w:rFonts w:asciiTheme="majorBidi" w:hAnsiTheme="majorBidi" w:cstheme="majorBidi"/>
          <w:szCs w:val="22"/>
        </w:rPr>
      </w:pPr>
      <w:r w:rsidRPr="00F25CE6">
        <w:rPr>
          <w:rFonts w:asciiTheme="majorBidi" w:hAnsiTheme="majorBidi" w:cstheme="majorBidi"/>
          <w:szCs w:val="22"/>
        </w:rPr>
        <w:t>U ispitivanju KML</w:t>
      </w:r>
      <w:r w:rsidR="00D70A36">
        <w:rPr>
          <w:rFonts w:asciiTheme="majorBidi" w:hAnsiTheme="majorBidi" w:cstheme="majorBidi"/>
          <w:szCs w:val="22"/>
        </w:rPr>
        <w:t>-a</w:t>
      </w:r>
      <w:r w:rsidRPr="00F25CE6">
        <w:rPr>
          <w:rFonts w:asciiTheme="majorBidi" w:hAnsiTheme="majorBidi" w:cstheme="majorBidi"/>
          <w:szCs w:val="22"/>
        </w:rPr>
        <w:t xml:space="preserve"> u kroničnoj fazi, za primarn</w:t>
      </w:r>
      <w:r w:rsidR="00D70A36">
        <w:rPr>
          <w:rFonts w:asciiTheme="majorBidi" w:hAnsiTheme="majorBidi" w:cstheme="majorBidi"/>
          <w:szCs w:val="22"/>
        </w:rPr>
        <w:t>u mjeru</w:t>
      </w:r>
      <w:r w:rsidRPr="00F25CE6">
        <w:rPr>
          <w:rFonts w:asciiTheme="majorBidi" w:hAnsiTheme="majorBidi" w:cstheme="majorBidi"/>
          <w:szCs w:val="22"/>
        </w:rPr>
        <w:t xml:space="preserve"> ishod</w:t>
      </w:r>
      <w:r w:rsidR="00D70A36">
        <w:rPr>
          <w:rFonts w:asciiTheme="majorBidi" w:hAnsiTheme="majorBidi" w:cstheme="majorBidi"/>
          <w:szCs w:val="22"/>
        </w:rPr>
        <w:t>a</w:t>
      </w:r>
      <w:r w:rsidRPr="00F25CE6">
        <w:rPr>
          <w:rFonts w:asciiTheme="majorBidi" w:hAnsiTheme="majorBidi" w:cstheme="majorBidi"/>
          <w:szCs w:val="22"/>
        </w:rPr>
        <w:t xml:space="preserve"> odabran je značajan citogenetski odgovor u bolesnika otpornih na imatinib. Glavn</w:t>
      </w:r>
      <w:r w:rsidR="008C0693">
        <w:rPr>
          <w:rFonts w:asciiTheme="majorBidi" w:hAnsiTheme="majorBidi" w:cstheme="majorBidi"/>
          <w:szCs w:val="22"/>
        </w:rPr>
        <w:t>a</w:t>
      </w:r>
      <w:r w:rsidRPr="00F25CE6">
        <w:rPr>
          <w:rFonts w:asciiTheme="majorBidi" w:hAnsiTheme="majorBidi" w:cstheme="majorBidi"/>
          <w:szCs w:val="22"/>
        </w:rPr>
        <w:t xml:space="preserve"> sekundarn</w:t>
      </w:r>
      <w:r w:rsidR="008C0693">
        <w:rPr>
          <w:rFonts w:asciiTheme="majorBidi" w:hAnsiTheme="majorBidi" w:cstheme="majorBidi"/>
          <w:szCs w:val="22"/>
        </w:rPr>
        <w:t>a mjera</w:t>
      </w:r>
      <w:r w:rsidRPr="00F25CE6">
        <w:rPr>
          <w:rFonts w:asciiTheme="majorBidi" w:hAnsiTheme="majorBidi" w:cstheme="majorBidi"/>
          <w:szCs w:val="22"/>
        </w:rPr>
        <w:t xml:space="preserve"> ishod</w:t>
      </w:r>
      <w:r w:rsidR="008C0693">
        <w:rPr>
          <w:rFonts w:asciiTheme="majorBidi" w:hAnsiTheme="majorBidi" w:cstheme="majorBidi"/>
          <w:szCs w:val="22"/>
        </w:rPr>
        <w:t>a</w:t>
      </w:r>
      <w:r w:rsidRPr="00F25CE6">
        <w:rPr>
          <w:rFonts w:asciiTheme="majorBidi" w:hAnsiTheme="majorBidi" w:cstheme="majorBidi"/>
          <w:szCs w:val="22"/>
        </w:rPr>
        <w:t xml:space="preserve"> bil</w:t>
      </w:r>
      <w:r w:rsidR="008C0693">
        <w:rPr>
          <w:rFonts w:asciiTheme="majorBidi" w:hAnsiTheme="majorBidi" w:cstheme="majorBidi"/>
          <w:szCs w:val="22"/>
        </w:rPr>
        <w:t>a</w:t>
      </w:r>
      <w:r w:rsidRPr="00F25CE6">
        <w:rPr>
          <w:rFonts w:asciiTheme="majorBidi" w:hAnsiTheme="majorBidi" w:cstheme="majorBidi"/>
          <w:szCs w:val="22"/>
        </w:rPr>
        <w:t xml:space="preserve"> </w:t>
      </w:r>
      <w:r w:rsidR="008C0693">
        <w:rPr>
          <w:rFonts w:asciiTheme="majorBidi" w:hAnsiTheme="majorBidi" w:cstheme="majorBidi"/>
          <w:szCs w:val="22"/>
        </w:rPr>
        <w:t>je</w:t>
      </w:r>
      <w:r w:rsidRPr="00F25CE6">
        <w:rPr>
          <w:rFonts w:asciiTheme="majorBidi" w:hAnsiTheme="majorBidi" w:cstheme="majorBidi"/>
          <w:szCs w:val="22"/>
        </w:rPr>
        <w:t xml:space="preserve"> značajan citogenetski odgovor prema ukupnoj razini dnevne doze u bolesnika otpornih na imatinib. Drug</w:t>
      </w:r>
      <w:r w:rsidR="000D27A5">
        <w:rPr>
          <w:rFonts w:asciiTheme="majorBidi" w:hAnsiTheme="majorBidi" w:cstheme="majorBidi"/>
          <w:szCs w:val="22"/>
        </w:rPr>
        <w:t>e</w:t>
      </w:r>
      <w:r w:rsidRPr="00F25CE6">
        <w:rPr>
          <w:rFonts w:asciiTheme="majorBidi" w:hAnsiTheme="majorBidi" w:cstheme="majorBidi"/>
          <w:szCs w:val="22"/>
        </w:rPr>
        <w:t xml:space="preserve"> sekundarn</w:t>
      </w:r>
      <w:r w:rsidR="000D27A5">
        <w:rPr>
          <w:rFonts w:asciiTheme="majorBidi" w:hAnsiTheme="majorBidi" w:cstheme="majorBidi"/>
          <w:szCs w:val="22"/>
        </w:rPr>
        <w:t>e mjere</w:t>
      </w:r>
      <w:r w:rsidRPr="00F25CE6">
        <w:rPr>
          <w:rFonts w:asciiTheme="majorBidi" w:hAnsiTheme="majorBidi" w:cstheme="majorBidi"/>
          <w:szCs w:val="22"/>
        </w:rPr>
        <w:t xml:space="preserve"> ishod</w:t>
      </w:r>
      <w:r w:rsidR="000D27A5">
        <w:rPr>
          <w:rFonts w:asciiTheme="majorBidi" w:hAnsiTheme="majorBidi" w:cstheme="majorBidi"/>
          <w:szCs w:val="22"/>
        </w:rPr>
        <w:t>a</w:t>
      </w:r>
      <w:r w:rsidRPr="00F25CE6">
        <w:rPr>
          <w:rFonts w:asciiTheme="majorBidi" w:hAnsiTheme="majorBidi" w:cstheme="majorBidi"/>
          <w:szCs w:val="22"/>
        </w:rPr>
        <w:t xml:space="preserve"> bil</w:t>
      </w:r>
      <w:r w:rsidR="000D27A5">
        <w:rPr>
          <w:rFonts w:asciiTheme="majorBidi" w:hAnsiTheme="majorBidi" w:cstheme="majorBidi"/>
          <w:szCs w:val="22"/>
        </w:rPr>
        <w:t>e</w:t>
      </w:r>
      <w:r w:rsidRPr="00F25CE6">
        <w:rPr>
          <w:rFonts w:asciiTheme="majorBidi" w:hAnsiTheme="majorBidi" w:cstheme="majorBidi"/>
          <w:szCs w:val="22"/>
        </w:rPr>
        <w:t xml:space="preserve"> su trajanje značajnog citogenetskog odgovora, PFS i ukupno preživljenje. Ukupno je bilo</w:t>
      </w:r>
      <w:r w:rsidR="00C9686E">
        <w:rPr>
          <w:rFonts w:asciiTheme="majorBidi" w:hAnsiTheme="majorBidi" w:cstheme="majorBidi"/>
          <w:szCs w:val="22"/>
        </w:rPr>
        <w:t xml:space="preserve"> </w:t>
      </w:r>
      <w:r w:rsidRPr="00F25CE6">
        <w:rPr>
          <w:rFonts w:asciiTheme="majorBidi" w:hAnsiTheme="majorBidi" w:cstheme="majorBidi"/>
          <w:szCs w:val="22"/>
        </w:rPr>
        <w:t>randomizirano 670 bolesnika, od kojih je 497 bilo otporno na imatinib, u četiri skupine koje su primale sljedeće doze dasatiniba: 100 mg jedanput dnevno, 140 mg jedanput dnevno, 50 mg dvaput dnevno ili 70 mg dvaput dnevno. Medijan trajanja liječenja za sve bolesnike koji su još primali terapiju uz najmanje 5 godina praćenja (n</w:t>
      </w:r>
      <w:r w:rsidR="006268ED">
        <w:rPr>
          <w:rFonts w:asciiTheme="majorBidi" w:hAnsiTheme="majorBidi" w:cstheme="majorBidi"/>
          <w:szCs w:val="22"/>
        </w:rPr>
        <w:t> </w:t>
      </w:r>
      <w:r w:rsidRPr="00F25CE6">
        <w:rPr>
          <w:rFonts w:asciiTheme="majorBidi" w:hAnsiTheme="majorBidi" w:cstheme="majorBidi"/>
          <w:szCs w:val="22"/>
        </w:rPr>
        <w:t>=</w:t>
      </w:r>
      <w:r w:rsidR="006268ED">
        <w:rPr>
          <w:rFonts w:asciiTheme="majorBidi" w:hAnsiTheme="majorBidi" w:cstheme="majorBidi"/>
          <w:szCs w:val="22"/>
        </w:rPr>
        <w:t> </w:t>
      </w:r>
      <w:r w:rsidRPr="00F25CE6">
        <w:rPr>
          <w:rFonts w:asciiTheme="majorBidi" w:hAnsiTheme="majorBidi" w:cstheme="majorBidi"/>
          <w:szCs w:val="22"/>
        </w:rPr>
        <w:t>205) iznosio je 59 mjeseci (raspon: 28</w:t>
      </w:r>
      <w:r w:rsidR="00FE6F1F" w:rsidRPr="007C5A7B">
        <w:rPr>
          <w:rFonts w:asciiTheme="majorBidi" w:hAnsiTheme="majorBidi" w:cstheme="majorBidi"/>
          <w:szCs w:val="22"/>
        </w:rPr>
        <w:t xml:space="preserve"> </w:t>
      </w:r>
      <w:r w:rsidR="00FE6F1F" w:rsidRPr="009474C0">
        <w:rPr>
          <w:szCs w:val="22"/>
        </w:rPr>
        <w:t>– </w:t>
      </w:r>
      <w:r w:rsidRPr="00F25CE6">
        <w:rPr>
          <w:rFonts w:asciiTheme="majorBidi" w:hAnsiTheme="majorBidi" w:cstheme="majorBidi"/>
          <w:szCs w:val="22"/>
        </w:rPr>
        <w:t>66 mjeseci). Medijan trajanja liječenja za sve bolesnike u 7. godini praćenja iznosio je 29,8 mjeseci (raspon &lt;</w:t>
      </w:r>
      <w:r w:rsidR="008B34FA">
        <w:rPr>
          <w:rFonts w:asciiTheme="majorBidi" w:hAnsiTheme="majorBidi" w:cstheme="majorBidi"/>
          <w:szCs w:val="22"/>
        </w:rPr>
        <w:t> </w:t>
      </w:r>
      <w:r w:rsidRPr="00F25CE6">
        <w:rPr>
          <w:rFonts w:asciiTheme="majorBidi" w:hAnsiTheme="majorBidi" w:cstheme="majorBidi"/>
          <w:szCs w:val="22"/>
        </w:rPr>
        <w:t>1</w:t>
      </w:r>
      <w:r w:rsidR="008B34FA" w:rsidRPr="009474C0">
        <w:rPr>
          <w:szCs w:val="22"/>
        </w:rPr>
        <w:t> – </w:t>
      </w:r>
      <w:r w:rsidRPr="00F25CE6">
        <w:rPr>
          <w:rFonts w:asciiTheme="majorBidi" w:hAnsiTheme="majorBidi" w:cstheme="majorBidi"/>
          <w:szCs w:val="22"/>
        </w:rPr>
        <w:t>92,9 mjeseci).</w:t>
      </w:r>
    </w:p>
    <w:p w14:paraId="501019B8" w14:textId="77777777" w:rsidR="00AF7ABC" w:rsidRPr="00F25CE6" w:rsidRDefault="00AF7ABC" w:rsidP="00F25CE6">
      <w:pPr>
        <w:pStyle w:val="BodyText"/>
        <w:widowControl/>
        <w:rPr>
          <w:rFonts w:asciiTheme="majorBidi" w:hAnsiTheme="majorBidi" w:cstheme="majorBidi"/>
          <w:szCs w:val="22"/>
        </w:rPr>
      </w:pPr>
    </w:p>
    <w:p w14:paraId="60B19454" w14:textId="692CCA91" w:rsidR="00AF7ABC" w:rsidRPr="00F25CE6" w:rsidRDefault="00E711FB" w:rsidP="00F25CE6">
      <w:pPr>
        <w:pStyle w:val="BodyText"/>
        <w:widowControl/>
        <w:rPr>
          <w:rFonts w:asciiTheme="majorBidi" w:hAnsiTheme="majorBidi" w:cstheme="majorBidi"/>
          <w:szCs w:val="22"/>
        </w:rPr>
      </w:pPr>
      <w:r>
        <w:rPr>
          <w:rFonts w:asciiTheme="majorBidi" w:hAnsiTheme="majorBidi" w:cstheme="majorBidi"/>
          <w:szCs w:val="22"/>
        </w:rPr>
        <w:t>D</w:t>
      </w:r>
      <w:r w:rsidR="00422138" w:rsidRPr="00F25CE6">
        <w:rPr>
          <w:rFonts w:asciiTheme="majorBidi" w:hAnsiTheme="majorBidi" w:cstheme="majorBidi"/>
          <w:szCs w:val="22"/>
        </w:rPr>
        <w:t>jelotvorn</w:t>
      </w:r>
      <w:r>
        <w:rPr>
          <w:rFonts w:asciiTheme="majorBidi" w:hAnsiTheme="majorBidi" w:cstheme="majorBidi"/>
          <w:szCs w:val="22"/>
        </w:rPr>
        <w:t>ost je postignuta</w:t>
      </w:r>
      <w:r w:rsidR="00422138" w:rsidRPr="00F25CE6">
        <w:rPr>
          <w:rFonts w:asciiTheme="majorBidi" w:hAnsiTheme="majorBidi" w:cstheme="majorBidi"/>
          <w:szCs w:val="22"/>
        </w:rPr>
        <w:t xml:space="preserve"> u svim skupinama koje su primale </w:t>
      </w:r>
      <w:r>
        <w:rPr>
          <w:rFonts w:asciiTheme="majorBidi" w:hAnsiTheme="majorBidi" w:cstheme="majorBidi"/>
          <w:szCs w:val="22"/>
        </w:rPr>
        <w:t>dasatinib, pri čemu je raspored doziranja</w:t>
      </w:r>
      <w:r w:rsidR="00422138" w:rsidRPr="00F25CE6">
        <w:rPr>
          <w:rFonts w:asciiTheme="majorBidi" w:hAnsiTheme="majorBidi" w:cstheme="majorBidi"/>
          <w:szCs w:val="22"/>
        </w:rPr>
        <w:t xml:space="preserve"> jedanput dnevno</w:t>
      </w:r>
      <w:r>
        <w:rPr>
          <w:rFonts w:asciiTheme="majorBidi" w:hAnsiTheme="majorBidi" w:cstheme="majorBidi"/>
          <w:szCs w:val="22"/>
        </w:rPr>
        <w:t xml:space="preserve"> imao usporedivu djelotvornost (nije bio inferioran) s rasporedom doziranja dvaput dnevno s</w:t>
      </w:r>
      <w:r w:rsidRPr="00F25CE6">
        <w:rPr>
          <w:rFonts w:asciiTheme="majorBidi" w:hAnsiTheme="majorBidi" w:cstheme="majorBidi"/>
          <w:szCs w:val="22"/>
        </w:rPr>
        <w:t xml:space="preserve"> </w:t>
      </w:r>
      <w:r w:rsidR="00422138" w:rsidRPr="00F25CE6">
        <w:rPr>
          <w:rFonts w:asciiTheme="majorBidi" w:hAnsiTheme="majorBidi" w:cstheme="majorBidi"/>
          <w:szCs w:val="22"/>
        </w:rPr>
        <w:t>obzirom na primarn</w:t>
      </w:r>
      <w:r w:rsidR="008C0693">
        <w:rPr>
          <w:rFonts w:asciiTheme="majorBidi" w:hAnsiTheme="majorBidi" w:cstheme="majorBidi"/>
          <w:szCs w:val="22"/>
        </w:rPr>
        <w:t>u mjeru</w:t>
      </w:r>
      <w:r w:rsidR="00422138" w:rsidRPr="00F25CE6">
        <w:rPr>
          <w:rFonts w:asciiTheme="majorBidi" w:hAnsiTheme="majorBidi" w:cstheme="majorBidi"/>
          <w:szCs w:val="22"/>
        </w:rPr>
        <w:t xml:space="preserve"> ishod</w:t>
      </w:r>
      <w:r w:rsidR="008C0693">
        <w:rPr>
          <w:rFonts w:asciiTheme="majorBidi" w:hAnsiTheme="majorBidi" w:cstheme="majorBidi"/>
          <w:szCs w:val="22"/>
        </w:rPr>
        <w:t>a</w:t>
      </w:r>
      <w:r w:rsidR="00422138" w:rsidRPr="00F25CE6">
        <w:rPr>
          <w:rFonts w:asciiTheme="majorBidi" w:hAnsiTheme="majorBidi" w:cstheme="majorBidi"/>
          <w:szCs w:val="22"/>
        </w:rPr>
        <w:t xml:space="preserve"> </w:t>
      </w:r>
      <w:r>
        <w:rPr>
          <w:rFonts w:asciiTheme="majorBidi" w:hAnsiTheme="majorBidi" w:cstheme="majorBidi"/>
          <w:szCs w:val="22"/>
        </w:rPr>
        <w:t xml:space="preserve">za djelotvornost </w:t>
      </w:r>
      <w:r w:rsidR="00422138" w:rsidRPr="00F25CE6">
        <w:rPr>
          <w:rFonts w:asciiTheme="majorBidi" w:hAnsiTheme="majorBidi" w:cstheme="majorBidi"/>
          <w:szCs w:val="22"/>
        </w:rPr>
        <w:t xml:space="preserve">(razlika u značajnom citogenetskom odgovoru 1,9%; 95% interval pouzdanosti [-6,8% </w:t>
      </w:r>
      <w:r w:rsidR="006268ED">
        <w:t>–</w:t>
      </w:r>
      <w:r w:rsidR="00422138" w:rsidRPr="00F25CE6">
        <w:rPr>
          <w:rFonts w:asciiTheme="majorBidi" w:hAnsiTheme="majorBidi" w:cstheme="majorBidi"/>
          <w:szCs w:val="22"/>
        </w:rPr>
        <w:t xml:space="preserve"> 10,6%]); međutim, režim liječenja dozom od 100 mg jedanput dnevno pokazao je bolju sigurnost i podnošljivost. Rezultati djelotvornosti prikazani su u</w:t>
      </w:r>
      <w:r w:rsidR="003472AE">
        <w:rPr>
          <w:rFonts w:asciiTheme="majorBidi" w:hAnsiTheme="majorBidi" w:cstheme="majorBidi"/>
          <w:szCs w:val="22"/>
        </w:rPr>
        <w:t xml:space="preserve"> </w:t>
      </w:r>
      <w:r w:rsidR="00422138" w:rsidRPr="00F25CE6">
        <w:rPr>
          <w:rFonts w:asciiTheme="majorBidi" w:hAnsiTheme="majorBidi" w:cstheme="majorBidi"/>
          <w:szCs w:val="22"/>
        </w:rPr>
        <w:t>Tablicama 12 i 13.</w:t>
      </w:r>
    </w:p>
    <w:p w14:paraId="17944571" w14:textId="77777777" w:rsidR="00AF7ABC" w:rsidRPr="00F25CE6" w:rsidRDefault="00AF7ABC" w:rsidP="00F25CE6">
      <w:pPr>
        <w:pStyle w:val="BodyText"/>
        <w:widowControl/>
        <w:rPr>
          <w:rFonts w:asciiTheme="majorBidi" w:hAnsiTheme="majorBidi" w:cstheme="majorBidi"/>
          <w:szCs w:val="22"/>
        </w:rPr>
      </w:pPr>
    </w:p>
    <w:p w14:paraId="2E38BB3F" w14:textId="09A40730" w:rsidR="00891B95" w:rsidRPr="00F25CE6" w:rsidRDefault="00891B95" w:rsidP="00C9686E">
      <w:pPr>
        <w:pStyle w:val="Tableheading"/>
      </w:pPr>
      <w:r w:rsidRPr="00F25CE6">
        <w:t>Tablica 12:</w:t>
      </w:r>
      <w:r w:rsidR="00C9686E">
        <w:tab/>
      </w:r>
      <w:r w:rsidRPr="00F25CE6">
        <w:t xml:space="preserve">Djelotvornost </w:t>
      </w:r>
      <w:r w:rsidR="004A75D0">
        <w:t>dasatiniba</w:t>
      </w:r>
      <w:r w:rsidRPr="00F25CE6">
        <w:t xml:space="preserve"> u ispitivanju optimizacije doze faze III: bolesnici s KML</w:t>
      </w:r>
      <w:r w:rsidR="005854EA">
        <w:t>-om</w:t>
      </w:r>
      <w:r w:rsidRPr="00F25CE6">
        <w:t xml:space="preserve"> u kroničnoj fazi koji su otporni na imatinib ili ga ne podnose (2-godišnji rezultati)</w:t>
      </w:r>
      <w:r w:rsidRPr="00C9686E">
        <w:rPr>
          <w:vertAlign w:val="superscript"/>
        </w:rPr>
        <w:t>a</w:t>
      </w:r>
    </w:p>
    <w:tbl>
      <w:tblPr>
        <w:tblW w:w="9072" w:type="dxa"/>
        <w:tblInd w:w="58" w:type="dxa"/>
        <w:tblLayout w:type="fixed"/>
        <w:tblCellMar>
          <w:top w:w="14" w:type="dxa"/>
          <w:left w:w="58" w:type="dxa"/>
          <w:bottom w:w="14" w:type="dxa"/>
          <w:right w:w="58" w:type="dxa"/>
        </w:tblCellMar>
        <w:tblLook w:val="01E0" w:firstRow="1" w:lastRow="1" w:firstColumn="1" w:lastColumn="1" w:noHBand="0" w:noVBand="0"/>
      </w:tblPr>
      <w:tblGrid>
        <w:gridCol w:w="3060"/>
        <w:gridCol w:w="1476"/>
        <w:gridCol w:w="4536"/>
      </w:tblGrid>
      <w:tr w:rsidR="00C9686E" w:rsidRPr="006607A0" w14:paraId="29837A20" w14:textId="77777777" w:rsidTr="00396A82">
        <w:trPr>
          <w:trHeight w:val="20"/>
        </w:trPr>
        <w:tc>
          <w:tcPr>
            <w:tcW w:w="3060" w:type="dxa"/>
            <w:tcBorders>
              <w:top w:val="single" w:sz="4" w:space="0" w:color="auto"/>
            </w:tcBorders>
            <w:vAlign w:val="center"/>
          </w:tcPr>
          <w:p w14:paraId="51742665" w14:textId="77777777" w:rsidR="00C9686E" w:rsidRPr="006607A0" w:rsidRDefault="00C9686E" w:rsidP="00A66F1D">
            <w:pPr>
              <w:pStyle w:val="TableParagraph"/>
            </w:pPr>
            <w:r w:rsidRPr="006607A0">
              <w:rPr>
                <w:rFonts w:eastAsia="TimesNewRomanPS-BoldMT"/>
                <w:b/>
                <w:bCs/>
                <w:szCs w:val="21"/>
                <w:lang w:val="en-US" w:eastAsia="ko-KR"/>
              </w:rPr>
              <w:t xml:space="preserve">Svi </w:t>
            </w:r>
            <w:proofErr w:type="spellStart"/>
            <w:r w:rsidRPr="006607A0">
              <w:rPr>
                <w:rFonts w:eastAsia="TimesNewRomanPS-BoldMT"/>
                <w:b/>
                <w:bCs/>
                <w:szCs w:val="21"/>
                <w:lang w:val="en-US" w:eastAsia="ko-KR"/>
              </w:rPr>
              <w:t>bolesnici</w:t>
            </w:r>
            <w:proofErr w:type="spellEnd"/>
          </w:p>
        </w:tc>
        <w:tc>
          <w:tcPr>
            <w:tcW w:w="6012" w:type="dxa"/>
            <w:gridSpan w:val="2"/>
            <w:tcBorders>
              <w:top w:val="single" w:sz="4" w:space="0" w:color="auto"/>
              <w:bottom w:val="single" w:sz="4" w:space="0" w:color="auto"/>
            </w:tcBorders>
            <w:vAlign w:val="center"/>
          </w:tcPr>
          <w:p w14:paraId="6FF1C79B" w14:textId="0574A8E4" w:rsidR="00C9686E" w:rsidRPr="006607A0" w:rsidRDefault="00C9686E" w:rsidP="00396A82">
            <w:pPr>
              <w:pStyle w:val="TableParagraph"/>
              <w:jc w:val="center"/>
              <w:rPr>
                <w:b/>
              </w:rPr>
            </w:pPr>
            <w:r w:rsidRPr="006607A0">
              <w:rPr>
                <w:rFonts w:eastAsia="TimesNewRomanPS-BoldMT"/>
                <w:b/>
                <w:bCs/>
                <w:szCs w:val="21"/>
                <w:lang w:val="en-US" w:eastAsia="ko-KR"/>
              </w:rPr>
              <w:t>n</w:t>
            </w:r>
            <w:r w:rsidR="00ED06BA">
              <w:rPr>
                <w:rFonts w:eastAsia="TimesNewRomanPS-BoldMT"/>
                <w:b/>
                <w:bCs/>
                <w:szCs w:val="21"/>
                <w:lang w:val="en-US" w:eastAsia="ko-KR"/>
              </w:rPr>
              <w:t> </w:t>
            </w:r>
            <w:r w:rsidRPr="006607A0">
              <w:rPr>
                <w:rFonts w:eastAsia="TimesNewRomanPS-BoldMT"/>
                <w:b/>
                <w:bCs/>
                <w:szCs w:val="21"/>
                <w:lang w:val="en-US" w:eastAsia="ko-KR"/>
              </w:rPr>
              <w:t>=</w:t>
            </w:r>
            <w:r w:rsidR="00ED06BA">
              <w:rPr>
                <w:rFonts w:eastAsia="TimesNewRomanPS-BoldMT"/>
                <w:b/>
                <w:bCs/>
                <w:szCs w:val="21"/>
                <w:lang w:val="en-US" w:eastAsia="ko-KR"/>
              </w:rPr>
              <w:t> </w:t>
            </w:r>
            <w:r w:rsidRPr="006607A0">
              <w:rPr>
                <w:rFonts w:eastAsia="TimesNewRomanPS-BoldMT"/>
                <w:b/>
                <w:bCs/>
                <w:szCs w:val="21"/>
                <w:lang w:val="en-US" w:eastAsia="ko-KR"/>
              </w:rPr>
              <w:t>167</w:t>
            </w:r>
          </w:p>
        </w:tc>
      </w:tr>
      <w:tr w:rsidR="00C9686E" w:rsidRPr="006607A0" w14:paraId="0DFCFA3B" w14:textId="77777777" w:rsidTr="00396A82">
        <w:trPr>
          <w:trHeight w:val="20"/>
        </w:trPr>
        <w:tc>
          <w:tcPr>
            <w:tcW w:w="3060" w:type="dxa"/>
            <w:tcBorders>
              <w:bottom w:val="single" w:sz="4" w:space="0" w:color="auto"/>
            </w:tcBorders>
            <w:vAlign w:val="center"/>
          </w:tcPr>
          <w:p w14:paraId="33F0D7FF" w14:textId="717B4AF5" w:rsidR="00C9686E" w:rsidRPr="00A66F1D" w:rsidRDefault="00C9686E" w:rsidP="00A66F1D">
            <w:pPr>
              <w:pStyle w:val="TableParagraph"/>
              <w:rPr>
                <w:rFonts w:eastAsia="TimesNewRomanPS-BoldMT"/>
                <w:b/>
                <w:bCs/>
                <w:szCs w:val="21"/>
                <w:lang w:val="en-US" w:eastAsia="ko-KR"/>
              </w:rPr>
            </w:pPr>
            <w:proofErr w:type="spellStart"/>
            <w:r w:rsidRPr="006607A0">
              <w:rPr>
                <w:rFonts w:eastAsia="TimesNewRomanPS-BoldMT"/>
                <w:b/>
                <w:bCs/>
                <w:szCs w:val="21"/>
                <w:lang w:val="en-US" w:eastAsia="ko-KR"/>
              </w:rPr>
              <w:t>Bolesnici</w:t>
            </w:r>
            <w:proofErr w:type="spellEnd"/>
            <w:r w:rsidRPr="006607A0">
              <w:rPr>
                <w:rFonts w:eastAsia="TimesNewRomanPS-BoldMT"/>
                <w:b/>
                <w:bCs/>
                <w:szCs w:val="21"/>
                <w:lang w:val="en-US" w:eastAsia="ko-KR"/>
              </w:rPr>
              <w:t xml:space="preserve"> </w:t>
            </w:r>
            <w:proofErr w:type="spellStart"/>
            <w:r w:rsidRPr="006607A0">
              <w:rPr>
                <w:rFonts w:eastAsia="TimesNewRomanPS-BoldMT"/>
                <w:b/>
                <w:bCs/>
                <w:szCs w:val="21"/>
                <w:lang w:val="en-US" w:eastAsia="ko-KR"/>
              </w:rPr>
              <w:t>otporni</w:t>
            </w:r>
            <w:proofErr w:type="spellEnd"/>
            <w:r w:rsidRPr="006607A0">
              <w:rPr>
                <w:rFonts w:eastAsia="TimesNewRomanPS-BoldMT"/>
                <w:b/>
                <w:bCs/>
                <w:szCs w:val="21"/>
                <w:lang w:val="en-US" w:eastAsia="ko-KR"/>
              </w:rPr>
              <w:t xml:space="preserve"> </w:t>
            </w:r>
            <w:proofErr w:type="spellStart"/>
            <w:r w:rsidRPr="006607A0">
              <w:rPr>
                <w:rFonts w:eastAsia="TimesNewRomanPS-BoldMT"/>
                <w:b/>
                <w:bCs/>
                <w:szCs w:val="21"/>
                <w:lang w:val="en-US" w:eastAsia="ko-KR"/>
              </w:rPr>
              <w:t>na</w:t>
            </w:r>
            <w:proofErr w:type="spellEnd"/>
            <w:r w:rsidR="00016AF1">
              <w:rPr>
                <w:rFonts w:eastAsia="TimesNewRomanPS-BoldMT"/>
                <w:b/>
                <w:bCs/>
                <w:szCs w:val="21"/>
                <w:lang w:val="en-US" w:eastAsia="ko-KR"/>
              </w:rPr>
              <w:t xml:space="preserve"> </w:t>
            </w:r>
            <w:r w:rsidRPr="006607A0">
              <w:rPr>
                <w:rFonts w:eastAsia="TimesNewRomanPS-BoldMT"/>
                <w:b/>
                <w:bCs/>
                <w:szCs w:val="21"/>
                <w:lang w:val="en-US" w:eastAsia="ko-KR"/>
              </w:rPr>
              <w:t>imatinib</w:t>
            </w:r>
          </w:p>
        </w:tc>
        <w:tc>
          <w:tcPr>
            <w:tcW w:w="6012" w:type="dxa"/>
            <w:gridSpan w:val="2"/>
            <w:tcBorders>
              <w:top w:val="single" w:sz="4" w:space="0" w:color="auto"/>
              <w:bottom w:val="single" w:sz="4" w:space="0" w:color="auto"/>
            </w:tcBorders>
            <w:vAlign w:val="center"/>
          </w:tcPr>
          <w:p w14:paraId="399B1838" w14:textId="6849116D" w:rsidR="00C9686E" w:rsidRPr="006607A0" w:rsidRDefault="00C9686E" w:rsidP="00396A82">
            <w:pPr>
              <w:pStyle w:val="TableParagraph"/>
              <w:jc w:val="center"/>
              <w:rPr>
                <w:b/>
              </w:rPr>
            </w:pPr>
            <w:r w:rsidRPr="006607A0">
              <w:rPr>
                <w:rFonts w:eastAsia="TimesNewRomanPS-BoldMT"/>
                <w:b/>
                <w:bCs/>
                <w:szCs w:val="21"/>
                <w:lang w:val="en-US" w:eastAsia="ko-KR"/>
              </w:rPr>
              <w:t>n</w:t>
            </w:r>
            <w:r w:rsidR="00ED06BA">
              <w:rPr>
                <w:rFonts w:eastAsia="TimesNewRomanPS-BoldMT"/>
                <w:b/>
                <w:bCs/>
                <w:szCs w:val="21"/>
                <w:lang w:val="en-US" w:eastAsia="ko-KR"/>
              </w:rPr>
              <w:t> </w:t>
            </w:r>
            <w:r w:rsidRPr="006607A0">
              <w:rPr>
                <w:rFonts w:eastAsia="TimesNewRomanPS-BoldMT"/>
                <w:b/>
                <w:bCs/>
                <w:szCs w:val="21"/>
                <w:lang w:val="en-US" w:eastAsia="ko-KR"/>
              </w:rPr>
              <w:t>=</w:t>
            </w:r>
            <w:r w:rsidR="00ED06BA">
              <w:rPr>
                <w:rFonts w:eastAsia="TimesNewRomanPS-BoldMT"/>
                <w:b/>
                <w:bCs/>
                <w:szCs w:val="21"/>
                <w:lang w:val="en-US" w:eastAsia="ko-KR"/>
              </w:rPr>
              <w:t> </w:t>
            </w:r>
            <w:r w:rsidRPr="006607A0">
              <w:rPr>
                <w:rFonts w:eastAsia="TimesNewRomanPS-BoldMT"/>
                <w:b/>
                <w:bCs/>
                <w:szCs w:val="21"/>
                <w:lang w:val="en-US" w:eastAsia="ko-KR"/>
              </w:rPr>
              <w:t>124</w:t>
            </w:r>
          </w:p>
        </w:tc>
      </w:tr>
      <w:tr w:rsidR="009B11B7" w:rsidRPr="006607A0" w14:paraId="6E1DE0DF" w14:textId="77777777" w:rsidTr="00D90C85">
        <w:trPr>
          <w:trHeight w:val="20"/>
        </w:trPr>
        <w:tc>
          <w:tcPr>
            <w:tcW w:w="4536" w:type="dxa"/>
            <w:gridSpan w:val="2"/>
            <w:tcBorders>
              <w:top w:val="single" w:sz="4" w:space="0" w:color="auto"/>
              <w:bottom w:val="single" w:sz="4" w:space="0" w:color="auto"/>
            </w:tcBorders>
            <w:vAlign w:val="center"/>
          </w:tcPr>
          <w:p w14:paraId="62EDC729" w14:textId="77777777" w:rsidR="009B11B7" w:rsidRPr="006607A0" w:rsidRDefault="009B11B7" w:rsidP="00396A82">
            <w:pPr>
              <w:pStyle w:val="TableParagraph"/>
              <w:rPr>
                <w:b/>
              </w:rPr>
            </w:pPr>
            <w:r w:rsidRPr="006607A0">
              <w:rPr>
                <w:rFonts w:eastAsia="TimesNewRomanPS-BoldMT"/>
                <w:b/>
                <w:bCs/>
                <w:szCs w:val="21"/>
                <w:lang w:val="en-US" w:eastAsia="ko-KR"/>
              </w:rPr>
              <w:t xml:space="preserve">Stopa </w:t>
            </w:r>
            <w:proofErr w:type="spellStart"/>
            <w:r w:rsidRPr="006607A0">
              <w:rPr>
                <w:rFonts w:eastAsia="TimesNewRomanPS-BoldMT"/>
                <w:b/>
                <w:bCs/>
                <w:szCs w:val="21"/>
                <w:lang w:val="en-US" w:eastAsia="ko-KR"/>
              </w:rPr>
              <w:t>hematolo</w:t>
            </w:r>
            <w:r w:rsidRPr="006607A0">
              <w:rPr>
                <w:rFonts w:eastAsia="TimesNewRomanPS-BoldMT" w:hint="eastAsia"/>
                <w:b/>
                <w:bCs/>
                <w:szCs w:val="21"/>
                <w:lang w:val="en-US" w:eastAsia="ko-KR"/>
              </w:rPr>
              <w:t>š</w:t>
            </w:r>
            <w:r w:rsidRPr="006607A0">
              <w:rPr>
                <w:rFonts w:eastAsia="TimesNewRomanPS-BoldMT"/>
                <w:b/>
                <w:bCs/>
                <w:szCs w:val="21"/>
                <w:lang w:val="en-US" w:eastAsia="ko-KR"/>
              </w:rPr>
              <w:t>kog</w:t>
            </w:r>
            <w:proofErr w:type="spellEnd"/>
            <w:r w:rsidRPr="006607A0">
              <w:rPr>
                <w:rFonts w:eastAsia="TimesNewRomanPS-BoldMT"/>
                <w:b/>
                <w:bCs/>
                <w:szCs w:val="21"/>
                <w:lang w:val="en-US" w:eastAsia="ko-KR"/>
              </w:rPr>
              <w:t xml:space="preserve"> </w:t>
            </w:r>
            <w:proofErr w:type="spellStart"/>
            <w:r w:rsidRPr="006607A0">
              <w:rPr>
                <w:rFonts w:eastAsia="TimesNewRomanPS-BoldMT"/>
                <w:b/>
                <w:bCs/>
                <w:szCs w:val="21"/>
                <w:lang w:val="en-US" w:eastAsia="ko-KR"/>
              </w:rPr>
              <w:t>odgovora</w:t>
            </w:r>
            <w:r w:rsidRPr="006607A0">
              <w:rPr>
                <w:rFonts w:eastAsia="TimesNewRomanPS-BoldMT"/>
                <w:b/>
                <w:bCs/>
                <w:szCs w:val="17"/>
                <w:vertAlign w:val="superscript"/>
                <w:lang w:val="en-US" w:eastAsia="ko-KR"/>
              </w:rPr>
              <w:t>b</w:t>
            </w:r>
            <w:proofErr w:type="spellEnd"/>
            <w:r w:rsidRPr="006607A0">
              <w:rPr>
                <w:rFonts w:eastAsia="TimesNewRomanPS-BoldMT"/>
                <w:b/>
                <w:bCs/>
                <w:szCs w:val="17"/>
                <w:lang w:val="en-US" w:eastAsia="ko-KR"/>
              </w:rPr>
              <w:t xml:space="preserve"> </w:t>
            </w:r>
            <w:r w:rsidRPr="006607A0">
              <w:rPr>
                <w:rFonts w:eastAsia="TimesNewRomanPS-BoldMT"/>
                <w:b/>
                <w:bCs/>
                <w:szCs w:val="21"/>
                <w:lang w:val="en-US" w:eastAsia="ko-KR"/>
              </w:rPr>
              <w:t>(%) (95% CI)</w:t>
            </w:r>
          </w:p>
        </w:tc>
        <w:tc>
          <w:tcPr>
            <w:tcW w:w="4536" w:type="dxa"/>
            <w:tcBorders>
              <w:top w:val="single" w:sz="4" w:space="0" w:color="auto"/>
              <w:bottom w:val="single" w:sz="4" w:space="0" w:color="auto"/>
            </w:tcBorders>
            <w:vAlign w:val="center"/>
          </w:tcPr>
          <w:p w14:paraId="3D1873C3" w14:textId="7D528CBA" w:rsidR="009B11B7" w:rsidRPr="006607A0" w:rsidRDefault="009B11B7" w:rsidP="00396A82">
            <w:pPr>
              <w:pStyle w:val="TableParagraph"/>
              <w:rPr>
                <w:b/>
              </w:rPr>
            </w:pPr>
          </w:p>
        </w:tc>
      </w:tr>
      <w:tr w:rsidR="00C9686E" w:rsidRPr="006607A0" w14:paraId="1DE03F35" w14:textId="77777777" w:rsidTr="00396A82">
        <w:trPr>
          <w:trHeight w:val="20"/>
        </w:trPr>
        <w:tc>
          <w:tcPr>
            <w:tcW w:w="3060" w:type="dxa"/>
            <w:tcBorders>
              <w:top w:val="single" w:sz="4" w:space="0" w:color="auto"/>
              <w:bottom w:val="single" w:sz="4" w:space="0" w:color="auto"/>
            </w:tcBorders>
            <w:vAlign w:val="center"/>
          </w:tcPr>
          <w:p w14:paraId="0B48AD79" w14:textId="77777777" w:rsidR="00C9686E" w:rsidRPr="006607A0" w:rsidRDefault="00C9686E" w:rsidP="00396A82">
            <w:pPr>
              <w:widowControl/>
              <w:adjustRightInd w:val="0"/>
            </w:pPr>
            <w:proofErr w:type="spellStart"/>
            <w:r w:rsidRPr="006607A0">
              <w:rPr>
                <w:rFonts w:eastAsia="TimesNewRomanPSMT"/>
                <w:szCs w:val="21"/>
                <w:lang w:val="en-US" w:eastAsia="ko-KR"/>
              </w:rPr>
              <w:t>Potpun</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hematolo</w:t>
            </w:r>
            <w:r w:rsidRPr="006607A0">
              <w:rPr>
                <w:rFonts w:eastAsia="TimesNewRomanPSMT" w:hint="eastAsia"/>
                <w:szCs w:val="21"/>
                <w:lang w:val="en-US" w:eastAsia="ko-KR"/>
              </w:rPr>
              <w:t>š</w:t>
            </w:r>
            <w:r w:rsidRPr="006607A0">
              <w:rPr>
                <w:rFonts w:eastAsia="TimesNewRomanPSMT"/>
                <w:szCs w:val="21"/>
                <w:lang w:val="en-US" w:eastAsia="ko-KR"/>
              </w:rPr>
              <w:t>ki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odgovor</w:t>
            </w:r>
            <w:proofErr w:type="spellEnd"/>
            <w:r w:rsidRPr="006607A0">
              <w:rPr>
                <w:rFonts w:eastAsia="TimesNewRomanPSMT"/>
                <w:szCs w:val="21"/>
                <w:lang w:val="en-US" w:eastAsia="ko-KR"/>
              </w:rPr>
              <w:t xml:space="preserve"> (CHR)</w:t>
            </w:r>
          </w:p>
        </w:tc>
        <w:tc>
          <w:tcPr>
            <w:tcW w:w="6012" w:type="dxa"/>
            <w:gridSpan w:val="2"/>
            <w:tcBorders>
              <w:top w:val="single" w:sz="4" w:space="0" w:color="auto"/>
              <w:bottom w:val="single" w:sz="4" w:space="0" w:color="auto"/>
            </w:tcBorders>
            <w:vAlign w:val="center"/>
          </w:tcPr>
          <w:p w14:paraId="7E33A224" w14:textId="7664069F" w:rsidR="00C9686E" w:rsidRPr="006607A0" w:rsidRDefault="00C9686E" w:rsidP="00396A82">
            <w:pPr>
              <w:pStyle w:val="TableParagraph"/>
              <w:jc w:val="center"/>
              <w:rPr>
                <w:b/>
              </w:rPr>
            </w:pPr>
            <w:r w:rsidRPr="006607A0">
              <w:rPr>
                <w:rFonts w:eastAsia="TimesNewRomanPS-BoldMT"/>
                <w:b/>
                <w:bCs/>
                <w:szCs w:val="21"/>
                <w:lang w:val="en-US" w:eastAsia="ko-KR"/>
              </w:rPr>
              <w:t>92% (86</w:t>
            </w:r>
            <w:r w:rsidR="00ED06BA" w:rsidRPr="009474C0">
              <w:t> – </w:t>
            </w:r>
            <w:r w:rsidRPr="006607A0">
              <w:rPr>
                <w:rFonts w:eastAsia="TimesNewRomanPS-BoldMT"/>
                <w:b/>
                <w:bCs/>
                <w:szCs w:val="21"/>
                <w:lang w:val="en-US" w:eastAsia="ko-KR"/>
              </w:rPr>
              <w:t>95)</w:t>
            </w:r>
          </w:p>
        </w:tc>
      </w:tr>
      <w:tr w:rsidR="009B11B7" w:rsidRPr="006607A0" w14:paraId="0A15BA42" w14:textId="77777777" w:rsidTr="00D90C85">
        <w:trPr>
          <w:trHeight w:val="20"/>
        </w:trPr>
        <w:tc>
          <w:tcPr>
            <w:tcW w:w="4536" w:type="dxa"/>
            <w:gridSpan w:val="2"/>
            <w:tcBorders>
              <w:top w:val="single" w:sz="4" w:space="0" w:color="auto"/>
              <w:bottom w:val="single" w:sz="4" w:space="0" w:color="auto"/>
            </w:tcBorders>
            <w:vAlign w:val="center"/>
          </w:tcPr>
          <w:p w14:paraId="1E7AE2BB" w14:textId="77777777" w:rsidR="009B11B7" w:rsidRPr="006607A0" w:rsidRDefault="009B11B7" w:rsidP="00396A82">
            <w:pPr>
              <w:pStyle w:val="TableParagraph"/>
              <w:rPr>
                <w:b/>
              </w:rPr>
            </w:pPr>
            <w:proofErr w:type="spellStart"/>
            <w:r w:rsidRPr="006607A0">
              <w:rPr>
                <w:rFonts w:eastAsia="TimesNewRomanPS-BoldMT"/>
                <w:b/>
                <w:bCs/>
                <w:szCs w:val="21"/>
                <w:lang w:val="en-US" w:eastAsia="ko-KR"/>
              </w:rPr>
              <w:t>Citogenetski</w:t>
            </w:r>
            <w:proofErr w:type="spellEnd"/>
            <w:r w:rsidRPr="006607A0">
              <w:rPr>
                <w:rFonts w:eastAsia="TimesNewRomanPS-BoldMT"/>
                <w:b/>
                <w:bCs/>
                <w:szCs w:val="21"/>
                <w:lang w:val="en-US" w:eastAsia="ko-KR"/>
              </w:rPr>
              <w:t xml:space="preserve"> </w:t>
            </w:r>
            <w:proofErr w:type="spellStart"/>
            <w:r w:rsidRPr="006607A0">
              <w:rPr>
                <w:rFonts w:eastAsia="TimesNewRomanPS-BoldMT"/>
                <w:b/>
                <w:bCs/>
                <w:szCs w:val="21"/>
                <w:lang w:val="en-US" w:eastAsia="ko-KR"/>
              </w:rPr>
              <w:t>odgovor</w:t>
            </w:r>
            <w:r w:rsidRPr="006607A0">
              <w:rPr>
                <w:rFonts w:eastAsia="TimesNewRomanPS-BoldMT"/>
                <w:b/>
                <w:bCs/>
                <w:szCs w:val="17"/>
                <w:vertAlign w:val="superscript"/>
                <w:lang w:val="en-US" w:eastAsia="ko-KR"/>
              </w:rPr>
              <w:t>c</w:t>
            </w:r>
            <w:proofErr w:type="spellEnd"/>
            <w:r w:rsidRPr="006607A0">
              <w:rPr>
                <w:rFonts w:eastAsia="TimesNewRomanPS-BoldMT"/>
                <w:b/>
                <w:bCs/>
                <w:szCs w:val="17"/>
                <w:lang w:val="en-US" w:eastAsia="ko-KR"/>
              </w:rPr>
              <w:t xml:space="preserve"> </w:t>
            </w:r>
            <w:r w:rsidRPr="006607A0">
              <w:rPr>
                <w:rFonts w:eastAsia="TimesNewRomanPS-BoldMT"/>
                <w:b/>
                <w:bCs/>
                <w:szCs w:val="21"/>
                <w:lang w:val="en-US" w:eastAsia="ko-KR"/>
              </w:rPr>
              <w:t>(%) (95% CI)</w:t>
            </w:r>
          </w:p>
        </w:tc>
        <w:tc>
          <w:tcPr>
            <w:tcW w:w="4536" w:type="dxa"/>
            <w:tcBorders>
              <w:top w:val="single" w:sz="4" w:space="0" w:color="auto"/>
              <w:bottom w:val="single" w:sz="4" w:space="0" w:color="auto"/>
            </w:tcBorders>
            <w:vAlign w:val="center"/>
          </w:tcPr>
          <w:p w14:paraId="3EE59F1C" w14:textId="7347A466" w:rsidR="009B11B7" w:rsidRPr="006607A0" w:rsidRDefault="009B11B7" w:rsidP="00396A82">
            <w:pPr>
              <w:pStyle w:val="TableParagraph"/>
              <w:rPr>
                <w:b/>
              </w:rPr>
            </w:pPr>
          </w:p>
        </w:tc>
      </w:tr>
      <w:tr w:rsidR="00C9686E" w:rsidRPr="006607A0" w14:paraId="443AD67E" w14:textId="77777777" w:rsidTr="00396A82">
        <w:trPr>
          <w:trHeight w:val="20"/>
        </w:trPr>
        <w:tc>
          <w:tcPr>
            <w:tcW w:w="3060" w:type="dxa"/>
            <w:tcBorders>
              <w:top w:val="single" w:sz="4" w:space="0" w:color="auto"/>
            </w:tcBorders>
            <w:vAlign w:val="center"/>
          </w:tcPr>
          <w:p w14:paraId="7E973B95" w14:textId="77777777" w:rsidR="00C9686E" w:rsidRPr="006607A0" w:rsidRDefault="00C9686E" w:rsidP="00396A82">
            <w:pPr>
              <w:pStyle w:val="TableParagraph"/>
            </w:pPr>
            <w:proofErr w:type="spellStart"/>
            <w:r w:rsidRPr="006607A0">
              <w:rPr>
                <w:rFonts w:eastAsia="TimesNewRomanPSMT"/>
                <w:szCs w:val="21"/>
                <w:lang w:val="en-US" w:eastAsia="ko-KR"/>
              </w:rPr>
              <w:t>Zna</w:t>
            </w:r>
            <w:r w:rsidRPr="006607A0">
              <w:rPr>
                <w:rFonts w:eastAsia="TimesNewRomanPSMT" w:hint="eastAsia"/>
                <w:szCs w:val="21"/>
                <w:lang w:val="en-US" w:eastAsia="ko-KR"/>
              </w:rPr>
              <w:t>č</w:t>
            </w:r>
            <w:r w:rsidRPr="006607A0">
              <w:rPr>
                <w:rFonts w:eastAsia="TimesNewRomanPSMT"/>
                <w:szCs w:val="21"/>
                <w:lang w:val="en-US" w:eastAsia="ko-KR"/>
              </w:rPr>
              <w:t>ajan</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MCyR</w:t>
            </w:r>
            <w:proofErr w:type="spellEnd"/>
            <w:r w:rsidRPr="006607A0">
              <w:rPr>
                <w:rFonts w:eastAsia="TimesNewRomanPSMT"/>
                <w:szCs w:val="21"/>
                <w:lang w:val="en-US" w:eastAsia="ko-KR"/>
              </w:rPr>
              <w:t>)</w:t>
            </w:r>
          </w:p>
        </w:tc>
        <w:tc>
          <w:tcPr>
            <w:tcW w:w="6012" w:type="dxa"/>
            <w:gridSpan w:val="2"/>
            <w:tcBorders>
              <w:top w:val="single" w:sz="4" w:space="0" w:color="auto"/>
            </w:tcBorders>
            <w:vAlign w:val="center"/>
          </w:tcPr>
          <w:p w14:paraId="0AD5B985" w14:textId="77777777" w:rsidR="00C9686E" w:rsidRPr="006607A0" w:rsidRDefault="00C9686E" w:rsidP="00396A82">
            <w:pPr>
              <w:pStyle w:val="TableParagraph"/>
              <w:jc w:val="center"/>
              <w:rPr>
                <w:b/>
              </w:rPr>
            </w:pPr>
          </w:p>
        </w:tc>
      </w:tr>
      <w:tr w:rsidR="00C9686E" w:rsidRPr="006607A0" w14:paraId="2341C4C2" w14:textId="77777777" w:rsidTr="00396A82">
        <w:trPr>
          <w:trHeight w:val="20"/>
        </w:trPr>
        <w:tc>
          <w:tcPr>
            <w:tcW w:w="3060" w:type="dxa"/>
            <w:vAlign w:val="center"/>
          </w:tcPr>
          <w:p w14:paraId="20437BF0" w14:textId="77777777" w:rsidR="00C9686E" w:rsidRPr="006607A0" w:rsidRDefault="00C9686E" w:rsidP="00396A82">
            <w:pPr>
              <w:pStyle w:val="TableParagraph"/>
              <w:ind w:firstLine="360"/>
            </w:pPr>
            <w:proofErr w:type="spellStart"/>
            <w:r w:rsidRPr="006607A0">
              <w:rPr>
                <w:rFonts w:eastAsia="TimesNewRomanPSMT"/>
                <w:szCs w:val="21"/>
                <w:lang w:val="en-US" w:eastAsia="ko-KR"/>
              </w:rPr>
              <w:t>svi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bolesnici</w:t>
            </w:r>
            <w:proofErr w:type="spellEnd"/>
          </w:p>
        </w:tc>
        <w:tc>
          <w:tcPr>
            <w:tcW w:w="6012" w:type="dxa"/>
            <w:gridSpan w:val="2"/>
            <w:vAlign w:val="center"/>
          </w:tcPr>
          <w:p w14:paraId="57F669B2" w14:textId="765EFBD1" w:rsidR="00C9686E" w:rsidRPr="006607A0" w:rsidRDefault="00C9686E" w:rsidP="00396A82">
            <w:pPr>
              <w:pStyle w:val="TableParagraph"/>
              <w:jc w:val="center"/>
              <w:rPr>
                <w:b/>
              </w:rPr>
            </w:pPr>
            <w:r w:rsidRPr="006607A0">
              <w:rPr>
                <w:rFonts w:eastAsia="TimesNewRomanPS-BoldMT"/>
                <w:b/>
                <w:bCs/>
                <w:szCs w:val="21"/>
                <w:lang w:val="en-US" w:eastAsia="ko-KR"/>
              </w:rPr>
              <w:t>63% (56</w:t>
            </w:r>
            <w:r w:rsidR="00ED06BA" w:rsidRPr="009474C0">
              <w:t> – </w:t>
            </w:r>
            <w:r w:rsidRPr="006607A0">
              <w:rPr>
                <w:rFonts w:eastAsia="TimesNewRomanPS-BoldMT"/>
                <w:b/>
                <w:bCs/>
                <w:szCs w:val="21"/>
                <w:lang w:val="en-US" w:eastAsia="ko-KR"/>
              </w:rPr>
              <w:t>71)</w:t>
            </w:r>
          </w:p>
        </w:tc>
      </w:tr>
      <w:tr w:rsidR="00C9686E" w:rsidRPr="006607A0" w14:paraId="133AF174" w14:textId="77777777" w:rsidTr="00396A82">
        <w:trPr>
          <w:trHeight w:val="20"/>
        </w:trPr>
        <w:tc>
          <w:tcPr>
            <w:tcW w:w="3060" w:type="dxa"/>
            <w:vAlign w:val="center"/>
          </w:tcPr>
          <w:p w14:paraId="2D25F9F4" w14:textId="77777777" w:rsidR="00C9686E" w:rsidRPr="006607A0" w:rsidRDefault="00C9686E" w:rsidP="00396A82">
            <w:pPr>
              <w:pStyle w:val="TableParagraph"/>
              <w:ind w:firstLine="360"/>
            </w:pPr>
            <w:proofErr w:type="spellStart"/>
            <w:r w:rsidRPr="006607A0">
              <w:rPr>
                <w:rFonts w:eastAsia="TimesNewRomanPSMT"/>
                <w:szCs w:val="21"/>
                <w:lang w:val="en-US" w:eastAsia="ko-KR"/>
              </w:rPr>
              <w:t>bolesnici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otporni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na</w:t>
            </w:r>
            <w:proofErr w:type="spellEnd"/>
            <w:r w:rsidRPr="006607A0">
              <w:rPr>
                <w:rFonts w:eastAsia="TimesNewRomanPSMT"/>
                <w:szCs w:val="21"/>
                <w:lang w:val="en-US" w:eastAsia="ko-KR"/>
              </w:rPr>
              <w:t xml:space="preserve"> imatinib</w:t>
            </w:r>
          </w:p>
        </w:tc>
        <w:tc>
          <w:tcPr>
            <w:tcW w:w="6012" w:type="dxa"/>
            <w:gridSpan w:val="2"/>
            <w:vAlign w:val="center"/>
          </w:tcPr>
          <w:p w14:paraId="24F2D750" w14:textId="34EF7D15" w:rsidR="00C9686E" w:rsidRPr="006607A0" w:rsidRDefault="00C9686E" w:rsidP="00396A82">
            <w:pPr>
              <w:pStyle w:val="TableParagraph"/>
              <w:jc w:val="center"/>
              <w:rPr>
                <w:b/>
              </w:rPr>
            </w:pPr>
            <w:r w:rsidRPr="006607A0">
              <w:rPr>
                <w:rFonts w:eastAsia="TimesNewRomanPS-BoldMT"/>
                <w:b/>
                <w:bCs/>
                <w:szCs w:val="21"/>
                <w:lang w:val="en-US" w:eastAsia="ko-KR"/>
              </w:rPr>
              <w:t>59% (50</w:t>
            </w:r>
            <w:r w:rsidR="00ED06BA" w:rsidRPr="009474C0">
              <w:t> – </w:t>
            </w:r>
            <w:r w:rsidRPr="006607A0">
              <w:rPr>
                <w:rFonts w:eastAsia="TimesNewRomanPS-BoldMT"/>
                <w:b/>
                <w:bCs/>
                <w:szCs w:val="21"/>
                <w:lang w:val="en-US" w:eastAsia="ko-KR"/>
              </w:rPr>
              <w:t>68)</w:t>
            </w:r>
          </w:p>
        </w:tc>
      </w:tr>
      <w:tr w:rsidR="00C9686E" w:rsidRPr="006607A0" w14:paraId="64EB8BE5" w14:textId="77777777" w:rsidTr="00396A82">
        <w:trPr>
          <w:trHeight w:val="20"/>
        </w:trPr>
        <w:tc>
          <w:tcPr>
            <w:tcW w:w="3060" w:type="dxa"/>
            <w:vAlign w:val="center"/>
          </w:tcPr>
          <w:p w14:paraId="574DBD5D" w14:textId="77777777" w:rsidR="00C9686E" w:rsidRPr="006607A0" w:rsidRDefault="00C9686E" w:rsidP="00396A82">
            <w:pPr>
              <w:pStyle w:val="TableParagraph"/>
            </w:pPr>
            <w:proofErr w:type="spellStart"/>
            <w:r w:rsidRPr="006607A0">
              <w:rPr>
                <w:rFonts w:eastAsia="TimesNewRomanPSMT"/>
                <w:szCs w:val="21"/>
                <w:lang w:val="en-US" w:eastAsia="ko-KR"/>
              </w:rPr>
              <w:t>Potpun</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CCyR</w:t>
            </w:r>
            <w:proofErr w:type="spellEnd"/>
            <w:r w:rsidRPr="006607A0">
              <w:rPr>
                <w:rFonts w:eastAsia="TimesNewRomanPSMT"/>
                <w:szCs w:val="21"/>
                <w:lang w:val="en-US" w:eastAsia="ko-KR"/>
              </w:rPr>
              <w:t>)</w:t>
            </w:r>
          </w:p>
        </w:tc>
        <w:tc>
          <w:tcPr>
            <w:tcW w:w="6012" w:type="dxa"/>
            <w:gridSpan w:val="2"/>
            <w:vAlign w:val="center"/>
          </w:tcPr>
          <w:p w14:paraId="5C668AE6" w14:textId="77777777" w:rsidR="00C9686E" w:rsidRPr="006607A0" w:rsidRDefault="00C9686E" w:rsidP="00396A82">
            <w:pPr>
              <w:pStyle w:val="TableParagraph"/>
              <w:jc w:val="center"/>
              <w:rPr>
                <w:b/>
              </w:rPr>
            </w:pPr>
          </w:p>
        </w:tc>
      </w:tr>
      <w:tr w:rsidR="00C9686E" w:rsidRPr="006607A0" w14:paraId="4FA6D6E0" w14:textId="77777777" w:rsidTr="00396A82">
        <w:trPr>
          <w:trHeight w:val="20"/>
        </w:trPr>
        <w:tc>
          <w:tcPr>
            <w:tcW w:w="3060" w:type="dxa"/>
            <w:vAlign w:val="center"/>
          </w:tcPr>
          <w:p w14:paraId="3B62B113" w14:textId="77777777" w:rsidR="00C9686E" w:rsidRPr="006607A0" w:rsidRDefault="00C9686E" w:rsidP="00396A82">
            <w:pPr>
              <w:pStyle w:val="TableParagraph"/>
              <w:ind w:firstLine="360"/>
            </w:pPr>
            <w:proofErr w:type="spellStart"/>
            <w:r w:rsidRPr="006607A0">
              <w:rPr>
                <w:rFonts w:eastAsia="TimesNewRomanPSMT"/>
                <w:szCs w:val="21"/>
                <w:lang w:val="en-US" w:eastAsia="ko-KR"/>
              </w:rPr>
              <w:t>svi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bolesnici</w:t>
            </w:r>
            <w:proofErr w:type="spellEnd"/>
          </w:p>
        </w:tc>
        <w:tc>
          <w:tcPr>
            <w:tcW w:w="6012" w:type="dxa"/>
            <w:gridSpan w:val="2"/>
            <w:vAlign w:val="center"/>
          </w:tcPr>
          <w:p w14:paraId="542FFA6C" w14:textId="629E67B8" w:rsidR="00C9686E" w:rsidRPr="006607A0" w:rsidRDefault="00C9686E" w:rsidP="00396A82">
            <w:pPr>
              <w:pStyle w:val="TableParagraph"/>
              <w:jc w:val="center"/>
              <w:rPr>
                <w:b/>
              </w:rPr>
            </w:pPr>
            <w:r w:rsidRPr="006607A0">
              <w:rPr>
                <w:rFonts w:eastAsia="TimesNewRomanPS-BoldMT"/>
                <w:b/>
                <w:bCs/>
                <w:szCs w:val="21"/>
                <w:lang w:val="en-US" w:eastAsia="ko-KR"/>
              </w:rPr>
              <w:t>50% (42</w:t>
            </w:r>
            <w:r w:rsidR="00ED06BA" w:rsidRPr="009474C0">
              <w:t> – </w:t>
            </w:r>
            <w:r w:rsidRPr="006607A0">
              <w:rPr>
                <w:rFonts w:eastAsia="TimesNewRomanPS-BoldMT"/>
                <w:b/>
                <w:bCs/>
                <w:szCs w:val="21"/>
                <w:lang w:val="en-US" w:eastAsia="ko-KR"/>
              </w:rPr>
              <w:t>58)</w:t>
            </w:r>
          </w:p>
        </w:tc>
      </w:tr>
      <w:tr w:rsidR="00C9686E" w:rsidRPr="006607A0" w14:paraId="7B8DCF9D" w14:textId="77777777" w:rsidTr="00396A82">
        <w:trPr>
          <w:trHeight w:val="20"/>
        </w:trPr>
        <w:tc>
          <w:tcPr>
            <w:tcW w:w="3060" w:type="dxa"/>
            <w:tcBorders>
              <w:bottom w:val="single" w:sz="4" w:space="0" w:color="auto"/>
            </w:tcBorders>
            <w:vAlign w:val="center"/>
          </w:tcPr>
          <w:p w14:paraId="4E8E40D1" w14:textId="77777777" w:rsidR="00C9686E" w:rsidRPr="006607A0" w:rsidRDefault="00C9686E" w:rsidP="00396A82">
            <w:pPr>
              <w:pStyle w:val="TableParagraph"/>
              <w:ind w:firstLine="360"/>
            </w:pPr>
            <w:proofErr w:type="spellStart"/>
            <w:r w:rsidRPr="006607A0">
              <w:rPr>
                <w:rFonts w:eastAsia="TimesNewRomanPSMT"/>
                <w:szCs w:val="21"/>
                <w:lang w:val="en-US" w:eastAsia="ko-KR"/>
              </w:rPr>
              <w:t>bolesnici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otporni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na</w:t>
            </w:r>
            <w:proofErr w:type="spellEnd"/>
            <w:r w:rsidRPr="006607A0">
              <w:rPr>
                <w:rFonts w:eastAsia="TimesNewRomanPSMT"/>
                <w:szCs w:val="21"/>
                <w:lang w:val="en-US" w:eastAsia="ko-KR"/>
              </w:rPr>
              <w:t xml:space="preserve"> imatinib</w:t>
            </w:r>
          </w:p>
        </w:tc>
        <w:tc>
          <w:tcPr>
            <w:tcW w:w="6012" w:type="dxa"/>
            <w:gridSpan w:val="2"/>
            <w:tcBorders>
              <w:bottom w:val="single" w:sz="4" w:space="0" w:color="auto"/>
            </w:tcBorders>
            <w:vAlign w:val="center"/>
          </w:tcPr>
          <w:p w14:paraId="42596BEA" w14:textId="71FDD68E" w:rsidR="00C9686E" w:rsidRPr="006607A0" w:rsidRDefault="00C9686E" w:rsidP="00396A82">
            <w:pPr>
              <w:pStyle w:val="TableParagraph"/>
              <w:jc w:val="center"/>
              <w:rPr>
                <w:b/>
              </w:rPr>
            </w:pPr>
            <w:r w:rsidRPr="006607A0">
              <w:rPr>
                <w:rFonts w:eastAsia="TimesNewRomanPS-BoldMT"/>
                <w:b/>
                <w:bCs/>
                <w:szCs w:val="21"/>
                <w:lang w:val="en-US" w:eastAsia="ko-KR"/>
              </w:rPr>
              <w:t>44% (35</w:t>
            </w:r>
            <w:r w:rsidR="00ED06BA" w:rsidRPr="009474C0">
              <w:t> – </w:t>
            </w:r>
            <w:r w:rsidRPr="006607A0">
              <w:rPr>
                <w:rFonts w:eastAsia="TimesNewRomanPS-BoldMT"/>
                <w:b/>
                <w:bCs/>
                <w:szCs w:val="21"/>
                <w:lang w:val="en-US" w:eastAsia="ko-KR"/>
              </w:rPr>
              <w:t>53)</w:t>
            </w:r>
          </w:p>
        </w:tc>
      </w:tr>
      <w:tr w:rsidR="00C9686E" w:rsidRPr="006607A0" w14:paraId="074216EA" w14:textId="77777777" w:rsidTr="00396A82">
        <w:trPr>
          <w:trHeight w:val="20"/>
        </w:trPr>
        <w:tc>
          <w:tcPr>
            <w:tcW w:w="9072" w:type="dxa"/>
            <w:gridSpan w:val="3"/>
            <w:tcBorders>
              <w:top w:val="single" w:sz="4" w:space="0" w:color="auto"/>
              <w:bottom w:val="single" w:sz="4" w:space="0" w:color="auto"/>
            </w:tcBorders>
            <w:vAlign w:val="center"/>
          </w:tcPr>
          <w:p w14:paraId="0A62B18D" w14:textId="77777777" w:rsidR="00C9686E" w:rsidRPr="006607A0" w:rsidRDefault="00C9686E" w:rsidP="00396A82">
            <w:pPr>
              <w:pStyle w:val="TableParagraph"/>
              <w:rPr>
                <w:b/>
              </w:rPr>
            </w:pPr>
            <w:r w:rsidRPr="006607A0">
              <w:rPr>
                <w:rFonts w:eastAsia="TimesNewRomanPS-BoldMT"/>
                <w:b/>
                <w:bCs/>
                <w:szCs w:val="21"/>
                <w:lang w:eastAsia="ko-KR"/>
              </w:rPr>
              <w:t>Zna</w:t>
            </w:r>
            <w:r w:rsidRPr="006607A0">
              <w:rPr>
                <w:rFonts w:eastAsia="TimesNewRomanPS-BoldMT" w:hint="eastAsia"/>
                <w:b/>
                <w:bCs/>
                <w:szCs w:val="21"/>
                <w:lang w:eastAsia="ko-KR"/>
              </w:rPr>
              <w:t>č</w:t>
            </w:r>
            <w:r w:rsidRPr="006607A0">
              <w:rPr>
                <w:rFonts w:eastAsia="TimesNewRomanPS-BoldMT"/>
                <w:b/>
                <w:bCs/>
                <w:szCs w:val="21"/>
                <w:lang w:eastAsia="ko-KR"/>
              </w:rPr>
              <w:t>ajan molekularni odgovor u bolesnika koji su postigli CCyR</w:t>
            </w:r>
            <w:r w:rsidRPr="006607A0">
              <w:rPr>
                <w:rFonts w:eastAsia="TimesNewRomanPS-BoldMT"/>
                <w:b/>
                <w:bCs/>
                <w:szCs w:val="17"/>
                <w:vertAlign w:val="superscript"/>
                <w:lang w:eastAsia="ko-KR"/>
              </w:rPr>
              <w:t>d</w:t>
            </w:r>
            <w:r w:rsidRPr="006607A0">
              <w:rPr>
                <w:rFonts w:eastAsia="TimesNewRomanPS-BoldMT"/>
                <w:b/>
                <w:bCs/>
                <w:szCs w:val="17"/>
                <w:lang w:eastAsia="ko-KR"/>
              </w:rPr>
              <w:t xml:space="preserve"> </w:t>
            </w:r>
            <w:r w:rsidRPr="006607A0">
              <w:rPr>
                <w:rFonts w:eastAsia="TimesNewRomanPS-BoldMT"/>
                <w:b/>
                <w:bCs/>
                <w:szCs w:val="21"/>
                <w:lang w:eastAsia="ko-KR"/>
              </w:rPr>
              <w:t>(%) (95% CI)</w:t>
            </w:r>
          </w:p>
        </w:tc>
      </w:tr>
      <w:tr w:rsidR="00C9686E" w:rsidRPr="006607A0" w14:paraId="74679EE5" w14:textId="77777777" w:rsidTr="00396A82">
        <w:trPr>
          <w:trHeight w:val="20"/>
        </w:trPr>
        <w:tc>
          <w:tcPr>
            <w:tcW w:w="3060" w:type="dxa"/>
            <w:tcBorders>
              <w:top w:val="single" w:sz="4" w:space="0" w:color="auto"/>
            </w:tcBorders>
            <w:vAlign w:val="center"/>
          </w:tcPr>
          <w:p w14:paraId="0D75B453" w14:textId="77777777" w:rsidR="00C9686E" w:rsidRPr="006607A0" w:rsidRDefault="00C9686E" w:rsidP="00396A82">
            <w:pPr>
              <w:pStyle w:val="TableParagraph"/>
            </w:pPr>
            <w:r w:rsidRPr="006607A0">
              <w:rPr>
                <w:rFonts w:eastAsia="TimesNewRomanPSMT"/>
                <w:szCs w:val="21"/>
                <w:lang w:val="en-US" w:eastAsia="ko-KR"/>
              </w:rPr>
              <w:t xml:space="preserve">Svi </w:t>
            </w:r>
            <w:proofErr w:type="spellStart"/>
            <w:r w:rsidRPr="006607A0">
              <w:rPr>
                <w:rFonts w:eastAsia="TimesNewRomanPSMT"/>
                <w:szCs w:val="21"/>
                <w:lang w:val="en-US" w:eastAsia="ko-KR"/>
              </w:rPr>
              <w:t>bolesnici</w:t>
            </w:r>
            <w:proofErr w:type="spellEnd"/>
          </w:p>
        </w:tc>
        <w:tc>
          <w:tcPr>
            <w:tcW w:w="6012" w:type="dxa"/>
            <w:gridSpan w:val="2"/>
            <w:tcBorders>
              <w:top w:val="single" w:sz="4" w:space="0" w:color="auto"/>
            </w:tcBorders>
            <w:vAlign w:val="center"/>
          </w:tcPr>
          <w:p w14:paraId="77939929" w14:textId="321D0830" w:rsidR="00C9686E" w:rsidRPr="006607A0" w:rsidRDefault="00C9686E" w:rsidP="00396A82">
            <w:pPr>
              <w:pStyle w:val="TableParagraph"/>
              <w:jc w:val="center"/>
              <w:rPr>
                <w:b/>
              </w:rPr>
            </w:pPr>
            <w:r w:rsidRPr="006607A0">
              <w:rPr>
                <w:rFonts w:eastAsia="TimesNewRomanPS-BoldMT"/>
                <w:b/>
                <w:bCs/>
                <w:szCs w:val="21"/>
                <w:lang w:val="en-US" w:eastAsia="ko-KR"/>
              </w:rPr>
              <w:t>69% (58</w:t>
            </w:r>
            <w:r w:rsidR="00ED06BA" w:rsidRPr="009474C0">
              <w:t> – </w:t>
            </w:r>
            <w:r w:rsidRPr="006607A0">
              <w:rPr>
                <w:rFonts w:eastAsia="TimesNewRomanPS-BoldMT"/>
                <w:b/>
                <w:bCs/>
                <w:szCs w:val="21"/>
                <w:lang w:val="en-US" w:eastAsia="ko-KR"/>
              </w:rPr>
              <w:t>79)</w:t>
            </w:r>
          </w:p>
        </w:tc>
      </w:tr>
      <w:tr w:rsidR="00C9686E" w:rsidRPr="006607A0" w14:paraId="06FF8C5C" w14:textId="77777777" w:rsidTr="00396A82">
        <w:trPr>
          <w:trHeight w:val="20"/>
        </w:trPr>
        <w:tc>
          <w:tcPr>
            <w:tcW w:w="3060" w:type="dxa"/>
            <w:tcBorders>
              <w:bottom w:val="single" w:sz="4" w:space="0" w:color="auto"/>
            </w:tcBorders>
            <w:vAlign w:val="center"/>
          </w:tcPr>
          <w:p w14:paraId="4647B1B3" w14:textId="77777777" w:rsidR="00C9686E" w:rsidRPr="006607A0" w:rsidRDefault="00C9686E" w:rsidP="00396A82">
            <w:pPr>
              <w:pStyle w:val="TableParagraph"/>
            </w:pPr>
            <w:proofErr w:type="spellStart"/>
            <w:r w:rsidRPr="006607A0">
              <w:rPr>
                <w:rFonts w:eastAsia="TimesNewRomanPSMT"/>
                <w:szCs w:val="21"/>
                <w:lang w:val="en-US" w:eastAsia="ko-KR"/>
              </w:rPr>
              <w:t>Bolesnici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otporni</w:t>
            </w:r>
            <w:proofErr w:type="spellEnd"/>
            <w:r w:rsidRPr="006607A0">
              <w:rPr>
                <w:rFonts w:eastAsia="TimesNewRomanPSMT"/>
                <w:szCs w:val="21"/>
                <w:lang w:val="en-US" w:eastAsia="ko-KR"/>
              </w:rPr>
              <w:t xml:space="preserve"> </w:t>
            </w:r>
            <w:proofErr w:type="spellStart"/>
            <w:r w:rsidRPr="006607A0">
              <w:rPr>
                <w:rFonts w:eastAsia="TimesNewRomanPSMT"/>
                <w:szCs w:val="21"/>
                <w:lang w:val="en-US" w:eastAsia="ko-KR"/>
              </w:rPr>
              <w:t>na</w:t>
            </w:r>
            <w:proofErr w:type="spellEnd"/>
            <w:r w:rsidRPr="006607A0">
              <w:rPr>
                <w:rFonts w:eastAsia="TimesNewRomanPSMT"/>
                <w:szCs w:val="21"/>
                <w:lang w:val="en-US" w:eastAsia="ko-KR"/>
              </w:rPr>
              <w:t xml:space="preserve"> imatinib</w:t>
            </w:r>
          </w:p>
        </w:tc>
        <w:tc>
          <w:tcPr>
            <w:tcW w:w="6012" w:type="dxa"/>
            <w:gridSpan w:val="2"/>
            <w:tcBorders>
              <w:bottom w:val="single" w:sz="4" w:space="0" w:color="auto"/>
            </w:tcBorders>
            <w:vAlign w:val="center"/>
          </w:tcPr>
          <w:p w14:paraId="4778F944" w14:textId="1ECFE3FE" w:rsidR="00C9686E" w:rsidRPr="006607A0" w:rsidRDefault="00C9686E" w:rsidP="00396A82">
            <w:pPr>
              <w:pStyle w:val="TableParagraph"/>
              <w:jc w:val="center"/>
              <w:rPr>
                <w:b/>
              </w:rPr>
            </w:pPr>
            <w:r w:rsidRPr="006607A0">
              <w:rPr>
                <w:rFonts w:eastAsia="TimesNewRomanPS-BoldMT"/>
                <w:b/>
                <w:bCs/>
                <w:szCs w:val="21"/>
                <w:lang w:val="en-US" w:eastAsia="ko-KR"/>
              </w:rPr>
              <w:t>72% (58</w:t>
            </w:r>
            <w:r w:rsidR="00ED06BA" w:rsidRPr="009474C0">
              <w:t> – </w:t>
            </w:r>
            <w:r w:rsidRPr="006607A0">
              <w:rPr>
                <w:rFonts w:eastAsia="TimesNewRomanPS-BoldMT"/>
                <w:b/>
                <w:bCs/>
                <w:szCs w:val="21"/>
                <w:lang w:val="en-US" w:eastAsia="ko-KR"/>
              </w:rPr>
              <w:t>83)</w:t>
            </w:r>
          </w:p>
        </w:tc>
      </w:tr>
    </w:tbl>
    <w:p w14:paraId="14B8530E" w14:textId="5493A439" w:rsidR="00AF7ABC" w:rsidRPr="00F25CE6" w:rsidRDefault="00422138" w:rsidP="00C9686E">
      <w:pPr>
        <w:pStyle w:val="Footnote"/>
      </w:pPr>
      <w:r w:rsidRPr="00C9686E">
        <w:rPr>
          <w:vertAlign w:val="superscript"/>
        </w:rPr>
        <w:t>a</w:t>
      </w:r>
      <w:r w:rsidR="009B11B7">
        <w:t xml:space="preserve"> </w:t>
      </w:r>
      <w:r w:rsidRPr="00F25CE6">
        <w:t>Rezultati prijavljeni uz primjenu preporučene početne doze od 100 mg jedanput dnevno.</w:t>
      </w:r>
    </w:p>
    <w:p w14:paraId="7E570B4F" w14:textId="286A56D9" w:rsidR="00AF7ABC" w:rsidRPr="00F25CE6" w:rsidRDefault="00422138" w:rsidP="00612D2B">
      <w:pPr>
        <w:pStyle w:val="Footnote"/>
        <w:ind w:left="0" w:firstLine="0"/>
      </w:pPr>
      <w:r w:rsidRPr="00C9686E">
        <w:rPr>
          <w:vertAlign w:val="superscript"/>
        </w:rPr>
        <w:t>b</w:t>
      </w:r>
      <w:r w:rsidR="009B11B7">
        <w:t xml:space="preserve"> </w:t>
      </w:r>
      <w:r w:rsidRPr="00F25CE6">
        <w:t>Kriteriji hematološkog odgovora (svi odgovori potvrđeni nakon 4 tjedna): Potpun hematološki odgovor (kroničn</w:t>
      </w:r>
      <w:r w:rsidR="00D70A36">
        <w:t>i</w:t>
      </w:r>
      <w:r w:rsidRPr="00F25CE6">
        <w:t xml:space="preserve"> KML): broj leukocita ≤ GGN za laboratorij, trombociti &lt; 450 000/mm</w:t>
      </w:r>
      <w:r w:rsidRPr="00F25CE6">
        <w:rPr>
          <w:vertAlign w:val="superscript"/>
        </w:rPr>
        <w:t>3</w:t>
      </w:r>
      <w:r w:rsidRPr="00F25CE6">
        <w:t xml:space="preserve">, bez blasta ili promijelocita u </w:t>
      </w:r>
      <w:r w:rsidRPr="00F25CE6">
        <w:lastRenderedPageBreak/>
        <w:t>perifernoj krvi, &lt; 5% mijelocita plus metamijelociti u perifernoj krvi, bazofili u perifernoj krvi &lt; 20%, i bez ekstramedularne bolesti.</w:t>
      </w:r>
    </w:p>
    <w:p w14:paraId="6C59E3FC" w14:textId="1D018AA0" w:rsidR="00AF7ABC" w:rsidRPr="00F25CE6" w:rsidRDefault="00422138" w:rsidP="00612D2B">
      <w:pPr>
        <w:pStyle w:val="Footnote"/>
        <w:ind w:left="0" w:firstLine="0"/>
      </w:pPr>
      <w:r w:rsidRPr="00C9686E">
        <w:rPr>
          <w:vertAlign w:val="superscript"/>
        </w:rPr>
        <w:t>c</w:t>
      </w:r>
      <w:r w:rsidR="009B11B7">
        <w:t xml:space="preserve"> </w:t>
      </w:r>
      <w:r w:rsidRPr="00F25CE6">
        <w:t>Kriteriji citogenetskog odgovora: potpun (0% Ph+ metafaze) ili djelomičan (&gt; 0%</w:t>
      </w:r>
      <w:r w:rsidR="00D70A36" w:rsidRPr="009474C0">
        <w:rPr>
          <w:sz w:val="22"/>
          <w:szCs w:val="22"/>
        </w:rPr>
        <w:t> – </w:t>
      </w:r>
      <w:r w:rsidRPr="00F25CE6">
        <w:t>35%). Značajan citogenetski odgovor (0</w:t>
      </w:r>
      <w:r w:rsidR="00D70A36" w:rsidRPr="00F25CE6">
        <w:t>%</w:t>
      </w:r>
      <w:r w:rsidR="00D70A36" w:rsidRPr="009474C0">
        <w:rPr>
          <w:sz w:val="22"/>
          <w:szCs w:val="22"/>
        </w:rPr>
        <w:t> – </w:t>
      </w:r>
      <w:r w:rsidRPr="00F25CE6">
        <w:t>35%) obuhvaća i potpun i djelomičan odgovor.</w:t>
      </w:r>
    </w:p>
    <w:p w14:paraId="4F8C385A" w14:textId="233D5127" w:rsidR="00AF7ABC" w:rsidRPr="00F25CE6" w:rsidRDefault="00422138" w:rsidP="00612D2B">
      <w:pPr>
        <w:pStyle w:val="Footnote"/>
        <w:ind w:left="0" w:firstLine="0"/>
      </w:pPr>
      <w:r w:rsidRPr="00C9686E">
        <w:rPr>
          <w:vertAlign w:val="superscript"/>
        </w:rPr>
        <w:t>d</w:t>
      </w:r>
      <w:r w:rsidR="009B11B7">
        <w:t xml:space="preserve"> </w:t>
      </w:r>
      <w:r w:rsidRPr="00F25CE6">
        <w:t>Kriteriji značajnog molekularnog odgovora: Definiran kao BCR-ABL/kontrolni transkripti ≤ 0,1% po RQ-PCR u uzorcima periferne krvi.</w:t>
      </w:r>
    </w:p>
    <w:p w14:paraId="515AADA2" w14:textId="77777777" w:rsidR="00A15E8A" w:rsidRPr="00F25CE6" w:rsidRDefault="00A15E8A" w:rsidP="00F25CE6">
      <w:pPr>
        <w:widowControl/>
        <w:rPr>
          <w:rFonts w:asciiTheme="majorBidi" w:hAnsiTheme="majorBidi" w:cstheme="majorBidi"/>
        </w:rPr>
      </w:pPr>
    </w:p>
    <w:p w14:paraId="1EC410FF" w14:textId="5356F2B9" w:rsidR="00AF7ABC" w:rsidRPr="00F25CE6" w:rsidRDefault="00422138" w:rsidP="00C9686E">
      <w:pPr>
        <w:pStyle w:val="Tableheading"/>
      </w:pPr>
      <w:r w:rsidRPr="00F25CE6">
        <w:t>Tablica 13:</w:t>
      </w:r>
      <w:r w:rsidR="00C9686E">
        <w:tab/>
      </w:r>
      <w:r w:rsidRPr="00F25CE6">
        <w:t xml:space="preserve">Dugoročna djelotvornost </w:t>
      </w:r>
      <w:r w:rsidR="004E17E6">
        <w:t>dasatiniba</w:t>
      </w:r>
      <w:r w:rsidRPr="00F25CE6">
        <w:t xml:space="preserve"> u ispitivanju optimizacije doze faze </w:t>
      </w:r>
      <w:r w:rsidR="00711852">
        <w:t>III</w:t>
      </w:r>
      <w:r w:rsidRPr="00F25CE6">
        <w:t>: bolesnici s KML</w:t>
      </w:r>
      <w:r w:rsidR="005854EA">
        <w:t>-om</w:t>
      </w:r>
      <w:r w:rsidRPr="00F25CE6">
        <w:t xml:space="preserve"> u kroničnoj fazi koji su otporni na imatinib ili ga ne podnose</w:t>
      </w:r>
      <w:r w:rsidR="008444EF" w:rsidRPr="008444EF">
        <w:rPr>
          <w:vertAlign w:val="superscript"/>
        </w:rPr>
        <w:t xml:space="preserve"> </w:t>
      </w:r>
      <w:r w:rsidR="008444EF" w:rsidRPr="00C9686E">
        <w:rPr>
          <w:vertAlign w:val="superscript"/>
        </w:rPr>
        <w:t>a</w:t>
      </w:r>
      <w:r w:rsidR="008444EF">
        <w:t xml:space="preserve"> </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740"/>
        <w:gridCol w:w="1683"/>
        <w:gridCol w:w="1500"/>
        <w:gridCol w:w="1524"/>
        <w:gridCol w:w="1559"/>
      </w:tblGrid>
      <w:tr w:rsidR="00C9686E" w:rsidRPr="00F25CE6" w14:paraId="25ABD31F" w14:textId="77777777" w:rsidTr="00396A82">
        <w:trPr>
          <w:trHeight w:val="20"/>
        </w:trPr>
        <w:tc>
          <w:tcPr>
            <w:tcW w:w="2740" w:type="dxa"/>
            <w:tcBorders>
              <w:bottom w:val="single" w:sz="4" w:space="0" w:color="000000"/>
            </w:tcBorders>
          </w:tcPr>
          <w:p w14:paraId="62CCC4C0" w14:textId="77777777" w:rsidR="00C9686E" w:rsidRPr="00F25CE6" w:rsidRDefault="00C9686E" w:rsidP="00C9686E">
            <w:pPr>
              <w:pStyle w:val="TableParagraph"/>
              <w:autoSpaceDE/>
              <w:autoSpaceDN/>
              <w:ind w:left="29" w:right="29"/>
              <w:rPr>
                <w:rFonts w:asciiTheme="majorBidi" w:hAnsiTheme="majorBidi" w:cstheme="majorBidi"/>
              </w:rPr>
            </w:pPr>
          </w:p>
        </w:tc>
        <w:tc>
          <w:tcPr>
            <w:tcW w:w="6266" w:type="dxa"/>
            <w:gridSpan w:val="4"/>
            <w:tcBorders>
              <w:bottom w:val="single" w:sz="4" w:space="0" w:color="000000"/>
            </w:tcBorders>
          </w:tcPr>
          <w:p w14:paraId="64A4E9D7" w14:textId="77777777" w:rsidR="00C9686E" w:rsidRPr="00F25CE6" w:rsidRDefault="00C9686E" w:rsidP="00C9686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Minimalno razdoblje praćenja</w:t>
            </w:r>
          </w:p>
        </w:tc>
      </w:tr>
      <w:tr w:rsidR="00AF7ABC" w:rsidRPr="00F25CE6" w14:paraId="0870BFF5" w14:textId="77777777" w:rsidTr="00C9686E">
        <w:trPr>
          <w:trHeight w:val="20"/>
        </w:trPr>
        <w:tc>
          <w:tcPr>
            <w:tcW w:w="2740" w:type="dxa"/>
            <w:tcBorders>
              <w:bottom w:val="single" w:sz="4" w:space="0" w:color="000000"/>
            </w:tcBorders>
          </w:tcPr>
          <w:p w14:paraId="4BCF02F5" w14:textId="77777777" w:rsidR="00AF7ABC" w:rsidRPr="00F25CE6" w:rsidRDefault="00AF7ABC" w:rsidP="00C9686E">
            <w:pPr>
              <w:pStyle w:val="TableParagraph"/>
              <w:autoSpaceDE/>
              <w:autoSpaceDN/>
              <w:ind w:left="29" w:right="29"/>
              <w:rPr>
                <w:rFonts w:asciiTheme="majorBidi" w:hAnsiTheme="majorBidi" w:cstheme="majorBidi"/>
              </w:rPr>
            </w:pPr>
          </w:p>
        </w:tc>
        <w:tc>
          <w:tcPr>
            <w:tcW w:w="1683" w:type="dxa"/>
            <w:tcBorders>
              <w:top w:val="single" w:sz="4" w:space="0" w:color="000000"/>
              <w:bottom w:val="single" w:sz="4" w:space="0" w:color="000000"/>
            </w:tcBorders>
          </w:tcPr>
          <w:p w14:paraId="5FB161C5" w14:textId="77777777" w:rsidR="00AF7ABC" w:rsidRPr="00F25CE6" w:rsidRDefault="00422138" w:rsidP="00C9686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1 godina</w:t>
            </w:r>
          </w:p>
        </w:tc>
        <w:tc>
          <w:tcPr>
            <w:tcW w:w="1500" w:type="dxa"/>
            <w:tcBorders>
              <w:top w:val="single" w:sz="4" w:space="0" w:color="000000"/>
              <w:bottom w:val="single" w:sz="4" w:space="0" w:color="000000"/>
            </w:tcBorders>
          </w:tcPr>
          <w:p w14:paraId="3300AA91" w14:textId="77777777" w:rsidR="00AF7ABC" w:rsidRPr="00F25CE6" w:rsidRDefault="00422138" w:rsidP="00C9686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2 godine</w:t>
            </w:r>
          </w:p>
        </w:tc>
        <w:tc>
          <w:tcPr>
            <w:tcW w:w="1524" w:type="dxa"/>
            <w:tcBorders>
              <w:top w:val="single" w:sz="4" w:space="0" w:color="000000"/>
              <w:bottom w:val="single" w:sz="4" w:space="0" w:color="000000"/>
            </w:tcBorders>
          </w:tcPr>
          <w:p w14:paraId="3B9C5B03" w14:textId="77777777" w:rsidR="00AF7ABC" w:rsidRPr="00F25CE6" w:rsidRDefault="00422138" w:rsidP="00C9686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5 godina</w:t>
            </w:r>
          </w:p>
        </w:tc>
        <w:tc>
          <w:tcPr>
            <w:tcW w:w="1559" w:type="dxa"/>
            <w:tcBorders>
              <w:top w:val="single" w:sz="4" w:space="0" w:color="000000"/>
              <w:bottom w:val="single" w:sz="4" w:space="0" w:color="000000"/>
            </w:tcBorders>
          </w:tcPr>
          <w:p w14:paraId="785C4FDD" w14:textId="77777777" w:rsidR="00AF7ABC" w:rsidRPr="00F25CE6" w:rsidRDefault="00422138" w:rsidP="00C9686E">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7 godina</w:t>
            </w:r>
          </w:p>
        </w:tc>
      </w:tr>
      <w:tr w:rsidR="00AF7ABC" w:rsidRPr="00F25CE6" w14:paraId="626CAC37" w14:textId="77777777" w:rsidTr="00C9686E">
        <w:trPr>
          <w:trHeight w:val="20"/>
        </w:trPr>
        <w:tc>
          <w:tcPr>
            <w:tcW w:w="2740" w:type="dxa"/>
            <w:tcBorders>
              <w:top w:val="single" w:sz="4" w:space="0" w:color="000000"/>
            </w:tcBorders>
          </w:tcPr>
          <w:p w14:paraId="6880D86B" w14:textId="77777777" w:rsidR="00AF7ABC" w:rsidRPr="00F25CE6" w:rsidRDefault="00422138" w:rsidP="00C9686E">
            <w:pPr>
              <w:pStyle w:val="TableParagraph"/>
              <w:autoSpaceDE/>
              <w:autoSpaceDN/>
              <w:ind w:left="29" w:right="29"/>
              <w:rPr>
                <w:rFonts w:asciiTheme="majorBidi" w:hAnsiTheme="majorBidi" w:cstheme="majorBidi"/>
              </w:rPr>
            </w:pPr>
            <w:r w:rsidRPr="00F25CE6">
              <w:rPr>
                <w:rFonts w:asciiTheme="majorBidi" w:hAnsiTheme="majorBidi" w:cstheme="majorBidi"/>
                <w:b/>
              </w:rPr>
              <w:t>Značajan molekularni odgovo</w:t>
            </w:r>
            <w:r w:rsidR="00C9686E" w:rsidRPr="00F25CE6">
              <w:rPr>
                <w:rFonts w:asciiTheme="majorBidi" w:hAnsiTheme="majorBidi" w:cstheme="majorBidi"/>
                <w:b/>
              </w:rPr>
              <w:t>r</w:t>
            </w:r>
          </w:p>
        </w:tc>
        <w:tc>
          <w:tcPr>
            <w:tcW w:w="1683" w:type="dxa"/>
            <w:tcBorders>
              <w:top w:val="single" w:sz="4" w:space="0" w:color="000000"/>
            </w:tcBorders>
          </w:tcPr>
          <w:p w14:paraId="31FB667A" w14:textId="77777777" w:rsidR="00AF7ABC" w:rsidRPr="00F25CE6" w:rsidRDefault="00AF7ABC" w:rsidP="00C9686E">
            <w:pPr>
              <w:pStyle w:val="TableParagraph"/>
              <w:autoSpaceDE/>
              <w:autoSpaceDN/>
              <w:ind w:left="29" w:right="29"/>
              <w:jc w:val="center"/>
              <w:rPr>
                <w:rFonts w:asciiTheme="majorBidi" w:hAnsiTheme="majorBidi" w:cstheme="majorBidi"/>
              </w:rPr>
            </w:pPr>
          </w:p>
        </w:tc>
        <w:tc>
          <w:tcPr>
            <w:tcW w:w="1500" w:type="dxa"/>
            <w:tcBorders>
              <w:top w:val="single" w:sz="4" w:space="0" w:color="000000"/>
            </w:tcBorders>
          </w:tcPr>
          <w:p w14:paraId="1497157D" w14:textId="77777777" w:rsidR="00AF7ABC" w:rsidRPr="00F25CE6" w:rsidRDefault="00AF7ABC" w:rsidP="00C9686E">
            <w:pPr>
              <w:pStyle w:val="TableParagraph"/>
              <w:autoSpaceDE/>
              <w:autoSpaceDN/>
              <w:ind w:left="29" w:right="29"/>
              <w:jc w:val="center"/>
              <w:rPr>
                <w:rFonts w:asciiTheme="majorBidi" w:hAnsiTheme="majorBidi" w:cstheme="majorBidi"/>
              </w:rPr>
            </w:pPr>
          </w:p>
        </w:tc>
        <w:tc>
          <w:tcPr>
            <w:tcW w:w="1524" w:type="dxa"/>
            <w:tcBorders>
              <w:top w:val="single" w:sz="4" w:space="0" w:color="000000"/>
            </w:tcBorders>
          </w:tcPr>
          <w:p w14:paraId="0320149C" w14:textId="77777777" w:rsidR="00AF7ABC" w:rsidRPr="00F25CE6" w:rsidRDefault="00AF7ABC" w:rsidP="00C9686E">
            <w:pPr>
              <w:pStyle w:val="TableParagraph"/>
              <w:autoSpaceDE/>
              <w:autoSpaceDN/>
              <w:ind w:left="29" w:right="29"/>
              <w:jc w:val="center"/>
              <w:rPr>
                <w:rFonts w:asciiTheme="majorBidi" w:hAnsiTheme="majorBidi" w:cstheme="majorBidi"/>
              </w:rPr>
            </w:pPr>
          </w:p>
        </w:tc>
        <w:tc>
          <w:tcPr>
            <w:tcW w:w="1559" w:type="dxa"/>
            <w:tcBorders>
              <w:top w:val="single" w:sz="4" w:space="0" w:color="000000"/>
            </w:tcBorders>
          </w:tcPr>
          <w:p w14:paraId="00C360FE" w14:textId="77777777" w:rsidR="00AF7ABC" w:rsidRPr="00F25CE6" w:rsidRDefault="00AF7ABC" w:rsidP="00C9686E">
            <w:pPr>
              <w:pStyle w:val="TableParagraph"/>
              <w:autoSpaceDE/>
              <w:autoSpaceDN/>
              <w:ind w:left="29" w:right="29"/>
              <w:jc w:val="center"/>
              <w:rPr>
                <w:rFonts w:asciiTheme="majorBidi" w:hAnsiTheme="majorBidi" w:cstheme="majorBidi"/>
              </w:rPr>
            </w:pPr>
          </w:p>
        </w:tc>
      </w:tr>
      <w:tr w:rsidR="00C9686E" w:rsidRPr="00F25CE6" w14:paraId="5FFFDA00" w14:textId="77777777" w:rsidTr="00C9686E">
        <w:trPr>
          <w:trHeight w:val="20"/>
        </w:trPr>
        <w:tc>
          <w:tcPr>
            <w:tcW w:w="2740" w:type="dxa"/>
          </w:tcPr>
          <w:p w14:paraId="7E17B6CD" w14:textId="77777777" w:rsidR="00C9686E" w:rsidRPr="00F25CE6" w:rsidRDefault="00C9686E" w:rsidP="00C9686E">
            <w:pPr>
              <w:pStyle w:val="TableParagraph"/>
              <w:autoSpaceDE/>
              <w:autoSpaceDN/>
              <w:ind w:left="29" w:right="29"/>
              <w:rPr>
                <w:rFonts w:asciiTheme="majorBidi" w:hAnsiTheme="majorBidi" w:cstheme="majorBidi"/>
                <w:b/>
              </w:rPr>
            </w:pPr>
            <w:r w:rsidRPr="00F25CE6">
              <w:rPr>
                <w:rFonts w:asciiTheme="majorBidi" w:hAnsiTheme="majorBidi" w:cstheme="majorBidi"/>
              </w:rPr>
              <w:t>svi bolesnici</w:t>
            </w:r>
          </w:p>
        </w:tc>
        <w:tc>
          <w:tcPr>
            <w:tcW w:w="1683" w:type="dxa"/>
            <w:vAlign w:val="center"/>
          </w:tcPr>
          <w:p w14:paraId="6ECCDB18"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ND</w:t>
            </w:r>
          </w:p>
        </w:tc>
        <w:tc>
          <w:tcPr>
            <w:tcW w:w="1500" w:type="dxa"/>
            <w:vAlign w:val="center"/>
          </w:tcPr>
          <w:p w14:paraId="43FE150A"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37% (57/154)</w:t>
            </w:r>
          </w:p>
        </w:tc>
        <w:tc>
          <w:tcPr>
            <w:tcW w:w="1524" w:type="dxa"/>
            <w:vAlign w:val="center"/>
          </w:tcPr>
          <w:p w14:paraId="0579FB13"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44% (71/160)</w:t>
            </w:r>
          </w:p>
        </w:tc>
        <w:tc>
          <w:tcPr>
            <w:tcW w:w="1559" w:type="dxa"/>
            <w:vAlign w:val="center"/>
          </w:tcPr>
          <w:p w14:paraId="33A1C498"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46% (73/160)</w:t>
            </w:r>
          </w:p>
        </w:tc>
      </w:tr>
      <w:tr w:rsidR="00C9686E" w:rsidRPr="00F25CE6" w14:paraId="4C5BE11B" w14:textId="77777777" w:rsidTr="00C9686E">
        <w:trPr>
          <w:trHeight w:val="20"/>
        </w:trPr>
        <w:tc>
          <w:tcPr>
            <w:tcW w:w="2740" w:type="dxa"/>
          </w:tcPr>
          <w:p w14:paraId="755B2995"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otporni na</w:t>
            </w:r>
          </w:p>
        </w:tc>
        <w:tc>
          <w:tcPr>
            <w:tcW w:w="1683" w:type="dxa"/>
            <w:vAlign w:val="center"/>
          </w:tcPr>
          <w:p w14:paraId="4557356F"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ND</w:t>
            </w:r>
          </w:p>
        </w:tc>
        <w:tc>
          <w:tcPr>
            <w:tcW w:w="1500" w:type="dxa"/>
            <w:vAlign w:val="center"/>
          </w:tcPr>
          <w:p w14:paraId="3DA9CA5A"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35% (41/117)</w:t>
            </w:r>
          </w:p>
        </w:tc>
        <w:tc>
          <w:tcPr>
            <w:tcW w:w="1524" w:type="dxa"/>
            <w:vAlign w:val="center"/>
          </w:tcPr>
          <w:p w14:paraId="35C4AF2B"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42% (50/120)</w:t>
            </w:r>
          </w:p>
        </w:tc>
        <w:tc>
          <w:tcPr>
            <w:tcW w:w="1559" w:type="dxa"/>
            <w:vAlign w:val="center"/>
          </w:tcPr>
          <w:p w14:paraId="5580E19B"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43% (51/120)</w:t>
            </w:r>
          </w:p>
        </w:tc>
      </w:tr>
      <w:tr w:rsidR="00C9686E" w:rsidRPr="00F25CE6" w14:paraId="1A599601" w14:textId="77777777" w:rsidTr="00C9686E">
        <w:trPr>
          <w:trHeight w:val="20"/>
        </w:trPr>
        <w:tc>
          <w:tcPr>
            <w:tcW w:w="2740" w:type="dxa"/>
          </w:tcPr>
          <w:p w14:paraId="7BD7B4ED"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imatinib</w:t>
            </w:r>
          </w:p>
        </w:tc>
        <w:tc>
          <w:tcPr>
            <w:tcW w:w="1683" w:type="dxa"/>
            <w:vAlign w:val="center"/>
          </w:tcPr>
          <w:p w14:paraId="1D44EC6C"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00" w:type="dxa"/>
            <w:vAlign w:val="center"/>
          </w:tcPr>
          <w:p w14:paraId="782EBCAE"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24" w:type="dxa"/>
            <w:vAlign w:val="center"/>
          </w:tcPr>
          <w:p w14:paraId="34094A0F"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59" w:type="dxa"/>
            <w:vAlign w:val="center"/>
          </w:tcPr>
          <w:p w14:paraId="636AFC2F" w14:textId="77777777" w:rsidR="00C9686E" w:rsidRPr="00F25CE6" w:rsidRDefault="00C9686E" w:rsidP="00C9686E">
            <w:pPr>
              <w:pStyle w:val="TableParagraph"/>
              <w:autoSpaceDE/>
              <w:autoSpaceDN/>
              <w:ind w:left="29" w:right="29"/>
              <w:jc w:val="center"/>
              <w:rPr>
                <w:rFonts w:asciiTheme="majorBidi" w:hAnsiTheme="majorBidi" w:cstheme="majorBidi"/>
              </w:rPr>
            </w:pPr>
          </w:p>
        </w:tc>
      </w:tr>
      <w:tr w:rsidR="00C9686E" w:rsidRPr="00F25CE6" w14:paraId="08FEBBA2" w14:textId="77777777" w:rsidTr="00C9686E">
        <w:trPr>
          <w:trHeight w:val="20"/>
        </w:trPr>
        <w:tc>
          <w:tcPr>
            <w:tcW w:w="2740" w:type="dxa"/>
          </w:tcPr>
          <w:p w14:paraId="79DC72A9"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koji ne podnose</w:t>
            </w:r>
            <w:r>
              <w:rPr>
                <w:rFonts w:asciiTheme="majorBidi" w:hAnsiTheme="majorBidi" w:cstheme="majorBidi"/>
              </w:rPr>
              <w:t xml:space="preserve"> </w:t>
            </w:r>
            <w:r w:rsidRPr="00F25CE6">
              <w:rPr>
                <w:rFonts w:asciiTheme="majorBidi" w:hAnsiTheme="majorBidi" w:cstheme="majorBidi"/>
              </w:rPr>
              <w:t>imatinib</w:t>
            </w:r>
          </w:p>
        </w:tc>
        <w:tc>
          <w:tcPr>
            <w:tcW w:w="1683" w:type="dxa"/>
            <w:vAlign w:val="center"/>
          </w:tcPr>
          <w:p w14:paraId="1927B67B"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ND</w:t>
            </w:r>
          </w:p>
        </w:tc>
        <w:tc>
          <w:tcPr>
            <w:tcW w:w="1500" w:type="dxa"/>
            <w:vAlign w:val="center"/>
          </w:tcPr>
          <w:p w14:paraId="2390548B"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43% (16/37)</w:t>
            </w:r>
          </w:p>
        </w:tc>
        <w:tc>
          <w:tcPr>
            <w:tcW w:w="1524" w:type="dxa"/>
            <w:vAlign w:val="center"/>
          </w:tcPr>
          <w:p w14:paraId="73081363"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53% (21/40)</w:t>
            </w:r>
          </w:p>
        </w:tc>
        <w:tc>
          <w:tcPr>
            <w:tcW w:w="1559" w:type="dxa"/>
            <w:vAlign w:val="center"/>
          </w:tcPr>
          <w:p w14:paraId="17DCB454"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55% (22/40)</w:t>
            </w:r>
          </w:p>
        </w:tc>
      </w:tr>
      <w:tr w:rsidR="00C9686E" w:rsidRPr="00F25CE6" w14:paraId="18D0F768" w14:textId="77777777" w:rsidTr="00C9686E">
        <w:trPr>
          <w:trHeight w:val="20"/>
        </w:trPr>
        <w:tc>
          <w:tcPr>
            <w:tcW w:w="9006" w:type="dxa"/>
            <w:gridSpan w:val="5"/>
          </w:tcPr>
          <w:p w14:paraId="2F70E369" w14:textId="12385AE7" w:rsidR="00C9686E" w:rsidRPr="00F25CE6" w:rsidRDefault="00C9686E" w:rsidP="00C9686E">
            <w:pPr>
              <w:pStyle w:val="TableParagraph"/>
              <w:autoSpaceDE/>
              <w:autoSpaceDN/>
              <w:ind w:left="29" w:right="29"/>
              <w:rPr>
                <w:rFonts w:asciiTheme="majorBidi" w:hAnsiTheme="majorBidi" w:cstheme="majorBidi"/>
                <w:b/>
              </w:rPr>
            </w:pPr>
            <w:r w:rsidRPr="00F25CE6">
              <w:rPr>
                <w:rFonts w:asciiTheme="majorBidi" w:hAnsiTheme="majorBidi" w:cstheme="majorBidi"/>
                <w:b/>
              </w:rPr>
              <w:t>Preživljenje bez progresije bolesti</w:t>
            </w:r>
            <w:r w:rsidR="00C87D2E" w:rsidRPr="00C9686E">
              <w:rPr>
                <w:vertAlign w:val="superscript"/>
              </w:rPr>
              <w:t xml:space="preserve"> b</w:t>
            </w:r>
            <w:r w:rsidR="00C87D2E" w:rsidRPr="00F25CE6" w:rsidDel="00C87D2E">
              <w:rPr>
                <w:rFonts w:asciiTheme="majorBidi" w:hAnsiTheme="majorBidi" w:cstheme="majorBidi"/>
                <w:b/>
              </w:rPr>
              <w:t xml:space="preserve"> </w:t>
            </w:r>
          </w:p>
        </w:tc>
      </w:tr>
      <w:tr w:rsidR="00C9686E" w:rsidRPr="00F25CE6" w14:paraId="0A60C03F" w14:textId="77777777" w:rsidTr="00C9686E">
        <w:trPr>
          <w:trHeight w:val="20"/>
        </w:trPr>
        <w:tc>
          <w:tcPr>
            <w:tcW w:w="2740" w:type="dxa"/>
          </w:tcPr>
          <w:p w14:paraId="23B01677"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svi bolesnici</w:t>
            </w:r>
          </w:p>
        </w:tc>
        <w:tc>
          <w:tcPr>
            <w:tcW w:w="1683" w:type="dxa"/>
            <w:vAlign w:val="center"/>
          </w:tcPr>
          <w:p w14:paraId="355AAA39"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90% (86, 95)</w:t>
            </w:r>
          </w:p>
        </w:tc>
        <w:tc>
          <w:tcPr>
            <w:tcW w:w="1500" w:type="dxa"/>
            <w:vAlign w:val="center"/>
          </w:tcPr>
          <w:p w14:paraId="7241221F"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80% (73, 87)</w:t>
            </w:r>
          </w:p>
        </w:tc>
        <w:tc>
          <w:tcPr>
            <w:tcW w:w="1524" w:type="dxa"/>
            <w:vAlign w:val="center"/>
          </w:tcPr>
          <w:p w14:paraId="47C70229"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51% (41, 60)</w:t>
            </w:r>
          </w:p>
        </w:tc>
        <w:tc>
          <w:tcPr>
            <w:tcW w:w="1559" w:type="dxa"/>
            <w:vAlign w:val="center"/>
          </w:tcPr>
          <w:p w14:paraId="38AAC553"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42% (33, 51)</w:t>
            </w:r>
          </w:p>
        </w:tc>
      </w:tr>
      <w:tr w:rsidR="00C9686E" w:rsidRPr="00F25CE6" w14:paraId="6B3CEAE8" w14:textId="77777777" w:rsidTr="00C9686E">
        <w:trPr>
          <w:trHeight w:val="20"/>
        </w:trPr>
        <w:tc>
          <w:tcPr>
            <w:tcW w:w="2740" w:type="dxa"/>
          </w:tcPr>
          <w:p w14:paraId="3CBBE21D"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otporni na</w:t>
            </w:r>
            <w:r>
              <w:rPr>
                <w:rFonts w:asciiTheme="majorBidi" w:hAnsiTheme="majorBidi" w:cstheme="majorBidi"/>
              </w:rPr>
              <w:t xml:space="preserve"> </w:t>
            </w:r>
            <w:r w:rsidRPr="00F25CE6">
              <w:rPr>
                <w:rFonts w:asciiTheme="majorBidi" w:hAnsiTheme="majorBidi" w:cstheme="majorBidi"/>
              </w:rPr>
              <w:t>imatinib</w:t>
            </w:r>
          </w:p>
        </w:tc>
        <w:tc>
          <w:tcPr>
            <w:tcW w:w="1683" w:type="dxa"/>
            <w:vAlign w:val="center"/>
          </w:tcPr>
          <w:p w14:paraId="0EDE5957"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88% (82, 94)</w:t>
            </w:r>
          </w:p>
        </w:tc>
        <w:tc>
          <w:tcPr>
            <w:tcW w:w="1500" w:type="dxa"/>
            <w:vAlign w:val="center"/>
          </w:tcPr>
          <w:p w14:paraId="03161A2D"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77% (68, 85)</w:t>
            </w:r>
          </w:p>
        </w:tc>
        <w:tc>
          <w:tcPr>
            <w:tcW w:w="1524" w:type="dxa"/>
            <w:vAlign w:val="center"/>
          </w:tcPr>
          <w:p w14:paraId="01F6F356"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49% (39, 59)</w:t>
            </w:r>
          </w:p>
        </w:tc>
        <w:tc>
          <w:tcPr>
            <w:tcW w:w="1559" w:type="dxa"/>
            <w:vAlign w:val="center"/>
          </w:tcPr>
          <w:p w14:paraId="79E1EC8E"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39% (29, 49)</w:t>
            </w:r>
          </w:p>
        </w:tc>
      </w:tr>
      <w:tr w:rsidR="00C9686E" w:rsidRPr="00F25CE6" w14:paraId="32A7F590" w14:textId="77777777" w:rsidTr="00C9686E">
        <w:trPr>
          <w:trHeight w:val="20"/>
        </w:trPr>
        <w:tc>
          <w:tcPr>
            <w:tcW w:w="2740" w:type="dxa"/>
          </w:tcPr>
          <w:p w14:paraId="1B0CAB10"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koji ne podnose</w:t>
            </w:r>
            <w:r>
              <w:rPr>
                <w:rFonts w:asciiTheme="majorBidi" w:hAnsiTheme="majorBidi" w:cstheme="majorBidi"/>
              </w:rPr>
              <w:t xml:space="preserve"> </w:t>
            </w:r>
            <w:r w:rsidRPr="00F25CE6">
              <w:rPr>
                <w:rFonts w:asciiTheme="majorBidi" w:hAnsiTheme="majorBidi" w:cstheme="majorBidi"/>
              </w:rPr>
              <w:t>imatinib</w:t>
            </w:r>
          </w:p>
        </w:tc>
        <w:tc>
          <w:tcPr>
            <w:tcW w:w="1683" w:type="dxa"/>
            <w:vAlign w:val="center"/>
          </w:tcPr>
          <w:p w14:paraId="500B4420"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97% (92, 100)</w:t>
            </w:r>
          </w:p>
        </w:tc>
        <w:tc>
          <w:tcPr>
            <w:tcW w:w="1500" w:type="dxa"/>
            <w:vAlign w:val="center"/>
          </w:tcPr>
          <w:p w14:paraId="5B416C1F"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87% (76, 99)</w:t>
            </w:r>
          </w:p>
        </w:tc>
        <w:tc>
          <w:tcPr>
            <w:tcW w:w="1524" w:type="dxa"/>
            <w:vAlign w:val="center"/>
          </w:tcPr>
          <w:p w14:paraId="77DDBBB2"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56% (37, 76)</w:t>
            </w:r>
          </w:p>
        </w:tc>
        <w:tc>
          <w:tcPr>
            <w:tcW w:w="1559" w:type="dxa"/>
            <w:vAlign w:val="center"/>
          </w:tcPr>
          <w:p w14:paraId="1076A516"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51% (32, 67)</w:t>
            </w:r>
          </w:p>
        </w:tc>
      </w:tr>
      <w:tr w:rsidR="00C9686E" w:rsidRPr="00F25CE6" w14:paraId="54C25EAB" w14:textId="77777777" w:rsidTr="00C9686E">
        <w:trPr>
          <w:trHeight w:val="20"/>
        </w:trPr>
        <w:tc>
          <w:tcPr>
            <w:tcW w:w="2740" w:type="dxa"/>
          </w:tcPr>
          <w:p w14:paraId="70847478" w14:textId="77777777" w:rsidR="00C9686E" w:rsidRPr="00F25CE6" w:rsidRDefault="00C9686E" w:rsidP="00C9686E">
            <w:pPr>
              <w:pStyle w:val="TableParagraph"/>
              <w:autoSpaceDE/>
              <w:autoSpaceDN/>
              <w:ind w:left="29" w:right="29"/>
              <w:rPr>
                <w:rFonts w:asciiTheme="majorBidi" w:hAnsiTheme="majorBidi" w:cstheme="majorBidi"/>
                <w:b/>
              </w:rPr>
            </w:pPr>
            <w:r w:rsidRPr="00F25CE6">
              <w:rPr>
                <w:rFonts w:asciiTheme="majorBidi" w:hAnsiTheme="majorBidi" w:cstheme="majorBidi"/>
                <w:b/>
              </w:rPr>
              <w:t>Ukupno preživljenje</w:t>
            </w:r>
          </w:p>
        </w:tc>
        <w:tc>
          <w:tcPr>
            <w:tcW w:w="1683" w:type="dxa"/>
          </w:tcPr>
          <w:p w14:paraId="247513A9"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00" w:type="dxa"/>
          </w:tcPr>
          <w:p w14:paraId="3A7FFBCF"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24" w:type="dxa"/>
          </w:tcPr>
          <w:p w14:paraId="5AEBFDA1" w14:textId="77777777" w:rsidR="00C9686E" w:rsidRPr="00F25CE6" w:rsidRDefault="00C9686E" w:rsidP="00C9686E">
            <w:pPr>
              <w:pStyle w:val="TableParagraph"/>
              <w:autoSpaceDE/>
              <w:autoSpaceDN/>
              <w:ind w:left="29" w:right="29"/>
              <w:jc w:val="center"/>
              <w:rPr>
                <w:rFonts w:asciiTheme="majorBidi" w:hAnsiTheme="majorBidi" w:cstheme="majorBidi"/>
              </w:rPr>
            </w:pPr>
          </w:p>
        </w:tc>
        <w:tc>
          <w:tcPr>
            <w:tcW w:w="1559" w:type="dxa"/>
          </w:tcPr>
          <w:p w14:paraId="2A6DE3A1" w14:textId="77777777" w:rsidR="00C9686E" w:rsidRPr="00F25CE6" w:rsidRDefault="00C9686E" w:rsidP="00C9686E">
            <w:pPr>
              <w:pStyle w:val="TableParagraph"/>
              <w:autoSpaceDE/>
              <w:autoSpaceDN/>
              <w:ind w:left="29" w:right="29"/>
              <w:jc w:val="center"/>
              <w:rPr>
                <w:rFonts w:asciiTheme="majorBidi" w:hAnsiTheme="majorBidi" w:cstheme="majorBidi"/>
              </w:rPr>
            </w:pPr>
          </w:p>
        </w:tc>
      </w:tr>
      <w:tr w:rsidR="00C9686E" w:rsidRPr="00F25CE6" w14:paraId="085972FE" w14:textId="77777777" w:rsidTr="00C9686E">
        <w:trPr>
          <w:trHeight w:val="20"/>
        </w:trPr>
        <w:tc>
          <w:tcPr>
            <w:tcW w:w="2740" w:type="dxa"/>
          </w:tcPr>
          <w:p w14:paraId="3FB6B564"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svi bolesnici</w:t>
            </w:r>
          </w:p>
        </w:tc>
        <w:tc>
          <w:tcPr>
            <w:tcW w:w="1683" w:type="dxa"/>
            <w:vAlign w:val="center"/>
          </w:tcPr>
          <w:p w14:paraId="5F598D0D"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96% (93, 99)</w:t>
            </w:r>
          </w:p>
        </w:tc>
        <w:tc>
          <w:tcPr>
            <w:tcW w:w="1500" w:type="dxa"/>
            <w:vAlign w:val="center"/>
          </w:tcPr>
          <w:p w14:paraId="09850FC1"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91% (86, 96)</w:t>
            </w:r>
          </w:p>
        </w:tc>
        <w:tc>
          <w:tcPr>
            <w:tcW w:w="1524" w:type="dxa"/>
            <w:vAlign w:val="center"/>
          </w:tcPr>
          <w:p w14:paraId="50BA2565"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78% (72, 85)</w:t>
            </w:r>
          </w:p>
        </w:tc>
        <w:tc>
          <w:tcPr>
            <w:tcW w:w="1559" w:type="dxa"/>
            <w:vAlign w:val="center"/>
          </w:tcPr>
          <w:p w14:paraId="10397C12"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65% (56, 72)</w:t>
            </w:r>
          </w:p>
        </w:tc>
      </w:tr>
      <w:tr w:rsidR="00C9686E" w:rsidRPr="00F25CE6" w14:paraId="55542CA5" w14:textId="77777777" w:rsidTr="00C9686E">
        <w:trPr>
          <w:trHeight w:val="20"/>
        </w:trPr>
        <w:tc>
          <w:tcPr>
            <w:tcW w:w="2740" w:type="dxa"/>
          </w:tcPr>
          <w:p w14:paraId="6A9D3371"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otporni na</w:t>
            </w:r>
            <w:r>
              <w:rPr>
                <w:rFonts w:asciiTheme="majorBidi" w:hAnsiTheme="majorBidi" w:cstheme="majorBidi"/>
              </w:rPr>
              <w:t xml:space="preserve"> </w:t>
            </w:r>
            <w:r w:rsidRPr="00F25CE6">
              <w:rPr>
                <w:rFonts w:asciiTheme="majorBidi" w:hAnsiTheme="majorBidi" w:cstheme="majorBidi"/>
              </w:rPr>
              <w:t>imatinib</w:t>
            </w:r>
          </w:p>
        </w:tc>
        <w:tc>
          <w:tcPr>
            <w:tcW w:w="1683" w:type="dxa"/>
            <w:vAlign w:val="center"/>
          </w:tcPr>
          <w:p w14:paraId="2BCB6698"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94% (90, 98)</w:t>
            </w:r>
          </w:p>
        </w:tc>
        <w:tc>
          <w:tcPr>
            <w:tcW w:w="1500" w:type="dxa"/>
            <w:vAlign w:val="center"/>
          </w:tcPr>
          <w:p w14:paraId="352BA851"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89% (84, 95)</w:t>
            </w:r>
          </w:p>
        </w:tc>
        <w:tc>
          <w:tcPr>
            <w:tcW w:w="1524" w:type="dxa"/>
            <w:vAlign w:val="center"/>
          </w:tcPr>
          <w:p w14:paraId="66E4EFC2"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77% (69, 85)</w:t>
            </w:r>
          </w:p>
        </w:tc>
        <w:tc>
          <w:tcPr>
            <w:tcW w:w="1559" w:type="dxa"/>
            <w:vAlign w:val="center"/>
          </w:tcPr>
          <w:p w14:paraId="77CED87D"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63% (53, 71)</w:t>
            </w:r>
          </w:p>
        </w:tc>
      </w:tr>
      <w:tr w:rsidR="00C9686E" w:rsidRPr="00F25CE6" w14:paraId="3541D253" w14:textId="77777777" w:rsidTr="00C9686E">
        <w:trPr>
          <w:trHeight w:val="20"/>
        </w:trPr>
        <w:tc>
          <w:tcPr>
            <w:tcW w:w="2740" w:type="dxa"/>
            <w:tcBorders>
              <w:bottom w:val="single" w:sz="4" w:space="0" w:color="000000"/>
            </w:tcBorders>
          </w:tcPr>
          <w:p w14:paraId="19418BE3" w14:textId="77777777" w:rsidR="00C9686E" w:rsidRPr="00F25CE6" w:rsidRDefault="00C9686E" w:rsidP="00C9686E">
            <w:pPr>
              <w:pStyle w:val="TableParagraph"/>
              <w:autoSpaceDE/>
              <w:autoSpaceDN/>
              <w:ind w:left="29" w:right="29"/>
              <w:rPr>
                <w:rFonts w:asciiTheme="majorBidi" w:hAnsiTheme="majorBidi" w:cstheme="majorBidi"/>
              </w:rPr>
            </w:pPr>
            <w:r w:rsidRPr="00F25CE6">
              <w:rPr>
                <w:rFonts w:asciiTheme="majorBidi" w:hAnsiTheme="majorBidi" w:cstheme="majorBidi"/>
              </w:rPr>
              <w:t>bolesnici koji ne podnose</w:t>
            </w:r>
            <w:r>
              <w:rPr>
                <w:rFonts w:asciiTheme="majorBidi" w:hAnsiTheme="majorBidi" w:cstheme="majorBidi"/>
              </w:rPr>
              <w:t xml:space="preserve"> </w:t>
            </w:r>
            <w:r w:rsidRPr="00F25CE6">
              <w:rPr>
                <w:rFonts w:asciiTheme="majorBidi" w:hAnsiTheme="majorBidi" w:cstheme="majorBidi"/>
              </w:rPr>
              <w:t>imatinib</w:t>
            </w:r>
          </w:p>
        </w:tc>
        <w:tc>
          <w:tcPr>
            <w:tcW w:w="1683" w:type="dxa"/>
            <w:tcBorders>
              <w:bottom w:val="single" w:sz="4" w:space="0" w:color="000000"/>
            </w:tcBorders>
            <w:vAlign w:val="center"/>
          </w:tcPr>
          <w:p w14:paraId="02A0440F"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100% (100, 100)</w:t>
            </w:r>
          </w:p>
        </w:tc>
        <w:tc>
          <w:tcPr>
            <w:tcW w:w="1500" w:type="dxa"/>
            <w:tcBorders>
              <w:bottom w:val="single" w:sz="4" w:space="0" w:color="000000"/>
            </w:tcBorders>
            <w:vAlign w:val="center"/>
          </w:tcPr>
          <w:p w14:paraId="595F9697"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95% (88, 100)</w:t>
            </w:r>
          </w:p>
        </w:tc>
        <w:tc>
          <w:tcPr>
            <w:tcW w:w="1524" w:type="dxa"/>
            <w:tcBorders>
              <w:bottom w:val="single" w:sz="4" w:space="0" w:color="000000"/>
            </w:tcBorders>
            <w:vAlign w:val="center"/>
          </w:tcPr>
          <w:p w14:paraId="4320FFF7"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82% (70, 94)</w:t>
            </w:r>
          </w:p>
        </w:tc>
        <w:tc>
          <w:tcPr>
            <w:tcW w:w="1559" w:type="dxa"/>
            <w:tcBorders>
              <w:bottom w:val="single" w:sz="4" w:space="0" w:color="000000"/>
            </w:tcBorders>
            <w:vAlign w:val="center"/>
          </w:tcPr>
          <w:p w14:paraId="640880CB" w14:textId="77777777" w:rsidR="00C9686E" w:rsidRPr="00F25CE6" w:rsidRDefault="00C9686E" w:rsidP="00C9686E">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70% (52, 82)</w:t>
            </w:r>
          </w:p>
        </w:tc>
      </w:tr>
    </w:tbl>
    <w:p w14:paraId="392E872E" w14:textId="7FB0562F" w:rsidR="00AF7ABC" w:rsidRPr="00F25CE6" w:rsidRDefault="00422138" w:rsidP="00C9686E">
      <w:pPr>
        <w:pStyle w:val="Footnote"/>
      </w:pPr>
      <w:r w:rsidRPr="00C9686E">
        <w:rPr>
          <w:vertAlign w:val="superscript"/>
        </w:rPr>
        <w:t>a</w:t>
      </w:r>
      <w:r w:rsidR="009B11B7">
        <w:t xml:space="preserve"> </w:t>
      </w:r>
      <w:r w:rsidRPr="00F25CE6">
        <w:t>Rezultati prijavljeni uz primjenu preporučene početne doze od 100 mg jedanput dnevno.</w:t>
      </w:r>
    </w:p>
    <w:p w14:paraId="4904BF0F" w14:textId="068B1131" w:rsidR="00AF7ABC" w:rsidRPr="00F25CE6" w:rsidRDefault="00422138" w:rsidP="00612D2B">
      <w:pPr>
        <w:pStyle w:val="Footnote"/>
        <w:ind w:left="0" w:firstLine="0"/>
      </w:pPr>
      <w:r w:rsidRPr="00C9686E">
        <w:rPr>
          <w:vertAlign w:val="superscript"/>
        </w:rPr>
        <w:t>b</w:t>
      </w:r>
      <w:r w:rsidR="009B11B7">
        <w:t xml:space="preserve"> </w:t>
      </w:r>
      <w:r w:rsidRPr="00F25CE6">
        <w:t>Progresija se definirala povećanjem broja leukocita, gubitkom potpunog hematološkog odgovora ili MCyR</w:t>
      </w:r>
      <w:r w:rsidR="00ED06BA">
        <w:t>-a</w:t>
      </w:r>
      <w:r w:rsidRPr="00F25CE6">
        <w:t>, povećanjem Ph+ metafaza od ≥</w:t>
      </w:r>
      <w:r w:rsidR="00ED06BA">
        <w:t> </w:t>
      </w:r>
      <w:r w:rsidRPr="00F25CE6">
        <w:t>30%, potvrđenom AP/BP bolešću ili smrću. PFS se analizirao na temelju broja bolesnika uključenih u ispitivanje s ciljem liječenja te su u bolesnika praćeni događaji, uključujući naknadnu terapiju.</w:t>
      </w:r>
    </w:p>
    <w:p w14:paraId="56228A00" w14:textId="77777777" w:rsidR="00AF7ABC" w:rsidRPr="00F25CE6" w:rsidRDefault="00AF7ABC" w:rsidP="00F25CE6">
      <w:pPr>
        <w:pStyle w:val="BodyText"/>
        <w:widowControl/>
        <w:rPr>
          <w:rFonts w:asciiTheme="majorBidi" w:hAnsiTheme="majorBidi" w:cstheme="majorBidi"/>
          <w:szCs w:val="22"/>
        </w:rPr>
      </w:pPr>
    </w:p>
    <w:p w14:paraId="0614FCE4" w14:textId="5F2FDD6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Na temelju procjene po Kaplan-Meieru, značajan citogenetski odgovor održao se tijekom 18 mjeseci u 93% (95% CI: [88%</w:t>
      </w:r>
      <w:r w:rsidR="00ED06BA" w:rsidRPr="009474C0">
        <w:rPr>
          <w:szCs w:val="22"/>
        </w:rPr>
        <w:t> – </w:t>
      </w:r>
      <w:r w:rsidRPr="00F25CE6">
        <w:rPr>
          <w:rFonts w:asciiTheme="majorBidi" w:hAnsiTheme="majorBidi" w:cstheme="majorBidi"/>
          <w:szCs w:val="22"/>
        </w:rPr>
        <w:t>98%]).</w:t>
      </w:r>
    </w:p>
    <w:p w14:paraId="6E3676F7" w14:textId="77777777" w:rsidR="00AF7ABC" w:rsidRPr="00F25CE6" w:rsidRDefault="00AF7ABC" w:rsidP="00F25CE6">
      <w:pPr>
        <w:pStyle w:val="BodyText"/>
        <w:widowControl/>
        <w:rPr>
          <w:rFonts w:asciiTheme="majorBidi" w:hAnsiTheme="majorBidi" w:cstheme="majorBidi"/>
          <w:szCs w:val="22"/>
        </w:rPr>
      </w:pPr>
    </w:p>
    <w:p w14:paraId="3A7ECE2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Djelotvornost se ocjenjivala i u bolesnika koji nisu podnosili imatinib. U toj populaciji bolesnika koji su primali dasatinib u dozi od 100 mg jedanput dnevno, značajan citogenetski odgovor postigao se u 77% i potpun citogenetski odgovor u 67%.</w:t>
      </w:r>
    </w:p>
    <w:p w14:paraId="2DB781B7" w14:textId="77777777" w:rsidR="00AF7ABC" w:rsidRPr="00F25CE6" w:rsidRDefault="00AF7ABC" w:rsidP="00F25CE6">
      <w:pPr>
        <w:pStyle w:val="BodyText"/>
        <w:widowControl/>
        <w:rPr>
          <w:rFonts w:asciiTheme="majorBidi" w:hAnsiTheme="majorBidi" w:cstheme="majorBidi"/>
          <w:szCs w:val="22"/>
        </w:rPr>
      </w:pPr>
    </w:p>
    <w:p w14:paraId="73F81142" w14:textId="77777777" w:rsidR="00AF7ABC" w:rsidRPr="00F25CE6" w:rsidRDefault="00422138" w:rsidP="00F25CE6">
      <w:pPr>
        <w:widowControl/>
        <w:rPr>
          <w:rFonts w:asciiTheme="majorBidi" w:hAnsiTheme="majorBidi" w:cstheme="majorBidi"/>
          <w:i/>
        </w:rPr>
      </w:pPr>
      <w:r w:rsidRPr="00F25CE6">
        <w:rPr>
          <w:rFonts w:asciiTheme="majorBidi" w:hAnsiTheme="majorBidi" w:cstheme="majorBidi"/>
          <w:i/>
        </w:rPr>
        <w:t>Ispitivanje 2</w:t>
      </w:r>
    </w:p>
    <w:p w14:paraId="0EBB11A2" w14:textId="543104E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ispitivanju </w:t>
      </w:r>
      <w:r w:rsidR="00D70A36">
        <w:rPr>
          <w:rFonts w:asciiTheme="majorBidi" w:hAnsiTheme="majorBidi" w:cstheme="majorBidi"/>
          <w:szCs w:val="22"/>
        </w:rPr>
        <w:t xml:space="preserve">KML-a u </w:t>
      </w:r>
      <w:r w:rsidRPr="00F25CE6">
        <w:rPr>
          <w:rFonts w:asciiTheme="majorBidi" w:hAnsiTheme="majorBidi" w:cstheme="majorBidi"/>
          <w:szCs w:val="22"/>
        </w:rPr>
        <w:t>uznapredoval</w:t>
      </w:r>
      <w:r w:rsidR="00D70A36">
        <w:rPr>
          <w:rFonts w:asciiTheme="majorBidi" w:hAnsiTheme="majorBidi" w:cstheme="majorBidi"/>
          <w:szCs w:val="22"/>
        </w:rPr>
        <w:t>oj</w:t>
      </w:r>
      <w:r w:rsidRPr="00F25CE6">
        <w:rPr>
          <w:rFonts w:asciiTheme="majorBidi" w:hAnsiTheme="majorBidi" w:cstheme="majorBidi"/>
          <w:szCs w:val="22"/>
        </w:rPr>
        <w:t xml:space="preserve"> faz</w:t>
      </w:r>
      <w:r w:rsidR="00D70A36">
        <w:rPr>
          <w:rFonts w:asciiTheme="majorBidi" w:hAnsiTheme="majorBidi" w:cstheme="majorBidi"/>
          <w:szCs w:val="22"/>
        </w:rPr>
        <w:t>i</w:t>
      </w:r>
      <w:r w:rsidRPr="00F25CE6">
        <w:rPr>
          <w:rFonts w:asciiTheme="majorBidi" w:hAnsiTheme="majorBidi" w:cstheme="majorBidi"/>
          <w:szCs w:val="22"/>
        </w:rPr>
        <w:t xml:space="preserve"> i Ph+ ALL</w:t>
      </w:r>
      <w:r w:rsidR="00D70A36">
        <w:rPr>
          <w:rFonts w:asciiTheme="majorBidi" w:hAnsiTheme="majorBidi" w:cstheme="majorBidi"/>
          <w:szCs w:val="22"/>
        </w:rPr>
        <w:t>-a</w:t>
      </w:r>
      <w:r w:rsidRPr="00F25CE6">
        <w:rPr>
          <w:rFonts w:asciiTheme="majorBidi" w:hAnsiTheme="majorBidi" w:cstheme="majorBidi"/>
          <w:szCs w:val="22"/>
        </w:rPr>
        <w:t>, primarn</w:t>
      </w:r>
      <w:r w:rsidR="00D70A36">
        <w:rPr>
          <w:rFonts w:asciiTheme="majorBidi" w:hAnsiTheme="majorBidi" w:cstheme="majorBidi"/>
          <w:szCs w:val="22"/>
        </w:rPr>
        <w:t>a mjera</w:t>
      </w:r>
      <w:r w:rsidRPr="00F25CE6">
        <w:rPr>
          <w:rFonts w:asciiTheme="majorBidi" w:hAnsiTheme="majorBidi" w:cstheme="majorBidi"/>
          <w:szCs w:val="22"/>
        </w:rPr>
        <w:t xml:space="preserve"> ishod</w:t>
      </w:r>
      <w:r w:rsidR="00D70A36">
        <w:rPr>
          <w:rFonts w:asciiTheme="majorBidi" w:hAnsiTheme="majorBidi" w:cstheme="majorBidi"/>
          <w:szCs w:val="22"/>
        </w:rPr>
        <w:t>a</w:t>
      </w:r>
      <w:r w:rsidRPr="00F25CE6">
        <w:rPr>
          <w:rFonts w:asciiTheme="majorBidi" w:hAnsiTheme="majorBidi" w:cstheme="majorBidi"/>
          <w:szCs w:val="22"/>
        </w:rPr>
        <w:t xml:space="preserve"> bi</w:t>
      </w:r>
      <w:r w:rsidR="00D70A36">
        <w:rPr>
          <w:rFonts w:asciiTheme="majorBidi" w:hAnsiTheme="majorBidi" w:cstheme="majorBidi"/>
          <w:szCs w:val="22"/>
        </w:rPr>
        <w:t>la</w:t>
      </w:r>
      <w:r w:rsidRPr="00F25CE6">
        <w:rPr>
          <w:rFonts w:asciiTheme="majorBidi" w:hAnsiTheme="majorBidi" w:cstheme="majorBidi"/>
          <w:szCs w:val="22"/>
        </w:rPr>
        <w:t xml:space="preserve"> je značajan hematološki odgovor. Ukupno je randomizirano 611 bolesnika u dvije skupine, jednu koja je primala 140 mg dasatiniba jedanput dnevno i drugu koja je primala 70 mg dasatiniba dvaput dnevno. Medijan trajanja liječenja iznosio je oko 6 mjeseci (raspon, 0,03</w:t>
      </w:r>
      <w:r w:rsidR="00D70A36" w:rsidRPr="009474C0">
        <w:rPr>
          <w:szCs w:val="22"/>
        </w:rPr>
        <w:t> – </w:t>
      </w:r>
      <w:r w:rsidRPr="00F25CE6">
        <w:rPr>
          <w:rFonts w:asciiTheme="majorBidi" w:hAnsiTheme="majorBidi" w:cstheme="majorBidi"/>
          <w:szCs w:val="22"/>
        </w:rPr>
        <w:t>31 mjeseci).</w:t>
      </w:r>
    </w:p>
    <w:p w14:paraId="39A022AF" w14:textId="77777777" w:rsidR="00AF7ABC" w:rsidRPr="00F25CE6" w:rsidRDefault="00AF7ABC" w:rsidP="00F25CE6">
      <w:pPr>
        <w:pStyle w:val="BodyText"/>
        <w:widowControl/>
        <w:rPr>
          <w:rFonts w:asciiTheme="majorBidi" w:hAnsiTheme="majorBidi" w:cstheme="majorBidi"/>
          <w:szCs w:val="22"/>
        </w:rPr>
      </w:pPr>
    </w:p>
    <w:p w14:paraId="4F5F5B34" w14:textId="63E9C3D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Raspored doziranja jedanput dnevno imao je usporedivu djelotvornost (nije bio inferioran) s </w:t>
      </w:r>
      <w:r w:rsidR="008E1281">
        <w:rPr>
          <w:rFonts w:asciiTheme="majorBidi" w:hAnsiTheme="majorBidi" w:cstheme="majorBidi"/>
          <w:szCs w:val="22"/>
        </w:rPr>
        <w:t xml:space="preserve">rasporedom </w:t>
      </w:r>
      <w:r w:rsidRPr="00F25CE6">
        <w:rPr>
          <w:rFonts w:asciiTheme="majorBidi" w:hAnsiTheme="majorBidi" w:cstheme="majorBidi"/>
          <w:szCs w:val="22"/>
        </w:rPr>
        <w:t>doziranj</w:t>
      </w:r>
      <w:r w:rsidR="008E1281">
        <w:rPr>
          <w:rFonts w:asciiTheme="majorBidi" w:hAnsiTheme="majorBidi" w:cstheme="majorBidi"/>
          <w:szCs w:val="22"/>
        </w:rPr>
        <w:t>a</w:t>
      </w:r>
      <w:r w:rsidRPr="00F25CE6">
        <w:rPr>
          <w:rFonts w:asciiTheme="majorBidi" w:hAnsiTheme="majorBidi" w:cstheme="majorBidi"/>
          <w:szCs w:val="22"/>
        </w:rPr>
        <w:t xml:space="preserve"> dvaput dnevno s obzirom na primarn</w:t>
      </w:r>
      <w:r w:rsidR="00E711FB">
        <w:rPr>
          <w:rFonts w:asciiTheme="majorBidi" w:hAnsiTheme="majorBidi" w:cstheme="majorBidi"/>
          <w:szCs w:val="22"/>
        </w:rPr>
        <w:t>u mjeru</w:t>
      </w:r>
      <w:r w:rsidRPr="00F25CE6">
        <w:rPr>
          <w:rFonts w:asciiTheme="majorBidi" w:hAnsiTheme="majorBidi" w:cstheme="majorBidi"/>
          <w:szCs w:val="22"/>
        </w:rPr>
        <w:t xml:space="preserve"> ishod</w:t>
      </w:r>
      <w:r w:rsidR="00E711FB">
        <w:rPr>
          <w:rFonts w:asciiTheme="majorBidi" w:hAnsiTheme="majorBidi" w:cstheme="majorBidi"/>
          <w:szCs w:val="22"/>
        </w:rPr>
        <w:t>a</w:t>
      </w:r>
      <w:r w:rsidRPr="00F25CE6">
        <w:rPr>
          <w:rFonts w:asciiTheme="majorBidi" w:hAnsiTheme="majorBidi" w:cstheme="majorBidi"/>
          <w:szCs w:val="22"/>
        </w:rPr>
        <w:t xml:space="preserve"> </w:t>
      </w:r>
      <w:r w:rsidR="00E711FB">
        <w:rPr>
          <w:rFonts w:asciiTheme="majorBidi" w:hAnsiTheme="majorBidi" w:cstheme="majorBidi"/>
          <w:szCs w:val="22"/>
        </w:rPr>
        <w:t xml:space="preserve">za </w:t>
      </w:r>
      <w:r w:rsidRPr="00F25CE6">
        <w:rPr>
          <w:rFonts w:asciiTheme="majorBidi" w:hAnsiTheme="majorBidi" w:cstheme="majorBidi"/>
          <w:szCs w:val="22"/>
        </w:rPr>
        <w:t xml:space="preserve">djelotvornost (razlika u značajnom hematološkom odgovoru 0,8%; 95% interval pouzdanosti [-7,1% </w:t>
      </w:r>
      <w:r w:rsidR="00ED06BA">
        <w:rPr>
          <w:szCs w:val="22"/>
        </w:rPr>
        <w:t>–</w:t>
      </w:r>
      <w:r w:rsidRPr="00F25CE6">
        <w:rPr>
          <w:rFonts w:asciiTheme="majorBidi" w:hAnsiTheme="majorBidi" w:cstheme="majorBidi"/>
          <w:szCs w:val="22"/>
        </w:rPr>
        <w:t xml:space="preserve"> 8,7%]); međutim, režim liječenja dozom od 140 mg jedanput dnevno pokazao je bolju sigurnosti i podnošljivost.</w:t>
      </w:r>
    </w:p>
    <w:p w14:paraId="183ACC9C"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Stope odgovora prikazane su u Tablici 14.</w:t>
      </w:r>
    </w:p>
    <w:p w14:paraId="75730D65" w14:textId="0AE5E818" w:rsidR="00AF7ABC" w:rsidRPr="00F25CE6" w:rsidRDefault="00422138" w:rsidP="00C9686E">
      <w:pPr>
        <w:pStyle w:val="Tableheading"/>
        <w:pageBreakBefore/>
      </w:pPr>
      <w:r w:rsidRPr="00F25CE6">
        <w:lastRenderedPageBreak/>
        <w:t>Tablica 14:</w:t>
      </w:r>
      <w:r w:rsidR="00C9686E">
        <w:tab/>
      </w:r>
      <w:r w:rsidRPr="00F25CE6">
        <w:t xml:space="preserve">Djelotvornost </w:t>
      </w:r>
      <w:r w:rsidR="004E17E6">
        <w:t>dasatiniba</w:t>
      </w:r>
      <w:r w:rsidRPr="00F25CE6">
        <w:t xml:space="preserve"> u ispitivanju optimizacije doze faze III: </w:t>
      </w:r>
      <w:r w:rsidR="001F5D94">
        <w:t xml:space="preserve">KML u </w:t>
      </w:r>
      <w:r w:rsidRPr="00F25CE6">
        <w:t>uznapredoval</w:t>
      </w:r>
      <w:r w:rsidR="001F5D94">
        <w:t>oj</w:t>
      </w:r>
      <w:r w:rsidRPr="00F25CE6">
        <w:t xml:space="preserve"> faz</w:t>
      </w:r>
      <w:r w:rsidR="001F5D94">
        <w:t>i</w:t>
      </w:r>
      <w:r w:rsidRPr="00F25CE6">
        <w:t xml:space="preserve"> i Ph+ ALL (2-godišnji rezultati)</w:t>
      </w:r>
      <w:r w:rsidRPr="00F25CE6">
        <w:rPr>
          <w:vertAlign w:val="superscript"/>
        </w:rPr>
        <w:t>a</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1260"/>
        <w:gridCol w:w="1542"/>
        <w:gridCol w:w="2118"/>
        <w:gridCol w:w="1790"/>
        <w:gridCol w:w="1634"/>
      </w:tblGrid>
      <w:tr w:rsidR="00AD557C" w:rsidRPr="00F25CE6" w14:paraId="30DDD0E5" w14:textId="77777777" w:rsidTr="00AD557C">
        <w:trPr>
          <w:trHeight w:val="20"/>
        </w:trPr>
        <w:tc>
          <w:tcPr>
            <w:tcW w:w="1260" w:type="dxa"/>
            <w:tcBorders>
              <w:top w:val="single" w:sz="4" w:space="0" w:color="000000"/>
            </w:tcBorders>
          </w:tcPr>
          <w:p w14:paraId="59D5D992" w14:textId="77777777" w:rsidR="00AD557C" w:rsidRPr="00F25CE6" w:rsidRDefault="00AD557C" w:rsidP="00AD557C">
            <w:pPr>
              <w:pStyle w:val="TableParagraph"/>
              <w:autoSpaceDE/>
              <w:autoSpaceDN/>
              <w:ind w:right="29"/>
              <w:jc w:val="right"/>
              <w:rPr>
                <w:rFonts w:asciiTheme="majorBidi" w:hAnsiTheme="majorBidi" w:cstheme="majorBidi"/>
                <w:b/>
              </w:rPr>
            </w:pPr>
          </w:p>
        </w:tc>
        <w:tc>
          <w:tcPr>
            <w:tcW w:w="1540" w:type="dxa"/>
            <w:tcBorders>
              <w:top w:val="single" w:sz="4" w:space="0" w:color="000000"/>
            </w:tcBorders>
          </w:tcPr>
          <w:p w14:paraId="7C0895DE" w14:textId="77777777" w:rsidR="00AD557C" w:rsidRDefault="00AD557C" w:rsidP="00AD557C">
            <w:pPr>
              <w:jc w:val="center"/>
              <w:rPr>
                <w:rFonts w:asciiTheme="majorBidi" w:hAnsiTheme="majorBidi" w:cstheme="majorBidi"/>
                <w:b/>
              </w:rPr>
            </w:pPr>
          </w:p>
          <w:p w14:paraId="706A7210" w14:textId="77777777" w:rsidR="00AD557C" w:rsidRPr="00F25CE6" w:rsidRDefault="00AD557C" w:rsidP="00AD557C">
            <w:pPr>
              <w:pStyle w:val="TableParagraph"/>
              <w:autoSpaceDE/>
              <w:autoSpaceDN/>
              <w:ind w:right="29"/>
              <w:jc w:val="center"/>
              <w:rPr>
                <w:rFonts w:asciiTheme="majorBidi" w:hAnsiTheme="majorBidi" w:cstheme="majorBidi"/>
                <w:b/>
              </w:rPr>
            </w:pPr>
            <w:r w:rsidRPr="00F25CE6">
              <w:rPr>
                <w:rFonts w:asciiTheme="majorBidi" w:hAnsiTheme="majorBidi" w:cstheme="majorBidi"/>
                <w:b/>
              </w:rPr>
              <w:t>Faza ubrzanja</w:t>
            </w:r>
            <w:r>
              <w:rPr>
                <w:rFonts w:asciiTheme="majorBidi" w:hAnsiTheme="majorBidi" w:cstheme="majorBidi"/>
                <w:b/>
              </w:rPr>
              <w:t xml:space="preserve"> </w:t>
            </w:r>
          </w:p>
        </w:tc>
        <w:tc>
          <w:tcPr>
            <w:tcW w:w="2118" w:type="dxa"/>
            <w:tcBorders>
              <w:top w:val="single" w:sz="4" w:space="0" w:color="000000"/>
            </w:tcBorders>
          </w:tcPr>
          <w:p w14:paraId="3EA6B8F0" w14:textId="77777777" w:rsidR="00AD557C" w:rsidRPr="00F25CE6" w:rsidRDefault="00AD557C" w:rsidP="00AD557C">
            <w:pPr>
              <w:pStyle w:val="TableParagraph"/>
              <w:autoSpaceDE/>
              <w:autoSpaceDN/>
              <w:ind w:left="29" w:right="29"/>
              <w:jc w:val="center"/>
              <w:rPr>
                <w:rFonts w:asciiTheme="majorBidi" w:hAnsiTheme="majorBidi" w:cstheme="majorBidi"/>
              </w:rPr>
            </w:pPr>
          </w:p>
          <w:p w14:paraId="1D11A309" w14:textId="77777777"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Mijeloidna blastna</w:t>
            </w:r>
          </w:p>
        </w:tc>
        <w:tc>
          <w:tcPr>
            <w:tcW w:w="1790" w:type="dxa"/>
            <w:tcBorders>
              <w:top w:val="single" w:sz="4" w:space="0" w:color="000000"/>
            </w:tcBorders>
          </w:tcPr>
          <w:p w14:paraId="48A84D90" w14:textId="77777777"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Limfoidna blastna kriza</w:t>
            </w:r>
          </w:p>
        </w:tc>
        <w:tc>
          <w:tcPr>
            <w:tcW w:w="1634" w:type="dxa"/>
            <w:tcBorders>
              <w:top w:val="single" w:sz="4" w:space="0" w:color="000000"/>
            </w:tcBorders>
          </w:tcPr>
          <w:p w14:paraId="7BB4571D" w14:textId="77777777" w:rsidR="00AD557C" w:rsidRPr="00F25CE6" w:rsidRDefault="00AD557C" w:rsidP="00AD557C">
            <w:pPr>
              <w:pStyle w:val="TableParagraph"/>
              <w:autoSpaceDE/>
              <w:autoSpaceDN/>
              <w:ind w:left="29" w:right="29"/>
              <w:jc w:val="center"/>
              <w:rPr>
                <w:rFonts w:asciiTheme="majorBidi" w:hAnsiTheme="majorBidi" w:cstheme="majorBidi"/>
              </w:rPr>
            </w:pPr>
          </w:p>
          <w:p w14:paraId="507EF084" w14:textId="77777777"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Ph+ALL</w:t>
            </w:r>
          </w:p>
        </w:tc>
      </w:tr>
      <w:tr w:rsidR="00AD557C" w:rsidRPr="00F25CE6" w14:paraId="296F7338" w14:textId="77777777" w:rsidTr="00AD557C">
        <w:trPr>
          <w:trHeight w:val="20"/>
        </w:trPr>
        <w:tc>
          <w:tcPr>
            <w:tcW w:w="1260" w:type="dxa"/>
            <w:tcBorders>
              <w:bottom w:val="single" w:sz="4" w:space="0" w:color="000000"/>
            </w:tcBorders>
          </w:tcPr>
          <w:p w14:paraId="48A3ABF8" w14:textId="77777777" w:rsidR="00AD557C" w:rsidRPr="00F25CE6" w:rsidRDefault="00AD557C" w:rsidP="00AD557C">
            <w:pPr>
              <w:pStyle w:val="TableParagraph"/>
              <w:autoSpaceDE/>
              <w:autoSpaceDN/>
              <w:ind w:left="29" w:right="29"/>
              <w:rPr>
                <w:rFonts w:asciiTheme="majorBidi" w:hAnsiTheme="majorBidi" w:cstheme="majorBidi"/>
                <w:b/>
              </w:rPr>
            </w:pPr>
          </w:p>
        </w:tc>
        <w:tc>
          <w:tcPr>
            <w:tcW w:w="1540" w:type="dxa"/>
            <w:tcBorders>
              <w:bottom w:val="single" w:sz="4" w:space="0" w:color="000000"/>
            </w:tcBorders>
          </w:tcPr>
          <w:p w14:paraId="4A092D93" w14:textId="6E6EAE3E" w:rsidR="00AD557C" w:rsidRPr="00F25CE6" w:rsidRDefault="00AD557C" w:rsidP="00AD557C">
            <w:pPr>
              <w:pStyle w:val="TableParagraph"/>
              <w:autoSpaceDE/>
              <w:autoSpaceDN/>
              <w:ind w:right="29"/>
              <w:jc w:val="center"/>
              <w:rPr>
                <w:rFonts w:asciiTheme="majorBidi" w:hAnsiTheme="majorBidi" w:cstheme="majorBidi"/>
                <w:b/>
              </w:rPr>
            </w:pPr>
            <w:r w:rsidRPr="00F25CE6">
              <w:rPr>
                <w:rFonts w:asciiTheme="majorBidi" w:hAnsiTheme="majorBidi" w:cstheme="majorBidi"/>
                <w:b/>
              </w:rPr>
              <w:t>(n</w:t>
            </w:r>
            <w:r w:rsidR="00ED06BA">
              <w:rPr>
                <w:rFonts w:asciiTheme="majorBidi" w:hAnsiTheme="majorBidi" w:cstheme="majorBidi"/>
                <w:b/>
              </w:rPr>
              <w:t> </w:t>
            </w:r>
            <w:r w:rsidRPr="00F25CE6">
              <w:rPr>
                <w:rFonts w:asciiTheme="majorBidi" w:hAnsiTheme="majorBidi" w:cstheme="majorBidi"/>
                <w:b/>
              </w:rPr>
              <w:t>= 158)</w:t>
            </w:r>
          </w:p>
        </w:tc>
        <w:tc>
          <w:tcPr>
            <w:tcW w:w="2118" w:type="dxa"/>
            <w:tcBorders>
              <w:bottom w:val="single" w:sz="4" w:space="0" w:color="000000"/>
            </w:tcBorders>
          </w:tcPr>
          <w:p w14:paraId="5D262A21" w14:textId="5C17042B"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kriza (n</w:t>
            </w:r>
            <w:r w:rsidR="00ED06BA">
              <w:rPr>
                <w:rFonts w:asciiTheme="majorBidi" w:hAnsiTheme="majorBidi" w:cstheme="majorBidi"/>
                <w:b/>
              </w:rPr>
              <w:t> </w:t>
            </w:r>
            <w:r w:rsidRPr="00F25CE6">
              <w:rPr>
                <w:rFonts w:asciiTheme="majorBidi" w:hAnsiTheme="majorBidi" w:cstheme="majorBidi"/>
                <w:b/>
              </w:rPr>
              <w:t>= 75)</w:t>
            </w:r>
          </w:p>
        </w:tc>
        <w:tc>
          <w:tcPr>
            <w:tcW w:w="1790" w:type="dxa"/>
            <w:tcBorders>
              <w:bottom w:val="single" w:sz="4" w:space="0" w:color="000000"/>
            </w:tcBorders>
          </w:tcPr>
          <w:p w14:paraId="1C2B2A01" w14:textId="1C9B414C"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(n</w:t>
            </w:r>
            <w:r w:rsidR="00ED06BA">
              <w:rPr>
                <w:rFonts w:asciiTheme="majorBidi" w:hAnsiTheme="majorBidi" w:cstheme="majorBidi"/>
                <w:b/>
              </w:rPr>
              <w:t> </w:t>
            </w:r>
            <w:r w:rsidRPr="00F25CE6">
              <w:rPr>
                <w:rFonts w:asciiTheme="majorBidi" w:hAnsiTheme="majorBidi" w:cstheme="majorBidi"/>
                <w:b/>
              </w:rPr>
              <w:t>= 33)</w:t>
            </w:r>
          </w:p>
        </w:tc>
        <w:tc>
          <w:tcPr>
            <w:tcW w:w="1634" w:type="dxa"/>
            <w:tcBorders>
              <w:bottom w:val="single" w:sz="4" w:space="0" w:color="000000"/>
            </w:tcBorders>
          </w:tcPr>
          <w:p w14:paraId="3EF71F10" w14:textId="3571FC0F" w:rsidR="00AD557C" w:rsidRPr="00F25CE6" w:rsidRDefault="00AD557C"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(n</w:t>
            </w:r>
            <w:r w:rsidR="00ED06BA">
              <w:rPr>
                <w:rFonts w:asciiTheme="majorBidi" w:hAnsiTheme="majorBidi" w:cstheme="majorBidi"/>
                <w:b/>
              </w:rPr>
              <w:t> </w:t>
            </w:r>
            <w:r w:rsidRPr="00F25CE6">
              <w:rPr>
                <w:rFonts w:asciiTheme="majorBidi" w:hAnsiTheme="majorBidi" w:cstheme="majorBidi"/>
                <w:b/>
              </w:rPr>
              <w:t>= 40)</w:t>
            </w:r>
          </w:p>
        </w:tc>
      </w:tr>
      <w:tr w:rsidR="00AD557C" w:rsidRPr="00F25CE6" w14:paraId="3BEEDABD" w14:textId="77777777" w:rsidTr="00AD557C">
        <w:trPr>
          <w:trHeight w:val="20"/>
        </w:trPr>
        <w:tc>
          <w:tcPr>
            <w:tcW w:w="1260" w:type="dxa"/>
            <w:tcBorders>
              <w:top w:val="single" w:sz="4" w:space="0" w:color="000000"/>
            </w:tcBorders>
          </w:tcPr>
          <w:p w14:paraId="33A3ECFB" w14:textId="77777777" w:rsidR="00AD557C" w:rsidRPr="00F25CE6" w:rsidRDefault="00AD557C" w:rsidP="00AD557C">
            <w:pPr>
              <w:pStyle w:val="TableParagraph"/>
              <w:tabs>
                <w:tab w:val="left" w:pos="1754"/>
              </w:tabs>
              <w:autoSpaceDE/>
              <w:autoSpaceDN/>
              <w:ind w:left="29" w:right="29"/>
              <w:rPr>
                <w:rFonts w:asciiTheme="majorBidi" w:hAnsiTheme="majorBidi" w:cstheme="majorBidi"/>
              </w:rPr>
            </w:pPr>
            <w:r w:rsidRPr="00F25CE6">
              <w:rPr>
                <w:rFonts w:asciiTheme="majorBidi" w:hAnsiTheme="majorBidi" w:cstheme="majorBidi"/>
                <w:b/>
              </w:rPr>
              <w:t>MaHR</w:t>
            </w:r>
            <w:r w:rsidRPr="00F25CE6">
              <w:rPr>
                <w:rFonts w:asciiTheme="majorBidi" w:hAnsiTheme="majorBidi" w:cstheme="majorBidi"/>
                <w:b/>
                <w:bCs/>
                <w:vertAlign w:val="superscript"/>
              </w:rPr>
              <w:t>b</w:t>
            </w:r>
          </w:p>
        </w:tc>
        <w:tc>
          <w:tcPr>
            <w:tcW w:w="1540" w:type="dxa"/>
            <w:tcBorders>
              <w:top w:val="single" w:sz="4" w:space="0" w:color="000000"/>
            </w:tcBorders>
          </w:tcPr>
          <w:p w14:paraId="32C73785" w14:textId="77777777" w:rsidR="00AD557C" w:rsidRPr="00F25CE6" w:rsidRDefault="00AD557C" w:rsidP="00AD557C">
            <w:pPr>
              <w:pStyle w:val="TableParagraph"/>
              <w:tabs>
                <w:tab w:val="left" w:pos="1754"/>
              </w:tabs>
              <w:autoSpaceDE/>
              <w:autoSpaceDN/>
              <w:ind w:left="519" w:right="29"/>
              <w:rPr>
                <w:rFonts w:asciiTheme="majorBidi" w:hAnsiTheme="majorBidi" w:cstheme="majorBidi"/>
              </w:rPr>
            </w:pPr>
            <w:r w:rsidRPr="00F25CE6">
              <w:rPr>
                <w:rFonts w:asciiTheme="majorBidi" w:hAnsiTheme="majorBidi" w:cstheme="majorBidi"/>
              </w:rPr>
              <w:t>66%</w:t>
            </w:r>
          </w:p>
        </w:tc>
        <w:tc>
          <w:tcPr>
            <w:tcW w:w="2118" w:type="dxa"/>
            <w:tcBorders>
              <w:top w:val="single" w:sz="4" w:space="0" w:color="000000"/>
            </w:tcBorders>
          </w:tcPr>
          <w:p w14:paraId="1FA9B718"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28%</w:t>
            </w:r>
          </w:p>
        </w:tc>
        <w:tc>
          <w:tcPr>
            <w:tcW w:w="1790" w:type="dxa"/>
            <w:tcBorders>
              <w:top w:val="single" w:sz="4" w:space="0" w:color="000000"/>
            </w:tcBorders>
          </w:tcPr>
          <w:p w14:paraId="4CE1DC06"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42%</w:t>
            </w:r>
          </w:p>
        </w:tc>
        <w:tc>
          <w:tcPr>
            <w:tcW w:w="1634" w:type="dxa"/>
            <w:tcBorders>
              <w:top w:val="single" w:sz="4" w:space="0" w:color="000000"/>
            </w:tcBorders>
          </w:tcPr>
          <w:p w14:paraId="0FC2B6E3"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38%</w:t>
            </w:r>
          </w:p>
        </w:tc>
      </w:tr>
      <w:tr w:rsidR="00AD557C" w:rsidRPr="00F25CE6" w14:paraId="0B5EC6AB" w14:textId="77777777" w:rsidTr="00AD557C">
        <w:trPr>
          <w:trHeight w:val="20"/>
        </w:trPr>
        <w:tc>
          <w:tcPr>
            <w:tcW w:w="1260" w:type="dxa"/>
          </w:tcPr>
          <w:p w14:paraId="554A47F2" w14:textId="77777777" w:rsidR="00AD557C" w:rsidRPr="00F25CE6" w:rsidRDefault="00AD557C" w:rsidP="00AD557C">
            <w:pPr>
              <w:pStyle w:val="TableParagraph"/>
              <w:tabs>
                <w:tab w:val="left" w:pos="1633"/>
              </w:tabs>
              <w:autoSpaceDE/>
              <w:autoSpaceDN/>
              <w:ind w:left="29" w:right="29"/>
              <w:rPr>
                <w:rFonts w:asciiTheme="majorBidi" w:hAnsiTheme="majorBidi" w:cstheme="majorBidi"/>
              </w:rPr>
            </w:pPr>
            <w:r w:rsidRPr="00F25CE6">
              <w:rPr>
                <w:rFonts w:asciiTheme="majorBidi" w:hAnsiTheme="majorBidi" w:cstheme="majorBidi"/>
              </w:rPr>
              <w:t>(95% CI)</w:t>
            </w:r>
          </w:p>
        </w:tc>
        <w:tc>
          <w:tcPr>
            <w:tcW w:w="1540" w:type="dxa"/>
          </w:tcPr>
          <w:p w14:paraId="1DB6ED1A" w14:textId="31058A28" w:rsidR="00AD557C" w:rsidRPr="00F25CE6" w:rsidRDefault="00AD557C" w:rsidP="00AD557C">
            <w:pPr>
              <w:pStyle w:val="TableParagraph"/>
              <w:tabs>
                <w:tab w:val="left" w:pos="1633"/>
              </w:tabs>
              <w:autoSpaceDE/>
              <w:autoSpaceDN/>
              <w:ind w:left="399" w:right="29"/>
              <w:rPr>
                <w:rFonts w:asciiTheme="majorBidi" w:hAnsiTheme="majorBidi" w:cstheme="majorBidi"/>
              </w:rPr>
            </w:pPr>
            <w:r w:rsidRPr="00F25CE6">
              <w:rPr>
                <w:rFonts w:asciiTheme="majorBidi" w:hAnsiTheme="majorBidi" w:cstheme="majorBidi"/>
              </w:rPr>
              <w:t>(59</w:t>
            </w:r>
            <w:r w:rsidR="00ED06BA" w:rsidRPr="009474C0">
              <w:t> – </w:t>
            </w:r>
            <w:r w:rsidRPr="00F25CE6">
              <w:rPr>
                <w:rFonts w:asciiTheme="majorBidi" w:hAnsiTheme="majorBidi" w:cstheme="majorBidi"/>
              </w:rPr>
              <w:t>74)</w:t>
            </w:r>
          </w:p>
        </w:tc>
        <w:tc>
          <w:tcPr>
            <w:tcW w:w="2118" w:type="dxa"/>
          </w:tcPr>
          <w:p w14:paraId="0DB2BE4A" w14:textId="3C91E52B"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(18</w:t>
            </w:r>
            <w:r w:rsidR="00ED06BA" w:rsidRPr="009474C0">
              <w:t> – </w:t>
            </w:r>
            <w:r w:rsidRPr="00F25CE6">
              <w:rPr>
                <w:rFonts w:asciiTheme="majorBidi" w:hAnsiTheme="majorBidi" w:cstheme="majorBidi"/>
              </w:rPr>
              <w:t>40)</w:t>
            </w:r>
          </w:p>
        </w:tc>
        <w:tc>
          <w:tcPr>
            <w:tcW w:w="1790" w:type="dxa"/>
          </w:tcPr>
          <w:p w14:paraId="1D3AC712" w14:textId="441164C8" w:rsidR="00AD557C" w:rsidRPr="00F25CE6" w:rsidRDefault="00A3661F" w:rsidP="00AD557C">
            <w:pPr>
              <w:pStyle w:val="TableParagraph"/>
              <w:autoSpaceDE/>
              <w:autoSpaceDN/>
              <w:ind w:left="29" w:right="29"/>
              <w:rPr>
                <w:rFonts w:asciiTheme="majorBidi" w:hAnsiTheme="majorBidi" w:cstheme="majorBidi"/>
              </w:rPr>
            </w:pPr>
            <w:r>
              <w:rPr>
                <w:rFonts w:asciiTheme="majorBidi" w:hAnsiTheme="majorBidi" w:cstheme="majorBidi"/>
              </w:rPr>
              <w:t xml:space="preserve">          </w:t>
            </w:r>
            <w:r w:rsidR="00AD557C" w:rsidRPr="00F25CE6">
              <w:rPr>
                <w:rFonts w:asciiTheme="majorBidi" w:hAnsiTheme="majorBidi" w:cstheme="majorBidi"/>
              </w:rPr>
              <w:t>(26</w:t>
            </w:r>
            <w:r w:rsidR="00ED06BA" w:rsidRPr="009474C0">
              <w:t> – </w:t>
            </w:r>
            <w:r w:rsidR="00AD557C" w:rsidRPr="00F25CE6">
              <w:rPr>
                <w:rFonts w:asciiTheme="majorBidi" w:hAnsiTheme="majorBidi" w:cstheme="majorBidi"/>
              </w:rPr>
              <w:t>61)</w:t>
            </w:r>
          </w:p>
        </w:tc>
        <w:tc>
          <w:tcPr>
            <w:tcW w:w="1634" w:type="dxa"/>
          </w:tcPr>
          <w:p w14:paraId="72F3BB21" w14:textId="6A54356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(23</w:t>
            </w:r>
            <w:r w:rsidR="00ED06BA" w:rsidRPr="009474C0">
              <w:t> – </w:t>
            </w:r>
            <w:r w:rsidRPr="00F25CE6">
              <w:rPr>
                <w:rFonts w:asciiTheme="majorBidi" w:hAnsiTheme="majorBidi" w:cstheme="majorBidi"/>
              </w:rPr>
              <w:t>54)</w:t>
            </w:r>
          </w:p>
        </w:tc>
      </w:tr>
      <w:tr w:rsidR="00AD557C" w:rsidRPr="00F25CE6" w14:paraId="7F3E21FF" w14:textId="77777777" w:rsidTr="00AD557C">
        <w:trPr>
          <w:trHeight w:val="20"/>
        </w:trPr>
        <w:tc>
          <w:tcPr>
            <w:tcW w:w="1260" w:type="dxa"/>
          </w:tcPr>
          <w:p w14:paraId="4DF85454" w14:textId="77777777" w:rsidR="00AD557C" w:rsidRPr="00F25CE6" w:rsidRDefault="00AD557C" w:rsidP="00AD557C">
            <w:pPr>
              <w:pStyle w:val="TableParagraph"/>
              <w:tabs>
                <w:tab w:val="left" w:pos="1754"/>
              </w:tabs>
              <w:autoSpaceDE/>
              <w:autoSpaceDN/>
              <w:ind w:left="29" w:right="29"/>
              <w:rPr>
                <w:rFonts w:asciiTheme="majorBidi" w:hAnsiTheme="majorBidi" w:cstheme="majorBidi"/>
              </w:rPr>
            </w:pPr>
            <w:r w:rsidRPr="00F25CE6">
              <w:rPr>
                <w:rFonts w:asciiTheme="majorBidi" w:hAnsiTheme="majorBidi" w:cstheme="majorBidi"/>
              </w:rPr>
              <w:t>CHR</w:t>
            </w:r>
            <w:r w:rsidRPr="00F25CE6">
              <w:rPr>
                <w:rFonts w:asciiTheme="majorBidi" w:hAnsiTheme="majorBidi" w:cstheme="majorBidi"/>
                <w:vertAlign w:val="superscript"/>
              </w:rPr>
              <w:t>b</w:t>
            </w:r>
          </w:p>
        </w:tc>
        <w:tc>
          <w:tcPr>
            <w:tcW w:w="1540" w:type="dxa"/>
          </w:tcPr>
          <w:p w14:paraId="4AC7FBEC" w14:textId="77777777" w:rsidR="00AD557C" w:rsidRPr="00F25CE6" w:rsidRDefault="00AD557C" w:rsidP="00AD557C">
            <w:pPr>
              <w:pStyle w:val="TableParagraph"/>
              <w:tabs>
                <w:tab w:val="left" w:pos="1754"/>
              </w:tabs>
              <w:autoSpaceDE/>
              <w:autoSpaceDN/>
              <w:ind w:left="519" w:right="29"/>
              <w:rPr>
                <w:rFonts w:asciiTheme="majorBidi" w:hAnsiTheme="majorBidi" w:cstheme="majorBidi"/>
              </w:rPr>
            </w:pPr>
            <w:r w:rsidRPr="00F25CE6">
              <w:rPr>
                <w:rFonts w:asciiTheme="majorBidi" w:hAnsiTheme="majorBidi" w:cstheme="majorBidi"/>
              </w:rPr>
              <w:t>47%</w:t>
            </w:r>
          </w:p>
        </w:tc>
        <w:tc>
          <w:tcPr>
            <w:tcW w:w="2118" w:type="dxa"/>
          </w:tcPr>
          <w:p w14:paraId="75186BAA"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17%</w:t>
            </w:r>
          </w:p>
        </w:tc>
        <w:tc>
          <w:tcPr>
            <w:tcW w:w="1790" w:type="dxa"/>
          </w:tcPr>
          <w:p w14:paraId="44E75E48"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21%</w:t>
            </w:r>
          </w:p>
        </w:tc>
        <w:tc>
          <w:tcPr>
            <w:tcW w:w="1634" w:type="dxa"/>
          </w:tcPr>
          <w:p w14:paraId="7B18BE01" w14:textId="77777777" w:rsidR="00AD557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33%</w:t>
            </w:r>
          </w:p>
        </w:tc>
      </w:tr>
      <w:tr w:rsidR="00477C50" w:rsidRPr="00F25CE6" w14:paraId="79FF6D75" w14:textId="77777777" w:rsidTr="00AD557C">
        <w:trPr>
          <w:trHeight w:val="20"/>
        </w:trPr>
        <w:tc>
          <w:tcPr>
            <w:tcW w:w="1258" w:type="dxa"/>
          </w:tcPr>
          <w:p w14:paraId="0DAB3ABC"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(95% CI)</w:t>
            </w:r>
          </w:p>
        </w:tc>
        <w:tc>
          <w:tcPr>
            <w:tcW w:w="1542" w:type="dxa"/>
          </w:tcPr>
          <w:p w14:paraId="7CF904F3" w14:textId="3B91AE13"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(40</w:t>
            </w:r>
            <w:r w:rsidR="00ED06BA" w:rsidRPr="009474C0">
              <w:t> – </w:t>
            </w:r>
            <w:r w:rsidRPr="00F25CE6">
              <w:rPr>
                <w:rFonts w:asciiTheme="majorBidi" w:hAnsiTheme="majorBidi" w:cstheme="majorBidi"/>
              </w:rPr>
              <w:t>56)</w:t>
            </w:r>
          </w:p>
        </w:tc>
        <w:tc>
          <w:tcPr>
            <w:tcW w:w="2118" w:type="dxa"/>
          </w:tcPr>
          <w:p w14:paraId="783FE97E" w14:textId="5ECFD9D4"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(10</w:t>
            </w:r>
            <w:r w:rsidR="00ED06BA" w:rsidRPr="009474C0">
              <w:t> – </w:t>
            </w:r>
            <w:r w:rsidRPr="00F25CE6">
              <w:rPr>
                <w:rFonts w:asciiTheme="majorBidi" w:hAnsiTheme="majorBidi" w:cstheme="majorBidi"/>
              </w:rPr>
              <w:t>28)</w:t>
            </w:r>
          </w:p>
        </w:tc>
        <w:tc>
          <w:tcPr>
            <w:tcW w:w="1790" w:type="dxa"/>
          </w:tcPr>
          <w:p w14:paraId="46ED737F" w14:textId="66E48C6E" w:rsidR="00477C50" w:rsidRPr="00F25CE6" w:rsidRDefault="00A3661F" w:rsidP="00AD557C">
            <w:pPr>
              <w:pStyle w:val="TableParagraph"/>
              <w:autoSpaceDE/>
              <w:autoSpaceDN/>
              <w:ind w:left="29" w:right="29"/>
              <w:rPr>
                <w:rFonts w:asciiTheme="majorBidi" w:hAnsiTheme="majorBidi" w:cstheme="majorBidi"/>
              </w:rPr>
            </w:pPr>
            <w:r>
              <w:rPr>
                <w:rFonts w:asciiTheme="majorBidi" w:hAnsiTheme="majorBidi" w:cstheme="majorBidi"/>
              </w:rPr>
              <w:t xml:space="preserve">           </w:t>
            </w:r>
            <w:r w:rsidR="00477C50" w:rsidRPr="00F25CE6">
              <w:rPr>
                <w:rFonts w:asciiTheme="majorBidi" w:hAnsiTheme="majorBidi" w:cstheme="majorBidi"/>
              </w:rPr>
              <w:t>(9</w:t>
            </w:r>
            <w:r w:rsidR="00ED06BA" w:rsidRPr="009474C0">
              <w:t> – </w:t>
            </w:r>
            <w:r w:rsidR="00477C50" w:rsidRPr="00F25CE6">
              <w:rPr>
                <w:rFonts w:asciiTheme="majorBidi" w:hAnsiTheme="majorBidi" w:cstheme="majorBidi"/>
              </w:rPr>
              <w:t>39)</w:t>
            </w:r>
          </w:p>
        </w:tc>
        <w:tc>
          <w:tcPr>
            <w:tcW w:w="1634" w:type="dxa"/>
          </w:tcPr>
          <w:p w14:paraId="1E749832" w14:textId="68EC3FCF"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(19</w:t>
            </w:r>
            <w:r w:rsidR="00ED06BA" w:rsidRPr="009474C0">
              <w:t> – </w:t>
            </w:r>
            <w:r w:rsidRPr="00F25CE6">
              <w:rPr>
                <w:rFonts w:asciiTheme="majorBidi" w:hAnsiTheme="majorBidi" w:cstheme="majorBidi"/>
              </w:rPr>
              <w:t>49)</w:t>
            </w:r>
          </w:p>
        </w:tc>
      </w:tr>
      <w:tr w:rsidR="00477C50" w:rsidRPr="00F25CE6" w14:paraId="3990B882" w14:textId="77777777" w:rsidTr="00AD557C">
        <w:trPr>
          <w:trHeight w:val="20"/>
        </w:trPr>
        <w:tc>
          <w:tcPr>
            <w:tcW w:w="1258" w:type="dxa"/>
          </w:tcPr>
          <w:p w14:paraId="571723A7"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NEL</w:t>
            </w:r>
            <w:r w:rsidRPr="00F25CE6">
              <w:rPr>
                <w:rFonts w:asciiTheme="majorBidi" w:hAnsiTheme="majorBidi" w:cstheme="majorBidi"/>
                <w:vertAlign w:val="superscript"/>
              </w:rPr>
              <w:t>b</w:t>
            </w:r>
          </w:p>
        </w:tc>
        <w:tc>
          <w:tcPr>
            <w:tcW w:w="1542" w:type="dxa"/>
          </w:tcPr>
          <w:p w14:paraId="2DBFAB24"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19%</w:t>
            </w:r>
          </w:p>
        </w:tc>
        <w:tc>
          <w:tcPr>
            <w:tcW w:w="2118" w:type="dxa"/>
          </w:tcPr>
          <w:p w14:paraId="2D154604"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11%</w:t>
            </w:r>
          </w:p>
        </w:tc>
        <w:tc>
          <w:tcPr>
            <w:tcW w:w="1790" w:type="dxa"/>
          </w:tcPr>
          <w:p w14:paraId="242BDB4D"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21%</w:t>
            </w:r>
          </w:p>
        </w:tc>
        <w:tc>
          <w:tcPr>
            <w:tcW w:w="1634" w:type="dxa"/>
          </w:tcPr>
          <w:p w14:paraId="4188D644"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w:t>
            </w:r>
          </w:p>
        </w:tc>
      </w:tr>
      <w:tr w:rsidR="00477C50" w:rsidRPr="00F25CE6" w14:paraId="78853D97" w14:textId="77777777" w:rsidTr="00AD557C">
        <w:trPr>
          <w:trHeight w:val="20"/>
        </w:trPr>
        <w:tc>
          <w:tcPr>
            <w:tcW w:w="1258" w:type="dxa"/>
            <w:tcBorders>
              <w:bottom w:val="single" w:sz="4" w:space="0" w:color="000000"/>
            </w:tcBorders>
          </w:tcPr>
          <w:p w14:paraId="000329D9"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(95% CI)</w:t>
            </w:r>
          </w:p>
        </w:tc>
        <w:tc>
          <w:tcPr>
            <w:tcW w:w="1542" w:type="dxa"/>
            <w:tcBorders>
              <w:bottom w:val="single" w:sz="4" w:space="0" w:color="000000"/>
            </w:tcBorders>
          </w:tcPr>
          <w:p w14:paraId="14691C69" w14:textId="4A58DEF6"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(13</w:t>
            </w:r>
            <w:r w:rsidR="00ED06BA" w:rsidRPr="009474C0">
              <w:t> – </w:t>
            </w:r>
            <w:r w:rsidRPr="00F25CE6">
              <w:rPr>
                <w:rFonts w:asciiTheme="majorBidi" w:hAnsiTheme="majorBidi" w:cstheme="majorBidi"/>
              </w:rPr>
              <w:t>26)</w:t>
            </w:r>
          </w:p>
        </w:tc>
        <w:tc>
          <w:tcPr>
            <w:tcW w:w="2118" w:type="dxa"/>
            <w:tcBorders>
              <w:bottom w:val="single" w:sz="4" w:space="0" w:color="000000"/>
            </w:tcBorders>
          </w:tcPr>
          <w:p w14:paraId="1F73B2ED" w14:textId="4E6E5962"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w:t>
            </w:r>
            <w:r w:rsidR="00ED06BA" w:rsidRPr="009474C0">
              <w:t> – </w:t>
            </w:r>
            <w:r w:rsidRPr="00F25CE6">
              <w:rPr>
                <w:rFonts w:asciiTheme="majorBidi" w:hAnsiTheme="majorBidi" w:cstheme="majorBidi"/>
              </w:rPr>
              <w:t>20)</w:t>
            </w:r>
          </w:p>
        </w:tc>
        <w:tc>
          <w:tcPr>
            <w:tcW w:w="1790" w:type="dxa"/>
            <w:tcBorders>
              <w:bottom w:val="single" w:sz="4" w:space="0" w:color="000000"/>
            </w:tcBorders>
          </w:tcPr>
          <w:p w14:paraId="34A3FA0A" w14:textId="7A67F285" w:rsidR="00477C50" w:rsidRPr="00F25CE6" w:rsidRDefault="00A3661F" w:rsidP="00AD557C">
            <w:pPr>
              <w:pStyle w:val="TableParagraph"/>
              <w:autoSpaceDE/>
              <w:autoSpaceDN/>
              <w:ind w:left="29" w:right="29"/>
              <w:rPr>
                <w:rFonts w:asciiTheme="majorBidi" w:hAnsiTheme="majorBidi" w:cstheme="majorBidi"/>
              </w:rPr>
            </w:pPr>
            <w:r>
              <w:rPr>
                <w:rFonts w:asciiTheme="majorBidi" w:hAnsiTheme="majorBidi" w:cstheme="majorBidi"/>
              </w:rPr>
              <w:t xml:space="preserve">           </w:t>
            </w:r>
            <w:r w:rsidR="00477C50" w:rsidRPr="00F25CE6">
              <w:rPr>
                <w:rFonts w:asciiTheme="majorBidi" w:hAnsiTheme="majorBidi" w:cstheme="majorBidi"/>
              </w:rPr>
              <w:t>(9</w:t>
            </w:r>
            <w:r w:rsidR="00ED06BA" w:rsidRPr="009474C0">
              <w:t> – </w:t>
            </w:r>
            <w:r w:rsidR="00477C50" w:rsidRPr="00F25CE6">
              <w:rPr>
                <w:rFonts w:asciiTheme="majorBidi" w:hAnsiTheme="majorBidi" w:cstheme="majorBidi"/>
              </w:rPr>
              <w:t>39)</w:t>
            </w:r>
          </w:p>
        </w:tc>
        <w:tc>
          <w:tcPr>
            <w:tcW w:w="1634" w:type="dxa"/>
            <w:tcBorders>
              <w:bottom w:val="single" w:sz="4" w:space="0" w:color="000000"/>
            </w:tcBorders>
          </w:tcPr>
          <w:p w14:paraId="11BC1BDA" w14:textId="00CFC411"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w:t>
            </w:r>
            <w:r w:rsidR="00ED06BA" w:rsidRPr="009474C0">
              <w:t> – </w:t>
            </w:r>
            <w:r w:rsidRPr="00F25CE6">
              <w:rPr>
                <w:rFonts w:asciiTheme="majorBidi" w:hAnsiTheme="majorBidi" w:cstheme="majorBidi"/>
              </w:rPr>
              <w:t>17)</w:t>
            </w:r>
          </w:p>
        </w:tc>
      </w:tr>
      <w:tr w:rsidR="00477C50" w:rsidRPr="00F25CE6" w14:paraId="24F9E1DE" w14:textId="77777777" w:rsidTr="00AD557C">
        <w:trPr>
          <w:trHeight w:val="20"/>
        </w:trPr>
        <w:tc>
          <w:tcPr>
            <w:tcW w:w="1258" w:type="dxa"/>
            <w:tcBorders>
              <w:top w:val="single" w:sz="4" w:space="0" w:color="000000"/>
            </w:tcBorders>
          </w:tcPr>
          <w:p w14:paraId="2A98C5AD" w14:textId="77777777" w:rsidR="00477C50" w:rsidRPr="00F25CE6" w:rsidRDefault="00477C50"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MCyR</w:t>
            </w:r>
            <w:r w:rsidRPr="00F25CE6">
              <w:rPr>
                <w:rFonts w:asciiTheme="majorBidi" w:hAnsiTheme="majorBidi" w:cstheme="majorBidi"/>
                <w:b/>
                <w:bCs/>
                <w:vertAlign w:val="superscript"/>
              </w:rPr>
              <w:t>c</w:t>
            </w:r>
          </w:p>
        </w:tc>
        <w:tc>
          <w:tcPr>
            <w:tcW w:w="1542" w:type="dxa"/>
            <w:tcBorders>
              <w:top w:val="single" w:sz="4" w:space="0" w:color="000000"/>
            </w:tcBorders>
          </w:tcPr>
          <w:p w14:paraId="41E44ACD"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39%</w:t>
            </w:r>
          </w:p>
        </w:tc>
        <w:tc>
          <w:tcPr>
            <w:tcW w:w="2118" w:type="dxa"/>
            <w:tcBorders>
              <w:top w:val="single" w:sz="4" w:space="0" w:color="000000"/>
            </w:tcBorders>
          </w:tcPr>
          <w:p w14:paraId="6E1662DA"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28%</w:t>
            </w:r>
          </w:p>
        </w:tc>
        <w:tc>
          <w:tcPr>
            <w:tcW w:w="1790" w:type="dxa"/>
            <w:tcBorders>
              <w:top w:val="single" w:sz="4" w:space="0" w:color="000000"/>
            </w:tcBorders>
          </w:tcPr>
          <w:p w14:paraId="6BDB30DD"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52%</w:t>
            </w:r>
          </w:p>
        </w:tc>
        <w:tc>
          <w:tcPr>
            <w:tcW w:w="1634" w:type="dxa"/>
            <w:tcBorders>
              <w:top w:val="single" w:sz="4" w:space="0" w:color="000000"/>
            </w:tcBorders>
          </w:tcPr>
          <w:p w14:paraId="52EE8F3C"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70%</w:t>
            </w:r>
          </w:p>
        </w:tc>
      </w:tr>
      <w:tr w:rsidR="00477C50" w:rsidRPr="00F25CE6" w14:paraId="72ABF20B" w14:textId="77777777" w:rsidTr="00AD557C">
        <w:trPr>
          <w:trHeight w:val="20"/>
        </w:trPr>
        <w:tc>
          <w:tcPr>
            <w:tcW w:w="1258" w:type="dxa"/>
          </w:tcPr>
          <w:p w14:paraId="215AB8CC"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(95% CI)</w:t>
            </w:r>
          </w:p>
        </w:tc>
        <w:tc>
          <w:tcPr>
            <w:tcW w:w="1542" w:type="dxa"/>
          </w:tcPr>
          <w:p w14:paraId="307037F6" w14:textId="3DA17B72"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(31</w:t>
            </w:r>
            <w:r w:rsidR="00ED06BA" w:rsidRPr="009474C0">
              <w:t> – </w:t>
            </w:r>
            <w:r w:rsidRPr="00F25CE6">
              <w:rPr>
                <w:rFonts w:asciiTheme="majorBidi" w:hAnsiTheme="majorBidi" w:cstheme="majorBidi"/>
              </w:rPr>
              <w:t>47)</w:t>
            </w:r>
          </w:p>
        </w:tc>
        <w:tc>
          <w:tcPr>
            <w:tcW w:w="2118" w:type="dxa"/>
          </w:tcPr>
          <w:p w14:paraId="5C1FA7A4" w14:textId="770991E3"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(18</w:t>
            </w:r>
            <w:r w:rsidR="00ED06BA" w:rsidRPr="009474C0">
              <w:t> – </w:t>
            </w:r>
            <w:r w:rsidRPr="00F25CE6">
              <w:rPr>
                <w:rFonts w:asciiTheme="majorBidi" w:hAnsiTheme="majorBidi" w:cstheme="majorBidi"/>
              </w:rPr>
              <w:t>40)</w:t>
            </w:r>
          </w:p>
        </w:tc>
        <w:tc>
          <w:tcPr>
            <w:tcW w:w="1790" w:type="dxa"/>
          </w:tcPr>
          <w:p w14:paraId="456F1F29" w14:textId="452EB617" w:rsidR="00477C50" w:rsidRPr="00F25CE6" w:rsidRDefault="00A3661F" w:rsidP="00AD557C">
            <w:pPr>
              <w:pStyle w:val="TableParagraph"/>
              <w:autoSpaceDE/>
              <w:autoSpaceDN/>
              <w:ind w:left="29" w:right="29"/>
              <w:rPr>
                <w:rFonts w:asciiTheme="majorBidi" w:hAnsiTheme="majorBidi" w:cstheme="majorBidi"/>
              </w:rPr>
            </w:pPr>
            <w:r>
              <w:rPr>
                <w:rFonts w:asciiTheme="majorBidi" w:hAnsiTheme="majorBidi" w:cstheme="majorBidi"/>
              </w:rPr>
              <w:t xml:space="preserve">           </w:t>
            </w:r>
            <w:r w:rsidR="00477C50" w:rsidRPr="00F25CE6">
              <w:rPr>
                <w:rFonts w:asciiTheme="majorBidi" w:hAnsiTheme="majorBidi" w:cstheme="majorBidi"/>
              </w:rPr>
              <w:t>(34</w:t>
            </w:r>
            <w:r w:rsidR="00ED06BA" w:rsidRPr="009474C0">
              <w:t> – </w:t>
            </w:r>
            <w:r w:rsidR="00477C50" w:rsidRPr="00F25CE6">
              <w:rPr>
                <w:rFonts w:asciiTheme="majorBidi" w:hAnsiTheme="majorBidi" w:cstheme="majorBidi"/>
              </w:rPr>
              <w:t>69)</w:t>
            </w:r>
          </w:p>
        </w:tc>
        <w:tc>
          <w:tcPr>
            <w:tcW w:w="1634" w:type="dxa"/>
          </w:tcPr>
          <w:p w14:paraId="530B46E7" w14:textId="2C0C5750"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(54</w:t>
            </w:r>
            <w:r w:rsidR="00ED06BA" w:rsidRPr="009474C0">
              <w:t> – </w:t>
            </w:r>
            <w:r w:rsidRPr="00F25CE6">
              <w:rPr>
                <w:rFonts w:asciiTheme="majorBidi" w:hAnsiTheme="majorBidi" w:cstheme="majorBidi"/>
              </w:rPr>
              <w:t>83)</w:t>
            </w:r>
          </w:p>
        </w:tc>
      </w:tr>
      <w:tr w:rsidR="00477C50" w:rsidRPr="00F25CE6" w14:paraId="65A3C021" w14:textId="77777777" w:rsidTr="00AD557C">
        <w:trPr>
          <w:trHeight w:val="20"/>
        </w:trPr>
        <w:tc>
          <w:tcPr>
            <w:tcW w:w="1258" w:type="dxa"/>
          </w:tcPr>
          <w:p w14:paraId="49717FF0"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CCyR</w:t>
            </w:r>
          </w:p>
        </w:tc>
        <w:tc>
          <w:tcPr>
            <w:tcW w:w="1542" w:type="dxa"/>
          </w:tcPr>
          <w:p w14:paraId="2246026A"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32%</w:t>
            </w:r>
          </w:p>
        </w:tc>
        <w:tc>
          <w:tcPr>
            <w:tcW w:w="2118" w:type="dxa"/>
          </w:tcPr>
          <w:p w14:paraId="72D76962"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17%</w:t>
            </w:r>
          </w:p>
        </w:tc>
        <w:tc>
          <w:tcPr>
            <w:tcW w:w="1790" w:type="dxa"/>
          </w:tcPr>
          <w:p w14:paraId="4CF2BC60"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39%</w:t>
            </w:r>
          </w:p>
        </w:tc>
        <w:tc>
          <w:tcPr>
            <w:tcW w:w="1634" w:type="dxa"/>
          </w:tcPr>
          <w:p w14:paraId="17319EBF" w14:textId="7777777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50%</w:t>
            </w:r>
          </w:p>
        </w:tc>
      </w:tr>
      <w:tr w:rsidR="00477C50" w:rsidRPr="00F25CE6" w14:paraId="68B174CF" w14:textId="77777777" w:rsidTr="00AD557C">
        <w:trPr>
          <w:trHeight w:val="20"/>
        </w:trPr>
        <w:tc>
          <w:tcPr>
            <w:tcW w:w="1258" w:type="dxa"/>
            <w:tcBorders>
              <w:bottom w:val="single" w:sz="4" w:space="0" w:color="000000"/>
            </w:tcBorders>
          </w:tcPr>
          <w:p w14:paraId="560E9B69" w14:textId="77777777" w:rsidR="00477C50" w:rsidRPr="00F25CE6" w:rsidRDefault="00477C50" w:rsidP="00AD557C">
            <w:pPr>
              <w:pStyle w:val="TableParagraph"/>
              <w:autoSpaceDE/>
              <w:autoSpaceDN/>
              <w:ind w:left="29" w:right="29"/>
              <w:rPr>
                <w:rFonts w:asciiTheme="majorBidi" w:hAnsiTheme="majorBidi" w:cstheme="majorBidi"/>
              </w:rPr>
            </w:pPr>
            <w:r w:rsidRPr="00F25CE6">
              <w:rPr>
                <w:rFonts w:asciiTheme="majorBidi" w:hAnsiTheme="majorBidi" w:cstheme="majorBidi"/>
              </w:rPr>
              <w:t>(95% CI)</w:t>
            </w:r>
          </w:p>
        </w:tc>
        <w:tc>
          <w:tcPr>
            <w:tcW w:w="1542" w:type="dxa"/>
            <w:tcBorders>
              <w:bottom w:val="single" w:sz="4" w:space="0" w:color="000000"/>
            </w:tcBorders>
          </w:tcPr>
          <w:p w14:paraId="096CFACB" w14:textId="707E726C"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(25</w:t>
            </w:r>
            <w:r w:rsidR="00ED06BA" w:rsidRPr="009474C0">
              <w:t> – </w:t>
            </w:r>
            <w:r w:rsidRPr="00F25CE6">
              <w:rPr>
                <w:rFonts w:asciiTheme="majorBidi" w:hAnsiTheme="majorBidi" w:cstheme="majorBidi"/>
              </w:rPr>
              <w:t>40)</w:t>
            </w:r>
          </w:p>
        </w:tc>
        <w:tc>
          <w:tcPr>
            <w:tcW w:w="2118" w:type="dxa"/>
            <w:tcBorders>
              <w:bottom w:val="single" w:sz="4" w:space="0" w:color="000000"/>
            </w:tcBorders>
          </w:tcPr>
          <w:p w14:paraId="34DDE396" w14:textId="3DF89BAF"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(10</w:t>
            </w:r>
            <w:r w:rsidR="00ED06BA" w:rsidRPr="009474C0">
              <w:t> – </w:t>
            </w:r>
            <w:r w:rsidRPr="00F25CE6">
              <w:rPr>
                <w:rFonts w:asciiTheme="majorBidi" w:hAnsiTheme="majorBidi" w:cstheme="majorBidi"/>
              </w:rPr>
              <w:t>28)</w:t>
            </w:r>
          </w:p>
        </w:tc>
        <w:tc>
          <w:tcPr>
            <w:tcW w:w="1790" w:type="dxa"/>
            <w:tcBorders>
              <w:bottom w:val="single" w:sz="4" w:space="0" w:color="000000"/>
            </w:tcBorders>
          </w:tcPr>
          <w:p w14:paraId="3F70C0EB" w14:textId="05796B8F" w:rsidR="00477C50" w:rsidRPr="00F25CE6" w:rsidRDefault="00A3661F" w:rsidP="00AD557C">
            <w:pPr>
              <w:pStyle w:val="TableParagraph"/>
              <w:autoSpaceDE/>
              <w:autoSpaceDN/>
              <w:ind w:left="29" w:right="29"/>
              <w:rPr>
                <w:rFonts w:asciiTheme="majorBidi" w:hAnsiTheme="majorBidi" w:cstheme="majorBidi"/>
              </w:rPr>
            </w:pPr>
            <w:r>
              <w:rPr>
                <w:rFonts w:asciiTheme="majorBidi" w:hAnsiTheme="majorBidi" w:cstheme="majorBidi"/>
              </w:rPr>
              <w:t xml:space="preserve">           </w:t>
            </w:r>
            <w:r w:rsidR="00477C50" w:rsidRPr="00F25CE6">
              <w:rPr>
                <w:rFonts w:asciiTheme="majorBidi" w:hAnsiTheme="majorBidi" w:cstheme="majorBidi"/>
              </w:rPr>
              <w:t>(23</w:t>
            </w:r>
            <w:r w:rsidR="00ED06BA" w:rsidRPr="009474C0">
              <w:t> – </w:t>
            </w:r>
            <w:r w:rsidR="00477C50" w:rsidRPr="00F25CE6">
              <w:rPr>
                <w:rFonts w:asciiTheme="majorBidi" w:hAnsiTheme="majorBidi" w:cstheme="majorBidi"/>
              </w:rPr>
              <w:t>58)</w:t>
            </w:r>
          </w:p>
        </w:tc>
        <w:tc>
          <w:tcPr>
            <w:tcW w:w="1634" w:type="dxa"/>
            <w:tcBorders>
              <w:bottom w:val="single" w:sz="4" w:space="0" w:color="000000"/>
            </w:tcBorders>
          </w:tcPr>
          <w:p w14:paraId="63A5BF86" w14:textId="1E1FFE67" w:rsidR="00477C50" w:rsidRPr="00F25CE6" w:rsidRDefault="00477C50"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(34</w:t>
            </w:r>
            <w:r w:rsidR="00ED06BA" w:rsidRPr="009474C0">
              <w:t> – </w:t>
            </w:r>
            <w:r w:rsidRPr="00F25CE6">
              <w:rPr>
                <w:rFonts w:asciiTheme="majorBidi" w:hAnsiTheme="majorBidi" w:cstheme="majorBidi"/>
              </w:rPr>
              <w:t>66)</w:t>
            </w:r>
          </w:p>
        </w:tc>
      </w:tr>
    </w:tbl>
    <w:p w14:paraId="7ADB1013" w14:textId="46472774" w:rsidR="00AF7ABC" w:rsidRPr="00F25CE6" w:rsidRDefault="00422138" w:rsidP="00612D2B">
      <w:pPr>
        <w:pStyle w:val="Footnote"/>
        <w:ind w:left="0" w:firstLine="0"/>
      </w:pPr>
      <w:r w:rsidRPr="00AD557C">
        <w:rPr>
          <w:vertAlign w:val="superscript"/>
        </w:rPr>
        <w:t>a</w:t>
      </w:r>
      <w:r w:rsidR="005154A8">
        <w:t xml:space="preserve"> </w:t>
      </w:r>
      <w:r w:rsidRPr="00F25CE6">
        <w:t>Rezultati prijavljeni uz primjenu preporučene početne doze od 140 mg jedanput dnevno (vidjeti dio 4.2)</w:t>
      </w:r>
    </w:p>
    <w:p w14:paraId="410491CD" w14:textId="59C5C4A9" w:rsidR="00AF7ABC" w:rsidRPr="00F25CE6" w:rsidRDefault="00422138" w:rsidP="00612D2B">
      <w:pPr>
        <w:pStyle w:val="Footnote"/>
        <w:ind w:left="0" w:firstLine="0"/>
      </w:pPr>
      <w:r w:rsidRPr="00AD557C">
        <w:rPr>
          <w:vertAlign w:val="superscript"/>
        </w:rPr>
        <w:t>b</w:t>
      </w:r>
      <w:r w:rsidR="005154A8">
        <w:t xml:space="preserve"> </w:t>
      </w:r>
      <w:r w:rsidRPr="00F25CE6">
        <w:t>Kriteriji hematološkog odgovora (svi odgovori potvrđeni nakon 4 tjedna): Značajan hematološki odgovor (MaHR) = potpun hematološki odgovor (CHR) + nema znakova leukemije (NEL</w:t>
      </w:r>
      <w:r w:rsidR="004A44C5">
        <w:t>)</w:t>
      </w:r>
      <w:r w:rsidRPr="00F25CE6">
        <w:t>.</w:t>
      </w:r>
    </w:p>
    <w:p w14:paraId="675A4AB3" w14:textId="77777777" w:rsidR="00AF7ABC" w:rsidRPr="00F25CE6" w:rsidRDefault="00422138" w:rsidP="00612D2B">
      <w:pPr>
        <w:pStyle w:val="Footnote"/>
        <w:ind w:left="0" w:firstLine="0"/>
      </w:pPr>
      <w:r w:rsidRPr="00F25CE6">
        <w:t>CHR: broj leukocita ≤ GGN za laboratorij, ABN ≥ 1000/mm</w:t>
      </w:r>
      <w:r w:rsidRPr="00F25CE6">
        <w:rPr>
          <w:vertAlign w:val="superscript"/>
        </w:rPr>
        <w:t>3</w:t>
      </w:r>
      <w:r w:rsidRPr="00F25CE6">
        <w:t>, trombociti ≥ 100 000/mm</w:t>
      </w:r>
      <w:r w:rsidRPr="00F25CE6">
        <w:rPr>
          <w:vertAlign w:val="superscript"/>
        </w:rPr>
        <w:t>3</w:t>
      </w:r>
      <w:r w:rsidRPr="00F25CE6">
        <w:t>, bez blasta ili promijelocita u perifernoj krvi, blasti u koštanoj srži ≤ 5%, &lt; 5% mijelocita plus metamijelocita u perifernoj krvi, bazofili u perifernoj krvi &lt; 20%, i bez ekstramedularne infiltracije.</w:t>
      </w:r>
    </w:p>
    <w:p w14:paraId="0DF09E15" w14:textId="77777777" w:rsidR="00AF7ABC" w:rsidRPr="00F25CE6" w:rsidRDefault="00422138" w:rsidP="00612D2B">
      <w:pPr>
        <w:pStyle w:val="Footnote"/>
        <w:ind w:left="0" w:firstLine="0"/>
      </w:pPr>
      <w:r w:rsidRPr="00F25CE6">
        <w:t>NEL: isti kriteriji kao i za CHR, ali ABN ≥ 500/mm</w:t>
      </w:r>
      <w:r w:rsidRPr="00F25CE6">
        <w:rPr>
          <w:vertAlign w:val="superscript"/>
        </w:rPr>
        <w:t>3</w:t>
      </w:r>
      <w:r w:rsidRPr="00F25CE6">
        <w:t xml:space="preserve"> i &lt; 1000/mm</w:t>
      </w:r>
      <w:r w:rsidRPr="00F25CE6">
        <w:rPr>
          <w:vertAlign w:val="superscript"/>
        </w:rPr>
        <w:t>3</w:t>
      </w:r>
      <w:r w:rsidRPr="00F25CE6">
        <w:t>, ili trombociti ≥ 20 000/mm</w:t>
      </w:r>
      <w:r w:rsidRPr="00F25CE6">
        <w:rPr>
          <w:vertAlign w:val="superscript"/>
        </w:rPr>
        <w:t>3</w:t>
      </w:r>
      <w:r w:rsidRPr="00F25CE6">
        <w:t xml:space="preserve"> i ≤ 100 000/mm</w:t>
      </w:r>
      <w:r w:rsidRPr="00F25CE6">
        <w:rPr>
          <w:vertAlign w:val="superscript"/>
        </w:rPr>
        <w:t>3</w:t>
      </w:r>
      <w:r w:rsidRPr="00F25CE6">
        <w:t>.</w:t>
      </w:r>
    </w:p>
    <w:p w14:paraId="62ED3211" w14:textId="4C6F8AC3" w:rsidR="00AD557C" w:rsidRDefault="00422138" w:rsidP="00612D2B">
      <w:pPr>
        <w:pStyle w:val="Footnote"/>
        <w:ind w:left="0" w:firstLine="0"/>
      </w:pPr>
      <w:r w:rsidRPr="00AD557C">
        <w:rPr>
          <w:vertAlign w:val="superscript"/>
        </w:rPr>
        <w:t>c</w:t>
      </w:r>
      <w:r w:rsidR="005154A8">
        <w:t xml:space="preserve"> </w:t>
      </w:r>
      <w:r w:rsidRPr="00F25CE6">
        <w:t>MCyR uključuje i potpun (0% Ph+ metafaze) i djelomičan (&gt; 0%</w:t>
      </w:r>
      <w:r w:rsidR="00ED06BA" w:rsidRPr="009474C0">
        <w:rPr>
          <w:sz w:val="22"/>
          <w:szCs w:val="22"/>
        </w:rPr>
        <w:t> – </w:t>
      </w:r>
      <w:r w:rsidRPr="00F25CE6">
        <w:t>35%) odgovor.</w:t>
      </w:r>
    </w:p>
    <w:p w14:paraId="40A696FC" w14:textId="77777777" w:rsidR="00AF7ABC" w:rsidRPr="00F25CE6" w:rsidRDefault="00422138" w:rsidP="00AD557C">
      <w:pPr>
        <w:pStyle w:val="Footnote"/>
        <w:ind w:left="0" w:firstLine="0"/>
      </w:pPr>
      <w:r w:rsidRPr="00F25CE6">
        <w:t>CI = interval pouzdanosti; GGN = gornja granica normalnog raspona.</w:t>
      </w:r>
    </w:p>
    <w:p w14:paraId="51FB0F19" w14:textId="77777777" w:rsidR="00AF7ABC" w:rsidRPr="00F25CE6" w:rsidRDefault="00AF7ABC" w:rsidP="00F25CE6">
      <w:pPr>
        <w:pStyle w:val="BodyText"/>
        <w:widowControl/>
        <w:rPr>
          <w:rFonts w:asciiTheme="majorBidi" w:hAnsiTheme="majorBidi" w:cstheme="majorBidi"/>
          <w:szCs w:val="22"/>
        </w:rPr>
      </w:pPr>
    </w:p>
    <w:p w14:paraId="277F0BD9" w14:textId="62020A2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s KML</w:t>
      </w:r>
      <w:r w:rsidR="001F5D94">
        <w:rPr>
          <w:rFonts w:asciiTheme="majorBidi" w:hAnsiTheme="majorBidi" w:cstheme="majorBidi"/>
          <w:szCs w:val="22"/>
        </w:rPr>
        <w:t>-om</w:t>
      </w:r>
      <w:r w:rsidRPr="00F25CE6">
        <w:rPr>
          <w:rFonts w:asciiTheme="majorBidi" w:hAnsiTheme="majorBidi" w:cstheme="majorBidi"/>
          <w:szCs w:val="22"/>
        </w:rPr>
        <w:t xml:space="preserve"> u fazi ubrzanja liječenih dozom od 140 mg jedanput dnevno nije postignut ni medijan trajanja MaHR</w:t>
      </w:r>
      <w:r w:rsidR="00D61C33">
        <w:rPr>
          <w:rFonts w:asciiTheme="majorBidi" w:hAnsiTheme="majorBidi" w:cstheme="majorBidi"/>
          <w:szCs w:val="22"/>
        </w:rPr>
        <w:t>-a</w:t>
      </w:r>
      <w:r w:rsidRPr="00F25CE6">
        <w:rPr>
          <w:rFonts w:asciiTheme="majorBidi" w:hAnsiTheme="majorBidi" w:cstheme="majorBidi"/>
          <w:szCs w:val="22"/>
        </w:rPr>
        <w:t xml:space="preserve"> ni medijan ukupnog preživljenja, dok je medijan PFS</w:t>
      </w:r>
      <w:r w:rsidR="000D27A5">
        <w:rPr>
          <w:rFonts w:asciiTheme="majorBidi" w:hAnsiTheme="majorBidi" w:cstheme="majorBidi"/>
          <w:szCs w:val="22"/>
        </w:rPr>
        <w:t>-a</w:t>
      </w:r>
      <w:r w:rsidRPr="00F25CE6">
        <w:rPr>
          <w:rFonts w:asciiTheme="majorBidi" w:hAnsiTheme="majorBidi" w:cstheme="majorBidi"/>
          <w:szCs w:val="22"/>
        </w:rPr>
        <w:t xml:space="preserve"> iznosio 25 mjeseci.</w:t>
      </w:r>
    </w:p>
    <w:p w14:paraId="4FF64E89" w14:textId="77777777" w:rsidR="00AF7ABC" w:rsidRPr="00F25CE6" w:rsidRDefault="00AF7ABC" w:rsidP="00F25CE6">
      <w:pPr>
        <w:pStyle w:val="BodyText"/>
        <w:widowControl/>
        <w:rPr>
          <w:rFonts w:asciiTheme="majorBidi" w:hAnsiTheme="majorBidi" w:cstheme="majorBidi"/>
          <w:szCs w:val="22"/>
        </w:rPr>
      </w:pPr>
    </w:p>
    <w:p w14:paraId="3D308702" w14:textId="6E2B306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s KML</w:t>
      </w:r>
      <w:r w:rsidR="001F5D94">
        <w:rPr>
          <w:rFonts w:asciiTheme="majorBidi" w:hAnsiTheme="majorBidi" w:cstheme="majorBidi"/>
          <w:szCs w:val="22"/>
        </w:rPr>
        <w:t>-om</w:t>
      </w:r>
      <w:r w:rsidRPr="00F25CE6">
        <w:rPr>
          <w:rFonts w:asciiTheme="majorBidi" w:hAnsiTheme="majorBidi" w:cstheme="majorBidi"/>
          <w:szCs w:val="22"/>
        </w:rPr>
        <w:t xml:space="preserve"> u mijeloidnoj blastnoj krizi liječenih dozom od 140 mg jedanput dnevno, medijan trajanja MaHR</w:t>
      </w:r>
      <w:r w:rsidR="00446CFB">
        <w:rPr>
          <w:rFonts w:asciiTheme="majorBidi" w:hAnsiTheme="majorBidi" w:cstheme="majorBidi"/>
          <w:szCs w:val="22"/>
        </w:rPr>
        <w:t>-a</w:t>
      </w:r>
      <w:r w:rsidRPr="00F25CE6">
        <w:rPr>
          <w:rFonts w:asciiTheme="majorBidi" w:hAnsiTheme="majorBidi" w:cstheme="majorBidi"/>
          <w:szCs w:val="22"/>
        </w:rPr>
        <w:t xml:space="preserve"> iznosio je 8 mjeseci, medijan PFS</w:t>
      </w:r>
      <w:r w:rsidR="00446CFB">
        <w:rPr>
          <w:rFonts w:asciiTheme="majorBidi" w:hAnsiTheme="majorBidi" w:cstheme="majorBidi"/>
          <w:szCs w:val="22"/>
        </w:rPr>
        <w:t>-a</w:t>
      </w:r>
      <w:r w:rsidRPr="00F25CE6">
        <w:rPr>
          <w:rFonts w:asciiTheme="majorBidi" w:hAnsiTheme="majorBidi" w:cstheme="majorBidi"/>
          <w:szCs w:val="22"/>
        </w:rPr>
        <w:t xml:space="preserve"> 4 mjeseca, a medijan ukupnog preživljenja</w:t>
      </w:r>
      <w:r w:rsidR="00446CFB">
        <w:rPr>
          <w:rFonts w:asciiTheme="majorBidi" w:hAnsiTheme="majorBidi" w:cstheme="majorBidi"/>
          <w:szCs w:val="22"/>
        </w:rPr>
        <w:t xml:space="preserve"> </w:t>
      </w:r>
      <w:r w:rsidRPr="00F25CE6">
        <w:rPr>
          <w:rFonts w:asciiTheme="majorBidi" w:hAnsiTheme="majorBidi" w:cstheme="majorBidi"/>
          <w:szCs w:val="22"/>
        </w:rPr>
        <w:t>8 mjeseci. U bolesnika s KML</w:t>
      </w:r>
      <w:r w:rsidR="001F5D94">
        <w:rPr>
          <w:rFonts w:asciiTheme="majorBidi" w:hAnsiTheme="majorBidi" w:cstheme="majorBidi"/>
          <w:szCs w:val="22"/>
        </w:rPr>
        <w:t>-om</w:t>
      </w:r>
      <w:r w:rsidRPr="00F25CE6">
        <w:rPr>
          <w:rFonts w:asciiTheme="majorBidi" w:hAnsiTheme="majorBidi" w:cstheme="majorBidi"/>
          <w:szCs w:val="22"/>
        </w:rPr>
        <w:t xml:space="preserve"> u limfoidnoj blastnoj krizi liječenih dozom od 140 mg jedanput dnevno, medijan trajanja MaHR</w:t>
      </w:r>
      <w:r w:rsidR="00446CFB">
        <w:rPr>
          <w:rFonts w:asciiTheme="majorBidi" w:hAnsiTheme="majorBidi" w:cstheme="majorBidi"/>
          <w:szCs w:val="22"/>
        </w:rPr>
        <w:t>-a</w:t>
      </w:r>
      <w:r w:rsidRPr="00F25CE6">
        <w:rPr>
          <w:rFonts w:asciiTheme="majorBidi" w:hAnsiTheme="majorBidi" w:cstheme="majorBidi"/>
          <w:szCs w:val="22"/>
        </w:rPr>
        <w:t xml:space="preserve"> iznosio je 5 mjeseci, medijan PFS</w:t>
      </w:r>
      <w:r w:rsidR="00446CFB">
        <w:rPr>
          <w:rFonts w:asciiTheme="majorBidi" w:hAnsiTheme="majorBidi" w:cstheme="majorBidi"/>
          <w:szCs w:val="22"/>
        </w:rPr>
        <w:t>-a</w:t>
      </w:r>
      <w:r w:rsidRPr="00F25CE6">
        <w:rPr>
          <w:rFonts w:asciiTheme="majorBidi" w:hAnsiTheme="majorBidi" w:cstheme="majorBidi"/>
          <w:szCs w:val="22"/>
        </w:rPr>
        <w:t xml:space="preserve"> 5 mjeseci, a medijan ukupnog preživljenja 11 mjeseci.</w:t>
      </w:r>
    </w:p>
    <w:p w14:paraId="09B82701" w14:textId="77777777" w:rsidR="00AF7ABC" w:rsidRPr="00F25CE6" w:rsidRDefault="00AF7ABC" w:rsidP="00F25CE6">
      <w:pPr>
        <w:pStyle w:val="BodyText"/>
        <w:widowControl/>
        <w:rPr>
          <w:rFonts w:asciiTheme="majorBidi" w:hAnsiTheme="majorBidi" w:cstheme="majorBidi"/>
          <w:szCs w:val="22"/>
        </w:rPr>
      </w:pPr>
    </w:p>
    <w:p w14:paraId="78BD0B94" w14:textId="2256865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bolesnika s Ph+ ALL</w:t>
      </w:r>
      <w:r w:rsidR="00446CFB">
        <w:rPr>
          <w:rFonts w:asciiTheme="majorBidi" w:hAnsiTheme="majorBidi" w:cstheme="majorBidi"/>
          <w:szCs w:val="22"/>
        </w:rPr>
        <w:t>-om</w:t>
      </w:r>
      <w:r w:rsidRPr="00F25CE6">
        <w:rPr>
          <w:rFonts w:asciiTheme="majorBidi" w:hAnsiTheme="majorBidi" w:cstheme="majorBidi"/>
          <w:szCs w:val="22"/>
        </w:rPr>
        <w:t xml:space="preserve"> liječenih dozom od 140 mg jedanput dnevno, medijan trajanja MaHR</w:t>
      </w:r>
      <w:r w:rsidR="00446CFB">
        <w:rPr>
          <w:rFonts w:asciiTheme="majorBidi" w:hAnsiTheme="majorBidi" w:cstheme="majorBidi"/>
          <w:szCs w:val="22"/>
        </w:rPr>
        <w:t>-a</w:t>
      </w:r>
      <w:r w:rsidRPr="00F25CE6">
        <w:rPr>
          <w:rFonts w:asciiTheme="majorBidi" w:hAnsiTheme="majorBidi" w:cstheme="majorBidi"/>
          <w:szCs w:val="22"/>
        </w:rPr>
        <w:t xml:space="preserve"> iznosio je 5 mjeseci, medijan PFS</w:t>
      </w:r>
      <w:r w:rsidR="00446CFB">
        <w:rPr>
          <w:rFonts w:asciiTheme="majorBidi" w:hAnsiTheme="majorBidi" w:cstheme="majorBidi"/>
          <w:szCs w:val="22"/>
        </w:rPr>
        <w:t>-a</w:t>
      </w:r>
      <w:r w:rsidRPr="00F25CE6">
        <w:rPr>
          <w:rFonts w:asciiTheme="majorBidi" w:hAnsiTheme="majorBidi" w:cstheme="majorBidi"/>
          <w:szCs w:val="22"/>
        </w:rPr>
        <w:t xml:space="preserve"> 4 mjeseca, a medijan ukupnog preživljenja 7 mjeseci.</w:t>
      </w:r>
    </w:p>
    <w:p w14:paraId="07723224" w14:textId="77777777" w:rsidR="00AF7ABC" w:rsidRPr="00F25CE6" w:rsidRDefault="00AF7ABC" w:rsidP="00F25CE6">
      <w:pPr>
        <w:pStyle w:val="BodyText"/>
        <w:widowControl/>
        <w:rPr>
          <w:rFonts w:asciiTheme="majorBidi" w:hAnsiTheme="majorBidi" w:cstheme="majorBidi"/>
          <w:szCs w:val="22"/>
        </w:rPr>
      </w:pPr>
    </w:p>
    <w:p w14:paraId="42FA4ED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Pedijatrijska populacija</w:t>
      </w:r>
    </w:p>
    <w:p w14:paraId="17AF7E0D" w14:textId="19084DC4"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Pedijatrijski bolesnici s KML</w:t>
      </w:r>
      <w:r w:rsidR="001F5D94">
        <w:rPr>
          <w:rFonts w:asciiTheme="majorBidi" w:hAnsiTheme="majorBidi" w:cstheme="majorBidi"/>
          <w:i/>
          <w:u w:val="single"/>
        </w:rPr>
        <w:t>-om</w:t>
      </w:r>
    </w:p>
    <w:p w14:paraId="42837A6F" w14:textId="523DAB00"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Među130 bolesnika s KML</w:t>
      </w:r>
      <w:r w:rsidR="001F5D94">
        <w:rPr>
          <w:rFonts w:asciiTheme="majorBidi" w:hAnsiTheme="majorBidi" w:cstheme="majorBidi"/>
          <w:szCs w:val="22"/>
        </w:rPr>
        <w:t>-om</w:t>
      </w:r>
      <w:r w:rsidRPr="00F25CE6">
        <w:rPr>
          <w:rFonts w:asciiTheme="majorBidi" w:hAnsiTheme="majorBidi" w:cstheme="majorBidi"/>
          <w:szCs w:val="22"/>
        </w:rPr>
        <w:t xml:space="preserve"> u kroničnoj fazi liječenih u dvama pedijatrijskim ispitivanjima – otvorenom, nerandomiziranom ispitivanju faze I za utvrđivanje raspona doze i otvorenom, nerandomiziranom ispitivanju faze II – 84 bolesnika (isključivo iz ispitivanja faze II) imalo je novodijagnosticiran KML u kroničnoj fazi, a 46 bolesnika (17 iz ispitivanja faze I i 29 iz ispitivanja faze II) bilo je otporno na prethodno liječenje imatinibom ili ga nije podnosilo. Devedeset i sedam od 130 pedijatrijskih bolesnika s KML</w:t>
      </w:r>
      <w:r w:rsidR="001F5D94">
        <w:rPr>
          <w:rFonts w:asciiTheme="majorBidi" w:hAnsiTheme="majorBidi" w:cstheme="majorBidi"/>
          <w:szCs w:val="22"/>
        </w:rPr>
        <w:t>-om</w:t>
      </w:r>
      <w:r w:rsidRPr="00F25CE6">
        <w:rPr>
          <w:rFonts w:asciiTheme="majorBidi" w:hAnsiTheme="majorBidi" w:cstheme="majorBidi"/>
          <w:szCs w:val="22"/>
        </w:rPr>
        <w:t xml:space="preserve"> u kroničnoj fazi bilo je liječeno</w:t>
      </w:r>
      <w:r w:rsidR="00D853E9">
        <w:rPr>
          <w:rFonts w:asciiTheme="majorBidi" w:hAnsiTheme="majorBidi" w:cstheme="majorBidi"/>
          <w:szCs w:val="22"/>
        </w:rPr>
        <w:t xml:space="preserve"> dasatinib </w:t>
      </w:r>
      <w:r w:rsidRPr="00F25CE6">
        <w:rPr>
          <w:rFonts w:asciiTheme="majorBidi" w:hAnsiTheme="majorBidi" w:cstheme="majorBidi"/>
          <w:szCs w:val="22"/>
        </w:rPr>
        <w:t>tabletama u dozi od 60 mg/m</w:t>
      </w:r>
      <w:r w:rsidRPr="00F25CE6">
        <w:rPr>
          <w:rFonts w:asciiTheme="majorBidi" w:hAnsiTheme="majorBidi" w:cstheme="majorBidi"/>
          <w:szCs w:val="22"/>
          <w:vertAlign w:val="superscript"/>
        </w:rPr>
        <w:t>2</w:t>
      </w:r>
      <w:r w:rsidRPr="00F25CE6">
        <w:rPr>
          <w:rFonts w:asciiTheme="majorBidi" w:hAnsiTheme="majorBidi" w:cstheme="majorBidi"/>
          <w:szCs w:val="22"/>
        </w:rPr>
        <w:t xml:space="preserve"> jedanput dnevno (maksimalna doza od 100 mg jedanput dnevno za bolesnike koji su imali veliku tjelesnu površinu). Bolesnike se liječilo do progresije bolesti ili nastupa neprihvatljive toksičnosti.</w:t>
      </w:r>
    </w:p>
    <w:p w14:paraId="48FCD9A1" w14:textId="77777777" w:rsidR="00AF7ABC" w:rsidRPr="00F25CE6" w:rsidRDefault="00AF7ABC" w:rsidP="00F25CE6">
      <w:pPr>
        <w:pStyle w:val="BodyText"/>
        <w:widowControl/>
        <w:rPr>
          <w:rFonts w:asciiTheme="majorBidi" w:hAnsiTheme="majorBidi" w:cstheme="majorBidi"/>
          <w:szCs w:val="22"/>
        </w:rPr>
      </w:pPr>
    </w:p>
    <w:p w14:paraId="2735BF25"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Ključne mjere ishoda za djelotvornost bile su potpuni citogenetski odgovor (CCyR), značajni citogenetski odgovor (MCyR) i značajni molekularni odgovor (MMR). Rezultati su prikazani u Tablici 15.</w:t>
      </w:r>
    </w:p>
    <w:p w14:paraId="53F2B71F" w14:textId="77777777" w:rsidR="00A15E8A" w:rsidRPr="00F25CE6" w:rsidRDefault="00A15E8A" w:rsidP="00F25CE6">
      <w:pPr>
        <w:widowControl/>
        <w:rPr>
          <w:rFonts w:asciiTheme="majorBidi" w:hAnsiTheme="majorBidi" w:cstheme="majorBidi"/>
        </w:rPr>
      </w:pPr>
    </w:p>
    <w:p w14:paraId="21680172" w14:textId="19DCD647" w:rsidR="00AF7ABC" w:rsidRPr="00F25CE6" w:rsidRDefault="00422138" w:rsidP="00AD557C">
      <w:pPr>
        <w:pStyle w:val="Tableheading"/>
      </w:pPr>
      <w:r w:rsidRPr="00F25CE6">
        <w:t>Tablica 15:</w:t>
      </w:r>
      <w:r w:rsidR="00AD557C">
        <w:tab/>
      </w:r>
      <w:r w:rsidRPr="00F25CE6">
        <w:t xml:space="preserve">Djelotvornost </w:t>
      </w:r>
      <w:r w:rsidR="00D853E9">
        <w:t>dasatiniba</w:t>
      </w:r>
      <w:r w:rsidRPr="00F25CE6">
        <w:t xml:space="preserve"> u pedijatrijskih bolesnika s KML</w:t>
      </w:r>
      <w:r w:rsidR="005854EA">
        <w:t>-om</w:t>
      </w:r>
      <w:r w:rsidRPr="00F25CE6">
        <w:t xml:space="preserve"> u kroničnoj fazi Kumulativni odgovor tijekom vremena prema minimalnom razdoblju praćenja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952"/>
        <w:gridCol w:w="1650"/>
        <w:gridCol w:w="1801"/>
        <w:gridCol w:w="1803"/>
        <w:gridCol w:w="1803"/>
      </w:tblGrid>
      <w:tr w:rsidR="00AF7ABC" w:rsidRPr="00F25CE6" w14:paraId="2FA323EC" w14:textId="77777777" w:rsidTr="00AD557C">
        <w:trPr>
          <w:trHeight w:val="20"/>
        </w:trPr>
        <w:tc>
          <w:tcPr>
            <w:tcW w:w="1952" w:type="dxa"/>
            <w:tcBorders>
              <w:top w:val="single" w:sz="4" w:space="0" w:color="000000"/>
              <w:bottom w:val="single" w:sz="6" w:space="0" w:color="000000"/>
            </w:tcBorders>
          </w:tcPr>
          <w:p w14:paraId="2E0C3C72" w14:textId="77777777" w:rsidR="00AF7ABC" w:rsidRPr="00F25CE6" w:rsidRDefault="00AF7ABC" w:rsidP="00AD557C">
            <w:pPr>
              <w:pStyle w:val="TableParagraph"/>
              <w:autoSpaceDE/>
              <w:autoSpaceDN/>
              <w:ind w:left="29" w:right="29"/>
              <w:rPr>
                <w:rFonts w:asciiTheme="majorBidi" w:hAnsiTheme="majorBidi" w:cstheme="majorBidi"/>
              </w:rPr>
            </w:pPr>
          </w:p>
        </w:tc>
        <w:tc>
          <w:tcPr>
            <w:tcW w:w="1650" w:type="dxa"/>
            <w:tcBorders>
              <w:top w:val="single" w:sz="4" w:space="0" w:color="000000"/>
              <w:bottom w:val="single" w:sz="6" w:space="0" w:color="000000"/>
            </w:tcBorders>
          </w:tcPr>
          <w:p w14:paraId="2677A693" w14:textId="77777777" w:rsidR="00AF7ABC" w:rsidRPr="00F25CE6" w:rsidRDefault="00422138"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3 mjeseca</w:t>
            </w:r>
          </w:p>
        </w:tc>
        <w:tc>
          <w:tcPr>
            <w:tcW w:w="1801" w:type="dxa"/>
            <w:tcBorders>
              <w:top w:val="single" w:sz="4" w:space="0" w:color="000000"/>
              <w:bottom w:val="single" w:sz="6" w:space="0" w:color="000000"/>
            </w:tcBorders>
          </w:tcPr>
          <w:p w14:paraId="573E21FA" w14:textId="77777777" w:rsidR="00AF7ABC" w:rsidRPr="00F25CE6" w:rsidRDefault="00422138"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6 mjeseci</w:t>
            </w:r>
          </w:p>
        </w:tc>
        <w:tc>
          <w:tcPr>
            <w:tcW w:w="1803" w:type="dxa"/>
            <w:tcBorders>
              <w:top w:val="single" w:sz="4" w:space="0" w:color="000000"/>
              <w:bottom w:val="single" w:sz="6" w:space="0" w:color="000000"/>
            </w:tcBorders>
          </w:tcPr>
          <w:p w14:paraId="05AA6617" w14:textId="77777777" w:rsidR="00AF7ABC" w:rsidRPr="00F25CE6" w:rsidRDefault="00422138"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12 mjeseci</w:t>
            </w:r>
          </w:p>
        </w:tc>
        <w:tc>
          <w:tcPr>
            <w:tcW w:w="1803" w:type="dxa"/>
            <w:tcBorders>
              <w:top w:val="single" w:sz="4" w:space="0" w:color="000000"/>
              <w:bottom w:val="single" w:sz="6" w:space="0" w:color="000000"/>
            </w:tcBorders>
          </w:tcPr>
          <w:p w14:paraId="751B33E7" w14:textId="77777777" w:rsidR="00AF7ABC" w:rsidRPr="00F25CE6" w:rsidRDefault="00422138" w:rsidP="00AD557C">
            <w:pPr>
              <w:pStyle w:val="TableParagraph"/>
              <w:autoSpaceDE/>
              <w:autoSpaceDN/>
              <w:ind w:left="29" w:right="29"/>
              <w:jc w:val="center"/>
              <w:rPr>
                <w:rFonts w:asciiTheme="majorBidi" w:hAnsiTheme="majorBidi" w:cstheme="majorBidi"/>
                <w:b/>
              </w:rPr>
            </w:pPr>
            <w:r w:rsidRPr="00F25CE6">
              <w:rPr>
                <w:rFonts w:asciiTheme="majorBidi" w:hAnsiTheme="majorBidi" w:cstheme="majorBidi"/>
                <w:b/>
              </w:rPr>
              <w:t>24 mjeseca</w:t>
            </w:r>
          </w:p>
        </w:tc>
      </w:tr>
      <w:tr w:rsidR="00AF7ABC" w:rsidRPr="00F25CE6" w14:paraId="752018B5" w14:textId="77777777" w:rsidTr="00AD557C">
        <w:trPr>
          <w:trHeight w:val="20"/>
        </w:trPr>
        <w:tc>
          <w:tcPr>
            <w:tcW w:w="1952" w:type="dxa"/>
            <w:tcBorders>
              <w:top w:val="single" w:sz="6" w:space="0" w:color="000000"/>
            </w:tcBorders>
          </w:tcPr>
          <w:p w14:paraId="20A5EA14" w14:textId="77777777" w:rsidR="00AF7ABC" w:rsidRPr="00F25CE6" w:rsidRDefault="00422138"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CCyR</w:t>
            </w:r>
          </w:p>
        </w:tc>
        <w:tc>
          <w:tcPr>
            <w:tcW w:w="1650" w:type="dxa"/>
            <w:tcBorders>
              <w:top w:val="single" w:sz="6" w:space="0" w:color="000000"/>
            </w:tcBorders>
          </w:tcPr>
          <w:p w14:paraId="1811D6D6"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1" w:type="dxa"/>
            <w:tcBorders>
              <w:top w:val="single" w:sz="6" w:space="0" w:color="000000"/>
            </w:tcBorders>
          </w:tcPr>
          <w:p w14:paraId="7F6B93D9"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Borders>
              <w:top w:val="single" w:sz="6" w:space="0" w:color="000000"/>
            </w:tcBorders>
          </w:tcPr>
          <w:p w14:paraId="5D13F04E"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Borders>
              <w:top w:val="single" w:sz="6" w:space="0" w:color="000000"/>
            </w:tcBorders>
          </w:tcPr>
          <w:p w14:paraId="60F6BF91" w14:textId="77777777" w:rsidR="00AF7ABC" w:rsidRPr="00F25CE6" w:rsidRDefault="00AF7ABC" w:rsidP="00AD557C">
            <w:pPr>
              <w:pStyle w:val="TableParagraph"/>
              <w:autoSpaceDE/>
              <w:autoSpaceDN/>
              <w:ind w:left="29" w:right="29"/>
              <w:jc w:val="center"/>
              <w:rPr>
                <w:rFonts w:asciiTheme="majorBidi" w:hAnsiTheme="majorBidi" w:cstheme="majorBidi"/>
              </w:rPr>
            </w:pPr>
          </w:p>
        </w:tc>
      </w:tr>
      <w:tr w:rsidR="00AF7ABC" w:rsidRPr="00F25CE6" w14:paraId="51BD97AE" w14:textId="77777777" w:rsidTr="00AD557C">
        <w:trPr>
          <w:trHeight w:val="20"/>
        </w:trPr>
        <w:tc>
          <w:tcPr>
            <w:tcW w:w="1952" w:type="dxa"/>
          </w:tcPr>
          <w:p w14:paraId="6B60BB55" w14:textId="77777777" w:rsidR="00AF7ABC" w:rsidRPr="00F25CE6" w:rsidRDefault="00422138"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(95% CI)</w:t>
            </w:r>
          </w:p>
        </w:tc>
        <w:tc>
          <w:tcPr>
            <w:tcW w:w="1650" w:type="dxa"/>
          </w:tcPr>
          <w:p w14:paraId="78FF9526"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1" w:type="dxa"/>
          </w:tcPr>
          <w:p w14:paraId="0009DAF4"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152177C5"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3FFC6BBA" w14:textId="77777777" w:rsidR="00AF7ABC" w:rsidRPr="00F25CE6" w:rsidRDefault="00AF7ABC" w:rsidP="00AD557C">
            <w:pPr>
              <w:pStyle w:val="TableParagraph"/>
              <w:autoSpaceDE/>
              <w:autoSpaceDN/>
              <w:ind w:left="29" w:right="29"/>
              <w:jc w:val="center"/>
              <w:rPr>
                <w:rFonts w:asciiTheme="majorBidi" w:hAnsiTheme="majorBidi" w:cstheme="majorBidi"/>
              </w:rPr>
            </w:pPr>
          </w:p>
        </w:tc>
      </w:tr>
      <w:tr w:rsidR="00AF7ABC" w:rsidRPr="00F25CE6" w14:paraId="4B562235" w14:textId="77777777" w:rsidTr="00AD557C">
        <w:trPr>
          <w:trHeight w:val="20"/>
        </w:trPr>
        <w:tc>
          <w:tcPr>
            <w:tcW w:w="1952" w:type="dxa"/>
            <w:tcBorders>
              <w:bottom w:val="nil"/>
            </w:tcBorders>
          </w:tcPr>
          <w:p w14:paraId="7170BF0E" w14:textId="77777777" w:rsidR="00AD557C"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Novodijagnosticira</w:t>
            </w:r>
            <w:r w:rsidR="00AD557C">
              <w:rPr>
                <w:rFonts w:asciiTheme="majorBidi" w:hAnsiTheme="majorBidi" w:cstheme="majorBidi"/>
              </w:rPr>
              <w:t xml:space="preserve"> </w:t>
            </w:r>
            <w:r w:rsidR="00AD557C" w:rsidRPr="00F25CE6">
              <w:rPr>
                <w:rFonts w:asciiTheme="majorBidi" w:hAnsiTheme="majorBidi" w:cstheme="majorBidi"/>
              </w:rPr>
              <w:t>na bolest</w:t>
            </w:r>
          </w:p>
          <w:p w14:paraId="0D5E7BEB" w14:textId="1AEF59D8"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 xml:space="preserve">(N </w:t>
            </w:r>
            <w:r w:rsidR="006268ED" w:rsidRPr="00F25CE6">
              <w:rPr>
                <w:rFonts w:asciiTheme="majorBidi" w:hAnsiTheme="majorBidi" w:cstheme="majorBidi"/>
              </w:rPr>
              <w:t xml:space="preserve"> </w:t>
            </w:r>
            <w:r w:rsidRPr="00F25CE6">
              <w:rPr>
                <w:rFonts w:asciiTheme="majorBidi" w:hAnsiTheme="majorBidi" w:cstheme="majorBidi"/>
              </w:rPr>
              <w:t>= 51)</w:t>
            </w:r>
            <w:r w:rsidRPr="00F25CE6">
              <w:rPr>
                <w:rFonts w:asciiTheme="majorBidi" w:hAnsiTheme="majorBidi" w:cstheme="majorBidi"/>
                <w:vertAlign w:val="superscript"/>
              </w:rPr>
              <w:t>a</w:t>
            </w:r>
          </w:p>
        </w:tc>
        <w:tc>
          <w:tcPr>
            <w:tcW w:w="1650" w:type="dxa"/>
            <w:tcBorders>
              <w:bottom w:val="nil"/>
            </w:tcBorders>
          </w:tcPr>
          <w:p w14:paraId="7CC49559"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43,1%</w:t>
            </w:r>
          </w:p>
          <w:p w14:paraId="1CA27344"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(29,3; 57,8)</w:t>
            </w:r>
          </w:p>
        </w:tc>
        <w:tc>
          <w:tcPr>
            <w:tcW w:w="1801" w:type="dxa"/>
            <w:tcBorders>
              <w:bottom w:val="nil"/>
            </w:tcBorders>
          </w:tcPr>
          <w:p w14:paraId="1F2CBBF7"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66,7%</w:t>
            </w:r>
          </w:p>
          <w:p w14:paraId="1233B86B"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(52,1; 79,2)</w:t>
            </w:r>
          </w:p>
        </w:tc>
        <w:tc>
          <w:tcPr>
            <w:tcW w:w="1803" w:type="dxa"/>
            <w:tcBorders>
              <w:bottom w:val="nil"/>
            </w:tcBorders>
          </w:tcPr>
          <w:p w14:paraId="6536917F"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96,1%</w:t>
            </w:r>
          </w:p>
          <w:p w14:paraId="7978B0EA"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(86,5; 99,5)</w:t>
            </w:r>
          </w:p>
        </w:tc>
        <w:tc>
          <w:tcPr>
            <w:tcW w:w="1803" w:type="dxa"/>
            <w:tcBorders>
              <w:bottom w:val="nil"/>
            </w:tcBorders>
          </w:tcPr>
          <w:p w14:paraId="262803E9"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96,1%</w:t>
            </w:r>
          </w:p>
          <w:p w14:paraId="682AC1B5"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(86,5; 99,5)</w:t>
            </w:r>
          </w:p>
        </w:tc>
      </w:tr>
      <w:tr w:rsidR="00AD557C" w:rsidRPr="00F25CE6" w14:paraId="5C1F1507" w14:textId="77777777" w:rsidTr="00AD557C">
        <w:trPr>
          <w:trHeight w:val="20"/>
        </w:trPr>
        <w:tc>
          <w:tcPr>
            <w:tcW w:w="1952" w:type="dxa"/>
            <w:tcBorders>
              <w:bottom w:val="nil"/>
            </w:tcBorders>
          </w:tcPr>
          <w:p w14:paraId="426B22D8" w14:textId="77777777" w:rsidR="00AD557C" w:rsidRPr="00F25CE6" w:rsidRDefault="00AD557C" w:rsidP="00AD557C">
            <w:pPr>
              <w:pStyle w:val="TableParagraph"/>
              <w:autoSpaceDE/>
              <w:autoSpaceDN/>
              <w:ind w:left="29" w:right="29"/>
              <w:rPr>
                <w:rFonts w:asciiTheme="majorBidi" w:hAnsiTheme="majorBidi" w:cstheme="majorBidi"/>
              </w:rPr>
            </w:pPr>
          </w:p>
        </w:tc>
        <w:tc>
          <w:tcPr>
            <w:tcW w:w="1650" w:type="dxa"/>
            <w:tcBorders>
              <w:bottom w:val="nil"/>
            </w:tcBorders>
          </w:tcPr>
          <w:p w14:paraId="23249F46"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1" w:type="dxa"/>
            <w:tcBorders>
              <w:bottom w:val="nil"/>
            </w:tcBorders>
          </w:tcPr>
          <w:p w14:paraId="4EFEFBFF"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27164EFD"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1DE10239" w14:textId="77777777" w:rsidR="00AD557C" w:rsidRPr="00F25CE6" w:rsidRDefault="00AD557C" w:rsidP="00AD557C">
            <w:pPr>
              <w:pStyle w:val="TableParagraph"/>
              <w:autoSpaceDE/>
              <w:autoSpaceDN/>
              <w:ind w:left="29" w:right="29"/>
              <w:jc w:val="center"/>
              <w:rPr>
                <w:rFonts w:asciiTheme="majorBidi" w:hAnsiTheme="majorBidi" w:cstheme="majorBidi"/>
              </w:rPr>
            </w:pPr>
          </w:p>
        </w:tc>
      </w:tr>
      <w:tr w:rsidR="00AF7ABC" w:rsidRPr="00F25CE6" w14:paraId="5A18E11B" w14:textId="77777777" w:rsidTr="00AD557C">
        <w:trPr>
          <w:trHeight w:val="20"/>
        </w:trPr>
        <w:tc>
          <w:tcPr>
            <w:tcW w:w="1952" w:type="dxa"/>
            <w:tcBorders>
              <w:bottom w:val="nil"/>
            </w:tcBorders>
          </w:tcPr>
          <w:p w14:paraId="2F76A2F5" w14:textId="77777777" w:rsidR="00AD557C"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Prethodno</w:t>
            </w:r>
            <w:r w:rsidR="00AD557C">
              <w:rPr>
                <w:rFonts w:asciiTheme="majorBidi" w:hAnsiTheme="majorBidi" w:cstheme="majorBidi"/>
              </w:rPr>
              <w:t xml:space="preserve"> </w:t>
            </w:r>
            <w:r w:rsidR="00AD557C" w:rsidRPr="00F25CE6">
              <w:rPr>
                <w:rFonts w:asciiTheme="majorBidi" w:hAnsiTheme="majorBidi" w:cstheme="majorBidi"/>
              </w:rPr>
              <w:t>liječenje</w:t>
            </w:r>
            <w:r w:rsidR="00AD557C">
              <w:rPr>
                <w:rFonts w:asciiTheme="majorBidi" w:hAnsiTheme="majorBidi" w:cstheme="majorBidi"/>
              </w:rPr>
              <w:t xml:space="preserve"> </w:t>
            </w:r>
            <w:r w:rsidR="00AD557C" w:rsidRPr="00F25CE6">
              <w:rPr>
                <w:rFonts w:asciiTheme="majorBidi" w:hAnsiTheme="majorBidi" w:cstheme="majorBidi"/>
              </w:rPr>
              <w:t>imatinibom</w:t>
            </w:r>
          </w:p>
          <w:p w14:paraId="75565CAE" w14:textId="6134785F"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(N = 46)</w:t>
            </w:r>
            <w:r w:rsidRPr="00F25CE6">
              <w:rPr>
                <w:rFonts w:asciiTheme="majorBidi" w:hAnsiTheme="majorBidi" w:cstheme="majorBidi"/>
                <w:vertAlign w:val="superscript"/>
              </w:rPr>
              <w:t>b</w:t>
            </w:r>
          </w:p>
        </w:tc>
        <w:tc>
          <w:tcPr>
            <w:tcW w:w="1650" w:type="dxa"/>
            <w:tcBorders>
              <w:bottom w:val="nil"/>
            </w:tcBorders>
          </w:tcPr>
          <w:p w14:paraId="0D2E6A96"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45,7%</w:t>
            </w:r>
          </w:p>
          <w:p w14:paraId="48BBBB35"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(30,9; 61,0)</w:t>
            </w:r>
          </w:p>
        </w:tc>
        <w:tc>
          <w:tcPr>
            <w:tcW w:w="1801" w:type="dxa"/>
            <w:tcBorders>
              <w:bottom w:val="nil"/>
            </w:tcBorders>
          </w:tcPr>
          <w:p w14:paraId="6509BB5D"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71,7%</w:t>
            </w:r>
          </w:p>
          <w:p w14:paraId="4165DA31"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(56,5; 84,0)</w:t>
            </w:r>
          </w:p>
        </w:tc>
        <w:tc>
          <w:tcPr>
            <w:tcW w:w="1803" w:type="dxa"/>
            <w:tcBorders>
              <w:bottom w:val="nil"/>
            </w:tcBorders>
          </w:tcPr>
          <w:p w14:paraId="7B7069DB"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78,3%</w:t>
            </w:r>
          </w:p>
          <w:p w14:paraId="2299F185"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(63,6; 89,1)</w:t>
            </w:r>
          </w:p>
        </w:tc>
        <w:tc>
          <w:tcPr>
            <w:tcW w:w="1803" w:type="dxa"/>
            <w:tcBorders>
              <w:bottom w:val="nil"/>
            </w:tcBorders>
          </w:tcPr>
          <w:p w14:paraId="06D331A5"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82,6%</w:t>
            </w:r>
          </w:p>
          <w:p w14:paraId="6F242E80"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(68,6; 92,2)</w:t>
            </w:r>
          </w:p>
        </w:tc>
      </w:tr>
      <w:tr w:rsidR="00AD557C" w:rsidRPr="00F25CE6" w14:paraId="16604336" w14:textId="77777777" w:rsidTr="00AD557C">
        <w:trPr>
          <w:trHeight w:val="20"/>
        </w:trPr>
        <w:tc>
          <w:tcPr>
            <w:tcW w:w="1952" w:type="dxa"/>
            <w:tcBorders>
              <w:bottom w:val="nil"/>
            </w:tcBorders>
          </w:tcPr>
          <w:p w14:paraId="0780A559" w14:textId="77777777" w:rsidR="00AD557C" w:rsidRPr="00F25CE6" w:rsidRDefault="00AD557C" w:rsidP="00AD557C">
            <w:pPr>
              <w:pStyle w:val="TableParagraph"/>
              <w:autoSpaceDE/>
              <w:autoSpaceDN/>
              <w:ind w:left="29" w:right="29"/>
              <w:rPr>
                <w:rFonts w:asciiTheme="majorBidi" w:hAnsiTheme="majorBidi" w:cstheme="majorBidi"/>
              </w:rPr>
            </w:pPr>
          </w:p>
        </w:tc>
        <w:tc>
          <w:tcPr>
            <w:tcW w:w="1650" w:type="dxa"/>
            <w:tcBorders>
              <w:bottom w:val="nil"/>
            </w:tcBorders>
          </w:tcPr>
          <w:p w14:paraId="6D540751"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1" w:type="dxa"/>
            <w:tcBorders>
              <w:bottom w:val="nil"/>
            </w:tcBorders>
          </w:tcPr>
          <w:p w14:paraId="4BA9B346"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484F6037"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282B0B61" w14:textId="77777777" w:rsidR="00AD557C" w:rsidRPr="00F25CE6" w:rsidRDefault="00AD557C" w:rsidP="00AD557C">
            <w:pPr>
              <w:pStyle w:val="TableParagraph"/>
              <w:autoSpaceDE/>
              <w:autoSpaceDN/>
              <w:ind w:left="29" w:right="29"/>
              <w:jc w:val="center"/>
              <w:rPr>
                <w:rFonts w:asciiTheme="majorBidi" w:hAnsiTheme="majorBidi" w:cstheme="majorBidi"/>
              </w:rPr>
            </w:pPr>
          </w:p>
        </w:tc>
      </w:tr>
      <w:tr w:rsidR="00AF7ABC" w:rsidRPr="00F25CE6" w14:paraId="5EE218BA" w14:textId="77777777" w:rsidTr="00AD557C">
        <w:trPr>
          <w:trHeight w:val="20"/>
        </w:trPr>
        <w:tc>
          <w:tcPr>
            <w:tcW w:w="1952" w:type="dxa"/>
            <w:tcBorders>
              <w:bottom w:val="nil"/>
            </w:tcBorders>
          </w:tcPr>
          <w:p w14:paraId="05FF2039" w14:textId="77777777" w:rsidR="00AD557C" w:rsidRPr="00F25CE6" w:rsidRDefault="00422138"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MCyR</w:t>
            </w:r>
          </w:p>
          <w:p w14:paraId="2783E7A0" w14:textId="77777777" w:rsidR="00AF7ABC" w:rsidRPr="00F25CE6" w:rsidRDefault="00AD557C"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(95% CI)</w:t>
            </w:r>
          </w:p>
        </w:tc>
        <w:tc>
          <w:tcPr>
            <w:tcW w:w="1650" w:type="dxa"/>
            <w:tcBorders>
              <w:bottom w:val="nil"/>
            </w:tcBorders>
          </w:tcPr>
          <w:p w14:paraId="0A59B274"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1" w:type="dxa"/>
            <w:tcBorders>
              <w:bottom w:val="nil"/>
            </w:tcBorders>
          </w:tcPr>
          <w:p w14:paraId="2E1FD100"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15A1C412"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79EB9C8F" w14:textId="77777777" w:rsidR="00AF7ABC" w:rsidRPr="00F25CE6" w:rsidRDefault="00AF7ABC" w:rsidP="00AD557C">
            <w:pPr>
              <w:pStyle w:val="TableParagraph"/>
              <w:autoSpaceDE/>
              <w:autoSpaceDN/>
              <w:ind w:left="29" w:right="29"/>
              <w:jc w:val="center"/>
              <w:rPr>
                <w:rFonts w:asciiTheme="majorBidi" w:hAnsiTheme="majorBidi" w:cstheme="majorBidi"/>
              </w:rPr>
            </w:pPr>
          </w:p>
        </w:tc>
      </w:tr>
      <w:tr w:rsidR="00AF7ABC" w:rsidRPr="00F25CE6" w14:paraId="312346F6" w14:textId="77777777" w:rsidTr="00AD557C">
        <w:trPr>
          <w:trHeight w:val="20"/>
        </w:trPr>
        <w:tc>
          <w:tcPr>
            <w:tcW w:w="1952" w:type="dxa"/>
            <w:tcBorders>
              <w:bottom w:val="nil"/>
            </w:tcBorders>
          </w:tcPr>
          <w:p w14:paraId="22DB7E4D" w14:textId="77777777" w:rsidR="00AD557C"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Novodijagnosticira</w:t>
            </w:r>
            <w:r w:rsidR="00AD557C">
              <w:rPr>
                <w:rFonts w:asciiTheme="majorBidi" w:hAnsiTheme="majorBidi" w:cstheme="majorBidi"/>
              </w:rPr>
              <w:t xml:space="preserve"> </w:t>
            </w:r>
            <w:r w:rsidR="00AD557C" w:rsidRPr="00F25CE6">
              <w:rPr>
                <w:rFonts w:asciiTheme="majorBidi" w:hAnsiTheme="majorBidi" w:cstheme="majorBidi"/>
              </w:rPr>
              <w:t>na bolest</w:t>
            </w:r>
          </w:p>
          <w:p w14:paraId="59890492" w14:textId="09ECF042"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(N</w:t>
            </w:r>
            <w:r w:rsidR="006268ED" w:rsidRPr="00F25CE6">
              <w:rPr>
                <w:rFonts w:asciiTheme="majorBidi" w:hAnsiTheme="majorBidi" w:cstheme="majorBidi"/>
              </w:rPr>
              <w:t xml:space="preserve"> </w:t>
            </w:r>
            <w:r w:rsidRPr="00F25CE6">
              <w:rPr>
                <w:rFonts w:asciiTheme="majorBidi" w:hAnsiTheme="majorBidi" w:cstheme="majorBidi"/>
              </w:rPr>
              <w:t>= 51)</w:t>
            </w:r>
            <w:r w:rsidRPr="00F25CE6">
              <w:rPr>
                <w:rFonts w:asciiTheme="majorBidi" w:hAnsiTheme="majorBidi" w:cstheme="majorBidi"/>
                <w:vertAlign w:val="superscript"/>
              </w:rPr>
              <w:t>a</w:t>
            </w:r>
          </w:p>
        </w:tc>
        <w:tc>
          <w:tcPr>
            <w:tcW w:w="1650" w:type="dxa"/>
            <w:tcBorders>
              <w:bottom w:val="nil"/>
            </w:tcBorders>
          </w:tcPr>
          <w:p w14:paraId="78814282"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60,8%</w:t>
            </w:r>
          </w:p>
          <w:p w14:paraId="11E15D88"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(46,1; 74,2)</w:t>
            </w:r>
          </w:p>
        </w:tc>
        <w:tc>
          <w:tcPr>
            <w:tcW w:w="1801" w:type="dxa"/>
            <w:tcBorders>
              <w:bottom w:val="nil"/>
            </w:tcBorders>
          </w:tcPr>
          <w:p w14:paraId="0DCDD7E4"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90,2%</w:t>
            </w:r>
          </w:p>
          <w:p w14:paraId="2CE0031F"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(78,6; 96,7)</w:t>
            </w:r>
          </w:p>
        </w:tc>
        <w:tc>
          <w:tcPr>
            <w:tcW w:w="1803" w:type="dxa"/>
            <w:tcBorders>
              <w:bottom w:val="nil"/>
            </w:tcBorders>
          </w:tcPr>
          <w:p w14:paraId="28E48611"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98,0%</w:t>
            </w:r>
          </w:p>
          <w:p w14:paraId="61F810CB"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(89,6; 100)</w:t>
            </w:r>
          </w:p>
        </w:tc>
        <w:tc>
          <w:tcPr>
            <w:tcW w:w="1803" w:type="dxa"/>
            <w:tcBorders>
              <w:bottom w:val="nil"/>
            </w:tcBorders>
          </w:tcPr>
          <w:p w14:paraId="04A914B1"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98,0%</w:t>
            </w:r>
          </w:p>
          <w:p w14:paraId="658B6EB7"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(89,6; 100)</w:t>
            </w:r>
          </w:p>
        </w:tc>
      </w:tr>
      <w:tr w:rsidR="00AD557C" w:rsidRPr="00F25CE6" w14:paraId="0D632231" w14:textId="77777777" w:rsidTr="00AD557C">
        <w:trPr>
          <w:trHeight w:val="20"/>
        </w:trPr>
        <w:tc>
          <w:tcPr>
            <w:tcW w:w="1952" w:type="dxa"/>
            <w:tcBorders>
              <w:bottom w:val="nil"/>
            </w:tcBorders>
          </w:tcPr>
          <w:p w14:paraId="31661519" w14:textId="77777777" w:rsidR="00AD557C" w:rsidRPr="00F25CE6" w:rsidRDefault="00AD557C" w:rsidP="00AD557C">
            <w:pPr>
              <w:pStyle w:val="TableParagraph"/>
              <w:autoSpaceDE/>
              <w:autoSpaceDN/>
              <w:ind w:left="29" w:right="29"/>
              <w:rPr>
                <w:rFonts w:asciiTheme="majorBidi" w:hAnsiTheme="majorBidi" w:cstheme="majorBidi"/>
              </w:rPr>
            </w:pPr>
          </w:p>
        </w:tc>
        <w:tc>
          <w:tcPr>
            <w:tcW w:w="1650" w:type="dxa"/>
            <w:tcBorders>
              <w:bottom w:val="nil"/>
            </w:tcBorders>
          </w:tcPr>
          <w:p w14:paraId="34442FBB"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1" w:type="dxa"/>
            <w:tcBorders>
              <w:bottom w:val="nil"/>
            </w:tcBorders>
          </w:tcPr>
          <w:p w14:paraId="36E7F5FF"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7BD5020A"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35BC21A2" w14:textId="77777777" w:rsidR="00AD557C" w:rsidRPr="00F25CE6" w:rsidRDefault="00AD557C" w:rsidP="00AD557C">
            <w:pPr>
              <w:pStyle w:val="TableParagraph"/>
              <w:autoSpaceDE/>
              <w:autoSpaceDN/>
              <w:ind w:left="29" w:right="29"/>
              <w:jc w:val="center"/>
              <w:rPr>
                <w:rFonts w:asciiTheme="majorBidi" w:hAnsiTheme="majorBidi" w:cstheme="majorBidi"/>
              </w:rPr>
            </w:pPr>
          </w:p>
        </w:tc>
      </w:tr>
      <w:tr w:rsidR="00AF7ABC" w:rsidRPr="00F25CE6" w14:paraId="072CFFCA" w14:textId="77777777" w:rsidTr="00AD557C">
        <w:trPr>
          <w:trHeight w:val="20"/>
        </w:trPr>
        <w:tc>
          <w:tcPr>
            <w:tcW w:w="1952" w:type="dxa"/>
            <w:tcBorders>
              <w:bottom w:val="nil"/>
            </w:tcBorders>
          </w:tcPr>
          <w:p w14:paraId="2F235937" w14:textId="77777777" w:rsidR="00AD557C"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Prethodno</w:t>
            </w:r>
            <w:r w:rsidR="00AD557C">
              <w:rPr>
                <w:rFonts w:asciiTheme="majorBidi" w:hAnsiTheme="majorBidi" w:cstheme="majorBidi"/>
              </w:rPr>
              <w:t xml:space="preserve"> </w:t>
            </w:r>
            <w:r w:rsidR="00AD557C" w:rsidRPr="00F25CE6">
              <w:rPr>
                <w:rFonts w:asciiTheme="majorBidi" w:hAnsiTheme="majorBidi" w:cstheme="majorBidi"/>
              </w:rPr>
              <w:t>liječenje</w:t>
            </w:r>
            <w:r w:rsidR="00AD557C">
              <w:rPr>
                <w:rFonts w:asciiTheme="majorBidi" w:hAnsiTheme="majorBidi" w:cstheme="majorBidi"/>
              </w:rPr>
              <w:t xml:space="preserve"> </w:t>
            </w:r>
            <w:r w:rsidR="00AD557C" w:rsidRPr="00F25CE6">
              <w:rPr>
                <w:rFonts w:asciiTheme="majorBidi" w:hAnsiTheme="majorBidi" w:cstheme="majorBidi"/>
              </w:rPr>
              <w:t>imatinibom</w:t>
            </w:r>
          </w:p>
          <w:p w14:paraId="7A225B48" w14:textId="04A7E838"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(N = 46)</w:t>
            </w:r>
            <w:r w:rsidRPr="00F25CE6">
              <w:rPr>
                <w:rFonts w:asciiTheme="majorBidi" w:hAnsiTheme="majorBidi" w:cstheme="majorBidi"/>
                <w:vertAlign w:val="superscript"/>
              </w:rPr>
              <w:t>b</w:t>
            </w:r>
          </w:p>
        </w:tc>
        <w:tc>
          <w:tcPr>
            <w:tcW w:w="1650" w:type="dxa"/>
            <w:tcBorders>
              <w:bottom w:val="nil"/>
            </w:tcBorders>
          </w:tcPr>
          <w:p w14:paraId="1314E43A"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60,9%</w:t>
            </w:r>
          </w:p>
          <w:p w14:paraId="23843D58"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(45,4; 74,9)</w:t>
            </w:r>
          </w:p>
        </w:tc>
        <w:tc>
          <w:tcPr>
            <w:tcW w:w="1801" w:type="dxa"/>
            <w:tcBorders>
              <w:bottom w:val="nil"/>
            </w:tcBorders>
          </w:tcPr>
          <w:p w14:paraId="23321C42"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82,6%</w:t>
            </w:r>
          </w:p>
          <w:p w14:paraId="5472C7CC"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(68,6; 92,2)</w:t>
            </w:r>
          </w:p>
        </w:tc>
        <w:tc>
          <w:tcPr>
            <w:tcW w:w="1803" w:type="dxa"/>
            <w:tcBorders>
              <w:bottom w:val="nil"/>
            </w:tcBorders>
          </w:tcPr>
          <w:p w14:paraId="5267C350"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89,1%</w:t>
            </w:r>
          </w:p>
          <w:p w14:paraId="71BCA49C"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(76,4; 96,4)</w:t>
            </w:r>
          </w:p>
        </w:tc>
        <w:tc>
          <w:tcPr>
            <w:tcW w:w="1803" w:type="dxa"/>
            <w:tcBorders>
              <w:bottom w:val="nil"/>
            </w:tcBorders>
          </w:tcPr>
          <w:p w14:paraId="6D03D8A0"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89,1%</w:t>
            </w:r>
          </w:p>
          <w:p w14:paraId="479A57F4"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(76,4; 96,4)</w:t>
            </w:r>
          </w:p>
        </w:tc>
      </w:tr>
      <w:tr w:rsidR="00AD557C" w:rsidRPr="00F25CE6" w14:paraId="466D5564" w14:textId="77777777" w:rsidTr="00AD557C">
        <w:trPr>
          <w:trHeight w:val="20"/>
        </w:trPr>
        <w:tc>
          <w:tcPr>
            <w:tcW w:w="1952" w:type="dxa"/>
            <w:tcBorders>
              <w:bottom w:val="nil"/>
            </w:tcBorders>
          </w:tcPr>
          <w:p w14:paraId="645D9B2F" w14:textId="77777777" w:rsidR="00AD557C" w:rsidRPr="00F25CE6" w:rsidRDefault="00AD557C" w:rsidP="00AD557C">
            <w:pPr>
              <w:pStyle w:val="TableParagraph"/>
              <w:autoSpaceDE/>
              <w:autoSpaceDN/>
              <w:ind w:left="29" w:right="29"/>
              <w:rPr>
                <w:rFonts w:asciiTheme="majorBidi" w:hAnsiTheme="majorBidi" w:cstheme="majorBidi"/>
              </w:rPr>
            </w:pPr>
          </w:p>
        </w:tc>
        <w:tc>
          <w:tcPr>
            <w:tcW w:w="1650" w:type="dxa"/>
            <w:tcBorders>
              <w:bottom w:val="nil"/>
            </w:tcBorders>
          </w:tcPr>
          <w:p w14:paraId="761739C1"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1" w:type="dxa"/>
            <w:tcBorders>
              <w:bottom w:val="nil"/>
            </w:tcBorders>
          </w:tcPr>
          <w:p w14:paraId="740F9F97"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166A5513"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Borders>
              <w:bottom w:val="nil"/>
            </w:tcBorders>
          </w:tcPr>
          <w:p w14:paraId="084E7F11" w14:textId="77777777" w:rsidR="00AD557C" w:rsidRPr="00F25CE6" w:rsidRDefault="00AD557C" w:rsidP="00AD557C">
            <w:pPr>
              <w:pStyle w:val="TableParagraph"/>
              <w:autoSpaceDE/>
              <w:autoSpaceDN/>
              <w:ind w:left="29" w:right="29"/>
              <w:jc w:val="center"/>
              <w:rPr>
                <w:rFonts w:asciiTheme="majorBidi" w:hAnsiTheme="majorBidi" w:cstheme="majorBidi"/>
              </w:rPr>
            </w:pPr>
          </w:p>
        </w:tc>
      </w:tr>
      <w:tr w:rsidR="00AF7ABC" w:rsidRPr="00F25CE6" w14:paraId="2B859B80" w14:textId="77777777" w:rsidTr="00AD557C">
        <w:trPr>
          <w:trHeight w:val="20"/>
        </w:trPr>
        <w:tc>
          <w:tcPr>
            <w:tcW w:w="1952" w:type="dxa"/>
          </w:tcPr>
          <w:p w14:paraId="6B71A93A" w14:textId="77777777" w:rsidR="00AF7ABC" w:rsidRPr="00F25CE6" w:rsidRDefault="00422138"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MMR</w:t>
            </w:r>
          </w:p>
        </w:tc>
        <w:tc>
          <w:tcPr>
            <w:tcW w:w="1650" w:type="dxa"/>
          </w:tcPr>
          <w:p w14:paraId="0276165A"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1" w:type="dxa"/>
          </w:tcPr>
          <w:p w14:paraId="07442CFA"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5D7E21BA"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4AE0C22A" w14:textId="77777777" w:rsidR="00AF7ABC" w:rsidRPr="00F25CE6" w:rsidRDefault="00AF7ABC" w:rsidP="00AD557C">
            <w:pPr>
              <w:pStyle w:val="TableParagraph"/>
              <w:autoSpaceDE/>
              <w:autoSpaceDN/>
              <w:ind w:left="29" w:right="29"/>
              <w:jc w:val="center"/>
              <w:rPr>
                <w:rFonts w:asciiTheme="majorBidi" w:hAnsiTheme="majorBidi" w:cstheme="majorBidi"/>
              </w:rPr>
            </w:pPr>
          </w:p>
        </w:tc>
      </w:tr>
      <w:tr w:rsidR="00AF7ABC" w:rsidRPr="00F25CE6" w14:paraId="7D3CDA6B" w14:textId="77777777" w:rsidTr="00AD557C">
        <w:trPr>
          <w:trHeight w:val="20"/>
        </w:trPr>
        <w:tc>
          <w:tcPr>
            <w:tcW w:w="1952" w:type="dxa"/>
          </w:tcPr>
          <w:p w14:paraId="3FAB59F6" w14:textId="77777777" w:rsidR="00AF7ABC" w:rsidRPr="00F25CE6" w:rsidRDefault="00422138" w:rsidP="00AD557C">
            <w:pPr>
              <w:pStyle w:val="TableParagraph"/>
              <w:autoSpaceDE/>
              <w:autoSpaceDN/>
              <w:ind w:left="29" w:right="29"/>
              <w:rPr>
                <w:rFonts w:asciiTheme="majorBidi" w:hAnsiTheme="majorBidi" w:cstheme="majorBidi"/>
                <w:b/>
              </w:rPr>
            </w:pPr>
            <w:r w:rsidRPr="00F25CE6">
              <w:rPr>
                <w:rFonts w:asciiTheme="majorBidi" w:hAnsiTheme="majorBidi" w:cstheme="majorBidi"/>
                <w:b/>
              </w:rPr>
              <w:t>(95% CI)</w:t>
            </w:r>
          </w:p>
        </w:tc>
        <w:tc>
          <w:tcPr>
            <w:tcW w:w="1650" w:type="dxa"/>
          </w:tcPr>
          <w:p w14:paraId="2BA711C1"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1" w:type="dxa"/>
          </w:tcPr>
          <w:p w14:paraId="4360D55B"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74E5DF65" w14:textId="77777777" w:rsidR="00AF7ABC" w:rsidRPr="00F25CE6" w:rsidRDefault="00AF7ABC" w:rsidP="00AD557C">
            <w:pPr>
              <w:pStyle w:val="TableParagraph"/>
              <w:autoSpaceDE/>
              <w:autoSpaceDN/>
              <w:ind w:left="29" w:right="29"/>
              <w:jc w:val="center"/>
              <w:rPr>
                <w:rFonts w:asciiTheme="majorBidi" w:hAnsiTheme="majorBidi" w:cstheme="majorBidi"/>
              </w:rPr>
            </w:pPr>
          </w:p>
        </w:tc>
        <w:tc>
          <w:tcPr>
            <w:tcW w:w="1803" w:type="dxa"/>
          </w:tcPr>
          <w:p w14:paraId="31B80FA4" w14:textId="77777777" w:rsidR="00AF7ABC" w:rsidRPr="00F25CE6" w:rsidRDefault="00AF7ABC" w:rsidP="00AD557C">
            <w:pPr>
              <w:pStyle w:val="TableParagraph"/>
              <w:autoSpaceDE/>
              <w:autoSpaceDN/>
              <w:ind w:left="29" w:right="29"/>
              <w:jc w:val="center"/>
              <w:rPr>
                <w:rFonts w:asciiTheme="majorBidi" w:hAnsiTheme="majorBidi" w:cstheme="majorBidi"/>
              </w:rPr>
            </w:pPr>
          </w:p>
        </w:tc>
      </w:tr>
      <w:tr w:rsidR="00AF7ABC" w:rsidRPr="00F25CE6" w14:paraId="3EC8B363" w14:textId="77777777" w:rsidTr="00AD557C">
        <w:trPr>
          <w:trHeight w:val="20"/>
        </w:trPr>
        <w:tc>
          <w:tcPr>
            <w:tcW w:w="1952" w:type="dxa"/>
          </w:tcPr>
          <w:p w14:paraId="229444E4" w14:textId="77777777" w:rsidR="00AD557C"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Novodijagnosticira</w:t>
            </w:r>
            <w:r w:rsidR="00AD557C">
              <w:rPr>
                <w:rFonts w:asciiTheme="majorBidi" w:hAnsiTheme="majorBidi" w:cstheme="majorBidi"/>
              </w:rPr>
              <w:t xml:space="preserve"> </w:t>
            </w:r>
            <w:r w:rsidR="00AD557C" w:rsidRPr="00F25CE6">
              <w:rPr>
                <w:rFonts w:asciiTheme="majorBidi" w:hAnsiTheme="majorBidi" w:cstheme="majorBidi"/>
              </w:rPr>
              <w:t>na bolest</w:t>
            </w:r>
          </w:p>
          <w:p w14:paraId="2D23A8C9" w14:textId="145A914A"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(N = 51)</w:t>
            </w:r>
            <w:r w:rsidRPr="00F25CE6">
              <w:rPr>
                <w:rFonts w:asciiTheme="majorBidi" w:hAnsiTheme="majorBidi" w:cstheme="majorBidi"/>
                <w:vertAlign w:val="superscript"/>
              </w:rPr>
              <w:t>a</w:t>
            </w:r>
          </w:p>
        </w:tc>
        <w:tc>
          <w:tcPr>
            <w:tcW w:w="1650" w:type="dxa"/>
          </w:tcPr>
          <w:p w14:paraId="4C0EE536"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7,8%</w:t>
            </w:r>
          </w:p>
          <w:p w14:paraId="727C1950"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(2,2; 18,9)</w:t>
            </w:r>
          </w:p>
        </w:tc>
        <w:tc>
          <w:tcPr>
            <w:tcW w:w="1801" w:type="dxa"/>
          </w:tcPr>
          <w:p w14:paraId="1DE403F5"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31,4%</w:t>
            </w:r>
          </w:p>
          <w:p w14:paraId="4F788513"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(19,1; 45,9)</w:t>
            </w:r>
          </w:p>
        </w:tc>
        <w:tc>
          <w:tcPr>
            <w:tcW w:w="1803" w:type="dxa"/>
          </w:tcPr>
          <w:p w14:paraId="5D961725"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56,9%</w:t>
            </w:r>
          </w:p>
          <w:p w14:paraId="6202E033"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(42,2; 70,7)</w:t>
            </w:r>
          </w:p>
        </w:tc>
        <w:tc>
          <w:tcPr>
            <w:tcW w:w="1803" w:type="dxa"/>
          </w:tcPr>
          <w:p w14:paraId="235FE4BD"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74,5%</w:t>
            </w:r>
          </w:p>
          <w:p w14:paraId="30D6E2D4"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(60,4; 85,7)</w:t>
            </w:r>
          </w:p>
        </w:tc>
      </w:tr>
      <w:tr w:rsidR="00AD557C" w:rsidRPr="00F25CE6" w14:paraId="587B3A5B" w14:textId="77777777" w:rsidTr="00AD557C">
        <w:trPr>
          <w:trHeight w:val="20"/>
        </w:trPr>
        <w:tc>
          <w:tcPr>
            <w:tcW w:w="1952" w:type="dxa"/>
          </w:tcPr>
          <w:p w14:paraId="3496A4AC" w14:textId="77777777" w:rsidR="00AD557C" w:rsidRPr="00F25CE6" w:rsidRDefault="00AD557C" w:rsidP="00AD557C">
            <w:pPr>
              <w:pStyle w:val="TableParagraph"/>
              <w:autoSpaceDE/>
              <w:autoSpaceDN/>
              <w:ind w:left="29" w:right="29"/>
              <w:rPr>
                <w:rFonts w:asciiTheme="majorBidi" w:hAnsiTheme="majorBidi" w:cstheme="majorBidi"/>
              </w:rPr>
            </w:pPr>
          </w:p>
        </w:tc>
        <w:tc>
          <w:tcPr>
            <w:tcW w:w="1650" w:type="dxa"/>
          </w:tcPr>
          <w:p w14:paraId="12382DCF"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1" w:type="dxa"/>
          </w:tcPr>
          <w:p w14:paraId="10421114"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Pr>
          <w:p w14:paraId="5195EC8E" w14:textId="77777777" w:rsidR="00AD557C" w:rsidRPr="00F25CE6" w:rsidRDefault="00AD557C" w:rsidP="00AD557C">
            <w:pPr>
              <w:pStyle w:val="TableParagraph"/>
              <w:autoSpaceDE/>
              <w:autoSpaceDN/>
              <w:ind w:left="29" w:right="29"/>
              <w:jc w:val="center"/>
              <w:rPr>
                <w:rFonts w:asciiTheme="majorBidi" w:hAnsiTheme="majorBidi" w:cstheme="majorBidi"/>
              </w:rPr>
            </w:pPr>
          </w:p>
        </w:tc>
        <w:tc>
          <w:tcPr>
            <w:tcW w:w="1803" w:type="dxa"/>
          </w:tcPr>
          <w:p w14:paraId="7FA0D794" w14:textId="77777777" w:rsidR="00AD557C" w:rsidRPr="00F25CE6" w:rsidRDefault="00AD557C" w:rsidP="00AD557C">
            <w:pPr>
              <w:pStyle w:val="TableParagraph"/>
              <w:autoSpaceDE/>
              <w:autoSpaceDN/>
              <w:ind w:left="29" w:right="29"/>
              <w:jc w:val="center"/>
              <w:rPr>
                <w:rFonts w:asciiTheme="majorBidi" w:hAnsiTheme="majorBidi" w:cstheme="majorBidi"/>
              </w:rPr>
            </w:pPr>
          </w:p>
        </w:tc>
      </w:tr>
      <w:tr w:rsidR="00AF7ABC" w:rsidRPr="00F25CE6" w14:paraId="0AD47634" w14:textId="77777777" w:rsidTr="00AD557C">
        <w:trPr>
          <w:trHeight w:val="20"/>
        </w:trPr>
        <w:tc>
          <w:tcPr>
            <w:tcW w:w="1952" w:type="dxa"/>
            <w:tcBorders>
              <w:bottom w:val="single" w:sz="4" w:space="0" w:color="auto"/>
            </w:tcBorders>
          </w:tcPr>
          <w:p w14:paraId="0A7A9CFD" w14:textId="77777777" w:rsidR="00AD557C" w:rsidRPr="00F25CE6" w:rsidRDefault="00422138" w:rsidP="00AD557C">
            <w:pPr>
              <w:pStyle w:val="TableParagraph"/>
              <w:autoSpaceDE/>
              <w:autoSpaceDN/>
              <w:ind w:left="29" w:right="29"/>
              <w:rPr>
                <w:rFonts w:asciiTheme="majorBidi" w:hAnsiTheme="majorBidi" w:cstheme="majorBidi"/>
              </w:rPr>
            </w:pPr>
            <w:r w:rsidRPr="00F25CE6">
              <w:rPr>
                <w:rFonts w:asciiTheme="majorBidi" w:hAnsiTheme="majorBidi" w:cstheme="majorBidi"/>
              </w:rPr>
              <w:t>Prethodno</w:t>
            </w:r>
            <w:r w:rsidR="00AD557C">
              <w:rPr>
                <w:rFonts w:asciiTheme="majorBidi" w:hAnsiTheme="majorBidi" w:cstheme="majorBidi"/>
              </w:rPr>
              <w:t xml:space="preserve"> </w:t>
            </w:r>
            <w:r w:rsidR="00AD557C" w:rsidRPr="00F25CE6">
              <w:rPr>
                <w:rFonts w:asciiTheme="majorBidi" w:hAnsiTheme="majorBidi" w:cstheme="majorBidi"/>
              </w:rPr>
              <w:t>liječenje</w:t>
            </w:r>
            <w:r w:rsidR="00AD557C">
              <w:rPr>
                <w:rFonts w:asciiTheme="majorBidi" w:hAnsiTheme="majorBidi" w:cstheme="majorBidi"/>
              </w:rPr>
              <w:t xml:space="preserve"> </w:t>
            </w:r>
            <w:r w:rsidR="00AD557C" w:rsidRPr="00F25CE6">
              <w:rPr>
                <w:rFonts w:asciiTheme="majorBidi" w:hAnsiTheme="majorBidi" w:cstheme="majorBidi"/>
              </w:rPr>
              <w:t>imatinibom</w:t>
            </w:r>
          </w:p>
          <w:p w14:paraId="1CE546EA" w14:textId="4C0B6EDB" w:rsidR="00AF7ABC" w:rsidRPr="00F25CE6" w:rsidRDefault="00AD557C" w:rsidP="006268ED">
            <w:pPr>
              <w:pStyle w:val="TableParagraph"/>
              <w:autoSpaceDE/>
              <w:autoSpaceDN/>
              <w:ind w:left="29" w:right="29"/>
              <w:rPr>
                <w:rFonts w:asciiTheme="majorBidi" w:hAnsiTheme="majorBidi" w:cstheme="majorBidi"/>
              </w:rPr>
            </w:pPr>
            <w:r w:rsidRPr="00F25CE6">
              <w:rPr>
                <w:rFonts w:asciiTheme="majorBidi" w:hAnsiTheme="majorBidi" w:cstheme="majorBidi"/>
              </w:rPr>
              <w:t>(N = 46)</w:t>
            </w:r>
            <w:r w:rsidR="00E05E61" w:rsidRPr="00F25CE6">
              <w:rPr>
                <w:rFonts w:asciiTheme="majorBidi" w:hAnsiTheme="majorBidi" w:cstheme="majorBidi"/>
                <w:vertAlign w:val="superscript"/>
              </w:rPr>
              <w:t xml:space="preserve"> b</w:t>
            </w:r>
            <w:r w:rsidR="00E05E61" w:rsidRPr="00F25CE6" w:rsidDel="00E05E61">
              <w:rPr>
                <w:rFonts w:asciiTheme="majorBidi" w:hAnsiTheme="majorBidi" w:cstheme="majorBidi"/>
              </w:rPr>
              <w:t xml:space="preserve"> </w:t>
            </w:r>
          </w:p>
        </w:tc>
        <w:tc>
          <w:tcPr>
            <w:tcW w:w="1650" w:type="dxa"/>
            <w:tcBorders>
              <w:bottom w:val="single" w:sz="4" w:space="0" w:color="auto"/>
            </w:tcBorders>
          </w:tcPr>
          <w:p w14:paraId="22DE50E8"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15,2%</w:t>
            </w:r>
          </w:p>
          <w:p w14:paraId="45D29C36"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(6,3; 28,9)</w:t>
            </w:r>
          </w:p>
        </w:tc>
        <w:tc>
          <w:tcPr>
            <w:tcW w:w="1801" w:type="dxa"/>
            <w:tcBorders>
              <w:bottom w:val="single" w:sz="4" w:space="0" w:color="auto"/>
            </w:tcBorders>
          </w:tcPr>
          <w:p w14:paraId="3BBFABD8"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26,1%</w:t>
            </w:r>
          </w:p>
          <w:p w14:paraId="43304A58"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(14,3; 41,1)</w:t>
            </w:r>
          </w:p>
        </w:tc>
        <w:tc>
          <w:tcPr>
            <w:tcW w:w="1803" w:type="dxa"/>
            <w:tcBorders>
              <w:bottom w:val="single" w:sz="4" w:space="0" w:color="auto"/>
            </w:tcBorders>
          </w:tcPr>
          <w:p w14:paraId="2EA0F9BF"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39,1%</w:t>
            </w:r>
          </w:p>
          <w:p w14:paraId="7099DDD0"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(25,1; 54,6)</w:t>
            </w:r>
          </w:p>
        </w:tc>
        <w:tc>
          <w:tcPr>
            <w:tcW w:w="1803" w:type="dxa"/>
            <w:tcBorders>
              <w:bottom w:val="single" w:sz="4" w:space="0" w:color="auto"/>
            </w:tcBorders>
          </w:tcPr>
          <w:p w14:paraId="59DF7510" w14:textId="77777777" w:rsidR="00AD557C" w:rsidRPr="00F25CE6" w:rsidRDefault="00422138"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52,2%</w:t>
            </w:r>
          </w:p>
          <w:p w14:paraId="6C9AD46E" w14:textId="77777777" w:rsidR="00AF7ABC" w:rsidRPr="00F25CE6" w:rsidRDefault="00AD557C" w:rsidP="00AD557C">
            <w:pPr>
              <w:pStyle w:val="TableParagraph"/>
              <w:autoSpaceDE/>
              <w:autoSpaceDN/>
              <w:ind w:left="29" w:right="29"/>
              <w:jc w:val="center"/>
              <w:rPr>
                <w:rFonts w:asciiTheme="majorBidi" w:hAnsiTheme="majorBidi" w:cstheme="majorBidi"/>
              </w:rPr>
            </w:pPr>
            <w:r w:rsidRPr="00F25CE6">
              <w:rPr>
                <w:rFonts w:asciiTheme="majorBidi" w:hAnsiTheme="majorBidi" w:cstheme="majorBidi"/>
              </w:rPr>
              <w:t>(36,9; 67,1)</w:t>
            </w:r>
          </w:p>
        </w:tc>
      </w:tr>
    </w:tbl>
    <w:p w14:paraId="13C74E48" w14:textId="0A5347A3" w:rsidR="00AF7ABC" w:rsidRPr="00F25CE6" w:rsidRDefault="00422138" w:rsidP="00612D2B">
      <w:pPr>
        <w:pStyle w:val="Footnote"/>
        <w:ind w:left="0" w:firstLine="0"/>
      </w:pPr>
      <w:r w:rsidRPr="00AD557C">
        <w:rPr>
          <w:vertAlign w:val="superscript"/>
        </w:rPr>
        <w:t>a</w:t>
      </w:r>
      <w:r w:rsidR="00803F2C">
        <w:t xml:space="preserve"> </w:t>
      </w:r>
      <w:r w:rsidRPr="00F25CE6">
        <w:t>Bolesnici s novodijagnosticiranim KML</w:t>
      </w:r>
      <w:r w:rsidR="001F5D94">
        <w:t>-om</w:t>
      </w:r>
      <w:r w:rsidRPr="00F25CE6">
        <w:t xml:space="preserve"> u kroničnoj fazi iz pedijatrijskog ispitivanja faze II koji su primali lijek peroralno u obliku tablete</w:t>
      </w:r>
    </w:p>
    <w:p w14:paraId="6012EC22" w14:textId="4409922C" w:rsidR="00AF7ABC" w:rsidRPr="00F25CE6" w:rsidRDefault="00422138" w:rsidP="00612D2B">
      <w:pPr>
        <w:pStyle w:val="Footnote"/>
        <w:ind w:left="0" w:firstLine="0"/>
      </w:pPr>
      <w:r w:rsidRPr="00AD557C">
        <w:rPr>
          <w:vertAlign w:val="superscript"/>
        </w:rPr>
        <w:t>b</w:t>
      </w:r>
      <w:r w:rsidR="00803F2C">
        <w:t xml:space="preserve"> </w:t>
      </w:r>
      <w:r w:rsidRPr="00F25CE6">
        <w:t>Bolesnici s KML</w:t>
      </w:r>
      <w:r w:rsidR="001F5D94">
        <w:t>-om</w:t>
      </w:r>
      <w:r w:rsidRPr="00F25CE6">
        <w:t xml:space="preserve"> u kroničnoj fazi iz pedijatrijskih ispitivanja faze I i faze II koji su bili otporni na liječenje imatinibom ili ga nisu podnosili, a primali su lijek peroralno u obliku tablete</w:t>
      </w:r>
    </w:p>
    <w:p w14:paraId="50F9B53C" w14:textId="77777777" w:rsidR="00AF7ABC" w:rsidRPr="00F25CE6" w:rsidRDefault="00AF7ABC" w:rsidP="00F25CE6">
      <w:pPr>
        <w:pStyle w:val="BodyText"/>
        <w:widowControl/>
        <w:rPr>
          <w:rFonts w:asciiTheme="majorBidi" w:hAnsiTheme="majorBidi" w:cstheme="majorBidi"/>
          <w:szCs w:val="22"/>
        </w:rPr>
      </w:pPr>
    </w:p>
    <w:p w14:paraId="16AA9352" w14:textId="7368D452"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Nakon minimalno 7 godina praćenja u pedijatrijskom ispitivanju faze I, medijan trajanja PFS</w:t>
      </w:r>
      <w:r w:rsidR="006268ED">
        <w:rPr>
          <w:rFonts w:asciiTheme="majorBidi" w:hAnsiTheme="majorBidi" w:cstheme="majorBidi"/>
          <w:szCs w:val="22"/>
        </w:rPr>
        <w:t>-a</w:t>
      </w:r>
      <w:r w:rsidRPr="00F25CE6">
        <w:rPr>
          <w:rFonts w:asciiTheme="majorBidi" w:hAnsiTheme="majorBidi" w:cstheme="majorBidi"/>
          <w:szCs w:val="22"/>
        </w:rPr>
        <w:t xml:space="preserve"> među 17 bolesnika s KML</w:t>
      </w:r>
      <w:r w:rsidR="00CC6970">
        <w:rPr>
          <w:rFonts w:asciiTheme="majorBidi" w:hAnsiTheme="majorBidi" w:cstheme="majorBidi"/>
          <w:szCs w:val="22"/>
        </w:rPr>
        <w:t>-om</w:t>
      </w:r>
      <w:r w:rsidRPr="00F25CE6">
        <w:rPr>
          <w:rFonts w:asciiTheme="majorBidi" w:hAnsiTheme="majorBidi" w:cstheme="majorBidi"/>
          <w:szCs w:val="22"/>
        </w:rPr>
        <w:t xml:space="preserve"> u kroničnoj fazi koji su bili otporni na imatinib ili ga nisu podnosili iznosio je 53,6 mjeseci, dok je stopa OS</w:t>
      </w:r>
      <w:r w:rsidR="00CC6970">
        <w:rPr>
          <w:rFonts w:asciiTheme="majorBidi" w:hAnsiTheme="majorBidi" w:cstheme="majorBidi"/>
          <w:szCs w:val="22"/>
        </w:rPr>
        <w:t>-a</w:t>
      </w:r>
      <w:r w:rsidRPr="00F25CE6">
        <w:rPr>
          <w:rFonts w:asciiTheme="majorBidi" w:hAnsiTheme="majorBidi" w:cstheme="majorBidi"/>
          <w:szCs w:val="22"/>
        </w:rPr>
        <w:t xml:space="preserve"> iznosila 82,4%.</w:t>
      </w:r>
    </w:p>
    <w:p w14:paraId="28E26012" w14:textId="77777777" w:rsidR="00AF7ABC" w:rsidRPr="00F25CE6" w:rsidRDefault="00AF7ABC" w:rsidP="00F25CE6">
      <w:pPr>
        <w:pStyle w:val="BodyText"/>
        <w:widowControl/>
        <w:rPr>
          <w:rFonts w:asciiTheme="majorBidi" w:hAnsiTheme="majorBidi" w:cstheme="majorBidi"/>
          <w:szCs w:val="22"/>
        </w:rPr>
      </w:pPr>
    </w:p>
    <w:p w14:paraId="0F8C5D9F" w14:textId="6CA5B9A9"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U bolesnika koji su primali lijek u obliku tableta u pedijatrijskom ispitivanju faze II, procijenjena 24-mjesečna stopa PFS</w:t>
      </w:r>
      <w:r w:rsidR="00CC6970">
        <w:rPr>
          <w:rFonts w:asciiTheme="majorBidi" w:hAnsiTheme="majorBidi" w:cstheme="majorBidi"/>
          <w:szCs w:val="22"/>
        </w:rPr>
        <w:t>-a</w:t>
      </w:r>
      <w:r w:rsidRPr="00F25CE6">
        <w:rPr>
          <w:rFonts w:asciiTheme="majorBidi" w:hAnsiTheme="majorBidi" w:cstheme="majorBidi"/>
          <w:szCs w:val="22"/>
        </w:rPr>
        <w:t xml:space="preserve"> u 51 bolesnika s novodijagnosticiranim KML</w:t>
      </w:r>
      <w:r w:rsidR="00CC6970">
        <w:rPr>
          <w:rFonts w:asciiTheme="majorBidi" w:hAnsiTheme="majorBidi" w:cstheme="majorBidi"/>
          <w:szCs w:val="22"/>
        </w:rPr>
        <w:t>-om</w:t>
      </w:r>
      <w:r w:rsidRPr="00F25CE6">
        <w:rPr>
          <w:rFonts w:asciiTheme="majorBidi" w:hAnsiTheme="majorBidi" w:cstheme="majorBidi"/>
          <w:szCs w:val="22"/>
        </w:rPr>
        <w:t xml:space="preserve"> u kroničnoj fazi iznosila je</w:t>
      </w:r>
      <w:r w:rsidR="00AD557C">
        <w:rPr>
          <w:rFonts w:asciiTheme="majorBidi" w:hAnsiTheme="majorBidi" w:cstheme="majorBidi"/>
          <w:szCs w:val="22"/>
        </w:rPr>
        <w:t xml:space="preserve"> </w:t>
      </w:r>
      <w:r w:rsidRPr="00F25CE6">
        <w:rPr>
          <w:rFonts w:asciiTheme="majorBidi" w:hAnsiTheme="majorBidi" w:cstheme="majorBidi"/>
          <w:szCs w:val="22"/>
        </w:rPr>
        <w:t>94,0% (82,6; 98,0), dok je u 29 bolesnika s KML</w:t>
      </w:r>
      <w:r w:rsidR="00CC6970">
        <w:rPr>
          <w:rFonts w:asciiTheme="majorBidi" w:hAnsiTheme="majorBidi" w:cstheme="majorBidi"/>
          <w:szCs w:val="22"/>
        </w:rPr>
        <w:t>-om</w:t>
      </w:r>
      <w:r w:rsidRPr="00F25CE6">
        <w:rPr>
          <w:rFonts w:asciiTheme="majorBidi" w:hAnsiTheme="majorBidi" w:cstheme="majorBidi"/>
          <w:szCs w:val="22"/>
        </w:rPr>
        <w:t xml:space="preserve"> u kroničnoj fazi koji su bili otporni na imatinib ili ga nisu podnosili ta stopa iznosila 81,7% (61,4; 92,0). Nakon 24 mjeseca praćenja, OS je iznosio 100% u bolesnika s novodijagnosticiranom bolešću i 96,6% u onih koji su bili otporni na imatinib ili ga nisu podnosili.</w:t>
      </w:r>
    </w:p>
    <w:p w14:paraId="16F05064" w14:textId="5979EB60"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pedijatrijskom ispitivanju faze II, u 1 bolesnika s novodijagnosticiranom bolešću i 2 bolesnika koja su bila otporna na imatinib ili ga nisu podnosila došlo je do progresije KML</w:t>
      </w:r>
      <w:r w:rsidR="001F5D94">
        <w:rPr>
          <w:rFonts w:asciiTheme="majorBidi" w:hAnsiTheme="majorBidi" w:cstheme="majorBidi"/>
          <w:szCs w:val="22"/>
        </w:rPr>
        <w:t>-a</w:t>
      </w:r>
      <w:r w:rsidRPr="00F25CE6">
        <w:rPr>
          <w:rFonts w:asciiTheme="majorBidi" w:hAnsiTheme="majorBidi" w:cstheme="majorBidi"/>
          <w:szCs w:val="22"/>
        </w:rPr>
        <w:t xml:space="preserve"> do faze blastne krize.</w:t>
      </w:r>
    </w:p>
    <w:p w14:paraId="1C48C593" w14:textId="77777777" w:rsidR="00AF7ABC" w:rsidRPr="00F25CE6" w:rsidRDefault="00AF7ABC" w:rsidP="00F25CE6">
      <w:pPr>
        <w:pStyle w:val="BodyText"/>
        <w:widowControl/>
        <w:rPr>
          <w:rFonts w:asciiTheme="majorBidi" w:hAnsiTheme="majorBidi" w:cstheme="majorBidi"/>
          <w:szCs w:val="22"/>
        </w:rPr>
      </w:pPr>
    </w:p>
    <w:p w14:paraId="2ED0698D" w14:textId="159C3751"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Bila su 33 pedijatrijska bolesnika s novodijagnosticiranim KML</w:t>
      </w:r>
      <w:r w:rsidR="00CC6970">
        <w:rPr>
          <w:rFonts w:asciiTheme="majorBidi" w:hAnsiTheme="majorBidi" w:cstheme="majorBidi"/>
          <w:szCs w:val="22"/>
        </w:rPr>
        <w:t>-om</w:t>
      </w:r>
      <w:r w:rsidRPr="00F25CE6">
        <w:rPr>
          <w:rFonts w:asciiTheme="majorBidi" w:hAnsiTheme="majorBidi" w:cstheme="majorBidi"/>
          <w:szCs w:val="22"/>
        </w:rPr>
        <w:t xml:space="preserve"> u kroničnoj fazi koja su primala </w:t>
      </w:r>
      <w:r w:rsidR="001811F2">
        <w:rPr>
          <w:rFonts w:asciiTheme="majorBidi" w:hAnsiTheme="majorBidi" w:cstheme="majorBidi"/>
          <w:szCs w:val="22"/>
        </w:rPr>
        <w:t>d</w:t>
      </w:r>
      <w:r w:rsidR="00064F60">
        <w:rPr>
          <w:rFonts w:asciiTheme="majorBidi" w:hAnsiTheme="majorBidi" w:cstheme="majorBidi"/>
          <w:szCs w:val="22"/>
        </w:rPr>
        <w:t xml:space="preserve">asatinib </w:t>
      </w:r>
      <w:r w:rsidRPr="00F25CE6">
        <w:rPr>
          <w:rFonts w:asciiTheme="majorBidi" w:hAnsiTheme="majorBidi" w:cstheme="majorBidi"/>
          <w:szCs w:val="22"/>
        </w:rPr>
        <w:t>prašak za oralnu suspenziju u dozi od 72 mg/m</w:t>
      </w:r>
      <w:r w:rsidRPr="00F25CE6">
        <w:rPr>
          <w:rFonts w:asciiTheme="majorBidi" w:hAnsiTheme="majorBidi" w:cstheme="majorBidi"/>
          <w:szCs w:val="22"/>
          <w:vertAlign w:val="superscript"/>
        </w:rPr>
        <w:t>2</w:t>
      </w:r>
      <w:r w:rsidRPr="00F25CE6">
        <w:rPr>
          <w:rFonts w:asciiTheme="majorBidi" w:hAnsiTheme="majorBidi" w:cstheme="majorBidi"/>
          <w:szCs w:val="22"/>
        </w:rPr>
        <w:t>. Uz tu je dozu postignuta 30% manja izloženost od one koja se postiže uz preporučenu dozu. U tih je bolesnika CCyR nakon 12 mjeseci iznosio 87,9% [95% CI: (71,8</w:t>
      </w:r>
      <w:r w:rsidR="000D27A5" w:rsidRPr="007C5A7B">
        <w:rPr>
          <w:rFonts w:asciiTheme="majorBidi" w:hAnsiTheme="majorBidi" w:cstheme="majorBidi"/>
          <w:szCs w:val="22"/>
        </w:rPr>
        <w:t xml:space="preserve"> </w:t>
      </w:r>
      <w:r w:rsidR="000D27A5" w:rsidRPr="009474C0">
        <w:rPr>
          <w:szCs w:val="22"/>
        </w:rPr>
        <w:t>– </w:t>
      </w:r>
      <w:r w:rsidRPr="00F25CE6">
        <w:rPr>
          <w:rFonts w:asciiTheme="majorBidi" w:hAnsiTheme="majorBidi" w:cstheme="majorBidi"/>
          <w:szCs w:val="22"/>
        </w:rPr>
        <w:t>96,6)], a MMR 45,5% [95% CI: (28,1</w:t>
      </w:r>
      <w:r w:rsidR="000D27A5" w:rsidRPr="007C5A7B">
        <w:rPr>
          <w:rFonts w:asciiTheme="majorBidi" w:hAnsiTheme="majorBidi" w:cstheme="majorBidi"/>
          <w:szCs w:val="22"/>
        </w:rPr>
        <w:t xml:space="preserve"> </w:t>
      </w:r>
      <w:r w:rsidR="000D27A5" w:rsidRPr="009474C0">
        <w:rPr>
          <w:szCs w:val="22"/>
        </w:rPr>
        <w:t>– </w:t>
      </w:r>
      <w:r w:rsidRPr="00F25CE6">
        <w:rPr>
          <w:rFonts w:asciiTheme="majorBidi" w:hAnsiTheme="majorBidi" w:cstheme="majorBidi"/>
          <w:szCs w:val="22"/>
        </w:rPr>
        <w:t>63,6)].</w:t>
      </w:r>
    </w:p>
    <w:p w14:paraId="0C6E1533" w14:textId="77777777" w:rsidR="00AF7ABC" w:rsidRPr="00F25CE6" w:rsidRDefault="00AF7ABC" w:rsidP="00F25CE6">
      <w:pPr>
        <w:pStyle w:val="BodyText"/>
        <w:widowControl/>
        <w:rPr>
          <w:rFonts w:asciiTheme="majorBidi" w:hAnsiTheme="majorBidi" w:cstheme="majorBidi"/>
          <w:szCs w:val="22"/>
        </w:rPr>
      </w:pPr>
    </w:p>
    <w:p w14:paraId="76300A3C" w14:textId="5BD9E64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Među pedijatrijskim bolesnicima s KML</w:t>
      </w:r>
      <w:r w:rsidR="00CC6970">
        <w:rPr>
          <w:rFonts w:asciiTheme="majorBidi" w:hAnsiTheme="majorBidi" w:cstheme="majorBidi"/>
          <w:szCs w:val="22"/>
        </w:rPr>
        <w:t>-om</w:t>
      </w:r>
      <w:r w:rsidRPr="00F25CE6">
        <w:rPr>
          <w:rFonts w:asciiTheme="majorBidi" w:hAnsiTheme="majorBidi" w:cstheme="majorBidi"/>
          <w:szCs w:val="22"/>
        </w:rPr>
        <w:t xml:space="preserve"> u kroničnoj fazi liječenima dasatinibom koji su prethodno bili izloženi imatinibu, na kraju razdoblja liječenja utvrđene su sljedeće mutacije: T315A, </w:t>
      </w:r>
      <w:r w:rsidRPr="00F25CE6">
        <w:rPr>
          <w:rFonts w:asciiTheme="majorBidi" w:hAnsiTheme="majorBidi" w:cstheme="majorBidi"/>
          <w:szCs w:val="22"/>
        </w:rPr>
        <w:lastRenderedPageBreak/>
        <w:t>E255K i F317L. Međutim, mutacije E255K i F317L pronađene su i prije liječenja. Među bolesnicima s novodijagnosticiranim KML</w:t>
      </w:r>
      <w:r w:rsidR="00CC6970">
        <w:rPr>
          <w:rFonts w:asciiTheme="majorBidi" w:hAnsiTheme="majorBidi" w:cstheme="majorBidi"/>
          <w:szCs w:val="22"/>
        </w:rPr>
        <w:t>-om</w:t>
      </w:r>
      <w:r w:rsidRPr="00F25CE6">
        <w:rPr>
          <w:rFonts w:asciiTheme="majorBidi" w:hAnsiTheme="majorBidi" w:cstheme="majorBidi"/>
          <w:szCs w:val="22"/>
        </w:rPr>
        <w:t xml:space="preserve"> u kroničnoj fazi nisu pronađene nikakve mutacije na kraju razdoblja liječenja.</w:t>
      </w:r>
    </w:p>
    <w:p w14:paraId="2C058F4B" w14:textId="77777777" w:rsidR="00AF7ABC" w:rsidRPr="00F25CE6" w:rsidRDefault="00AF7ABC" w:rsidP="00F25CE6">
      <w:pPr>
        <w:pStyle w:val="BodyText"/>
        <w:widowControl/>
        <w:rPr>
          <w:rFonts w:asciiTheme="majorBidi" w:hAnsiTheme="majorBidi" w:cstheme="majorBidi"/>
          <w:szCs w:val="22"/>
        </w:rPr>
      </w:pPr>
    </w:p>
    <w:p w14:paraId="6C56EE82" w14:textId="520EA56A" w:rsidR="00AF7ABC" w:rsidRPr="00F25CE6" w:rsidRDefault="00422138" w:rsidP="00F25CE6">
      <w:pPr>
        <w:widowControl/>
        <w:rPr>
          <w:rFonts w:asciiTheme="majorBidi" w:hAnsiTheme="majorBidi" w:cstheme="majorBidi"/>
          <w:i/>
        </w:rPr>
      </w:pPr>
      <w:r w:rsidRPr="00F25CE6">
        <w:rPr>
          <w:rFonts w:asciiTheme="majorBidi" w:hAnsiTheme="majorBidi" w:cstheme="majorBidi"/>
          <w:i/>
          <w:u w:val="single"/>
        </w:rPr>
        <w:t>Pedijatrijski bolesnici s ALL</w:t>
      </w:r>
      <w:r w:rsidR="00CC6970">
        <w:rPr>
          <w:rFonts w:asciiTheme="majorBidi" w:hAnsiTheme="majorBidi" w:cstheme="majorBidi"/>
          <w:i/>
          <w:u w:val="single"/>
        </w:rPr>
        <w:t>-om</w:t>
      </w:r>
    </w:p>
    <w:p w14:paraId="5E08EF41" w14:textId="28B3325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Djelotvornost </w:t>
      </w:r>
      <w:r w:rsidR="004A75D0">
        <w:rPr>
          <w:rFonts w:asciiTheme="majorBidi" w:hAnsiTheme="majorBidi" w:cstheme="majorBidi"/>
          <w:szCs w:val="22"/>
        </w:rPr>
        <w:t>dasatiniba</w:t>
      </w:r>
      <w:r w:rsidRPr="00F25CE6">
        <w:rPr>
          <w:rFonts w:asciiTheme="majorBidi" w:hAnsiTheme="majorBidi" w:cstheme="majorBidi"/>
          <w:szCs w:val="22"/>
        </w:rPr>
        <w:t xml:space="preserve"> u kombinaciji s kemoterapijom ocjenjivala se u pivotalnom ispitivanju provedenom u pedijatrijskih bolesnika starijih od godinu dana s novodijagnosticiranim Ph+ ALL</w:t>
      </w:r>
      <w:r w:rsidR="00446CFB">
        <w:rPr>
          <w:rFonts w:asciiTheme="majorBidi" w:hAnsiTheme="majorBidi" w:cstheme="majorBidi"/>
          <w:szCs w:val="22"/>
        </w:rPr>
        <w:t>-om</w:t>
      </w:r>
      <w:r w:rsidRPr="00F25CE6">
        <w:rPr>
          <w:rFonts w:asciiTheme="majorBidi" w:hAnsiTheme="majorBidi" w:cstheme="majorBidi"/>
          <w:szCs w:val="22"/>
        </w:rPr>
        <w:t>.</w:t>
      </w:r>
    </w:p>
    <w:p w14:paraId="17CF7E89" w14:textId="77777777" w:rsidR="00AF7ABC" w:rsidRPr="00F25CE6" w:rsidRDefault="00AF7ABC" w:rsidP="00F25CE6">
      <w:pPr>
        <w:pStyle w:val="BodyText"/>
        <w:widowControl/>
        <w:rPr>
          <w:rFonts w:asciiTheme="majorBidi" w:hAnsiTheme="majorBidi" w:cstheme="majorBidi"/>
          <w:szCs w:val="22"/>
        </w:rPr>
      </w:pPr>
    </w:p>
    <w:p w14:paraId="0E361328" w14:textId="627CDC64"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tom multicentričnom ispitivanju faze II kontroliranom podacima iz prethodnih ispitivanja, u kojem se ispitivao dasatinib kao dodatak standardnoj kemoterapiji, 106 pedijatrijskih bolesnika s novodijagnosticiranim Ph+ ALL</w:t>
      </w:r>
      <w:r w:rsidR="00446CFB">
        <w:rPr>
          <w:rFonts w:asciiTheme="majorBidi" w:hAnsiTheme="majorBidi" w:cstheme="majorBidi"/>
          <w:szCs w:val="22"/>
        </w:rPr>
        <w:t>-om</w:t>
      </w:r>
      <w:r w:rsidRPr="00F25CE6">
        <w:rPr>
          <w:rFonts w:asciiTheme="majorBidi" w:hAnsiTheme="majorBidi" w:cstheme="majorBidi"/>
          <w:szCs w:val="22"/>
        </w:rPr>
        <w:t>, od kojih su njih 104 imala potvrđen Ph+ ALL, primalo je dasatinib u dnevnoj dozi od 60 mg/m</w:t>
      </w:r>
      <w:r w:rsidRPr="00F25CE6">
        <w:rPr>
          <w:rFonts w:asciiTheme="majorBidi" w:hAnsiTheme="majorBidi" w:cstheme="majorBidi"/>
          <w:szCs w:val="22"/>
          <w:vertAlign w:val="superscript"/>
        </w:rPr>
        <w:t>2</w:t>
      </w:r>
      <w:r w:rsidRPr="00F25CE6">
        <w:rPr>
          <w:rFonts w:asciiTheme="majorBidi" w:hAnsiTheme="majorBidi" w:cstheme="majorBidi"/>
          <w:szCs w:val="22"/>
        </w:rPr>
        <w:t xml:space="preserve"> prema režimu kontinuirane primjene tijekom najviše 24 mjeseca, u kombinaciji s kemoterapijom. Osamdeset i dva bolesnika primala su isključivo tablete dasatiniba, dok su 24 bolesnika primila dasatinib u obliku praška za oralnu suspenziju najmanje jedanput, a njih 8 primalo je dasatinib isključivo u obliku praška za oralnu suspenziju. Osnovni kemoterapijski režim bio je jednak onom koji se primjenjivao u ispitivanju AIEOP-BFM ALL 2000 (standardni kemoterapijski protokol sastavljen od više lijekova). Primarna mjera ishoda za djelotvornost bilo je 3 godišnje preživljenje bez događaja (</w:t>
      </w:r>
      <w:r w:rsidR="00451231">
        <w:rPr>
          <w:rFonts w:asciiTheme="majorBidi" w:hAnsiTheme="majorBidi" w:cstheme="majorBidi"/>
          <w:szCs w:val="22"/>
        </w:rPr>
        <w:t xml:space="preserve">engl. </w:t>
      </w:r>
      <w:r w:rsidR="00451231" w:rsidRPr="00EE0579">
        <w:rPr>
          <w:i/>
          <w:noProof/>
          <w:szCs w:val="22"/>
        </w:rPr>
        <w:t>event-free survival</w:t>
      </w:r>
      <w:r w:rsidR="00451231">
        <w:rPr>
          <w:rFonts w:asciiTheme="majorBidi" w:hAnsiTheme="majorBidi" w:cstheme="majorBidi"/>
          <w:szCs w:val="22"/>
        </w:rPr>
        <w:t xml:space="preserve">, </w:t>
      </w:r>
      <w:r w:rsidRPr="00F25CE6">
        <w:rPr>
          <w:rFonts w:asciiTheme="majorBidi" w:hAnsiTheme="majorBidi" w:cstheme="majorBidi"/>
          <w:szCs w:val="22"/>
        </w:rPr>
        <w:t>EFS), čija je stopa iznosila 65,5% (55,5; 73,7).</w:t>
      </w:r>
    </w:p>
    <w:p w14:paraId="4B89A0A6" w14:textId="77777777" w:rsidR="00AF7ABC" w:rsidRPr="00F25CE6" w:rsidRDefault="00AF7ABC" w:rsidP="00F25CE6">
      <w:pPr>
        <w:pStyle w:val="BodyText"/>
        <w:widowControl/>
        <w:rPr>
          <w:rFonts w:asciiTheme="majorBidi" w:hAnsiTheme="majorBidi" w:cstheme="majorBidi"/>
          <w:szCs w:val="22"/>
        </w:rPr>
      </w:pPr>
    </w:p>
    <w:p w14:paraId="79E4E63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Stopa negativnih nalaza na minimalnu rezidualnu bolest (engl. </w:t>
      </w:r>
      <w:r w:rsidRPr="00F25CE6">
        <w:rPr>
          <w:rFonts w:asciiTheme="majorBidi" w:hAnsiTheme="majorBidi" w:cstheme="majorBidi"/>
          <w:i/>
          <w:szCs w:val="22"/>
        </w:rPr>
        <w:t>minimal residual disease</w:t>
      </w:r>
      <w:r w:rsidRPr="00F25CE6">
        <w:rPr>
          <w:rFonts w:asciiTheme="majorBidi" w:hAnsiTheme="majorBidi" w:cstheme="majorBidi"/>
          <w:szCs w:val="22"/>
        </w:rPr>
        <w:t>, MRD), utvrđena prema prerazmještaju baza u genu za Ig/TCR do kraja konsolidacije, iznosila je 71,7% u svih liječenih bolesnika. Kad se ta stopa izračunavala na temelju 85 bolesnika u kojih su se mogli ocijeniti podaci za Ig/TCR, procijenjena je na 89,4%. Stopa negativnih nalaza na MRD na kraju indukcije i konsolidacije izmjerena protočnom citometrijom iznosila je 66,0% odnosno 84,0%.</w:t>
      </w:r>
    </w:p>
    <w:p w14:paraId="5D605A4A" w14:textId="77777777" w:rsidR="00AF7ABC" w:rsidRPr="00F25CE6" w:rsidRDefault="00AF7ABC" w:rsidP="00F25CE6">
      <w:pPr>
        <w:pStyle w:val="BodyText"/>
        <w:widowControl/>
        <w:rPr>
          <w:rFonts w:asciiTheme="majorBidi" w:hAnsiTheme="majorBidi" w:cstheme="majorBidi"/>
          <w:szCs w:val="22"/>
        </w:rPr>
      </w:pPr>
    </w:p>
    <w:p w14:paraId="5474BD65" w14:textId="77777777" w:rsidR="00AF7ABC" w:rsidRPr="00F25CE6" w:rsidRDefault="00422138" w:rsidP="00396A82">
      <w:pPr>
        <w:pStyle w:val="Heading2"/>
      </w:pPr>
      <w:r w:rsidRPr="00F25CE6">
        <w:t>Farmakokinetička svojstva</w:t>
      </w:r>
    </w:p>
    <w:p w14:paraId="1D92B6D7" w14:textId="77777777" w:rsidR="00396A82" w:rsidRDefault="00396A82" w:rsidP="00AD557C">
      <w:pPr>
        <w:pStyle w:val="BodyText"/>
        <w:widowControl/>
        <w:rPr>
          <w:rFonts w:asciiTheme="majorBidi" w:hAnsiTheme="majorBidi" w:cstheme="majorBidi"/>
          <w:szCs w:val="22"/>
        </w:rPr>
      </w:pPr>
    </w:p>
    <w:p w14:paraId="207D2635" w14:textId="77777777" w:rsidR="00AD557C"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Farmakokinetika dasatiniba ispitana je u 229 zdravih odraslih ispitanika i 84 bolesnika.</w:t>
      </w:r>
    </w:p>
    <w:p w14:paraId="7C2F7965" w14:textId="77777777" w:rsidR="00AD557C" w:rsidRDefault="00AD557C" w:rsidP="00AD557C">
      <w:pPr>
        <w:pStyle w:val="BodyText"/>
        <w:widowControl/>
        <w:rPr>
          <w:rFonts w:asciiTheme="majorBidi" w:hAnsiTheme="majorBidi" w:cstheme="majorBidi"/>
          <w:szCs w:val="22"/>
        </w:rPr>
      </w:pPr>
    </w:p>
    <w:p w14:paraId="44511618" w14:textId="77777777"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u w:val="single"/>
        </w:rPr>
        <w:t>Apsorpcija</w:t>
      </w:r>
    </w:p>
    <w:p w14:paraId="75C9810A" w14:textId="76D6ECA0"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Dasatinib se brzo apsorbira u bolesnika nakon peroralne primjene, a vršnu koncentraciju postiže</w:t>
      </w:r>
      <w:r w:rsidR="00AD557C">
        <w:rPr>
          <w:rFonts w:asciiTheme="majorBidi" w:hAnsiTheme="majorBidi" w:cstheme="majorBidi"/>
          <w:szCs w:val="22"/>
        </w:rPr>
        <w:t xml:space="preserve"> </w:t>
      </w:r>
      <w:r w:rsidRPr="00F25CE6">
        <w:rPr>
          <w:rFonts w:asciiTheme="majorBidi" w:hAnsiTheme="majorBidi" w:cstheme="majorBidi"/>
          <w:szCs w:val="22"/>
        </w:rPr>
        <w:t>između 0,5</w:t>
      </w:r>
      <w:r w:rsidR="00F735D9">
        <w:rPr>
          <w:rFonts w:asciiTheme="majorBidi" w:hAnsiTheme="majorBidi" w:cstheme="majorBidi"/>
          <w:szCs w:val="22"/>
        </w:rPr>
        <w:t xml:space="preserve"> </w:t>
      </w:r>
      <w:r w:rsidR="00F735D9" w:rsidRPr="009474C0">
        <w:rPr>
          <w:szCs w:val="22"/>
        </w:rPr>
        <w:t>–</w:t>
      </w:r>
      <w:r w:rsidR="00F735D9">
        <w:rPr>
          <w:szCs w:val="22"/>
        </w:rPr>
        <w:t xml:space="preserve"> </w:t>
      </w:r>
      <w:r w:rsidRPr="00F25CE6">
        <w:rPr>
          <w:rFonts w:asciiTheme="majorBidi" w:hAnsiTheme="majorBidi" w:cstheme="majorBidi"/>
          <w:szCs w:val="22"/>
        </w:rPr>
        <w:t>3 sata. Nakon peroralne primjene, povećanje prosječne izloženosti (AUC</w:t>
      </w:r>
      <w:r w:rsidRPr="00F25CE6">
        <w:rPr>
          <w:rFonts w:asciiTheme="majorBidi" w:hAnsiTheme="majorBidi" w:cstheme="majorBidi"/>
          <w:szCs w:val="22"/>
          <w:vertAlign w:val="subscript"/>
        </w:rPr>
        <w:t>τ</w:t>
      </w:r>
      <w:r w:rsidRPr="00F25CE6">
        <w:rPr>
          <w:rFonts w:asciiTheme="majorBidi" w:hAnsiTheme="majorBidi" w:cstheme="majorBidi"/>
          <w:szCs w:val="22"/>
        </w:rPr>
        <w:t>) otprilike je proporcionalno povećanju doze u doznom rasponu od 25 mg do 120 mg dvaput dnevno. Ukupni prosječni terminalni poluvijek dasatiniba u bolesnika iznosi oko 5</w:t>
      </w:r>
      <w:r w:rsidR="00F735D9">
        <w:rPr>
          <w:rFonts w:asciiTheme="majorBidi" w:hAnsiTheme="majorBidi" w:cstheme="majorBidi"/>
          <w:szCs w:val="22"/>
        </w:rPr>
        <w:t xml:space="preserve"> </w:t>
      </w:r>
      <w:r w:rsidR="00F735D9" w:rsidRPr="009474C0">
        <w:rPr>
          <w:szCs w:val="22"/>
        </w:rPr>
        <w:t>–</w:t>
      </w:r>
      <w:r w:rsidR="00F735D9">
        <w:rPr>
          <w:szCs w:val="22"/>
        </w:rPr>
        <w:t xml:space="preserve"> </w:t>
      </w:r>
      <w:r w:rsidRPr="00F25CE6">
        <w:rPr>
          <w:rFonts w:asciiTheme="majorBidi" w:hAnsiTheme="majorBidi" w:cstheme="majorBidi"/>
          <w:szCs w:val="22"/>
        </w:rPr>
        <w:t>6 sati.</w:t>
      </w:r>
    </w:p>
    <w:p w14:paraId="4E68532B" w14:textId="77777777" w:rsidR="00AF7ABC" w:rsidRPr="00F25CE6" w:rsidRDefault="00AF7ABC" w:rsidP="00F25CE6">
      <w:pPr>
        <w:pStyle w:val="BodyText"/>
        <w:widowControl/>
        <w:rPr>
          <w:rFonts w:asciiTheme="majorBidi" w:hAnsiTheme="majorBidi" w:cstheme="majorBidi"/>
          <w:szCs w:val="22"/>
        </w:rPr>
      </w:pPr>
    </w:p>
    <w:p w14:paraId="134B8040" w14:textId="77777777" w:rsidR="00AF7ABC" w:rsidRPr="00F25CE6" w:rsidRDefault="00422138" w:rsidP="00AD557C">
      <w:pPr>
        <w:pStyle w:val="BodyText"/>
        <w:widowControl/>
        <w:rPr>
          <w:rFonts w:asciiTheme="majorBidi" w:hAnsiTheme="majorBidi" w:cstheme="majorBidi"/>
          <w:szCs w:val="22"/>
        </w:rPr>
      </w:pPr>
      <w:r w:rsidRPr="00F25CE6">
        <w:rPr>
          <w:rFonts w:asciiTheme="majorBidi" w:hAnsiTheme="majorBidi" w:cstheme="majorBidi"/>
          <w:szCs w:val="22"/>
        </w:rPr>
        <w:t>Podaci prikupljeni u zdravih ispitanika koji su primili pojedinačnu dozu dasatiniba od 100 mg 30 minuta nakon obroka bogatog masnoćama ukazuju na 14%-tno povećanje prosječne AUC</w:t>
      </w:r>
      <w:r w:rsidR="00AD557C">
        <w:rPr>
          <w:rFonts w:asciiTheme="majorBidi" w:hAnsiTheme="majorBidi" w:cstheme="majorBidi"/>
          <w:szCs w:val="22"/>
        </w:rPr>
        <w:t xml:space="preserve"> </w:t>
      </w:r>
      <w:r w:rsidRPr="00F25CE6">
        <w:rPr>
          <w:rFonts w:asciiTheme="majorBidi" w:hAnsiTheme="majorBidi" w:cstheme="majorBidi"/>
          <w:szCs w:val="22"/>
        </w:rPr>
        <w:t>dasatiniba. Obrok siromašan mastima 30 minuta prije primjene dasatiniba rezultirao je 21%-tnim povećanjem prosječne AUC dasatiniba. Opaženi utjecaji hrane ne izazivaju klinički važne promjene u izloženosti. Varijabilnost u izloženosti dasatinibu izraženija je nakon primjene natašte (47% CV) nego nakon primjene uz obrok s malim udjelom masnoća (39% CV) ili obrok bogat masnoćama (32% CV).</w:t>
      </w:r>
    </w:p>
    <w:p w14:paraId="5283D2BE" w14:textId="77777777" w:rsidR="00AF7ABC" w:rsidRPr="00F25CE6" w:rsidRDefault="00AF7ABC" w:rsidP="00F25CE6">
      <w:pPr>
        <w:pStyle w:val="BodyText"/>
        <w:widowControl/>
        <w:rPr>
          <w:rFonts w:asciiTheme="majorBidi" w:hAnsiTheme="majorBidi" w:cstheme="majorBidi"/>
          <w:szCs w:val="22"/>
        </w:rPr>
      </w:pPr>
    </w:p>
    <w:p w14:paraId="2638A56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Prema analizi populacijske farmakokinetike u populaciji bolesnika procijenjeno je da je varijabilnost u izloženosti dasatinibu prvenstveno posljedica intraindividualne varijabilnosti u bioraspoloživosti u pojedinim vremenskim točkama (44% CV) te u manjoj mjeri interindividualne varijabilnosti u bioraspoloživosti i interindividualne varijabilnosti u klirensu (30% odnosno 32% CV). Ne očekuje se da će ta nasumična intraindividualna varijabilnost u izloženosti u pojedinim vremenskim točkama utjecati na kumulativnu izloženost te djelotvornost ili sigurnost.</w:t>
      </w:r>
    </w:p>
    <w:p w14:paraId="662E4D36" w14:textId="77777777" w:rsidR="00AF7ABC" w:rsidRPr="00F25CE6" w:rsidRDefault="00AF7ABC" w:rsidP="00F25CE6">
      <w:pPr>
        <w:pStyle w:val="BodyText"/>
        <w:widowControl/>
        <w:rPr>
          <w:rFonts w:asciiTheme="majorBidi" w:hAnsiTheme="majorBidi" w:cstheme="majorBidi"/>
          <w:szCs w:val="22"/>
        </w:rPr>
      </w:pPr>
    </w:p>
    <w:p w14:paraId="195506E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Distribucija</w:t>
      </w:r>
    </w:p>
    <w:p w14:paraId="4BB74503" w14:textId="60876C93"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u bolesnika ima velik prividni volumen distribucije (2505 l) i koeficijent varijacije (CV% 93%), što ukazuje na to da se lijek široko raspodjeljuje u ekstravaskularnom prostoru. Na</w:t>
      </w:r>
      <w:r w:rsidR="00040B7B">
        <w:rPr>
          <w:rFonts w:asciiTheme="majorBidi" w:hAnsiTheme="majorBidi" w:cstheme="majorBidi"/>
          <w:szCs w:val="22"/>
        </w:rPr>
        <w:t xml:space="preserve"> </w:t>
      </w:r>
      <w:r w:rsidRPr="00F25CE6">
        <w:rPr>
          <w:rFonts w:asciiTheme="majorBidi" w:hAnsiTheme="majorBidi" w:cstheme="majorBidi"/>
          <w:szCs w:val="22"/>
        </w:rPr>
        <w:t xml:space="preserve">temelju </w:t>
      </w:r>
      <w:r w:rsidRPr="00F25CE6">
        <w:rPr>
          <w:rFonts w:asciiTheme="majorBidi" w:hAnsiTheme="majorBidi" w:cstheme="majorBidi"/>
          <w:i/>
          <w:szCs w:val="22"/>
        </w:rPr>
        <w:t xml:space="preserve">in vitro </w:t>
      </w:r>
      <w:r w:rsidRPr="00F25CE6">
        <w:rPr>
          <w:rFonts w:asciiTheme="majorBidi" w:hAnsiTheme="majorBidi" w:cstheme="majorBidi"/>
          <w:szCs w:val="22"/>
        </w:rPr>
        <w:t>ispitivanja, vezanje dasatiniba za proteine plazme pri klinički značajnim koncentracijama iznosilo je oko 96%.</w:t>
      </w:r>
    </w:p>
    <w:p w14:paraId="50DF5B4E" w14:textId="77777777" w:rsidR="00AF7ABC" w:rsidRPr="00F25CE6" w:rsidRDefault="00AF7ABC" w:rsidP="00F25CE6">
      <w:pPr>
        <w:pStyle w:val="BodyText"/>
        <w:widowControl/>
        <w:rPr>
          <w:rFonts w:asciiTheme="majorBidi" w:hAnsiTheme="majorBidi" w:cstheme="majorBidi"/>
          <w:szCs w:val="22"/>
        </w:rPr>
      </w:pPr>
    </w:p>
    <w:p w14:paraId="23BEA9A9"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Biotransformacija</w:t>
      </w:r>
    </w:p>
    <w:p w14:paraId="647F8891"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lastRenderedPageBreak/>
        <w:t>Dasatinib se u ljudi opsežno metabolizira, s mnogim enzimima uključenim u stvaranje njegovih metabolita. U zdravih ispitanika koji su primili 100 mg dasatiniba obilježenog izotopom ugljika [</w:t>
      </w:r>
      <w:r w:rsidRPr="00F25CE6">
        <w:rPr>
          <w:rFonts w:asciiTheme="majorBidi" w:hAnsiTheme="majorBidi" w:cstheme="majorBidi"/>
          <w:szCs w:val="22"/>
          <w:vertAlign w:val="superscript"/>
        </w:rPr>
        <w:t>14</w:t>
      </w:r>
      <w:r w:rsidRPr="00F25CE6">
        <w:rPr>
          <w:rFonts w:asciiTheme="majorBidi" w:hAnsiTheme="majorBidi" w:cstheme="majorBidi"/>
          <w:szCs w:val="22"/>
        </w:rPr>
        <w:t xml:space="preserve">C], neizmijenjen dasatinib činio je 29% cirkulirajuće radioaktivnosti u plazmi. Koncentracija u plazmi i aktivnost izmjerena </w:t>
      </w:r>
      <w:r w:rsidRPr="00F25CE6">
        <w:rPr>
          <w:rFonts w:asciiTheme="majorBidi" w:hAnsiTheme="majorBidi" w:cstheme="majorBidi"/>
          <w:i/>
          <w:szCs w:val="22"/>
        </w:rPr>
        <w:t xml:space="preserve">in vitro </w:t>
      </w:r>
      <w:r w:rsidRPr="00F25CE6">
        <w:rPr>
          <w:rFonts w:asciiTheme="majorBidi" w:hAnsiTheme="majorBidi" w:cstheme="majorBidi"/>
          <w:szCs w:val="22"/>
        </w:rPr>
        <w:t>pokazuju da metaboliti dasatiniba najvjerojatnije ne igraju veliku ulogu u opaženoj farmakologiji lijeka. CYP3A4 je glavni enzim za metabolizam dasatiniba.</w:t>
      </w:r>
    </w:p>
    <w:p w14:paraId="0BA70A28" w14:textId="77777777" w:rsidR="00AF7ABC" w:rsidRPr="00F25CE6" w:rsidRDefault="00AF7ABC" w:rsidP="00F25CE6">
      <w:pPr>
        <w:pStyle w:val="BodyText"/>
        <w:widowControl/>
        <w:rPr>
          <w:rFonts w:asciiTheme="majorBidi" w:hAnsiTheme="majorBidi" w:cstheme="majorBidi"/>
          <w:szCs w:val="22"/>
        </w:rPr>
      </w:pPr>
    </w:p>
    <w:p w14:paraId="223D4E17"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Eliminacija</w:t>
      </w:r>
    </w:p>
    <w:p w14:paraId="24E98C9E" w14:textId="77777777"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Srednja vrijednost terminalnog poluvremena eliminacije dasatiniba kreće se u rasponu od 3 sata do</w:t>
      </w:r>
      <w:r w:rsidR="00396A82">
        <w:rPr>
          <w:rFonts w:asciiTheme="majorBidi" w:hAnsiTheme="majorBidi" w:cstheme="majorBidi"/>
          <w:szCs w:val="22"/>
        </w:rPr>
        <w:t xml:space="preserve"> </w:t>
      </w:r>
      <w:r w:rsidRPr="00F25CE6">
        <w:rPr>
          <w:rFonts w:asciiTheme="majorBidi" w:hAnsiTheme="majorBidi" w:cstheme="majorBidi"/>
          <w:szCs w:val="22"/>
        </w:rPr>
        <w:t>5 sati. Srednja vrijednost prividnog klirensa nakon peroralne primjene iznosi 363,8 l/h (CV% 81,3%).</w:t>
      </w:r>
    </w:p>
    <w:p w14:paraId="2EC44F15" w14:textId="77777777" w:rsidR="00AF7ABC" w:rsidRPr="00F25CE6" w:rsidRDefault="00AF7ABC" w:rsidP="00F25CE6">
      <w:pPr>
        <w:pStyle w:val="BodyText"/>
        <w:widowControl/>
        <w:rPr>
          <w:rFonts w:asciiTheme="majorBidi" w:hAnsiTheme="majorBidi" w:cstheme="majorBidi"/>
          <w:szCs w:val="22"/>
        </w:rPr>
      </w:pPr>
    </w:p>
    <w:p w14:paraId="3C1AAF9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se pretežno eliminira putem stolice, uglavnom u obliku metabolita. Nakon peroralne primjene pojedinačne doze dasatiniba obilježenog sa [</w:t>
      </w:r>
      <w:r w:rsidRPr="00F25CE6">
        <w:rPr>
          <w:rFonts w:asciiTheme="majorBidi" w:hAnsiTheme="majorBidi" w:cstheme="majorBidi"/>
          <w:szCs w:val="22"/>
          <w:vertAlign w:val="superscript"/>
        </w:rPr>
        <w:t>14</w:t>
      </w:r>
      <w:r w:rsidRPr="00F25CE6">
        <w:rPr>
          <w:rFonts w:asciiTheme="majorBidi" w:hAnsiTheme="majorBidi" w:cstheme="majorBidi"/>
          <w:szCs w:val="22"/>
        </w:rPr>
        <w:t>C], oko 89% doze eliminiralo se u roku od 10 dana, s time da je 4% radioaktivnosti bilo otkriveno u mokraći, a 85% u stolici. Neizmijenjeni dasatinib činio je 0,1% doze u mokraći i 19% doze u stolici, dok su ostatak doze činili metaboliti.</w:t>
      </w:r>
    </w:p>
    <w:p w14:paraId="66D03C2E" w14:textId="77777777" w:rsidR="00AF7ABC" w:rsidRPr="00F25CE6" w:rsidRDefault="00AF7ABC" w:rsidP="00F25CE6">
      <w:pPr>
        <w:pStyle w:val="BodyText"/>
        <w:widowControl/>
        <w:rPr>
          <w:rFonts w:asciiTheme="majorBidi" w:hAnsiTheme="majorBidi" w:cstheme="majorBidi"/>
          <w:szCs w:val="22"/>
        </w:rPr>
      </w:pPr>
    </w:p>
    <w:p w14:paraId="5DA18D3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Oštećenje funkcije jetre i bubrega</w:t>
      </w:r>
    </w:p>
    <w:p w14:paraId="19B4903E" w14:textId="3F150F60"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Učinak na farmakokinetiku dasatiniba u jednostrukoj dozi procjenjivan je kod 8 bolesnika s umjerenim oštećenjem</w:t>
      </w:r>
      <w:r w:rsidR="00F735D9">
        <w:rPr>
          <w:rFonts w:asciiTheme="majorBidi" w:hAnsiTheme="majorBidi" w:cstheme="majorBidi"/>
          <w:szCs w:val="22"/>
        </w:rPr>
        <w:t xml:space="preserve"> funkcije</w:t>
      </w:r>
      <w:r w:rsidRPr="00F25CE6">
        <w:rPr>
          <w:rFonts w:asciiTheme="majorBidi" w:hAnsiTheme="majorBidi" w:cstheme="majorBidi"/>
          <w:szCs w:val="22"/>
        </w:rPr>
        <w:t xml:space="preserve"> jetre koji su primali dozu od 50 mg i 5 bolesnika sa teškim oštećenjem </w:t>
      </w:r>
      <w:r w:rsidR="00F735D9">
        <w:rPr>
          <w:rFonts w:asciiTheme="majorBidi" w:hAnsiTheme="majorBidi" w:cstheme="majorBidi"/>
          <w:szCs w:val="22"/>
        </w:rPr>
        <w:t xml:space="preserve">funkcije </w:t>
      </w:r>
      <w:r w:rsidRPr="00F25CE6">
        <w:rPr>
          <w:rFonts w:asciiTheme="majorBidi" w:hAnsiTheme="majorBidi" w:cstheme="majorBidi"/>
          <w:szCs w:val="22"/>
        </w:rPr>
        <w:t>jetre koji su primali dozu od 20 mg u odnosu na odgovarajuće zdrave ljude koji su primali dozu od 70 mg dasatiniba. Srednja vrijednost C</w:t>
      </w:r>
      <w:r w:rsidRPr="00F25CE6">
        <w:rPr>
          <w:rFonts w:asciiTheme="majorBidi" w:hAnsiTheme="majorBidi" w:cstheme="majorBidi"/>
          <w:szCs w:val="22"/>
          <w:vertAlign w:val="subscript"/>
        </w:rPr>
        <w:t xml:space="preserve">max </w:t>
      </w:r>
      <w:r w:rsidRPr="00F25CE6">
        <w:rPr>
          <w:rFonts w:asciiTheme="majorBidi" w:hAnsiTheme="majorBidi" w:cstheme="majorBidi"/>
          <w:szCs w:val="22"/>
        </w:rPr>
        <w:t>i AUC dasatiniba prilagođenu za dozu od 70 mg bila je smanjena za 47% kod bolesnika sa umjerenim oštećenjem</w:t>
      </w:r>
      <w:r w:rsidR="00F735D9">
        <w:rPr>
          <w:rFonts w:asciiTheme="majorBidi" w:hAnsiTheme="majorBidi" w:cstheme="majorBidi"/>
          <w:szCs w:val="22"/>
        </w:rPr>
        <w:t xml:space="preserve"> funkcije</w:t>
      </w:r>
      <w:r w:rsidRPr="00F25CE6">
        <w:rPr>
          <w:rFonts w:asciiTheme="majorBidi" w:hAnsiTheme="majorBidi" w:cstheme="majorBidi"/>
          <w:szCs w:val="22"/>
        </w:rPr>
        <w:t xml:space="preserve"> jetre u odnosu na 8% kod bolesnika sa normalnom jetrenom funkcijom. Kod bolesnika sa teškim oštećenjem </w:t>
      </w:r>
      <w:r w:rsidR="00F735D9">
        <w:rPr>
          <w:rFonts w:asciiTheme="majorBidi" w:hAnsiTheme="majorBidi" w:cstheme="majorBidi"/>
          <w:szCs w:val="22"/>
        </w:rPr>
        <w:t xml:space="preserve">funkcije </w:t>
      </w:r>
      <w:r w:rsidRPr="00F25CE6">
        <w:rPr>
          <w:rFonts w:asciiTheme="majorBidi" w:hAnsiTheme="majorBidi" w:cstheme="majorBidi"/>
          <w:szCs w:val="22"/>
        </w:rPr>
        <w:t>jetre, srednja vrijednost C</w:t>
      </w:r>
      <w:r w:rsidRPr="00F25CE6">
        <w:rPr>
          <w:rFonts w:asciiTheme="majorBidi" w:hAnsiTheme="majorBidi" w:cstheme="majorBidi"/>
          <w:szCs w:val="22"/>
          <w:vertAlign w:val="subscript"/>
        </w:rPr>
        <w:t xml:space="preserve">max </w:t>
      </w:r>
      <w:r w:rsidRPr="00F25CE6">
        <w:rPr>
          <w:rFonts w:asciiTheme="majorBidi" w:hAnsiTheme="majorBidi" w:cstheme="majorBidi"/>
          <w:szCs w:val="22"/>
        </w:rPr>
        <w:t>i AUC prilagođena dozi od 70 mg smanjena je za 43% u odnosu na bolesnike s normalnom funkcijom jetre, kod kojih je smanjenje bilo 28% (vidjeti dio 4.2. i 4.4.).</w:t>
      </w:r>
    </w:p>
    <w:p w14:paraId="3F0E52A5" w14:textId="77777777" w:rsidR="00396A82" w:rsidRDefault="00396A82" w:rsidP="00F25CE6">
      <w:pPr>
        <w:pStyle w:val="BodyText"/>
        <w:widowControl/>
        <w:rPr>
          <w:rFonts w:asciiTheme="majorBidi" w:hAnsiTheme="majorBidi" w:cstheme="majorBidi"/>
          <w:szCs w:val="22"/>
        </w:rPr>
      </w:pPr>
    </w:p>
    <w:p w14:paraId="23855FA8" w14:textId="77777777" w:rsidR="00396A82"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Dasatinib i njegovi metaboliti minimalno se izlučuju putem bubrega.</w:t>
      </w:r>
    </w:p>
    <w:p w14:paraId="4EB37018" w14:textId="77777777" w:rsidR="00396A82" w:rsidRDefault="00396A82" w:rsidP="00396A82">
      <w:pPr>
        <w:pStyle w:val="BodyText"/>
        <w:widowControl/>
        <w:rPr>
          <w:rFonts w:asciiTheme="majorBidi" w:hAnsiTheme="majorBidi" w:cstheme="majorBidi"/>
          <w:szCs w:val="22"/>
        </w:rPr>
      </w:pPr>
    </w:p>
    <w:p w14:paraId="54E02E2C" w14:textId="77777777"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u w:val="single"/>
        </w:rPr>
        <w:t>Pedijatrijska populacija</w:t>
      </w:r>
    </w:p>
    <w:p w14:paraId="37582594" w14:textId="2E409BCE"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Farmakokinetika dasatiniba ocjenjivala se u 104 pedijatrijska bolesnika s leukemijom ili solidnim</w:t>
      </w:r>
      <w:r w:rsidR="00396A82">
        <w:rPr>
          <w:rFonts w:asciiTheme="majorBidi" w:hAnsiTheme="majorBidi" w:cstheme="majorBidi"/>
          <w:szCs w:val="22"/>
        </w:rPr>
        <w:t xml:space="preserve"> </w:t>
      </w:r>
      <w:r w:rsidRPr="00F25CE6">
        <w:rPr>
          <w:rFonts w:asciiTheme="majorBidi" w:hAnsiTheme="majorBidi" w:cstheme="majorBidi"/>
          <w:szCs w:val="22"/>
        </w:rPr>
        <w:t xml:space="preserve">tumorima (72 su primala lijek u obliku tablete, a 32 </w:t>
      </w:r>
      <w:r w:rsidR="00F735D9">
        <w:rPr>
          <w:rFonts w:asciiTheme="majorBidi" w:hAnsiTheme="majorBidi" w:cstheme="majorBidi"/>
          <w:szCs w:val="22"/>
        </w:rPr>
        <w:t xml:space="preserve">u obliku </w:t>
      </w:r>
      <w:r w:rsidRPr="00F25CE6">
        <w:rPr>
          <w:rFonts w:asciiTheme="majorBidi" w:hAnsiTheme="majorBidi" w:cstheme="majorBidi"/>
          <w:szCs w:val="22"/>
        </w:rPr>
        <w:t>prašk</w:t>
      </w:r>
      <w:r w:rsidR="00F735D9">
        <w:rPr>
          <w:rFonts w:asciiTheme="majorBidi" w:hAnsiTheme="majorBidi" w:cstheme="majorBidi"/>
          <w:szCs w:val="22"/>
        </w:rPr>
        <w:t>a</w:t>
      </w:r>
      <w:r w:rsidRPr="00F25CE6">
        <w:rPr>
          <w:rFonts w:asciiTheme="majorBidi" w:hAnsiTheme="majorBidi" w:cstheme="majorBidi"/>
          <w:szCs w:val="22"/>
        </w:rPr>
        <w:t xml:space="preserve"> za oralnu suspenziju).</w:t>
      </w:r>
    </w:p>
    <w:p w14:paraId="4BA65F34" w14:textId="77777777" w:rsidR="00AF7ABC" w:rsidRPr="00F25CE6" w:rsidRDefault="00AF7ABC" w:rsidP="00F25CE6">
      <w:pPr>
        <w:pStyle w:val="BodyText"/>
        <w:widowControl/>
        <w:rPr>
          <w:rFonts w:asciiTheme="majorBidi" w:hAnsiTheme="majorBidi" w:cstheme="majorBidi"/>
          <w:szCs w:val="22"/>
        </w:rPr>
      </w:pPr>
    </w:p>
    <w:p w14:paraId="489F2FD2" w14:textId="4B51207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ispitivanju farmakokinetike u pedijatrijskih bolesnika izloženost dasatinibu normalizirana za dozu (C</w:t>
      </w:r>
      <w:r w:rsidRPr="00F25CE6">
        <w:rPr>
          <w:rFonts w:asciiTheme="majorBidi" w:hAnsiTheme="majorBidi" w:cstheme="majorBidi"/>
          <w:szCs w:val="22"/>
          <w:vertAlign w:val="subscript"/>
        </w:rPr>
        <w:t>avg</w:t>
      </w:r>
      <w:r w:rsidRPr="00F25CE6">
        <w:rPr>
          <w:rFonts w:asciiTheme="majorBidi" w:hAnsiTheme="majorBidi" w:cstheme="majorBidi"/>
          <w:szCs w:val="22"/>
        </w:rPr>
        <w:t>, C</w:t>
      </w:r>
      <w:r w:rsidRPr="00F25CE6">
        <w:rPr>
          <w:rFonts w:asciiTheme="majorBidi" w:hAnsiTheme="majorBidi" w:cstheme="majorBidi"/>
          <w:szCs w:val="22"/>
          <w:vertAlign w:val="subscript"/>
        </w:rPr>
        <w:t xml:space="preserve">min </w:t>
      </w:r>
      <w:r w:rsidRPr="00F25CE6">
        <w:rPr>
          <w:rFonts w:asciiTheme="majorBidi" w:hAnsiTheme="majorBidi" w:cstheme="majorBidi"/>
          <w:szCs w:val="22"/>
        </w:rPr>
        <w:t>i C</w:t>
      </w:r>
      <w:r w:rsidRPr="00F25CE6">
        <w:rPr>
          <w:rFonts w:asciiTheme="majorBidi" w:hAnsiTheme="majorBidi" w:cstheme="majorBidi"/>
          <w:szCs w:val="22"/>
          <w:vertAlign w:val="subscript"/>
        </w:rPr>
        <w:t>max</w:t>
      </w:r>
      <w:r w:rsidRPr="00F25CE6">
        <w:rPr>
          <w:rFonts w:asciiTheme="majorBidi" w:hAnsiTheme="majorBidi" w:cstheme="majorBidi"/>
          <w:szCs w:val="22"/>
        </w:rPr>
        <w:t>) činila se sličnom u 21 bolesnika s KML</w:t>
      </w:r>
      <w:r w:rsidR="001F5D94">
        <w:rPr>
          <w:rFonts w:asciiTheme="majorBidi" w:hAnsiTheme="majorBidi" w:cstheme="majorBidi"/>
          <w:szCs w:val="22"/>
        </w:rPr>
        <w:t>-om</w:t>
      </w:r>
      <w:r w:rsidRPr="00F25CE6">
        <w:rPr>
          <w:rFonts w:asciiTheme="majorBidi" w:hAnsiTheme="majorBidi" w:cstheme="majorBidi"/>
          <w:szCs w:val="22"/>
        </w:rPr>
        <w:t xml:space="preserve"> u kroničnoj fazi i 16 bolesnika s Ph+ ALL</w:t>
      </w:r>
      <w:r w:rsidR="001F5D94">
        <w:rPr>
          <w:rFonts w:asciiTheme="majorBidi" w:hAnsiTheme="majorBidi" w:cstheme="majorBidi"/>
          <w:szCs w:val="22"/>
        </w:rPr>
        <w:t>-om</w:t>
      </w:r>
      <w:r w:rsidRPr="00F25CE6">
        <w:rPr>
          <w:rFonts w:asciiTheme="majorBidi" w:hAnsiTheme="majorBidi" w:cstheme="majorBidi"/>
          <w:szCs w:val="22"/>
        </w:rPr>
        <w:t>.</w:t>
      </w:r>
    </w:p>
    <w:p w14:paraId="1DFA74A4" w14:textId="77777777" w:rsidR="00AF7ABC" w:rsidRPr="00F25CE6" w:rsidRDefault="00AF7ABC" w:rsidP="00F25CE6">
      <w:pPr>
        <w:pStyle w:val="BodyText"/>
        <w:widowControl/>
        <w:rPr>
          <w:rFonts w:asciiTheme="majorBidi" w:hAnsiTheme="majorBidi" w:cstheme="majorBidi"/>
          <w:szCs w:val="22"/>
        </w:rPr>
      </w:pPr>
    </w:p>
    <w:p w14:paraId="2C5979E4" w14:textId="05E1D26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Farmakokinetika dasatiniba u obliku tablete ocjenjivala se u 72 pedijatrijska bolesnika s relapsnom ili refraktornom leukemijom ili solidnim tumorima u peroralnim dozama u rasponu od 60 do 120 mg/m</w:t>
      </w:r>
      <w:r w:rsidRPr="00F25CE6">
        <w:rPr>
          <w:rFonts w:asciiTheme="majorBidi" w:hAnsiTheme="majorBidi" w:cstheme="majorBidi"/>
          <w:szCs w:val="22"/>
          <w:vertAlign w:val="superscript"/>
        </w:rPr>
        <w:t>2</w:t>
      </w:r>
      <w:r w:rsidRPr="00F25CE6">
        <w:rPr>
          <w:rFonts w:asciiTheme="majorBidi" w:hAnsiTheme="majorBidi" w:cstheme="majorBidi"/>
          <w:szCs w:val="22"/>
        </w:rPr>
        <w:t xml:space="preserve"> jedanput dnevno te od 50 do 110 mg/m</w:t>
      </w:r>
      <w:r w:rsidRPr="00F25CE6">
        <w:rPr>
          <w:rFonts w:asciiTheme="majorBidi" w:hAnsiTheme="majorBidi" w:cstheme="majorBidi"/>
          <w:szCs w:val="22"/>
          <w:vertAlign w:val="superscript"/>
        </w:rPr>
        <w:t>2</w:t>
      </w:r>
      <w:r w:rsidRPr="00F25CE6">
        <w:rPr>
          <w:rFonts w:asciiTheme="majorBidi" w:hAnsiTheme="majorBidi" w:cstheme="majorBidi"/>
          <w:szCs w:val="22"/>
        </w:rPr>
        <w:t xml:space="preserve"> dvaput dnevno. Podaci su objedinjeni iz dvaju ispitivanja, a pokazali su da se dasatinib brzo apsorbira. Srednja vrijednost T</w:t>
      </w:r>
      <w:r w:rsidRPr="00F25CE6">
        <w:rPr>
          <w:rFonts w:asciiTheme="majorBidi" w:hAnsiTheme="majorBidi" w:cstheme="majorBidi"/>
          <w:szCs w:val="22"/>
          <w:vertAlign w:val="subscript"/>
        </w:rPr>
        <w:t xml:space="preserve">max </w:t>
      </w:r>
      <w:r w:rsidRPr="00F25CE6">
        <w:rPr>
          <w:rFonts w:asciiTheme="majorBidi" w:hAnsiTheme="majorBidi" w:cstheme="majorBidi"/>
          <w:szCs w:val="22"/>
        </w:rPr>
        <w:t>opažena je između 0,5 i 6 sati nakon primjene, a srednja vrijednost poluvijeka kretala se od 2 do 5 sati kod svih razina doze i u svim dobnim skupinama. Farmakokinetika dasatiniba pokazala je proporcionalnost dozi, a u pedijatrijskih je bolesnika opaženo povećanje izloženosti povezano s dozom. Nije bilo značajne razlike u farmakokinetici dasatiniba između djece i adolescenata. Geometrijske srednje vrijednosti C</w:t>
      </w:r>
      <w:r w:rsidRPr="00F25CE6">
        <w:rPr>
          <w:rFonts w:asciiTheme="majorBidi" w:hAnsiTheme="majorBidi" w:cstheme="majorBidi"/>
          <w:szCs w:val="22"/>
          <w:vertAlign w:val="subscript"/>
        </w:rPr>
        <w:t>max</w:t>
      </w:r>
      <w:r w:rsidRPr="00F25CE6">
        <w:rPr>
          <w:rFonts w:asciiTheme="majorBidi" w:hAnsiTheme="majorBidi" w:cstheme="majorBidi"/>
          <w:szCs w:val="22"/>
        </w:rPr>
        <w:t>, AUC (0-T) i AUC (INF) dasatiniba normalizirane za dozu bile su slične u djece i adolescenata pri različitim razinama doze. Prema simulaciji utemeljenoj na populacijskom farmakokinetičkom modelu, očekuje se da će preporučeno doziranje tableta prema kategorijama tjelesne težine navedeno u dijelu 4.2 dovesti do slične izloženosti kao tablete u dozi od 60 mg/m</w:t>
      </w:r>
      <w:r w:rsidRPr="00F25CE6">
        <w:rPr>
          <w:rFonts w:asciiTheme="majorBidi" w:hAnsiTheme="majorBidi" w:cstheme="majorBidi"/>
          <w:szCs w:val="22"/>
          <w:vertAlign w:val="superscript"/>
        </w:rPr>
        <w:t>2</w:t>
      </w:r>
      <w:r w:rsidRPr="00F25CE6">
        <w:rPr>
          <w:rFonts w:asciiTheme="majorBidi" w:hAnsiTheme="majorBidi" w:cstheme="majorBidi"/>
          <w:szCs w:val="22"/>
        </w:rPr>
        <w:t>. Te podatke treba uzeti u obzir ako se bolesnike planira prebaciti s tableta na</w:t>
      </w:r>
      <w:r w:rsidR="00803F2C">
        <w:rPr>
          <w:rFonts w:asciiTheme="majorBidi" w:hAnsiTheme="majorBidi" w:cstheme="majorBidi"/>
          <w:szCs w:val="22"/>
        </w:rPr>
        <w:t xml:space="preserve"> </w:t>
      </w:r>
      <w:r w:rsidRPr="00F25CE6">
        <w:rPr>
          <w:rFonts w:asciiTheme="majorBidi" w:hAnsiTheme="majorBidi" w:cstheme="majorBidi"/>
          <w:szCs w:val="22"/>
        </w:rPr>
        <w:t>prašak za oralnu suspenziju ili obrnuto.</w:t>
      </w:r>
    </w:p>
    <w:p w14:paraId="7FA5F026" w14:textId="77777777" w:rsidR="00AF7ABC" w:rsidRPr="00F25CE6" w:rsidRDefault="00AF7ABC" w:rsidP="00F25CE6">
      <w:pPr>
        <w:pStyle w:val="BodyText"/>
        <w:widowControl/>
        <w:rPr>
          <w:rFonts w:asciiTheme="majorBidi" w:hAnsiTheme="majorBidi" w:cstheme="majorBidi"/>
          <w:szCs w:val="22"/>
        </w:rPr>
      </w:pPr>
    </w:p>
    <w:p w14:paraId="1BFAD738" w14:textId="77777777" w:rsidR="00AF7ABC" w:rsidRPr="00F25CE6" w:rsidRDefault="00422138" w:rsidP="00396A82">
      <w:pPr>
        <w:pStyle w:val="Heading2"/>
      </w:pPr>
      <w:r w:rsidRPr="00F25CE6">
        <w:t>Neklinički podaci o sigurnosti primjene</w:t>
      </w:r>
    </w:p>
    <w:p w14:paraId="011F4B1A" w14:textId="77777777" w:rsidR="00AF7ABC" w:rsidRPr="00F25CE6" w:rsidRDefault="00AF7ABC" w:rsidP="00F25CE6">
      <w:pPr>
        <w:pStyle w:val="BodyText"/>
        <w:widowControl/>
        <w:rPr>
          <w:rFonts w:asciiTheme="majorBidi" w:hAnsiTheme="majorBidi" w:cstheme="majorBidi"/>
          <w:b/>
          <w:szCs w:val="22"/>
        </w:rPr>
      </w:pPr>
    </w:p>
    <w:p w14:paraId="2890CA10"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Neklinički sigurnosni profil dasatiniba ocijenjen je u nizu ispitivanja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i </w:t>
      </w:r>
      <w:r w:rsidRPr="00F25CE6">
        <w:rPr>
          <w:rFonts w:asciiTheme="majorBidi" w:hAnsiTheme="majorBidi" w:cstheme="majorBidi"/>
          <w:i/>
          <w:szCs w:val="22"/>
        </w:rPr>
        <w:t xml:space="preserve">in vivo </w:t>
      </w:r>
      <w:r w:rsidRPr="00F25CE6">
        <w:rPr>
          <w:rFonts w:asciiTheme="majorBidi" w:hAnsiTheme="majorBidi" w:cstheme="majorBidi"/>
          <w:szCs w:val="22"/>
        </w:rPr>
        <w:t>u miševa, štakora, majmuna i kunića.</w:t>
      </w:r>
    </w:p>
    <w:p w14:paraId="55A48255" w14:textId="77777777" w:rsidR="00A15E8A" w:rsidRPr="00F25CE6" w:rsidRDefault="00A15E8A" w:rsidP="00F25CE6">
      <w:pPr>
        <w:widowControl/>
        <w:rPr>
          <w:rFonts w:asciiTheme="majorBidi" w:hAnsiTheme="majorBidi" w:cstheme="majorBidi"/>
        </w:rPr>
      </w:pPr>
    </w:p>
    <w:p w14:paraId="2328D6E7" w14:textId="77777777"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 xml:space="preserve">Primarni toksični učinci nastupili su u probavnom, hematopoetskom i limfnom sustavu. Toksični učinci na probavni sustav ograničavaju doziranje u štakora i majmuna, budući da je crijevo redovito bilo ciljni organ. U štakora su minimalna do umjerena smanjenja parametara eritrocita bila praćena </w:t>
      </w:r>
      <w:r w:rsidRPr="00F25CE6">
        <w:rPr>
          <w:rFonts w:asciiTheme="majorBidi" w:hAnsiTheme="majorBidi" w:cstheme="majorBidi"/>
          <w:szCs w:val="22"/>
        </w:rPr>
        <w:lastRenderedPageBreak/>
        <w:t>promjenama u koštanoj srži; slične promjene nastupile su u majmuna, ali uz nižu incidenciju.</w:t>
      </w:r>
      <w:r w:rsidR="00396A82">
        <w:rPr>
          <w:rFonts w:asciiTheme="majorBidi" w:hAnsiTheme="majorBidi" w:cstheme="majorBidi"/>
          <w:szCs w:val="22"/>
        </w:rPr>
        <w:t xml:space="preserve"> </w:t>
      </w:r>
      <w:r w:rsidRPr="00F25CE6">
        <w:rPr>
          <w:rFonts w:asciiTheme="majorBidi" w:hAnsiTheme="majorBidi" w:cstheme="majorBidi"/>
          <w:szCs w:val="22"/>
        </w:rPr>
        <w:t>Limfoidna toksičnost u štakora sastojala se od limfoidne deplecije u limfnim čvorovima, slezeni i timusu, te smanjene težine limfnih organa. Promjene u probavnom, hematopoetskom i limfnom sustavu bile su reverzibilne i povukle su se nakon prestanka liječenja.</w:t>
      </w:r>
    </w:p>
    <w:p w14:paraId="70C919CE" w14:textId="77777777" w:rsidR="00AF7ABC" w:rsidRPr="00F25CE6" w:rsidRDefault="00AF7ABC" w:rsidP="00F25CE6">
      <w:pPr>
        <w:pStyle w:val="BodyText"/>
        <w:widowControl/>
        <w:rPr>
          <w:rFonts w:asciiTheme="majorBidi" w:hAnsiTheme="majorBidi" w:cstheme="majorBidi"/>
          <w:szCs w:val="22"/>
        </w:rPr>
      </w:pPr>
    </w:p>
    <w:p w14:paraId="6DEFF562"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Bubrežne promjene u majmuna liječenih do 9 mjeseci bile su ograničene na porast pozadinske mineralizacije u bubrezima. Krvarenja u kožu zabilježena su u akutnom ispitivanju pojedinačne peroralne doze u majmuna, ali nisu zabilježena u ispitivanjima ponovljene doze ni u majmuna ni u štakora. U štakora je dasatinib inhibirao agregaciju trombocita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i produžio krvarenje iz kutikule </w:t>
      </w:r>
      <w:r w:rsidRPr="00F25CE6">
        <w:rPr>
          <w:rFonts w:asciiTheme="majorBidi" w:hAnsiTheme="majorBidi" w:cstheme="majorBidi"/>
          <w:i/>
          <w:szCs w:val="22"/>
        </w:rPr>
        <w:t>in vivo</w:t>
      </w:r>
      <w:r w:rsidRPr="00F25CE6">
        <w:rPr>
          <w:rFonts w:asciiTheme="majorBidi" w:hAnsiTheme="majorBidi" w:cstheme="majorBidi"/>
          <w:szCs w:val="22"/>
        </w:rPr>
        <w:t>, ali nije izazivao spontana krvarenja.</w:t>
      </w:r>
    </w:p>
    <w:p w14:paraId="29A5B30E" w14:textId="77777777" w:rsidR="00AF7ABC" w:rsidRPr="00F25CE6" w:rsidRDefault="00AF7ABC" w:rsidP="00F25CE6">
      <w:pPr>
        <w:pStyle w:val="BodyText"/>
        <w:widowControl/>
        <w:rPr>
          <w:rFonts w:asciiTheme="majorBidi" w:hAnsiTheme="majorBidi" w:cstheme="majorBidi"/>
          <w:szCs w:val="22"/>
        </w:rPr>
      </w:pPr>
    </w:p>
    <w:p w14:paraId="54D2DCB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Djelovanje dasatiniba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na hERG i Purkinjeova vlakna pokazuje da dasatinib ima potencijal produljenja faze repolarizacije srčanih klijetki (QT interval). Međutim, u telemetrijskom ispitivanju </w:t>
      </w:r>
      <w:r w:rsidRPr="00F25CE6">
        <w:rPr>
          <w:rFonts w:asciiTheme="majorBidi" w:hAnsiTheme="majorBidi" w:cstheme="majorBidi"/>
          <w:i/>
          <w:szCs w:val="22"/>
        </w:rPr>
        <w:t xml:space="preserve">in vivo </w:t>
      </w:r>
      <w:r w:rsidRPr="00F25CE6">
        <w:rPr>
          <w:rFonts w:asciiTheme="majorBidi" w:hAnsiTheme="majorBidi" w:cstheme="majorBidi"/>
          <w:szCs w:val="22"/>
        </w:rPr>
        <w:t>pojedinačne doze u budnih majmuna nije bilo promjena u QT intervalu ili obliku EKG valova.</w:t>
      </w:r>
    </w:p>
    <w:p w14:paraId="3869BD35" w14:textId="77777777" w:rsidR="00AF7ABC" w:rsidRPr="00F25CE6" w:rsidRDefault="00AF7ABC" w:rsidP="00F25CE6">
      <w:pPr>
        <w:pStyle w:val="BodyText"/>
        <w:widowControl/>
        <w:rPr>
          <w:rFonts w:asciiTheme="majorBidi" w:hAnsiTheme="majorBidi" w:cstheme="majorBidi"/>
          <w:szCs w:val="22"/>
        </w:rPr>
      </w:pPr>
    </w:p>
    <w:p w14:paraId="4B8C6F99"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Dasatinib nije pokazao mutageno djelovanje na bakterijske kulture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(Ames test) niti je imao genotoksične učinke u </w:t>
      </w:r>
      <w:r w:rsidRPr="00F25CE6">
        <w:rPr>
          <w:rFonts w:asciiTheme="majorBidi" w:hAnsiTheme="majorBidi" w:cstheme="majorBidi"/>
          <w:i/>
          <w:szCs w:val="22"/>
        </w:rPr>
        <w:t xml:space="preserve">in vivo </w:t>
      </w:r>
      <w:r w:rsidRPr="00F25CE6">
        <w:rPr>
          <w:rFonts w:asciiTheme="majorBidi" w:hAnsiTheme="majorBidi" w:cstheme="majorBidi"/>
          <w:szCs w:val="22"/>
        </w:rPr>
        <w:t xml:space="preserve">provedenom mikronukleusnom testu u štakora. Dasatinib je </w:t>
      </w:r>
      <w:r w:rsidRPr="00F25CE6">
        <w:rPr>
          <w:rFonts w:asciiTheme="majorBidi" w:hAnsiTheme="majorBidi" w:cstheme="majorBidi"/>
          <w:i/>
          <w:szCs w:val="22"/>
        </w:rPr>
        <w:t xml:space="preserve">in vitro </w:t>
      </w:r>
      <w:r w:rsidRPr="00F25CE6">
        <w:rPr>
          <w:rFonts w:asciiTheme="majorBidi" w:hAnsiTheme="majorBidi" w:cstheme="majorBidi"/>
          <w:szCs w:val="22"/>
        </w:rPr>
        <w:t>imao klastogeno djelovanje na dijeljenje stanica jajnika kineskog hrčka (CHO stanice).</w:t>
      </w:r>
    </w:p>
    <w:p w14:paraId="65A21626" w14:textId="77777777" w:rsidR="00AF7ABC" w:rsidRPr="00F25CE6" w:rsidRDefault="00AF7ABC" w:rsidP="00F25CE6">
      <w:pPr>
        <w:pStyle w:val="BodyText"/>
        <w:widowControl/>
        <w:rPr>
          <w:rFonts w:asciiTheme="majorBidi" w:hAnsiTheme="majorBidi" w:cstheme="majorBidi"/>
          <w:szCs w:val="22"/>
        </w:rPr>
      </w:pPr>
    </w:p>
    <w:p w14:paraId="16389A4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Dasatinib nije utjecao na plodnost mužjaka i ženki štakora u konvencionalnom ispitivanju plodnosti niti na rani embrionalni razvoj u štakora, ali je izazvao embrioletalne učinke pri dozama sličnim kliničkim dozama u ljudi. U ispitivanjima embriofetalnog razvoja, dasatinib je imao embrioletalne učinke s posljedičnim smanjenjem veličine okota u štakora i izazvao promjene u fetalnom kosturu kako štakora, tako i kunića. Ti su se učinci javili pri dozama koje nisu imale toksične učinke na majku, što znači da dasatinib ima selektivne toksične učinke na reprodukciju od faze implantacije do završetka organogeneze.</w:t>
      </w:r>
    </w:p>
    <w:p w14:paraId="148373E8" w14:textId="77777777" w:rsidR="00AF7ABC" w:rsidRPr="00F25CE6" w:rsidRDefault="00AF7ABC" w:rsidP="00F25CE6">
      <w:pPr>
        <w:pStyle w:val="BodyText"/>
        <w:widowControl/>
        <w:rPr>
          <w:rFonts w:asciiTheme="majorBidi" w:hAnsiTheme="majorBidi" w:cstheme="majorBidi"/>
          <w:szCs w:val="22"/>
        </w:rPr>
      </w:pPr>
    </w:p>
    <w:p w14:paraId="1202442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U miševa je dasatinib izazivao imunosupresiju, koja je ovisila o dozi i učinkovito se rješavala smanjenjem doze i/ili promjenama u rasporedu doziranja. Dasatinib je imao fototoksični potencijal u jednom </w:t>
      </w:r>
      <w:r w:rsidRPr="00F25CE6">
        <w:rPr>
          <w:rFonts w:asciiTheme="majorBidi" w:hAnsiTheme="majorBidi" w:cstheme="majorBidi"/>
          <w:i/>
          <w:szCs w:val="22"/>
        </w:rPr>
        <w:t xml:space="preserve">in vitro </w:t>
      </w:r>
      <w:r w:rsidRPr="00F25CE6">
        <w:rPr>
          <w:rFonts w:asciiTheme="majorBidi" w:hAnsiTheme="majorBidi" w:cstheme="majorBidi"/>
          <w:szCs w:val="22"/>
        </w:rPr>
        <w:t xml:space="preserve">ispitivanju na mišjim fibroblastima pomoću testa preuzimanja neutralne crvene boje (engl. </w:t>
      </w:r>
      <w:r w:rsidRPr="00F25CE6">
        <w:rPr>
          <w:rFonts w:asciiTheme="majorBidi" w:hAnsiTheme="majorBidi" w:cstheme="majorBidi"/>
          <w:i/>
          <w:szCs w:val="22"/>
        </w:rPr>
        <w:t>neutral red uptake phototoxicity assay</w:t>
      </w:r>
      <w:r w:rsidRPr="00F25CE6">
        <w:rPr>
          <w:rFonts w:asciiTheme="majorBidi" w:hAnsiTheme="majorBidi" w:cstheme="majorBidi"/>
          <w:szCs w:val="22"/>
        </w:rPr>
        <w:t xml:space="preserve">). Dasatinib se nije smatrao fototoksičnim </w:t>
      </w:r>
      <w:r w:rsidRPr="00F25CE6">
        <w:rPr>
          <w:rFonts w:asciiTheme="majorBidi" w:hAnsiTheme="majorBidi" w:cstheme="majorBidi"/>
          <w:i/>
          <w:szCs w:val="22"/>
        </w:rPr>
        <w:t xml:space="preserve">in vivo </w:t>
      </w:r>
      <w:r w:rsidRPr="00F25CE6">
        <w:rPr>
          <w:rFonts w:asciiTheme="majorBidi" w:hAnsiTheme="majorBidi" w:cstheme="majorBidi"/>
          <w:szCs w:val="22"/>
        </w:rPr>
        <w:t>nakon primjene pojedinačne doze u ženki bezdlakog miša, pri čemu je njihova izloženost bila trostruko veća od izloženosti ljudi nakon primjene preporučene terapijske doze (na temelju AUC).</w:t>
      </w:r>
    </w:p>
    <w:p w14:paraId="7BFD60D5" w14:textId="77777777" w:rsidR="00AF7ABC" w:rsidRPr="00F25CE6" w:rsidRDefault="00AF7ABC" w:rsidP="00F25CE6">
      <w:pPr>
        <w:pStyle w:val="BodyText"/>
        <w:widowControl/>
        <w:rPr>
          <w:rFonts w:asciiTheme="majorBidi" w:hAnsiTheme="majorBidi" w:cstheme="majorBidi"/>
          <w:szCs w:val="22"/>
        </w:rPr>
      </w:pPr>
    </w:p>
    <w:p w14:paraId="4278D552" w14:textId="7232CA5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dvogodišnjem ispitivanju karcinogenosti, štakori su dobivali oralne doze dasatiniba od 0,3</w:t>
      </w:r>
      <w:r w:rsidR="00B466AE">
        <w:rPr>
          <w:rFonts w:asciiTheme="majorBidi" w:hAnsiTheme="majorBidi" w:cstheme="majorBidi"/>
          <w:szCs w:val="22"/>
        </w:rPr>
        <w:t>,</w:t>
      </w:r>
      <w:r w:rsidRPr="00F25CE6">
        <w:rPr>
          <w:rFonts w:asciiTheme="majorBidi" w:hAnsiTheme="majorBidi" w:cstheme="majorBidi"/>
          <w:szCs w:val="22"/>
        </w:rPr>
        <w:t xml:space="preserve"> 1 i 3 mg/kg dnevno. Pri najvišoj dozi razina izloženosti lijeku u plazmi (AUC) općenito je odgovarala izloženosti čovjeka pri preporučenom rasponu početne doze od 100 mg do 140 mg. Zabilježeno je statistički značajno povećanje kombinirane incidencije karcinoma pločastih stanica i papiloma maternice i cerviksa u ženki koje su dobivale visoke doze i adenoma prostate u mužjaka koji su primali niske doze. Važnost ovih nalaza dobivenih u ispitivanjima kancerogenosti na štakorima za ljude nije poznata.</w:t>
      </w:r>
    </w:p>
    <w:p w14:paraId="309C9411" w14:textId="77777777" w:rsidR="00AF7ABC" w:rsidRPr="00F25CE6" w:rsidRDefault="00AF7ABC" w:rsidP="00F25CE6">
      <w:pPr>
        <w:pStyle w:val="BodyText"/>
        <w:widowControl/>
        <w:rPr>
          <w:rFonts w:asciiTheme="majorBidi" w:hAnsiTheme="majorBidi" w:cstheme="majorBidi"/>
          <w:szCs w:val="22"/>
        </w:rPr>
      </w:pPr>
    </w:p>
    <w:p w14:paraId="01E90B86" w14:textId="77777777" w:rsidR="00AF7ABC" w:rsidRPr="00F25CE6" w:rsidRDefault="00AF7ABC" w:rsidP="00F25CE6">
      <w:pPr>
        <w:pStyle w:val="BodyText"/>
        <w:widowControl/>
        <w:rPr>
          <w:rFonts w:asciiTheme="majorBidi" w:hAnsiTheme="majorBidi" w:cstheme="majorBidi"/>
          <w:szCs w:val="22"/>
        </w:rPr>
      </w:pPr>
    </w:p>
    <w:p w14:paraId="646BC1C2" w14:textId="77777777" w:rsidR="00AF7ABC" w:rsidRPr="00F25CE6" w:rsidRDefault="00422138" w:rsidP="00396A82">
      <w:pPr>
        <w:pStyle w:val="Heading1"/>
      </w:pPr>
      <w:r w:rsidRPr="00F25CE6">
        <w:t>FARMACEUTSKI PODACI</w:t>
      </w:r>
    </w:p>
    <w:p w14:paraId="14F52485" w14:textId="77777777" w:rsidR="00AF7ABC" w:rsidRPr="00F25CE6" w:rsidRDefault="00AF7ABC" w:rsidP="00F25CE6">
      <w:pPr>
        <w:pStyle w:val="BodyText"/>
        <w:widowControl/>
        <w:rPr>
          <w:rFonts w:asciiTheme="majorBidi" w:hAnsiTheme="majorBidi" w:cstheme="majorBidi"/>
          <w:b/>
          <w:szCs w:val="22"/>
        </w:rPr>
      </w:pPr>
    </w:p>
    <w:p w14:paraId="1B86C228" w14:textId="77777777" w:rsidR="00AF7ABC" w:rsidRPr="00F25CE6" w:rsidRDefault="00422138" w:rsidP="00396A82">
      <w:pPr>
        <w:pStyle w:val="Heading2"/>
      </w:pPr>
      <w:r w:rsidRPr="00F25CE6">
        <w:t>Popis pomoćnih tvari</w:t>
      </w:r>
    </w:p>
    <w:p w14:paraId="1BD34915" w14:textId="77777777" w:rsidR="00AF7ABC" w:rsidRPr="00F25CE6" w:rsidRDefault="00AF7ABC" w:rsidP="00F25CE6">
      <w:pPr>
        <w:pStyle w:val="BodyText"/>
        <w:widowControl/>
        <w:rPr>
          <w:rFonts w:asciiTheme="majorBidi" w:hAnsiTheme="majorBidi" w:cstheme="majorBidi"/>
          <w:b/>
          <w:szCs w:val="22"/>
        </w:rPr>
      </w:pPr>
    </w:p>
    <w:p w14:paraId="13A76839" w14:textId="77777777" w:rsidR="00396A82"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u w:val="single"/>
        </w:rPr>
        <w:t>Jezgra tablete</w:t>
      </w:r>
    </w:p>
    <w:p w14:paraId="18561206" w14:textId="77777777"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laktoza hidrat</w:t>
      </w:r>
    </w:p>
    <w:p w14:paraId="3314951C" w14:textId="7B737AD7" w:rsidR="00A759CD" w:rsidRDefault="00A759CD" w:rsidP="00396A82">
      <w:pPr>
        <w:pStyle w:val="BodyText"/>
        <w:widowControl/>
        <w:rPr>
          <w:rFonts w:asciiTheme="majorBidi" w:hAnsiTheme="majorBidi" w:cstheme="majorBidi"/>
          <w:szCs w:val="22"/>
        </w:rPr>
      </w:pPr>
      <w:r>
        <w:rPr>
          <w:rFonts w:asciiTheme="majorBidi" w:hAnsiTheme="majorBidi" w:cstheme="majorBidi"/>
          <w:szCs w:val="22"/>
        </w:rPr>
        <w:t>celuloza, mikrokristalična</w:t>
      </w:r>
      <w:r w:rsidR="00FA7042">
        <w:rPr>
          <w:rFonts w:asciiTheme="majorBidi" w:hAnsiTheme="majorBidi" w:cstheme="majorBidi"/>
          <w:szCs w:val="22"/>
        </w:rPr>
        <w:t xml:space="preserve"> PH 101 (E460)</w:t>
      </w:r>
    </w:p>
    <w:p w14:paraId="0B767581" w14:textId="7C5B7BF7" w:rsidR="00396A82"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 xml:space="preserve">karmelozanatrij, umrežena </w:t>
      </w:r>
      <w:r w:rsidR="00FA7042">
        <w:rPr>
          <w:rFonts w:asciiTheme="majorBidi" w:hAnsiTheme="majorBidi" w:cstheme="majorBidi"/>
          <w:szCs w:val="22"/>
        </w:rPr>
        <w:t>(E468)</w:t>
      </w:r>
    </w:p>
    <w:p w14:paraId="22D05E4E" w14:textId="455A686A" w:rsidR="00FA7042" w:rsidRDefault="00FA7042" w:rsidP="00396A82">
      <w:pPr>
        <w:pStyle w:val="BodyText"/>
        <w:widowControl/>
        <w:rPr>
          <w:rFonts w:asciiTheme="majorBidi" w:hAnsiTheme="majorBidi" w:cstheme="majorBidi"/>
          <w:szCs w:val="22"/>
        </w:rPr>
      </w:pPr>
      <w:r>
        <w:rPr>
          <w:rFonts w:asciiTheme="majorBidi" w:hAnsiTheme="majorBidi" w:cstheme="majorBidi"/>
          <w:szCs w:val="22"/>
        </w:rPr>
        <w:t>hidroksipropilceluloza (E463)</w:t>
      </w:r>
    </w:p>
    <w:p w14:paraId="4FF73F35" w14:textId="65AA1BEA" w:rsidR="00FA7042" w:rsidRDefault="00FA7042" w:rsidP="00396A82">
      <w:pPr>
        <w:pStyle w:val="BodyText"/>
        <w:widowControl/>
        <w:rPr>
          <w:rFonts w:asciiTheme="majorBidi" w:hAnsiTheme="majorBidi" w:cstheme="majorBidi"/>
          <w:szCs w:val="22"/>
        </w:rPr>
      </w:pPr>
      <w:r>
        <w:rPr>
          <w:rFonts w:asciiTheme="majorBidi" w:hAnsiTheme="majorBidi" w:cstheme="majorBidi"/>
          <w:szCs w:val="22"/>
        </w:rPr>
        <w:t>celuloza, mikrokristalična PH 12 (E460)</w:t>
      </w:r>
    </w:p>
    <w:p w14:paraId="77B1305E" w14:textId="39CC772D" w:rsidR="00AF7ABC" w:rsidRPr="00F25CE6" w:rsidRDefault="00422138" w:rsidP="00396A82">
      <w:pPr>
        <w:pStyle w:val="BodyText"/>
        <w:widowControl/>
        <w:rPr>
          <w:rFonts w:asciiTheme="majorBidi" w:hAnsiTheme="majorBidi" w:cstheme="majorBidi"/>
          <w:szCs w:val="22"/>
        </w:rPr>
      </w:pPr>
      <w:r w:rsidRPr="00F25CE6">
        <w:rPr>
          <w:rFonts w:asciiTheme="majorBidi" w:hAnsiTheme="majorBidi" w:cstheme="majorBidi"/>
          <w:szCs w:val="22"/>
        </w:rPr>
        <w:t>magnezijev stearat</w:t>
      </w:r>
      <w:r w:rsidR="00FA7042">
        <w:rPr>
          <w:rFonts w:asciiTheme="majorBidi" w:hAnsiTheme="majorBidi" w:cstheme="majorBidi"/>
          <w:szCs w:val="22"/>
        </w:rPr>
        <w:t xml:space="preserve"> (E470)</w:t>
      </w:r>
    </w:p>
    <w:p w14:paraId="63997DBB" w14:textId="77777777" w:rsidR="00A15E8A" w:rsidRPr="00F25CE6" w:rsidRDefault="00A15E8A" w:rsidP="00F25CE6">
      <w:pPr>
        <w:widowControl/>
        <w:rPr>
          <w:rFonts w:asciiTheme="majorBidi" w:hAnsiTheme="majorBidi" w:cstheme="majorBidi"/>
        </w:rPr>
      </w:pPr>
    </w:p>
    <w:p w14:paraId="12796B3E" w14:textId="77777777" w:rsidR="00396A82"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u w:val="single"/>
        </w:rPr>
        <w:t>Film ovojnica</w:t>
      </w:r>
      <w:r w:rsidRPr="00F25CE6">
        <w:rPr>
          <w:rFonts w:asciiTheme="majorBidi" w:hAnsiTheme="majorBidi" w:cstheme="majorBidi"/>
          <w:szCs w:val="22"/>
        </w:rPr>
        <w:t xml:space="preserve"> </w:t>
      </w:r>
    </w:p>
    <w:p w14:paraId="5713EA1C" w14:textId="3DF5CDC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hipromeloza</w:t>
      </w:r>
      <w:r w:rsidR="00A759CD">
        <w:rPr>
          <w:rFonts w:asciiTheme="majorBidi" w:hAnsiTheme="majorBidi" w:cstheme="majorBidi"/>
          <w:szCs w:val="22"/>
        </w:rPr>
        <w:t xml:space="preserve"> (E464)</w:t>
      </w:r>
    </w:p>
    <w:p w14:paraId="3209240A" w14:textId="77777777" w:rsidR="00396A82"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lastRenderedPageBreak/>
        <w:t xml:space="preserve">titanijev dioksid (E171) </w:t>
      </w:r>
    </w:p>
    <w:p w14:paraId="23B874BE" w14:textId="47E97BDF" w:rsidR="00AF7ABC" w:rsidRPr="00F25CE6" w:rsidRDefault="00E436B6" w:rsidP="00F25CE6">
      <w:pPr>
        <w:pStyle w:val="BodyText"/>
        <w:widowControl/>
        <w:rPr>
          <w:rFonts w:asciiTheme="majorBidi" w:hAnsiTheme="majorBidi" w:cstheme="majorBidi"/>
          <w:szCs w:val="22"/>
        </w:rPr>
      </w:pPr>
      <w:r>
        <w:rPr>
          <w:rFonts w:asciiTheme="majorBidi" w:hAnsiTheme="majorBidi" w:cstheme="majorBidi"/>
          <w:szCs w:val="22"/>
        </w:rPr>
        <w:t xml:space="preserve">triacetin </w:t>
      </w:r>
      <w:r w:rsidR="00FA7042">
        <w:rPr>
          <w:rFonts w:asciiTheme="majorBidi" w:hAnsiTheme="majorBidi" w:cstheme="majorBidi"/>
          <w:szCs w:val="22"/>
        </w:rPr>
        <w:t>(E1518)</w:t>
      </w:r>
    </w:p>
    <w:p w14:paraId="76636015" w14:textId="77777777" w:rsidR="00AF7ABC" w:rsidRPr="00F25CE6" w:rsidRDefault="00AF7ABC" w:rsidP="00F25CE6">
      <w:pPr>
        <w:pStyle w:val="BodyText"/>
        <w:widowControl/>
        <w:rPr>
          <w:rFonts w:asciiTheme="majorBidi" w:hAnsiTheme="majorBidi" w:cstheme="majorBidi"/>
          <w:szCs w:val="22"/>
        </w:rPr>
      </w:pPr>
    </w:p>
    <w:p w14:paraId="5D69F545" w14:textId="77777777" w:rsidR="00AF7ABC" w:rsidRPr="00F25CE6" w:rsidRDefault="00422138" w:rsidP="00396A82">
      <w:pPr>
        <w:pStyle w:val="Heading2"/>
      </w:pPr>
      <w:r w:rsidRPr="00F25CE6">
        <w:t>Inkompatibilnosti</w:t>
      </w:r>
    </w:p>
    <w:p w14:paraId="44F34AC8" w14:textId="77777777" w:rsidR="00AF7ABC" w:rsidRPr="00F25CE6" w:rsidRDefault="00AF7ABC" w:rsidP="00F25CE6">
      <w:pPr>
        <w:pStyle w:val="BodyText"/>
        <w:widowControl/>
        <w:rPr>
          <w:rFonts w:asciiTheme="majorBidi" w:hAnsiTheme="majorBidi" w:cstheme="majorBidi"/>
          <w:b/>
          <w:szCs w:val="22"/>
        </w:rPr>
      </w:pPr>
    </w:p>
    <w:p w14:paraId="4488B804"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Nije primjenjivo.</w:t>
      </w:r>
    </w:p>
    <w:p w14:paraId="4C0857BB" w14:textId="77777777" w:rsidR="00AF7ABC" w:rsidRPr="00F25CE6" w:rsidRDefault="00AF7ABC" w:rsidP="00F25CE6">
      <w:pPr>
        <w:pStyle w:val="BodyText"/>
        <w:widowControl/>
        <w:rPr>
          <w:rFonts w:asciiTheme="majorBidi" w:hAnsiTheme="majorBidi" w:cstheme="majorBidi"/>
          <w:szCs w:val="22"/>
        </w:rPr>
      </w:pPr>
    </w:p>
    <w:p w14:paraId="771A7872" w14:textId="77777777" w:rsidR="00AF7ABC" w:rsidRPr="00F25CE6" w:rsidRDefault="00422138" w:rsidP="00396A82">
      <w:pPr>
        <w:pStyle w:val="Heading2"/>
      </w:pPr>
      <w:r w:rsidRPr="00F25CE6">
        <w:t>Rok valjanosti</w:t>
      </w:r>
    </w:p>
    <w:p w14:paraId="4D8BB39C" w14:textId="77777777" w:rsidR="00AF7ABC" w:rsidRPr="00F25CE6" w:rsidRDefault="00AF7ABC" w:rsidP="00F25CE6">
      <w:pPr>
        <w:pStyle w:val="BodyText"/>
        <w:widowControl/>
        <w:rPr>
          <w:rFonts w:asciiTheme="majorBidi" w:hAnsiTheme="majorBidi" w:cstheme="majorBidi"/>
          <w:b/>
          <w:szCs w:val="22"/>
        </w:rPr>
      </w:pPr>
    </w:p>
    <w:p w14:paraId="03764DCE" w14:textId="6341EC22" w:rsidR="00AF7ABC" w:rsidRPr="00F25CE6" w:rsidRDefault="00FA7042" w:rsidP="00F25CE6">
      <w:pPr>
        <w:pStyle w:val="BodyText"/>
        <w:widowControl/>
        <w:rPr>
          <w:rFonts w:asciiTheme="majorBidi" w:hAnsiTheme="majorBidi" w:cstheme="majorBidi"/>
          <w:szCs w:val="22"/>
        </w:rPr>
      </w:pPr>
      <w:r>
        <w:rPr>
          <w:rFonts w:asciiTheme="majorBidi" w:hAnsiTheme="majorBidi" w:cstheme="majorBidi"/>
          <w:szCs w:val="22"/>
        </w:rPr>
        <w:t>2 godine</w:t>
      </w:r>
    </w:p>
    <w:p w14:paraId="6C937B0D" w14:textId="77777777" w:rsidR="00AF7ABC" w:rsidRPr="00F25CE6" w:rsidRDefault="00AF7ABC" w:rsidP="00F25CE6">
      <w:pPr>
        <w:pStyle w:val="BodyText"/>
        <w:widowControl/>
        <w:rPr>
          <w:rFonts w:asciiTheme="majorBidi" w:hAnsiTheme="majorBidi" w:cstheme="majorBidi"/>
          <w:szCs w:val="22"/>
        </w:rPr>
      </w:pPr>
    </w:p>
    <w:p w14:paraId="70E489CC" w14:textId="77777777" w:rsidR="00AF7ABC" w:rsidRPr="00F25CE6" w:rsidRDefault="00422138" w:rsidP="00396A82">
      <w:pPr>
        <w:pStyle w:val="Heading2"/>
      </w:pPr>
      <w:r w:rsidRPr="00F25CE6">
        <w:t>Posebne mjere pri čuvanju lijeka</w:t>
      </w:r>
    </w:p>
    <w:p w14:paraId="0A873C7E" w14:textId="77777777" w:rsidR="00AF7ABC" w:rsidRPr="00F25CE6" w:rsidRDefault="00AF7ABC" w:rsidP="00F25CE6">
      <w:pPr>
        <w:pStyle w:val="BodyText"/>
        <w:widowControl/>
        <w:rPr>
          <w:rFonts w:asciiTheme="majorBidi" w:hAnsiTheme="majorBidi" w:cstheme="majorBidi"/>
          <w:b/>
          <w:szCs w:val="22"/>
        </w:rPr>
      </w:pPr>
    </w:p>
    <w:p w14:paraId="0128581D"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Lijek ne zahtijeva posebne uvjete čuvanja.</w:t>
      </w:r>
    </w:p>
    <w:p w14:paraId="03C8F5B4" w14:textId="77777777" w:rsidR="00AF7ABC" w:rsidRPr="00F25CE6" w:rsidRDefault="00AF7ABC" w:rsidP="00F25CE6">
      <w:pPr>
        <w:pStyle w:val="BodyText"/>
        <w:widowControl/>
        <w:rPr>
          <w:rFonts w:asciiTheme="majorBidi" w:hAnsiTheme="majorBidi" w:cstheme="majorBidi"/>
          <w:szCs w:val="22"/>
        </w:rPr>
      </w:pPr>
    </w:p>
    <w:p w14:paraId="4F86B177" w14:textId="77777777" w:rsidR="00AF7ABC" w:rsidRPr="00F25CE6" w:rsidRDefault="00422138" w:rsidP="00396A82">
      <w:pPr>
        <w:pStyle w:val="Heading2"/>
      </w:pPr>
      <w:r w:rsidRPr="00F25CE6">
        <w:t>Vrsta i sadržaj spremnika</w:t>
      </w:r>
    </w:p>
    <w:p w14:paraId="7D52F49B" w14:textId="77777777" w:rsidR="00AF7ABC" w:rsidRPr="00F25CE6" w:rsidRDefault="00AF7ABC" w:rsidP="00F25CE6">
      <w:pPr>
        <w:pStyle w:val="BodyText"/>
        <w:widowControl/>
        <w:rPr>
          <w:rFonts w:asciiTheme="majorBidi" w:hAnsiTheme="majorBidi" w:cstheme="majorBidi"/>
          <w:b/>
          <w:szCs w:val="22"/>
        </w:rPr>
      </w:pPr>
    </w:p>
    <w:p w14:paraId="0C8276AE" w14:textId="0412B63F" w:rsidR="007813B5" w:rsidRDefault="007813B5" w:rsidP="00396A82">
      <w:pPr>
        <w:pStyle w:val="BodyText"/>
        <w:widowControl/>
        <w:rPr>
          <w:rFonts w:asciiTheme="majorBidi" w:hAnsiTheme="majorBidi" w:cstheme="majorBidi"/>
          <w:szCs w:val="22"/>
        </w:rPr>
      </w:pPr>
      <w:r>
        <w:rPr>
          <w:rFonts w:asciiTheme="majorBidi" w:hAnsiTheme="majorBidi" w:cstheme="majorBidi"/>
          <w:szCs w:val="22"/>
          <w:u w:val="single"/>
        </w:rPr>
        <w:t>Dasatinib Accord Healthcare 20 mg, 50 mg filmom obložene tablete</w:t>
      </w:r>
    </w:p>
    <w:p w14:paraId="37397F28" w14:textId="77777777" w:rsidR="007813B5" w:rsidRDefault="007813B5" w:rsidP="00F25CE6">
      <w:pPr>
        <w:pStyle w:val="BodyText"/>
        <w:widowControl/>
        <w:rPr>
          <w:rFonts w:asciiTheme="majorBidi" w:hAnsiTheme="majorBidi" w:cstheme="majorBidi"/>
          <w:szCs w:val="22"/>
        </w:rPr>
      </w:pPr>
    </w:p>
    <w:p w14:paraId="1DFD6624" w14:textId="61DDED5A" w:rsidR="007813B5" w:rsidRDefault="007813B5" w:rsidP="00F25CE6">
      <w:pPr>
        <w:pStyle w:val="BodyText"/>
        <w:widowControl/>
        <w:rPr>
          <w:rFonts w:asciiTheme="majorBidi" w:hAnsiTheme="majorBidi" w:cstheme="majorBidi"/>
          <w:szCs w:val="22"/>
        </w:rPr>
      </w:pPr>
      <w:r>
        <w:rPr>
          <w:rFonts w:asciiTheme="majorBidi" w:hAnsiTheme="majorBidi" w:cstheme="majorBidi"/>
          <w:szCs w:val="22"/>
        </w:rPr>
        <w:t>OPA/</w:t>
      </w:r>
      <w:r w:rsidR="00D70E56">
        <w:rPr>
          <w:rFonts w:asciiTheme="majorBidi" w:hAnsiTheme="majorBidi" w:cstheme="majorBidi"/>
          <w:szCs w:val="22"/>
        </w:rPr>
        <w:t>Alu</w:t>
      </w:r>
      <w:r>
        <w:rPr>
          <w:rFonts w:asciiTheme="majorBidi" w:hAnsiTheme="majorBidi" w:cstheme="majorBidi"/>
          <w:szCs w:val="22"/>
        </w:rPr>
        <w:t>/PVC/</w:t>
      </w:r>
      <w:r w:rsidR="00404A6F">
        <w:rPr>
          <w:rFonts w:asciiTheme="majorBidi" w:hAnsiTheme="majorBidi" w:cstheme="majorBidi"/>
          <w:szCs w:val="22"/>
        </w:rPr>
        <w:t>/</w:t>
      </w:r>
      <w:r w:rsidR="00D70E56">
        <w:rPr>
          <w:rFonts w:asciiTheme="majorBidi" w:hAnsiTheme="majorBidi" w:cstheme="majorBidi"/>
          <w:szCs w:val="22"/>
        </w:rPr>
        <w:t>Alu</w:t>
      </w:r>
      <w:r>
        <w:rPr>
          <w:rFonts w:asciiTheme="majorBidi" w:hAnsiTheme="majorBidi" w:cstheme="majorBidi"/>
          <w:szCs w:val="22"/>
        </w:rPr>
        <w:t xml:space="preserve"> blisteri (blisteri ili perforirani blisteri </w:t>
      </w:r>
      <w:r w:rsidR="00404A6F">
        <w:rPr>
          <w:rFonts w:asciiTheme="majorBidi" w:hAnsiTheme="majorBidi" w:cstheme="majorBidi"/>
          <w:szCs w:val="22"/>
        </w:rPr>
        <w:t>s</w:t>
      </w:r>
      <w:r>
        <w:rPr>
          <w:rFonts w:asciiTheme="majorBidi" w:hAnsiTheme="majorBidi" w:cstheme="majorBidi"/>
          <w:szCs w:val="22"/>
        </w:rPr>
        <w:t xml:space="preserve"> 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46862D11" w14:textId="77777777" w:rsidR="007813B5" w:rsidRDefault="007813B5" w:rsidP="00F25CE6">
      <w:pPr>
        <w:pStyle w:val="BodyText"/>
        <w:widowControl/>
        <w:rPr>
          <w:rFonts w:asciiTheme="majorBidi" w:hAnsiTheme="majorBidi" w:cstheme="majorBidi"/>
          <w:szCs w:val="22"/>
        </w:rPr>
      </w:pPr>
    </w:p>
    <w:p w14:paraId="41A73DF5" w14:textId="794E16B1" w:rsidR="007813B5" w:rsidRDefault="007813B5" w:rsidP="00F25CE6">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5E1F46">
        <w:rPr>
          <w:rFonts w:asciiTheme="majorBidi" w:hAnsiTheme="majorBidi" w:cstheme="majorBidi"/>
          <w:szCs w:val="22"/>
        </w:rPr>
        <w:t xml:space="preserve">56 </w:t>
      </w:r>
      <w:r>
        <w:rPr>
          <w:rFonts w:asciiTheme="majorBidi" w:hAnsiTheme="majorBidi" w:cstheme="majorBidi"/>
          <w:szCs w:val="22"/>
        </w:rPr>
        <w:t>ili 60 filmom obloženih tableta u blisterima.</w:t>
      </w:r>
    </w:p>
    <w:p w14:paraId="6ED8E335" w14:textId="15F91280" w:rsidR="007813B5" w:rsidRDefault="007813B5" w:rsidP="00F25CE6">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35267D">
        <w:rPr>
          <w:rFonts w:asciiTheme="majorBidi" w:hAnsiTheme="majorBidi" w:cstheme="majorBidi"/>
          <w:szCs w:val="22"/>
        </w:rPr>
        <w:t xml:space="preserve">10 x 1, </w:t>
      </w:r>
      <w:r>
        <w:rPr>
          <w:rFonts w:asciiTheme="majorBidi" w:hAnsiTheme="majorBidi" w:cstheme="majorBidi"/>
          <w:szCs w:val="22"/>
        </w:rPr>
        <w:t xml:space="preserve">56 x 1 ili 60 x 1 filmom obloženu tabletu u perforiranim blisterima </w:t>
      </w:r>
      <w:r w:rsidR="00404A6F">
        <w:rPr>
          <w:rFonts w:asciiTheme="majorBidi" w:hAnsiTheme="majorBidi" w:cstheme="majorBidi"/>
          <w:szCs w:val="22"/>
        </w:rPr>
        <w:t>s</w:t>
      </w:r>
      <w:r>
        <w:rPr>
          <w:rFonts w:asciiTheme="majorBidi" w:hAnsiTheme="majorBidi" w:cstheme="majorBidi"/>
          <w:szCs w:val="22"/>
        </w:rPr>
        <w:t xml:space="preserve"> 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027602BD" w14:textId="77777777" w:rsidR="007813B5" w:rsidRDefault="007813B5" w:rsidP="00F25CE6">
      <w:pPr>
        <w:pStyle w:val="BodyText"/>
        <w:widowControl/>
        <w:rPr>
          <w:rFonts w:asciiTheme="majorBidi" w:hAnsiTheme="majorBidi" w:cstheme="majorBidi"/>
          <w:szCs w:val="22"/>
        </w:rPr>
      </w:pPr>
    </w:p>
    <w:p w14:paraId="084935DA" w14:textId="3F70B9B3" w:rsidR="007813B5" w:rsidRDefault="007813B5" w:rsidP="007813B5">
      <w:pPr>
        <w:pStyle w:val="BodyText"/>
        <w:widowControl/>
        <w:rPr>
          <w:rFonts w:asciiTheme="majorBidi" w:hAnsiTheme="majorBidi" w:cstheme="majorBidi"/>
          <w:szCs w:val="22"/>
        </w:rPr>
      </w:pPr>
      <w:r>
        <w:rPr>
          <w:rFonts w:asciiTheme="majorBidi" w:hAnsiTheme="majorBidi" w:cstheme="majorBidi"/>
          <w:szCs w:val="22"/>
          <w:u w:val="single"/>
        </w:rPr>
        <w:t>Dasatinib Accord Healthcare 70 mg filmom obložene tablete</w:t>
      </w:r>
    </w:p>
    <w:p w14:paraId="7BA3B1A7" w14:textId="77777777" w:rsidR="007813B5" w:rsidRDefault="007813B5" w:rsidP="007813B5">
      <w:pPr>
        <w:pStyle w:val="BodyText"/>
        <w:widowControl/>
        <w:rPr>
          <w:rFonts w:asciiTheme="majorBidi" w:hAnsiTheme="majorBidi" w:cstheme="majorBidi"/>
          <w:szCs w:val="22"/>
        </w:rPr>
      </w:pPr>
    </w:p>
    <w:p w14:paraId="51E33C1E" w14:textId="48BD641E"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OPA/</w:t>
      </w:r>
      <w:r w:rsidR="00D70E56">
        <w:rPr>
          <w:rFonts w:asciiTheme="majorBidi" w:hAnsiTheme="majorBidi" w:cstheme="majorBidi"/>
          <w:szCs w:val="22"/>
        </w:rPr>
        <w:t>Alu</w:t>
      </w:r>
      <w:r>
        <w:rPr>
          <w:rFonts w:asciiTheme="majorBidi" w:hAnsiTheme="majorBidi" w:cstheme="majorBidi"/>
          <w:szCs w:val="22"/>
        </w:rPr>
        <w:t>/PVC/</w:t>
      </w:r>
      <w:r w:rsidR="00404A6F">
        <w:rPr>
          <w:rFonts w:asciiTheme="majorBidi" w:hAnsiTheme="majorBidi" w:cstheme="majorBidi"/>
          <w:szCs w:val="22"/>
        </w:rPr>
        <w:t>/</w:t>
      </w:r>
      <w:r w:rsidR="00D70E56">
        <w:rPr>
          <w:rFonts w:asciiTheme="majorBidi" w:hAnsiTheme="majorBidi" w:cstheme="majorBidi"/>
          <w:szCs w:val="22"/>
        </w:rPr>
        <w:t>Alu</w:t>
      </w:r>
      <w:r>
        <w:rPr>
          <w:rFonts w:asciiTheme="majorBidi" w:hAnsiTheme="majorBidi" w:cstheme="majorBidi"/>
          <w:szCs w:val="22"/>
        </w:rPr>
        <w:t xml:space="preserve"> blisteri (</w:t>
      </w:r>
      <w:r w:rsidR="007D1972">
        <w:rPr>
          <w:rFonts w:asciiTheme="majorBidi" w:hAnsiTheme="majorBidi" w:cstheme="majorBidi"/>
          <w:szCs w:val="22"/>
        </w:rPr>
        <w:t>blis</w:t>
      </w:r>
      <w:r w:rsidR="000A07D1">
        <w:rPr>
          <w:rFonts w:asciiTheme="majorBidi" w:hAnsiTheme="majorBidi" w:cstheme="majorBidi"/>
          <w:szCs w:val="22"/>
        </w:rPr>
        <w:t>t</w:t>
      </w:r>
      <w:r w:rsidR="007D1972">
        <w:rPr>
          <w:rFonts w:asciiTheme="majorBidi" w:hAnsiTheme="majorBidi" w:cstheme="majorBidi"/>
          <w:szCs w:val="22"/>
        </w:rPr>
        <w:t xml:space="preserve">eri ili </w:t>
      </w:r>
      <w:r>
        <w:rPr>
          <w:rFonts w:asciiTheme="majorBidi" w:hAnsiTheme="majorBidi" w:cstheme="majorBidi"/>
          <w:szCs w:val="22"/>
        </w:rPr>
        <w:t xml:space="preserve">perforirani blisteri </w:t>
      </w:r>
      <w:r w:rsidR="00404A6F">
        <w:rPr>
          <w:rFonts w:asciiTheme="majorBidi" w:hAnsiTheme="majorBidi" w:cstheme="majorBidi"/>
          <w:szCs w:val="22"/>
        </w:rPr>
        <w:t>s</w:t>
      </w:r>
      <w:r>
        <w:rPr>
          <w:rFonts w:asciiTheme="majorBidi" w:hAnsiTheme="majorBidi" w:cstheme="majorBidi"/>
          <w:szCs w:val="22"/>
        </w:rPr>
        <w:t xml:space="preserve"> 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15862CD5" w14:textId="77777777" w:rsidR="007813B5" w:rsidRDefault="007813B5" w:rsidP="007813B5">
      <w:pPr>
        <w:pStyle w:val="BodyText"/>
        <w:widowControl/>
        <w:rPr>
          <w:rFonts w:asciiTheme="majorBidi" w:hAnsiTheme="majorBidi" w:cstheme="majorBidi"/>
          <w:szCs w:val="22"/>
        </w:rPr>
      </w:pPr>
    </w:p>
    <w:p w14:paraId="5772AA5D" w14:textId="5DD7E8C4"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Kutija sadrži 56 ili 60 filmom obloženih tableta u blisterima.</w:t>
      </w:r>
    </w:p>
    <w:p w14:paraId="16787131" w14:textId="2CE49E27"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35267D">
        <w:rPr>
          <w:rFonts w:asciiTheme="majorBidi" w:hAnsiTheme="majorBidi" w:cstheme="majorBidi"/>
          <w:szCs w:val="22"/>
        </w:rPr>
        <w:t xml:space="preserve">10 x 1, </w:t>
      </w:r>
      <w:r>
        <w:rPr>
          <w:rFonts w:asciiTheme="majorBidi" w:hAnsiTheme="majorBidi" w:cstheme="majorBidi"/>
          <w:szCs w:val="22"/>
        </w:rPr>
        <w:t xml:space="preserve">56 x 1 ili 60 x 1 filmom obloženu tabletu u perforiranim blisterima </w:t>
      </w:r>
      <w:r w:rsidR="00404A6F">
        <w:rPr>
          <w:rFonts w:asciiTheme="majorBidi" w:hAnsiTheme="majorBidi" w:cstheme="majorBidi"/>
          <w:szCs w:val="22"/>
        </w:rPr>
        <w:t>s</w:t>
      </w:r>
      <w:r>
        <w:rPr>
          <w:rFonts w:asciiTheme="majorBidi" w:hAnsiTheme="majorBidi" w:cstheme="majorBidi"/>
          <w:szCs w:val="22"/>
        </w:rPr>
        <w:t xml:space="preserve"> 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6827EB75" w14:textId="77777777" w:rsidR="007813B5" w:rsidRDefault="007813B5" w:rsidP="00F25CE6">
      <w:pPr>
        <w:pStyle w:val="BodyText"/>
        <w:widowControl/>
        <w:rPr>
          <w:rFonts w:asciiTheme="majorBidi" w:hAnsiTheme="majorBidi" w:cstheme="majorBidi"/>
          <w:szCs w:val="22"/>
        </w:rPr>
      </w:pPr>
    </w:p>
    <w:p w14:paraId="617CCB3A" w14:textId="338AD400" w:rsidR="007813B5" w:rsidRDefault="007813B5" w:rsidP="007813B5">
      <w:pPr>
        <w:pStyle w:val="BodyText"/>
        <w:widowControl/>
        <w:rPr>
          <w:rFonts w:asciiTheme="majorBidi" w:hAnsiTheme="majorBidi" w:cstheme="majorBidi"/>
          <w:szCs w:val="22"/>
        </w:rPr>
      </w:pPr>
      <w:r>
        <w:rPr>
          <w:rFonts w:asciiTheme="majorBidi" w:hAnsiTheme="majorBidi" w:cstheme="majorBidi"/>
          <w:szCs w:val="22"/>
          <w:u w:val="single"/>
        </w:rPr>
        <w:t>Dasatinib Accord Healthcare 80 mg ili 140 mg filmom obložene tablete</w:t>
      </w:r>
    </w:p>
    <w:p w14:paraId="0B8D5FA4" w14:textId="77777777" w:rsidR="007813B5" w:rsidRDefault="007813B5" w:rsidP="007813B5">
      <w:pPr>
        <w:pStyle w:val="BodyText"/>
        <w:widowControl/>
        <w:rPr>
          <w:rFonts w:asciiTheme="majorBidi" w:hAnsiTheme="majorBidi" w:cstheme="majorBidi"/>
          <w:szCs w:val="22"/>
        </w:rPr>
      </w:pPr>
    </w:p>
    <w:p w14:paraId="499ADBD0" w14:textId="09E79477"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OPA/</w:t>
      </w:r>
      <w:r w:rsidR="00D70E56">
        <w:rPr>
          <w:rFonts w:asciiTheme="majorBidi" w:hAnsiTheme="majorBidi" w:cstheme="majorBidi"/>
          <w:szCs w:val="22"/>
        </w:rPr>
        <w:t>Alu</w:t>
      </w:r>
      <w:r>
        <w:rPr>
          <w:rFonts w:asciiTheme="majorBidi" w:hAnsiTheme="majorBidi" w:cstheme="majorBidi"/>
          <w:szCs w:val="22"/>
        </w:rPr>
        <w:t>/PVC/</w:t>
      </w:r>
      <w:r w:rsidR="00404A6F">
        <w:rPr>
          <w:rFonts w:asciiTheme="majorBidi" w:hAnsiTheme="majorBidi" w:cstheme="majorBidi"/>
          <w:szCs w:val="22"/>
        </w:rPr>
        <w:t>/</w:t>
      </w:r>
      <w:r w:rsidR="00D70E56">
        <w:rPr>
          <w:rFonts w:asciiTheme="majorBidi" w:hAnsiTheme="majorBidi" w:cstheme="majorBidi"/>
          <w:szCs w:val="22"/>
        </w:rPr>
        <w:t>Alu</w:t>
      </w:r>
      <w:r>
        <w:rPr>
          <w:rFonts w:asciiTheme="majorBidi" w:hAnsiTheme="majorBidi" w:cstheme="majorBidi"/>
          <w:szCs w:val="22"/>
        </w:rPr>
        <w:t xml:space="preserve"> blisteri (blisteri ili perforirani blisteri </w:t>
      </w:r>
      <w:r w:rsidR="00404A6F">
        <w:rPr>
          <w:rFonts w:asciiTheme="majorBidi" w:hAnsiTheme="majorBidi" w:cstheme="majorBidi"/>
          <w:szCs w:val="22"/>
        </w:rPr>
        <w:t xml:space="preserve">s </w:t>
      </w:r>
      <w:r>
        <w:rPr>
          <w:rFonts w:asciiTheme="majorBidi" w:hAnsiTheme="majorBidi" w:cstheme="majorBidi"/>
          <w:szCs w:val="22"/>
        </w:rPr>
        <w:t>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54EF8E1B" w14:textId="77777777" w:rsidR="007813B5" w:rsidRDefault="007813B5" w:rsidP="007813B5">
      <w:pPr>
        <w:pStyle w:val="BodyText"/>
        <w:widowControl/>
        <w:rPr>
          <w:rFonts w:asciiTheme="majorBidi" w:hAnsiTheme="majorBidi" w:cstheme="majorBidi"/>
          <w:szCs w:val="22"/>
        </w:rPr>
      </w:pPr>
    </w:p>
    <w:p w14:paraId="052B8FF5" w14:textId="520C04DB"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7D1972">
        <w:rPr>
          <w:rFonts w:asciiTheme="majorBidi" w:hAnsiTheme="majorBidi" w:cstheme="majorBidi"/>
          <w:szCs w:val="22"/>
        </w:rPr>
        <w:t>30</w:t>
      </w:r>
      <w:r>
        <w:rPr>
          <w:rFonts w:asciiTheme="majorBidi" w:hAnsiTheme="majorBidi" w:cstheme="majorBidi"/>
          <w:szCs w:val="22"/>
        </w:rPr>
        <w:t xml:space="preserve"> ili </w:t>
      </w:r>
      <w:r w:rsidR="007D1972">
        <w:rPr>
          <w:rFonts w:asciiTheme="majorBidi" w:hAnsiTheme="majorBidi" w:cstheme="majorBidi"/>
          <w:szCs w:val="22"/>
        </w:rPr>
        <w:t>56</w:t>
      </w:r>
      <w:r>
        <w:rPr>
          <w:rFonts w:asciiTheme="majorBidi" w:hAnsiTheme="majorBidi" w:cstheme="majorBidi"/>
          <w:szCs w:val="22"/>
        </w:rPr>
        <w:t> filmom obloženih tableta u blisterima.</w:t>
      </w:r>
    </w:p>
    <w:p w14:paraId="3AA64895" w14:textId="6CD94675"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35267D">
        <w:rPr>
          <w:rFonts w:asciiTheme="majorBidi" w:hAnsiTheme="majorBidi" w:cstheme="majorBidi"/>
          <w:szCs w:val="22"/>
        </w:rPr>
        <w:t xml:space="preserve">10 x 1, </w:t>
      </w:r>
      <w:r w:rsidR="007D1972">
        <w:rPr>
          <w:rFonts w:asciiTheme="majorBidi" w:hAnsiTheme="majorBidi" w:cstheme="majorBidi"/>
          <w:szCs w:val="22"/>
        </w:rPr>
        <w:t>30 x 1 ili 56 x 1</w:t>
      </w:r>
      <w:r>
        <w:rPr>
          <w:rFonts w:asciiTheme="majorBidi" w:hAnsiTheme="majorBidi" w:cstheme="majorBidi"/>
          <w:szCs w:val="22"/>
        </w:rPr>
        <w:t xml:space="preserve"> filmom obloženu tabletu u perforiranim blisterima </w:t>
      </w:r>
      <w:r w:rsidR="00404A6F">
        <w:rPr>
          <w:rFonts w:asciiTheme="majorBidi" w:hAnsiTheme="majorBidi" w:cstheme="majorBidi"/>
          <w:szCs w:val="22"/>
        </w:rPr>
        <w:t>s</w:t>
      </w:r>
      <w:r>
        <w:rPr>
          <w:rFonts w:asciiTheme="majorBidi" w:hAnsiTheme="majorBidi" w:cstheme="majorBidi"/>
          <w:szCs w:val="22"/>
        </w:rPr>
        <w:t xml:space="preserve"> jediničn</w:t>
      </w:r>
      <w:r w:rsidR="00404A6F">
        <w:rPr>
          <w:rFonts w:asciiTheme="majorBidi" w:hAnsiTheme="majorBidi" w:cstheme="majorBidi"/>
          <w:szCs w:val="22"/>
        </w:rPr>
        <w:t>im</w:t>
      </w:r>
      <w:r>
        <w:rPr>
          <w:rFonts w:asciiTheme="majorBidi" w:hAnsiTheme="majorBidi" w:cstheme="majorBidi"/>
          <w:szCs w:val="22"/>
        </w:rPr>
        <w:t xml:space="preserve"> doz</w:t>
      </w:r>
      <w:r w:rsidR="00404A6F">
        <w:rPr>
          <w:rFonts w:asciiTheme="majorBidi" w:hAnsiTheme="majorBidi" w:cstheme="majorBidi"/>
          <w:szCs w:val="22"/>
        </w:rPr>
        <w:t>ama</w:t>
      </w:r>
      <w:r>
        <w:rPr>
          <w:rFonts w:asciiTheme="majorBidi" w:hAnsiTheme="majorBidi" w:cstheme="majorBidi"/>
          <w:szCs w:val="22"/>
        </w:rPr>
        <w:t>.</w:t>
      </w:r>
    </w:p>
    <w:p w14:paraId="18FAFB34" w14:textId="77777777" w:rsidR="007813B5" w:rsidRDefault="007813B5" w:rsidP="007813B5">
      <w:pPr>
        <w:pStyle w:val="BodyText"/>
        <w:widowControl/>
        <w:rPr>
          <w:rFonts w:asciiTheme="majorBidi" w:hAnsiTheme="majorBidi" w:cstheme="majorBidi"/>
          <w:szCs w:val="22"/>
        </w:rPr>
      </w:pPr>
    </w:p>
    <w:p w14:paraId="0B9465A0" w14:textId="3AD5FFF4" w:rsidR="007813B5" w:rsidRDefault="007813B5" w:rsidP="007813B5">
      <w:pPr>
        <w:pStyle w:val="BodyText"/>
        <w:widowControl/>
        <w:rPr>
          <w:rFonts w:asciiTheme="majorBidi" w:hAnsiTheme="majorBidi" w:cstheme="majorBidi"/>
          <w:szCs w:val="22"/>
        </w:rPr>
      </w:pPr>
      <w:r>
        <w:rPr>
          <w:rFonts w:asciiTheme="majorBidi" w:hAnsiTheme="majorBidi" w:cstheme="majorBidi"/>
          <w:szCs w:val="22"/>
          <w:u w:val="single"/>
        </w:rPr>
        <w:t>Dasatinib Accord Healthcare 100 mg filmom obložene tablete</w:t>
      </w:r>
    </w:p>
    <w:p w14:paraId="570B7394" w14:textId="77777777" w:rsidR="007813B5" w:rsidRDefault="007813B5" w:rsidP="007813B5">
      <w:pPr>
        <w:pStyle w:val="BodyText"/>
        <w:widowControl/>
        <w:rPr>
          <w:rFonts w:asciiTheme="majorBidi" w:hAnsiTheme="majorBidi" w:cstheme="majorBidi"/>
          <w:szCs w:val="22"/>
        </w:rPr>
      </w:pPr>
    </w:p>
    <w:p w14:paraId="6D5DE767" w14:textId="5951BFD0"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OPA/</w:t>
      </w:r>
      <w:r w:rsidR="00D70E56">
        <w:rPr>
          <w:rFonts w:asciiTheme="majorBidi" w:hAnsiTheme="majorBidi" w:cstheme="majorBidi"/>
          <w:szCs w:val="22"/>
        </w:rPr>
        <w:t>Alu</w:t>
      </w:r>
      <w:r>
        <w:rPr>
          <w:rFonts w:asciiTheme="majorBidi" w:hAnsiTheme="majorBidi" w:cstheme="majorBidi"/>
          <w:szCs w:val="22"/>
        </w:rPr>
        <w:t>/PVC/</w:t>
      </w:r>
      <w:r w:rsidR="004128B6">
        <w:rPr>
          <w:rFonts w:asciiTheme="majorBidi" w:hAnsiTheme="majorBidi" w:cstheme="majorBidi"/>
          <w:szCs w:val="22"/>
        </w:rPr>
        <w:t>/</w:t>
      </w:r>
      <w:r w:rsidR="00D70E56">
        <w:rPr>
          <w:rFonts w:asciiTheme="majorBidi" w:hAnsiTheme="majorBidi" w:cstheme="majorBidi"/>
          <w:szCs w:val="22"/>
        </w:rPr>
        <w:t>Alu</w:t>
      </w:r>
      <w:r>
        <w:rPr>
          <w:rFonts w:asciiTheme="majorBidi" w:hAnsiTheme="majorBidi" w:cstheme="majorBidi"/>
          <w:szCs w:val="22"/>
        </w:rPr>
        <w:t xml:space="preserve"> blisteri (blisteri ili perforirani blisteri </w:t>
      </w:r>
      <w:r w:rsidR="004128B6">
        <w:rPr>
          <w:rFonts w:asciiTheme="majorBidi" w:hAnsiTheme="majorBidi" w:cstheme="majorBidi"/>
          <w:szCs w:val="22"/>
        </w:rPr>
        <w:t>s</w:t>
      </w:r>
      <w:r>
        <w:rPr>
          <w:rFonts w:asciiTheme="majorBidi" w:hAnsiTheme="majorBidi" w:cstheme="majorBidi"/>
          <w:szCs w:val="22"/>
        </w:rPr>
        <w:t xml:space="preserve"> jediničn</w:t>
      </w:r>
      <w:r w:rsidR="004128B6">
        <w:rPr>
          <w:rFonts w:asciiTheme="majorBidi" w:hAnsiTheme="majorBidi" w:cstheme="majorBidi"/>
          <w:szCs w:val="22"/>
        </w:rPr>
        <w:t>im</w:t>
      </w:r>
      <w:r>
        <w:rPr>
          <w:rFonts w:asciiTheme="majorBidi" w:hAnsiTheme="majorBidi" w:cstheme="majorBidi"/>
          <w:szCs w:val="22"/>
        </w:rPr>
        <w:t xml:space="preserve"> doz</w:t>
      </w:r>
      <w:r w:rsidR="004128B6">
        <w:rPr>
          <w:rFonts w:asciiTheme="majorBidi" w:hAnsiTheme="majorBidi" w:cstheme="majorBidi"/>
          <w:szCs w:val="22"/>
        </w:rPr>
        <w:t>ama</w:t>
      </w:r>
      <w:r>
        <w:rPr>
          <w:rFonts w:asciiTheme="majorBidi" w:hAnsiTheme="majorBidi" w:cstheme="majorBidi"/>
          <w:szCs w:val="22"/>
        </w:rPr>
        <w:t>).</w:t>
      </w:r>
    </w:p>
    <w:p w14:paraId="4683572C" w14:textId="77777777" w:rsidR="007813B5" w:rsidRDefault="007813B5" w:rsidP="007813B5">
      <w:pPr>
        <w:pStyle w:val="BodyText"/>
        <w:widowControl/>
        <w:rPr>
          <w:rFonts w:asciiTheme="majorBidi" w:hAnsiTheme="majorBidi" w:cstheme="majorBidi"/>
          <w:szCs w:val="22"/>
        </w:rPr>
      </w:pPr>
    </w:p>
    <w:p w14:paraId="37B41D75" w14:textId="7FEFFEBD" w:rsidR="007813B5" w:rsidRDefault="007813B5" w:rsidP="007813B5">
      <w:pPr>
        <w:pStyle w:val="BodyText"/>
        <w:widowControl/>
        <w:rPr>
          <w:rFonts w:asciiTheme="majorBidi" w:hAnsiTheme="majorBidi" w:cstheme="majorBidi"/>
          <w:szCs w:val="22"/>
        </w:rPr>
      </w:pPr>
      <w:r>
        <w:rPr>
          <w:rFonts w:asciiTheme="majorBidi" w:hAnsiTheme="majorBidi" w:cstheme="majorBidi"/>
          <w:szCs w:val="22"/>
        </w:rPr>
        <w:t xml:space="preserve">Kutija sadrži 30 ili </w:t>
      </w:r>
      <w:r w:rsidR="00BA3D7F">
        <w:rPr>
          <w:rFonts w:asciiTheme="majorBidi" w:hAnsiTheme="majorBidi" w:cstheme="majorBidi"/>
          <w:szCs w:val="22"/>
        </w:rPr>
        <w:t>56</w:t>
      </w:r>
      <w:r>
        <w:rPr>
          <w:rFonts w:asciiTheme="majorBidi" w:hAnsiTheme="majorBidi" w:cstheme="majorBidi"/>
          <w:szCs w:val="22"/>
        </w:rPr>
        <w:t> filmom obloženih tableta u blisterima.</w:t>
      </w:r>
    </w:p>
    <w:p w14:paraId="259B33DA" w14:textId="5994DC58" w:rsidR="007813B5" w:rsidRPr="00F25CE6" w:rsidRDefault="007813B5">
      <w:pPr>
        <w:pStyle w:val="BodyText"/>
        <w:widowControl/>
        <w:rPr>
          <w:rFonts w:asciiTheme="majorBidi" w:hAnsiTheme="majorBidi" w:cstheme="majorBidi"/>
          <w:szCs w:val="22"/>
        </w:rPr>
      </w:pPr>
      <w:r>
        <w:rPr>
          <w:rFonts w:asciiTheme="majorBidi" w:hAnsiTheme="majorBidi" w:cstheme="majorBidi"/>
          <w:szCs w:val="22"/>
        </w:rPr>
        <w:t xml:space="preserve">Kutija sadrži </w:t>
      </w:r>
      <w:r w:rsidR="0035267D">
        <w:rPr>
          <w:rFonts w:asciiTheme="majorBidi" w:hAnsiTheme="majorBidi" w:cstheme="majorBidi"/>
          <w:szCs w:val="22"/>
        </w:rPr>
        <w:t xml:space="preserve">10 x 1, </w:t>
      </w:r>
      <w:r>
        <w:rPr>
          <w:rFonts w:asciiTheme="majorBidi" w:hAnsiTheme="majorBidi" w:cstheme="majorBidi"/>
          <w:szCs w:val="22"/>
        </w:rPr>
        <w:t xml:space="preserve">30 x 1 ili </w:t>
      </w:r>
      <w:r w:rsidR="00BA3D7F">
        <w:rPr>
          <w:rFonts w:asciiTheme="majorBidi" w:hAnsiTheme="majorBidi" w:cstheme="majorBidi"/>
          <w:szCs w:val="22"/>
        </w:rPr>
        <w:t>5</w:t>
      </w:r>
      <w:r>
        <w:rPr>
          <w:rFonts w:asciiTheme="majorBidi" w:hAnsiTheme="majorBidi" w:cstheme="majorBidi"/>
          <w:szCs w:val="22"/>
        </w:rPr>
        <w:t xml:space="preserve">6 x 1 filmom obloženu tabletu u perforiranim blisterima </w:t>
      </w:r>
      <w:r w:rsidR="00BA3D7F">
        <w:rPr>
          <w:rFonts w:asciiTheme="majorBidi" w:hAnsiTheme="majorBidi" w:cstheme="majorBidi"/>
          <w:szCs w:val="22"/>
        </w:rPr>
        <w:t xml:space="preserve">s </w:t>
      </w:r>
      <w:r>
        <w:rPr>
          <w:rFonts w:asciiTheme="majorBidi" w:hAnsiTheme="majorBidi" w:cstheme="majorBidi"/>
          <w:szCs w:val="22"/>
        </w:rPr>
        <w:t>jediničn</w:t>
      </w:r>
      <w:r w:rsidR="00BA3D7F">
        <w:rPr>
          <w:rFonts w:asciiTheme="majorBidi" w:hAnsiTheme="majorBidi" w:cstheme="majorBidi"/>
          <w:szCs w:val="22"/>
        </w:rPr>
        <w:t>im</w:t>
      </w:r>
      <w:r>
        <w:rPr>
          <w:rFonts w:asciiTheme="majorBidi" w:hAnsiTheme="majorBidi" w:cstheme="majorBidi"/>
          <w:szCs w:val="22"/>
        </w:rPr>
        <w:t xml:space="preserve"> doz</w:t>
      </w:r>
      <w:r w:rsidR="00BA3D7F">
        <w:rPr>
          <w:rFonts w:asciiTheme="majorBidi" w:hAnsiTheme="majorBidi" w:cstheme="majorBidi"/>
          <w:szCs w:val="22"/>
        </w:rPr>
        <w:t>ama</w:t>
      </w:r>
      <w:r>
        <w:rPr>
          <w:rFonts w:asciiTheme="majorBidi" w:hAnsiTheme="majorBidi" w:cstheme="majorBidi"/>
          <w:szCs w:val="22"/>
        </w:rPr>
        <w:t>.</w:t>
      </w:r>
    </w:p>
    <w:p w14:paraId="183B3CCB" w14:textId="77777777" w:rsidR="007813B5" w:rsidRPr="00F25CE6" w:rsidRDefault="007813B5">
      <w:pPr>
        <w:pStyle w:val="BodyText"/>
        <w:widowControl/>
        <w:rPr>
          <w:rFonts w:asciiTheme="majorBidi" w:hAnsiTheme="majorBidi" w:cstheme="majorBidi"/>
          <w:szCs w:val="22"/>
        </w:rPr>
      </w:pPr>
    </w:p>
    <w:p w14:paraId="071E616F" w14:textId="6BD9CF95"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Na tržištu se ne moraju nalaziti sve veličine pakiranja.</w:t>
      </w:r>
    </w:p>
    <w:p w14:paraId="338C962C" w14:textId="77777777" w:rsidR="00AF7ABC" w:rsidRPr="00F25CE6" w:rsidRDefault="00AF7ABC" w:rsidP="00F25CE6">
      <w:pPr>
        <w:pStyle w:val="BodyText"/>
        <w:widowControl/>
        <w:rPr>
          <w:rFonts w:asciiTheme="majorBidi" w:hAnsiTheme="majorBidi" w:cstheme="majorBidi"/>
          <w:szCs w:val="22"/>
        </w:rPr>
      </w:pPr>
    </w:p>
    <w:p w14:paraId="3369EE53" w14:textId="77777777" w:rsidR="00AF7ABC" w:rsidRPr="00F25CE6" w:rsidRDefault="00422138" w:rsidP="00396A82">
      <w:pPr>
        <w:pStyle w:val="Heading2"/>
      </w:pPr>
      <w:r w:rsidRPr="00F25CE6">
        <w:t>Posebne mjere za zbrinjavanje i druga rukovanja lijekom</w:t>
      </w:r>
    </w:p>
    <w:p w14:paraId="01E8C5EA" w14:textId="77777777" w:rsidR="00AF7ABC" w:rsidRPr="00F25CE6" w:rsidRDefault="00AF7ABC" w:rsidP="00F25CE6">
      <w:pPr>
        <w:pStyle w:val="BodyText"/>
        <w:widowControl/>
        <w:rPr>
          <w:rFonts w:asciiTheme="majorBidi" w:hAnsiTheme="majorBidi" w:cstheme="majorBidi"/>
          <w:b/>
          <w:szCs w:val="22"/>
        </w:rPr>
      </w:pPr>
    </w:p>
    <w:p w14:paraId="59FD5ABA" w14:textId="4A3CCBE0" w:rsidR="00AF7ABC" w:rsidRPr="00F25CE6" w:rsidRDefault="00A0587F" w:rsidP="00F25CE6">
      <w:pPr>
        <w:pStyle w:val="BodyText"/>
        <w:widowControl/>
        <w:rPr>
          <w:rFonts w:asciiTheme="majorBidi" w:hAnsiTheme="majorBidi" w:cstheme="majorBidi"/>
          <w:szCs w:val="22"/>
        </w:rPr>
      </w:pPr>
      <w:r>
        <w:t xml:space="preserve">Filmom obložene tablete se sastoje od jezgre tablete obložene film ovojnicom kako bi se spriječilo izlaganje zdravstvenih radnika djelatnoj tvari. </w:t>
      </w:r>
      <w:r w:rsidR="00422138" w:rsidRPr="00F25CE6">
        <w:rPr>
          <w:rFonts w:asciiTheme="majorBidi" w:hAnsiTheme="majorBidi" w:cstheme="majorBidi"/>
          <w:szCs w:val="22"/>
        </w:rPr>
        <w:t>Pri rukovanju nenamjerno zdrobljenim ili prelomljenim tabletama preporučuje se koristiti rukavice od lateksa ili nitrila, kako bi se minimalizirao rizik od izlaganja putem kože.</w:t>
      </w:r>
    </w:p>
    <w:p w14:paraId="678E7EAB" w14:textId="77777777" w:rsidR="00AF7ABC" w:rsidRPr="00F25CE6" w:rsidRDefault="00AF7ABC" w:rsidP="00F25CE6">
      <w:pPr>
        <w:pStyle w:val="BodyText"/>
        <w:widowControl/>
        <w:rPr>
          <w:rFonts w:asciiTheme="majorBidi" w:hAnsiTheme="majorBidi" w:cstheme="majorBidi"/>
          <w:szCs w:val="22"/>
        </w:rPr>
      </w:pPr>
    </w:p>
    <w:p w14:paraId="609E4295"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Neiskorišteni lijek ili otpadni materijal potrebno je zbrinuti sukladno nacionalnim propisima.</w:t>
      </w:r>
    </w:p>
    <w:p w14:paraId="326D2D84" w14:textId="77777777" w:rsidR="00AF7ABC" w:rsidRPr="00F25CE6" w:rsidRDefault="00AF7ABC" w:rsidP="00F25CE6">
      <w:pPr>
        <w:pStyle w:val="BodyText"/>
        <w:widowControl/>
        <w:rPr>
          <w:rFonts w:asciiTheme="majorBidi" w:hAnsiTheme="majorBidi" w:cstheme="majorBidi"/>
          <w:szCs w:val="22"/>
        </w:rPr>
      </w:pPr>
    </w:p>
    <w:p w14:paraId="2177DD33" w14:textId="77777777" w:rsidR="00AF7ABC" w:rsidRPr="00F25CE6" w:rsidRDefault="00AF7ABC" w:rsidP="00F25CE6">
      <w:pPr>
        <w:pStyle w:val="BodyText"/>
        <w:widowControl/>
        <w:rPr>
          <w:rFonts w:asciiTheme="majorBidi" w:hAnsiTheme="majorBidi" w:cstheme="majorBidi"/>
          <w:szCs w:val="22"/>
        </w:rPr>
      </w:pPr>
    </w:p>
    <w:p w14:paraId="0E6DA281" w14:textId="77777777" w:rsidR="00AF7ABC" w:rsidRPr="00F25CE6" w:rsidRDefault="00422138" w:rsidP="00503528">
      <w:pPr>
        <w:pStyle w:val="Heading1"/>
      </w:pPr>
      <w:r w:rsidRPr="00F25CE6">
        <w:t>NOSITELJ ODOBRENJA ZA STAVLJANJE LIJEKA U PROMET</w:t>
      </w:r>
    </w:p>
    <w:p w14:paraId="1EFFF273" w14:textId="77777777" w:rsidR="00AF7ABC" w:rsidRPr="00F25CE6" w:rsidRDefault="00AF7ABC" w:rsidP="00F25CE6">
      <w:pPr>
        <w:pStyle w:val="BodyText"/>
        <w:widowControl/>
        <w:rPr>
          <w:rFonts w:asciiTheme="majorBidi" w:hAnsiTheme="majorBidi" w:cstheme="majorBidi"/>
          <w:b/>
          <w:szCs w:val="22"/>
        </w:rPr>
      </w:pPr>
    </w:p>
    <w:p w14:paraId="32F0822F" w14:textId="77777777" w:rsidR="00AA1FC5" w:rsidRPr="00993D25" w:rsidRDefault="00AA1FC5" w:rsidP="00AA1FC5">
      <w:r w:rsidRPr="00993D25">
        <w:t>Accord Healthcare S.L.U.</w:t>
      </w:r>
    </w:p>
    <w:p w14:paraId="4FBF0D74" w14:textId="74304089" w:rsidR="00AA1FC5" w:rsidRPr="00993D25" w:rsidRDefault="00AA1FC5" w:rsidP="00AA1FC5">
      <w:r w:rsidRPr="00993D25">
        <w:t xml:space="preserve">World Trade Center, Moll </w:t>
      </w:r>
      <w:r>
        <w:t>d</w:t>
      </w:r>
      <w:r w:rsidRPr="00993D25">
        <w:t>e Barcelona</w:t>
      </w:r>
      <w:r>
        <w:t>, s/n</w:t>
      </w:r>
    </w:p>
    <w:p w14:paraId="6F7406CF" w14:textId="7A28B6A9" w:rsidR="00AA1FC5" w:rsidRDefault="00AA1FC5" w:rsidP="00AA1FC5">
      <w:r w:rsidRPr="00993D25">
        <w:t>Edifici Est, 6</w:t>
      </w:r>
      <w:r w:rsidRPr="0059414D">
        <w:rPr>
          <w:vertAlign w:val="superscript"/>
        </w:rPr>
        <w:t>a</w:t>
      </w:r>
      <w:r w:rsidRPr="00993D25">
        <w:t xml:space="preserve"> Planta</w:t>
      </w:r>
    </w:p>
    <w:p w14:paraId="51363413" w14:textId="06F46B02" w:rsidR="00AA1FC5" w:rsidRDefault="00AA1FC5" w:rsidP="00AA1FC5">
      <w:r w:rsidRPr="00993D25">
        <w:t>08039</w:t>
      </w:r>
      <w:r>
        <w:t xml:space="preserve"> </w:t>
      </w:r>
      <w:r w:rsidRPr="00745EC5">
        <w:t>Barcelona</w:t>
      </w:r>
    </w:p>
    <w:p w14:paraId="2778A6ED" w14:textId="25056AF7" w:rsidR="00AA1FC5" w:rsidRPr="00993D25" w:rsidRDefault="00AA1FC5" w:rsidP="00AA1FC5">
      <w:r>
        <w:t>Španjolska</w:t>
      </w:r>
    </w:p>
    <w:p w14:paraId="645733F3" w14:textId="6204127F" w:rsidR="00A15E8A" w:rsidRDefault="00A15E8A" w:rsidP="00F25CE6">
      <w:pPr>
        <w:widowControl/>
        <w:rPr>
          <w:rFonts w:asciiTheme="majorBidi" w:hAnsiTheme="majorBidi" w:cstheme="majorBidi"/>
        </w:rPr>
      </w:pPr>
    </w:p>
    <w:p w14:paraId="51468740" w14:textId="77777777" w:rsidR="00106F7D" w:rsidRPr="00F25CE6" w:rsidRDefault="00106F7D" w:rsidP="00F25CE6">
      <w:pPr>
        <w:widowControl/>
        <w:rPr>
          <w:rFonts w:asciiTheme="majorBidi" w:hAnsiTheme="majorBidi" w:cstheme="majorBidi"/>
        </w:rPr>
      </w:pPr>
    </w:p>
    <w:p w14:paraId="0070D204" w14:textId="77777777" w:rsidR="00AF7ABC" w:rsidRPr="00F25CE6" w:rsidRDefault="00422138" w:rsidP="00396A82">
      <w:pPr>
        <w:pStyle w:val="Heading1"/>
      </w:pPr>
      <w:r w:rsidRPr="00F25CE6">
        <w:t>BROJ(EVI) ODOBRENJA ZA STAVLJANJE LIJEKA U PROMET</w:t>
      </w:r>
    </w:p>
    <w:p w14:paraId="617B765D" w14:textId="77777777" w:rsidR="00106F7D" w:rsidRDefault="00106F7D" w:rsidP="0032669E">
      <w:pPr>
        <w:rPr>
          <w:noProof/>
        </w:rPr>
      </w:pPr>
    </w:p>
    <w:p w14:paraId="21E9868C" w14:textId="19BF786C" w:rsidR="0032669E" w:rsidRPr="002C3132" w:rsidRDefault="0032669E" w:rsidP="0032669E">
      <w:pPr>
        <w:rPr>
          <w:noProof/>
        </w:rPr>
      </w:pPr>
      <w:r w:rsidRPr="002C3132">
        <w:rPr>
          <w:noProof/>
        </w:rPr>
        <w:t>20</w:t>
      </w:r>
      <w:r>
        <w:rPr>
          <w:noProof/>
        </w:rPr>
        <w:t> </w:t>
      </w:r>
      <w:r w:rsidRPr="002C3132">
        <w:rPr>
          <w:noProof/>
        </w:rPr>
        <w:t>mg:</w:t>
      </w:r>
    </w:p>
    <w:p w14:paraId="16DB725E" w14:textId="77777777" w:rsidR="0032669E" w:rsidRPr="002C3132" w:rsidRDefault="0032669E" w:rsidP="0032669E">
      <w:pPr>
        <w:rPr>
          <w:noProof/>
        </w:rPr>
      </w:pPr>
      <w:r w:rsidRPr="002C3132">
        <w:rPr>
          <w:noProof/>
        </w:rPr>
        <w:t>EU/1/24/1839/001</w:t>
      </w:r>
    </w:p>
    <w:p w14:paraId="7BBF3AE4" w14:textId="77777777" w:rsidR="0032669E" w:rsidRPr="002C3132" w:rsidRDefault="0032669E" w:rsidP="0032669E">
      <w:pPr>
        <w:rPr>
          <w:noProof/>
        </w:rPr>
      </w:pPr>
      <w:r w:rsidRPr="002C3132">
        <w:rPr>
          <w:noProof/>
        </w:rPr>
        <w:t>EU/1/24/1839/002</w:t>
      </w:r>
    </w:p>
    <w:p w14:paraId="72432640" w14:textId="77777777" w:rsidR="0032669E" w:rsidRPr="002C3132" w:rsidRDefault="0032669E" w:rsidP="0032669E">
      <w:pPr>
        <w:rPr>
          <w:noProof/>
        </w:rPr>
      </w:pPr>
      <w:r w:rsidRPr="002C3132">
        <w:rPr>
          <w:noProof/>
        </w:rPr>
        <w:t>EU/1/24/1839/003</w:t>
      </w:r>
    </w:p>
    <w:p w14:paraId="151F54F9" w14:textId="77777777" w:rsidR="0032669E" w:rsidRPr="00310EA0" w:rsidRDefault="0032669E" w:rsidP="0032669E">
      <w:pPr>
        <w:rPr>
          <w:noProof/>
          <w:lang w:val="pl-PL"/>
        </w:rPr>
      </w:pPr>
      <w:r w:rsidRPr="00310EA0">
        <w:rPr>
          <w:noProof/>
          <w:lang w:val="pl-PL"/>
        </w:rPr>
        <w:t>EU/1/24/1839/004</w:t>
      </w:r>
    </w:p>
    <w:p w14:paraId="327D2DC6" w14:textId="5FF81BA7" w:rsidR="0035267D" w:rsidRPr="00310EA0" w:rsidRDefault="0035267D" w:rsidP="0032669E">
      <w:pPr>
        <w:rPr>
          <w:noProof/>
          <w:lang w:val="pl-PL"/>
        </w:rPr>
      </w:pPr>
      <w:r w:rsidRPr="00310EA0">
        <w:rPr>
          <w:noProof/>
          <w:lang w:val="pl-PL"/>
        </w:rPr>
        <w:t>EU/1/24/1839/0</w:t>
      </w:r>
      <w:r w:rsidR="00C410FA" w:rsidRPr="00310EA0">
        <w:rPr>
          <w:noProof/>
          <w:lang w:val="pl-PL"/>
        </w:rPr>
        <w:t>25</w:t>
      </w:r>
    </w:p>
    <w:p w14:paraId="6E0B8156" w14:textId="77777777" w:rsidR="0032669E" w:rsidRPr="002C3132" w:rsidRDefault="0032669E" w:rsidP="0032669E">
      <w:pPr>
        <w:rPr>
          <w:noProof/>
        </w:rPr>
      </w:pPr>
    </w:p>
    <w:p w14:paraId="4A6DB8E0" w14:textId="2FE6B41D" w:rsidR="0032669E" w:rsidRPr="002C3132" w:rsidRDefault="0032669E" w:rsidP="0032669E">
      <w:pPr>
        <w:rPr>
          <w:noProof/>
        </w:rPr>
      </w:pPr>
      <w:r w:rsidRPr="002C3132">
        <w:rPr>
          <w:noProof/>
        </w:rPr>
        <w:t>50</w:t>
      </w:r>
      <w:r>
        <w:rPr>
          <w:noProof/>
        </w:rPr>
        <w:t> </w:t>
      </w:r>
      <w:r w:rsidRPr="002C3132">
        <w:rPr>
          <w:noProof/>
        </w:rPr>
        <w:t>mg:</w:t>
      </w:r>
    </w:p>
    <w:p w14:paraId="6E5A544C" w14:textId="77777777" w:rsidR="0032669E" w:rsidRPr="002C3132" w:rsidRDefault="0032669E" w:rsidP="0032669E">
      <w:pPr>
        <w:rPr>
          <w:noProof/>
        </w:rPr>
      </w:pPr>
      <w:r w:rsidRPr="002C3132">
        <w:rPr>
          <w:noProof/>
        </w:rPr>
        <w:t>EU/1/24/1839/005</w:t>
      </w:r>
    </w:p>
    <w:p w14:paraId="1A60C92B" w14:textId="77777777" w:rsidR="0032669E" w:rsidRPr="002C3132" w:rsidRDefault="0032669E" w:rsidP="0032669E">
      <w:pPr>
        <w:rPr>
          <w:noProof/>
        </w:rPr>
      </w:pPr>
      <w:r w:rsidRPr="002C3132">
        <w:rPr>
          <w:noProof/>
        </w:rPr>
        <w:t>EU/1/24/1839/006</w:t>
      </w:r>
    </w:p>
    <w:p w14:paraId="0E123D48" w14:textId="77777777" w:rsidR="0032669E" w:rsidRPr="002C3132" w:rsidRDefault="0032669E" w:rsidP="0032669E">
      <w:pPr>
        <w:rPr>
          <w:noProof/>
        </w:rPr>
      </w:pPr>
      <w:r w:rsidRPr="002C3132">
        <w:rPr>
          <w:noProof/>
        </w:rPr>
        <w:t>EU/1/24/1839/007</w:t>
      </w:r>
    </w:p>
    <w:p w14:paraId="6CC5B1A5" w14:textId="77777777" w:rsidR="0032669E" w:rsidRPr="00310EA0" w:rsidRDefault="0032669E" w:rsidP="0032669E">
      <w:pPr>
        <w:rPr>
          <w:noProof/>
          <w:lang w:val="pl-PL"/>
        </w:rPr>
      </w:pPr>
      <w:r w:rsidRPr="00310EA0">
        <w:rPr>
          <w:noProof/>
          <w:lang w:val="pl-PL"/>
        </w:rPr>
        <w:t>EU/1/24/1839/008</w:t>
      </w:r>
    </w:p>
    <w:p w14:paraId="3C215236" w14:textId="7D29BFB1" w:rsidR="0035267D" w:rsidRPr="00310EA0" w:rsidRDefault="0035267D" w:rsidP="0032669E">
      <w:pPr>
        <w:rPr>
          <w:noProof/>
          <w:lang w:val="pl-PL"/>
        </w:rPr>
      </w:pPr>
      <w:r w:rsidRPr="00310EA0">
        <w:rPr>
          <w:noProof/>
          <w:lang w:val="pl-PL"/>
        </w:rPr>
        <w:t>EU/1/24/1839/0</w:t>
      </w:r>
      <w:r w:rsidR="00C410FA" w:rsidRPr="00310EA0">
        <w:rPr>
          <w:noProof/>
          <w:lang w:val="pl-PL"/>
        </w:rPr>
        <w:t>26</w:t>
      </w:r>
    </w:p>
    <w:p w14:paraId="773CF382" w14:textId="77777777" w:rsidR="0032669E" w:rsidRPr="002C3132" w:rsidRDefault="0032669E" w:rsidP="0032669E">
      <w:pPr>
        <w:rPr>
          <w:noProof/>
        </w:rPr>
      </w:pPr>
    </w:p>
    <w:p w14:paraId="7856CA12" w14:textId="0020BB4F" w:rsidR="0032669E" w:rsidRPr="002C3132" w:rsidRDefault="0032669E" w:rsidP="0032669E">
      <w:pPr>
        <w:rPr>
          <w:noProof/>
        </w:rPr>
      </w:pPr>
      <w:r w:rsidRPr="002C3132">
        <w:rPr>
          <w:noProof/>
        </w:rPr>
        <w:t>70</w:t>
      </w:r>
      <w:r>
        <w:rPr>
          <w:noProof/>
        </w:rPr>
        <w:t> </w:t>
      </w:r>
      <w:r w:rsidRPr="002C3132">
        <w:rPr>
          <w:noProof/>
        </w:rPr>
        <w:t>mg:</w:t>
      </w:r>
    </w:p>
    <w:p w14:paraId="3492FA84" w14:textId="77777777" w:rsidR="0032669E" w:rsidRPr="002C3132" w:rsidRDefault="0032669E" w:rsidP="0032669E">
      <w:pPr>
        <w:rPr>
          <w:noProof/>
        </w:rPr>
      </w:pPr>
      <w:r w:rsidRPr="002C3132">
        <w:rPr>
          <w:noProof/>
        </w:rPr>
        <w:t>EU/1/24/1839/009</w:t>
      </w:r>
    </w:p>
    <w:p w14:paraId="05A17C0A" w14:textId="77777777" w:rsidR="0032669E" w:rsidRPr="002C3132" w:rsidRDefault="0032669E" w:rsidP="0032669E">
      <w:pPr>
        <w:rPr>
          <w:noProof/>
        </w:rPr>
      </w:pPr>
      <w:r w:rsidRPr="002C3132">
        <w:rPr>
          <w:noProof/>
        </w:rPr>
        <w:t>EU/1/24/1839/010</w:t>
      </w:r>
    </w:p>
    <w:p w14:paraId="1F203632" w14:textId="77777777" w:rsidR="0032669E" w:rsidRPr="002C3132" w:rsidRDefault="0032669E" w:rsidP="0032669E">
      <w:pPr>
        <w:rPr>
          <w:noProof/>
        </w:rPr>
      </w:pPr>
      <w:r w:rsidRPr="002C3132">
        <w:rPr>
          <w:noProof/>
        </w:rPr>
        <w:t>EU/1/24/1839/011</w:t>
      </w:r>
    </w:p>
    <w:p w14:paraId="31CBD63C" w14:textId="77777777" w:rsidR="0032669E" w:rsidRPr="00310EA0" w:rsidRDefault="0032669E" w:rsidP="0032669E">
      <w:pPr>
        <w:rPr>
          <w:noProof/>
          <w:lang w:val="pl-PL"/>
        </w:rPr>
      </w:pPr>
      <w:r w:rsidRPr="00310EA0">
        <w:rPr>
          <w:noProof/>
          <w:lang w:val="pl-PL"/>
        </w:rPr>
        <w:t>EU/1/24/1839/012</w:t>
      </w:r>
    </w:p>
    <w:p w14:paraId="73E68CDE" w14:textId="423862FA" w:rsidR="0032669E" w:rsidRDefault="00C410FA" w:rsidP="0032669E">
      <w:pPr>
        <w:rPr>
          <w:noProof/>
        </w:rPr>
      </w:pPr>
      <w:r>
        <w:rPr>
          <w:noProof/>
        </w:rPr>
        <w:t>EU/1/24/1839/027</w:t>
      </w:r>
    </w:p>
    <w:p w14:paraId="5E7EA506" w14:textId="77777777" w:rsidR="00C410FA" w:rsidRPr="002C3132" w:rsidRDefault="00C410FA" w:rsidP="0032669E">
      <w:pPr>
        <w:rPr>
          <w:noProof/>
        </w:rPr>
      </w:pPr>
    </w:p>
    <w:p w14:paraId="6EB70F04" w14:textId="183DB3F4" w:rsidR="0032669E" w:rsidRPr="002C3132" w:rsidRDefault="0032669E" w:rsidP="0032669E">
      <w:pPr>
        <w:rPr>
          <w:noProof/>
        </w:rPr>
      </w:pPr>
      <w:r w:rsidRPr="002C3132">
        <w:rPr>
          <w:noProof/>
        </w:rPr>
        <w:t>80</w:t>
      </w:r>
      <w:r>
        <w:rPr>
          <w:noProof/>
        </w:rPr>
        <w:t> </w:t>
      </w:r>
      <w:r w:rsidRPr="002C3132">
        <w:rPr>
          <w:noProof/>
        </w:rPr>
        <w:t>mg:</w:t>
      </w:r>
    </w:p>
    <w:p w14:paraId="7FC7FBB8" w14:textId="77777777" w:rsidR="0032669E" w:rsidRPr="002C3132" w:rsidRDefault="0032669E" w:rsidP="0032669E">
      <w:pPr>
        <w:rPr>
          <w:noProof/>
        </w:rPr>
      </w:pPr>
      <w:r w:rsidRPr="002C3132">
        <w:rPr>
          <w:noProof/>
        </w:rPr>
        <w:t>EU/1/24/1839/013</w:t>
      </w:r>
    </w:p>
    <w:p w14:paraId="3610B802" w14:textId="77777777" w:rsidR="0032669E" w:rsidRPr="002C3132" w:rsidRDefault="0032669E" w:rsidP="0032669E">
      <w:pPr>
        <w:rPr>
          <w:noProof/>
        </w:rPr>
      </w:pPr>
      <w:r w:rsidRPr="002C3132">
        <w:rPr>
          <w:noProof/>
        </w:rPr>
        <w:t>EU/1/24/1839/014</w:t>
      </w:r>
    </w:p>
    <w:p w14:paraId="3A6FE970" w14:textId="77777777" w:rsidR="0032669E" w:rsidRPr="002C3132" w:rsidRDefault="0032669E" w:rsidP="0032669E">
      <w:pPr>
        <w:rPr>
          <w:noProof/>
        </w:rPr>
      </w:pPr>
      <w:r w:rsidRPr="002C3132">
        <w:rPr>
          <w:noProof/>
        </w:rPr>
        <w:t>EU/1/24/1839/015</w:t>
      </w:r>
    </w:p>
    <w:p w14:paraId="725B36D1" w14:textId="77777777" w:rsidR="0032669E" w:rsidRPr="00310EA0" w:rsidRDefault="0032669E" w:rsidP="0032669E">
      <w:pPr>
        <w:rPr>
          <w:noProof/>
          <w:lang w:val="pl-PL"/>
        </w:rPr>
      </w:pPr>
      <w:r w:rsidRPr="00310EA0">
        <w:rPr>
          <w:noProof/>
          <w:lang w:val="pl-PL"/>
        </w:rPr>
        <w:t>EU/1/24/1839/016</w:t>
      </w:r>
    </w:p>
    <w:p w14:paraId="08E23AB8" w14:textId="003A6DA4" w:rsidR="002815D5" w:rsidRPr="00310EA0" w:rsidRDefault="002815D5" w:rsidP="0032669E">
      <w:pPr>
        <w:rPr>
          <w:noProof/>
          <w:lang w:val="pl-PL"/>
        </w:rPr>
      </w:pPr>
      <w:r w:rsidRPr="00310EA0">
        <w:rPr>
          <w:noProof/>
          <w:lang w:val="pl-PL"/>
        </w:rPr>
        <w:t>EU/1/24/1839/028</w:t>
      </w:r>
    </w:p>
    <w:p w14:paraId="3052D48E" w14:textId="77777777" w:rsidR="0032669E" w:rsidRPr="002C3132" w:rsidRDefault="0032669E" w:rsidP="0032669E">
      <w:pPr>
        <w:rPr>
          <w:noProof/>
        </w:rPr>
      </w:pPr>
    </w:p>
    <w:p w14:paraId="74B12353" w14:textId="7EB54ACD" w:rsidR="0032669E" w:rsidRPr="002C3132" w:rsidRDefault="0032669E" w:rsidP="0032669E">
      <w:pPr>
        <w:rPr>
          <w:noProof/>
        </w:rPr>
      </w:pPr>
      <w:r w:rsidRPr="002C3132">
        <w:rPr>
          <w:noProof/>
        </w:rPr>
        <w:t>100</w:t>
      </w:r>
      <w:r>
        <w:rPr>
          <w:noProof/>
        </w:rPr>
        <w:t> </w:t>
      </w:r>
      <w:r w:rsidRPr="002C3132">
        <w:rPr>
          <w:noProof/>
        </w:rPr>
        <w:t>mg:</w:t>
      </w:r>
    </w:p>
    <w:p w14:paraId="4AA51BE4" w14:textId="77777777" w:rsidR="0032669E" w:rsidRPr="002C3132" w:rsidRDefault="0032669E" w:rsidP="0032669E">
      <w:pPr>
        <w:rPr>
          <w:noProof/>
        </w:rPr>
      </w:pPr>
      <w:r w:rsidRPr="002C3132">
        <w:rPr>
          <w:noProof/>
        </w:rPr>
        <w:t>EU/1/24/1839/017</w:t>
      </w:r>
    </w:p>
    <w:p w14:paraId="3B2BD3AB" w14:textId="77777777" w:rsidR="0032669E" w:rsidRPr="002C3132" w:rsidRDefault="0032669E" w:rsidP="0032669E">
      <w:pPr>
        <w:rPr>
          <w:noProof/>
        </w:rPr>
      </w:pPr>
      <w:r w:rsidRPr="002C3132">
        <w:rPr>
          <w:noProof/>
        </w:rPr>
        <w:t>EU/1/24/1839/018</w:t>
      </w:r>
    </w:p>
    <w:p w14:paraId="1B6418CC" w14:textId="77777777" w:rsidR="0032669E" w:rsidRPr="002C3132" w:rsidRDefault="0032669E" w:rsidP="0032669E">
      <w:pPr>
        <w:rPr>
          <w:noProof/>
        </w:rPr>
      </w:pPr>
      <w:r w:rsidRPr="002C3132">
        <w:rPr>
          <w:noProof/>
        </w:rPr>
        <w:t>EU/1/24/1839/019</w:t>
      </w:r>
    </w:p>
    <w:p w14:paraId="6A17FD22" w14:textId="77777777" w:rsidR="0032669E" w:rsidRPr="00310EA0" w:rsidRDefault="0032669E" w:rsidP="0032669E">
      <w:pPr>
        <w:rPr>
          <w:noProof/>
          <w:lang w:val="pl-PL"/>
        </w:rPr>
      </w:pPr>
      <w:r w:rsidRPr="00310EA0">
        <w:rPr>
          <w:noProof/>
          <w:lang w:val="pl-PL"/>
        </w:rPr>
        <w:t>EU/1/24/1839/020</w:t>
      </w:r>
    </w:p>
    <w:p w14:paraId="1535AE6B" w14:textId="36DF122A" w:rsidR="002815D5" w:rsidRPr="00310EA0" w:rsidRDefault="002815D5" w:rsidP="0032669E">
      <w:pPr>
        <w:rPr>
          <w:noProof/>
          <w:lang w:val="pl-PL"/>
        </w:rPr>
      </w:pPr>
      <w:r w:rsidRPr="00310EA0">
        <w:rPr>
          <w:noProof/>
          <w:lang w:val="pl-PL"/>
        </w:rPr>
        <w:t>EU/1/24/1839/029</w:t>
      </w:r>
    </w:p>
    <w:p w14:paraId="3556F5F1" w14:textId="77777777" w:rsidR="0032669E" w:rsidRPr="002C3132" w:rsidRDefault="0032669E" w:rsidP="0032669E">
      <w:pPr>
        <w:rPr>
          <w:noProof/>
        </w:rPr>
      </w:pPr>
    </w:p>
    <w:p w14:paraId="6425EA4D" w14:textId="1AFFA6BC" w:rsidR="0032669E" w:rsidRPr="002C3132" w:rsidRDefault="0032669E" w:rsidP="0032669E">
      <w:pPr>
        <w:rPr>
          <w:noProof/>
        </w:rPr>
      </w:pPr>
      <w:r w:rsidRPr="002C3132">
        <w:rPr>
          <w:noProof/>
        </w:rPr>
        <w:t>140</w:t>
      </w:r>
      <w:r>
        <w:rPr>
          <w:noProof/>
        </w:rPr>
        <w:t> </w:t>
      </w:r>
      <w:r w:rsidRPr="002C3132">
        <w:rPr>
          <w:noProof/>
        </w:rPr>
        <w:t>mg:</w:t>
      </w:r>
    </w:p>
    <w:p w14:paraId="1D9A7E51" w14:textId="77777777" w:rsidR="0032669E" w:rsidRPr="002C3132" w:rsidRDefault="0032669E" w:rsidP="0032669E">
      <w:pPr>
        <w:rPr>
          <w:noProof/>
        </w:rPr>
      </w:pPr>
      <w:r w:rsidRPr="002C3132">
        <w:rPr>
          <w:noProof/>
        </w:rPr>
        <w:t>EU/1/24/1839/021</w:t>
      </w:r>
    </w:p>
    <w:p w14:paraId="4AECA3F2" w14:textId="77777777" w:rsidR="0032669E" w:rsidRPr="002C3132" w:rsidRDefault="0032669E" w:rsidP="0032669E">
      <w:pPr>
        <w:rPr>
          <w:noProof/>
        </w:rPr>
      </w:pPr>
      <w:r w:rsidRPr="002C3132">
        <w:rPr>
          <w:noProof/>
        </w:rPr>
        <w:t>EU/1/24/1839/022</w:t>
      </w:r>
    </w:p>
    <w:p w14:paraId="735A4F6E" w14:textId="77777777" w:rsidR="0032669E" w:rsidRPr="002C3132" w:rsidRDefault="0032669E" w:rsidP="0032669E">
      <w:pPr>
        <w:rPr>
          <w:noProof/>
        </w:rPr>
      </w:pPr>
      <w:r w:rsidRPr="002C3132">
        <w:rPr>
          <w:noProof/>
        </w:rPr>
        <w:t>EU/1/24/1839/023</w:t>
      </w:r>
    </w:p>
    <w:p w14:paraId="6AA62AF7" w14:textId="77777777" w:rsidR="0032669E" w:rsidRPr="00310EA0" w:rsidRDefault="0032669E" w:rsidP="0032669E">
      <w:pPr>
        <w:rPr>
          <w:noProof/>
          <w:lang w:val="pl-PL"/>
        </w:rPr>
      </w:pPr>
      <w:r w:rsidRPr="00310EA0">
        <w:rPr>
          <w:noProof/>
          <w:lang w:val="pl-PL"/>
        </w:rPr>
        <w:t>EU/1/24/1839/024</w:t>
      </w:r>
    </w:p>
    <w:p w14:paraId="3E8C397B" w14:textId="062A51C5" w:rsidR="002815D5" w:rsidRDefault="002815D5" w:rsidP="0032669E">
      <w:pPr>
        <w:rPr>
          <w:noProof/>
          <w:lang w:val="en-US"/>
        </w:rPr>
      </w:pPr>
      <w:r>
        <w:rPr>
          <w:noProof/>
          <w:lang w:val="en-US"/>
        </w:rPr>
        <w:t>EU/1/24/1839/030</w:t>
      </w:r>
    </w:p>
    <w:p w14:paraId="26BFA519" w14:textId="77777777" w:rsidR="00AF7ABC" w:rsidRPr="00F25CE6" w:rsidRDefault="00AF7ABC" w:rsidP="00F25CE6">
      <w:pPr>
        <w:pStyle w:val="BodyText"/>
        <w:widowControl/>
        <w:rPr>
          <w:rFonts w:asciiTheme="majorBidi" w:hAnsiTheme="majorBidi" w:cstheme="majorBidi"/>
          <w:szCs w:val="22"/>
        </w:rPr>
      </w:pPr>
    </w:p>
    <w:p w14:paraId="212D78EA" w14:textId="77777777" w:rsidR="00AF7ABC" w:rsidRPr="00F25CE6" w:rsidRDefault="00AF7ABC" w:rsidP="00F25CE6">
      <w:pPr>
        <w:pStyle w:val="BodyText"/>
        <w:widowControl/>
        <w:rPr>
          <w:rFonts w:asciiTheme="majorBidi" w:hAnsiTheme="majorBidi" w:cstheme="majorBidi"/>
          <w:szCs w:val="22"/>
        </w:rPr>
      </w:pPr>
    </w:p>
    <w:p w14:paraId="688471C3" w14:textId="77777777" w:rsidR="00AF7ABC" w:rsidRPr="00F25CE6" w:rsidRDefault="00422138" w:rsidP="00396A82">
      <w:pPr>
        <w:pStyle w:val="Heading1"/>
      </w:pPr>
      <w:r w:rsidRPr="00F25CE6">
        <w:t>DATUM PRVOG ODOBRENJA / DATUM OBNOVE ODOBRENJA</w:t>
      </w:r>
    </w:p>
    <w:p w14:paraId="6FFEDA7C" w14:textId="77777777" w:rsidR="00E917DC" w:rsidRDefault="00E917DC" w:rsidP="00F25CE6">
      <w:pPr>
        <w:pStyle w:val="BodyText"/>
        <w:widowControl/>
        <w:rPr>
          <w:rFonts w:asciiTheme="majorBidi" w:hAnsiTheme="majorBidi" w:cstheme="majorBidi"/>
          <w:szCs w:val="22"/>
        </w:rPr>
      </w:pPr>
    </w:p>
    <w:p w14:paraId="7D88A0B9" w14:textId="1848811C" w:rsidR="00AF7ABC" w:rsidRPr="00F25CE6" w:rsidRDefault="00E917DC" w:rsidP="00F25CE6">
      <w:pPr>
        <w:pStyle w:val="BodyText"/>
        <w:widowControl/>
        <w:rPr>
          <w:rFonts w:asciiTheme="majorBidi" w:hAnsiTheme="majorBidi" w:cstheme="majorBidi"/>
          <w:szCs w:val="22"/>
        </w:rPr>
      </w:pPr>
      <w:r w:rsidRPr="00E917DC">
        <w:rPr>
          <w:rFonts w:asciiTheme="majorBidi" w:hAnsiTheme="majorBidi" w:cstheme="majorBidi"/>
          <w:szCs w:val="22"/>
        </w:rPr>
        <w:t>Datum prvog odobrenja:</w:t>
      </w:r>
      <w:r w:rsidR="007732A8">
        <w:rPr>
          <w:rFonts w:asciiTheme="majorBidi" w:hAnsiTheme="majorBidi" w:cstheme="majorBidi"/>
          <w:szCs w:val="22"/>
        </w:rPr>
        <w:t xml:space="preserve"> 26</w:t>
      </w:r>
      <w:r w:rsidR="00E9102A">
        <w:rPr>
          <w:rFonts w:asciiTheme="majorBidi" w:hAnsiTheme="majorBidi" w:cstheme="majorBidi"/>
          <w:szCs w:val="22"/>
        </w:rPr>
        <w:t>.</w:t>
      </w:r>
      <w:r w:rsidR="007732A8">
        <w:rPr>
          <w:rFonts w:asciiTheme="majorBidi" w:hAnsiTheme="majorBidi" w:cstheme="majorBidi"/>
          <w:szCs w:val="22"/>
        </w:rPr>
        <w:t xml:space="preserve"> </w:t>
      </w:r>
      <w:r w:rsidR="007732A8" w:rsidRPr="007732A8">
        <w:rPr>
          <w:rFonts w:asciiTheme="majorBidi" w:hAnsiTheme="majorBidi" w:cstheme="majorBidi"/>
          <w:szCs w:val="22"/>
        </w:rPr>
        <w:t>srpanj</w:t>
      </w:r>
      <w:r w:rsidR="007732A8">
        <w:rPr>
          <w:rFonts w:asciiTheme="majorBidi" w:hAnsiTheme="majorBidi" w:cstheme="majorBidi"/>
          <w:szCs w:val="22"/>
        </w:rPr>
        <w:t xml:space="preserve"> 2024.</w:t>
      </w:r>
    </w:p>
    <w:p w14:paraId="7D8ADD4D" w14:textId="77777777" w:rsidR="00AF7ABC" w:rsidRDefault="00AF7ABC" w:rsidP="00F25CE6">
      <w:pPr>
        <w:pStyle w:val="BodyText"/>
        <w:widowControl/>
        <w:rPr>
          <w:rFonts w:asciiTheme="majorBidi" w:hAnsiTheme="majorBidi" w:cstheme="majorBidi"/>
          <w:szCs w:val="22"/>
        </w:rPr>
      </w:pPr>
    </w:p>
    <w:p w14:paraId="1F10BC16" w14:textId="77777777" w:rsidR="00E917DC" w:rsidRPr="00F25CE6" w:rsidRDefault="00E917DC" w:rsidP="00F25CE6">
      <w:pPr>
        <w:pStyle w:val="BodyText"/>
        <w:widowControl/>
        <w:rPr>
          <w:rFonts w:asciiTheme="majorBidi" w:hAnsiTheme="majorBidi" w:cstheme="majorBidi"/>
          <w:szCs w:val="22"/>
        </w:rPr>
      </w:pPr>
    </w:p>
    <w:p w14:paraId="5358DC2A" w14:textId="77777777" w:rsidR="00AF7ABC" w:rsidRPr="00F25CE6" w:rsidRDefault="00422138" w:rsidP="00503528">
      <w:pPr>
        <w:pStyle w:val="Heading1"/>
      </w:pPr>
      <w:r w:rsidRPr="00F25CE6">
        <w:t>DATUM REVIZIJE TEKSTA</w:t>
      </w:r>
    </w:p>
    <w:p w14:paraId="13032794" w14:textId="77777777" w:rsidR="00AF7ABC" w:rsidRPr="00F25CE6" w:rsidRDefault="00AF7ABC" w:rsidP="00F25CE6">
      <w:pPr>
        <w:pStyle w:val="BodyText"/>
        <w:widowControl/>
        <w:rPr>
          <w:rFonts w:asciiTheme="majorBidi" w:hAnsiTheme="majorBidi" w:cstheme="majorBidi"/>
          <w:b/>
          <w:szCs w:val="22"/>
        </w:rPr>
      </w:pPr>
    </w:p>
    <w:p w14:paraId="7B1216F4" w14:textId="6023D65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Detaljnije informacije o ovom lijeku dostupne su na internetskoj stranici Europske agencije za lijekove: </w:t>
      </w:r>
      <w:hyperlink r:id="rId30" w:history="1">
        <w:r w:rsidR="00416B4E" w:rsidRPr="00963E3E">
          <w:rPr>
            <w:rStyle w:val="Hyperlink"/>
            <w:rFonts w:asciiTheme="majorBidi" w:hAnsiTheme="majorBidi" w:cstheme="majorBidi"/>
            <w:szCs w:val="22"/>
            <w:lang w:eastAsia="hr"/>
          </w:rPr>
          <w:t>https://www.ema.europa.eu.</w:t>
        </w:r>
      </w:hyperlink>
    </w:p>
    <w:p w14:paraId="000785B5" w14:textId="77777777" w:rsidR="00A15E8A" w:rsidRPr="00F25CE6" w:rsidRDefault="00A15E8A" w:rsidP="00396A82">
      <w:pPr>
        <w:pageBreakBefore/>
        <w:widowControl/>
        <w:rPr>
          <w:rFonts w:asciiTheme="majorBidi" w:hAnsiTheme="majorBidi" w:cstheme="majorBidi"/>
        </w:rPr>
      </w:pPr>
    </w:p>
    <w:p w14:paraId="3BA115FE" w14:textId="77777777" w:rsidR="00AF7ABC" w:rsidRPr="00F25CE6" w:rsidRDefault="00AF7ABC" w:rsidP="00F25CE6">
      <w:pPr>
        <w:pStyle w:val="BodyText"/>
        <w:widowControl/>
        <w:rPr>
          <w:rFonts w:asciiTheme="majorBidi" w:hAnsiTheme="majorBidi" w:cstheme="majorBidi"/>
          <w:szCs w:val="22"/>
        </w:rPr>
      </w:pPr>
    </w:p>
    <w:p w14:paraId="2DD595AE" w14:textId="77777777" w:rsidR="00AF7ABC" w:rsidRPr="00F25CE6" w:rsidRDefault="00AF7ABC" w:rsidP="00F25CE6">
      <w:pPr>
        <w:pStyle w:val="BodyText"/>
        <w:widowControl/>
        <w:rPr>
          <w:rFonts w:asciiTheme="majorBidi" w:hAnsiTheme="majorBidi" w:cstheme="majorBidi"/>
          <w:szCs w:val="22"/>
        </w:rPr>
      </w:pPr>
    </w:p>
    <w:p w14:paraId="75DC049B" w14:textId="77777777" w:rsidR="00AF7ABC" w:rsidRPr="00F25CE6" w:rsidRDefault="00AF7ABC" w:rsidP="00F25CE6">
      <w:pPr>
        <w:pStyle w:val="BodyText"/>
        <w:widowControl/>
        <w:rPr>
          <w:rFonts w:asciiTheme="majorBidi" w:hAnsiTheme="majorBidi" w:cstheme="majorBidi"/>
          <w:szCs w:val="22"/>
        </w:rPr>
      </w:pPr>
    </w:p>
    <w:p w14:paraId="14A9AAB1" w14:textId="77777777" w:rsidR="00AF7ABC" w:rsidRPr="00F25CE6" w:rsidRDefault="00AF7ABC" w:rsidP="00F25CE6">
      <w:pPr>
        <w:pStyle w:val="BodyText"/>
        <w:widowControl/>
        <w:rPr>
          <w:rFonts w:asciiTheme="majorBidi" w:hAnsiTheme="majorBidi" w:cstheme="majorBidi"/>
          <w:szCs w:val="22"/>
        </w:rPr>
      </w:pPr>
    </w:p>
    <w:p w14:paraId="4C060FDB" w14:textId="77777777" w:rsidR="00AF7ABC" w:rsidRPr="00F25CE6" w:rsidRDefault="00AF7ABC" w:rsidP="00F25CE6">
      <w:pPr>
        <w:pStyle w:val="BodyText"/>
        <w:widowControl/>
        <w:rPr>
          <w:rFonts w:asciiTheme="majorBidi" w:hAnsiTheme="majorBidi" w:cstheme="majorBidi"/>
          <w:szCs w:val="22"/>
        </w:rPr>
      </w:pPr>
    </w:p>
    <w:p w14:paraId="1F9B304F" w14:textId="77777777" w:rsidR="00AF7ABC" w:rsidRPr="00F25CE6" w:rsidRDefault="00AF7ABC" w:rsidP="00F25CE6">
      <w:pPr>
        <w:pStyle w:val="BodyText"/>
        <w:widowControl/>
        <w:rPr>
          <w:rFonts w:asciiTheme="majorBidi" w:hAnsiTheme="majorBidi" w:cstheme="majorBidi"/>
          <w:szCs w:val="22"/>
        </w:rPr>
      </w:pPr>
    </w:p>
    <w:p w14:paraId="1F9901D2" w14:textId="77777777" w:rsidR="00AF7ABC" w:rsidRPr="00F25CE6" w:rsidRDefault="00AF7ABC" w:rsidP="00F25CE6">
      <w:pPr>
        <w:pStyle w:val="BodyText"/>
        <w:widowControl/>
        <w:rPr>
          <w:rFonts w:asciiTheme="majorBidi" w:hAnsiTheme="majorBidi" w:cstheme="majorBidi"/>
          <w:szCs w:val="22"/>
        </w:rPr>
      </w:pPr>
    </w:p>
    <w:p w14:paraId="4BE794D4" w14:textId="77777777" w:rsidR="00AF7ABC" w:rsidRPr="00F25CE6" w:rsidRDefault="00AF7ABC" w:rsidP="00F25CE6">
      <w:pPr>
        <w:pStyle w:val="BodyText"/>
        <w:widowControl/>
        <w:rPr>
          <w:rFonts w:asciiTheme="majorBidi" w:hAnsiTheme="majorBidi" w:cstheme="majorBidi"/>
          <w:szCs w:val="22"/>
        </w:rPr>
      </w:pPr>
    </w:p>
    <w:p w14:paraId="0E45640F" w14:textId="77777777" w:rsidR="00AF7ABC" w:rsidRPr="00F25CE6" w:rsidRDefault="00AF7ABC" w:rsidP="00F25CE6">
      <w:pPr>
        <w:pStyle w:val="BodyText"/>
        <w:widowControl/>
        <w:rPr>
          <w:rFonts w:asciiTheme="majorBidi" w:hAnsiTheme="majorBidi" w:cstheme="majorBidi"/>
          <w:szCs w:val="22"/>
        </w:rPr>
      </w:pPr>
    </w:p>
    <w:p w14:paraId="171C3B2A" w14:textId="77777777" w:rsidR="00AF7ABC" w:rsidRPr="00F25CE6" w:rsidRDefault="00AF7ABC" w:rsidP="00F25CE6">
      <w:pPr>
        <w:pStyle w:val="BodyText"/>
        <w:widowControl/>
        <w:rPr>
          <w:rFonts w:asciiTheme="majorBidi" w:hAnsiTheme="majorBidi" w:cstheme="majorBidi"/>
          <w:szCs w:val="22"/>
        </w:rPr>
      </w:pPr>
    </w:p>
    <w:p w14:paraId="31167813" w14:textId="77777777" w:rsidR="00AF7ABC" w:rsidRPr="00F25CE6" w:rsidRDefault="00AF7ABC" w:rsidP="00F25CE6">
      <w:pPr>
        <w:pStyle w:val="BodyText"/>
        <w:widowControl/>
        <w:rPr>
          <w:rFonts w:asciiTheme="majorBidi" w:hAnsiTheme="majorBidi" w:cstheme="majorBidi"/>
          <w:szCs w:val="22"/>
        </w:rPr>
      </w:pPr>
    </w:p>
    <w:p w14:paraId="4609451F" w14:textId="77777777" w:rsidR="00AF7ABC" w:rsidRPr="00F25CE6" w:rsidRDefault="00AF7ABC" w:rsidP="00F25CE6">
      <w:pPr>
        <w:pStyle w:val="BodyText"/>
        <w:widowControl/>
        <w:rPr>
          <w:rFonts w:asciiTheme="majorBidi" w:hAnsiTheme="majorBidi" w:cstheme="majorBidi"/>
          <w:szCs w:val="22"/>
        </w:rPr>
      </w:pPr>
    </w:p>
    <w:p w14:paraId="6CAD9664" w14:textId="77777777" w:rsidR="00AF7ABC" w:rsidRPr="00F25CE6" w:rsidRDefault="00AF7ABC" w:rsidP="00F25CE6">
      <w:pPr>
        <w:pStyle w:val="BodyText"/>
        <w:widowControl/>
        <w:rPr>
          <w:rFonts w:asciiTheme="majorBidi" w:hAnsiTheme="majorBidi" w:cstheme="majorBidi"/>
          <w:szCs w:val="22"/>
        </w:rPr>
      </w:pPr>
    </w:p>
    <w:p w14:paraId="5A6F7C41" w14:textId="77777777" w:rsidR="00AF7ABC" w:rsidRPr="00F25CE6" w:rsidRDefault="00AF7ABC" w:rsidP="00F25CE6">
      <w:pPr>
        <w:pStyle w:val="BodyText"/>
        <w:widowControl/>
        <w:rPr>
          <w:rFonts w:asciiTheme="majorBidi" w:hAnsiTheme="majorBidi" w:cstheme="majorBidi"/>
          <w:szCs w:val="22"/>
        </w:rPr>
      </w:pPr>
    </w:p>
    <w:p w14:paraId="01FEA242" w14:textId="77777777" w:rsidR="00AF7ABC" w:rsidRPr="00F25CE6" w:rsidRDefault="00AF7ABC" w:rsidP="00F25CE6">
      <w:pPr>
        <w:pStyle w:val="BodyText"/>
        <w:widowControl/>
        <w:rPr>
          <w:rFonts w:asciiTheme="majorBidi" w:hAnsiTheme="majorBidi" w:cstheme="majorBidi"/>
          <w:szCs w:val="22"/>
        </w:rPr>
      </w:pPr>
    </w:p>
    <w:p w14:paraId="20A36CE2" w14:textId="77777777" w:rsidR="00AF7ABC" w:rsidRPr="00F25CE6" w:rsidRDefault="00AF7ABC" w:rsidP="00F25CE6">
      <w:pPr>
        <w:pStyle w:val="BodyText"/>
        <w:widowControl/>
        <w:rPr>
          <w:rFonts w:asciiTheme="majorBidi" w:hAnsiTheme="majorBidi" w:cstheme="majorBidi"/>
          <w:szCs w:val="22"/>
        </w:rPr>
      </w:pPr>
    </w:p>
    <w:p w14:paraId="3894E8B4" w14:textId="77777777" w:rsidR="00AF7ABC" w:rsidRPr="00F25CE6" w:rsidRDefault="00AF7ABC" w:rsidP="00F25CE6">
      <w:pPr>
        <w:pStyle w:val="BodyText"/>
        <w:widowControl/>
        <w:rPr>
          <w:rFonts w:asciiTheme="majorBidi" w:hAnsiTheme="majorBidi" w:cstheme="majorBidi"/>
          <w:szCs w:val="22"/>
        </w:rPr>
      </w:pPr>
    </w:p>
    <w:p w14:paraId="43B020A0" w14:textId="77777777" w:rsidR="00AF7ABC" w:rsidRPr="00F25CE6" w:rsidRDefault="00AF7ABC" w:rsidP="00F25CE6">
      <w:pPr>
        <w:pStyle w:val="BodyText"/>
        <w:widowControl/>
        <w:rPr>
          <w:rFonts w:asciiTheme="majorBidi" w:hAnsiTheme="majorBidi" w:cstheme="majorBidi"/>
          <w:szCs w:val="22"/>
        </w:rPr>
      </w:pPr>
    </w:p>
    <w:p w14:paraId="56E06ECB" w14:textId="77777777" w:rsidR="00AF7ABC" w:rsidRPr="00F25CE6" w:rsidRDefault="00AF7ABC" w:rsidP="00F25CE6">
      <w:pPr>
        <w:pStyle w:val="BodyText"/>
        <w:widowControl/>
        <w:rPr>
          <w:rFonts w:asciiTheme="majorBidi" w:hAnsiTheme="majorBidi" w:cstheme="majorBidi"/>
          <w:szCs w:val="22"/>
        </w:rPr>
      </w:pPr>
    </w:p>
    <w:p w14:paraId="7B074553" w14:textId="77777777" w:rsidR="00AF7ABC" w:rsidRPr="00F25CE6" w:rsidRDefault="00AF7ABC" w:rsidP="00F25CE6">
      <w:pPr>
        <w:pStyle w:val="BodyText"/>
        <w:widowControl/>
        <w:rPr>
          <w:rFonts w:asciiTheme="majorBidi" w:hAnsiTheme="majorBidi" w:cstheme="majorBidi"/>
          <w:szCs w:val="22"/>
        </w:rPr>
      </w:pPr>
    </w:p>
    <w:p w14:paraId="6FF93E46" w14:textId="77777777" w:rsidR="006B5AE9" w:rsidRDefault="006B5AE9" w:rsidP="00396A82">
      <w:pPr>
        <w:pStyle w:val="BodyText"/>
        <w:jc w:val="center"/>
        <w:rPr>
          <w:b/>
          <w:bCs/>
          <w:szCs w:val="22"/>
        </w:rPr>
      </w:pPr>
    </w:p>
    <w:p w14:paraId="47D6FA31" w14:textId="77777777" w:rsidR="006B5AE9" w:rsidRDefault="006B5AE9" w:rsidP="00396A82">
      <w:pPr>
        <w:pStyle w:val="BodyText"/>
        <w:jc w:val="center"/>
        <w:rPr>
          <w:b/>
          <w:bCs/>
          <w:szCs w:val="22"/>
        </w:rPr>
      </w:pPr>
    </w:p>
    <w:p w14:paraId="60FB6A5A" w14:textId="77777777" w:rsidR="00AF7ABC" w:rsidRPr="00396A82" w:rsidRDefault="00422138" w:rsidP="00396A82">
      <w:pPr>
        <w:pStyle w:val="BodyText"/>
        <w:jc w:val="center"/>
        <w:rPr>
          <w:b/>
          <w:bCs/>
          <w:szCs w:val="22"/>
        </w:rPr>
      </w:pPr>
      <w:r w:rsidRPr="00396A82">
        <w:rPr>
          <w:b/>
          <w:bCs/>
          <w:szCs w:val="22"/>
        </w:rPr>
        <w:t>PRILOG II.</w:t>
      </w:r>
    </w:p>
    <w:p w14:paraId="282BD96F" w14:textId="77777777" w:rsidR="00AF7ABC" w:rsidRPr="00F25CE6" w:rsidRDefault="00AF7ABC" w:rsidP="00F25CE6">
      <w:pPr>
        <w:pStyle w:val="BodyText"/>
        <w:widowControl/>
        <w:rPr>
          <w:rFonts w:asciiTheme="majorBidi" w:hAnsiTheme="majorBidi" w:cstheme="majorBidi"/>
          <w:b/>
          <w:szCs w:val="22"/>
        </w:rPr>
      </w:pPr>
    </w:p>
    <w:p w14:paraId="35414FE4" w14:textId="6CFE2395" w:rsidR="00AF7ABC" w:rsidRPr="00F25CE6" w:rsidRDefault="00422138" w:rsidP="000A07D1">
      <w:pPr>
        <w:pStyle w:val="ListParagraph"/>
        <w:widowControl/>
        <w:numPr>
          <w:ilvl w:val="0"/>
          <w:numId w:val="5"/>
        </w:numPr>
        <w:ind w:left="1701" w:right="1588" w:hanging="708"/>
        <w:rPr>
          <w:rFonts w:asciiTheme="majorBidi" w:hAnsiTheme="majorBidi" w:cstheme="majorBidi"/>
          <w:b/>
        </w:rPr>
      </w:pPr>
      <w:r w:rsidRPr="00F25CE6">
        <w:rPr>
          <w:rFonts w:asciiTheme="majorBidi" w:hAnsiTheme="majorBidi" w:cstheme="majorBidi"/>
          <w:b/>
        </w:rPr>
        <w:t>PROIZVOĐAČ</w:t>
      </w:r>
      <w:r w:rsidR="00413530">
        <w:rPr>
          <w:rFonts w:asciiTheme="majorBidi" w:hAnsiTheme="majorBidi" w:cstheme="majorBidi"/>
          <w:b/>
        </w:rPr>
        <w:t>(</w:t>
      </w:r>
      <w:r w:rsidRPr="00F25CE6">
        <w:rPr>
          <w:rFonts w:asciiTheme="majorBidi" w:hAnsiTheme="majorBidi" w:cstheme="majorBidi"/>
          <w:b/>
        </w:rPr>
        <w:t>I</w:t>
      </w:r>
      <w:r w:rsidR="00413530">
        <w:rPr>
          <w:rFonts w:asciiTheme="majorBidi" w:hAnsiTheme="majorBidi" w:cstheme="majorBidi"/>
          <w:b/>
        </w:rPr>
        <w:t>)</w:t>
      </w:r>
      <w:r w:rsidRPr="00F25CE6">
        <w:rPr>
          <w:rFonts w:asciiTheme="majorBidi" w:hAnsiTheme="majorBidi" w:cstheme="majorBidi"/>
          <w:b/>
        </w:rPr>
        <w:t xml:space="preserve"> ODGOVOR</w:t>
      </w:r>
      <w:r w:rsidR="00413530">
        <w:rPr>
          <w:rFonts w:asciiTheme="majorBidi" w:hAnsiTheme="majorBidi" w:cstheme="majorBidi"/>
          <w:b/>
        </w:rPr>
        <w:t>A</w:t>
      </w:r>
      <w:r w:rsidRPr="00F25CE6">
        <w:rPr>
          <w:rFonts w:asciiTheme="majorBidi" w:hAnsiTheme="majorBidi" w:cstheme="majorBidi"/>
          <w:b/>
        </w:rPr>
        <w:t>N</w:t>
      </w:r>
      <w:r w:rsidR="00413530">
        <w:rPr>
          <w:rFonts w:asciiTheme="majorBidi" w:hAnsiTheme="majorBidi" w:cstheme="majorBidi"/>
          <w:b/>
        </w:rPr>
        <w:t>(N</w:t>
      </w:r>
      <w:r w:rsidRPr="00F25CE6">
        <w:rPr>
          <w:rFonts w:asciiTheme="majorBidi" w:hAnsiTheme="majorBidi" w:cstheme="majorBidi"/>
          <w:b/>
        </w:rPr>
        <w:t>I</w:t>
      </w:r>
      <w:r w:rsidR="00413530">
        <w:rPr>
          <w:rFonts w:asciiTheme="majorBidi" w:hAnsiTheme="majorBidi" w:cstheme="majorBidi"/>
          <w:b/>
        </w:rPr>
        <w:t>)</w:t>
      </w:r>
      <w:r w:rsidRPr="00F25CE6">
        <w:rPr>
          <w:rFonts w:asciiTheme="majorBidi" w:hAnsiTheme="majorBidi" w:cstheme="majorBidi"/>
          <w:b/>
        </w:rPr>
        <w:t xml:space="preserve"> ZA PUŠTANJE SERIJE LIJEKA U PROMET</w:t>
      </w:r>
    </w:p>
    <w:p w14:paraId="25A2AC21" w14:textId="77777777" w:rsidR="00AF7ABC" w:rsidRPr="00F25CE6" w:rsidRDefault="00AF7ABC" w:rsidP="000A07D1">
      <w:pPr>
        <w:pStyle w:val="BodyText"/>
        <w:widowControl/>
        <w:ind w:left="1701" w:right="1588" w:hanging="708"/>
        <w:rPr>
          <w:rFonts w:asciiTheme="majorBidi" w:hAnsiTheme="majorBidi" w:cstheme="majorBidi"/>
          <w:b/>
          <w:szCs w:val="22"/>
        </w:rPr>
      </w:pPr>
    </w:p>
    <w:p w14:paraId="6CB240B5" w14:textId="77777777" w:rsidR="00AF7ABC" w:rsidRPr="00F25CE6" w:rsidRDefault="00422138" w:rsidP="000A07D1">
      <w:pPr>
        <w:pStyle w:val="ListParagraph"/>
        <w:widowControl/>
        <w:numPr>
          <w:ilvl w:val="0"/>
          <w:numId w:val="5"/>
        </w:numPr>
        <w:ind w:left="1701" w:right="1588" w:hanging="708"/>
        <w:rPr>
          <w:rFonts w:asciiTheme="majorBidi" w:hAnsiTheme="majorBidi" w:cstheme="majorBidi"/>
          <w:b/>
        </w:rPr>
      </w:pPr>
      <w:r w:rsidRPr="00F25CE6">
        <w:rPr>
          <w:rFonts w:asciiTheme="majorBidi" w:hAnsiTheme="majorBidi" w:cstheme="majorBidi"/>
          <w:b/>
        </w:rPr>
        <w:t>UVJETI ILI OGRANIČENJA VEZANI UZ OPSKRBU I PRIMJENU</w:t>
      </w:r>
    </w:p>
    <w:p w14:paraId="0D694DFA" w14:textId="77777777" w:rsidR="00AF7ABC" w:rsidRPr="00F25CE6" w:rsidRDefault="00AF7ABC" w:rsidP="000A07D1">
      <w:pPr>
        <w:pStyle w:val="BodyText"/>
        <w:widowControl/>
        <w:ind w:left="1701" w:right="1588" w:hanging="708"/>
        <w:rPr>
          <w:rFonts w:asciiTheme="majorBidi" w:hAnsiTheme="majorBidi" w:cstheme="majorBidi"/>
          <w:b/>
          <w:szCs w:val="22"/>
        </w:rPr>
      </w:pPr>
    </w:p>
    <w:p w14:paraId="1BE12ACB" w14:textId="77777777" w:rsidR="00AF7ABC" w:rsidRPr="00F25CE6" w:rsidRDefault="00422138" w:rsidP="000A07D1">
      <w:pPr>
        <w:pStyle w:val="ListParagraph"/>
        <w:widowControl/>
        <w:numPr>
          <w:ilvl w:val="0"/>
          <w:numId w:val="5"/>
        </w:numPr>
        <w:ind w:left="1701" w:right="1588" w:hanging="708"/>
        <w:rPr>
          <w:rFonts w:asciiTheme="majorBidi" w:hAnsiTheme="majorBidi" w:cstheme="majorBidi"/>
          <w:b/>
        </w:rPr>
      </w:pPr>
      <w:r w:rsidRPr="00F25CE6">
        <w:rPr>
          <w:rFonts w:asciiTheme="majorBidi" w:hAnsiTheme="majorBidi" w:cstheme="majorBidi"/>
          <w:b/>
        </w:rPr>
        <w:t>OSTALI UVJETI I ZAHTJEVI ODOBRENJA ZA STAVLJANJE LIJEKA U PROMET</w:t>
      </w:r>
    </w:p>
    <w:p w14:paraId="28335F5A" w14:textId="77777777" w:rsidR="00AF7ABC" w:rsidRPr="00F25CE6" w:rsidRDefault="00AF7ABC" w:rsidP="000A07D1">
      <w:pPr>
        <w:pStyle w:val="BodyText"/>
        <w:widowControl/>
        <w:ind w:left="1701" w:right="1588" w:hanging="708"/>
        <w:rPr>
          <w:rFonts w:asciiTheme="majorBidi" w:hAnsiTheme="majorBidi" w:cstheme="majorBidi"/>
          <w:b/>
          <w:szCs w:val="22"/>
        </w:rPr>
      </w:pPr>
    </w:p>
    <w:p w14:paraId="55DDBC9C" w14:textId="77777777" w:rsidR="00AF7ABC" w:rsidRPr="00F25CE6" w:rsidRDefault="00422138" w:rsidP="000A07D1">
      <w:pPr>
        <w:pStyle w:val="ListParagraph"/>
        <w:widowControl/>
        <w:numPr>
          <w:ilvl w:val="0"/>
          <w:numId w:val="5"/>
        </w:numPr>
        <w:ind w:left="1701" w:right="1588" w:hanging="708"/>
        <w:rPr>
          <w:rFonts w:asciiTheme="majorBidi" w:hAnsiTheme="majorBidi" w:cstheme="majorBidi"/>
          <w:b/>
        </w:rPr>
      </w:pPr>
      <w:r w:rsidRPr="00F25CE6">
        <w:rPr>
          <w:rFonts w:asciiTheme="majorBidi" w:hAnsiTheme="majorBidi" w:cstheme="majorBidi"/>
          <w:b/>
        </w:rPr>
        <w:t>UVJETI ILI OGRANIČENJA VEZANI UZ SIGURNU I UČINKOVITU PRIMJENU LIJEKA</w:t>
      </w:r>
    </w:p>
    <w:p w14:paraId="3699A05D" w14:textId="77777777" w:rsidR="00A15E8A" w:rsidRPr="00F25CE6" w:rsidRDefault="00A15E8A" w:rsidP="00F25CE6">
      <w:pPr>
        <w:widowControl/>
        <w:rPr>
          <w:rFonts w:asciiTheme="majorBidi" w:hAnsiTheme="majorBidi" w:cstheme="majorBidi"/>
        </w:rPr>
      </w:pPr>
    </w:p>
    <w:p w14:paraId="3EA9D4A5" w14:textId="77777777" w:rsidR="00AF7ABC" w:rsidRPr="00F25CE6" w:rsidRDefault="00422138" w:rsidP="00396A82">
      <w:pPr>
        <w:pStyle w:val="ListParagraph"/>
        <w:pageBreakBefore/>
        <w:widowControl/>
        <w:numPr>
          <w:ilvl w:val="0"/>
          <w:numId w:val="4"/>
        </w:numPr>
        <w:ind w:left="360" w:hanging="360"/>
        <w:rPr>
          <w:rFonts w:asciiTheme="majorBidi" w:hAnsiTheme="majorBidi" w:cstheme="majorBidi"/>
          <w:b/>
        </w:rPr>
      </w:pPr>
      <w:bookmarkStart w:id="2" w:name="A._PROIZVOĐAČI_ODGOVORNI_ZA_PUŠTANJE_SER"/>
      <w:bookmarkStart w:id="3" w:name="B._UVJETI_ILI_OGRANIČENJA_VEZANI_UZ_OPSK"/>
      <w:bookmarkStart w:id="4" w:name="C._OSTALI_UVJETI_I_ZAHTJEVI_ODOBRENJA_ZA"/>
      <w:bookmarkStart w:id="5" w:name="D._UVJETI_ILI_OGRANIČENJA_VEZANI_UZ_SIGU"/>
      <w:bookmarkEnd w:id="2"/>
      <w:bookmarkEnd w:id="3"/>
      <w:bookmarkEnd w:id="4"/>
      <w:bookmarkEnd w:id="5"/>
      <w:r w:rsidRPr="00F25CE6">
        <w:rPr>
          <w:rFonts w:asciiTheme="majorBidi" w:hAnsiTheme="majorBidi" w:cstheme="majorBidi"/>
          <w:b/>
        </w:rPr>
        <w:lastRenderedPageBreak/>
        <w:t>PROIZVOĐAČI ODGOVORNI ZA PUŠTANJE SERIJE LIJEKA U PROMET</w:t>
      </w:r>
    </w:p>
    <w:p w14:paraId="144F9503" w14:textId="77777777" w:rsidR="00AF7ABC" w:rsidRPr="00F25CE6" w:rsidRDefault="00AF7ABC" w:rsidP="00F25CE6">
      <w:pPr>
        <w:pStyle w:val="BodyText"/>
        <w:widowControl/>
        <w:rPr>
          <w:rFonts w:asciiTheme="majorBidi" w:hAnsiTheme="majorBidi" w:cstheme="majorBidi"/>
          <w:b/>
          <w:szCs w:val="22"/>
        </w:rPr>
      </w:pPr>
    </w:p>
    <w:p w14:paraId="4C144A1D" w14:textId="0F0F2EC9" w:rsidR="00AF7ABC" w:rsidRDefault="00422138" w:rsidP="00F25CE6">
      <w:pPr>
        <w:pStyle w:val="BodyText"/>
        <w:widowControl/>
        <w:rPr>
          <w:rFonts w:asciiTheme="majorBidi" w:hAnsiTheme="majorBidi" w:cstheme="majorBidi"/>
          <w:szCs w:val="22"/>
          <w:u w:val="single"/>
        </w:rPr>
      </w:pPr>
      <w:r w:rsidRPr="00F25CE6">
        <w:rPr>
          <w:rFonts w:asciiTheme="majorBidi" w:hAnsiTheme="majorBidi" w:cstheme="majorBidi"/>
          <w:szCs w:val="22"/>
          <w:u w:val="single"/>
        </w:rPr>
        <w:t>Naziv</w:t>
      </w:r>
      <w:r w:rsidR="00413530">
        <w:rPr>
          <w:rFonts w:asciiTheme="majorBidi" w:hAnsiTheme="majorBidi" w:cstheme="majorBidi"/>
          <w:szCs w:val="22"/>
          <w:u w:val="single"/>
        </w:rPr>
        <w:t>(</w:t>
      </w:r>
      <w:r w:rsidRPr="00F25CE6">
        <w:rPr>
          <w:rFonts w:asciiTheme="majorBidi" w:hAnsiTheme="majorBidi" w:cstheme="majorBidi"/>
          <w:szCs w:val="22"/>
          <w:u w:val="single"/>
        </w:rPr>
        <w:t>i</w:t>
      </w:r>
      <w:r w:rsidR="00413530">
        <w:rPr>
          <w:rFonts w:asciiTheme="majorBidi" w:hAnsiTheme="majorBidi" w:cstheme="majorBidi"/>
          <w:szCs w:val="22"/>
          <w:u w:val="single"/>
        </w:rPr>
        <w:t>)</w:t>
      </w:r>
      <w:r w:rsidRPr="00F25CE6">
        <w:rPr>
          <w:rFonts w:asciiTheme="majorBidi" w:hAnsiTheme="majorBidi" w:cstheme="majorBidi"/>
          <w:szCs w:val="22"/>
          <w:u w:val="single"/>
        </w:rPr>
        <w:t xml:space="preserve"> i adres</w:t>
      </w:r>
      <w:r w:rsidR="00413530">
        <w:rPr>
          <w:rFonts w:asciiTheme="majorBidi" w:hAnsiTheme="majorBidi" w:cstheme="majorBidi"/>
          <w:szCs w:val="22"/>
          <w:u w:val="single"/>
        </w:rPr>
        <w:t>a(e)</w:t>
      </w:r>
      <w:r w:rsidRPr="00F25CE6">
        <w:rPr>
          <w:rFonts w:asciiTheme="majorBidi" w:hAnsiTheme="majorBidi" w:cstheme="majorBidi"/>
          <w:szCs w:val="22"/>
          <w:u w:val="single"/>
        </w:rPr>
        <w:t xml:space="preserve"> proizvođača odgovorn</w:t>
      </w:r>
      <w:r w:rsidR="00F81BAA">
        <w:rPr>
          <w:rFonts w:asciiTheme="majorBidi" w:hAnsiTheme="majorBidi" w:cstheme="majorBidi"/>
          <w:szCs w:val="22"/>
          <w:u w:val="single"/>
        </w:rPr>
        <w:t>og(i</w:t>
      </w:r>
      <w:r w:rsidRPr="00F25CE6">
        <w:rPr>
          <w:rFonts w:asciiTheme="majorBidi" w:hAnsiTheme="majorBidi" w:cstheme="majorBidi"/>
          <w:szCs w:val="22"/>
          <w:u w:val="single"/>
        </w:rPr>
        <w:t>h</w:t>
      </w:r>
      <w:r w:rsidR="00F81BAA">
        <w:rPr>
          <w:rFonts w:asciiTheme="majorBidi" w:hAnsiTheme="majorBidi" w:cstheme="majorBidi"/>
          <w:szCs w:val="22"/>
          <w:u w:val="single"/>
        </w:rPr>
        <w:t>)</w:t>
      </w:r>
      <w:r w:rsidRPr="00F25CE6">
        <w:rPr>
          <w:rFonts w:asciiTheme="majorBidi" w:hAnsiTheme="majorBidi" w:cstheme="majorBidi"/>
          <w:szCs w:val="22"/>
          <w:u w:val="single"/>
        </w:rPr>
        <w:t xml:space="preserve"> za puštanje serije lijeka u promet</w:t>
      </w:r>
    </w:p>
    <w:p w14:paraId="1B2CCD56" w14:textId="77777777" w:rsidR="00416B4E" w:rsidRPr="00F25CE6" w:rsidRDefault="00416B4E" w:rsidP="00F25CE6">
      <w:pPr>
        <w:pStyle w:val="BodyText"/>
        <w:widowControl/>
        <w:rPr>
          <w:rFonts w:asciiTheme="majorBidi" w:hAnsiTheme="majorBidi" w:cstheme="majorBidi"/>
          <w:szCs w:val="22"/>
        </w:rPr>
      </w:pPr>
    </w:p>
    <w:p w14:paraId="6F181EE2" w14:textId="2544B74F" w:rsidR="00A0587F" w:rsidRPr="000E635A" w:rsidRDefault="00A0587F" w:rsidP="00A0587F">
      <w:pPr>
        <w:spacing w:before="10"/>
        <w:rPr>
          <w:color w:val="000000"/>
          <w:lang w:val="it-IT"/>
        </w:rPr>
      </w:pPr>
      <w:r w:rsidRPr="000E635A">
        <w:rPr>
          <w:color w:val="000000"/>
          <w:lang w:val="it-IT"/>
        </w:rPr>
        <w:t>Accord Healthcare Polska Sp. z o.o.</w:t>
      </w:r>
    </w:p>
    <w:p w14:paraId="5780E4B4" w14:textId="77777777" w:rsidR="00A0587F" w:rsidRPr="000E635A" w:rsidRDefault="00A0587F" w:rsidP="00A0587F">
      <w:pPr>
        <w:spacing w:before="10"/>
        <w:rPr>
          <w:color w:val="000000"/>
          <w:lang w:val="it-IT"/>
        </w:rPr>
      </w:pPr>
      <w:r w:rsidRPr="000E635A">
        <w:rPr>
          <w:color w:val="000000"/>
          <w:lang w:val="it-IT"/>
        </w:rPr>
        <w:t xml:space="preserve">ul. Lutomierska 50 </w:t>
      </w:r>
    </w:p>
    <w:p w14:paraId="06D2C0C9" w14:textId="77777777" w:rsidR="00A0587F" w:rsidRPr="000E635A" w:rsidRDefault="00A0587F" w:rsidP="00A0587F">
      <w:pPr>
        <w:spacing w:before="10"/>
        <w:rPr>
          <w:color w:val="000000"/>
          <w:lang w:val="it-IT"/>
        </w:rPr>
      </w:pPr>
      <w:r w:rsidRPr="000E635A">
        <w:rPr>
          <w:color w:val="000000"/>
          <w:lang w:val="it-IT"/>
        </w:rPr>
        <w:t xml:space="preserve">Pabianice, 95-200 </w:t>
      </w:r>
    </w:p>
    <w:p w14:paraId="5E3A8801" w14:textId="50C7C281" w:rsidR="00A0587F" w:rsidRPr="000E635A" w:rsidRDefault="00A0587F" w:rsidP="00A0587F">
      <w:pPr>
        <w:spacing w:before="10"/>
        <w:rPr>
          <w:color w:val="000000"/>
          <w:lang w:val="it-IT"/>
        </w:rPr>
      </w:pPr>
      <w:r>
        <w:rPr>
          <w:color w:val="000000"/>
          <w:lang w:val="it-IT"/>
        </w:rPr>
        <w:t>Poljska</w:t>
      </w:r>
      <w:r w:rsidRPr="000E635A">
        <w:rPr>
          <w:color w:val="000000"/>
          <w:lang w:val="it-IT"/>
        </w:rPr>
        <w:tab/>
      </w:r>
    </w:p>
    <w:p w14:paraId="068075EB" w14:textId="77777777" w:rsidR="00A0587F" w:rsidRPr="000E635A" w:rsidRDefault="00A0587F" w:rsidP="00A0587F">
      <w:pPr>
        <w:spacing w:before="10"/>
        <w:rPr>
          <w:color w:val="000000"/>
          <w:lang w:val="it-IT"/>
        </w:rPr>
      </w:pPr>
    </w:p>
    <w:p w14:paraId="09386CE6" w14:textId="77777777" w:rsidR="00A0587F" w:rsidRPr="000E635A" w:rsidRDefault="00A0587F" w:rsidP="00A0587F">
      <w:pPr>
        <w:spacing w:before="10"/>
        <w:rPr>
          <w:color w:val="000000"/>
          <w:lang w:val="it-IT"/>
        </w:rPr>
      </w:pPr>
      <w:r w:rsidRPr="000E635A">
        <w:rPr>
          <w:color w:val="000000"/>
          <w:lang w:val="it-IT"/>
        </w:rPr>
        <w:t>Accord Healthcare B.V.</w:t>
      </w:r>
    </w:p>
    <w:p w14:paraId="54B673B1" w14:textId="77777777" w:rsidR="00A0587F" w:rsidRPr="000E635A" w:rsidRDefault="00A0587F" w:rsidP="00A0587F">
      <w:pPr>
        <w:spacing w:before="10"/>
        <w:rPr>
          <w:color w:val="000000"/>
          <w:lang w:val="it-IT"/>
        </w:rPr>
      </w:pPr>
      <w:r w:rsidRPr="000E635A">
        <w:rPr>
          <w:color w:val="000000"/>
          <w:lang w:val="it-IT"/>
        </w:rPr>
        <w:t xml:space="preserve">Winthontlaan 200 </w:t>
      </w:r>
    </w:p>
    <w:p w14:paraId="768139B8" w14:textId="77777777" w:rsidR="00A0587F" w:rsidRPr="000E635A" w:rsidRDefault="00A0587F" w:rsidP="00A0587F">
      <w:pPr>
        <w:spacing w:before="10"/>
        <w:rPr>
          <w:color w:val="000000"/>
          <w:lang w:val="it-IT"/>
        </w:rPr>
      </w:pPr>
      <w:r w:rsidRPr="000E635A">
        <w:rPr>
          <w:color w:val="000000"/>
          <w:lang w:val="it-IT"/>
        </w:rPr>
        <w:t xml:space="preserve">Utrecht, 3526 KV </w:t>
      </w:r>
    </w:p>
    <w:p w14:paraId="569041AD" w14:textId="65982CB6" w:rsidR="00A0587F" w:rsidRPr="000E635A" w:rsidRDefault="00A0587F" w:rsidP="00A0587F">
      <w:pPr>
        <w:spacing w:before="10"/>
        <w:rPr>
          <w:color w:val="000000"/>
          <w:lang w:val="it-IT"/>
        </w:rPr>
      </w:pPr>
      <w:r>
        <w:rPr>
          <w:color w:val="000000"/>
          <w:lang w:val="it-IT"/>
        </w:rPr>
        <w:t>Nizozemska</w:t>
      </w:r>
    </w:p>
    <w:p w14:paraId="7734712C" w14:textId="77777777" w:rsidR="00A0587F" w:rsidRPr="000E635A" w:rsidRDefault="00A0587F" w:rsidP="00A0587F">
      <w:pPr>
        <w:spacing w:before="10"/>
        <w:rPr>
          <w:color w:val="000000"/>
          <w:lang w:val="it-IT"/>
        </w:rPr>
      </w:pPr>
    </w:p>
    <w:p w14:paraId="31E69155" w14:textId="77777777" w:rsidR="00A0587F" w:rsidRPr="002C3132" w:rsidRDefault="00A0587F" w:rsidP="002C3132">
      <w:pPr>
        <w:spacing w:before="10"/>
        <w:rPr>
          <w:szCs w:val="20"/>
          <w:lang w:val="it-IT"/>
        </w:rPr>
      </w:pPr>
      <w:r w:rsidRPr="000E635A">
        <w:rPr>
          <w:color w:val="000000"/>
          <w:lang w:val="it-IT"/>
        </w:rPr>
        <w:t>Pharmadox Healthcare</w:t>
      </w:r>
      <w:r w:rsidRPr="002C3132">
        <w:rPr>
          <w:color w:val="000000"/>
          <w:szCs w:val="20"/>
          <w:lang w:val="it-IT"/>
        </w:rPr>
        <w:t xml:space="preserve"> Limited</w:t>
      </w:r>
      <w:r w:rsidRPr="000E635A">
        <w:rPr>
          <w:color w:val="000000"/>
          <w:lang w:val="it-IT"/>
        </w:rPr>
        <w:t xml:space="preserve"> </w:t>
      </w:r>
    </w:p>
    <w:p w14:paraId="5FC562C1" w14:textId="77777777" w:rsidR="00A0587F" w:rsidRPr="000E635A" w:rsidRDefault="00A0587F" w:rsidP="00A0587F">
      <w:pPr>
        <w:spacing w:before="10"/>
        <w:rPr>
          <w:color w:val="000000"/>
          <w:lang w:val="it-IT"/>
        </w:rPr>
      </w:pPr>
      <w:r w:rsidRPr="000E635A">
        <w:rPr>
          <w:color w:val="000000"/>
          <w:lang w:val="it-IT"/>
        </w:rPr>
        <w:t xml:space="preserve">Kw20a Kordin Industrial Park </w:t>
      </w:r>
    </w:p>
    <w:p w14:paraId="326A6739" w14:textId="77777777" w:rsidR="00A0587F" w:rsidRPr="000E635A" w:rsidRDefault="00A0587F" w:rsidP="00A0587F">
      <w:pPr>
        <w:spacing w:before="10"/>
        <w:rPr>
          <w:color w:val="000000"/>
          <w:lang w:val="it-IT"/>
        </w:rPr>
      </w:pPr>
      <w:r w:rsidRPr="000E635A">
        <w:rPr>
          <w:color w:val="000000"/>
          <w:lang w:val="it-IT"/>
        </w:rPr>
        <w:t>Paola, PLA 3000</w:t>
      </w:r>
    </w:p>
    <w:p w14:paraId="73F88DB9" w14:textId="500AA1B0" w:rsidR="00A0587F" w:rsidRDefault="00A0587F" w:rsidP="002C3132">
      <w:pPr>
        <w:spacing w:before="10"/>
        <w:rPr>
          <w:ins w:id="6" w:author="MAH Review_RD" w:date="2026-01-05T11:57:00Z" w16du:dateUtc="2026-01-05T06:27:00Z"/>
          <w:color w:val="000000"/>
          <w:lang w:val="it-IT"/>
        </w:rPr>
      </w:pPr>
      <w:r w:rsidRPr="000E635A">
        <w:rPr>
          <w:color w:val="000000"/>
          <w:lang w:val="it-IT"/>
        </w:rPr>
        <w:t>Malta</w:t>
      </w:r>
    </w:p>
    <w:p w14:paraId="7E7253D5" w14:textId="77777777" w:rsidR="00FA34CB" w:rsidRDefault="00FA34CB" w:rsidP="002C3132">
      <w:pPr>
        <w:spacing w:before="10"/>
        <w:rPr>
          <w:ins w:id="7" w:author="MAH Review_RD" w:date="2026-01-05T11:57:00Z" w16du:dateUtc="2026-01-05T06:27:00Z"/>
          <w:color w:val="000000"/>
          <w:lang w:val="it-IT"/>
        </w:rPr>
      </w:pPr>
    </w:p>
    <w:p w14:paraId="18E6A215" w14:textId="1FFE06E5" w:rsidR="00FA34CB" w:rsidRPr="007D7FDD" w:rsidRDefault="00FA34CB" w:rsidP="00FA34CB">
      <w:pPr>
        <w:spacing w:before="10"/>
        <w:rPr>
          <w:ins w:id="8" w:author="MAH Review_RD" w:date="2026-01-05T11:57:00Z" w16du:dateUtc="2026-01-05T06:27:00Z"/>
          <w:color w:val="000000"/>
          <w:lang w:val="en-IN"/>
        </w:rPr>
      </w:pPr>
      <w:ins w:id="9" w:author="MAH Review_RD" w:date="2026-01-05T11:57:00Z" w16du:dateUtc="2026-01-05T06:27:00Z">
        <w:r w:rsidRPr="007D7FDD">
          <w:rPr>
            <w:color w:val="000000"/>
            <w:lang w:val="en-IN"/>
          </w:rPr>
          <w:t xml:space="preserve">Accord Healthcare </w:t>
        </w:r>
      </w:ins>
      <w:ins w:id="10" w:author="MAH Review_RD" w:date="2026-01-16T14:22:00Z" w16du:dateUtc="2026-01-16T08:52:00Z">
        <w:r w:rsidR="00310EA0">
          <w:rPr>
            <w:color w:val="000000"/>
            <w:lang w:val="en-IN"/>
          </w:rPr>
          <w:t>s</w:t>
        </w:r>
      </w:ins>
      <w:ins w:id="11" w:author="MAH Review_RD" w:date="2026-01-05T11:57:00Z" w16du:dateUtc="2026-01-05T06:27:00Z">
        <w:r w:rsidRPr="007D7FDD">
          <w:rPr>
            <w:color w:val="000000"/>
            <w:lang w:val="en-IN"/>
          </w:rPr>
          <w:t xml:space="preserve">ingle </w:t>
        </w:r>
      </w:ins>
      <w:ins w:id="12" w:author="MAH Review_RD" w:date="2026-01-16T14:22:00Z" w16du:dateUtc="2026-01-16T08:52:00Z">
        <w:r w:rsidR="00310EA0">
          <w:rPr>
            <w:color w:val="000000"/>
            <w:lang w:val="en-IN"/>
          </w:rPr>
          <w:t>m</w:t>
        </w:r>
      </w:ins>
      <w:ins w:id="13" w:author="MAH Review_RD" w:date="2026-01-05T11:57:00Z" w16du:dateUtc="2026-01-05T06:27:00Z">
        <w:r w:rsidRPr="007D7FDD">
          <w:rPr>
            <w:color w:val="000000"/>
            <w:lang w:val="en-IN"/>
          </w:rPr>
          <w:t xml:space="preserve">ember S.A., </w:t>
        </w:r>
      </w:ins>
    </w:p>
    <w:p w14:paraId="62E4CC34" w14:textId="77777777" w:rsidR="00FA34CB" w:rsidRDefault="00FA34CB" w:rsidP="00FA34CB">
      <w:pPr>
        <w:spacing w:before="10"/>
        <w:rPr>
          <w:ins w:id="14" w:author="MAH Review_RD" w:date="2026-01-05T11:57:00Z" w16du:dateUtc="2026-01-05T06:27:00Z"/>
          <w:color w:val="000000"/>
          <w:lang w:val="en-IN"/>
        </w:rPr>
      </w:pPr>
      <w:ins w:id="15" w:author="MAH Review_RD" w:date="2026-01-05T11:57:00Z" w16du:dateUtc="2026-01-05T06:27:00Z">
        <w:r w:rsidRPr="007D7FDD">
          <w:rPr>
            <w:color w:val="000000"/>
            <w:lang w:val="en-IN"/>
          </w:rPr>
          <w:t xml:space="preserve">64th Km National Road Athens, </w:t>
        </w:r>
      </w:ins>
    </w:p>
    <w:p w14:paraId="7E7AD927" w14:textId="58030929" w:rsidR="00FA34CB" w:rsidRPr="000E635A" w:rsidRDefault="00FA34CB" w:rsidP="00FA34CB">
      <w:pPr>
        <w:spacing w:before="10"/>
        <w:rPr>
          <w:ins w:id="16" w:author="MAH Review_RD" w:date="2026-01-05T11:57:00Z" w16du:dateUtc="2026-01-05T06:27:00Z"/>
          <w:color w:val="000000"/>
          <w:lang w:val="it-IT"/>
        </w:rPr>
      </w:pPr>
      <w:ins w:id="17" w:author="MAH Review_RD" w:date="2026-01-05T11:57:00Z" w16du:dateUtc="2026-01-05T06:27:00Z">
        <w:r w:rsidRPr="00310EA0">
          <w:rPr>
            <w:color w:val="000000"/>
            <w:lang w:val="pl-PL"/>
          </w:rPr>
          <w:t>Lamia, Schimatari, 32009, Grčka</w:t>
        </w:r>
      </w:ins>
    </w:p>
    <w:p w14:paraId="4B9FD66F" w14:textId="77777777" w:rsidR="00AF7ABC" w:rsidRDefault="00AF7ABC" w:rsidP="00F25CE6">
      <w:pPr>
        <w:pStyle w:val="BodyText"/>
        <w:widowControl/>
        <w:rPr>
          <w:rFonts w:asciiTheme="majorBidi" w:hAnsiTheme="majorBidi" w:cstheme="majorBidi"/>
          <w:szCs w:val="22"/>
        </w:rPr>
      </w:pPr>
    </w:p>
    <w:p w14:paraId="4E5B2274" w14:textId="33BAF447" w:rsidR="004042AB" w:rsidRPr="00E50142" w:rsidRDefault="004042AB" w:rsidP="004042AB">
      <w:r w:rsidRPr="009553D4">
        <w:t>Na tiskanoj uputi o lijeku mora se n</w:t>
      </w:r>
      <w:r w:rsidRPr="00F54C77">
        <w:t>avesti naziv i adresa proizvođača odgovornog za puštanje navedene serije u promet.</w:t>
      </w:r>
    </w:p>
    <w:p w14:paraId="6811D1A2" w14:textId="01530EED" w:rsidR="00DB4A3A" w:rsidRDefault="00DB4A3A" w:rsidP="00F25CE6">
      <w:pPr>
        <w:pStyle w:val="BodyText"/>
        <w:widowControl/>
        <w:rPr>
          <w:rFonts w:asciiTheme="majorBidi" w:hAnsiTheme="majorBidi" w:cstheme="majorBidi"/>
          <w:szCs w:val="22"/>
        </w:rPr>
      </w:pPr>
    </w:p>
    <w:p w14:paraId="6A705B0F" w14:textId="77777777" w:rsidR="002C25D1" w:rsidRPr="00F25CE6" w:rsidRDefault="002C25D1" w:rsidP="00F25CE6">
      <w:pPr>
        <w:pStyle w:val="BodyText"/>
        <w:widowControl/>
        <w:rPr>
          <w:rFonts w:asciiTheme="majorBidi" w:hAnsiTheme="majorBidi" w:cstheme="majorBidi"/>
          <w:szCs w:val="22"/>
        </w:rPr>
      </w:pPr>
    </w:p>
    <w:p w14:paraId="63F2A94B" w14:textId="77777777" w:rsidR="00AF7ABC" w:rsidRPr="00396A82" w:rsidRDefault="00422138" w:rsidP="00396A82">
      <w:pPr>
        <w:pStyle w:val="ListParagraph"/>
        <w:widowControl/>
        <w:numPr>
          <w:ilvl w:val="0"/>
          <w:numId w:val="4"/>
        </w:numPr>
        <w:ind w:left="360" w:hanging="360"/>
        <w:rPr>
          <w:b/>
          <w:bCs/>
        </w:rPr>
      </w:pPr>
      <w:r w:rsidRPr="00396A82">
        <w:rPr>
          <w:b/>
          <w:bCs/>
        </w:rPr>
        <w:t>UVJETI ILI OGRANIČENJA VEZANI UZ OPSKRBU I PRIMJENU</w:t>
      </w:r>
    </w:p>
    <w:p w14:paraId="6F559808" w14:textId="77777777" w:rsidR="00AF7ABC" w:rsidRPr="00F25CE6" w:rsidRDefault="00AF7ABC" w:rsidP="00F25CE6">
      <w:pPr>
        <w:pStyle w:val="BodyText"/>
        <w:widowControl/>
        <w:rPr>
          <w:rFonts w:asciiTheme="majorBidi" w:hAnsiTheme="majorBidi" w:cstheme="majorBidi"/>
          <w:b/>
          <w:szCs w:val="22"/>
        </w:rPr>
      </w:pPr>
    </w:p>
    <w:p w14:paraId="41B6596D"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Lijek se izdaje na ograničeni recept (vidjeti Prilog I.: Sažetak opisa svojstava lijeka, dio 4.2).</w:t>
      </w:r>
    </w:p>
    <w:p w14:paraId="0B918171" w14:textId="77777777" w:rsidR="00AF7ABC" w:rsidRPr="00F25CE6" w:rsidRDefault="00AF7ABC" w:rsidP="00F25CE6">
      <w:pPr>
        <w:pStyle w:val="BodyText"/>
        <w:widowControl/>
        <w:rPr>
          <w:rFonts w:asciiTheme="majorBidi" w:hAnsiTheme="majorBidi" w:cstheme="majorBidi"/>
          <w:szCs w:val="22"/>
        </w:rPr>
      </w:pPr>
    </w:p>
    <w:p w14:paraId="681F9388" w14:textId="77777777" w:rsidR="00AF7ABC" w:rsidRPr="00F25CE6" w:rsidRDefault="00AF7ABC" w:rsidP="00F25CE6">
      <w:pPr>
        <w:pStyle w:val="BodyText"/>
        <w:widowControl/>
        <w:rPr>
          <w:rFonts w:asciiTheme="majorBidi" w:hAnsiTheme="majorBidi" w:cstheme="majorBidi"/>
          <w:szCs w:val="22"/>
        </w:rPr>
      </w:pPr>
    </w:p>
    <w:p w14:paraId="1E6BAD30" w14:textId="77777777" w:rsidR="00AF7ABC" w:rsidRPr="00396A82" w:rsidRDefault="00422138" w:rsidP="00396A82">
      <w:pPr>
        <w:pStyle w:val="ListParagraph"/>
        <w:widowControl/>
        <w:numPr>
          <w:ilvl w:val="0"/>
          <w:numId w:val="4"/>
        </w:numPr>
        <w:ind w:left="360" w:hanging="360"/>
        <w:rPr>
          <w:b/>
          <w:bCs/>
        </w:rPr>
      </w:pPr>
      <w:r w:rsidRPr="00396A82">
        <w:rPr>
          <w:b/>
          <w:bCs/>
        </w:rPr>
        <w:t>OSTALI UVJETI I ZAHTJEVI ODOBRENJA ZA STAVLJANJE LIJEKA U PROMET</w:t>
      </w:r>
    </w:p>
    <w:p w14:paraId="23DFC9AE" w14:textId="77777777" w:rsidR="00AF7ABC" w:rsidRPr="00F25CE6" w:rsidRDefault="00AF7ABC" w:rsidP="00F25CE6">
      <w:pPr>
        <w:pStyle w:val="BodyText"/>
        <w:widowControl/>
        <w:rPr>
          <w:rFonts w:asciiTheme="majorBidi" w:hAnsiTheme="majorBidi" w:cstheme="majorBidi"/>
          <w:b/>
          <w:szCs w:val="22"/>
        </w:rPr>
      </w:pPr>
    </w:p>
    <w:p w14:paraId="5B48D760" w14:textId="700E232E" w:rsidR="00AF7ABC" w:rsidRPr="00F25CE6" w:rsidRDefault="00422138" w:rsidP="00396A82">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b/>
        </w:rPr>
        <w:t>Periodička izvješća o neškodljivosti</w:t>
      </w:r>
      <w:r w:rsidR="000B6D7B">
        <w:rPr>
          <w:rFonts w:asciiTheme="majorBidi" w:hAnsiTheme="majorBidi" w:cstheme="majorBidi"/>
          <w:b/>
        </w:rPr>
        <w:t xml:space="preserve"> </w:t>
      </w:r>
      <w:r w:rsidR="00F81BAA">
        <w:rPr>
          <w:rFonts w:asciiTheme="majorBidi" w:hAnsiTheme="majorBidi" w:cstheme="majorBidi"/>
          <w:b/>
        </w:rPr>
        <w:t xml:space="preserve">lijeka </w:t>
      </w:r>
      <w:r w:rsidR="000B6D7B">
        <w:rPr>
          <w:rFonts w:asciiTheme="majorBidi" w:hAnsiTheme="majorBidi" w:cstheme="majorBidi"/>
          <w:b/>
        </w:rPr>
        <w:t>(PSUR-evi)</w:t>
      </w:r>
    </w:p>
    <w:p w14:paraId="147B5C70" w14:textId="77777777" w:rsidR="00AF7ABC" w:rsidRPr="00F25CE6" w:rsidRDefault="00AF7ABC" w:rsidP="00F25CE6">
      <w:pPr>
        <w:pStyle w:val="BodyText"/>
        <w:widowControl/>
        <w:rPr>
          <w:rFonts w:asciiTheme="majorBidi" w:hAnsiTheme="majorBidi" w:cstheme="majorBidi"/>
          <w:b/>
          <w:szCs w:val="22"/>
        </w:rPr>
      </w:pPr>
    </w:p>
    <w:p w14:paraId="5B95F101" w14:textId="5482806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Zahtjevi za podnošenje </w:t>
      </w:r>
      <w:r w:rsidR="000B6D7B">
        <w:rPr>
          <w:rFonts w:asciiTheme="majorBidi" w:hAnsiTheme="majorBidi" w:cstheme="majorBidi"/>
          <w:szCs w:val="22"/>
        </w:rPr>
        <w:t>PSUR-eva za</w:t>
      </w:r>
      <w:r w:rsidRPr="00F25CE6">
        <w:rPr>
          <w:rFonts w:asciiTheme="majorBidi" w:hAnsiTheme="majorBidi" w:cstheme="majorBidi"/>
          <w:szCs w:val="22"/>
        </w:rPr>
        <w:t xml:space="preserve"> ovaj lijek definirani su u referentnom popisu datuma EU (EURD popis) predviđenom člankom 107.c stavkom 7. Direktive 2001/83/EZ i svim sljedećim ažuriranim verzijama objavljenima na europskom internetskom portalu za lijekove.</w:t>
      </w:r>
    </w:p>
    <w:p w14:paraId="224B95AC" w14:textId="77777777" w:rsidR="00AF7ABC" w:rsidRPr="00F25CE6" w:rsidRDefault="00AF7ABC" w:rsidP="00F25CE6">
      <w:pPr>
        <w:pStyle w:val="BodyText"/>
        <w:widowControl/>
        <w:rPr>
          <w:rFonts w:asciiTheme="majorBidi" w:hAnsiTheme="majorBidi" w:cstheme="majorBidi"/>
          <w:szCs w:val="22"/>
        </w:rPr>
      </w:pPr>
    </w:p>
    <w:p w14:paraId="48B9A6F3" w14:textId="77777777" w:rsidR="00AF7ABC" w:rsidRPr="00F25CE6" w:rsidRDefault="00AF7ABC" w:rsidP="00F25CE6">
      <w:pPr>
        <w:pStyle w:val="BodyText"/>
        <w:widowControl/>
        <w:rPr>
          <w:rFonts w:asciiTheme="majorBidi" w:hAnsiTheme="majorBidi" w:cstheme="majorBidi"/>
          <w:szCs w:val="22"/>
        </w:rPr>
      </w:pPr>
    </w:p>
    <w:p w14:paraId="15468C5A" w14:textId="77777777" w:rsidR="00AF7ABC" w:rsidRPr="00396A82" w:rsidRDefault="00422138" w:rsidP="00396A82">
      <w:pPr>
        <w:pStyle w:val="ListParagraph"/>
        <w:widowControl/>
        <w:numPr>
          <w:ilvl w:val="0"/>
          <w:numId w:val="4"/>
        </w:numPr>
        <w:ind w:left="360" w:hanging="360"/>
        <w:rPr>
          <w:b/>
          <w:bCs/>
        </w:rPr>
      </w:pPr>
      <w:r w:rsidRPr="00396A82">
        <w:rPr>
          <w:b/>
          <w:bCs/>
        </w:rPr>
        <w:t>UVJETI ILI OGRANIČENJA VEZANI UZ SIGURNU I UČINKOVITU PRIMJENU LIJEKA</w:t>
      </w:r>
    </w:p>
    <w:p w14:paraId="4E830487" w14:textId="77777777" w:rsidR="00AF7ABC" w:rsidRPr="00F25CE6" w:rsidRDefault="00AF7ABC" w:rsidP="00F25CE6">
      <w:pPr>
        <w:pStyle w:val="BodyText"/>
        <w:widowControl/>
        <w:rPr>
          <w:rFonts w:asciiTheme="majorBidi" w:hAnsiTheme="majorBidi" w:cstheme="majorBidi"/>
          <w:b/>
          <w:szCs w:val="22"/>
        </w:rPr>
      </w:pPr>
    </w:p>
    <w:p w14:paraId="135192DA" w14:textId="77777777" w:rsidR="00AF7ABC" w:rsidRPr="00F25CE6" w:rsidRDefault="00422138" w:rsidP="00396A82">
      <w:pPr>
        <w:pStyle w:val="ListParagraph"/>
        <w:widowControl/>
        <w:numPr>
          <w:ilvl w:val="0"/>
          <w:numId w:val="9"/>
        </w:numPr>
        <w:tabs>
          <w:tab w:val="left" w:pos="867"/>
          <w:tab w:val="left" w:pos="868"/>
        </w:tabs>
        <w:ind w:left="562" w:hanging="562"/>
        <w:rPr>
          <w:rFonts w:asciiTheme="majorBidi" w:hAnsiTheme="majorBidi" w:cstheme="majorBidi"/>
          <w:b/>
        </w:rPr>
      </w:pPr>
      <w:r w:rsidRPr="00F25CE6">
        <w:rPr>
          <w:rFonts w:asciiTheme="majorBidi" w:hAnsiTheme="majorBidi" w:cstheme="majorBidi"/>
          <w:b/>
        </w:rPr>
        <w:t>Plan upravljanja rizikom (RMP)</w:t>
      </w:r>
    </w:p>
    <w:p w14:paraId="3B7B6693" w14:textId="77777777" w:rsidR="00AF7ABC" w:rsidRPr="00F25CE6" w:rsidRDefault="00AF7ABC" w:rsidP="00F25CE6">
      <w:pPr>
        <w:pStyle w:val="BodyText"/>
        <w:widowControl/>
        <w:rPr>
          <w:rFonts w:asciiTheme="majorBidi" w:hAnsiTheme="majorBidi" w:cstheme="majorBidi"/>
          <w:b/>
          <w:szCs w:val="22"/>
        </w:rPr>
      </w:pPr>
    </w:p>
    <w:p w14:paraId="081AE3C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AA122FC" w14:textId="77777777" w:rsidR="00AF7ABC" w:rsidRPr="00F25CE6" w:rsidRDefault="00AF7ABC" w:rsidP="00F25CE6">
      <w:pPr>
        <w:pStyle w:val="BodyText"/>
        <w:widowControl/>
        <w:rPr>
          <w:rFonts w:asciiTheme="majorBidi" w:hAnsiTheme="majorBidi" w:cstheme="majorBidi"/>
          <w:szCs w:val="22"/>
        </w:rPr>
      </w:pPr>
    </w:p>
    <w:p w14:paraId="62C7E14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Ažurirani RMP treba dostaviti:</w:t>
      </w:r>
    </w:p>
    <w:p w14:paraId="291A68CA" w14:textId="77777777" w:rsidR="00AF7ABC" w:rsidRPr="00F25CE6" w:rsidRDefault="00422138" w:rsidP="00396A82">
      <w:pPr>
        <w:pStyle w:val="ListParagraph"/>
        <w:widowControl/>
        <w:numPr>
          <w:ilvl w:val="0"/>
          <w:numId w:val="9"/>
        </w:numPr>
        <w:tabs>
          <w:tab w:val="left" w:pos="672"/>
          <w:tab w:val="left" w:pos="673"/>
        </w:tabs>
        <w:ind w:left="562" w:hanging="562"/>
        <w:rPr>
          <w:rFonts w:asciiTheme="majorBidi" w:hAnsiTheme="majorBidi" w:cstheme="majorBidi"/>
        </w:rPr>
      </w:pPr>
      <w:r w:rsidRPr="00F25CE6">
        <w:rPr>
          <w:rFonts w:asciiTheme="majorBidi" w:hAnsiTheme="majorBidi" w:cstheme="majorBidi"/>
        </w:rPr>
        <w:t>na zahtjev Europske agencije za lijekove;</w:t>
      </w:r>
    </w:p>
    <w:p w14:paraId="7532DADB" w14:textId="77777777" w:rsidR="00AF7ABC" w:rsidRPr="00396A82" w:rsidRDefault="00422138" w:rsidP="00396A82">
      <w:pPr>
        <w:pStyle w:val="ListParagraph"/>
        <w:widowControl/>
        <w:numPr>
          <w:ilvl w:val="0"/>
          <w:numId w:val="9"/>
        </w:numPr>
        <w:tabs>
          <w:tab w:val="left" w:pos="672"/>
          <w:tab w:val="left" w:pos="673"/>
        </w:tabs>
        <w:ind w:left="562" w:hanging="562"/>
        <w:rPr>
          <w:rFonts w:asciiTheme="majorBidi" w:hAnsiTheme="majorBidi" w:cstheme="majorBidi"/>
        </w:rPr>
      </w:pPr>
      <w:r w:rsidRPr="00396A82">
        <w:rPr>
          <w:rFonts w:asciiTheme="majorBidi" w:hAnsiTheme="majorBidi" w:cstheme="majorBidi"/>
        </w:rPr>
        <w:t>prilikom svake izmjene sustava za upravljanje rizikom, a naročito kada je ta izmjena rezultat primitka novih informacija koje mogu voditi ka značajnim izmjenama omjera korist/rizik,</w:t>
      </w:r>
      <w:r w:rsidR="00396A82" w:rsidRPr="00396A82">
        <w:rPr>
          <w:rFonts w:asciiTheme="majorBidi" w:hAnsiTheme="majorBidi" w:cstheme="majorBidi"/>
        </w:rPr>
        <w:t xml:space="preserve"> </w:t>
      </w:r>
      <w:r w:rsidRPr="00396A82">
        <w:rPr>
          <w:rFonts w:asciiTheme="majorBidi" w:hAnsiTheme="majorBidi" w:cstheme="majorBidi"/>
        </w:rPr>
        <w:t>odnosno kada je izmjena rezultat ostvarenja nekog važnog cilja (u smislu farmakovigilancije ili minimizacije rizika).</w:t>
      </w:r>
    </w:p>
    <w:p w14:paraId="40AB345E" w14:textId="1FA6786D" w:rsidR="00E43A44" w:rsidRPr="00067B16" w:rsidRDefault="00E43A44" w:rsidP="006C2C2A">
      <w:pPr>
        <w:rPr>
          <w:noProof/>
        </w:rPr>
      </w:pPr>
    </w:p>
    <w:p w14:paraId="0304DD22" w14:textId="77777777" w:rsidR="00E43A44" w:rsidRPr="00B3208E" w:rsidRDefault="00E43A44" w:rsidP="00E43A44">
      <w:pPr>
        <w:rPr>
          <w:noProof/>
        </w:rPr>
      </w:pPr>
    </w:p>
    <w:p w14:paraId="6CA412CD" w14:textId="77777777" w:rsidR="00E43A44" w:rsidRPr="008929AA" w:rsidRDefault="00E43A44" w:rsidP="00E43A44">
      <w:pPr>
        <w:rPr>
          <w:noProof/>
        </w:rPr>
      </w:pPr>
    </w:p>
    <w:p w14:paraId="6D723E2E" w14:textId="77777777" w:rsidR="00E43A44" w:rsidRPr="008929AA" w:rsidRDefault="00E43A44" w:rsidP="00E43A44">
      <w:pPr>
        <w:rPr>
          <w:noProof/>
        </w:rPr>
      </w:pPr>
    </w:p>
    <w:p w14:paraId="52C85748" w14:textId="77777777" w:rsidR="00E43A44" w:rsidRPr="008929AA" w:rsidRDefault="00E43A44" w:rsidP="00E43A44">
      <w:pPr>
        <w:rPr>
          <w:noProof/>
        </w:rPr>
      </w:pPr>
    </w:p>
    <w:p w14:paraId="6AC946A3" w14:textId="77777777" w:rsidR="00E43A44" w:rsidRPr="008929AA" w:rsidRDefault="00E43A44" w:rsidP="00E43A44">
      <w:pPr>
        <w:rPr>
          <w:noProof/>
        </w:rPr>
      </w:pPr>
    </w:p>
    <w:p w14:paraId="46A7C11E" w14:textId="77777777" w:rsidR="00E43A44" w:rsidRPr="008929AA" w:rsidRDefault="00E43A44" w:rsidP="00E43A44">
      <w:pPr>
        <w:rPr>
          <w:noProof/>
        </w:rPr>
      </w:pPr>
    </w:p>
    <w:p w14:paraId="2CA876F0" w14:textId="77777777" w:rsidR="00E43A44" w:rsidRPr="008929AA" w:rsidRDefault="00E43A44" w:rsidP="00E43A44">
      <w:pPr>
        <w:rPr>
          <w:noProof/>
        </w:rPr>
      </w:pPr>
    </w:p>
    <w:p w14:paraId="55E7A343" w14:textId="77777777" w:rsidR="00E43A44" w:rsidRPr="008929AA" w:rsidRDefault="00E43A44" w:rsidP="00E43A44">
      <w:pPr>
        <w:rPr>
          <w:noProof/>
        </w:rPr>
      </w:pPr>
    </w:p>
    <w:p w14:paraId="326F2585" w14:textId="77777777" w:rsidR="00E43A44" w:rsidRPr="008929AA" w:rsidRDefault="00E43A44" w:rsidP="00E43A44">
      <w:pPr>
        <w:rPr>
          <w:noProof/>
        </w:rPr>
      </w:pPr>
    </w:p>
    <w:p w14:paraId="6CFF3389" w14:textId="77777777" w:rsidR="00E43A44" w:rsidRPr="008929AA" w:rsidRDefault="00E43A44" w:rsidP="00E43A44">
      <w:pPr>
        <w:rPr>
          <w:noProof/>
        </w:rPr>
      </w:pPr>
    </w:p>
    <w:p w14:paraId="1568EEE8" w14:textId="77777777" w:rsidR="00E43A44" w:rsidRPr="008929AA" w:rsidRDefault="00E43A44" w:rsidP="00E43A44">
      <w:pPr>
        <w:rPr>
          <w:noProof/>
        </w:rPr>
      </w:pPr>
    </w:p>
    <w:p w14:paraId="75A1EF8D" w14:textId="77777777" w:rsidR="00E43A44" w:rsidRPr="008929AA" w:rsidRDefault="00E43A44" w:rsidP="00E43A44">
      <w:pPr>
        <w:rPr>
          <w:noProof/>
        </w:rPr>
      </w:pPr>
    </w:p>
    <w:p w14:paraId="606FFA0B" w14:textId="77777777" w:rsidR="00E43A44" w:rsidRPr="008929AA" w:rsidRDefault="00E43A44" w:rsidP="00E43A44">
      <w:pPr>
        <w:rPr>
          <w:noProof/>
        </w:rPr>
      </w:pPr>
    </w:p>
    <w:p w14:paraId="42D861B8" w14:textId="77777777" w:rsidR="00E43A44" w:rsidRPr="008929AA" w:rsidRDefault="00E43A44" w:rsidP="00E43A44">
      <w:pPr>
        <w:rPr>
          <w:noProof/>
        </w:rPr>
      </w:pPr>
    </w:p>
    <w:p w14:paraId="0229B500" w14:textId="77777777" w:rsidR="00E43A44" w:rsidRPr="008929AA" w:rsidRDefault="00E43A44" w:rsidP="00E43A44">
      <w:pPr>
        <w:rPr>
          <w:noProof/>
        </w:rPr>
      </w:pPr>
    </w:p>
    <w:p w14:paraId="15117CB9" w14:textId="77777777" w:rsidR="00E43A44" w:rsidRPr="008929AA" w:rsidRDefault="00E43A44" w:rsidP="00E43A44">
      <w:pPr>
        <w:rPr>
          <w:noProof/>
        </w:rPr>
      </w:pPr>
    </w:p>
    <w:p w14:paraId="5AEA6FC4" w14:textId="77777777" w:rsidR="00E43A44" w:rsidRDefault="00E43A44" w:rsidP="00E43A44">
      <w:pPr>
        <w:rPr>
          <w:noProof/>
        </w:rPr>
      </w:pPr>
    </w:p>
    <w:p w14:paraId="699E9A2F" w14:textId="77777777" w:rsidR="006C2C2A" w:rsidRDefault="006C2C2A" w:rsidP="00E43A44">
      <w:pPr>
        <w:rPr>
          <w:noProof/>
        </w:rPr>
      </w:pPr>
    </w:p>
    <w:p w14:paraId="55DE6E11" w14:textId="77777777" w:rsidR="006C2C2A" w:rsidRPr="008929AA" w:rsidRDefault="006C2C2A" w:rsidP="00E43A44">
      <w:pPr>
        <w:rPr>
          <w:noProof/>
        </w:rPr>
      </w:pPr>
    </w:p>
    <w:p w14:paraId="6ECEA9A3" w14:textId="77777777" w:rsidR="00E43A44" w:rsidRPr="008929AA" w:rsidRDefault="00E43A44" w:rsidP="00E43A44">
      <w:pPr>
        <w:rPr>
          <w:noProof/>
        </w:rPr>
      </w:pPr>
    </w:p>
    <w:p w14:paraId="094EC096" w14:textId="77777777" w:rsidR="00E43A44" w:rsidRPr="008929AA" w:rsidRDefault="00E43A44" w:rsidP="00E43A44">
      <w:pPr>
        <w:rPr>
          <w:noProof/>
        </w:rPr>
      </w:pPr>
    </w:p>
    <w:p w14:paraId="2D3F0366" w14:textId="77777777" w:rsidR="00E43A44" w:rsidRPr="008929AA" w:rsidRDefault="00E43A44" w:rsidP="00E43A44">
      <w:pPr>
        <w:rPr>
          <w:noProof/>
        </w:rPr>
      </w:pPr>
    </w:p>
    <w:p w14:paraId="65722FC7" w14:textId="77777777" w:rsidR="00E43A44" w:rsidRPr="008929AA" w:rsidRDefault="00E43A44" w:rsidP="00E43A44">
      <w:pPr>
        <w:rPr>
          <w:noProof/>
        </w:rPr>
      </w:pPr>
    </w:p>
    <w:p w14:paraId="689FC952" w14:textId="77777777" w:rsidR="00E43A44" w:rsidRPr="008929AA" w:rsidRDefault="00E43A44" w:rsidP="00E43A44">
      <w:pPr>
        <w:rPr>
          <w:noProof/>
        </w:rPr>
      </w:pPr>
    </w:p>
    <w:p w14:paraId="54FB3B6F" w14:textId="1AF6402C" w:rsidR="00E43A44" w:rsidRPr="006B4557" w:rsidRDefault="002E291B" w:rsidP="00E43A44">
      <w:pPr>
        <w:jc w:val="center"/>
        <w:outlineLvl w:val="0"/>
        <w:rPr>
          <w:b/>
          <w:noProof/>
        </w:rPr>
      </w:pPr>
      <w:r w:rsidRPr="002E291B">
        <w:rPr>
          <w:b/>
          <w:noProof/>
          <w:lang w:val="hu-HU"/>
        </w:rPr>
        <w:t>PRILOG III.</w:t>
      </w:r>
    </w:p>
    <w:p w14:paraId="4523F9B3" w14:textId="77777777" w:rsidR="00E43A44" w:rsidRPr="006B4557" w:rsidRDefault="00E43A44" w:rsidP="00E43A44">
      <w:pPr>
        <w:jc w:val="center"/>
        <w:rPr>
          <w:b/>
          <w:noProof/>
        </w:rPr>
      </w:pPr>
    </w:p>
    <w:p w14:paraId="102F22D8" w14:textId="047AE540" w:rsidR="00E43A44" w:rsidRPr="002E291B" w:rsidRDefault="002E291B" w:rsidP="00E43A44">
      <w:pPr>
        <w:jc w:val="center"/>
        <w:outlineLvl w:val="0"/>
        <w:rPr>
          <w:b/>
          <w:noProof/>
          <w:lang w:val="hu-HU"/>
        </w:rPr>
      </w:pPr>
      <w:r w:rsidRPr="002E291B">
        <w:rPr>
          <w:b/>
          <w:noProof/>
          <w:lang w:val="hu-HU"/>
        </w:rPr>
        <w:t>OZNA</w:t>
      </w:r>
      <w:r w:rsidRPr="002E291B">
        <w:rPr>
          <w:rFonts w:hint="eastAsia"/>
          <w:b/>
          <w:noProof/>
          <w:lang w:val="hu-HU"/>
        </w:rPr>
        <w:t>Č</w:t>
      </w:r>
      <w:r w:rsidRPr="002E291B">
        <w:rPr>
          <w:b/>
          <w:noProof/>
          <w:lang w:val="hu-HU"/>
        </w:rPr>
        <w:t>IVANJE I UPUTA O LIJEKU</w:t>
      </w:r>
    </w:p>
    <w:p w14:paraId="0B2DADC7" w14:textId="775DFDFE" w:rsidR="00E43A44" w:rsidRDefault="00E43A44">
      <w:pPr>
        <w:rPr>
          <w:rFonts w:asciiTheme="majorBidi" w:hAnsiTheme="majorBidi" w:cstheme="majorBidi"/>
        </w:rPr>
      </w:pPr>
      <w:r>
        <w:rPr>
          <w:rFonts w:asciiTheme="majorBidi" w:hAnsiTheme="majorBidi" w:cstheme="majorBidi"/>
        </w:rPr>
        <w:br w:type="page"/>
      </w:r>
    </w:p>
    <w:p w14:paraId="6BE5E671" w14:textId="77777777" w:rsidR="00A15E8A" w:rsidRDefault="00A15E8A" w:rsidP="00396A82">
      <w:pPr>
        <w:pageBreakBefore/>
        <w:widowControl/>
        <w:rPr>
          <w:rFonts w:asciiTheme="majorBidi" w:hAnsiTheme="majorBidi" w:cstheme="majorBidi"/>
        </w:rPr>
      </w:pPr>
    </w:p>
    <w:p w14:paraId="59652C6B" w14:textId="1965F498" w:rsidR="00554E9C" w:rsidRPr="00554E9C" w:rsidRDefault="00554E9C" w:rsidP="00612D2B">
      <w:pPr>
        <w:rPr>
          <w:rFonts w:asciiTheme="majorBidi" w:hAnsiTheme="majorBidi" w:cstheme="majorBidi"/>
        </w:rPr>
      </w:pPr>
    </w:p>
    <w:p w14:paraId="77651806" w14:textId="7C578FD8" w:rsidR="00554E9C" w:rsidRPr="00FD535B" w:rsidRDefault="00554E9C" w:rsidP="00612D2B">
      <w:pPr>
        <w:rPr>
          <w:rFonts w:asciiTheme="majorBidi" w:hAnsiTheme="majorBidi" w:cstheme="majorBidi"/>
        </w:rPr>
      </w:pPr>
    </w:p>
    <w:p w14:paraId="46364070" w14:textId="2A52E2FA" w:rsidR="00554E9C" w:rsidRPr="008B38E1" w:rsidRDefault="00554E9C" w:rsidP="00612D2B">
      <w:pPr>
        <w:rPr>
          <w:rFonts w:asciiTheme="majorBidi" w:hAnsiTheme="majorBidi" w:cstheme="majorBidi"/>
        </w:rPr>
      </w:pPr>
    </w:p>
    <w:p w14:paraId="48DA65F0" w14:textId="7D858F36" w:rsidR="00554E9C" w:rsidRPr="00E45581" w:rsidRDefault="00554E9C" w:rsidP="00612D2B">
      <w:pPr>
        <w:rPr>
          <w:rFonts w:asciiTheme="majorBidi" w:hAnsiTheme="majorBidi" w:cstheme="majorBidi"/>
        </w:rPr>
      </w:pPr>
    </w:p>
    <w:p w14:paraId="07D40175" w14:textId="6B489C46" w:rsidR="00554E9C" w:rsidRPr="00554E9C" w:rsidRDefault="00554E9C" w:rsidP="00612D2B">
      <w:pPr>
        <w:rPr>
          <w:rFonts w:asciiTheme="majorBidi" w:hAnsiTheme="majorBidi" w:cstheme="majorBidi"/>
        </w:rPr>
      </w:pPr>
    </w:p>
    <w:p w14:paraId="5BA0212A" w14:textId="29252C4A" w:rsidR="00554E9C" w:rsidRDefault="00554E9C" w:rsidP="00612D2B">
      <w:pPr>
        <w:rPr>
          <w:rFonts w:asciiTheme="majorBidi" w:hAnsiTheme="majorBidi" w:cstheme="majorBidi"/>
        </w:rPr>
      </w:pPr>
    </w:p>
    <w:p w14:paraId="01FCD8E6" w14:textId="77777777" w:rsidR="006C2C2A" w:rsidRDefault="006C2C2A" w:rsidP="00612D2B">
      <w:pPr>
        <w:rPr>
          <w:rFonts w:asciiTheme="majorBidi" w:hAnsiTheme="majorBidi" w:cstheme="majorBidi"/>
        </w:rPr>
      </w:pPr>
    </w:p>
    <w:p w14:paraId="60BB029E" w14:textId="77777777" w:rsidR="006C2C2A" w:rsidRPr="00554E9C" w:rsidRDefault="006C2C2A" w:rsidP="00612D2B">
      <w:pPr>
        <w:rPr>
          <w:rFonts w:asciiTheme="majorBidi" w:hAnsiTheme="majorBidi" w:cstheme="majorBidi"/>
        </w:rPr>
      </w:pPr>
    </w:p>
    <w:p w14:paraId="1220D92B" w14:textId="113808A3" w:rsidR="00554E9C" w:rsidRPr="00554E9C" w:rsidRDefault="00554E9C" w:rsidP="00612D2B">
      <w:pPr>
        <w:rPr>
          <w:rFonts w:asciiTheme="majorBidi" w:hAnsiTheme="majorBidi" w:cstheme="majorBidi"/>
        </w:rPr>
      </w:pPr>
    </w:p>
    <w:p w14:paraId="2DB009AB" w14:textId="556F9E4A" w:rsidR="00554E9C" w:rsidRPr="00554E9C" w:rsidRDefault="00554E9C" w:rsidP="00612D2B">
      <w:pPr>
        <w:rPr>
          <w:rFonts w:asciiTheme="majorBidi" w:hAnsiTheme="majorBidi" w:cstheme="majorBidi"/>
        </w:rPr>
      </w:pPr>
    </w:p>
    <w:p w14:paraId="36186D6D" w14:textId="622AC1B1" w:rsidR="00554E9C" w:rsidRPr="00554E9C" w:rsidRDefault="00554E9C" w:rsidP="00612D2B">
      <w:pPr>
        <w:rPr>
          <w:rFonts w:asciiTheme="majorBidi" w:hAnsiTheme="majorBidi" w:cstheme="majorBidi"/>
        </w:rPr>
      </w:pPr>
    </w:p>
    <w:p w14:paraId="1D558E00" w14:textId="763562A6" w:rsidR="00554E9C" w:rsidRPr="00554E9C" w:rsidRDefault="00554E9C" w:rsidP="00612D2B">
      <w:pPr>
        <w:rPr>
          <w:rFonts w:asciiTheme="majorBidi" w:hAnsiTheme="majorBidi" w:cstheme="majorBidi"/>
        </w:rPr>
      </w:pPr>
    </w:p>
    <w:p w14:paraId="79167389" w14:textId="6D5B4B13" w:rsidR="00554E9C" w:rsidRPr="00554E9C" w:rsidRDefault="00554E9C" w:rsidP="00612D2B">
      <w:pPr>
        <w:rPr>
          <w:rFonts w:asciiTheme="majorBidi" w:hAnsiTheme="majorBidi" w:cstheme="majorBidi"/>
        </w:rPr>
      </w:pPr>
    </w:p>
    <w:p w14:paraId="625BFEED" w14:textId="7E4FC101" w:rsidR="00554E9C" w:rsidRPr="00554E9C" w:rsidRDefault="00554E9C" w:rsidP="00612D2B">
      <w:pPr>
        <w:rPr>
          <w:rFonts w:asciiTheme="majorBidi" w:hAnsiTheme="majorBidi" w:cstheme="majorBidi"/>
        </w:rPr>
      </w:pPr>
    </w:p>
    <w:p w14:paraId="54AC4DAE" w14:textId="712CF209" w:rsidR="00554E9C" w:rsidRPr="00554E9C" w:rsidRDefault="00554E9C" w:rsidP="00612D2B">
      <w:pPr>
        <w:rPr>
          <w:rFonts w:asciiTheme="majorBidi" w:hAnsiTheme="majorBidi" w:cstheme="majorBidi"/>
        </w:rPr>
      </w:pPr>
    </w:p>
    <w:p w14:paraId="644E3DB3" w14:textId="28A1F4BD" w:rsidR="00554E9C" w:rsidRPr="00554E9C" w:rsidRDefault="00554E9C" w:rsidP="00612D2B">
      <w:pPr>
        <w:rPr>
          <w:rFonts w:asciiTheme="majorBidi" w:hAnsiTheme="majorBidi" w:cstheme="majorBidi"/>
        </w:rPr>
      </w:pPr>
    </w:p>
    <w:p w14:paraId="6836C209" w14:textId="17BEC922" w:rsidR="00554E9C" w:rsidRPr="00554E9C" w:rsidRDefault="00554E9C" w:rsidP="00612D2B">
      <w:pPr>
        <w:rPr>
          <w:rFonts w:asciiTheme="majorBidi" w:hAnsiTheme="majorBidi" w:cstheme="majorBidi"/>
        </w:rPr>
      </w:pPr>
    </w:p>
    <w:p w14:paraId="0D36EC7B" w14:textId="0F1AD6F8" w:rsidR="00554E9C" w:rsidRPr="00554E9C" w:rsidRDefault="00554E9C" w:rsidP="00612D2B">
      <w:pPr>
        <w:rPr>
          <w:rFonts w:asciiTheme="majorBidi" w:hAnsiTheme="majorBidi" w:cstheme="majorBidi"/>
        </w:rPr>
      </w:pPr>
    </w:p>
    <w:p w14:paraId="13B5A8FC" w14:textId="3B208A90" w:rsidR="00554E9C" w:rsidRPr="00554E9C" w:rsidRDefault="00554E9C" w:rsidP="00612D2B">
      <w:pPr>
        <w:rPr>
          <w:rFonts w:asciiTheme="majorBidi" w:hAnsiTheme="majorBidi" w:cstheme="majorBidi"/>
        </w:rPr>
      </w:pPr>
    </w:p>
    <w:p w14:paraId="052AE3D7" w14:textId="77777777" w:rsidR="00C24187" w:rsidRPr="006B4557" w:rsidRDefault="00C24187" w:rsidP="00C24187">
      <w:pPr>
        <w:outlineLvl w:val="0"/>
        <w:rPr>
          <w:b/>
        </w:rPr>
      </w:pPr>
    </w:p>
    <w:p w14:paraId="59735B16" w14:textId="77777777" w:rsidR="00C24187" w:rsidRPr="006B4557" w:rsidRDefault="00C24187" w:rsidP="00C24187">
      <w:pPr>
        <w:outlineLvl w:val="0"/>
        <w:rPr>
          <w:b/>
        </w:rPr>
      </w:pPr>
    </w:p>
    <w:p w14:paraId="397A4CBC" w14:textId="77777777" w:rsidR="00C24187" w:rsidRPr="006B4557" w:rsidRDefault="00C24187" w:rsidP="00C24187">
      <w:pPr>
        <w:outlineLvl w:val="0"/>
        <w:rPr>
          <w:b/>
        </w:rPr>
      </w:pPr>
    </w:p>
    <w:p w14:paraId="1D48FFE5" w14:textId="77777777" w:rsidR="006B5AE9" w:rsidRDefault="006B5AE9" w:rsidP="00C24187">
      <w:pPr>
        <w:jc w:val="center"/>
        <w:outlineLvl w:val="0"/>
        <w:rPr>
          <w:b/>
          <w:lang w:eastAsia="hr-HR"/>
        </w:rPr>
      </w:pPr>
    </w:p>
    <w:p w14:paraId="148DC2B8" w14:textId="77777777" w:rsidR="006B5AE9" w:rsidRDefault="006B5AE9" w:rsidP="00C24187">
      <w:pPr>
        <w:jc w:val="center"/>
        <w:outlineLvl w:val="0"/>
        <w:rPr>
          <w:b/>
          <w:lang w:eastAsia="hr-HR"/>
        </w:rPr>
      </w:pPr>
    </w:p>
    <w:p w14:paraId="23DE97CC" w14:textId="77777777" w:rsidR="00C24187" w:rsidRPr="006B4557" w:rsidRDefault="00C24187" w:rsidP="00C24187">
      <w:pPr>
        <w:jc w:val="center"/>
        <w:outlineLvl w:val="0"/>
      </w:pPr>
      <w:r>
        <w:rPr>
          <w:b/>
          <w:lang w:eastAsia="hr-HR"/>
        </w:rPr>
        <w:t>A. OZNAČIVANJE</w:t>
      </w:r>
    </w:p>
    <w:p w14:paraId="34E93100" w14:textId="3967E1B4" w:rsidR="005A555C" w:rsidRPr="006B4557" w:rsidRDefault="00C24187" w:rsidP="005A555C">
      <w:pPr>
        <w:shd w:val="clear" w:color="auto" w:fill="FFFFFF"/>
        <w:rPr>
          <w:noProof/>
        </w:rPr>
      </w:pPr>
      <w:r>
        <w:br w:type="page"/>
      </w:r>
    </w:p>
    <w:p w14:paraId="7109A664"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 xml:space="preserve">PODACI KOJI SE MORAJU NALAZITI NA VANJSKOM PAKIRANJU </w:t>
      </w:r>
    </w:p>
    <w:p w14:paraId="1A412F8F"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51CA43B6" w14:textId="0AF55ACA" w:rsidR="005A555C" w:rsidRPr="006B4557" w:rsidRDefault="001C1CFF" w:rsidP="005A555C">
      <w:pPr>
        <w:pBdr>
          <w:top w:val="single" w:sz="4" w:space="1" w:color="auto"/>
          <w:left w:val="single" w:sz="4" w:space="4" w:color="auto"/>
          <w:bottom w:val="single" w:sz="4" w:space="1" w:color="auto"/>
          <w:right w:val="single" w:sz="4" w:space="4" w:color="auto"/>
        </w:pBdr>
        <w:rPr>
          <w:bCs/>
          <w:noProof/>
        </w:rPr>
      </w:pPr>
      <w:r>
        <w:rPr>
          <w:b/>
        </w:rPr>
        <w:t xml:space="preserve">VANJSKA </w:t>
      </w:r>
      <w:r w:rsidR="005A555C">
        <w:rPr>
          <w:b/>
        </w:rPr>
        <w:t>KUTIJA</w:t>
      </w:r>
    </w:p>
    <w:p w14:paraId="579470E3" w14:textId="77777777" w:rsidR="005A555C" w:rsidRPr="006B4557" w:rsidRDefault="005A555C" w:rsidP="005A555C"/>
    <w:p w14:paraId="74BB9126" w14:textId="77777777" w:rsidR="005A555C" w:rsidRPr="006C6114" w:rsidRDefault="005A555C" w:rsidP="005A555C">
      <w:pPr>
        <w:rPr>
          <w:noProof/>
        </w:rPr>
      </w:pPr>
    </w:p>
    <w:p w14:paraId="5ABC5318"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05CC95F7" w14:textId="77777777" w:rsidR="005A555C" w:rsidRPr="00BC6DC2" w:rsidRDefault="005A555C" w:rsidP="005A555C">
      <w:pPr>
        <w:rPr>
          <w:noProof/>
        </w:rPr>
      </w:pPr>
    </w:p>
    <w:p w14:paraId="14A1DAD5" w14:textId="77777777" w:rsidR="005A555C" w:rsidRPr="006B4557" w:rsidRDefault="005A555C" w:rsidP="005A555C">
      <w:pPr>
        <w:rPr>
          <w:noProof/>
        </w:rPr>
      </w:pPr>
      <w:r>
        <w:t>Dasatinib Accord Healthcare 20 mg filmom obložene tablete</w:t>
      </w:r>
    </w:p>
    <w:p w14:paraId="2054D667" w14:textId="77777777" w:rsidR="005A555C" w:rsidRPr="00067B16" w:rsidRDefault="005A555C" w:rsidP="005A555C">
      <w:pPr>
        <w:rPr>
          <w:b/>
        </w:rPr>
      </w:pPr>
      <w:r>
        <w:t>dasatinib</w:t>
      </w:r>
    </w:p>
    <w:p w14:paraId="71B1E9A8" w14:textId="77777777" w:rsidR="005A555C" w:rsidRPr="00067B16" w:rsidRDefault="005A555C" w:rsidP="005A555C">
      <w:pPr>
        <w:rPr>
          <w:noProof/>
        </w:rPr>
      </w:pPr>
    </w:p>
    <w:p w14:paraId="515DD3BB" w14:textId="77777777" w:rsidR="005A555C" w:rsidRPr="00B3208E" w:rsidRDefault="005A555C" w:rsidP="005A555C">
      <w:pPr>
        <w:rPr>
          <w:noProof/>
        </w:rPr>
      </w:pPr>
    </w:p>
    <w:p w14:paraId="179096F6"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20FC0FAB" w14:textId="77777777" w:rsidR="005A555C" w:rsidRPr="006B4557" w:rsidRDefault="005A555C" w:rsidP="005A555C">
      <w:pPr>
        <w:rPr>
          <w:noProof/>
        </w:rPr>
      </w:pPr>
    </w:p>
    <w:p w14:paraId="00F1E4B9" w14:textId="48E40E52" w:rsidR="005A555C" w:rsidRPr="00B3208E" w:rsidRDefault="005A555C" w:rsidP="005A555C">
      <w:pPr>
        <w:rPr>
          <w:noProof/>
        </w:rPr>
      </w:pPr>
      <w:r>
        <w:t xml:space="preserve">Jedna filmom obložena tableta sadrži 20 mg dasatiniba (u obliku </w:t>
      </w:r>
      <w:r w:rsidR="0019067D">
        <w:t>dasatinib</w:t>
      </w:r>
      <w:r w:rsidR="00BA3D7F">
        <w:t xml:space="preserve"> </w:t>
      </w:r>
      <w:r>
        <w:t>hidrata).</w:t>
      </w:r>
    </w:p>
    <w:p w14:paraId="5AE03943" w14:textId="77777777" w:rsidR="005A555C" w:rsidRPr="00F0280B" w:rsidRDefault="005A555C" w:rsidP="005A555C">
      <w:pPr>
        <w:rPr>
          <w:noProof/>
        </w:rPr>
      </w:pPr>
    </w:p>
    <w:p w14:paraId="6701B80C" w14:textId="77777777" w:rsidR="005A555C" w:rsidRPr="00A26F79" w:rsidRDefault="005A555C" w:rsidP="005A555C">
      <w:pPr>
        <w:rPr>
          <w:noProof/>
        </w:rPr>
      </w:pPr>
    </w:p>
    <w:p w14:paraId="47FEA190"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0E88FF29" w14:textId="77777777" w:rsidR="005A555C" w:rsidRPr="00A3136F" w:rsidRDefault="005A555C" w:rsidP="005A555C">
      <w:pPr>
        <w:rPr>
          <w:noProof/>
        </w:rPr>
      </w:pPr>
    </w:p>
    <w:p w14:paraId="38B18650" w14:textId="59DB2BB5" w:rsidR="005A555C" w:rsidRDefault="005A555C" w:rsidP="005A555C">
      <w:pPr>
        <w:rPr>
          <w:noProof/>
        </w:rPr>
      </w:pPr>
      <w:r>
        <w:t>Pomoćne tvari: sadrži laktozu</w:t>
      </w:r>
      <w:r w:rsidR="006254C7">
        <w:t>.</w:t>
      </w:r>
      <w:r>
        <w:t xml:space="preserve"> </w:t>
      </w:r>
    </w:p>
    <w:p w14:paraId="0D7A6A4E" w14:textId="77777777" w:rsidR="005A555C" w:rsidRDefault="005A555C" w:rsidP="005A555C">
      <w:pPr>
        <w:rPr>
          <w:noProof/>
        </w:rPr>
      </w:pPr>
      <w:r>
        <w:rPr>
          <w:highlight w:val="lightGray"/>
        </w:rPr>
        <w:t>Za dodatne informacije vidjeti uputu o lijeku.</w:t>
      </w:r>
    </w:p>
    <w:p w14:paraId="2C4CF181" w14:textId="77777777" w:rsidR="005A555C" w:rsidRDefault="005A555C" w:rsidP="005A555C">
      <w:pPr>
        <w:rPr>
          <w:noProof/>
        </w:rPr>
      </w:pPr>
    </w:p>
    <w:p w14:paraId="1ED99A10" w14:textId="77777777" w:rsidR="005A555C" w:rsidRPr="000643D3" w:rsidRDefault="005A555C" w:rsidP="005A555C">
      <w:pPr>
        <w:rPr>
          <w:noProof/>
        </w:rPr>
      </w:pPr>
    </w:p>
    <w:p w14:paraId="1CF81422"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7429184B" w14:textId="77777777" w:rsidR="005A555C" w:rsidRDefault="005A555C" w:rsidP="005A555C">
      <w:pPr>
        <w:rPr>
          <w:noProof/>
        </w:rPr>
      </w:pPr>
    </w:p>
    <w:p w14:paraId="7B023C0B" w14:textId="77777777" w:rsidR="005A555C" w:rsidRPr="00F0280B" w:rsidRDefault="005A555C" w:rsidP="005A555C">
      <w:pPr>
        <w:rPr>
          <w:noProof/>
        </w:rPr>
      </w:pPr>
      <w:r>
        <w:rPr>
          <w:highlight w:val="lightGray"/>
        </w:rPr>
        <w:t>56 filmom obloženih tableta</w:t>
      </w:r>
    </w:p>
    <w:p w14:paraId="1FC67187" w14:textId="77777777" w:rsidR="005A555C" w:rsidRDefault="005A555C" w:rsidP="005A555C">
      <w:pPr>
        <w:rPr>
          <w:noProof/>
          <w:highlight w:val="lightGray"/>
        </w:rPr>
      </w:pPr>
      <w:r>
        <w:rPr>
          <w:highlight w:val="lightGray"/>
        </w:rPr>
        <w:t>60 filmom obloženih tableta</w:t>
      </w:r>
    </w:p>
    <w:p w14:paraId="1D8CE4A5" w14:textId="77777777" w:rsidR="005A555C" w:rsidRPr="0050753A" w:rsidRDefault="005A555C" w:rsidP="005A555C">
      <w:pPr>
        <w:rPr>
          <w:noProof/>
          <w:highlight w:val="lightGray"/>
        </w:rPr>
      </w:pPr>
      <w:r>
        <w:rPr>
          <w:highlight w:val="lightGray"/>
        </w:rPr>
        <w:t>56 x 1 filmom obložena tableta</w:t>
      </w:r>
    </w:p>
    <w:p w14:paraId="412C508E" w14:textId="77777777" w:rsidR="005A555C" w:rsidRDefault="005A555C" w:rsidP="005A555C">
      <w:r>
        <w:rPr>
          <w:highlight w:val="lightGray"/>
        </w:rPr>
        <w:t>60 x 1 filmom obložena tableta</w:t>
      </w:r>
    </w:p>
    <w:p w14:paraId="127E1667" w14:textId="203C0606" w:rsidR="002513A1" w:rsidRPr="00CB0F2E" w:rsidRDefault="002513A1" w:rsidP="005A555C">
      <w:pPr>
        <w:rPr>
          <w:noProof/>
        </w:rPr>
      </w:pPr>
      <w:r w:rsidRPr="00364B53">
        <w:rPr>
          <w:highlight w:val="lightGray"/>
        </w:rPr>
        <w:t>10 x 1 filmom obložena tableta</w:t>
      </w:r>
    </w:p>
    <w:p w14:paraId="5C1B1D6B" w14:textId="77777777" w:rsidR="005A555C" w:rsidRDefault="005A555C" w:rsidP="005A555C">
      <w:pPr>
        <w:rPr>
          <w:noProof/>
        </w:rPr>
      </w:pPr>
    </w:p>
    <w:p w14:paraId="174476CD" w14:textId="77777777" w:rsidR="005A555C" w:rsidRPr="007B42D3" w:rsidRDefault="005A555C" w:rsidP="005A555C">
      <w:pPr>
        <w:rPr>
          <w:noProof/>
        </w:rPr>
      </w:pPr>
    </w:p>
    <w:p w14:paraId="388E63A6" w14:textId="77777777" w:rsidR="005A555C" w:rsidRPr="00067B16"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5.</w:t>
      </w:r>
      <w:r>
        <w:rPr>
          <w:b/>
        </w:rPr>
        <w:tab/>
        <w:t>NAČIN I PUT(EVI) PRIMJENE LIJEKA</w:t>
      </w:r>
    </w:p>
    <w:p w14:paraId="4991B497" w14:textId="77777777" w:rsidR="005A555C" w:rsidRPr="006B4557" w:rsidRDefault="005A555C" w:rsidP="005A555C">
      <w:pPr>
        <w:rPr>
          <w:noProof/>
        </w:rPr>
      </w:pPr>
    </w:p>
    <w:p w14:paraId="75C9E429" w14:textId="77777777" w:rsidR="005A555C" w:rsidRDefault="005A555C" w:rsidP="005A555C">
      <w:pPr>
        <w:rPr>
          <w:noProof/>
        </w:rPr>
      </w:pPr>
      <w:r>
        <w:t>Prije uporabe pročitajte uputu o lijeku.</w:t>
      </w:r>
    </w:p>
    <w:p w14:paraId="5D42FAE5" w14:textId="77777777" w:rsidR="005A555C" w:rsidRPr="007B42D3" w:rsidRDefault="005A555C" w:rsidP="005A555C">
      <w:pPr>
        <w:rPr>
          <w:noProof/>
        </w:rPr>
      </w:pPr>
      <w:r>
        <w:t>Primjena kroz usta.</w:t>
      </w:r>
    </w:p>
    <w:p w14:paraId="6DA002B9" w14:textId="77777777" w:rsidR="005A555C" w:rsidRPr="00067B16" w:rsidRDefault="005A555C" w:rsidP="005A555C">
      <w:pPr>
        <w:rPr>
          <w:noProof/>
        </w:rPr>
      </w:pPr>
    </w:p>
    <w:p w14:paraId="2E9563C0" w14:textId="77777777" w:rsidR="005A555C" w:rsidRPr="00067B16" w:rsidRDefault="005A555C" w:rsidP="005A555C">
      <w:pPr>
        <w:rPr>
          <w:noProof/>
        </w:rPr>
      </w:pPr>
    </w:p>
    <w:p w14:paraId="34208FFF"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6040FBE8" w14:textId="77777777" w:rsidR="005A555C" w:rsidRPr="008225EB" w:rsidRDefault="005A555C" w:rsidP="005A555C">
      <w:pPr>
        <w:rPr>
          <w:noProof/>
        </w:rPr>
      </w:pPr>
    </w:p>
    <w:p w14:paraId="380CDE0E" w14:textId="77777777" w:rsidR="005A555C" w:rsidRPr="008225EB" w:rsidRDefault="005A555C" w:rsidP="005A555C">
      <w:pPr>
        <w:outlineLvl w:val="0"/>
        <w:rPr>
          <w:noProof/>
        </w:rPr>
      </w:pPr>
      <w:r>
        <w:t>Čuvati izvan pogleda i dohvata djece.</w:t>
      </w:r>
    </w:p>
    <w:p w14:paraId="60AF92B4" w14:textId="77777777" w:rsidR="005A555C" w:rsidRPr="00A3136F" w:rsidRDefault="005A555C" w:rsidP="005A555C">
      <w:pPr>
        <w:rPr>
          <w:noProof/>
        </w:rPr>
      </w:pPr>
    </w:p>
    <w:p w14:paraId="4A9BF881" w14:textId="77777777" w:rsidR="005A555C" w:rsidRPr="000643D3" w:rsidRDefault="005A555C" w:rsidP="005A555C">
      <w:pPr>
        <w:rPr>
          <w:noProof/>
        </w:rPr>
      </w:pPr>
    </w:p>
    <w:p w14:paraId="5C994308"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7EAD5F65" w14:textId="77777777" w:rsidR="005A555C" w:rsidRPr="006B4557" w:rsidRDefault="005A555C" w:rsidP="005A555C">
      <w:pPr>
        <w:tabs>
          <w:tab w:val="left" w:pos="749"/>
        </w:tabs>
      </w:pPr>
    </w:p>
    <w:p w14:paraId="5C31AF8F" w14:textId="77777777" w:rsidR="005A555C" w:rsidRPr="006B4557" w:rsidRDefault="005A555C" w:rsidP="005A555C">
      <w:pPr>
        <w:tabs>
          <w:tab w:val="left" w:pos="749"/>
        </w:tabs>
      </w:pPr>
    </w:p>
    <w:p w14:paraId="7928E32D"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30A03A92" w14:textId="77777777" w:rsidR="005A555C" w:rsidRPr="006B4557" w:rsidRDefault="005A555C" w:rsidP="005A555C"/>
    <w:p w14:paraId="0DF3CB62" w14:textId="77777777" w:rsidR="005A555C" w:rsidRDefault="005A555C" w:rsidP="005A555C">
      <w:pPr>
        <w:rPr>
          <w:noProof/>
        </w:rPr>
      </w:pPr>
      <w:r>
        <w:t>EXP</w:t>
      </w:r>
    </w:p>
    <w:p w14:paraId="5CCE27FF" w14:textId="77777777" w:rsidR="005A555C" w:rsidRDefault="005A555C" w:rsidP="005A555C">
      <w:pPr>
        <w:rPr>
          <w:noProof/>
        </w:rPr>
      </w:pPr>
    </w:p>
    <w:p w14:paraId="6BE140B8" w14:textId="77777777" w:rsidR="005A555C" w:rsidRPr="00BC6DC2" w:rsidRDefault="005A555C" w:rsidP="005A555C">
      <w:pPr>
        <w:rPr>
          <w:noProof/>
        </w:rPr>
      </w:pPr>
    </w:p>
    <w:p w14:paraId="3B7CBFF1"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3BDC4603" w14:textId="77777777" w:rsidR="005A555C" w:rsidRPr="001F6423" w:rsidRDefault="005A555C" w:rsidP="005A555C">
      <w:pPr>
        <w:rPr>
          <w:noProof/>
        </w:rPr>
      </w:pPr>
    </w:p>
    <w:p w14:paraId="48817F44" w14:textId="2AFC290C" w:rsidR="002C25D1" w:rsidRDefault="002C25D1" w:rsidP="002C25D1">
      <w:pPr>
        <w:rPr>
          <w:noProof/>
        </w:rPr>
      </w:pPr>
    </w:p>
    <w:p w14:paraId="26BF86EE" w14:textId="77777777" w:rsidR="002C25D1" w:rsidRDefault="002C25D1" w:rsidP="0031614A">
      <w:pPr>
        <w:rPr>
          <w:noProof/>
        </w:rPr>
      </w:pPr>
    </w:p>
    <w:p w14:paraId="6AD757F8" w14:textId="77777777" w:rsidR="002C3132" w:rsidRPr="001F6423" w:rsidRDefault="002C3132" w:rsidP="0031614A">
      <w:pPr>
        <w:rPr>
          <w:noProof/>
        </w:rPr>
      </w:pPr>
    </w:p>
    <w:p w14:paraId="3E5ED721"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10.</w:t>
      </w:r>
      <w:r>
        <w:rPr>
          <w:b/>
        </w:rPr>
        <w:tab/>
        <w:t>POSEBNE MJERE ZA ZBRINJAVANJE NEISKORIŠTENOG LIJEKA ILI OTPADNIH MATERIJALA KOJI POTJEČU OD LIJEKA, AKO JE POTREBNO</w:t>
      </w:r>
    </w:p>
    <w:p w14:paraId="576FE866" w14:textId="77777777" w:rsidR="005A555C" w:rsidRPr="006B4557" w:rsidRDefault="005A555C" w:rsidP="005A555C">
      <w:pPr>
        <w:rPr>
          <w:noProof/>
        </w:rPr>
      </w:pPr>
    </w:p>
    <w:p w14:paraId="7B3381F8" w14:textId="77777777" w:rsidR="005A555C" w:rsidRPr="006B4557" w:rsidRDefault="005A555C" w:rsidP="005A555C">
      <w:pPr>
        <w:rPr>
          <w:noProof/>
        </w:rPr>
      </w:pPr>
    </w:p>
    <w:p w14:paraId="020DFD09" w14:textId="77777777" w:rsidR="005A555C" w:rsidRPr="006B4557" w:rsidRDefault="005A555C" w:rsidP="00BA3D7F">
      <w:pPr>
        <w:pBdr>
          <w:top w:val="single" w:sz="4" w:space="1" w:color="auto"/>
          <w:left w:val="single" w:sz="4" w:space="4" w:color="auto"/>
          <w:bottom w:val="single" w:sz="4" w:space="1" w:color="auto"/>
          <w:right w:val="single" w:sz="4" w:space="4" w:color="auto"/>
        </w:pBdr>
        <w:ind w:left="567" w:hanging="567"/>
        <w:outlineLvl w:val="0"/>
        <w:rPr>
          <w:b/>
          <w:noProof/>
        </w:rPr>
      </w:pPr>
      <w:r>
        <w:rPr>
          <w:b/>
        </w:rPr>
        <w:t>11.</w:t>
      </w:r>
      <w:r>
        <w:rPr>
          <w:b/>
        </w:rPr>
        <w:tab/>
        <w:t>NAZIV I ADRESA NOSITELJA ODOBRENJA ZA STAVLJANJE LIJEKA U PROMET</w:t>
      </w:r>
    </w:p>
    <w:p w14:paraId="6DB0F225" w14:textId="77777777" w:rsidR="005A555C" w:rsidRPr="006B4557" w:rsidRDefault="005A555C" w:rsidP="005A555C">
      <w:pPr>
        <w:rPr>
          <w:noProof/>
        </w:rPr>
      </w:pPr>
    </w:p>
    <w:p w14:paraId="38467845" w14:textId="77777777" w:rsidR="005A555C" w:rsidRPr="00993D25" w:rsidRDefault="005A555C" w:rsidP="005A555C">
      <w:r>
        <w:t>Accord Healthcare S.L.U.</w:t>
      </w:r>
    </w:p>
    <w:p w14:paraId="0280BF2B" w14:textId="77777777" w:rsidR="005A555C" w:rsidRPr="000E635A" w:rsidRDefault="005A555C" w:rsidP="005A555C">
      <w:r>
        <w:t>World Trade Center, Moll de Barcelona s/n</w:t>
      </w:r>
    </w:p>
    <w:p w14:paraId="20328EC5" w14:textId="77777777" w:rsidR="005A555C" w:rsidRPr="00255900" w:rsidRDefault="005A555C" w:rsidP="005A555C">
      <w:r>
        <w:t>Edifici Est, 6</w:t>
      </w:r>
      <w:r>
        <w:rPr>
          <w:vertAlign w:val="superscript"/>
        </w:rPr>
        <w:t>a</w:t>
      </w:r>
      <w:r>
        <w:t xml:space="preserve"> Planta</w:t>
      </w:r>
    </w:p>
    <w:p w14:paraId="4E9BCD3F" w14:textId="77777777" w:rsidR="005A555C" w:rsidRPr="00255900" w:rsidRDefault="005A555C" w:rsidP="005A555C">
      <w:r>
        <w:t>08039 Barcelona</w:t>
      </w:r>
    </w:p>
    <w:p w14:paraId="4A1DC4C6" w14:textId="77777777" w:rsidR="005A555C" w:rsidRPr="00675D00" w:rsidRDefault="005A555C" w:rsidP="005A555C">
      <w:r>
        <w:t>Španjolska</w:t>
      </w:r>
    </w:p>
    <w:p w14:paraId="7312C66E" w14:textId="77777777" w:rsidR="005A555C" w:rsidRPr="00675D00" w:rsidRDefault="005A555C" w:rsidP="005A555C">
      <w:pPr>
        <w:rPr>
          <w:lang w:val="fr-FR"/>
        </w:rPr>
      </w:pPr>
    </w:p>
    <w:p w14:paraId="32535662" w14:textId="77777777" w:rsidR="005A555C" w:rsidRPr="00675D00" w:rsidRDefault="005A555C" w:rsidP="005A555C">
      <w:pPr>
        <w:rPr>
          <w:lang w:val="fr-FR"/>
        </w:rPr>
      </w:pPr>
    </w:p>
    <w:p w14:paraId="4225C126"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3D6F9696" w14:textId="77777777" w:rsidR="005A555C" w:rsidRPr="006B4557" w:rsidRDefault="005A555C" w:rsidP="005A555C">
      <w:pPr>
        <w:rPr>
          <w:noProof/>
        </w:rPr>
      </w:pPr>
    </w:p>
    <w:p w14:paraId="66206697" w14:textId="77777777" w:rsidR="004042AB" w:rsidRPr="00310EA0" w:rsidRDefault="004042AB" w:rsidP="004042AB">
      <w:pPr>
        <w:rPr>
          <w:lang w:val="pl-PL"/>
        </w:rPr>
      </w:pPr>
      <w:r w:rsidRPr="00310EA0">
        <w:rPr>
          <w:lang w:val="pl-PL"/>
        </w:rPr>
        <w:t>EU/1/24/1839/001</w:t>
      </w:r>
    </w:p>
    <w:p w14:paraId="040CAEB0" w14:textId="77777777" w:rsidR="004042AB" w:rsidRPr="00310EA0" w:rsidRDefault="004042AB" w:rsidP="004042AB">
      <w:pPr>
        <w:rPr>
          <w:lang w:val="pl-PL"/>
        </w:rPr>
      </w:pPr>
      <w:r w:rsidRPr="00310EA0">
        <w:rPr>
          <w:lang w:val="pl-PL"/>
        </w:rPr>
        <w:t>EU/1/24/1839/002</w:t>
      </w:r>
    </w:p>
    <w:p w14:paraId="759644C4" w14:textId="77777777" w:rsidR="004042AB" w:rsidRPr="00310EA0" w:rsidRDefault="004042AB" w:rsidP="004042AB">
      <w:pPr>
        <w:rPr>
          <w:lang w:val="pl-PL"/>
        </w:rPr>
      </w:pPr>
      <w:r w:rsidRPr="00310EA0">
        <w:rPr>
          <w:lang w:val="pl-PL"/>
        </w:rPr>
        <w:t>EU/1/24/1839/003</w:t>
      </w:r>
    </w:p>
    <w:p w14:paraId="54D6DC25" w14:textId="5EA56A25" w:rsidR="004042AB" w:rsidRPr="00310EA0" w:rsidRDefault="004042AB" w:rsidP="005A555C">
      <w:pPr>
        <w:rPr>
          <w:lang w:val="pl-PL"/>
        </w:rPr>
      </w:pPr>
      <w:r w:rsidRPr="00310EA0">
        <w:rPr>
          <w:lang w:val="pl-PL"/>
        </w:rPr>
        <w:t>EU/1/24/1839/004</w:t>
      </w:r>
    </w:p>
    <w:p w14:paraId="25640B49" w14:textId="6DE5DD29" w:rsidR="004042AB" w:rsidRPr="00310EA0" w:rsidRDefault="002513A1" w:rsidP="005A555C">
      <w:pPr>
        <w:rPr>
          <w:lang w:val="pl-PL"/>
        </w:rPr>
      </w:pPr>
      <w:r w:rsidRPr="00310EA0">
        <w:rPr>
          <w:lang w:val="pl-PL"/>
        </w:rPr>
        <w:t>EU/1/24/1839/025</w:t>
      </w:r>
    </w:p>
    <w:p w14:paraId="785CEB25" w14:textId="3611AA6E" w:rsidR="002C25D1" w:rsidRPr="00310EA0" w:rsidRDefault="002C25D1" w:rsidP="005A555C">
      <w:pPr>
        <w:rPr>
          <w:lang w:val="pl-PL"/>
        </w:rPr>
      </w:pPr>
    </w:p>
    <w:p w14:paraId="5EC419F9" w14:textId="77777777" w:rsidR="00CF4200" w:rsidRPr="00310EA0" w:rsidRDefault="00CF4200" w:rsidP="005A555C">
      <w:pPr>
        <w:rPr>
          <w:lang w:val="pl-PL"/>
        </w:rPr>
      </w:pPr>
    </w:p>
    <w:p w14:paraId="3DD317C6" w14:textId="77777777" w:rsidR="005A555C" w:rsidRPr="00675D00" w:rsidRDefault="005A555C" w:rsidP="00BA3D7F">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6643EDF4" w14:textId="77777777" w:rsidR="005A555C" w:rsidRPr="00310EA0" w:rsidRDefault="005A555C" w:rsidP="005A555C">
      <w:pPr>
        <w:rPr>
          <w:lang w:val="pl-PL"/>
        </w:rPr>
      </w:pPr>
    </w:p>
    <w:p w14:paraId="570CA07A" w14:textId="0A10771D" w:rsidR="005A555C" w:rsidRPr="00675D00" w:rsidRDefault="002C3132" w:rsidP="005A555C">
      <w:r>
        <w:t>Lot</w:t>
      </w:r>
    </w:p>
    <w:p w14:paraId="1A75454F" w14:textId="77777777" w:rsidR="005A555C" w:rsidRPr="00310EA0" w:rsidRDefault="005A555C" w:rsidP="005A555C">
      <w:pPr>
        <w:rPr>
          <w:lang w:val="pl-PL"/>
        </w:rPr>
      </w:pPr>
    </w:p>
    <w:p w14:paraId="1FF0AB23" w14:textId="77777777" w:rsidR="005A555C" w:rsidRPr="008C030F" w:rsidRDefault="005A555C" w:rsidP="005A555C">
      <w:pPr>
        <w:rPr>
          <w:noProof/>
        </w:rPr>
      </w:pPr>
    </w:p>
    <w:p w14:paraId="6EE22378"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7477B6EA" w14:textId="77777777" w:rsidR="005A555C" w:rsidRPr="00675D00" w:rsidRDefault="005A555C" w:rsidP="005A555C"/>
    <w:p w14:paraId="2FB126D2" w14:textId="77777777" w:rsidR="005A555C" w:rsidRPr="00B3208E" w:rsidRDefault="005A555C" w:rsidP="005A555C">
      <w:pPr>
        <w:rPr>
          <w:noProof/>
        </w:rPr>
      </w:pPr>
    </w:p>
    <w:p w14:paraId="3A2B0AD9" w14:textId="77777777" w:rsidR="005A555C" w:rsidRPr="00A26F79" w:rsidRDefault="005A555C" w:rsidP="00BA3D7F">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204C0864" w14:textId="77777777" w:rsidR="005A555C" w:rsidRPr="008225EB" w:rsidRDefault="005A555C" w:rsidP="005A555C">
      <w:pPr>
        <w:rPr>
          <w:noProof/>
        </w:rPr>
      </w:pPr>
    </w:p>
    <w:p w14:paraId="1FEAAAD7" w14:textId="77777777" w:rsidR="005A555C" w:rsidRPr="008225EB" w:rsidRDefault="005A555C" w:rsidP="005A555C">
      <w:pPr>
        <w:rPr>
          <w:noProof/>
        </w:rPr>
      </w:pPr>
    </w:p>
    <w:p w14:paraId="08A8AAAA" w14:textId="77777777" w:rsidR="005A555C" w:rsidRPr="006B4557" w:rsidRDefault="005A555C" w:rsidP="00BA3D7F">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49A7E3D8" w14:textId="77777777" w:rsidR="005A555C" w:rsidRPr="007B42D3" w:rsidRDefault="005A555C" w:rsidP="005A555C">
      <w:pPr>
        <w:rPr>
          <w:noProof/>
        </w:rPr>
      </w:pPr>
    </w:p>
    <w:p w14:paraId="48DCB620" w14:textId="77777777" w:rsidR="005A555C" w:rsidRDefault="005A555C" w:rsidP="005A555C">
      <w:r>
        <w:t>Dasatinib Accord Healthcare 20 mg</w:t>
      </w:r>
    </w:p>
    <w:p w14:paraId="5643CF9A" w14:textId="77777777" w:rsidR="005A555C" w:rsidRPr="00F0280B" w:rsidRDefault="005A555C" w:rsidP="005A555C">
      <w:pPr>
        <w:rPr>
          <w:b/>
        </w:rPr>
      </w:pPr>
    </w:p>
    <w:p w14:paraId="028028F5" w14:textId="77777777" w:rsidR="005A555C" w:rsidRPr="00067B16" w:rsidRDefault="005A555C" w:rsidP="005A555C">
      <w:pPr>
        <w:rPr>
          <w:noProof/>
          <w:shd w:val="clear" w:color="auto" w:fill="CCCCCC"/>
        </w:rPr>
      </w:pPr>
    </w:p>
    <w:p w14:paraId="09AFE299" w14:textId="77777777" w:rsidR="005A555C" w:rsidRPr="00C937E7" w:rsidRDefault="005A555C" w:rsidP="00BA3D7F">
      <w:pPr>
        <w:pBdr>
          <w:top w:val="single" w:sz="4" w:space="1" w:color="auto"/>
          <w:left w:val="single" w:sz="4" w:space="4" w:color="auto"/>
          <w:bottom w:val="single" w:sz="4" w:space="0" w:color="auto"/>
          <w:right w:val="single" w:sz="4" w:space="4" w:color="auto"/>
        </w:pBdr>
        <w:tabs>
          <w:tab w:val="left" w:pos="567"/>
        </w:tabs>
        <w:rPr>
          <w:i/>
          <w:noProof/>
        </w:rPr>
      </w:pPr>
      <w:r>
        <w:rPr>
          <w:b/>
        </w:rPr>
        <w:t>17.</w:t>
      </w:r>
      <w:r>
        <w:rPr>
          <w:b/>
        </w:rPr>
        <w:tab/>
        <w:t>JEDINSTVENI IDENTIFIKATOR – 2D BARKOD</w:t>
      </w:r>
    </w:p>
    <w:p w14:paraId="3B94C5C7" w14:textId="77777777" w:rsidR="005A555C" w:rsidRPr="00C937E7" w:rsidRDefault="005A555C" w:rsidP="005A555C">
      <w:pPr>
        <w:rPr>
          <w:noProof/>
        </w:rPr>
      </w:pPr>
    </w:p>
    <w:p w14:paraId="5574249F" w14:textId="77777777" w:rsidR="005A555C" w:rsidRPr="00C937E7" w:rsidRDefault="005A555C" w:rsidP="005A555C">
      <w:pPr>
        <w:rPr>
          <w:noProof/>
          <w:shd w:val="clear" w:color="auto" w:fill="CCCCCC"/>
        </w:rPr>
      </w:pPr>
      <w:r>
        <w:rPr>
          <w:shd w:val="clear" w:color="auto" w:fill="CCCCCC"/>
        </w:rPr>
        <w:t>Sadrži 2D barkod s jedinstvenim identifikatorom.</w:t>
      </w:r>
    </w:p>
    <w:p w14:paraId="63ADC14D" w14:textId="77777777" w:rsidR="005A555C" w:rsidRDefault="005A555C" w:rsidP="005A555C">
      <w:pPr>
        <w:rPr>
          <w:noProof/>
        </w:rPr>
      </w:pPr>
    </w:p>
    <w:p w14:paraId="1BDD8323" w14:textId="77777777" w:rsidR="005A555C" w:rsidRPr="00C937E7" w:rsidRDefault="005A555C" w:rsidP="005A555C">
      <w:pPr>
        <w:rPr>
          <w:noProof/>
        </w:rPr>
      </w:pPr>
    </w:p>
    <w:p w14:paraId="1BFC993A" w14:textId="77777777" w:rsidR="005A555C" w:rsidRPr="00C937E7" w:rsidRDefault="005A555C" w:rsidP="00BA3D7F">
      <w:pPr>
        <w:pBdr>
          <w:top w:val="single" w:sz="4" w:space="1" w:color="auto"/>
          <w:left w:val="single" w:sz="4" w:space="4" w:color="auto"/>
          <w:bottom w:val="single" w:sz="4" w:space="0" w:color="auto"/>
          <w:right w:val="single" w:sz="4" w:space="4" w:color="auto"/>
        </w:pBdr>
        <w:tabs>
          <w:tab w:val="left" w:pos="567"/>
        </w:tabs>
        <w:rPr>
          <w:i/>
          <w:noProof/>
        </w:rPr>
      </w:pPr>
      <w:r>
        <w:rPr>
          <w:b/>
        </w:rPr>
        <w:t>18.</w:t>
      </w:r>
      <w:r>
        <w:rPr>
          <w:b/>
        </w:rPr>
        <w:tab/>
        <w:t>JEDINSTVENI IDENTIFIKATOR – PODACI ČITLJIVI LJUDSKIM OKOM</w:t>
      </w:r>
    </w:p>
    <w:p w14:paraId="448F12CC" w14:textId="77777777" w:rsidR="005A555C" w:rsidRDefault="005A555C" w:rsidP="005A555C">
      <w:pPr>
        <w:rPr>
          <w:noProof/>
        </w:rPr>
      </w:pPr>
    </w:p>
    <w:p w14:paraId="3FD0F5F3" w14:textId="77777777" w:rsidR="005A555C" w:rsidRPr="00923D99" w:rsidRDefault="005A555C" w:rsidP="005A555C">
      <w:r>
        <w:t>PC</w:t>
      </w:r>
    </w:p>
    <w:p w14:paraId="4E783CF3" w14:textId="77777777" w:rsidR="005A555C" w:rsidRPr="00923D99" w:rsidRDefault="005A555C" w:rsidP="005A555C">
      <w:r>
        <w:t>SN</w:t>
      </w:r>
    </w:p>
    <w:p w14:paraId="75C70FAA" w14:textId="77777777" w:rsidR="005A555C" w:rsidRPr="00923D99" w:rsidRDefault="005A555C" w:rsidP="005A555C">
      <w:r>
        <w:t>NN</w:t>
      </w:r>
    </w:p>
    <w:p w14:paraId="70B0E158" w14:textId="77777777" w:rsidR="005A555C" w:rsidRPr="00A26F79" w:rsidRDefault="005A555C" w:rsidP="005A555C">
      <w:pPr>
        <w:rPr>
          <w:noProof/>
          <w:shd w:val="clear" w:color="auto" w:fill="CCCCCC"/>
        </w:rPr>
      </w:pPr>
    </w:p>
    <w:p w14:paraId="4CC1DF16" w14:textId="77777777" w:rsidR="005A555C" w:rsidRPr="008225EB" w:rsidRDefault="005A555C" w:rsidP="005A555C">
      <w:pPr>
        <w:rPr>
          <w:b/>
          <w:noProof/>
        </w:rPr>
      </w:pPr>
      <w:r>
        <w:br w:type="page"/>
      </w:r>
    </w:p>
    <w:p w14:paraId="44981B0B"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1A525CD9" w14:textId="77777777"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64C0C13A" w14:textId="342CFAB8"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BA3D7F">
        <w:rPr>
          <w:b/>
        </w:rPr>
        <w:t>I</w:t>
      </w:r>
      <w:r>
        <w:rPr>
          <w:b/>
        </w:rPr>
        <w:t xml:space="preserve"> BLISTER </w:t>
      </w:r>
      <w:r w:rsidR="00BA3D7F">
        <w:rPr>
          <w:b/>
        </w:rPr>
        <w:t xml:space="preserve">S </w:t>
      </w:r>
      <w:r>
        <w:rPr>
          <w:b/>
        </w:rPr>
        <w:t>JEDINIČN</w:t>
      </w:r>
      <w:r w:rsidR="00BA3D7F">
        <w:rPr>
          <w:b/>
        </w:rPr>
        <w:t>IM</w:t>
      </w:r>
      <w:r>
        <w:rPr>
          <w:b/>
        </w:rPr>
        <w:t xml:space="preserve"> DOZ</w:t>
      </w:r>
      <w:r w:rsidR="00BA3D7F">
        <w:rPr>
          <w:b/>
        </w:rPr>
        <w:t>AMA</w:t>
      </w:r>
    </w:p>
    <w:p w14:paraId="51C1CA73" w14:textId="77777777" w:rsidR="005A555C" w:rsidRPr="00412450" w:rsidRDefault="005A555C" w:rsidP="005A555C">
      <w:pPr>
        <w:rPr>
          <w:noProof/>
        </w:rPr>
      </w:pPr>
    </w:p>
    <w:p w14:paraId="12808BB3" w14:textId="77777777" w:rsidR="005A555C" w:rsidRPr="00412450" w:rsidRDefault="005A555C" w:rsidP="005A555C">
      <w:pPr>
        <w:rPr>
          <w:noProof/>
        </w:rPr>
      </w:pPr>
    </w:p>
    <w:p w14:paraId="687C1769" w14:textId="77777777" w:rsidR="005A555C" w:rsidRPr="00EB595B"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w:t>
      </w:r>
      <w:r>
        <w:rPr>
          <w:b/>
        </w:rPr>
        <w:tab/>
        <w:t>NAZIV LIJEKA</w:t>
      </w:r>
    </w:p>
    <w:p w14:paraId="7B9AF89F" w14:textId="77777777" w:rsidR="005A555C" w:rsidRPr="008A1008" w:rsidRDefault="005A555C" w:rsidP="005A555C">
      <w:pPr>
        <w:rPr>
          <w:i/>
          <w:noProof/>
        </w:rPr>
      </w:pPr>
    </w:p>
    <w:p w14:paraId="0340F808" w14:textId="77777777" w:rsidR="005A555C" w:rsidRDefault="005A555C" w:rsidP="005A555C">
      <w:r>
        <w:t>Dasatinib Accord Healthcare 20 mg tablete</w:t>
      </w:r>
    </w:p>
    <w:p w14:paraId="6E77FF94" w14:textId="77777777" w:rsidR="005A555C" w:rsidRPr="006B4557" w:rsidRDefault="005A555C" w:rsidP="005A555C">
      <w:r>
        <w:t>dasatinib</w:t>
      </w:r>
    </w:p>
    <w:p w14:paraId="0C94C536" w14:textId="77777777" w:rsidR="005A555C" w:rsidRDefault="005A555C" w:rsidP="005A555C"/>
    <w:p w14:paraId="425E5726" w14:textId="77777777" w:rsidR="005A555C" w:rsidRPr="006B4557" w:rsidRDefault="005A555C" w:rsidP="005A555C"/>
    <w:p w14:paraId="38421EED"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5BA946EF" w14:textId="77777777" w:rsidR="005A555C" w:rsidRPr="00BC6DC2" w:rsidRDefault="005A555C" w:rsidP="005A555C">
      <w:pPr>
        <w:rPr>
          <w:noProof/>
        </w:rPr>
      </w:pPr>
    </w:p>
    <w:p w14:paraId="08131AB1" w14:textId="77777777" w:rsidR="005A555C" w:rsidRPr="001F6423" w:rsidRDefault="005A555C" w:rsidP="005A555C">
      <w:pPr>
        <w:rPr>
          <w:noProof/>
        </w:rPr>
      </w:pPr>
      <w:r>
        <w:t>Accord</w:t>
      </w:r>
    </w:p>
    <w:p w14:paraId="5FF39FF0" w14:textId="77777777" w:rsidR="005A555C" w:rsidRDefault="005A555C" w:rsidP="005A555C">
      <w:pPr>
        <w:rPr>
          <w:noProof/>
        </w:rPr>
      </w:pPr>
    </w:p>
    <w:p w14:paraId="204B9767" w14:textId="77777777" w:rsidR="005A555C" w:rsidRPr="001F6423" w:rsidRDefault="005A555C" w:rsidP="005A555C">
      <w:pPr>
        <w:rPr>
          <w:noProof/>
        </w:rPr>
      </w:pPr>
    </w:p>
    <w:p w14:paraId="0EFBFC66" w14:textId="77777777" w:rsidR="005A555C" w:rsidRPr="006B4557" w:rsidRDefault="005A555C" w:rsidP="00BA3D7F">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740E8E72" w14:textId="77777777" w:rsidR="005A555C" w:rsidRPr="006B4557" w:rsidRDefault="005A555C" w:rsidP="005A555C">
      <w:pPr>
        <w:rPr>
          <w:noProof/>
        </w:rPr>
      </w:pPr>
    </w:p>
    <w:p w14:paraId="6D7BB0DC" w14:textId="77777777" w:rsidR="005A555C" w:rsidRDefault="005A555C" w:rsidP="005A555C">
      <w:pPr>
        <w:rPr>
          <w:noProof/>
        </w:rPr>
      </w:pPr>
      <w:r>
        <w:t>EXP</w:t>
      </w:r>
    </w:p>
    <w:p w14:paraId="3D3CD518" w14:textId="77777777" w:rsidR="005A555C" w:rsidRDefault="005A555C" w:rsidP="005A555C">
      <w:pPr>
        <w:rPr>
          <w:noProof/>
        </w:rPr>
      </w:pPr>
    </w:p>
    <w:p w14:paraId="61C7C638" w14:textId="77777777" w:rsidR="005A555C" w:rsidRPr="006B4557" w:rsidRDefault="005A555C" w:rsidP="005A555C">
      <w:pPr>
        <w:rPr>
          <w:noProof/>
        </w:rPr>
      </w:pPr>
    </w:p>
    <w:p w14:paraId="480C3DA4"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18A59A9E" w14:textId="77777777" w:rsidR="005A555C" w:rsidRPr="006B4557" w:rsidRDefault="005A555C" w:rsidP="005A555C">
      <w:pPr>
        <w:rPr>
          <w:noProof/>
        </w:rPr>
      </w:pPr>
    </w:p>
    <w:p w14:paraId="2429514D" w14:textId="34B655EC" w:rsidR="005A555C" w:rsidRDefault="002C3132" w:rsidP="005A555C">
      <w:pPr>
        <w:rPr>
          <w:noProof/>
        </w:rPr>
      </w:pPr>
      <w:r>
        <w:t>Lot</w:t>
      </w:r>
    </w:p>
    <w:p w14:paraId="6020CFC3" w14:textId="77777777" w:rsidR="005A555C" w:rsidRDefault="005A555C" w:rsidP="005A555C">
      <w:pPr>
        <w:rPr>
          <w:noProof/>
        </w:rPr>
      </w:pPr>
    </w:p>
    <w:p w14:paraId="65CF4F0B" w14:textId="77777777" w:rsidR="005A555C" w:rsidRPr="006B4557" w:rsidRDefault="005A555C" w:rsidP="005A555C">
      <w:pPr>
        <w:rPr>
          <w:noProof/>
        </w:rPr>
      </w:pPr>
    </w:p>
    <w:p w14:paraId="5D1845B7"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07376CD4" w14:textId="77777777" w:rsidR="005A555C" w:rsidRPr="006B4557" w:rsidRDefault="005A555C" w:rsidP="005A555C">
      <w:pPr>
        <w:rPr>
          <w:noProof/>
        </w:rPr>
      </w:pPr>
    </w:p>
    <w:p w14:paraId="4F1DD37C" w14:textId="29B5D474" w:rsidR="00981E2C" w:rsidRDefault="00981E2C" w:rsidP="00981E2C">
      <w:pPr>
        <w:rPr>
          <w:noProof/>
        </w:rPr>
      </w:pPr>
      <w:r w:rsidRPr="000A0E58">
        <w:rPr>
          <w:highlight w:val="lightGray"/>
        </w:rPr>
        <w:t>Primjena kroz usta</w:t>
      </w:r>
      <w:r w:rsidR="001C6E6B" w:rsidRPr="000A0E58">
        <w:rPr>
          <w:highlight w:val="lightGray"/>
        </w:rPr>
        <w:t>.</w:t>
      </w:r>
    </w:p>
    <w:p w14:paraId="46A67A01" w14:textId="509DE794" w:rsidR="005A555C" w:rsidRDefault="005A555C" w:rsidP="000A0E58">
      <w:pPr>
        <w:pBdr>
          <w:top w:val="single" w:sz="4" w:space="1" w:color="auto"/>
          <w:left w:val="single" w:sz="4" w:space="4" w:color="auto"/>
          <w:bottom w:val="single" w:sz="4" w:space="1" w:color="auto"/>
          <w:right w:val="single" w:sz="4" w:space="4" w:color="auto"/>
        </w:pBdr>
        <w:ind w:left="567" w:hanging="567"/>
        <w:rPr>
          <w:noProof/>
        </w:rPr>
      </w:pPr>
      <w:r>
        <w:br w:type="page"/>
      </w:r>
    </w:p>
    <w:p w14:paraId="7BA35B91"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 xml:space="preserve">PODACI KOJI SE MORAJU NALAZITI NA VANJSKOM PAKIRANJU </w:t>
      </w:r>
    </w:p>
    <w:p w14:paraId="44FCB666"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2DEE301C" w14:textId="192A0147" w:rsidR="005A555C" w:rsidRPr="006B4557" w:rsidRDefault="001C1CFF" w:rsidP="005A555C">
      <w:pPr>
        <w:pBdr>
          <w:top w:val="single" w:sz="4" w:space="1" w:color="auto"/>
          <w:left w:val="single" w:sz="4" w:space="4" w:color="auto"/>
          <w:bottom w:val="single" w:sz="4" w:space="1" w:color="auto"/>
          <w:right w:val="single" w:sz="4" w:space="4" w:color="auto"/>
        </w:pBdr>
        <w:rPr>
          <w:bCs/>
          <w:noProof/>
        </w:rPr>
      </w:pPr>
      <w:r>
        <w:rPr>
          <w:b/>
        </w:rPr>
        <w:t xml:space="preserve">VANJSKA </w:t>
      </w:r>
      <w:r w:rsidR="005A555C">
        <w:rPr>
          <w:b/>
        </w:rPr>
        <w:t>KUTIJA</w:t>
      </w:r>
    </w:p>
    <w:p w14:paraId="25B87FD6" w14:textId="77777777" w:rsidR="005A555C" w:rsidRPr="006B4557" w:rsidRDefault="005A555C" w:rsidP="005A555C"/>
    <w:p w14:paraId="320CEA2B" w14:textId="77777777" w:rsidR="005A555C" w:rsidRPr="006C6114" w:rsidRDefault="005A555C" w:rsidP="005A555C">
      <w:pPr>
        <w:rPr>
          <w:noProof/>
        </w:rPr>
      </w:pPr>
    </w:p>
    <w:p w14:paraId="34803AA7" w14:textId="77777777" w:rsidR="005A555C" w:rsidRPr="00675D00"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3656FA00" w14:textId="77777777" w:rsidR="005A555C" w:rsidRPr="00675D00" w:rsidRDefault="005A555C" w:rsidP="005A555C"/>
    <w:p w14:paraId="41C1A9F7" w14:textId="77777777" w:rsidR="005A555C" w:rsidRPr="006B4557" w:rsidRDefault="005A555C" w:rsidP="005A555C">
      <w:pPr>
        <w:rPr>
          <w:noProof/>
        </w:rPr>
      </w:pPr>
      <w:r>
        <w:t>Dasatinib Accord Healthcare 50 mg filmom obložene tablete</w:t>
      </w:r>
    </w:p>
    <w:p w14:paraId="3DA24C03" w14:textId="77777777" w:rsidR="005A555C" w:rsidRPr="00067B16" w:rsidRDefault="005A555C" w:rsidP="005A555C">
      <w:pPr>
        <w:rPr>
          <w:b/>
        </w:rPr>
      </w:pPr>
      <w:r>
        <w:t>dasatinib</w:t>
      </w:r>
    </w:p>
    <w:p w14:paraId="164ADC6B" w14:textId="77777777" w:rsidR="005A555C" w:rsidRPr="00067B16" w:rsidRDefault="005A555C" w:rsidP="005A555C">
      <w:pPr>
        <w:rPr>
          <w:noProof/>
        </w:rPr>
      </w:pPr>
    </w:p>
    <w:p w14:paraId="50F6B9BB" w14:textId="77777777" w:rsidR="005A555C" w:rsidRPr="00B3208E" w:rsidRDefault="005A555C" w:rsidP="005A555C">
      <w:pPr>
        <w:rPr>
          <w:noProof/>
        </w:rPr>
      </w:pPr>
    </w:p>
    <w:p w14:paraId="24401201"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48FF6663" w14:textId="77777777" w:rsidR="005A555C" w:rsidRPr="006B4557" w:rsidRDefault="005A555C" w:rsidP="005A555C">
      <w:pPr>
        <w:rPr>
          <w:noProof/>
        </w:rPr>
      </w:pPr>
    </w:p>
    <w:p w14:paraId="0907BC62" w14:textId="79D9D677" w:rsidR="005A555C" w:rsidRPr="00B3208E" w:rsidRDefault="005A555C" w:rsidP="005A555C">
      <w:pPr>
        <w:rPr>
          <w:noProof/>
        </w:rPr>
      </w:pPr>
      <w:r>
        <w:t xml:space="preserve">Jedna filmom obložena tableta sadrži 50 mg dasatiniba (u obliku </w:t>
      </w:r>
      <w:r w:rsidR="0019067D">
        <w:t>dasatinib</w:t>
      </w:r>
      <w:r w:rsidR="00BA3D7F">
        <w:t xml:space="preserve"> </w:t>
      </w:r>
      <w:r>
        <w:t>hidrata).</w:t>
      </w:r>
    </w:p>
    <w:p w14:paraId="08D2BBF8" w14:textId="77777777" w:rsidR="005A555C" w:rsidRPr="00F0280B" w:rsidRDefault="005A555C" w:rsidP="005A555C">
      <w:pPr>
        <w:rPr>
          <w:noProof/>
        </w:rPr>
      </w:pPr>
    </w:p>
    <w:p w14:paraId="1781CDB2" w14:textId="77777777" w:rsidR="005A555C" w:rsidRPr="00A26F79" w:rsidRDefault="005A555C" w:rsidP="005A555C">
      <w:pPr>
        <w:rPr>
          <w:noProof/>
        </w:rPr>
      </w:pPr>
    </w:p>
    <w:p w14:paraId="69BCECC5"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0FD429DF" w14:textId="77777777" w:rsidR="005A555C" w:rsidRPr="00A3136F" w:rsidRDefault="005A555C" w:rsidP="005A555C">
      <w:pPr>
        <w:rPr>
          <w:noProof/>
        </w:rPr>
      </w:pPr>
    </w:p>
    <w:p w14:paraId="5956FD7E" w14:textId="3C9B2CED" w:rsidR="005A555C" w:rsidRDefault="005A555C" w:rsidP="005A555C">
      <w:pPr>
        <w:rPr>
          <w:noProof/>
        </w:rPr>
      </w:pPr>
      <w:r>
        <w:t>Pomoćne tvari: sadrži laktozu</w:t>
      </w:r>
      <w:r w:rsidR="006254C7">
        <w:t>.</w:t>
      </w:r>
      <w:r>
        <w:t xml:space="preserve"> </w:t>
      </w:r>
    </w:p>
    <w:p w14:paraId="7947AE6D" w14:textId="77777777" w:rsidR="005A555C" w:rsidRPr="008E4BA2" w:rsidRDefault="005A555C" w:rsidP="005A555C">
      <w:pPr>
        <w:rPr>
          <w:noProof/>
        </w:rPr>
      </w:pPr>
      <w:r>
        <w:rPr>
          <w:highlight w:val="lightGray"/>
        </w:rPr>
        <w:t>Za dodatne informacije vidjeti uputu o lijeku.</w:t>
      </w:r>
    </w:p>
    <w:p w14:paraId="4DFB7BC4" w14:textId="77777777" w:rsidR="005A555C" w:rsidRDefault="005A555C" w:rsidP="005A555C">
      <w:pPr>
        <w:rPr>
          <w:noProof/>
        </w:rPr>
      </w:pPr>
    </w:p>
    <w:p w14:paraId="43C7E4E5" w14:textId="77777777" w:rsidR="005A555C" w:rsidRPr="000643D3" w:rsidRDefault="005A555C" w:rsidP="005A555C">
      <w:pPr>
        <w:rPr>
          <w:noProof/>
        </w:rPr>
      </w:pPr>
    </w:p>
    <w:p w14:paraId="66A50519"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63C17D1A" w14:textId="77777777" w:rsidR="005A555C" w:rsidRDefault="005A555C" w:rsidP="005A555C">
      <w:pPr>
        <w:rPr>
          <w:noProof/>
        </w:rPr>
      </w:pPr>
    </w:p>
    <w:p w14:paraId="5D61D72E" w14:textId="77777777" w:rsidR="005A555C" w:rsidRPr="00F0280B" w:rsidRDefault="005A555C" w:rsidP="005A555C">
      <w:pPr>
        <w:rPr>
          <w:noProof/>
        </w:rPr>
      </w:pPr>
      <w:r>
        <w:rPr>
          <w:highlight w:val="lightGray"/>
        </w:rPr>
        <w:t>56 filmom obloženih tableta</w:t>
      </w:r>
    </w:p>
    <w:p w14:paraId="0D88E11F" w14:textId="77777777" w:rsidR="005A555C" w:rsidRDefault="005A555C" w:rsidP="005A555C">
      <w:pPr>
        <w:rPr>
          <w:noProof/>
          <w:highlight w:val="lightGray"/>
        </w:rPr>
      </w:pPr>
      <w:r>
        <w:rPr>
          <w:highlight w:val="lightGray"/>
        </w:rPr>
        <w:t>60 filmom obloženih tableta</w:t>
      </w:r>
    </w:p>
    <w:p w14:paraId="11DF3C8A" w14:textId="77777777" w:rsidR="005A555C" w:rsidRPr="0050753A" w:rsidRDefault="005A555C" w:rsidP="005A555C">
      <w:pPr>
        <w:rPr>
          <w:noProof/>
          <w:highlight w:val="lightGray"/>
        </w:rPr>
      </w:pPr>
      <w:r>
        <w:rPr>
          <w:highlight w:val="lightGray"/>
        </w:rPr>
        <w:t>56 x 1 filmom obložena tableta</w:t>
      </w:r>
    </w:p>
    <w:p w14:paraId="1683BA2F" w14:textId="3815381D" w:rsidR="002513A1" w:rsidRDefault="005A555C" w:rsidP="005A555C">
      <w:pPr>
        <w:rPr>
          <w:noProof/>
        </w:rPr>
      </w:pPr>
      <w:r>
        <w:rPr>
          <w:highlight w:val="lightGray"/>
        </w:rPr>
        <w:t>60 x 1 filmom obložena tableta</w:t>
      </w:r>
    </w:p>
    <w:p w14:paraId="74316B72" w14:textId="77777777" w:rsidR="002513A1" w:rsidRPr="00CB0F2E" w:rsidRDefault="002513A1" w:rsidP="002513A1">
      <w:pPr>
        <w:rPr>
          <w:noProof/>
        </w:rPr>
      </w:pPr>
      <w:r w:rsidRPr="0046674A">
        <w:rPr>
          <w:highlight w:val="lightGray"/>
        </w:rPr>
        <w:t>10 x 1 filmom obložena tableta</w:t>
      </w:r>
    </w:p>
    <w:p w14:paraId="1FFF4E18" w14:textId="4CC0D7B1" w:rsidR="005A555C" w:rsidRDefault="005A555C" w:rsidP="005A555C">
      <w:pPr>
        <w:rPr>
          <w:noProof/>
        </w:rPr>
      </w:pPr>
    </w:p>
    <w:p w14:paraId="1D1F6EEE" w14:textId="77777777" w:rsidR="00C45327" w:rsidRPr="007B42D3" w:rsidRDefault="00C45327" w:rsidP="005A555C">
      <w:pPr>
        <w:rPr>
          <w:noProof/>
        </w:rPr>
      </w:pPr>
    </w:p>
    <w:p w14:paraId="2063A69E" w14:textId="77777777" w:rsidR="005A555C" w:rsidRPr="00067B16" w:rsidRDefault="005A555C" w:rsidP="00364B53">
      <w:pPr>
        <w:pBdr>
          <w:top w:val="single" w:sz="4" w:space="1" w:color="auto"/>
          <w:left w:val="single" w:sz="4" w:space="4" w:color="auto"/>
          <w:bottom w:val="single" w:sz="4" w:space="1" w:color="auto"/>
          <w:right w:val="single" w:sz="4" w:space="4" w:color="auto"/>
        </w:pBdr>
        <w:outlineLvl w:val="0"/>
        <w:rPr>
          <w:noProof/>
        </w:rPr>
      </w:pPr>
      <w:r>
        <w:rPr>
          <w:b/>
        </w:rPr>
        <w:t>5.</w:t>
      </w:r>
      <w:r>
        <w:rPr>
          <w:b/>
        </w:rPr>
        <w:tab/>
        <w:t>NAČIN I PUT(EVI) PRIMJENE LIJEKA</w:t>
      </w:r>
    </w:p>
    <w:p w14:paraId="29FBC235" w14:textId="77777777" w:rsidR="005A555C" w:rsidRPr="006B4557" w:rsidRDefault="005A555C" w:rsidP="005A555C">
      <w:pPr>
        <w:rPr>
          <w:noProof/>
        </w:rPr>
      </w:pPr>
    </w:p>
    <w:p w14:paraId="3A5637AE" w14:textId="77777777" w:rsidR="005A555C" w:rsidRDefault="005A555C" w:rsidP="005A555C">
      <w:pPr>
        <w:rPr>
          <w:noProof/>
        </w:rPr>
      </w:pPr>
      <w:r>
        <w:t>Prije uporabe pročitajte uputu o lijeku.</w:t>
      </w:r>
    </w:p>
    <w:p w14:paraId="18A2F28B" w14:textId="77777777" w:rsidR="005A555C" w:rsidRPr="007B42D3" w:rsidRDefault="005A555C" w:rsidP="005A555C">
      <w:pPr>
        <w:rPr>
          <w:noProof/>
        </w:rPr>
      </w:pPr>
      <w:r>
        <w:t>Primjena kroz usta.</w:t>
      </w:r>
    </w:p>
    <w:p w14:paraId="3E3F7A4A" w14:textId="77777777" w:rsidR="005A555C" w:rsidRPr="00067B16" w:rsidRDefault="005A555C" w:rsidP="005A555C">
      <w:pPr>
        <w:rPr>
          <w:noProof/>
        </w:rPr>
      </w:pPr>
    </w:p>
    <w:p w14:paraId="244340C7" w14:textId="77777777" w:rsidR="005A555C" w:rsidRPr="00067B16" w:rsidRDefault="005A555C" w:rsidP="005A555C">
      <w:pPr>
        <w:rPr>
          <w:noProof/>
        </w:rPr>
      </w:pPr>
    </w:p>
    <w:p w14:paraId="4318C83E"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28C6C3F9" w14:textId="77777777" w:rsidR="005A555C" w:rsidRPr="008225EB" w:rsidRDefault="005A555C" w:rsidP="005A555C">
      <w:pPr>
        <w:rPr>
          <w:noProof/>
        </w:rPr>
      </w:pPr>
    </w:p>
    <w:p w14:paraId="6C58EBF0" w14:textId="77777777" w:rsidR="005A555C" w:rsidRPr="008225EB" w:rsidRDefault="005A555C" w:rsidP="005A555C">
      <w:pPr>
        <w:outlineLvl w:val="0"/>
        <w:rPr>
          <w:noProof/>
        </w:rPr>
      </w:pPr>
      <w:r>
        <w:t>Čuvati izvan pogleda i dohvata djece.</w:t>
      </w:r>
    </w:p>
    <w:p w14:paraId="2A605724" w14:textId="77777777" w:rsidR="005A555C" w:rsidRPr="00A3136F" w:rsidRDefault="005A555C" w:rsidP="005A555C">
      <w:pPr>
        <w:rPr>
          <w:noProof/>
        </w:rPr>
      </w:pPr>
    </w:p>
    <w:p w14:paraId="4CFBCAC8" w14:textId="77777777" w:rsidR="005A555C" w:rsidRPr="000643D3" w:rsidRDefault="005A555C" w:rsidP="005A555C">
      <w:pPr>
        <w:rPr>
          <w:noProof/>
        </w:rPr>
      </w:pPr>
    </w:p>
    <w:p w14:paraId="729F382A"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613A9778" w14:textId="77777777" w:rsidR="005A555C" w:rsidRPr="006B4557" w:rsidRDefault="005A555C" w:rsidP="005A555C">
      <w:pPr>
        <w:tabs>
          <w:tab w:val="left" w:pos="749"/>
        </w:tabs>
      </w:pPr>
    </w:p>
    <w:p w14:paraId="1FD1CC4F" w14:textId="77777777" w:rsidR="005A555C" w:rsidRPr="006B4557" w:rsidRDefault="005A555C" w:rsidP="005A555C">
      <w:pPr>
        <w:tabs>
          <w:tab w:val="left" w:pos="749"/>
        </w:tabs>
      </w:pPr>
    </w:p>
    <w:p w14:paraId="4E97B3E3"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2CDCE65B" w14:textId="77777777" w:rsidR="005A555C" w:rsidRPr="006B4557" w:rsidRDefault="005A555C" w:rsidP="005A555C"/>
    <w:p w14:paraId="317DF133" w14:textId="77777777" w:rsidR="005A555C" w:rsidRDefault="005A555C" w:rsidP="005A555C">
      <w:pPr>
        <w:rPr>
          <w:noProof/>
        </w:rPr>
      </w:pPr>
      <w:r>
        <w:t>EXP</w:t>
      </w:r>
    </w:p>
    <w:p w14:paraId="479AF796" w14:textId="77777777" w:rsidR="005A555C" w:rsidRDefault="005A555C" w:rsidP="005A555C">
      <w:pPr>
        <w:rPr>
          <w:noProof/>
        </w:rPr>
      </w:pPr>
    </w:p>
    <w:p w14:paraId="1F1908F7" w14:textId="77777777" w:rsidR="005A555C" w:rsidRPr="00BC6DC2" w:rsidRDefault="005A555C" w:rsidP="005A555C">
      <w:pPr>
        <w:rPr>
          <w:noProof/>
        </w:rPr>
      </w:pPr>
    </w:p>
    <w:p w14:paraId="1E79AC8C"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3CDD2EE8" w14:textId="77777777" w:rsidR="005A555C" w:rsidRPr="001F6423" w:rsidRDefault="005A555C" w:rsidP="005A555C">
      <w:pPr>
        <w:rPr>
          <w:noProof/>
        </w:rPr>
      </w:pPr>
    </w:p>
    <w:p w14:paraId="538B69E3" w14:textId="5AA8654B" w:rsidR="00BA3D7F" w:rsidRDefault="00BA3D7F" w:rsidP="00364B53">
      <w:pPr>
        <w:rPr>
          <w:noProof/>
        </w:rPr>
      </w:pPr>
    </w:p>
    <w:p w14:paraId="0942D979" w14:textId="77777777" w:rsidR="00BA3D7F" w:rsidRPr="001F6423" w:rsidRDefault="00BA3D7F" w:rsidP="00364B53">
      <w:pPr>
        <w:rPr>
          <w:noProof/>
        </w:rPr>
      </w:pPr>
    </w:p>
    <w:p w14:paraId="72AD83BA" w14:textId="77777777" w:rsidR="005A555C" w:rsidRPr="006B4557" w:rsidRDefault="005A555C" w:rsidP="0031614A">
      <w:pPr>
        <w:keepNext/>
        <w:pBdr>
          <w:top w:val="single" w:sz="4" w:space="1" w:color="auto"/>
          <w:left w:val="single" w:sz="4" w:space="4" w:color="auto"/>
          <w:bottom w:val="single" w:sz="4" w:space="1" w:color="auto"/>
          <w:right w:val="single" w:sz="4" w:space="4" w:color="auto"/>
        </w:pBdr>
        <w:ind w:left="567" w:hanging="567"/>
        <w:outlineLvl w:val="0"/>
        <w:rPr>
          <w:b/>
          <w:noProof/>
        </w:rPr>
      </w:pPr>
      <w:r>
        <w:rPr>
          <w:b/>
        </w:rPr>
        <w:lastRenderedPageBreak/>
        <w:t>10.</w:t>
      </w:r>
      <w:r>
        <w:rPr>
          <w:b/>
        </w:rPr>
        <w:tab/>
        <w:t>POSEBNE MJERE ZA ZBRINJAVANJE NEISKORIŠTENOG LIJEKA ILI OTPADNIH MATERIJALA KOJI POTJEČU OD LIJEKA, AKO JE POTREBNO</w:t>
      </w:r>
    </w:p>
    <w:p w14:paraId="05A35BA7" w14:textId="77777777" w:rsidR="005A555C" w:rsidRPr="006B4557" w:rsidRDefault="005A555C" w:rsidP="0031614A">
      <w:pPr>
        <w:keepNext/>
        <w:rPr>
          <w:noProof/>
        </w:rPr>
      </w:pPr>
    </w:p>
    <w:p w14:paraId="66FFCA7E" w14:textId="77777777" w:rsidR="005A555C" w:rsidRPr="006B4557" w:rsidRDefault="005A555C" w:rsidP="005A555C">
      <w:pPr>
        <w:rPr>
          <w:noProof/>
        </w:rPr>
      </w:pPr>
    </w:p>
    <w:p w14:paraId="7E081FC8" w14:textId="77777777" w:rsidR="005A555C" w:rsidRPr="006B4557" w:rsidRDefault="005A555C" w:rsidP="00BA3D7F">
      <w:pPr>
        <w:pBdr>
          <w:top w:val="single" w:sz="4" w:space="1" w:color="auto"/>
          <w:left w:val="single" w:sz="4" w:space="4" w:color="auto"/>
          <w:bottom w:val="single" w:sz="4" w:space="1" w:color="auto"/>
          <w:right w:val="single" w:sz="4" w:space="4" w:color="auto"/>
        </w:pBdr>
        <w:ind w:left="567" w:hanging="567"/>
        <w:outlineLvl w:val="0"/>
        <w:rPr>
          <w:b/>
          <w:noProof/>
        </w:rPr>
      </w:pPr>
      <w:r>
        <w:rPr>
          <w:b/>
        </w:rPr>
        <w:t>11.</w:t>
      </w:r>
      <w:r>
        <w:rPr>
          <w:b/>
        </w:rPr>
        <w:tab/>
        <w:t>NAZIV I ADRESA NOSITELJA ODOBRENJA ZA STAVLJANJE LIJEKA U PROMET</w:t>
      </w:r>
    </w:p>
    <w:p w14:paraId="18B83DF6" w14:textId="77777777" w:rsidR="005A555C" w:rsidRPr="006B4557" w:rsidRDefault="005A555C" w:rsidP="005A555C">
      <w:pPr>
        <w:rPr>
          <w:noProof/>
        </w:rPr>
      </w:pPr>
    </w:p>
    <w:p w14:paraId="6F2DB50C" w14:textId="77777777" w:rsidR="005A555C" w:rsidRPr="00993D25" w:rsidRDefault="005A555C" w:rsidP="005A555C">
      <w:r>
        <w:t>Accord Healthcare S.L.U.</w:t>
      </w:r>
    </w:p>
    <w:p w14:paraId="47876D6B" w14:textId="77777777" w:rsidR="005A555C" w:rsidRPr="00675D00" w:rsidRDefault="005A555C" w:rsidP="005A555C">
      <w:r>
        <w:t>World Trade Center, Moll de Barcelona s/n,</w:t>
      </w:r>
    </w:p>
    <w:p w14:paraId="317D769E" w14:textId="77777777" w:rsidR="005A555C" w:rsidRPr="00675D00" w:rsidRDefault="005A555C" w:rsidP="005A555C">
      <w:r>
        <w:t>Edifici Est, 6</w:t>
      </w:r>
      <w:r>
        <w:rPr>
          <w:vertAlign w:val="superscript"/>
        </w:rPr>
        <w:t>a</w:t>
      </w:r>
      <w:r>
        <w:t xml:space="preserve"> Planta</w:t>
      </w:r>
    </w:p>
    <w:p w14:paraId="353C4F96" w14:textId="77777777" w:rsidR="005A555C" w:rsidRPr="00675D00" w:rsidRDefault="005A555C" w:rsidP="005A555C">
      <w:r>
        <w:t>08039 Barcelona</w:t>
      </w:r>
    </w:p>
    <w:p w14:paraId="65C5EC35" w14:textId="77777777" w:rsidR="005A555C" w:rsidRPr="00675D00" w:rsidRDefault="005A555C" w:rsidP="005A555C">
      <w:r>
        <w:t>Španjolska</w:t>
      </w:r>
    </w:p>
    <w:p w14:paraId="7503885D" w14:textId="77777777" w:rsidR="005A555C" w:rsidRPr="00675D00" w:rsidRDefault="005A555C" w:rsidP="005A555C">
      <w:pPr>
        <w:rPr>
          <w:lang w:val="fr-FR"/>
        </w:rPr>
      </w:pPr>
    </w:p>
    <w:p w14:paraId="23935332" w14:textId="77777777" w:rsidR="005A555C" w:rsidRPr="00675D00" w:rsidRDefault="005A555C" w:rsidP="005A555C">
      <w:pPr>
        <w:rPr>
          <w:lang w:val="fr-FR"/>
        </w:rPr>
      </w:pPr>
    </w:p>
    <w:p w14:paraId="65EB5EEF"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11A5D264" w14:textId="77777777" w:rsidR="005A555C" w:rsidRPr="006B4557" w:rsidRDefault="005A555C" w:rsidP="005A555C">
      <w:pPr>
        <w:rPr>
          <w:noProof/>
        </w:rPr>
      </w:pPr>
    </w:p>
    <w:p w14:paraId="0EE8FCCE" w14:textId="77777777" w:rsidR="00981E2C" w:rsidRPr="00310EA0" w:rsidRDefault="00981E2C" w:rsidP="00981E2C">
      <w:pPr>
        <w:rPr>
          <w:lang w:val="pl-PL"/>
        </w:rPr>
      </w:pPr>
      <w:r w:rsidRPr="00310EA0">
        <w:rPr>
          <w:lang w:val="pl-PL"/>
        </w:rPr>
        <w:t>EU/1/24/1839/005</w:t>
      </w:r>
    </w:p>
    <w:p w14:paraId="1B373072" w14:textId="77777777" w:rsidR="00981E2C" w:rsidRPr="00310EA0" w:rsidRDefault="00981E2C" w:rsidP="00981E2C">
      <w:pPr>
        <w:rPr>
          <w:lang w:val="pl-PL"/>
        </w:rPr>
      </w:pPr>
      <w:r w:rsidRPr="00310EA0">
        <w:rPr>
          <w:lang w:val="pl-PL"/>
        </w:rPr>
        <w:t>EU/1/24/1839/006</w:t>
      </w:r>
    </w:p>
    <w:p w14:paraId="2F4A5570" w14:textId="77777777" w:rsidR="00981E2C" w:rsidRPr="00310EA0" w:rsidRDefault="00981E2C" w:rsidP="00981E2C">
      <w:pPr>
        <w:rPr>
          <w:lang w:val="pl-PL"/>
        </w:rPr>
      </w:pPr>
      <w:r w:rsidRPr="00310EA0">
        <w:rPr>
          <w:lang w:val="pl-PL"/>
        </w:rPr>
        <w:t>EU/1/24/1839/007</w:t>
      </w:r>
    </w:p>
    <w:p w14:paraId="3865EFC2" w14:textId="275D871A" w:rsidR="002513A1" w:rsidRPr="00310EA0" w:rsidRDefault="00981E2C" w:rsidP="005A555C">
      <w:pPr>
        <w:rPr>
          <w:lang w:val="pl-PL"/>
        </w:rPr>
      </w:pPr>
      <w:r w:rsidRPr="00310EA0">
        <w:rPr>
          <w:lang w:val="pl-PL"/>
        </w:rPr>
        <w:t>EU/1/24/1839/008</w:t>
      </w:r>
    </w:p>
    <w:p w14:paraId="2E34DF82" w14:textId="5823EDBC" w:rsidR="002513A1" w:rsidRPr="00310EA0" w:rsidRDefault="002513A1" w:rsidP="005A555C">
      <w:pPr>
        <w:rPr>
          <w:lang w:val="pl-PL"/>
        </w:rPr>
      </w:pPr>
      <w:r w:rsidRPr="00310EA0">
        <w:rPr>
          <w:lang w:val="pl-PL"/>
        </w:rPr>
        <w:t>EU/1/24/1839/026</w:t>
      </w:r>
    </w:p>
    <w:p w14:paraId="7D47C3AB" w14:textId="129A0B7A" w:rsidR="00981E2C" w:rsidRPr="00310EA0" w:rsidRDefault="00981E2C" w:rsidP="005A555C">
      <w:pPr>
        <w:rPr>
          <w:lang w:val="pl-PL"/>
        </w:rPr>
      </w:pPr>
    </w:p>
    <w:p w14:paraId="3AB71386" w14:textId="77777777" w:rsidR="002C3132" w:rsidRPr="00310EA0" w:rsidRDefault="002C3132" w:rsidP="005A555C">
      <w:pPr>
        <w:rPr>
          <w:lang w:val="pl-PL"/>
        </w:rPr>
      </w:pPr>
    </w:p>
    <w:p w14:paraId="053C67D7" w14:textId="77777777" w:rsidR="005A555C" w:rsidRPr="00675D00" w:rsidRDefault="005A555C" w:rsidP="00BA3D7F">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79685395" w14:textId="77777777" w:rsidR="005A555C" w:rsidRPr="00310EA0" w:rsidRDefault="005A555C" w:rsidP="005A555C">
      <w:pPr>
        <w:rPr>
          <w:lang w:val="pl-PL"/>
        </w:rPr>
      </w:pPr>
    </w:p>
    <w:p w14:paraId="77D6FD62" w14:textId="6102D1BD" w:rsidR="005A555C" w:rsidRPr="008C030F" w:rsidRDefault="002C3132" w:rsidP="005A555C">
      <w:pPr>
        <w:rPr>
          <w:noProof/>
        </w:rPr>
      </w:pPr>
      <w:r>
        <w:t>Lot</w:t>
      </w:r>
    </w:p>
    <w:p w14:paraId="0DC38C25" w14:textId="1FB5F00A" w:rsidR="005A555C" w:rsidRDefault="005A555C" w:rsidP="005A555C">
      <w:pPr>
        <w:rPr>
          <w:noProof/>
        </w:rPr>
      </w:pPr>
    </w:p>
    <w:p w14:paraId="21C68461" w14:textId="77777777" w:rsidR="002C25D1" w:rsidRPr="006B4557" w:rsidRDefault="002C25D1" w:rsidP="005A555C">
      <w:pPr>
        <w:rPr>
          <w:noProof/>
        </w:rPr>
      </w:pPr>
    </w:p>
    <w:p w14:paraId="21E41E84"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477374D6" w14:textId="77777777" w:rsidR="005A555C" w:rsidRPr="00675D00" w:rsidRDefault="005A555C" w:rsidP="005A555C"/>
    <w:p w14:paraId="33560923" w14:textId="77777777" w:rsidR="005A555C" w:rsidRPr="00B3208E" w:rsidRDefault="005A555C" w:rsidP="005A555C">
      <w:pPr>
        <w:rPr>
          <w:noProof/>
        </w:rPr>
      </w:pPr>
    </w:p>
    <w:p w14:paraId="06A963ED" w14:textId="77777777" w:rsidR="005A555C" w:rsidRPr="00A26F79" w:rsidRDefault="005A555C" w:rsidP="00BA3D7F">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2B6B3744" w14:textId="77777777" w:rsidR="005A555C" w:rsidRPr="008225EB" w:rsidRDefault="005A555C" w:rsidP="005A555C">
      <w:pPr>
        <w:rPr>
          <w:noProof/>
        </w:rPr>
      </w:pPr>
    </w:p>
    <w:p w14:paraId="4B340012" w14:textId="77777777" w:rsidR="005A555C" w:rsidRPr="008225EB" w:rsidRDefault="005A555C" w:rsidP="005A555C">
      <w:pPr>
        <w:rPr>
          <w:noProof/>
        </w:rPr>
      </w:pPr>
    </w:p>
    <w:p w14:paraId="24F3A09C" w14:textId="77777777" w:rsidR="005A555C" w:rsidRPr="006B4557" w:rsidRDefault="005A555C" w:rsidP="00BA3D7F">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316553FE" w14:textId="77777777" w:rsidR="005A555C" w:rsidRPr="007B42D3" w:rsidRDefault="005A555C" w:rsidP="005A555C">
      <w:pPr>
        <w:rPr>
          <w:noProof/>
        </w:rPr>
      </w:pPr>
    </w:p>
    <w:p w14:paraId="17541084" w14:textId="77777777" w:rsidR="005A555C" w:rsidRDefault="005A555C" w:rsidP="005A555C">
      <w:r>
        <w:t>Dasatinib Accord Healthcare 50 mg</w:t>
      </w:r>
    </w:p>
    <w:p w14:paraId="0F0A583F" w14:textId="77777777" w:rsidR="005A555C" w:rsidRPr="00F0280B" w:rsidRDefault="005A555C" w:rsidP="005A555C">
      <w:pPr>
        <w:rPr>
          <w:b/>
        </w:rPr>
      </w:pPr>
    </w:p>
    <w:p w14:paraId="1AE81685" w14:textId="77777777" w:rsidR="005A555C" w:rsidRPr="00067B16" w:rsidRDefault="005A555C" w:rsidP="005A555C">
      <w:pPr>
        <w:rPr>
          <w:noProof/>
          <w:shd w:val="clear" w:color="auto" w:fill="CCCCCC"/>
        </w:rPr>
      </w:pPr>
    </w:p>
    <w:p w14:paraId="54B4B78B" w14:textId="77777777" w:rsidR="005A555C" w:rsidRPr="00C937E7" w:rsidRDefault="005A555C" w:rsidP="00BA3D7F">
      <w:pPr>
        <w:pBdr>
          <w:top w:val="single" w:sz="4" w:space="1" w:color="auto"/>
          <w:left w:val="single" w:sz="4" w:space="4" w:color="auto"/>
          <w:bottom w:val="single" w:sz="4" w:space="0" w:color="auto"/>
          <w:right w:val="single" w:sz="4" w:space="4" w:color="auto"/>
        </w:pBdr>
        <w:tabs>
          <w:tab w:val="left" w:pos="567"/>
        </w:tabs>
        <w:rPr>
          <w:i/>
          <w:noProof/>
        </w:rPr>
      </w:pPr>
      <w:r>
        <w:rPr>
          <w:b/>
        </w:rPr>
        <w:t>17.</w:t>
      </w:r>
      <w:r>
        <w:rPr>
          <w:b/>
        </w:rPr>
        <w:tab/>
        <w:t>JEDINSTVENI IDENTIFIKATOR – 2D BARKOD</w:t>
      </w:r>
    </w:p>
    <w:p w14:paraId="33F2376C" w14:textId="77777777" w:rsidR="005A555C" w:rsidRPr="00C937E7" w:rsidRDefault="005A555C" w:rsidP="005A555C">
      <w:pPr>
        <w:rPr>
          <w:noProof/>
        </w:rPr>
      </w:pPr>
    </w:p>
    <w:p w14:paraId="6E450199" w14:textId="77777777" w:rsidR="005A555C" w:rsidRPr="00C937E7" w:rsidRDefault="005A555C" w:rsidP="005A555C">
      <w:pPr>
        <w:rPr>
          <w:noProof/>
          <w:shd w:val="clear" w:color="auto" w:fill="CCCCCC"/>
        </w:rPr>
      </w:pPr>
      <w:r>
        <w:rPr>
          <w:shd w:val="clear" w:color="auto" w:fill="CCCCCC"/>
        </w:rPr>
        <w:t>Sadrži 2D barkod s jedinstvenim identifikatorom.</w:t>
      </w:r>
    </w:p>
    <w:p w14:paraId="685B42D7" w14:textId="77777777" w:rsidR="005A555C" w:rsidRDefault="005A555C" w:rsidP="005A555C">
      <w:pPr>
        <w:rPr>
          <w:noProof/>
        </w:rPr>
      </w:pPr>
    </w:p>
    <w:p w14:paraId="1020207A" w14:textId="77777777" w:rsidR="005A555C" w:rsidRPr="00C937E7" w:rsidRDefault="005A555C" w:rsidP="005A555C">
      <w:pPr>
        <w:rPr>
          <w:noProof/>
        </w:rPr>
      </w:pPr>
    </w:p>
    <w:p w14:paraId="3B8AB127" w14:textId="77777777" w:rsidR="005A555C" w:rsidRPr="00C937E7" w:rsidRDefault="005A555C" w:rsidP="00BA3D7F">
      <w:pPr>
        <w:pBdr>
          <w:top w:val="single" w:sz="4" w:space="1" w:color="auto"/>
          <w:left w:val="single" w:sz="4" w:space="4" w:color="auto"/>
          <w:bottom w:val="single" w:sz="4" w:space="0" w:color="auto"/>
          <w:right w:val="single" w:sz="4" w:space="4" w:color="auto"/>
        </w:pBdr>
        <w:tabs>
          <w:tab w:val="left" w:pos="567"/>
        </w:tabs>
        <w:rPr>
          <w:i/>
          <w:noProof/>
        </w:rPr>
      </w:pPr>
      <w:r>
        <w:rPr>
          <w:b/>
        </w:rPr>
        <w:t>18.</w:t>
      </w:r>
      <w:r>
        <w:rPr>
          <w:b/>
        </w:rPr>
        <w:tab/>
        <w:t>JEDINSTVENI IDENTIFIKATOR – PODACI ČITLJIVI LJUDSKIM OKOM</w:t>
      </w:r>
    </w:p>
    <w:p w14:paraId="52BAEDEC" w14:textId="77777777" w:rsidR="005A555C" w:rsidRDefault="005A555C" w:rsidP="005A555C">
      <w:pPr>
        <w:rPr>
          <w:noProof/>
        </w:rPr>
      </w:pPr>
    </w:p>
    <w:p w14:paraId="68465EE2" w14:textId="77777777" w:rsidR="005A555C" w:rsidRPr="00923D99" w:rsidRDefault="005A555C" w:rsidP="005A555C">
      <w:r>
        <w:t>PC</w:t>
      </w:r>
    </w:p>
    <w:p w14:paraId="6EB2F05F" w14:textId="77777777" w:rsidR="005A555C" w:rsidRPr="00923D99" w:rsidRDefault="005A555C" w:rsidP="005A555C">
      <w:r>
        <w:t>SN</w:t>
      </w:r>
    </w:p>
    <w:p w14:paraId="61BC5868" w14:textId="77777777" w:rsidR="005A555C" w:rsidRPr="00923D99" w:rsidRDefault="005A555C" w:rsidP="005A555C">
      <w:r>
        <w:t>NN</w:t>
      </w:r>
    </w:p>
    <w:p w14:paraId="11987D34" w14:textId="77777777" w:rsidR="005A555C" w:rsidRPr="00A26F79" w:rsidRDefault="005A555C" w:rsidP="005A555C">
      <w:pPr>
        <w:rPr>
          <w:noProof/>
          <w:shd w:val="clear" w:color="auto" w:fill="CCCCCC"/>
        </w:rPr>
      </w:pPr>
    </w:p>
    <w:p w14:paraId="2207EB31" w14:textId="77777777" w:rsidR="005A555C" w:rsidRPr="008225EB" w:rsidRDefault="005A555C" w:rsidP="005A555C">
      <w:pPr>
        <w:rPr>
          <w:b/>
          <w:noProof/>
        </w:rPr>
      </w:pPr>
      <w:r>
        <w:br w:type="page"/>
      </w:r>
    </w:p>
    <w:p w14:paraId="24D66C3A"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5102B41A" w14:textId="0B94ABBB"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6FC42AC6" w14:textId="03C3821F"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BA3D7F">
        <w:rPr>
          <w:b/>
        </w:rPr>
        <w:t>I</w:t>
      </w:r>
      <w:r>
        <w:rPr>
          <w:b/>
        </w:rPr>
        <w:t xml:space="preserve"> BLISTER </w:t>
      </w:r>
      <w:r w:rsidR="00BA3D7F">
        <w:rPr>
          <w:b/>
        </w:rPr>
        <w:t>S</w:t>
      </w:r>
      <w:r>
        <w:rPr>
          <w:b/>
        </w:rPr>
        <w:t xml:space="preserve"> JEDINIČN</w:t>
      </w:r>
      <w:r w:rsidR="00BA3D7F">
        <w:rPr>
          <w:b/>
        </w:rPr>
        <w:t>IM</w:t>
      </w:r>
      <w:r>
        <w:rPr>
          <w:b/>
        </w:rPr>
        <w:t xml:space="preserve"> DOZ</w:t>
      </w:r>
      <w:r w:rsidR="00BA3D7F">
        <w:rPr>
          <w:b/>
        </w:rPr>
        <w:t>AMA</w:t>
      </w:r>
    </w:p>
    <w:p w14:paraId="53A9EC42" w14:textId="77777777" w:rsidR="005A555C" w:rsidRPr="00412450" w:rsidRDefault="005A555C" w:rsidP="005A555C">
      <w:pPr>
        <w:rPr>
          <w:noProof/>
        </w:rPr>
      </w:pPr>
    </w:p>
    <w:p w14:paraId="38D98368" w14:textId="77777777" w:rsidR="005A555C" w:rsidRPr="00412450" w:rsidRDefault="005A555C" w:rsidP="005A555C">
      <w:pPr>
        <w:rPr>
          <w:noProof/>
        </w:rPr>
      </w:pPr>
    </w:p>
    <w:p w14:paraId="0B93080C" w14:textId="77777777" w:rsidR="005A555C" w:rsidRPr="00675D00"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rPr>
      </w:pPr>
      <w:r>
        <w:rPr>
          <w:b/>
        </w:rPr>
        <w:t>1.</w:t>
      </w:r>
      <w:r>
        <w:rPr>
          <w:b/>
        </w:rPr>
        <w:tab/>
        <w:t>NAZIV LIJEKA</w:t>
      </w:r>
    </w:p>
    <w:p w14:paraId="22A870FA" w14:textId="77777777" w:rsidR="005A555C" w:rsidRPr="00675D00" w:rsidRDefault="005A555C" w:rsidP="005A555C">
      <w:pPr>
        <w:rPr>
          <w:i/>
        </w:rPr>
      </w:pPr>
    </w:p>
    <w:p w14:paraId="3302FEA3" w14:textId="77777777" w:rsidR="005A555C" w:rsidRDefault="005A555C" w:rsidP="005A555C">
      <w:r>
        <w:t>Dasatinib Accord Healthcare 50 mg tablete</w:t>
      </w:r>
    </w:p>
    <w:p w14:paraId="14EF8890" w14:textId="77777777" w:rsidR="005A555C" w:rsidRPr="006B4557" w:rsidRDefault="005A555C" w:rsidP="005A555C">
      <w:r>
        <w:t>dasatinib</w:t>
      </w:r>
    </w:p>
    <w:p w14:paraId="4456AB84" w14:textId="77777777" w:rsidR="005A555C" w:rsidRDefault="005A555C" w:rsidP="005A555C"/>
    <w:p w14:paraId="4BFED16D" w14:textId="77777777" w:rsidR="005A555C" w:rsidRPr="006B4557" w:rsidRDefault="005A555C" w:rsidP="005A555C"/>
    <w:p w14:paraId="09B520B6"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04B49EFE" w14:textId="77777777" w:rsidR="005A555C" w:rsidRPr="00BC6DC2" w:rsidRDefault="005A555C" w:rsidP="005A555C">
      <w:pPr>
        <w:rPr>
          <w:noProof/>
        </w:rPr>
      </w:pPr>
    </w:p>
    <w:p w14:paraId="20442495" w14:textId="77777777" w:rsidR="005A555C" w:rsidRPr="001F6423" w:rsidRDefault="005A555C" w:rsidP="005A555C">
      <w:pPr>
        <w:rPr>
          <w:noProof/>
        </w:rPr>
      </w:pPr>
      <w:r>
        <w:t>Accord</w:t>
      </w:r>
    </w:p>
    <w:p w14:paraId="713C2558" w14:textId="77777777" w:rsidR="005A555C" w:rsidRDefault="005A555C" w:rsidP="005A555C">
      <w:pPr>
        <w:rPr>
          <w:noProof/>
        </w:rPr>
      </w:pPr>
    </w:p>
    <w:p w14:paraId="2B718A2B" w14:textId="77777777" w:rsidR="005A555C" w:rsidRPr="001F6423" w:rsidRDefault="005A555C" w:rsidP="005A555C">
      <w:pPr>
        <w:rPr>
          <w:noProof/>
        </w:rPr>
      </w:pPr>
    </w:p>
    <w:p w14:paraId="3DCE6E5C" w14:textId="77777777" w:rsidR="005A555C" w:rsidRPr="006B4557" w:rsidRDefault="005A555C" w:rsidP="00BA3D7F">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336C97FD" w14:textId="77777777" w:rsidR="005A555C" w:rsidRPr="006B4557" w:rsidRDefault="005A555C" w:rsidP="005A555C">
      <w:pPr>
        <w:rPr>
          <w:noProof/>
        </w:rPr>
      </w:pPr>
    </w:p>
    <w:p w14:paraId="680F9335" w14:textId="77777777" w:rsidR="005A555C" w:rsidRDefault="005A555C" w:rsidP="005A555C">
      <w:pPr>
        <w:rPr>
          <w:noProof/>
        </w:rPr>
      </w:pPr>
      <w:r>
        <w:t>EXP</w:t>
      </w:r>
    </w:p>
    <w:p w14:paraId="388F5157" w14:textId="77777777" w:rsidR="005A555C" w:rsidRDefault="005A555C" w:rsidP="005A555C">
      <w:pPr>
        <w:rPr>
          <w:noProof/>
        </w:rPr>
      </w:pPr>
    </w:p>
    <w:p w14:paraId="6D303E76" w14:textId="77777777" w:rsidR="005A555C" w:rsidRPr="006B4557" w:rsidRDefault="005A555C" w:rsidP="005A555C">
      <w:pPr>
        <w:rPr>
          <w:noProof/>
        </w:rPr>
      </w:pPr>
    </w:p>
    <w:p w14:paraId="6ED9161F" w14:textId="77777777" w:rsidR="005A555C" w:rsidRPr="006B4557" w:rsidRDefault="005A555C" w:rsidP="00BA3D7F">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19329AC6" w14:textId="77777777" w:rsidR="005A555C" w:rsidRPr="006B4557" w:rsidRDefault="005A555C" w:rsidP="005A555C">
      <w:pPr>
        <w:rPr>
          <w:noProof/>
        </w:rPr>
      </w:pPr>
    </w:p>
    <w:p w14:paraId="5229A4DC" w14:textId="45EEE05A" w:rsidR="005A555C" w:rsidRDefault="002C3132" w:rsidP="005A555C">
      <w:pPr>
        <w:rPr>
          <w:noProof/>
        </w:rPr>
      </w:pPr>
      <w:r>
        <w:t>Lot</w:t>
      </w:r>
    </w:p>
    <w:p w14:paraId="22A6774C" w14:textId="57D1416C" w:rsidR="005A555C" w:rsidRDefault="005A555C" w:rsidP="005A555C">
      <w:pPr>
        <w:rPr>
          <w:noProof/>
        </w:rPr>
      </w:pPr>
    </w:p>
    <w:p w14:paraId="11C7B151" w14:textId="77777777" w:rsidR="002C25D1" w:rsidRPr="006B4557" w:rsidRDefault="002C25D1" w:rsidP="005A555C">
      <w:pPr>
        <w:rPr>
          <w:noProof/>
        </w:rPr>
      </w:pPr>
    </w:p>
    <w:p w14:paraId="673B5D3F" w14:textId="77777777" w:rsidR="005A555C" w:rsidRPr="006B4557" w:rsidRDefault="005A555C" w:rsidP="003033DE">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32409E32" w14:textId="77777777" w:rsidR="001C6E6B" w:rsidRDefault="001C6E6B" w:rsidP="001C6E6B"/>
    <w:p w14:paraId="44027F59" w14:textId="66161B89" w:rsidR="001C6E6B" w:rsidRDefault="001C6E6B" w:rsidP="001C6E6B">
      <w:pPr>
        <w:rPr>
          <w:noProof/>
        </w:rPr>
      </w:pPr>
      <w:r w:rsidRPr="000A0E58">
        <w:rPr>
          <w:highlight w:val="lightGray"/>
        </w:rPr>
        <w:t>Primjena kroz usta.</w:t>
      </w:r>
    </w:p>
    <w:p w14:paraId="4CC7EA21" w14:textId="1C013BFD" w:rsidR="005A555C" w:rsidRDefault="005A555C" w:rsidP="002C3132">
      <w:pPr>
        <w:pBdr>
          <w:top w:val="single" w:sz="4" w:space="1" w:color="auto"/>
          <w:left w:val="single" w:sz="4" w:space="4" w:color="auto"/>
          <w:bottom w:val="single" w:sz="4" w:space="1" w:color="auto"/>
          <w:right w:val="single" w:sz="4" w:space="4" w:color="auto"/>
        </w:pBdr>
        <w:ind w:left="567" w:hanging="567"/>
        <w:rPr>
          <w:noProof/>
        </w:rPr>
      </w:pPr>
      <w:r>
        <w:br w:type="page"/>
      </w:r>
    </w:p>
    <w:p w14:paraId="2C6DDF83"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 xml:space="preserve">PODACI KOJI SE MORAJU NALAZITI NA VANJSKOM PAKIRANJU </w:t>
      </w:r>
    </w:p>
    <w:p w14:paraId="0E24712C"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27164A86" w14:textId="29B31781" w:rsidR="005A555C" w:rsidRPr="006B4557" w:rsidRDefault="001C1CFF" w:rsidP="005A555C">
      <w:pPr>
        <w:pBdr>
          <w:top w:val="single" w:sz="4" w:space="1" w:color="auto"/>
          <w:left w:val="single" w:sz="4" w:space="4" w:color="auto"/>
          <w:bottom w:val="single" w:sz="4" w:space="1" w:color="auto"/>
          <w:right w:val="single" w:sz="4" w:space="4" w:color="auto"/>
        </w:pBdr>
        <w:rPr>
          <w:bCs/>
          <w:noProof/>
        </w:rPr>
      </w:pPr>
      <w:r>
        <w:rPr>
          <w:b/>
        </w:rPr>
        <w:t xml:space="preserve">VANJSKA </w:t>
      </w:r>
      <w:r w:rsidR="005A555C">
        <w:rPr>
          <w:b/>
        </w:rPr>
        <w:t>KUTIJA</w:t>
      </w:r>
    </w:p>
    <w:p w14:paraId="1D35D099" w14:textId="77777777" w:rsidR="005A555C" w:rsidRPr="006B4557" w:rsidRDefault="005A555C" w:rsidP="005A555C"/>
    <w:p w14:paraId="34902FDC" w14:textId="77777777" w:rsidR="005A555C" w:rsidRPr="006C6114" w:rsidRDefault="005A555C" w:rsidP="005A555C">
      <w:pPr>
        <w:rPr>
          <w:noProof/>
        </w:rPr>
      </w:pPr>
    </w:p>
    <w:p w14:paraId="1A88E031" w14:textId="77777777" w:rsidR="005A555C" w:rsidRPr="00675D00"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100D8667" w14:textId="77777777" w:rsidR="005A555C" w:rsidRPr="00675D00" w:rsidRDefault="005A555C" w:rsidP="005A555C"/>
    <w:p w14:paraId="71E9E5A5" w14:textId="77777777" w:rsidR="005A555C" w:rsidRPr="006B4557" w:rsidRDefault="005A555C" w:rsidP="005A555C">
      <w:pPr>
        <w:rPr>
          <w:noProof/>
        </w:rPr>
      </w:pPr>
      <w:r>
        <w:t>Dasatinib Accord Healthcare 70 mg filmom obložene tablete</w:t>
      </w:r>
    </w:p>
    <w:p w14:paraId="351BEF0A" w14:textId="77777777" w:rsidR="005A555C" w:rsidRPr="00067B16" w:rsidRDefault="005A555C" w:rsidP="005A555C">
      <w:pPr>
        <w:rPr>
          <w:b/>
        </w:rPr>
      </w:pPr>
      <w:r>
        <w:t>dasatinib</w:t>
      </w:r>
    </w:p>
    <w:p w14:paraId="0BAE3577" w14:textId="77777777" w:rsidR="005A555C" w:rsidRPr="00067B16" w:rsidRDefault="005A555C" w:rsidP="005A555C">
      <w:pPr>
        <w:rPr>
          <w:noProof/>
        </w:rPr>
      </w:pPr>
    </w:p>
    <w:p w14:paraId="3545E01C" w14:textId="77777777" w:rsidR="005A555C" w:rsidRPr="00B3208E" w:rsidRDefault="005A555C" w:rsidP="005A555C">
      <w:pPr>
        <w:rPr>
          <w:noProof/>
        </w:rPr>
      </w:pPr>
    </w:p>
    <w:p w14:paraId="54B36FC2"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02D33A4D" w14:textId="77777777" w:rsidR="005A555C" w:rsidRPr="006B4557" w:rsidRDefault="005A555C" w:rsidP="005A555C">
      <w:pPr>
        <w:rPr>
          <w:noProof/>
        </w:rPr>
      </w:pPr>
    </w:p>
    <w:p w14:paraId="7C7040C2" w14:textId="3DAD99E5" w:rsidR="005A555C" w:rsidRPr="00B3208E" w:rsidRDefault="005A555C" w:rsidP="005A555C">
      <w:pPr>
        <w:rPr>
          <w:noProof/>
        </w:rPr>
      </w:pPr>
      <w:r>
        <w:t xml:space="preserve">Jedna filmom obložena tableta sadrži 70 mg dasatiniba (u obliku </w:t>
      </w:r>
      <w:r w:rsidR="0019067D">
        <w:t>dasatinib</w:t>
      </w:r>
      <w:r w:rsidR="003033DE">
        <w:t xml:space="preserve"> </w:t>
      </w:r>
      <w:r>
        <w:t>hidrata).</w:t>
      </w:r>
    </w:p>
    <w:p w14:paraId="797159CC" w14:textId="77777777" w:rsidR="005A555C" w:rsidRPr="00F0280B" w:rsidRDefault="005A555C" w:rsidP="005A555C">
      <w:pPr>
        <w:rPr>
          <w:noProof/>
        </w:rPr>
      </w:pPr>
    </w:p>
    <w:p w14:paraId="0C8ED9AE" w14:textId="77777777" w:rsidR="005A555C" w:rsidRPr="00A26F79" w:rsidRDefault="005A555C" w:rsidP="005A555C">
      <w:pPr>
        <w:rPr>
          <w:noProof/>
        </w:rPr>
      </w:pPr>
    </w:p>
    <w:p w14:paraId="5F419158"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7171D274" w14:textId="77777777" w:rsidR="005A555C" w:rsidRPr="00A3136F" w:rsidRDefault="005A555C" w:rsidP="005A555C">
      <w:pPr>
        <w:rPr>
          <w:noProof/>
        </w:rPr>
      </w:pPr>
    </w:p>
    <w:p w14:paraId="36A3A527" w14:textId="6C6C8B73" w:rsidR="005A555C" w:rsidRDefault="005A555C" w:rsidP="005A555C">
      <w:pPr>
        <w:rPr>
          <w:noProof/>
        </w:rPr>
      </w:pPr>
      <w:r>
        <w:t>Pomoćne tvari: sadrži laktozu</w:t>
      </w:r>
      <w:r w:rsidR="006254C7">
        <w:t>.</w:t>
      </w:r>
    </w:p>
    <w:p w14:paraId="3F038A22" w14:textId="77777777" w:rsidR="005A555C" w:rsidRDefault="005A555C" w:rsidP="005A555C">
      <w:pPr>
        <w:rPr>
          <w:noProof/>
        </w:rPr>
      </w:pPr>
      <w:r>
        <w:rPr>
          <w:highlight w:val="lightGray"/>
        </w:rPr>
        <w:t>Za dodatne informacije vidjeti uputu o lijeku.</w:t>
      </w:r>
    </w:p>
    <w:p w14:paraId="05D70057" w14:textId="77777777" w:rsidR="005A555C" w:rsidRDefault="005A555C" w:rsidP="005A555C">
      <w:pPr>
        <w:rPr>
          <w:noProof/>
        </w:rPr>
      </w:pPr>
    </w:p>
    <w:p w14:paraId="2434AFBF" w14:textId="77777777" w:rsidR="005A555C" w:rsidRPr="000643D3" w:rsidRDefault="005A555C" w:rsidP="005A555C">
      <w:pPr>
        <w:rPr>
          <w:noProof/>
        </w:rPr>
      </w:pPr>
    </w:p>
    <w:p w14:paraId="1446F753"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018AE2D4" w14:textId="77777777" w:rsidR="005A555C" w:rsidRDefault="005A555C" w:rsidP="005A555C">
      <w:pPr>
        <w:rPr>
          <w:noProof/>
        </w:rPr>
      </w:pPr>
    </w:p>
    <w:p w14:paraId="482C90EB" w14:textId="77777777" w:rsidR="005A555C" w:rsidRPr="00F0280B" w:rsidRDefault="005A555C" w:rsidP="005A555C">
      <w:pPr>
        <w:rPr>
          <w:noProof/>
        </w:rPr>
      </w:pPr>
      <w:r>
        <w:t>56 filmom obloženih tableta</w:t>
      </w:r>
    </w:p>
    <w:p w14:paraId="70C06029" w14:textId="77777777" w:rsidR="005A555C" w:rsidRPr="0050753A" w:rsidRDefault="005A555C" w:rsidP="005A555C">
      <w:pPr>
        <w:rPr>
          <w:noProof/>
          <w:highlight w:val="lightGray"/>
        </w:rPr>
      </w:pPr>
      <w:r>
        <w:rPr>
          <w:highlight w:val="lightGray"/>
        </w:rPr>
        <w:t>60 filmom obloženih tableta</w:t>
      </w:r>
    </w:p>
    <w:p w14:paraId="1F35F391" w14:textId="77777777" w:rsidR="005A555C" w:rsidRPr="0050753A" w:rsidRDefault="005A555C" w:rsidP="005A555C">
      <w:pPr>
        <w:rPr>
          <w:noProof/>
          <w:highlight w:val="lightGray"/>
        </w:rPr>
      </w:pPr>
      <w:r>
        <w:rPr>
          <w:highlight w:val="lightGray"/>
        </w:rPr>
        <w:t>56 x 1 filmom obložena tableta</w:t>
      </w:r>
    </w:p>
    <w:p w14:paraId="374F17F6" w14:textId="21168EA6" w:rsidR="005A555C" w:rsidRDefault="005A555C" w:rsidP="005A555C">
      <w:pPr>
        <w:rPr>
          <w:noProof/>
        </w:rPr>
      </w:pPr>
      <w:r>
        <w:rPr>
          <w:highlight w:val="lightGray"/>
        </w:rPr>
        <w:t>60 x 1 filmom obložena tableta</w:t>
      </w:r>
    </w:p>
    <w:p w14:paraId="3E5790A0" w14:textId="77777777" w:rsidR="002513A1" w:rsidRPr="00CB0F2E" w:rsidRDefault="002513A1" w:rsidP="002513A1">
      <w:pPr>
        <w:rPr>
          <w:noProof/>
        </w:rPr>
      </w:pPr>
      <w:r w:rsidRPr="0046674A">
        <w:rPr>
          <w:highlight w:val="lightGray"/>
        </w:rPr>
        <w:t>10 x 1 filmom obložena tableta</w:t>
      </w:r>
    </w:p>
    <w:p w14:paraId="7056F787" w14:textId="7F8A48E4" w:rsidR="005A555C" w:rsidRDefault="005A555C" w:rsidP="005A555C">
      <w:pPr>
        <w:rPr>
          <w:noProof/>
        </w:rPr>
      </w:pPr>
    </w:p>
    <w:p w14:paraId="771B4504" w14:textId="77777777" w:rsidR="00C45327" w:rsidRPr="007B42D3" w:rsidRDefault="00C45327" w:rsidP="005A555C">
      <w:pPr>
        <w:rPr>
          <w:noProof/>
        </w:rPr>
      </w:pPr>
    </w:p>
    <w:p w14:paraId="5362FAF7" w14:textId="77777777" w:rsidR="005A555C" w:rsidRPr="00067B16"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5.</w:t>
      </w:r>
      <w:r>
        <w:rPr>
          <w:b/>
        </w:rPr>
        <w:tab/>
        <w:t>NAČIN I PUT(EVI) PRIMJENE LIJEKA</w:t>
      </w:r>
    </w:p>
    <w:p w14:paraId="1742B890" w14:textId="77777777" w:rsidR="005A555C" w:rsidRPr="006B4557" w:rsidRDefault="005A555C" w:rsidP="005A555C">
      <w:pPr>
        <w:rPr>
          <w:noProof/>
        </w:rPr>
      </w:pPr>
    </w:p>
    <w:p w14:paraId="75AF3630" w14:textId="77777777" w:rsidR="005A555C" w:rsidRDefault="005A555C" w:rsidP="005A555C">
      <w:pPr>
        <w:rPr>
          <w:noProof/>
        </w:rPr>
      </w:pPr>
      <w:r>
        <w:t>Prije uporabe pročitajte uputu o lijeku.</w:t>
      </w:r>
    </w:p>
    <w:p w14:paraId="5DBED362" w14:textId="77777777" w:rsidR="005A555C" w:rsidRPr="007B42D3" w:rsidRDefault="005A555C" w:rsidP="005A555C">
      <w:pPr>
        <w:rPr>
          <w:noProof/>
        </w:rPr>
      </w:pPr>
      <w:r>
        <w:t>Primjena kroz usta.</w:t>
      </w:r>
    </w:p>
    <w:p w14:paraId="7CC051DB" w14:textId="77777777" w:rsidR="005A555C" w:rsidRPr="00067B16" w:rsidRDefault="005A555C" w:rsidP="005A555C">
      <w:pPr>
        <w:rPr>
          <w:noProof/>
        </w:rPr>
      </w:pPr>
    </w:p>
    <w:p w14:paraId="7911370A" w14:textId="77777777" w:rsidR="005A555C" w:rsidRPr="00067B16" w:rsidRDefault="005A555C" w:rsidP="005A555C">
      <w:pPr>
        <w:rPr>
          <w:noProof/>
        </w:rPr>
      </w:pPr>
    </w:p>
    <w:p w14:paraId="24797DD6"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63DD3050" w14:textId="77777777" w:rsidR="005A555C" w:rsidRPr="008225EB" w:rsidRDefault="005A555C" w:rsidP="005A555C">
      <w:pPr>
        <w:rPr>
          <w:noProof/>
        </w:rPr>
      </w:pPr>
    </w:p>
    <w:p w14:paraId="37936865" w14:textId="77777777" w:rsidR="005A555C" w:rsidRPr="008225EB" w:rsidRDefault="005A555C" w:rsidP="005A555C">
      <w:pPr>
        <w:outlineLvl w:val="0"/>
        <w:rPr>
          <w:noProof/>
        </w:rPr>
      </w:pPr>
      <w:r>
        <w:t>Čuvati izvan pogleda i dohvata djece.</w:t>
      </w:r>
    </w:p>
    <w:p w14:paraId="2D18C3C8" w14:textId="77777777" w:rsidR="005A555C" w:rsidRPr="00A3136F" w:rsidRDefault="005A555C" w:rsidP="005A555C">
      <w:pPr>
        <w:rPr>
          <w:noProof/>
        </w:rPr>
      </w:pPr>
    </w:p>
    <w:p w14:paraId="2A1BA85F" w14:textId="77777777" w:rsidR="005A555C" w:rsidRPr="000643D3" w:rsidRDefault="005A555C" w:rsidP="005A555C">
      <w:pPr>
        <w:rPr>
          <w:noProof/>
        </w:rPr>
      </w:pPr>
    </w:p>
    <w:p w14:paraId="021720C1"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4C50303A" w14:textId="77777777" w:rsidR="005A555C" w:rsidRPr="006B4557" w:rsidRDefault="005A555C" w:rsidP="005A555C">
      <w:pPr>
        <w:tabs>
          <w:tab w:val="left" w:pos="749"/>
        </w:tabs>
      </w:pPr>
    </w:p>
    <w:p w14:paraId="3B57100B" w14:textId="77777777" w:rsidR="005A555C" w:rsidRPr="006B4557" w:rsidRDefault="005A555C" w:rsidP="005A555C">
      <w:pPr>
        <w:tabs>
          <w:tab w:val="left" w:pos="749"/>
        </w:tabs>
      </w:pPr>
    </w:p>
    <w:p w14:paraId="160F40DA"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6237B047" w14:textId="77777777" w:rsidR="005A555C" w:rsidRPr="006B4557" w:rsidRDefault="005A555C" w:rsidP="005A555C"/>
    <w:p w14:paraId="0D727FC5" w14:textId="77777777" w:rsidR="005A555C" w:rsidRDefault="005A555C" w:rsidP="005A555C">
      <w:pPr>
        <w:rPr>
          <w:noProof/>
        </w:rPr>
      </w:pPr>
      <w:r>
        <w:t>EXP</w:t>
      </w:r>
    </w:p>
    <w:p w14:paraId="7C9C5239" w14:textId="77777777" w:rsidR="005A555C" w:rsidRDefault="005A555C" w:rsidP="005A555C">
      <w:pPr>
        <w:rPr>
          <w:noProof/>
        </w:rPr>
      </w:pPr>
    </w:p>
    <w:p w14:paraId="140B549D" w14:textId="77777777" w:rsidR="005A555C" w:rsidRPr="00BC6DC2" w:rsidRDefault="005A555C" w:rsidP="005A555C">
      <w:pPr>
        <w:rPr>
          <w:noProof/>
        </w:rPr>
      </w:pPr>
    </w:p>
    <w:p w14:paraId="11B9C0E9"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1E2A7520" w14:textId="77777777" w:rsidR="005A555C" w:rsidRDefault="005A555C" w:rsidP="005A555C">
      <w:pPr>
        <w:rPr>
          <w:noProof/>
        </w:rPr>
      </w:pPr>
    </w:p>
    <w:p w14:paraId="08D70CD1" w14:textId="77777777" w:rsidR="005A555C" w:rsidRDefault="005A555C" w:rsidP="005A555C">
      <w:pPr>
        <w:rPr>
          <w:noProof/>
        </w:rPr>
      </w:pPr>
    </w:p>
    <w:p w14:paraId="5DDC153B" w14:textId="77777777" w:rsidR="005A555C" w:rsidRPr="001F6423" w:rsidRDefault="005A555C" w:rsidP="00364B53">
      <w:pPr>
        <w:rPr>
          <w:noProof/>
        </w:rPr>
      </w:pPr>
    </w:p>
    <w:p w14:paraId="5F2752A5"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lastRenderedPageBreak/>
        <w:t>10.</w:t>
      </w:r>
      <w:r>
        <w:rPr>
          <w:b/>
        </w:rPr>
        <w:tab/>
        <w:t>POSEBNE MJERE ZA ZBRINJAVANJE NEISKORIŠTENOG LIJEKA ILI OTPADNIH MATERIJALA KOJI POTJEČU OD LIJEKA, AKO JE POTREBNO</w:t>
      </w:r>
    </w:p>
    <w:p w14:paraId="029A7875" w14:textId="77777777" w:rsidR="005A555C" w:rsidRPr="006B4557" w:rsidRDefault="005A555C" w:rsidP="005A555C">
      <w:pPr>
        <w:rPr>
          <w:noProof/>
        </w:rPr>
      </w:pPr>
    </w:p>
    <w:p w14:paraId="7B0BE549" w14:textId="77777777" w:rsidR="005A555C" w:rsidRPr="006B4557" w:rsidRDefault="005A555C" w:rsidP="005A555C">
      <w:pPr>
        <w:rPr>
          <w:noProof/>
        </w:rPr>
      </w:pPr>
    </w:p>
    <w:p w14:paraId="126817FD"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11.</w:t>
      </w:r>
      <w:r>
        <w:rPr>
          <w:b/>
        </w:rPr>
        <w:tab/>
        <w:t>NAZIV I ADRESA NOSITELJA ODOBRENJA ZA STAVLJANJE LIJEKA U PROMET</w:t>
      </w:r>
    </w:p>
    <w:p w14:paraId="3E6CEFB2" w14:textId="77777777" w:rsidR="005A555C" w:rsidRPr="006B4557" w:rsidRDefault="005A555C" w:rsidP="005A555C">
      <w:pPr>
        <w:rPr>
          <w:noProof/>
        </w:rPr>
      </w:pPr>
    </w:p>
    <w:p w14:paraId="74344EA3" w14:textId="77777777" w:rsidR="005A555C" w:rsidRPr="00993D25" w:rsidRDefault="005A555C" w:rsidP="005A555C">
      <w:r>
        <w:t>Accord Healthcare S.L.U.</w:t>
      </w:r>
    </w:p>
    <w:p w14:paraId="15B9AE4A" w14:textId="77777777" w:rsidR="005A555C" w:rsidRPr="00675D00" w:rsidRDefault="005A555C" w:rsidP="005A555C">
      <w:r>
        <w:t>World Trade Center, Moll de Barcelona s/n,</w:t>
      </w:r>
    </w:p>
    <w:p w14:paraId="0F601617" w14:textId="77777777" w:rsidR="005A555C" w:rsidRPr="00675D00" w:rsidRDefault="005A555C" w:rsidP="005A555C">
      <w:r>
        <w:t>Edifici Est, 6</w:t>
      </w:r>
      <w:r>
        <w:rPr>
          <w:vertAlign w:val="superscript"/>
        </w:rPr>
        <w:t>a</w:t>
      </w:r>
      <w:r>
        <w:t xml:space="preserve"> Planta</w:t>
      </w:r>
    </w:p>
    <w:p w14:paraId="743C3596" w14:textId="77777777" w:rsidR="005A555C" w:rsidRPr="00675D00" w:rsidRDefault="005A555C" w:rsidP="005A555C">
      <w:r>
        <w:t>08039 Barcelona</w:t>
      </w:r>
    </w:p>
    <w:p w14:paraId="44E0B567" w14:textId="77777777" w:rsidR="005A555C" w:rsidRPr="00675D00" w:rsidRDefault="005A555C" w:rsidP="005A555C">
      <w:r>
        <w:t>Španjolska</w:t>
      </w:r>
    </w:p>
    <w:p w14:paraId="7B9BF845" w14:textId="77777777" w:rsidR="005A555C" w:rsidRPr="00675D00" w:rsidRDefault="005A555C" w:rsidP="005A555C">
      <w:pPr>
        <w:rPr>
          <w:lang w:val="fr-FR"/>
        </w:rPr>
      </w:pPr>
    </w:p>
    <w:p w14:paraId="299076B0" w14:textId="77777777" w:rsidR="005A555C" w:rsidRPr="00675D00" w:rsidRDefault="005A555C" w:rsidP="005A555C">
      <w:pPr>
        <w:rPr>
          <w:lang w:val="fr-FR"/>
        </w:rPr>
      </w:pPr>
    </w:p>
    <w:p w14:paraId="26260F16"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1D1D8DF8" w14:textId="77777777" w:rsidR="005A555C" w:rsidRPr="006B4557" w:rsidRDefault="005A555C" w:rsidP="005A555C">
      <w:pPr>
        <w:rPr>
          <w:noProof/>
        </w:rPr>
      </w:pPr>
    </w:p>
    <w:p w14:paraId="45CECD87" w14:textId="77777777" w:rsidR="00A82B89" w:rsidRPr="00310EA0" w:rsidRDefault="00A82B89" w:rsidP="00A82B89">
      <w:pPr>
        <w:rPr>
          <w:lang w:val="pl-PL"/>
        </w:rPr>
      </w:pPr>
      <w:r w:rsidRPr="00310EA0">
        <w:rPr>
          <w:lang w:val="pl-PL"/>
        </w:rPr>
        <w:t>EU/1/24/1839/009</w:t>
      </w:r>
    </w:p>
    <w:p w14:paraId="29AF8FE8" w14:textId="77777777" w:rsidR="00A82B89" w:rsidRPr="00310EA0" w:rsidRDefault="00A82B89" w:rsidP="00A82B89">
      <w:pPr>
        <w:rPr>
          <w:lang w:val="pl-PL"/>
        </w:rPr>
      </w:pPr>
      <w:r w:rsidRPr="00310EA0">
        <w:rPr>
          <w:lang w:val="pl-PL"/>
        </w:rPr>
        <w:t>EU/1/24/1839/010</w:t>
      </w:r>
    </w:p>
    <w:p w14:paraId="4F308548" w14:textId="77777777" w:rsidR="00A82B89" w:rsidRPr="00310EA0" w:rsidRDefault="00A82B89" w:rsidP="00A82B89">
      <w:pPr>
        <w:rPr>
          <w:lang w:val="pl-PL"/>
        </w:rPr>
      </w:pPr>
      <w:r w:rsidRPr="00310EA0">
        <w:rPr>
          <w:lang w:val="pl-PL"/>
        </w:rPr>
        <w:t>EU/1/24/1839/011</w:t>
      </w:r>
    </w:p>
    <w:p w14:paraId="6355FF6D" w14:textId="18779F3F" w:rsidR="00A82B89" w:rsidRPr="00310EA0" w:rsidRDefault="00A82B89" w:rsidP="005A555C">
      <w:pPr>
        <w:rPr>
          <w:lang w:val="pl-PL"/>
        </w:rPr>
      </w:pPr>
      <w:r w:rsidRPr="00310EA0">
        <w:rPr>
          <w:lang w:val="pl-PL"/>
        </w:rPr>
        <w:t>EU/1/24/1839/012</w:t>
      </w:r>
    </w:p>
    <w:p w14:paraId="0E224795" w14:textId="06166F35" w:rsidR="00A82B89" w:rsidRPr="00310EA0" w:rsidRDefault="002513A1" w:rsidP="005A555C">
      <w:pPr>
        <w:rPr>
          <w:lang w:val="pl-PL"/>
        </w:rPr>
      </w:pPr>
      <w:r w:rsidRPr="00310EA0">
        <w:rPr>
          <w:lang w:val="pl-PL"/>
        </w:rPr>
        <w:t>EU/1/24/1839/027</w:t>
      </w:r>
    </w:p>
    <w:p w14:paraId="15A10465" w14:textId="6C33A3C2" w:rsidR="002C25D1" w:rsidRPr="00310EA0" w:rsidRDefault="002C25D1" w:rsidP="005A555C">
      <w:pPr>
        <w:rPr>
          <w:lang w:val="pl-PL"/>
        </w:rPr>
      </w:pPr>
    </w:p>
    <w:p w14:paraId="141E4CAE" w14:textId="77777777" w:rsidR="00C45327" w:rsidRPr="00310EA0" w:rsidRDefault="00C45327" w:rsidP="005A555C">
      <w:pPr>
        <w:rPr>
          <w:lang w:val="pl-PL"/>
        </w:rPr>
      </w:pPr>
    </w:p>
    <w:p w14:paraId="45EFD2F7" w14:textId="77777777" w:rsidR="005A555C" w:rsidRPr="00675D00" w:rsidRDefault="005A555C" w:rsidP="00B1654B">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1C7D325D" w14:textId="77777777" w:rsidR="005A555C" w:rsidRPr="00310EA0" w:rsidRDefault="005A555C" w:rsidP="005A555C">
      <w:pPr>
        <w:rPr>
          <w:lang w:val="pl-PL"/>
        </w:rPr>
      </w:pPr>
    </w:p>
    <w:p w14:paraId="01D8F8C4" w14:textId="3EA12BBF" w:rsidR="005A555C" w:rsidRPr="008C030F" w:rsidRDefault="002C3132" w:rsidP="005A555C">
      <w:pPr>
        <w:rPr>
          <w:noProof/>
        </w:rPr>
      </w:pPr>
      <w:r>
        <w:t>Lot</w:t>
      </w:r>
    </w:p>
    <w:p w14:paraId="7BCC2EA6" w14:textId="5D325062" w:rsidR="005A555C" w:rsidRDefault="005A555C" w:rsidP="005A555C">
      <w:pPr>
        <w:rPr>
          <w:noProof/>
        </w:rPr>
      </w:pPr>
    </w:p>
    <w:p w14:paraId="6E42BA8E" w14:textId="77777777" w:rsidR="002C25D1" w:rsidRPr="006B4557" w:rsidRDefault="002C25D1" w:rsidP="005A555C">
      <w:pPr>
        <w:rPr>
          <w:noProof/>
        </w:rPr>
      </w:pPr>
    </w:p>
    <w:p w14:paraId="63268007"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570A88B3" w14:textId="77777777" w:rsidR="005A555C" w:rsidRPr="006B4557" w:rsidRDefault="005A555C" w:rsidP="005A555C">
      <w:pPr>
        <w:rPr>
          <w:i/>
          <w:noProof/>
        </w:rPr>
      </w:pPr>
    </w:p>
    <w:p w14:paraId="4A2B140B" w14:textId="77777777" w:rsidR="005A555C" w:rsidRPr="00B3208E" w:rsidRDefault="005A555C" w:rsidP="005A555C">
      <w:pPr>
        <w:rPr>
          <w:noProof/>
        </w:rPr>
      </w:pPr>
    </w:p>
    <w:p w14:paraId="71ACBBBD" w14:textId="77777777" w:rsidR="005A555C" w:rsidRPr="00A26F79" w:rsidRDefault="005A555C" w:rsidP="00B1654B">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0AAB4863" w14:textId="77777777" w:rsidR="005A555C" w:rsidRPr="008225EB" w:rsidRDefault="005A555C" w:rsidP="005A555C">
      <w:pPr>
        <w:rPr>
          <w:noProof/>
        </w:rPr>
      </w:pPr>
    </w:p>
    <w:p w14:paraId="6804A1DA" w14:textId="77777777" w:rsidR="005A555C" w:rsidRPr="008225EB" w:rsidRDefault="005A555C" w:rsidP="005A555C">
      <w:pPr>
        <w:rPr>
          <w:noProof/>
        </w:rPr>
      </w:pPr>
    </w:p>
    <w:p w14:paraId="14C228A0" w14:textId="77777777" w:rsidR="005A555C" w:rsidRPr="006B4557" w:rsidRDefault="005A555C" w:rsidP="00B1654B">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779D4256" w14:textId="77777777" w:rsidR="005A555C" w:rsidRPr="007B42D3" w:rsidRDefault="005A555C" w:rsidP="005A555C">
      <w:pPr>
        <w:rPr>
          <w:noProof/>
        </w:rPr>
      </w:pPr>
    </w:p>
    <w:p w14:paraId="6706D0A1" w14:textId="77777777" w:rsidR="005A555C" w:rsidRDefault="005A555C" w:rsidP="005A555C">
      <w:r>
        <w:t>Dasatinib Accord Healthcare 70 mg</w:t>
      </w:r>
    </w:p>
    <w:p w14:paraId="0B7EA634" w14:textId="77777777" w:rsidR="005A555C" w:rsidRPr="00675D00" w:rsidRDefault="005A555C" w:rsidP="005A555C">
      <w:pPr>
        <w:rPr>
          <w:b/>
        </w:rPr>
      </w:pPr>
    </w:p>
    <w:p w14:paraId="14BADA15" w14:textId="77777777" w:rsidR="005A555C" w:rsidRPr="00067B16" w:rsidRDefault="005A555C" w:rsidP="005A555C">
      <w:pPr>
        <w:rPr>
          <w:noProof/>
          <w:shd w:val="clear" w:color="auto" w:fill="CCCCCC"/>
        </w:rPr>
      </w:pPr>
    </w:p>
    <w:p w14:paraId="5F4D0C27" w14:textId="77777777" w:rsidR="005A555C" w:rsidRPr="00C937E7" w:rsidRDefault="005A555C" w:rsidP="005A555C">
      <w:pPr>
        <w:pBdr>
          <w:top w:val="single" w:sz="4" w:space="1" w:color="auto"/>
          <w:left w:val="single" w:sz="4" w:space="4" w:color="auto"/>
          <w:bottom w:val="single" w:sz="4" w:space="0" w:color="auto"/>
          <w:right w:val="single" w:sz="4" w:space="4" w:color="auto"/>
        </w:pBdr>
        <w:rPr>
          <w:i/>
          <w:noProof/>
        </w:rPr>
      </w:pPr>
      <w:r>
        <w:rPr>
          <w:b/>
        </w:rPr>
        <w:t>17.</w:t>
      </w:r>
      <w:r>
        <w:rPr>
          <w:b/>
        </w:rPr>
        <w:tab/>
        <w:t>JEDINSTVENI IDENTIFIKATOR – 2D BARKOD</w:t>
      </w:r>
    </w:p>
    <w:p w14:paraId="29D81AAC" w14:textId="77777777" w:rsidR="005A555C" w:rsidRPr="00C937E7" w:rsidRDefault="005A555C" w:rsidP="005A555C">
      <w:pPr>
        <w:rPr>
          <w:noProof/>
        </w:rPr>
      </w:pPr>
    </w:p>
    <w:p w14:paraId="6283FE8A" w14:textId="77777777" w:rsidR="005A555C" w:rsidRPr="00C937E7" w:rsidRDefault="005A555C" w:rsidP="005A555C">
      <w:pPr>
        <w:rPr>
          <w:noProof/>
          <w:shd w:val="clear" w:color="auto" w:fill="CCCCCC"/>
        </w:rPr>
      </w:pPr>
      <w:r>
        <w:rPr>
          <w:shd w:val="clear" w:color="auto" w:fill="CCCCCC"/>
        </w:rPr>
        <w:t>Sadrži 2D barkod s jedinstvenim identifikatorom.</w:t>
      </w:r>
    </w:p>
    <w:p w14:paraId="7CC8EDF6" w14:textId="77777777" w:rsidR="005A555C" w:rsidRDefault="005A555C" w:rsidP="005A555C">
      <w:pPr>
        <w:rPr>
          <w:noProof/>
        </w:rPr>
      </w:pPr>
    </w:p>
    <w:p w14:paraId="435E03E8" w14:textId="77777777" w:rsidR="005A555C" w:rsidRPr="00C937E7" w:rsidRDefault="005A555C" w:rsidP="005A555C">
      <w:pPr>
        <w:rPr>
          <w:noProof/>
        </w:rPr>
      </w:pPr>
    </w:p>
    <w:p w14:paraId="08C8B9C5" w14:textId="77777777" w:rsidR="005A555C" w:rsidRPr="00C937E7" w:rsidRDefault="005A555C" w:rsidP="005A555C">
      <w:pPr>
        <w:pBdr>
          <w:top w:val="single" w:sz="4" w:space="1" w:color="auto"/>
          <w:left w:val="single" w:sz="4" w:space="4" w:color="auto"/>
          <w:bottom w:val="single" w:sz="4" w:space="0" w:color="auto"/>
          <w:right w:val="single" w:sz="4" w:space="4" w:color="auto"/>
        </w:pBdr>
        <w:rPr>
          <w:i/>
          <w:noProof/>
        </w:rPr>
      </w:pPr>
      <w:r>
        <w:rPr>
          <w:b/>
        </w:rPr>
        <w:t>18.</w:t>
      </w:r>
      <w:r>
        <w:rPr>
          <w:b/>
        </w:rPr>
        <w:tab/>
        <w:t>JEDINSTVENI IDENTIFIKATOR – PODACI ČITLJIVI LJUDSKIM OKOM</w:t>
      </w:r>
    </w:p>
    <w:p w14:paraId="178B6FEB" w14:textId="77777777" w:rsidR="005A555C" w:rsidRDefault="005A555C" w:rsidP="005A555C">
      <w:pPr>
        <w:rPr>
          <w:noProof/>
        </w:rPr>
      </w:pPr>
    </w:p>
    <w:p w14:paraId="5B514A6F" w14:textId="77777777" w:rsidR="005A555C" w:rsidRPr="00923D99" w:rsidRDefault="005A555C" w:rsidP="005A555C">
      <w:r>
        <w:t>PC</w:t>
      </w:r>
    </w:p>
    <w:p w14:paraId="58A169C7" w14:textId="77777777" w:rsidR="005A555C" w:rsidRPr="00923D99" w:rsidRDefault="005A555C" w:rsidP="005A555C">
      <w:r>
        <w:t>SN</w:t>
      </w:r>
    </w:p>
    <w:p w14:paraId="4363CEE2" w14:textId="77777777" w:rsidR="005A555C" w:rsidRPr="00923D99" w:rsidRDefault="005A555C" w:rsidP="005A555C">
      <w:r>
        <w:t>NN</w:t>
      </w:r>
    </w:p>
    <w:p w14:paraId="67049AE7" w14:textId="77777777" w:rsidR="005A555C" w:rsidRPr="00A26F79" w:rsidRDefault="005A555C" w:rsidP="005A555C">
      <w:pPr>
        <w:rPr>
          <w:noProof/>
          <w:shd w:val="clear" w:color="auto" w:fill="CCCCCC"/>
        </w:rPr>
      </w:pPr>
    </w:p>
    <w:p w14:paraId="36B771DA" w14:textId="77777777" w:rsidR="005A555C" w:rsidRPr="008225EB" w:rsidRDefault="005A555C" w:rsidP="005A555C">
      <w:pPr>
        <w:rPr>
          <w:b/>
          <w:noProof/>
        </w:rPr>
      </w:pPr>
      <w:r>
        <w:br w:type="page"/>
      </w:r>
    </w:p>
    <w:p w14:paraId="36977B2F"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6C5D7C62" w14:textId="77777777"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5979B249" w14:textId="3B78325F"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B1654B">
        <w:rPr>
          <w:b/>
        </w:rPr>
        <w:t>I</w:t>
      </w:r>
      <w:r>
        <w:rPr>
          <w:b/>
        </w:rPr>
        <w:t xml:space="preserve"> BLISTER </w:t>
      </w:r>
      <w:r w:rsidR="00B1654B">
        <w:rPr>
          <w:b/>
        </w:rPr>
        <w:t>S</w:t>
      </w:r>
      <w:r>
        <w:rPr>
          <w:b/>
        </w:rPr>
        <w:t xml:space="preserve"> JEDINIČN</w:t>
      </w:r>
      <w:r w:rsidR="00B1654B">
        <w:rPr>
          <w:b/>
        </w:rPr>
        <w:t>IM</w:t>
      </w:r>
      <w:r>
        <w:rPr>
          <w:b/>
        </w:rPr>
        <w:t xml:space="preserve"> DOZ</w:t>
      </w:r>
      <w:r w:rsidR="00B1654B">
        <w:rPr>
          <w:b/>
        </w:rPr>
        <w:t>AMA</w:t>
      </w:r>
      <w:r>
        <w:rPr>
          <w:b/>
        </w:rPr>
        <w:t xml:space="preserve"> </w:t>
      </w:r>
    </w:p>
    <w:p w14:paraId="2CB98FEF" w14:textId="77777777" w:rsidR="005A555C" w:rsidRPr="00412450" w:rsidRDefault="005A555C" w:rsidP="005A555C">
      <w:pPr>
        <w:rPr>
          <w:noProof/>
        </w:rPr>
      </w:pPr>
    </w:p>
    <w:p w14:paraId="65D38F80" w14:textId="77777777" w:rsidR="005A555C" w:rsidRPr="00412450" w:rsidRDefault="005A555C" w:rsidP="005A555C">
      <w:pPr>
        <w:rPr>
          <w:noProof/>
        </w:rPr>
      </w:pPr>
    </w:p>
    <w:p w14:paraId="00350CE0" w14:textId="77777777" w:rsidR="005A555C" w:rsidRPr="00EB595B" w:rsidRDefault="005A555C" w:rsidP="00B1654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w:t>
      </w:r>
      <w:r>
        <w:rPr>
          <w:b/>
        </w:rPr>
        <w:tab/>
        <w:t>NAZIV LIJEKA</w:t>
      </w:r>
    </w:p>
    <w:p w14:paraId="0E3BAC05" w14:textId="77777777" w:rsidR="005A555C" w:rsidRPr="008A1008" w:rsidRDefault="005A555C" w:rsidP="005A555C">
      <w:pPr>
        <w:rPr>
          <w:i/>
          <w:noProof/>
        </w:rPr>
      </w:pPr>
    </w:p>
    <w:p w14:paraId="2242E99A" w14:textId="77777777" w:rsidR="005A555C" w:rsidRDefault="005A555C" w:rsidP="005A555C">
      <w:r>
        <w:t>Dasatinib Accord Healthcare 70 mg tablete</w:t>
      </w:r>
    </w:p>
    <w:p w14:paraId="7C087A1C" w14:textId="77777777" w:rsidR="005A555C" w:rsidRPr="006B4557" w:rsidRDefault="005A555C" w:rsidP="005A555C">
      <w:r>
        <w:t>dasatinib</w:t>
      </w:r>
    </w:p>
    <w:p w14:paraId="6C418D4A" w14:textId="77777777" w:rsidR="005A555C" w:rsidRDefault="005A555C" w:rsidP="005A555C"/>
    <w:p w14:paraId="29D6394F" w14:textId="77777777" w:rsidR="005A555C" w:rsidRPr="006B4557" w:rsidRDefault="005A555C" w:rsidP="005A555C"/>
    <w:p w14:paraId="1A61550E"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2308CD42" w14:textId="77777777" w:rsidR="005A555C" w:rsidRPr="00BC6DC2" w:rsidRDefault="005A555C" w:rsidP="005A555C">
      <w:pPr>
        <w:rPr>
          <w:noProof/>
        </w:rPr>
      </w:pPr>
    </w:p>
    <w:p w14:paraId="23B72848" w14:textId="77777777" w:rsidR="005A555C" w:rsidRPr="001F6423" w:rsidRDefault="005A555C" w:rsidP="005A555C">
      <w:pPr>
        <w:rPr>
          <w:noProof/>
        </w:rPr>
      </w:pPr>
      <w:r>
        <w:t>Accord</w:t>
      </w:r>
    </w:p>
    <w:p w14:paraId="44911AB0" w14:textId="77777777" w:rsidR="005A555C" w:rsidRDefault="005A555C" w:rsidP="005A555C">
      <w:pPr>
        <w:rPr>
          <w:noProof/>
        </w:rPr>
      </w:pPr>
    </w:p>
    <w:p w14:paraId="0DB9A530" w14:textId="77777777" w:rsidR="005A555C" w:rsidRPr="001F6423" w:rsidRDefault="005A555C" w:rsidP="005A555C">
      <w:pPr>
        <w:rPr>
          <w:noProof/>
        </w:rPr>
      </w:pPr>
    </w:p>
    <w:p w14:paraId="2602CE59" w14:textId="77777777" w:rsidR="005A555C" w:rsidRPr="006B4557" w:rsidRDefault="005A555C" w:rsidP="00B1654B">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54B2F0BE" w14:textId="77777777" w:rsidR="005A555C" w:rsidRPr="006B4557" w:rsidRDefault="005A555C" w:rsidP="005A555C">
      <w:pPr>
        <w:rPr>
          <w:noProof/>
        </w:rPr>
      </w:pPr>
    </w:p>
    <w:p w14:paraId="6FCA7CA4" w14:textId="77777777" w:rsidR="005A555C" w:rsidRDefault="005A555C" w:rsidP="005A555C">
      <w:pPr>
        <w:rPr>
          <w:noProof/>
        </w:rPr>
      </w:pPr>
      <w:r>
        <w:t>EXP</w:t>
      </w:r>
    </w:p>
    <w:p w14:paraId="461C94B1" w14:textId="77777777" w:rsidR="005A555C" w:rsidRDefault="005A555C" w:rsidP="005A555C">
      <w:pPr>
        <w:rPr>
          <w:noProof/>
        </w:rPr>
      </w:pPr>
    </w:p>
    <w:p w14:paraId="5181208B" w14:textId="77777777" w:rsidR="005A555C" w:rsidRPr="006B4557" w:rsidRDefault="005A555C" w:rsidP="005A555C">
      <w:pPr>
        <w:rPr>
          <w:noProof/>
        </w:rPr>
      </w:pPr>
    </w:p>
    <w:p w14:paraId="61CA50F5"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2990A664" w14:textId="77777777" w:rsidR="005A555C" w:rsidRPr="006B4557" w:rsidRDefault="005A555C" w:rsidP="005A555C">
      <w:pPr>
        <w:rPr>
          <w:noProof/>
        </w:rPr>
      </w:pPr>
    </w:p>
    <w:p w14:paraId="58A4EA60" w14:textId="5E918450" w:rsidR="005A555C" w:rsidRDefault="002C3132" w:rsidP="005A555C">
      <w:pPr>
        <w:rPr>
          <w:noProof/>
        </w:rPr>
      </w:pPr>
      <w:r>
        <w:t>Lot</w:t>
      </w:r>
    </w:p>
    <w:p w14:paraId="49C04ED3" w14:textId="10FBDC90" w:rsidR="005A555C" w:rsidRDefault="005A555C" w:rsidP="005A555C">
      <w:pPr>
        <w:rPr>
          <w:noProof/>
        </w:rPr>
      </w:pPr>
    </w:p>
    <w:p w14:paraId="29494745" w14:textId="77777777" w:rsidR="002C25D1" w:rsidRPr="006B4557" w:rsidRDefault="002C25D1" w:rsidP="005A555C">
      <w:pPr>
        <w:rPr>
          <w:noProof/>
        </w:rPr>
      </w:pPr>
    </w:p>
    <w:p w14:paraId="719CC858" w14:textId="77777777" w:rsidR="005A555C" w:rsidRPr="006B4557" w:rsidRDefault="005A555C" w:rsidP="00B1654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26BED40D" w14:textId="77777777" w:rsidR="005A555C" w:rsidRPr="006B4557" w:rsidRDefault="005A555C" w:rsidP="005A555C">
      <w:pPr>
        <w:rPr>
          <w:noProof/>
        </w:rPr>
      </w:pPr>
    </w:p>
    <w:p w14:paraId="7F77C44E" w14:textId="13B95DB8" w:rsidR="005A555C" w:rsidRPr="006B4557" w:rsidRDefault="00FB698A" w:rsidP="005A555C">
      <w:pPr>
        <w:shd w:val="clear" w:color="auto" w:fill="FFFFFF"/>
        <w:rPr>
          <w:noProof/>
        </w:rPr>
      </w:pPr>
      <w:r w:rsidRPr="000A0E58">
        <w:rPr>
          <w:highlight w:val="lightGray"/>
        </w:rPr>
        <w:t>Primjena kroz usta.</w:t>
      </w:r>
      <w:r w:rsidR="005A555C">
        <w:br w:type="page"/>
      </w:r>
    </w:p>
    <w:p w14:paraId="30B2F3C0"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 xml:space="preserve">PODACI KOJI SE MORAJU NALAZITI NA VANJSKOM PAKIRANJU </w:t>
      </w:r>
    </w:p>
    <w:p w14:paraId="5C3DD9B3"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4BD596C5" w14:textId="623D84FC" w:rsidR="005A555C" w:rsidRPr="006B4557" w:rsidRDefault="001C1CFF" w:rsidP="005A555C">
      <w:pPr>
        <w:pBdr>
          <w:top w:val="single" w:sz="4" w:space="1" w:color="auto"/>
          <w:left w:val="single" w:sz="4" w:space="4" w:color="auto"/>
          <w:bottom w:val="single" w:sz="4" w:space="1" w:color="auto"/>
          <w:right w:val="single" w:sz="4" w:space="4" w:color="auto"/>
        </w:pBdr>
        <w:rPr>
          <w:bCs/>
          <w:noProof/>
        </w:rPr>
      </w:pPr>
      <w:r>
        <w:rPr>
          <w:b/>
        </w:rPr>
        <w:t xml:space="preserve">VANJSKA </w:t>
      </w:r>
      <w:r w:rsidR="005A555C">
        <w:rPr>
          <w:b/>
        </w:rPr>
        <w:t>KUTIJA</w:t>
      </w:r>
    </w:p>
    <w:p w14:paraId="5C05EF3D" w14:textId="77777777" w:rsidR="005A555C" w:rsidRPr="006B4557" w:rsidRDefault="005A555C" w:rsidP="005A555C"/>
    <w:p w14:paraId="6AB7D1AC" w14:textId="77777777" w:rsidR="005A555C" w:rsidRPr="006C6114" w:rsidRDefault="005A555C" w:rsidP="005A555C">
      <w:pPr>
        <w:rPr>
          <w:noProof/>
        </w:rPr>
      </w:pPr>
    </w:p>
    <w:p w14:paraId="28F39D82"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24EE5EE4" w14:textId="77777777" w:rsidR="005A555C" w:rsidRPr="00BC6DC2" w:rsidRDefault="005A555C" w:rsidP="005A555C">
      <w:pPr>
        <w:rPr>
          <w:noProof/>
        </w:rPr>
      </w:pPr>
    </w:p>
    <w:p w14:paraId="67BB226C" w14:textId="77777777" w:rsidR="005A555C" w:rsidRPr="006B4557" w:rsidRDefault="005A555C" w:rsidP="005A555C">
      <w:pPr>
        <w:rPr>
          <w:noProof/>
        </w:rPr>
      </w:pPr>
      <w:r>
        <w:t>Dasatinib Accord Healthcare 80 mg filmom obložene tablete</w:t>
      </w:r>
    </w:p>
    <w:p w14:paraId="11248206" w14:textId="77777777" w:rsidR="005A555C" w:rsidRPr="00067B16" w:rsidRDefault="005A555C" w:rsidP="005A555C">
      <w:pPr>
        <w:rPr>
          <w:b/>
        </w:rPr>
      </w:pPr>
      <w:r>
        <w:t>dasatinib</w:t>
      </w:r>
    </w:p>
    <w:p w14:paraId="409CCC2A" w14:textId="77777777" w:rsidR="005A555C" w:rsidRPr="00067B16" w:rsidRDefault="005A555C" w:rsidP="005A555C">
      <w:pPr>
        <w:rPr>
          <w:noProof/>
        </w:rPr>
      </w:pPr>
    </w:p>
    <w:p w14:paraId="5A5132A2" w14:textId="77777777" w:rsidR="005A555C" w:rsidRPr="00B3208E" w:rsidRDefault="005A555C" w:rsidP="005A555C">
      <w:pPr>
        <w:rPr>
          <w:noProof/>
        </w:rPr>
      </w:pPr>
    </w:p>
    <w:p w14:paraId="781066B6"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2841499B" w14:textId="77777777" w:rsidR="005A555C" w:rsidRPr="006B4557" w:rsidRDefault="005A555C" w:rsidP="005A555C">
      <w:pPr>
        <w:rPr>
          <w:noProof/>
        </w:rPr>
      </w:pPr>
    </w:p>
    <w:p w14:paraId="6BB191F4" w14:textId="547E0A06" w:rsidR="005A555C" w:rsidRPr="00B3208E" w:rsidRDefault="005A555C" w:rsidP="005A555C">
      <w:pPr>
        <w:rPr>
          <w:noProof/>
        </w:rPr>
      </w:pPr>
      <w:r>
        <w:t xml:space="preserve">Jedna filmom obložena tableta sadrži 80 mg dasatiniba (u obliku </w:t>
      </w:r>
      <w:r w:rsidR="0019067D">
        <w:t>dasatinib</w:t>
      </w:r>
      <w:r w:rsidR="00101663">
        <w:t xml:space="preserve"> </w:t>
      </w:r>
      <w:r>
        <w:t>hidrata).</w:t>
      </w:r>
    </w:p>
    <w:p w14:paraId="163924E5" w14:textId="77777777" w:rsidR="005A555C" w:rsidRPr="00F0280B" w:rsidRDefault="005A555C" w:rsidP="005A555C">
      <w:pPr>
        <w:rPr>
          <w:noProof/>
        </w:rPr>
      </w:pPr>
    </w:p>
    <w:p w14:paraId="2949245C" w14:textId="77777777" w:rsidR="005A555C" w:rsidRPr="00A26F79" w:rsidRDefault="005A555C" w:rsidP="005A555C">
      <w:pPr>
        <w:rPr>
          <w:noProof/>
        </w:rPr>
      </w:pPr>
    </w:p>
    <w:p w14:paraId="7604959D"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28ECB115" w14:textId="77777777" w:rsidR="005A555C" w:rsidRPr="00A3136F" w:rsidRDefault="005A555C" w:rsidP="005A555C">
      <w:pPr>
        <w:rPr>
          <w:noProof/>
        </w:rPr>
      </w:pPr>
    </w:p>
    <w:p w14:paraId="1B522EA6" w14:textId="0D31296D" w:rsidR="005A555C" w:rsidRDefault="005A555C" w:rsidP="005A555C">
      <w:pPr>
        <w:rPr>
          <w:noProof/>
        </w:rPr>
      </w:pPr>
      <w:r>
        <w:t>Pomoćne tvari: sadrži laktozu</w:t>
      </w:r>
      <w:r w:rsidR="00101663">
        <w:t>.</w:t>
      </w:r>
      <w:r>
        <w:t xml:space="preserve"> </w:t>
      </w:r>
    </w:p>
    <w:p w14:paraId="3AD45CBD" w14:textId="77777777" w:rsidR="005A555C" w:rsidRDefault="005A555C" w:rsidP="005A555C">
      <w:pPr>
        <w:rPr>
          <w:noProof/>
        </w:rPr>
      </w:pPr>
      <w:r>
        <w:rPr>
          <w:highlight w:val="lightGray"/>
        </w:rPr>
        <w:t>Za dodatne informacije vidjeti uputu o lijeku.</w:t>
      </w:r>
    </w:p>
    <w:p w14:paraId="7FF68E9B" w14:textId="77777777" w:rsidR="005A555C" w:rsidRDefault="005A555C" w:rsidP="005A555C">
      <w:pPr>
        <w:rPr>
          <w:noProof/>
        </w:rPr>
      </w:pPr>
    </w:p>
    <w:p w14:paraId="30C9C93E" w14:textId="77777777" w:rsidR="005A555C" w:rsidRPr="000643D3" w:rsidRDefault="005A555C" w:rsidP="005A555C">
      <w:pPr>
        <w:rPr>
          <w:noProof/>
        </w:rPr>
      </w:pPr>
    </w:p>
    <w:p w14:paraId="483A2FF5"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7B4E9B13" w14:textId="77777777" w:rsidR="005A555C" w:rsidRDefault="005A555C" w:rsidP="005A555C">
      <w:pPr>
        <w:rPr>
          <w:noProof/>
        </w:rPr>
      </w:pPr>
    </w:p>
    <w:p w14:paraId="45834456" w14:textId="77777777" w:rsidR="005A555C" w:rsidRDefault="005A555C" w:rsidP="005A555C">
      <w:r>
        <w:rPr>
          <w:highlight w:val="lightGray"/>
        </w:rPr>
        <w:t>30 filmom obloženih tableta</w:t>
      </w:r>
    </w:p>
    <w:p w14:paraId="20971025" w14:textId="7DD3DFC9" w:rsidR="003455F4" w:rsidRPr="00F0280B" w:rsidRDefault="003455F4" w:rsidP="005A555C">
      <w:pPr>
        <w:rPr>
          <w:noProof/>
        </w:rPr>
      </w:pPr>
      <w:r w:rsidRPr="002C3132">
        <w:rPr>
          <w:highlight w:val="lightGray"/>
        </w:rPr>
        <w:t>56 filmom obloženih tableta</w:t>
      </w:r>
    </w:p>
    <w:p w14:paraId="57E166F7" w14:textId="2FF204B1" w:rsidR="005A555C" w:rsidRPr="0050753A" w:rsidRDefault="003455F4" w:rsidP="005A555C">
      <w:pPr>
        <w:rPr>
          <w:noProof/>
          <w:highlight w:val="lightGray"/>
        </w:rPr>
      </w:pPr>
      <w:r>
        <w:rPr>
          <w:highlight w:val="lightGray"/>
        </w:rPr>
        <w:t>30</w:t>
      </w:r>
      <w:r w:rsidR="005A555C">
        <w:rPr>
          <w:highlight w:val="lightGray"/>
        </w:rPr>
        <w:t xml:space="preserve"> x 1 filmom obložena tableta</w:t>
      </w:r>
    </w:p>
    <w:p w14:paraId="390C7764" w14:textId="796B2F2C" w:rsidR="000D43D3" w:rsidRDefault="003455F4" w:rsidP="005A555C">
      <w:pPr>
        <w:rPr>
          <w:noProof/>
        </w:rPr>
      </w:pPr>
      <w:r>
        <w:rPr>
          <w:highlight w:val="lightGray"/>
        </w:rPr>
        <w:t>56</w:t>
      </w:r>
      <w:r w:rsidR="005A555C">
        <w:rPr>
          <w:highlight w:val="lightGray"/>
        </w:rPr>
        <w:t xml:space="preserve"> x 1 filmom obložena tableta</w:t>
      </w:r>
    </w:p>
    <w:p w14:paraId="7C90C2EC" w14:textId="77777777" w:rsidR="000D43D3" w:rsidRPr="00CB0F2E" w:rsidRDefault="000D43D3" w:rsidP="000D43D3">
      <w:pPr>
        <w:rPr>
          <w:noProof/>
        </w:rPr>
      </w:pPr>
      <w:r w:rsidRPr="0046674A">
        <w:rPr>
          <w:highlight w:val="lightGray"/>
        </w:rPr>
        <w:t>10 x 1 filmom obložena tableta</w:t>
      </w:r>
    </w:p>
    <w:p w14:paraId="20FD8DCA" w14:textId="697064C8" w:rsidR="005A555C" w:rsidRDefault="005A555C" w:rsidP="005A555C">
      <w:pPr>
        <w:rPr>
          <w:noProof/>
        </w:rPr>
      </w:pPr>
    </w:p>
    <w:p w14:paraId="17D747FE" w14:textId="77777777" w:rsidR="00C45327" w:rsidRPr="007B42D3" w:rsidRDefault="00C45327" w:rsidP="005A555C">
      <w:pPr>
        <w:rPr>
          <w:noProof/>
        </w:rPr>
      </w:pPr>
    </w:p>
    <w:p w14:paraId="3A3540C5" w14:textId="77777777" w:rsidR="005A555C" w:rsidRPr="00067B16"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5.</w:t>
      </w:r>
      <w:r>
        <w:rPr>
          <w:b/>
        </w:rPr>
        <w:tab/>
        <w:t>NAČIN I PUT(EVI) PRIMJENE LIJEKA</w:t>
      </w:r>
    </w:p>
    <w:p w14:paraId="28029CDC" w14:textId="77777777" w:rsidR="005A555C" w:rsidRPr="006B4557" w:rsidRDefault="005A555C" w:rsidP="005A555C">
      <w:pPr>
        <w:rPr>
          <w:noProof/>
        </w:rPr>
      </w:pPr>
    </w:p>
    <w:p w14:paraId="07486EDB" w14:textId="77777777" w:rsidR="005A555C" w:rsidRDefault="005A555C" w:rsidP="005A555C">
      <w:pPr>
        <w:rPr>
          <w:noProof/>
        </w:rPr>
      </w:pPr>
      <w:r>
        <w:t>Prije uporabe pročitajte uputu o lijeku.</w:t>
      </w:r>
    </w:p>
    <w:p w14:paraId="00D16D40" w14:textId="77777777" w:rsidR="005A555C" w:rsidRPr="007B42D3" w:rsidRDefault="005A555C" w:rsidP="005A555C">
      <w:pPr>
        <w:rPr>
          <w:noProof/>
        </w:rPr>
      </w:pPr>
      <w:r>
        <w:t>Primjena kroz usta.</w:t>
      </w:r>
    </w:p>
    <w:p w14:paraId="7D58F1BC" w14:textId="77777777" w:rsidR="005A555C" w:rsidRPr="00067B16" w:rsidRDefault="005A555C" w:rsidP="005A555C">
      <w:pPr>
        <w:rPr>
          <w:noProof/>
        </w:rPr>
      </w:pPr>
    </w:p>
    <w:p w14:paraId="583EB00F" w14:textId="77777777" w:rsidR="005A555C" w:rsidRPr="00067B16" w:rsidRDefault="005A555C" w:rsidP="005A555C">
      <w:pPr>
        <w:rPr>
          <w:noProof/>
        </w:rPr>
      </w:pPr>
    </w:p>
    <w:p w14:paraId="77F51114"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0F9D201C" w14:textId="77777777" w:rsidR="005A555C" w:rsidRPr="008225EB" w:rsidRDefault="005A555C" w:rsidP="005A555C">
      <w:pPr>
        <w:rPr>
          <w:noProof/>
        </w:rPr>
      </w:pPr>
    </w:p>
    <w:p w14:paraId="19E57EC2" w14:textId="77777777" w:rsidR="005A555C" w:rsidRPr="008225EB" w:rsidRDefault="005A555C" w:rsidP="005A555C">
      <w:pPr>
        <w:outlineLvl w:val="0"/>
        <w:rPr>
          <w:noProof/>
        </w:rPr>
      </w:pPr>
      <w:r>
        <w:t>Čuvati izvan pogleda i dohvata djece.</w:t>
      </w:r>
    </w:p>
    <w:p w14:paraId="143C8EE1" w14:textId="77777777" w:rsidR="005A555C" w:rsidRPr="00A3136F" w:rsidRDefault="005A555C" w:rsidP="005A555C">
      <w:pPr>
        <w:rPr>
          <w:noProof/>
        </w:rPr>
      </w:pPr>
    </w:p>
    <w:p w14:paraId="7241FC44" w14:textId="77777777" w:rsidR="005A555C" w:rsidRPr="000643D3" w:rsidRDefault="005A555C" w:rsidP="005A555C">
      <w:pPr>
        <w:rPr>
          <w:noProof/>
        </w:rPr>
      </w:pPr>
    </w:p>
    <w:p w14:paraId="6877B530"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536ECF46" w14:textId="77777777" w:rsidR="005A555C" w:rsidRPr="006B4557" w:rsidRDefault="005A555C" w:rsidP="005A555C">
      <w:pPr>
        <w:tabs>
          <w:tab w:val="left" w:pos="749"/>
        </w:tabs>
      </w:pPr>
    </w:p>
    <w:p w14:paraId="5D128C4A" w14:textId="77777777" w:rsidR="005A555C" w:rsidRPr="006B4557" w:rsidRDefault="005A555C" w:rsidP="005A555C">
      <w:pPr>
        <w:tabs>
          <w:tab w:val="left" w:pos="749"/>
        </w:tabs>
      </w:pPr>
    </w:p>
    <w:p w14:paraId="2B9CE73F"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3D603919" w14:textId="77777777" w:rsidR="005A555C" w:rsidRPr="006B4557" w:rsidRDefault="005A555C" w:rsidP="005A555C"/>
    <w:p w14:paraId="2F7B4C6C" w14:textId="77777777" w:rsidR="005A555C" w:rsidRDefault="005A555C" w:rsidP="005A555C">
      <w:pPr>
        <w:rPr>
          <w:noProof/>
        </w:rPr>
      </w:pPr>
      <w:r>
        <w:t>EXP</w:t>
      </w:r>
    </w:p>
    <w:p w14:paraId="282FAAFF" w14:textId="77777777" w:rsidR="005A555C" w:rsidRDefault="005A555C" w:rsidP="005A555C">
      <w:pPr>
        <w:rPr>
          <w:noProof/>
        </w:rPr>
      </w:pPr>
    </w:p>
    <w:p w14:paraId="47BFB15B" w14:textId="77777777" w:rsidR="005A555C" w:rsidRPr="00BC6DC2" w:rsidRDefault="005A555C" w:rsidP="005A555C">
      <w:pPr>
        <w:rPr>
          <w:noProof/>
        </w:rPr>
      </w:pPr>
    </w:p>
    <w:p w14:paraId="2003DD28"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4F480CFD" w14:textId="77777777" w:rsidR="005A555C" w:rsidRPr="001F6423" w:rsidRDefault="005A555C" w:rsidP="005A555C">
      <w:pPr>
        <w:rPr>
          <w:noProof/>
        </w:rPr>
      </w:pPr>
    </w:p>
    <w:p w14:paraId="1A272E5D" w14:textId="77777777" w:rsidR="005A555C" w:rsidRDefault="005A555C" w:rsidP="005A555C">
      <w:pPr>
        <w:ind w:left="567" w:hanging="567"/>
        <w:rPr>
          <w:noProof/>
        </w:rPr>
      </w:pPr>
    </w:p>
    <w:p w14:paraId="1CA0E268" w14:textId="77777777" w:rsidR="005A555C" w:rsidRPr="001F6423" w:rsidRDefault="005A555C" w:rsidP="00364B53">
      <w:pPr>
        <w:rPr>
          <w:noProof/>
        </w:rPr>
      </w:pPr>
    </w:p>
    <w:p w14:paraId="6C2A6133"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lastRenderedPageBreak/>
        <w:t>10.</w:t>
      </w:r>
      <w:r>
        <w:rPr>
          <w:b/>
        </w:rPr>
        <w:tab/>
        <w:t>POSEBNE MJERE ZA ZBRINJAVANJE NEISKORIŠTENOG LIJEKA ILI OTPADNIH MATERIJALA KOJI POTJEČU OD LIJEKA, AKO JE POTREBNO</w:t>
      </w:r>
    </w:p>
    <w:p w14:paraId="30DFE34E" w14:textId="77777777" w:rsidR="005A555C" w:rsidRPr="006B4557" w:rsidRDefault="005A555C" w:rsidP="005A555C">
      <w:pPr>
        <w:rPr>
          <w:noProof/>
        </w:rPr>
      </w:pPr>
    </w:p>
    <w:p w14:paraId="181FF1E4" w14:textId="77777777" w:rsidR="005A555C" w:rsidRPr="006B4557" w:rsidRDefault="005A555C" w:rsidP="005A555C">
      <w:pPr>
        <w:rPr>
          <w:noProof/>
        </w:rPr>
      </w:pPr>
    </w:p>
    <w:p w14:paraId="1C8F8768"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11.</w:t>
      </w:r>
      <w:r>
        <w:rPr>
          <w:b/>
        </w:rPr>
        <w:tab/>
        <w:t>NAZIV I ADRESA NOSITELJA ODOBRENJA ZA STAVLJANJE LIJEKA U PROMET</w:t>
      </w:r>
    </w:p>
    <w:p w14:paraId="494A5083" w14:textId="77777777" w:rsidR="005A555C" w:rsidRPr="006B4557" w:rsidRDefault="005A555C" w:rsidP="005A555C">
      <w:pPr>
        <w:rPr>
          <w:noProof/>
        </w:rPr>
      </w:pPr>
    </w:p>
    <w:p w14:paraId="42FF801D" w14:textId="77777777" w:rsidR="005A555C" w:rsidRPr="00993D25" w:rsidRDefault="005A555C" w:rsidP="005A555C">
      <w:r>
        <w:t>Accord Healthcare S.L.U.</w:t>
      </w:r>
    </w:p>
    <w:p w14:paraId="5EE2C029" w14:textId="77777777" w:rsidR="005A555C" w:rsidRPr="000E635A" w:rsidRDefault="005A555C" w:rsidP="005A555C">
      <w:r>
        <w:t>World Trade Center, Moll de Barcelona s/n,</w:t>
      </w:r>
    </w:p>
    <w:p w14:paraId="3BF2C6C0" w14:textId="77777777" w:rsidR="005A555C" w:rsidRPr="00255900" w:rsidRDefault="005A555C" w:rsidP="005A555C">
      <w:r>
        <w:t>Edifici Est, 6</w:t>
      </w:r>
      <w:r>
        <w:rPr>
          <w:vertAlign w:val="superscript"/>
        </w:rPr>
        <w:t>a</w:t>
      </w:r>
      <w:r>
        <w:t xml:space="preserve"> Planta</w:t>
      </w:r>
    </w:p>
    <w:p w14:paraId="6BBF9621" w14:textId="77777777" w:rsidR="005A555C" w:rsidRPr="00255900" w:rsidRDefault="005A555C" w:rsidP="005A555C">
      <w:r>
        <w:t>08039 Barcelona</w:t>
      </w:r>
    </w:p>
    <w:p w14:paraId="2FEF5CC9" w14:textId="77777777" w:rsidR="005A555C" w:rsidRPr="00675D00" w:rsidRDefault="005A555C" w:rsidP="005A555C">
      <w:r>
        <w:t>Španjolska</w:t>
      </w:r>
    </w:p>
    <w:p w14:paraId="0CC75AF9" w14:textId="77777777" w:rsidR="005A555C" w:rsidRPr="00675D00" w:rsidRDefault="005A555C" w:rsidP="005A555C">
      <w:pPr>
        <w:rPr>
          <w:lang w:val="fr-FR"/>
        </w:rPr>
      </w:pPr>
    </w:p>
    <w:p w14:paraId="56F9AEAA" w14:textId="77777777" w:rsidR="005A555C" w:rsidRPr="00675D00" w:rsidRDefault="005A555C" w:rsidP="005A555C">
      <w:pPr>
        <w:rPr>
          <w:lang w:val="fr-FR"/>
        </w:rPr>
      </w:pPr>
    </w:p>
    <w:p w14:paraId="43AE900A"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1AD8B922" w14:textId="77777777" w:rsidR="005A555C" w:rsidRPr="006B4557" w:rsidRDefault="005A555C" w:rsidP="005A555C">
      <w:pPr>
        <w:rPr>
          <w:noProof/>
        </w:rPr>
      </w:pPr>
    </w:p>
    <w:p w14:paraId="636E8FBF" w14:textId="77777777" w:rsidR="003455F4" w:rsidRPr="00310EA0" w:rsidRDefault="003455F4" w:rsidP="003455F4">
      <w:pPr>
        <w:rPr>
          <w:lang w:val="pl-PL"/>
        </w:rPr>
      </w:pPr>
      <w:r w:rsidRPr="00310EA0">
        <w:rPr>
          <w:lang w:val="pl-PL"/>
        </w:rPr>
        <w:t>EU/1/24/1839/013</w:t>
      </w:r>
    </w:p>
    <w:p w14:paraId="238D804F" w14:textId="77777777" w:rsidR="003455F4" w:rsidRPr="00310EA0" w:rsidRDefault="003455F4" w:rsidP="003455F4">
      <w:pPr>
        <w:rPr>
          <w:lang w:val="pl-PL"/>
        </w:rPr>
      </w:pPr>
      <w:r w:rsidRPr="00310EA0">
        <w:rPr>
          <w:lang w:val="pl-PL"/>
        </w:rPr>
        <w:t>EU/1/24/1839/014</w:t>
      </w:r>
    </w:p>
    <w:p w14:paraId="0680278D" w14:textId="77777777" w:rsidR="003455F4" w:rsidRPr="00310EA0" w:rsidRDefault="003455F4" w:rsidP="003455F4">
      <w:pPr>
        <w:rPr>
          <w:lang w:val="pl-PL"/>
        </w:rPr>
      </w:pPr>
      <w:r w:rsidRPr="00310EA0">
        <w:rPr>
          <w:lang w:val="pl-PL"/>
        </w:rPr>
        <w:t>EU/1/24/1839/015</w:t>
      </w:r>
    </w:p>
    <w:p w14:paraId="2F633026" w14:textId="49950061" w:rsidR="003455F4" w:rsidRPr="00310EA0" w:rsidRDefault="003455F4" w:rsidP="005A555C">
      <w:pPr>
        <w:rPr>
          <w:lang w:val="pl-PL"/>
        </w:rPr>
      </w:pPr>
      <w:r w:rsidRPr="00310EA0">
        <w:rPr>
          <w:lang w:val="pl-PL"/>
        </w:rPr>
        <w:t>EU/1/24/1839/016</w:t>
      </w:r>
    </w:p>
    <w:p w14:paraId="1645DE57" w14:textId="551F5EB0" w:rsidR="003455F4" w:rsidRPr="00310EA0" w:rsidRDefault="007B1242" w:rsidP="005A555C">
      <w:pPr>
        <w:rPr>
          <w:lang w:val="pl-PL"/>
        </w:rPr>
      </w:pPr>
      <w:r w:rsidRPr="00310EA0">
        <w:rPr>
          <w:lang w:val="pl-PL"/>
        </w:rPr>
        <w:t>EU/1/24/1839/028</w:t>
      </w:r>
    </w:p>
    <w:p w14:paraId="200783C9" w14:textId="38F18E00" w:rsidR="002C3132" w:rsidRPr="00310EA0" w:rsidRDefault="002C3132" w:rsidP="005A555C">
      <w:pPr>
        <w:rPr>
          <w:lang w:val="pl-PL"/>
        </w:rPr>
      </w:pPr>
    </w:p>
    <w:p w14:paraId="25E16EB8" w14:textId="77777777" w:rsidR="00C45327" w:rsidRPr="00310EA0" w:rsidRDefault="00C45327" w:rsidP="005A555C">
      <w:pPr>
        <w:rPr>
          <w:lang w:val="pl-PL"/>
        </w:rPr>
      </w:pPr>
    </w:p>
    <w:p w14:paraId="34D36507" w14:textId="77777777" w:rsidR="005A555C" w:rsidRPr="00675D00" w:rsidRDefault="005A555C" w:rsidP="00101663">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2CD78D58" w14:textId="77777777" w:rsidR="005A555C" w:rsidRPr="00310EA0" w:rsidRDefault="005A555C" w:rsidP="005A555C">
      <w:pPr>
        <w:rPr>
          <w:lang w:val="pl-PL"/>
        </w:rPr>
      </w:pPr>
    </w:p>
    <w:p w14:paraId="59205578" w14:textId="4D51D5BA" w:rsidR="005A555C" w:rsidRPr="008C030F" w:rsidRDefault="002C3132" w:rsidP="005A555C">
      <w:pPr>
        <w:rPr>
          <w:noProof/>
        </w:rPr>
      </w:pPr>
      <w:r>
        <w:t>Lot</w:t>
      </w:r>
    </w:p>
    <w:p w14:paraId="487BC558" w14:textId="7B3FFC6D" w:rsidR="005A555C" w:rsidRDefault="005A555C" w:rsidP="005A555C">
      <w:pPr>
        <w:rPr>
          <w:noProof/>
        </w:rPr>
      </w:pPr>
    </w:p>
    <w:p w14:paraId="60C3E40C" w14:textId="77777777" w:rsidR="002C25D1" w:rsidRPr="006B4557" w:rsidRDefault="002C25D1" w:rsidP="005A555C">
      <w:pPr>
        <w:rPr>
          <w:noProof/>
        </w:rPr>
      </w:pPr>
    </w:p>
    <w:p w14:paraId="4F4E9842"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15340D45" w14:textId="77777777" w:rsidR="005A555C" w:rsidRPr="006B4557" w:rsidRDefault="005A555C" w:rsidP="005A555C">
      <w:pPr>
        <w:rPr>
          <w:i/>
          <w:noProof/>
        </w:rPr>
      </w:pPr>
    </w:p>
    <w:p w14:paraId="08EDDC1F" w14:textId="77777777" w:rsidR="005A555C" w:rsidRPr="00B3208E" w:rsidRDefault="005A555C" w:rsidP="005A555C">
      <w:pPr>
        <w:rPr>
          <w:noProof/>
        </w:rPr>
      </w:pPr>
    </w:p>
    <w:p w14:paraId="282252C0" w14:textId="77777777" w:rsidR="005A555C" w:rsidRPr="00A26F79" w:rsidRDefault="005A555C" w:rsidP="00101663">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47CD6026" w14:textId="77777777" w:rsidR="005A555C" w:rsidRPr="008225EB" w:rsidRDefault="005A555C" w:rsidP="005A555C">
      <w:pPr>
        <w:rPr>
          <w:noProof/>
        </w:rPr>
      </w:pPr>
    </w:p>
    <w:p w14:paraId="2CEE67D3" w14:textId="77777777" w:rsidR="005A555C" w:rsidRPr="008225EB" w:rsidRDefault="005A555C" w:rsidP="005A555C">
      <w:pPr>
        <w:rPr>
          <w:noProof/>
        </w:rPr>
      </w:pPr>
    </w:p>
    <w:p w14:paraId="5111D135" w14:textId="77777777" w:rsidR="005A555C" w:rsidRPr="006B4557" w:rsidRDefault="005A555C" w:rsidP="00101663">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3393CA00" w14:textId="77777777" w:rsidR="005A555C" w:rsidRPr="007B42D3" w:rsidRDefault="005A555C" w:rsidP="005A555C">
      <w:pPr>
        <w:rPr>
          <w:noProof/>
        </w:rPr>
      </w:pPr>
    </w:p>
    <w:p w14:paraId="47B9437B" w14:textId="77777777" w:rsidR="005A555C" w:rsidRDefault="005A555C" w:rsidP="005A555C">
      <w:r>
        <w:t>Dasatinib Accord Healthcare 80 mg</w:t>
      </w:r>
    </w:p>
    <w:p w14:paraId="295EAB96" w14:textId="77777777" w:rsidR="005A555C" w:rsidRPr="002758D7" w:rsidRDefault="005A555C" w:rsidP="005A555C"/>
    <w:p w14:paraId="2FE97488" w14:textId="77777777" w:rsidR="005A555C" w:rsidRPr="00067B16" w:rsidRDefault="005A555C" w:rsidP="005A555C">
      <w:pPr>
        <w:rPr>
          <w:noProof/>
          <w:shd w:val="clear" w:color="auto" w:fill="CCCCCC"/>
        </w:rPr>
      </w:pPr>
    </w:p>
    <w:p w14:paraId="2A28537C" w14:textId="77777777" w:rsidR="005A555C" w:rsidRPr="00C937E7" w:rsidRDefault="005A555C" w:rsidP="00101663">
      <w:pPr>
        <w:pBdr>
          <w:top w:val="single" w:sz="4" w:space="1" w:color="auto"/>
          <w:left w:val="single" w:sz="4" w:space="4" w:color="auto"/>
          <w:bottom w:val="single" w:sz="4" w:space="0" w:color="auto"/>
          <w:right w:val="single" w:sz="4" w:space="4" w:color="auto"/>
        </w:pBdr>
        <w:tabs>
          <w:tab w:val="left" w:pos="567"/>
        </w:tabs>
        <w:rPr>
          <w:i/>
          <w:noProof/>
        </w:rPr>
      </w:pPr>
      <w:r>
        <w:rPr>
          <w:b/>
        </w:rPr>
        <w:t>17.</w:t>
      </w:r>
      <w:r>
        <w:rPr>
          <w:b/>
        </w:rPr>
        <w:tab/>
        <w:t>JEDINSTVENI IDENTIFIKATOR – 2D BARKOD</w:t>
      </w:r>
    </w:p>
    <w:p w14:paraId="681779DC" w14:textId="77777777" w:rsidR="005A555C" w:rsidRPr="00C937E7" w:rsidRDefault="005A555C" w:rsidP="005A555C">
      <w:pPr>
        <w:rPr>
          <w:noProof/>
        </w:rPr>
      </w:pPr>
    </w:p>
    <w:p w14:paraId="67AAE781" w14:textId="77777777" w:rsidR="005A555C" w:rsidRPr="00C937E7" w:rsidRDefault="005A555C" w:rsidP="005A555C">
      <w:pPr>
        <w:rPr>
          <w:noProof/>
          <w:shd w:val="clear" w:color="auto" w:fill="CCCCCC"/>
        </w:rPr>
      </w:pPr>
      <w:r>
        <w:rPr>
          <w:shd w:val="clear" w:color="auto" w:fill="CCCCCC"/>
        </w:rPr>
        <w:t>Sadrži 2D barkod s jedinstvenim identifikatorom.</w:t>
      </w:r>
    </w:p>
    <w:p w14:paraId="22802000" w14:textId="77777777" w:rsidR="005A555C" w:rsidRDefault="005A555C" w:rsidP="005A555C">
      <w:pPr>
        <w:rPr>
          <w:noProof/>
        </w:rPr>
      </w:pPr>
    </w:p>
    <w:p w14:paraId="28585533" w14:textId="77777777" w:rsidR="005A555C" w:rsidRPr="00C937E7" w:rsidRDefault="005A555C" w:rsidP="005A555C">
      <w:pPr>
        <w:rPr>
          <w:noProof/>
        </w:rPr>
      </w:pPr>
    </w:p>
    <w:p w14:paraId="5FC95E04" w14:textId="77777777" w:rsidR="005A555C" w:rsidRPr="00C937E7" w:rsidRDefault="005A555C" w:rsidP="00101663">
      <w:pPr>
        <w:pBdr>
          <w:top w:val="single" w:sz="4" w:space="1" w:color="auto"/>
          <w:left w:val="single" w:sz="4" w:space="4" w:color="auto"/>
          <w:bottom w:val="single" w:sz="4" w:space="0" w:color="auto"/>
          <w:right w:val="single" w:sz="4" w:space="4" w:color="auto"/>
        </w:pBdr>
        <w:tabs>
          <w:tab w:val="left" w:pos="567"/>
        </w:tabs>
        <w:rPr>
          <w:i/>
          <w:noProof/>
        </w:rPr>
      </w:pPr>
      <w:r>
        <w:rPr>
          <w:b/>
        </w:rPr>
        <w:t>18.</w:t>
      </w:r>
      <w:r>
        <w:rPr>
          <w:b/>
        </w:rPr>
        <w:tab/>
        <w:t>JEDINSTVENI IDENTIFIKATOR – PODACI ČITLJIVI LJUDSKIM OKOM</w:t>
      </w:r>
    </w:p>
    <w:p w14:paraId="4B28AD26" w14:textId="77777777" w:rsidR="005A555C" w:rsidRDefault="005A555C" w:rsidP="005A555C">
      <w:pPr>
        <w:rPr>
          <w:noProof/>
        </w:rPr>
      </w:pPr>
    </w:p>
    <w:p w14:paraId="728761A5" w14:textId="77777777" w:rsidR="005A555C" w:rsidRPr="00923D99" w:rsidRDefault="005A555C" w:rsidP="005A555C">
      <w:r>
        <w:t>PC</w:t>
      </w:r>
    </w:p>
    <w:p w14:paraId="4EB9E4C9" w14:textId="77777777" w:rsidR="005A555C" w:rsidRPr="00923D99" w:rsidRDefault="005A555C" w:rsidP="005A555C">
      <w:r>
        <w:t>SN</w:t>
      </w:r>
    </w:p>
    <w:p w14:paraId="4C8AD7F3" w14:textId="77777777" w:rsidR="005A555C" w:rsidRPr="00923D99" w:rsidRDefault="005A555C" w:rsidP="005A555C">
      <w:r>
        <w:t>NN</w:t>
      </w:r>
    </w:p>
    <w:p w14:paraId="058B5275" w14:textId="77777777" w:rsidR="005A555C" w:rsidRPr="00A26F79" w:rsidRDefault="005A555C" w:rsidP="005A555C">
      <w:pPr>
        <w:rPr>
          <w:noProof/>
          <w:shd w:val="clear" w:color="auto" w:fill="CCCCCC"/>
        </w:rPr>
      </w:pPr>
    </w:p>
    <w:p w14:paraId="4CE7096D" w14:textId="77777777" w:rsidR="005A555C" w:rsidRPr="008225EB" w:rsidRDefault="005A555C" w:rsidP="005A555C">
      <w:pPr>
        <w:rPr>
          <w:b/>
          <w:noProof/>
        </w:rPr>
      </w:pPr>
      <w:r>
        <w:br w:type="page"/>
      </w:r>
    </w:p>
    <w:p w14:paraId="566179E8"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748E94EA" w14:textId="77777777"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1CF3DAD5" w14:textId="726C9F43"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101663">
        <w:rPr>
          <w:b/>
        </w:rPr>
        <w:t>I</w:t>
      </w:r>
      <w:r>
        <w:rPr>
          <w:b/>
        </w:rPr>
        <w:t xml:space="preserve"> BLISTER </w:t>
      </w:r>
      <w:r w:rsidR="00101663">
        <w:rPr>
          <w:b/>
        </w:rPr>
        <w:t>S</w:t>
      </w:r>
      <w:r>
        <w:rPr>
          <w:b/>
        </w:rPr>
        <w:t xml:space="preserve"> JEDINIČN</w:t>
      </w:r>
      <w:r w:rsidR="00101663">
        <w:rPr>
          <w:b/>
        </w:rPr>
        <w:t>IM</w:t>
      </w:r>
      <w:r>
        <w:rPr>
          <w:b/>
        </w:rPr>
        <w:t xml:space="preserve"> DOZ</w:t>
      </w:r>
      <w:r w:rsidR="00101663">
        <w:rPr>
          <w:b/>
        </w:rPr>
        <w:t>AMA</w:t>
      </w:r>
    </w:p>
    <w:p w14:paraId="521EE0BD" w14:textId="77777777" w:rsidR="005A555C" w:rsidRPr="00412450" w:rsidRDefault="005A555C" w:rsidP="005A555C">
      <w:pPr>
        <w:rPr>
          <w:noProof/>
        </w:rPr>
      </w:pPr>
    </w:p>
    <w:p w14:paraId="05A097D1" w14:textId="77777777" w:rsidR="005A555C" w:rsidRPr="00412450" w:rsidRDefault="005A555C" w:rsidP="005A555C">
      <w:pPr>
        <w:rPr>
          <w:noProof/>
        </w:rPr>
      </w:pPr>
    </w:p>
    <w:p w14:paraId="7CECE8A4" w14:textId="77777777" w:rsidR="005A555C" w:rsidRPr="00EB595B" w:rsidRDefault="005A555C" w:rsidP="00101663">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w:t>
      </w:r>
      <w:r>
        <w:rPr>
          <w:b/>
        </w:rPr>
        <w:tab/>
        <w:t>NAZIV LIJEKA</w:t>
      </w:r>
    </w:p>
    <w:p w14:paraId="27A5D2DE" w14:textId="77777777" w:rsidR="005A555C" w:rsidRPr="008A1008" w:rsidRDefault="005A555C" w:rsidP="005A555C">
      <w:pPr>
        <w:rPr>
          <w:i/>
          <w:noProof/>
        </w:rPr>
      </w:pPr>
    </w:p>
    <w:p w14:paraId="1F9748B8" w14:textId="77777777" w:rsidR="005A555C" w:rsidRDefault="005A555C" w:rsidP="005A555C">
      <w:r>
        <w:t>Dasatinib Accord Healthcare 80 mg tablete</w:t>
      </w:r>
    </w:p>
    <w:p w14:paraId="09CD8BEB" w14:textId="77777777" w:rsidR="005A555C" w:rsidRPr="006B4557" w:rsidRDefault="005A555C" w:rsidP="005A555C">
      <w:r>
        <w:t>dasatinib</w:t>
      </w:r>
    </w:p>
    <w:p w14:paraId="2D7D7E61" w14:textId="77777777" w:rsidR="005A555C" w:rsidRDefault="005A555C" w:rsidP="005A555C"/>
    <w:p w14:paraId="42661812" w14:textId="77777777" w:rsidR="005A555C" w:rsidRPr="006B4557" w:rsidRDefault="005A555C" w:rsidP="005A555C"/>
    <w:p w14:paraId="61B6334B"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25DAAC66" w14:textId="77777777" w:rsidR="005A555C" w:rsidRPr="00BC6DC2" w:rsidRDefault="005A555C" w:rsidP="005A555C">
      <w:pPr>
        <w:rPr>
          <w:noProof/>
        </w:rPr>
      </w:pPr>
    </w:p>
    <w:p w14:paraId="51148AF6" w14:textId="77777777" w:rsidR="005A555C" w:rsidRPr="001F6423" w:rsidRDefault="005A555C" w:rsidP="005A555C">
      <w:pPr>
        <w:rPr>
          <w:noProof/>
        </w:rPr>
      </w:pPr>
      <w:r>
        <w:t>Accord</w:t>
      </w:r>
    </w:p>
    <w:p w14:paraId="1C23EB44" w14:textId="77777777" w:rsidR="005A555C" w:rsidRDefault="005A555C" w:rsidP="005A555C">
      <w:pPr>
        <w:rPr>
          <w:noProof/>
        </w:rPr>
      </w:pPr>
    </w:p>
    <w:p w14:paraId="290558C3" w14:textId="77777777" w:rsidR="005A555C" w:rsidRPr="001F6423" w:rsidRDefault="005A555C" w:rsidP="005A555C">
      <w:pPr>
        <w:rPr>
          <w:noProof/>
        </w:rPr>
      </w:pPr>
    </w:p>
    <w:p w14:paraId="4D2AE823" w14:textId="77777777" w:rsidR="005A555C" w:rsidRPr="006B4557" w:rsidRDefault="005A555C" w:rsidP="00101663">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02186282" w14:textId="77777777" w:rsidR="005A555C" w:rsidRPr="006B4557" w:rsidRDefault="005A555C" w:rsidP="005A555C">
      <w:pPr>
        <w:rPr>
          <w:noProof/>
        </w:rPr>
      </w:pPr>
    </w:p>
    <w:p w14:paraId="7C87B5E4" w14:textId="77777777" w:rsidR="005A555C" w:rsidRDefault="005A555C" w:rsidP="005A555C">
      <w:pPr>
        <w:rPr>
          <w:noProof/>
        </w:rPr>
      </w:pPr>
      <w:r>
        <w:t>EXP</w:t>
      </w:r>
    </w:p>
    <w:p w14:paraId="7D59F386" w14:textId="77777777" w:rsidR="005A555C" w:rsidRDefault="005A555C" w:rsidP="005A555C">
      <w:pPr>
        <w:rPr>
          <w:noProof/>
        </w:rPr>
      </w:pPr>
    </w:p>
    <w:p w14:paraId="7EE04AA5" w14:textId="77777777" w:rsidR="005A555C" w:rsidRPr="006B4557" w:rsidRDefault="005A555C" w:rsidP="005A555C">
      <w:pPr>
        <w:rPr>
          <w:noProof/>
        </w:rPr>
      </w:pPr>
    </w:p>
    <w:p w14:paraId="7D9C9C97"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7C304869" w14:textId="77777777" w:rsidR="005A555C" w:rsidRPr="006B4557" w:rsidRDefault="005A555C" w:rsidP="005A555C">
      <w:pPr>
        <w:rPr>
          <w:noProof/>
        </w:rPr>
      </w:pPr>
    </w:p>
    <w:p w14:paraId="14CB5B61" w14:textId="1151A3A0" w:rsidR="005A555C" w:rsidRDefault="002C3132" w:rsidP="005A555C">
      <w:pPr>
        <w:rPr>
          <w:noProof/>
        </w:rPr>
      </w:pPr>
      <w:r>
        <w:t>Lot</w:t>
      </w:r>
    </w:p>
    <w:p w14:paraId="587D5215" w14:textId="56108357" w:rsidR="005A555C" w:rsidRDefault="005A555C" w:rsidP="005A555C">
      <w:pPr>
        <w:rPr>
          <w:noProof/>
        </w:rPr>
      </w:pPr>
    </w:p>
    <w:p w14:paraId="528B786C" w14:textId="77777777" w:rsidR="002C25D1" w:rsidRPr="006B4557" w:rsidRDefault="002C25D1" w:rsidP="005A555C">
      <w:pPr>
        <w:rPr>
          <w:noProof/>
        </w:rPr>
      </w:pPr>
    </w:p>
    <w:p w14:paraId="5AC2D229" w14:textId="77777777" w:rsidR="005A555C" w:rsidRPr="006B4557" w:rsidRDefault="005A555C" w:rsidP="00101663">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7F054343" w14:textId="77777777" w:rsidR="005A555C" w:rsidRPr="006B4557" w:rsidRDefault="005A555C" w:rsidP="005A555C">
      <w:pPr>
        <w:rPr>
          <w:noProof/>
        </w:rPr>
      </w:pPr>
    </w:p>
    <w:p w14:paraId="07F24F6A" w14:textId="736453C0" w:rsidR="005A555C" w:rsidRDefault="003455F4" w:rsidP="005A555C">
      <w:pPr>
        <w:shd w:val="clear" w:color="auto" w:fill="FFFFFF"/>
        <w:rPr>
          <w:noProof/>
        </w:rPr>
      </w:pPr>
      <w:r w:rsidRPr="000A0E58">
        <w:rPr>
          <w:noProof/>
          <w:highlight w:val="lightGray"/>
        </w:rPr>
        <w:t>Primjena kroz usta.</w:t>
      </w:r>
    </w:p>
    <w:p w14:paraId="75DD4289" w14:textId="77777777" w:rsidR="005A555C" w:rsidRPr="006B4557" w:rsidRDefault="005A555C" w:rsidP="005A555C">
      <w:pPr>
        <w:shd w:val="clear" w:color="auto" w:fill="FFFFFF"/>
        <w:rPr>
          <w:noProof/>
        </w:rPr>
      </w:pPr>
      <w:r>
        <w:br w:type="page"/>
      </w:r>
    </w:p>
    <w:p w14:paraId="444E8857"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 xml:space="preserve">PODACI KOJI SE MORAJU NALAZITI NA VANJSKOM PAKIRANJU </w:t>
      </w:r>
    </w:p>
    <w:p w14:paraId="13D15424"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60959715" w14:textId="7D433552" w:rsidR="005A555C" w:rsidRPr="006B4557" w:rsidRDefault="005A555C" w:rsidP="005A555C">
      <w:pPr>
        <w:pBdr>
          <w:top w:val="single" w:sz="4" w:space="1" w:color="auto"/>
          <w:left w:val="single" w:sz="4" w:space="4" w:color="auto"/>
          <w:bottom w:val="single" w:sz="4" w:space="1" w:color="auto"/>
          <w:right w:val="single" w:sz="4" w:space="4" w:color="auto"/>
        </w:pBdr>
        <w:rPr>
          <w:bCs/>
          <w:noProof/>
        </w:rPr>
      </w:pPr>
      <w:r>
        <w:rPr>
          <w:b/>
        </w:rPr>
        <w:t>VANJSKA KUTIJA ZA BLISTER</w:t>
      </w:r>
      <w:r w:rsidR="001C1CFF">
        <w:rPr>
          <w:b/>
        </w:rPr>
        <w:t xml:space="preserve"> PAKIRANJE</w:t>
      </w:r>
    </w:p>
    <w:p w14:paraId="65D1EEB2" w14:textId="77777777" w:rsidR="005A555C" w:rsidRPr="006B4557" w:rsidRDefault="005A555C" w:rsidP="005A555C"/>
    <w:p w14:paraId="41BF1C59" w14:textId="77777777" w:rsidR="005A555C" w:rsidRPr="006C6114" w:rsidRDefault="005A555C" w:rsidP="005A555C">
      <w:pPr>
        <w:rPr>
          <w:noProof/>
        </w:rPr>
      </w:pPr>
    </w:p>
    <w:p w14:paraId="5BAF5B92"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7158D6B0" w14:textId="77777777" w:rsidR="005A555C" w:rsidRPr="00BC6DC2" w:rsidRDefault="005A555C" w:rsidP="005A555C">
      <w:pPr>
        <w:rPr>
          <w:noProof/>
        </w:rPr>
      </w:pPr>
    </w:p>
    <w:p w14:paraId="7831184B" w14:textId="77777777" w:rsidR="005A555C" w:rsidRPr="006B4557" w:rsidRDefault="005A555C" w:rsidP="005A555C">
      <w:pPr>
        <w:rPr>
          <w:noProof/>
        </w:rPr>
      </w:pPr>
      <w:r>
        <w:t>Dasatinib Accord Healthcare 100 mg filmom obložene tablete</w:t>
      </w:r>
    </w:p>
    <w:p w14:paraId="0E7DE6EA" w14:textId="77777777" w:rsidR="005A555C" w:rsidRPr="00067B16" w:rsidRDefault="005A555C" w:rsidP="005A555C">
      <w:pPr>
        <w:rPr>
          <w:b/>
        </w:rPr>
      </w:pPr>
      <w:r>
        <w:t>dasatinib</w:t>
      </w:r>
    </w:p>
    <w:p w14:paraId="0F10679E" w14:textId="77777777" w:rsidR="005A555C" w:rsidRPr="00067B16" w:rsidRDefault="005A555C" w:rsidP="005A555C">
      <w:pPr>
        <w:rPr>
          <w:noProof/>
        </w:rPr>
      </w:pPr>
    </w:p>
    <w:p w14:paraId="0363CC41" w14:textId="77777777" w:rsidR="005A555C" w:rsidRPr="00B3208E" w:rsidRDefault="005A555C" w:rsidP="005A555C">
      <w:pPr>
        <w:rPr>
          <w:noProof/>
        </w:rPr>
      </w:pPr>
    </w:p>
    <w:p w14:paraId="269F8167"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50341134" w14:textId="77777777" w:rsidR="005A555C" w:rsidRPr="006B4557" w:rsidRDefault="005A555C" w:rsidP="005A555C">
      <w:pPr>
        <w:rPr>
          <w:noProof/>
        </w:rPr>
      </w:pPr>
    </w:p>
    <w:p w14:paraId="7884C7FC" w14:textId="13C0DE80" w:rsidR="005A555C" w:rsidRPr="00B3208E" w:rsidRDefault="005A555C" w:rsidP="005A555C">
      <w:pPr>
        <w:rPr>
          <w:noProof/>
        </w:rPr>
      </w:pPr>
      <w:r>
        <w:t xml:space="preserve">Jedna filmom obložena tableta sadrži 100 mg dasatiniba (u obliku </w:t>
      </w:r>
      <w:r w:rsidR="0019067D">
        <w:t>dasatinib</w:t>
      </w:r>
      <w:r w:rsidR="00A35C8B">
        <w:t xml:space="preserve"> </w:t>
      </w:r>
      <w:r>
        <w:t>hidrata).</w:t>
      </w:r>
    </w:p>
    <w:p w14:paraId="18F9156C" w14:textId="77777777" w:rsidR="005A555C" w:rsidRPr="00F0280B" w:rsidRDefault="005A555C" w:rsidP="005A555C">
      <w:pPr>
        <w:rPr>
          <w:noProof/>
        </w:rPr>
      </w:pPr>
    </w:p>
    <w:p w14:paraId="26B781EA" w14:textId="77777777" w:rsidR="005A555C" w:rsidRPr="00A26F79" w:rsidRDefault="005A555C" w:rsidP="005A555C">
      <w:pPr>
        <w:rPr>
          <w:noProof/>
        </w:rPr>
      </w:pPr>
    </w:p>
    <w:p w14:paraId="68FFB1E4"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34586766" w14:textId="77777777" w:rsidR="005A555C" w:rsidRPr="00A3136F" w:rsidRDefault="005A555C" w:rsidP="005A555C">
      <w:pPr>
        <w:rPr>
          <w:noProof/>
        </w:rPr>
      </w:pPr>
    </w:p>
    <w:p w14:paraId="3E83794A" w14:textId="4C26BDF5" w:rsidR="005A555C" w:rsidRDefault="005A555C" w:rsidP="005A555C">
      <w:pPr>
        <w:rPr>
          <w:noProof/>
        </w:rPr>
      </w:pPr>
      <w:r>
        <w:t>Pomoćne tvari: sadrži laktozu</w:t>
      </w:r>
      <w:r w:rsidR="00A35C8B">
        <w:t>.</w:t>
      </w:r>
    </w:p>
    <w:p w14:paraId="54D0DF6D" w14:textId="77777777" w:rsidR="005A555C" w:rsidRDefault="005A555C" w:rsidP="005A555C">
      <w:pPr>
        <w:rPr>
          <w:noProof/>
        </w:rPr>
      </w:pPr>
      <w:r>
        <w:rPr>
          <w:highlight w:val="lightGray"/>
        </w:rPr>
        <w:t>Za dodatne informacije vidjeti uputu o lijeku.</w:t>
      </w:r>
    </w:p>
    <w:p w14:paraId="6C1846BD" w14:textId="77777777" w:rsidR="005A555C" w:rsidRDefault="005A555C" w:rsidP="005A555C">
      <w:pPr>
        <w:rPr>
          <w:noProof/>
        </w:rPr>
      </w:pPr>
    </w:p>
    <w:p w14:paraId="7A5EC14F" w14:textId="77777777" w:rsidR="005A555C" w:rsidRPr="000643D3" w:rsidRDefault="005A555C" w:rsidP="005A555C">
      <w:pPr>
        <w:rPr>
          <w:noProof/>
        </w:rPr>
      </w:pPr>
    </w:p>
    <w:p w14:paraId="202AEF42"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2A297EAF" w14:textId="77777777" w:rsidR="005A555C" w:rsidRDefault="005A555C" w:rsidP="005A555C">
      <w:pPr>
        <w:rPr>
          <w:noProof/>
        </w:rPr>
      </w:pPr>
    </w:p>
    <w:p w14:paraId="02C0746F" w14:textId="77777777" w:rsidR="005A555C" w:rsidRPr="00675D00" w:rsidRDefault="005A555C" w:rsidP="005A555C">
      <w:pPr>
        <w:rPr>
          <w:highlight w:val="lightGray"/>
        </w:rPr>
      </w:pPr>
      <w:r>
        <w:rPr>
          <w:highlight w:val="lightGray"/>
        </w:rPr>
        <w:t>30 filmom obloženih tableta</w:t>
      </w:r>
    </w:p>
    <w:p w14:paraId="2C3F869D" w14:textId="19978AE8" w:rsidR="005A555C" w:rsidRPr="000E635A" w:rsidRDefault="00030B1F" w:rsidP="005A555C">
      <w:pPr>
        <w:rPr>
          <w:noProof/>
          <w:highlight w:val="lightGray"/>
        </w:rPr>
      </w:pPr>
      <w:r>
        <w:rPr>
          <w:highlight w:val="lightGray"/>
        </w:rPr>
        <w:t>56</w:t>
      </w:r>
      <w:r w:rsidR="005A555C">
        <w:rPr>
          <w:highlight w:val="lightGray"/>
        </w:rPr>
        <w:t xml:space="preserve"> filmom obloženih tableta</w:t>
      </w:r>
    </w:p>
    <w:p w14:paraId="01F5CF94" w14:textId="77777777" w:rsidR="005A555C" w:rsidRDefault="005A555C" w:rsidP="005A555C">
      <w:pPr>
        <w:rPr>
          <w:noProof/>
          <w:highlight w:val="lightGray"/>
        </w:rPr>
      </w:pPr>
      <w:r>
        <w:rPr>
          <w:highlight w:val="lightGray"/>
        </w:rPr>
        <w:t>30 x 1 filmom obložena tableta</w:t>
      </w:r>
    </w:p>
    <w:p w14:paraId="7E8EA74C" w14:textId="1FFDA605" w:rsidR="007B1242" w:rsidRDefault="00030B1F" w:rsidP="005A555C">
      <w:pPr>
        <w:rPr>
          <w:noProof/>
        </w:rPr>
      </w:pPr>
      <w:r>
        <w:rPr>
          <w:highlight w:val="lightGray"/>
        </w:rPr>
        <w:t>56</w:t>
      </w:r>
      <w:r w:rsidR="005A555C">
        <w:rPr>
          <w:highlight w:val="lightGray"/>
        </w:rPr>
        <w:t xml:space="preserve"> x 1 filmom obložena tableta</w:t>
      </w:r>
    </w:p>
    <w:p w14:paraId="0371B0B1" w14:textId="77777777" w:rsidR="007B1242" w:rsidRPr="00CB0F2E" w:rsidRDefault="007B1242" w:rsidP="007B1242">
      <w:pPr>
        <w:rPr>
          <w:noProof/>
        </w:rPr>
      </w:pPr>
      <w:r w:rsidRPr="0046674A">
        <w:rPr>
          <w:highlight w:val="lightGray"/>
        </w:rPr>
        <w:t>10 x 1 filmom obložena tableta</w:t>
      </w:r>
    </w:p>
    <w:p w14:paraId="4D61450D" w14:textId="54613EB7" w:rsidR="005A555C" w:rsidRDefault="005A555C" w:rsidP="005A555C">
      <w:pPr>
        <w:rPr>
          <w:noProof/>
        </w:rPr>
      </w:pPr>
    </w:p>
    <w:p w14:paraId="31AFE353" w14:textId="77777777" w:rsidR="00C45327" w:rsidRPr="007B42D3" w:rsidRDefault="00C45327" w:rsidP="005A555C">
      <w:pPr>
        <w:rPr>
          <w:noProof/>
        </w:rPr>
      </w:pPr>
    </w:p>
    <w:p w14:paraId="27A2F05F" w14:textId="77777777" w:rsidR="005A555C" w:rsidRPr="00067B16"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5.</w:t>
      </w:r>
      <w:r>
        <w:rPr>
          <w:b/>
        </w:rPr>
        <w:tab/>
        <w:t>NAČIN I PUT(EVI) PRIMJENE LIJEKA</w:t>
      </w:r>
    </w:p>
    <w:p w14:paraId="30EC2E86" w14:textId="77777777" w:rsidR="005A555C" w:rsidRPr="006B4557" w:rsidRDefault="005A555C" w:rsidP="005A555C">
      <w:pPr>
        <w:rPr>
          <w:noProof/>
        </w:rPr>
      </w:pPr>
    </w:p>
    <w:p w14:paraId="6FC1A57D" w14:textId="77777777" w:rsidR="005A555C" w:rsidRDefault="005A555C" w:rsidP="005A555C">
      <w:pPr>
        <w:rPr>
          <w:noProof/>
        </w:rPr>
      </w:pPr>
      <w:r>
        <w:t>Prije uporabe pročitajte uputu o lijeku.</w:t>
      </w:r>
    </w:p>
    <w:p w14:paraId="72F6B24E" w14:textId="77777777" w:rsidR="005A555C" w:rsidRPr="007B42D3" w:rsidRDefault="005A555C" w:rsidP="005A555C">
      <w:pPr>
        <w:rPr>
          <w:noProof/>
        </w:rPr>
      </w:pPr>
      <w:r>
        <w:t>Primjena kroz usta.</w:t>
      </w:r>
    </w:p>
    <w:p w14:paraId="7D234AF3" w14:textId="77777777" w:rsidR="005A555C" w:rsidRPr="00067B16" w:rsidRDefault="005A555C" w:rsidP="005A555C">
      <w:pPr>
        <w:rPr>
          <w:noProof/>
        </w:rPr>
      </w:pPr>
    </w:p>
    <w:p w14:paraId="4DFF4CC7" w14:textId="77777777" w:rsidR="005A555C" w:rsidRPr="00067B16" w:rsidRDefault="005A555C" w:rsidP="005A555C">
      <w:pPr>
        <w:rPr>
          <w:noProof/>
        </w:rPr>
      </w:pPr>
    </w:p>
    <w:p w14:paraId="56315BE9"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3E9FEFE2" w14:textId="77777777" w:rsidR="005A555C" w:rsidRPr="008225EB" w:rsidRDefault="005A555C" w:rsidP="005A555C">
      <w:pPr>
        <w:rPr>
          <w:noProof/>
        </w:rPr>
      </w:pPr>
    </w:p>
    <w:p w14:paraId="18C27CB5" w14:textId="77777777" w:rsidR="005A555C" w:rsidRPr="008225EB" w:rsidRDefault="005A555C" w:rsidP="005A555C">
      <w:pPr>
        <w:outlineLvl w:val="0"/>
        <w:rPr>
          <w:noProof/>
        </w:rPr>
      </w:pPr>
      <w:r>
        <w:t>Čuvati izvan pogleda i dohvata djece.</w:t>
      </w:r>
    </w:p>
    <w:p w14:paraId="7836E9CB" w14:textId="77777777" w:rsidR="005A555C" w:rsidRPr="00A3136F" w:rsidRDefault="005A555C" w:rsidP="005A555C">
      <w:pPr>
        <w:rPr>
          <w:noProof/>
        </w:rPr>
      </w:pPr>
    </w:p>
    <w:p w14:paraId="6DB3F9DE" w14:textId="77777777" w:rsidR="005A555C" w:rsidRPr="000643D3" w:rsidRDefault="005A555C" w:rsidP="005A555C">
      <w:pPr>
        <w:rPr>
          <w:noProof/>
        </w:rPr>
      </w:pPr>
    </w:p>
    <w:p w14:paraId="2C85B3DC"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2051BC4A" w14:textId="77777777" w:rsidR="005A555C" w:rsidRPr="006B4557" w:rsidRDefault="005A555C" w:rsidP="005A555C">
      <w:pPr>
        <w:tabs>
          <w:tab w:val="left" w:pos="749"/>
        </w:tabs>
      </w:pPr>
    </w:p>
    <w:p w14:paraId="7AB133A7" w14:textId="77777777" w:rsidR="005A555C" w:rsidRPr="006B4557" w:rsidRDefault="005A555C" w:rsidP="005A555C">
      <w:pPr>
        <w:tabs>
          <w:tab w:val="left" w:pos="749"/>
        </w:tabs>
      </w:pPr>
    </w:p>
    <w:p w14:paraId="7B178686"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5090C26F" w14:textId="77777777" w:rsidR="005A555C" w:rsidRPr="006B4557" w:rsidRDefault="005A555C" w:rsidP="005A555C"/>
    <w:p w14:paraId="5C7FEA9F" w14:textId="77777777" w:rsidR="005A555C" w:rsidRDefault="005A555C" w:rsidP="005A555C">
      <w:pPr>
        <w:rPr>
          <w:noProof/>
        </w:rPr>
      </w:pPr>
      <w:r>
        <w:t>EXP</w:t>
      </w:r>
    </w:p>
    <w:p w14:paraId="3258CED9" w14:textId="77777777" w:rsidR="005A555C" w:rsidRDefault="005A555C" w:rsidP="005A555C">
      <w:pPr>
        <w:rPr>
          <w:noProof/>
        </w:rPr>
      </w:pPr>
    </w:p>
    <w:p w14:paraId="140422B1" w14:textId="77777777" w:rsidR="005A555C" w:rsidRPr="00BC6DC2" w:rsidRDefault="005A555C" w:rsidP="005A555C">
      <w:pPr>
        <w:rPr>
          <w:noProof/>
        </w:rPr>
      </w:pPr>
    </w:p>
    <w:p w14:paraId="7DB39B31"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6E559E29" w14:textId="77777777" w:rsidR="005A555C" w:rsidRPr="001F6423" w:rsidRDefault="005A555C" w:rsidP="005A555C">
      <w:pPr>
        <w:rPr>
          <w:noProof/>
        </w:rPr>
      </w:pPr>
    </w:p>
    <w:p w14:paraId="5C82AE48" w14:textId="082ED418" w:rsidR="005A555C" w:rsidRPr="001F6423" w:rsidRDefault="00A35C8B" w:rsidP="00A35C8B">
      <w:pPr>
        <w:rPr>
          <w:noProof/>
        </w:rPr>
      </w:pPr>
      <w:r>
        <w:rPr>
          <w:noProof/>
        </w:rPr>
        <w:br w:type="page"/>
      </w:r>
    </w:p>
    <w:p w14:paraId="7DAD7A81"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lastRenderedPageBreak/>
        <w:t>10.</w:t>
      </w:r>
      <w:r>
        <w:rPr>
          <w:b/>
        </w:rPr>
        <w:tab/>
        <w:t>POSEBNE MJERE ZA ZBRINJAVANJE NEISKORIŠTENOG LIJEKA ILI OTPADNIH MATERIJALA KOJI POTJEČU OD LIJEKA, AKO JE POTREBNO</w:t>
      </w:r>
    </w:p>
    <w:p w14:paraId="03419875" w14:textId="77777777" w:rsidR="005A555C" w:rsidRPr="006B4557" w:rsidRDefault="005A555C" w:rsidP="005A555C">
      <w:pPr>
        <w:rPr>
          <w:noProof/>
        </w:rPr>
      </w:pPr>
    </w:p>
    <w:p w14:paraId="06828212" w14:textId="77777777" w:rsidR="005A555C" w:rsidRPr="006B4557" w:rsidRDefault="005A555C" w:rsidP="005A555C">
      <w:pPr>
        <w:rPr>
          <w:noProof/>
        </w:rPr>
      </w:pPr>
    </w:p>
    <w:p w14:paraId="57C49D8B"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11.</w:t>
      </w:r>
      <w:r>
        <w:rPr>
          <w:b/>
        </w:rPr>
        <w:tab/>
        <w:t>NAZIV I ADRESA NOSITELJA ODOBRENJA ZA STAVLJANJE LIJEKA U PROMET</w:t>
      </w:r>
    </w:p>
    <w:p w14:paraId="2CDCC663" w14:textId="77777777" w:rsidR="005A555C" w:rsidRPr="006B4557" w:rsidRDefault="005A555C" w:rsidP="005A555C">
      <w:pPr>
        <w:rPr>
          <w:noProof/>
        </w:rPr>
      </w:pPr>
    </w:p>
    <w:p w14:paraId="2CB399E9" w14:textId="77777777" w:rsidR="005A555C" w:rsidRPr="00993D25" w:rsidRDefault="005A555C" w:rsidP="005A555C">
      <w:r>
        <w:t>Accord Healthcare S.L.U.</w:t>
      </w:r>
    </w:p>
    <w:p w14:paraId="0124403D" w14:textId="77777777" w:rsidR="005A555C" w:rsidRPr="00675D00" w:rsidRDefault="005A555C" w:rsidP="005A555C">
      <w:r>
        <w:t>World Trade Center, Moll de Barcelona s/n,</w:t>
      </w:r>
    </w:p>
    <w:p w14:paraId="66C1074D" w14:textId="77777777" w:rsidR="005A555C" w:rsidRPr="00675D00" w:rsidRDefault="005A555C" w:rsidP="005A555C">
      <w:r>
        <w:t>Edifici Est, 6</w:t>
      </w:r>
      <w:r>
        <w:rPr>
          <w:vertAlign w:val="superscript"/>
        </w:rPr>
        <w:t>a</w:t>
      </w:r>
      <w:r>
        <w:t xml:space="preserve"> Planta</w:t>
      </w:r>
    </w:p>
    <w:p w14:paraId="1641F615" w14:textId="77777777" w:rsidR="005A555C" w:rsidRPr="00675D00" w:rsidRDefault="005A555C" w:rsidP="005A555C">
      <w:r>
        <w:t>08039 Barcelona</w:t>
      </w:r>
    </w:p>
    <w:p w14:paraId="7B8A5227" w14:textId="77777777" w:rsidR="005A555C" w:rsidRPr="00675D00" w:rsidRDefault="005A555C" w:rsidP="005A555C">
      <w:r>
        <w:t>Španjolska</w:t>
      </w:r>
    </w:p>
    <w:p w14:paraId="047E89CC" w14:textId="77777777" w:rsidR="005A555C" w:rsidRPr="00675D00" w:rsidRDefault="005A555C" w:rsidP="005A555C">
      <w:pPr>
        <w:rPr>
          <w:lang w:val="fr-FR"/>
        </w:rPr>
      </w:pPr>
    </w:p>
    <w:p w14:paraId="057912AE" w14:textId="77777777" w:rsidR="005A555C" w:rsidRPr="00675D00" w:rsidRDefault="005A555C" w:rsidP="005A555C">
      <w:pPr>
        <w:rPr>
          <w:lang w:val="fr-FR"/>
        </w:rPr>
      </w:pPr>
    </w:p>
    <w:p w14:paraId="10CE6033"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584D46D6" w14:textId="77777777" w:rsidR="005A555C" w:rsidRPr="006B4557" w:rsidRDefault="005A555C" w:rsidP="005A555C">
      <w:pPr>
        <w:rPr>
          <w:noProof/>
        </w:rPr>
      </w:pPr>
    </w:p>
    <w:p w14:paraId="714668F2" w14:textId="77777777" w:rsidR="00030B1F" w:rsidRPr="00310EA0" w:rsidRDefault="00030B1F" w:rsidP="00030B1F">
      <w:pPr>
        <w:rPr>
          <w:lang w:val="pl-PL"/>
        </w:rPr>
      </w:pPr>
      <w:r w:rsidRPr="00310EA0">
        <w:rPr>
          <w:lang w:val="pl-PL"/>
        </w:rPr>
        <w:t>EU/1/24/1839/017</w:t>
      </w:r>
    </w:p>
    <w:p w14:paraId="3534F650" w14:textId="77777777" w:rsidR="00030B1F" w:rsidRPr="00310EA0" w:rsidRDefault="00030B1F" w:rsidP="00030B1F">
      <w:pPr>
        <w:rPr>
          <w:lang w:val="pl-PL"/>
        </w:rPr>
      </w:pPr>
      <w:r w:rsidRPr="00310EA0">
        <w:rPr>
          <w:lang w:val="pl-PL"/>
        </w:rPr>
        <w:t>EU/1/24/1839/018</w:t>
      </w:r>
    </w:p>
    <w:p w14:paraId="4BDA3234" w14:textId="77777777" w:rsidR="00030B1F" w:rsidRPr="00310EA0" w:rsidRDefault="00030B1F" w:rsidP="00030B1F">
      <w:pPr>
        <w:rPr>
          <w:lang w:val="pl-PL"/>
        </w:rPr>
      </w:pPr>
      <w:r w:rsidRPr="00310EA0">
        <w:rPr>
          <w:lang w:val="pl-PL"/>
        </w:rPr>
        <w:t>EU/1/24/1839/019</w:t>
      </w:r>
    </w:p>
    <w:p w14:paraId="27A3766E" w14:textId="0CC4D840" w:rsidR="005A555C" w:rsidRPr="00310EA0" w:rsidRDefault="00030B1F" w:rsidP="00030B1F">
      <w:pPr>
        <w:rPr>
          <w:lang w:val="pl-PL"/>
        </w:rPr>
      </w:pPr>
      <w:r w:rsidRPr="00310EA0">
        <w:rPr>
          <w:lang w:val="pl-PL"/>
        </w:rPr>
        <w:t>EU/1/24/1839/020</w:t>
      </w:r>
    </w:p>
    <w:p w14:paraId="3EEAD362" w14:textId="38DA3CF6" w:rsidR="00030B1F" w:rsidRPr="00310EA0" w:rsidRDefault="007B1242" w:rsidP="005A555C">
      <w:pPr>
        <w:rPr>
          <w:lang w:val="pl-PL"/>
        </w:rPr>
      </w:pPr>
      <w:r w:rsidRPr="00310EA0">
        <w:rPr>
          <w:lang w:val="pl-PL"/>
        </w:rPr>
        <w:t>EU/1/24/1839/029</w:t>
      </w:r>
    </w:p>
    <w:p w14:paraId="31219C31" w14:textId="43B0AFC2" w:rsidR="00030B1F" w:rsidRPr="00310EA0" w:rsidRDefault="00030B1F" w:rsidP="005A555C">
      <w:pPr>
        <w:rPr>
          <w:lang w:val="pl-PL"/>
        </w:rPr>
      </w:pPr>
    </w:p>
    <w:p w14:paraId="6C537FB0" w14:textId="77777777" w:rsidR="00C45327" w:rsidRPr="00310EA0" w:rsidRDefault="00C45327" w:rsidP="005A555C">
      <w:pPr>
        <w:rPr>
          <w:lang w:val="pl-PL"/>
        </w:rPr>
      </w:pPr>
    </w:p>
    <w:p w14:paraId="45032903" w14:textId="77777777" w:rsidR="005A555C" w:rsidRPr="00675D00" w:rsidRDefault="005A555C" w:rsidP="00A35C8B">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254923C5" w14:textId="77777777" w:rsidR="005A555C" w:rsidRPr="00310EA0" w:rsidRDefault="005A555C" w:rsidP="005A555C">
      <w:pPr>
        <w:rPr>
          <w:lang w:val="pl-PL"/>
        </w:rPr>
      </w:pPr>
    </w:p>
    <w:p w14:paraId="22BF4968" w14:textId="67DC13DA" w:rsidR="005A555C" w:rsidRPr="008C030F" w:rsidRDefault="002C3132" w:rsidP="005A555C">
      <w:pPr>
        <w:rPr>
          <w:noProof/>
        </w:rPr>
      </w:pPr>
      <w:r>
        <w:t>Lot</w:t>
      </w:r>
    </w:p>
    <w:p w14:paraId="1F6FEEEE" w14:textId="4B979C94" w:rsidR="005A555C" w:rsidRDefault="005A555C" w:rsidP="005A555C">
      <w:pPr>
        <w:rPr>
          <w:noProof/>
        </w:rPr>
      </w:pPr>
    </w:p>
    <w:p w14:paraId="125EAF56" w14:textId="77777777" w:rsidR="002C25D1" w:rsidRPr="006B4557" w:rsidRDefault="002C25D1" w:rsidP="005A555C">
      <w:pPr>
        <w:rPr>
          <w:noProof/>
        </w:rPr>
      </w:pPr>
    </w:p>
    <w:p w14:paraId="242DEA44"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10810953" w14:textId="77777777" w:rsidR="005A555C" w:rsidRPr="006B4557" w:rsidRDefault="005A555C" w:rsidP="005A555C">
      <w:pPr>
        <w:rPr>
          <w:i/>
          <w:noProof/>
        </w:rPr>
      </w:pPr>
    </w:p>
    <w:p w14:paraId="414F67BB" w14:textId="77777777" w:rsidR="005A555C" w:rsidRPr="00B3208E" w:rsidRDefault="005A555C" w:rsidP="005A555C">
      <w:pPr>
        <w:rPr>
          <w:noProof/>
        </w:rPr>
      </w:pPr>
    </w:p>
    <w:p w14:paraId="1E4B3BB7" w14:textId="77777777" w:rsidR="005A555C" w:rsidRPr="00A26F79" w:rsidRDefault="005A555C" w:rsidP="00A35C8B">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473E9999" w14:textId="77777777" w:rsidR="005A555C" w:rsidRPr="008225EB" w:rsidRDefault="005A555C" w:rsidP="005A555C">
      <w:pPr>
        <w:rPr>
          <w:noProof/>
        </w:rPr>
      </w:pPr>
    </w:p>
    <w:p w14:paraId="47974C50" w14:textId="77777777" w:rsidR="005A555C" w:rsidRPr="008225EB" w:rsidRDefault="005A555C" w:rsidP="005A555C">
      <w:pPr>
        <w:rPr>
          <w:noProof/>
        </w:rPr>
      </w:pPr>
    </w:p>
    <w:p w14:paraId="125768B7" w14:textId="77777777" w:rsidR="005A555C" w:rsidRPr="006B4557" w:rsidRDefault="005A555C" w:rsidP="00A35C8B">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3E58EB2E" w14:textId="77777777" w:rsidR="005A555C" w:rsidRPr="007B42D3" w:rsidRDefault="005A555C" w:rsidP="005A555C">
      <w:pPr>
        <w:rPr>
          <w:noProof/>
        </w:rPr>
      </w:pPr>
    </w:p>
    <w:p w14:paraId="74430E1D" w14:textId="77777777" w:rsidR="005A555C" w:rsidRDefault="005A555C" w:rsidP="005A555C">
      <w:r>
        <w:t>Dasatinib Accord Healthcare 100 mg</w:t>
      </w:r>
    </w:p>
    <w:p w14:paraId="4B815689" w14:textId="77777777" w:rsidR="005A555C" w:rsidRPr="00675D00" w:rsidRDefault="005A555C" w:rsidP="005A555C"/>
    <w:p w14:paraId="3BE1A41B" w14:textId="77777777" w:rsidR="005A555C" w:rsidRPr="00067B16" w:rsidRDefault="005A555C" w:rsidP="005A555C">
      <w:pPr>
        <w:rPr>
          <w:noProof/>
          <w:shd w:val="clear" w:color="auto" w:fill="CCCCCC"/>
        </w:rPr>
      </w:pPr>
    </w:p>
    <w:p w14:paraId="5A616D95" w14:textId="77777777" w:rsidR="005A555C" w:rsidRPr="00C937E7" w:rsidRDefault="005A555C" w:rsidP="00A35C8B">
      <w:pPr>
        <w:pBdr>
          <w:top w:val="single" w:sz="4" w:space="1" w:color="auto"/>
          <w:left w:val="single" w:sz="4" w:space="4" w:color="auto"/>
          <w:bottom w:val="single" w:sz="4" w:space="0" w:color="auto"/>
          <w:right w:val="single" w:sz="4" w:space="4" w:color="auto"/>
        </w:pBdr>
        <w:tabs>
          <w:tab w:val="left" w:pos="567"/>
        </w:tabs>
        <w:rPr>
          <w:i/>
          <w:noProof/>
        </w:rPr>
      </w:pPr>
      <w:r>
        <w:rPr>
          <w:b/>
        </w:rPr>
        <w:t>17.</w:t>
      </w:r>
      <w:r>
        <w:rPr>
          <w:b/>
        </w:rPr>
        <w:tab/>
        <w:t>JEDINSTVENI IDENTIFIKATOR – 2D BARKOD</w:t>
      </w:r>
    </w:p>
    <w:p w14:paraId="66B5DBCC" w14:textId="77777777" w:rsidR="005A555C" w:rsidRPr="00C937E7" w:rsidRDefault="005A555C" w:rsidP="005A555C">
      <w:pPr>
        <w:rPr>
          <w:noProof/>
        </w:rPr>
      </w:pPr>
    </w:p>
    <w:p w14:paraId="69BE05D0" w14:textId="77777777" w:rsidR="005A555C" w:rsidRPr="00C937E7" w:rsidRDefault="005A555C" w:rsidP="005A555C">
      <w:pPr>
        <w:rPr>
          <w:noProof/>
          <w:shd w:val="clear" w:color="auto" w:fill="CCCCCC"/>
        </w:rPr>
      </w:pPr>
      <w:r>
        <w:rPr>
          <w:shd w:val="clear" w:color="auto" w:fill="CCCCCC"/>
        </w:rPr>
        <w:t>Sadrži 2D barkod s jedinstvenim identifikatorom.</w:t>
      </w:r>
    </w:p>
    <w:p w14:paraId="39F1DB33" w14:textId="77777777" w:rsidR="005A555C" w:rsidRDefault="005A555C" w:rsidP="005A555C">
      <w:pPr>
        <w:rPr>
          <w:noProof/>
        </w:rPr>
      </w:pPr>
    </w:p>
    <w:p w14:paraId="0E72F6D1" w14:textId="77777777" w:rsidR="005A555C" w:rsidRPr="00C937E7" w:rsidRDefault="005A555C" w:rsidP="005A555C">
      <w:pPr>
        <w:rPr>
          <w:noProof/>
        </w:rPr>
      </w:pPr>
    </w:p>
    <w:p w14:paraId="6B7367BF" w14:textId="77777777" w:rsidR="005A555C" w:rsidRPr="00C937E7" w:rsidRDefault="005A555C" w:rsidP="00A35C8B">
      <w:pPr>
        <w:pBdr>
          <w:top w:val="single" w:sz="4" w:space="1" w:color="auto"/>
          <w:left w:val="single" w:sz="4" w:space="4" w:color="auto"/>
          <w:bottom w:val="single" w:sz="4" w:space="0" w:color="auto"/>
          <w:right w:val="single" w:sz="4" w:space="4" w:color="auto"/>
        </w:pBdr>
        <w:tabs>
          <w:tab w:val="left" w:pos="567"/>
        </w:tabs>
        <w:rPr>
          <w:i/>
          <w:noProof/>
        </w:rPr>
      </w:pPr>
      <w:r>
        <w:rPr>
          <w:b/>
        </w:rPr>
        <w:t>18.</w:t>
      </w:r>
      <w:r>
        <w:rPr>
          <w:b/>
        </w:rPr>
        <w:tab/>
        <w:t>JEDINSTVENI IDENTIFIKATOR – PODACI ČITLJIVI LJUDSKIM OKOM</w:t>
      </w:r>
    </w:p>
    <w:p w14:paraId="455FF097" w14:textId="77777777" w:rsidR="005A555C" w:rsidRDefault="005A555C" w:rsidP="005A555C">
      <w:pPr>
        <w:rPr>
          <w:noProof/>
        </w:rPr>
      </w:pPr>
    </w:p>
    <w:p w14:paraId="0C9DA168" w14:textId="77777777" w:rsidR="005A555C" w:rsidRPr="00923D99" w:rsidRDefault="005A555C" w:rsidP="005A555C">
      <w:r>
        <w:t>PC</w:t>
      </w:r>
    </w:p>
    <w:p w14:paraId="1645D060" w14:textId="77777777" w:rsidR="005A555C" w:rsidRPr="00923D99" w:rsidRDefault="005A555C" w:rsidP="005A555C">
      <w:r>
        <w:t>SN</w:t>
      </w:r>
    </w:p>
    <w:p w14:paraId="0F57B231" w14:textId="77777777" w:rsidR="005A555C" w:rsidRPr="00923D99" w:rsidRDefault="005A555C" w:rsidP="005A555C">
      <w:r>
        <w:t>NN</w:t>
      </w:r>
    </w:p>
    <w:p w14:paraId="325BC7EF" w14:textId="77777777" w:rsidR="005A555C" w:rsidRPr="00A26F79" w:rsidRDefault="005A555C" w:rsidP="005A555C">
      <w:pPr>
        <w:rPr>
          <w:noProof/>
          <w:shd w:val="clear" w:color="auto" w:fill="CCCCCC"/>
        </w:rPr>
      </w:pPr>
    </w:p>
    <w:p w14:paraId="0611F644" w14:textId="77777777" w:rsidR="005A555C" w:rsidRPr="008225EB" w:rsidRDefault="005A555C" w:rsidP="005A555C">
      <w:pPr>
        <w:rPr>
          <w:b/>
          <w:noProof/>
        </w:rPr>
      </w:pPr>
      <w:r>
        <w:br w:type="page"/>
      </w:r>
    </w:p>
    <w:p w14:paraId="7A214B64"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6A564079" w14:textId="77777777"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09F4599F" w14:textId="08325DA2"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A35C8B">
        <w:rPr>
          <w:b/>
        </w:rPr>
        <w:t>I</w:t>
      </w:r>
      <w:r>
        <w:rPr>
          <w:b/>
        </w:rPr>
        <w:t xml:space="preserve"> BLISTER </w:t>
      </w:r>
      <w:r w:rsidR="00A35C8B">
        <w:rPr>
          <w:b/>
        </w:rPr>
        <w:t>S</w:t>
      </w:r>
      <w:r>
        <w:rPr>
          <w:b/>
        </w:rPr>
        <w:t xml:space="preserve"> JEDINIČN</w:t>
      </w:r>
      <w:r w:rsidR="00A35C8B">
        <w:rPr>
          <w:b/>
        </w:rPr>
        <w:t>IM</w:t>
      </w:r>
      <w:r>
        <w:rPr>
          <w:b/>
        </w:rPr>
        <w:t xml:space="preserve"> DOZ</w:t>
      </w:r>
      <w:r w:rsidR="00A35C8B">
        <w:rPr>
          <w:b/>
        </w:rPr>
        <w:t>AMA</w:t>
      </w:r>
      <w:r>
        <w:rPr>
          <w:b/>
        </w:rPr>
        <w:t xml:space="preserve"> </w:t>
      </w:r>
    </w:p>
    <w:p w14:paraId="7E1EDF4E" w14:textId="77777777" w:rsidR="005A555C" w:rsidRPr="00412450" w:rsidRDefault="005A555C" w:rsidP="005A555C">
      <w:pPr>
        <w:rPr>
          <w:noProof/>
        </w:rPr>
      </w:pPr>
    </w:p>
    <w:p w14:paraId="0169BC89" w14:textId="77777777" w:rsidR="005A555C" w:rsidRPr="00412450" w:rsidRDefault="005A555C" w:rsidP="005A555C">
      <w:pPr>
        <w:rPr>
          <w:noProof/>
        </w:rPr>
      </w:pPr>
    </w:p>
    <w:p w14:paraId="5072775C" w14:textId="77777777" w:rsidR="005A555C" w:rsidRPr="00EB595B" w:rsidRDefault="005A555C" w:rsidP="00A35C8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w:t>
      </w:r>
      <w:r>
        <w:rPr>
          <w:b/>
        </w:rPr>
        <w:tab/>
        <w:t>NAZIV LIJEKA</w:t>
      </w:r>
    </w:p>
    <w:p w14:paraId="5259E8FA" w14:textId="77777777" w:rsidR="005A555C" w:rsidRPr="008A1008" w:rsidRDefault="005A555C" w:rsidP="005A555C">
      <w:pPr>
        <w:rPr>
          <w:i/>
          <w:noProof/>
        </w:rPr>
      </w:pPr>
    </w:p>
    <w:p w14:paraId="5E4B9AFB" w14:textId="77777777" w:rsidR="005A555C" w:rsidRDefault="005A555C" w:rsidP="005A555C">
      <w:r>
        <w:t>Dasatinib Accord Healthcare 100 mg tablete</w:t>
      </w:r>
    </w:p>
    <w:p w14:paraId="1585790F" w14:textId="77777777" w:rsidR="005A555C" w:rsidRPr="006B4557" w:rsidRDefault="005A555C" w:rsidP="005A555C">
      <w:r>
        <w:t>dasatinib</w:t>
      </w:r>
    </w:p>
    <w:p w14:paraId="3C82012D" w14:textId="77777777" w:rsidR="005A555C" w:rsidRDefault="005A555C" w:rsidP="005A555C"/>
    <w:p w14:paraId="6273F52F" w14:textId="77777777" w:rsidR="005A555C" w:rsidRPr="006B4557" w:rsidRDefault="005A555C" w:rsidP="005A555C"/>
    <w:p w14:paraId="1592041D"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1DB47F90" w14:textId="77777777" w:rsidR="005A555C" w:rsidRPr="00BC6DC2" w:rsidRDefault="005A555C" w:rsidP="005A555C">
      <w:pPr>
        <w:rPr>
          <w:noProof/>
        </w:rPr>
      </w:pPr>
    </w:p>
    <w:p w14:paraId="308E858A" w14:textId="77777777" w:rsidR="005A555C" w:rsidRPr="001F6423" w:rsidRDefault="005A555C" w:rsidP="005A555C">
      <w:pPr>
        <w:rPr>
          <w:noProof/>
        </w:rPr>
      </w:pPr>
      <w:r>
        <w:t>Accord</w:t>
      </w:r>
    </w:p>
    <w:p w14:paraId="66A5CAE2" w14:textId="77777777" w:rsidR="005A555C" w:rsidRDefault="005A555C" w:rsidP="005A555C">
      <w:pPr>
        <w:rPr>
          <w:noProof/>
        </w:rPr>
      </w:pPr>
    </w:p>
    <w:p w14:paraId="01653272" w14:textId="77777777" w:rsidR="005A555C" w:rsidRPr="001F6423" w:rsidRDefault="005A555C" w:rsidP="005A555C">
      <w:pPr>
        <w:rPr>
          <w:noProof/>
        </w:rPr>
      </w:pPr>
    </w:p>
    <w:p w14:paraId="224CF9EF" w14:textId="77777777" w:rsidR="005A555C" w:rsidRPr="006B4557" w:rsidRDefault="005A555C" w:rsidP="00A35C8B">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7E1D1A57" w14:textId="77777777" w:rsidR="005A555C" w:rsidRPr="006B4557" w:rsidRDefault="005A555C" w:rsidP="005A555C">
      <w:pPr>
        <w:rPr>
          <w:noProof/>
        </w:rPr>
      </w:pPr>
    </w:p>
    <w:p w14:paraId="3D88831D" w14:textId="77777777" w:rsidR="005A555C" w:rsidRDefault="005A555C" w:rsidP="005A555C">
      <w:pPr>
        <w:rPr>
          <w:noProof/>
        </w:rPr>
      </w:pPr>
      <w:r>
        <w:t>EXP</w:t>
      </w:r>
    </w:p>
    <w:p w14:paraId="391AC960" w14:textId="77777777" w:rsidR="005A555C" w:rsidRDefault="005A555C" w:rsidP="005A555C">
      <w:pPr>
        <w:rPr>
          <w:noProof/>
        </w:rPr>
      </w:pPr>
    </w:p>
    <w:p w14:paraId="53AC398C" w14:textId="77777777" w:rsidR="005A555C" w:rsidRPr="006B4557" w:rsidRDefault="005A555C" w:rsidP="005A555C">
      <w:pPr>
        <w:rPr>
          <w:noProof/>
        </w:rPr>
      </w:pPr>
    </w:p>
    <w:p w14:paraId="11288941"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5B262A79" w14:textId="77777777" w:rsidR="005A555C" w:rsidRPr="006B4557" w:rsidRDefault="005A555C" w:rsidP="005A555C">
      <w:pPr>
        <w:rPr>
          <w:noProof/>
        </w:rPr>
      </w:pPr>
    </w:p>
    <w:p w14:paraId="264AE2E2" w14:textId="72B97DD0" w:rsidR="005A555C" w:rsidRDefault="002C3132" w:rsidP="005A555C">
      <w:pPr>
        <w:rPr>
          <w:noProof/>
        </w:rPr>
      </w:pPr>
      <w:r>
        <w:t>Lot</w:t>
      </w:r>
    </w:p>
    <w:p w14:paraId="21EEB29F" w14:textId="77777777" w:rsidR="005A555C" w:rsidRPr="006B4557" w:rsidRDefault="005A555C" w:rsidP="005A555C">
      <w:pPr>
        <w:rPr>
          <w:noProof/>
        </w:rPr>
      </w:pPr>
    </w:p>
    <w:p w14:paraId="5D475248" w14:textId="77777777" w:rsidR="005A555C" w:rsidRPr="006B4557" w:rsidRDefault="005A555C" w:rsidP="00A35C8B">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142C69CD" w14:textId="77777777" w:rsidR="005A555C" w:rsidRPr="006B4557" w:rsidRDefault="005A555C" w:rsidP="005A555C">
      <w:pPr>
        <w:rPr>
          <w:noProof/>
        </w:rPr>
      </w:pPr>
    </w:p>
    <w:p w14:paraId="06E3A88E" w14:textId="62BB2F10" w:rsidR="005A555C" w:rsidRDefault="00030B1F" w:rsidP="005A555C">
      <w:pPr>
        <w:shd w:val="clear" w:color="auto" w:fill="FFFFFF"/>
        <w:rPr>
          <w:noProof/>
        </w:rPr>
      </w:pPr>
      <w:r w:rsidRPr="000A0E58">
        <w:rPr>
          <w:noProof/>
          <w:highlight w:val="lightGray"/>
        </w:rPr>
        <w:t>Primjena kroz usta.</w:t>
      </w:r>
    </w:p>
    <w:p w14:paraId="66C60336" w14:textId="77777777" w:rsidR="005A555C" w:rsidRPr="006B4557" w:rsidRDefault="005A555C" w:rsidP="005A555C">
      <w:pPr>
        <w:shd w:val="clear" w:color="auto" w:fill="FFFFFF"/>
        <w:rPr>
          <w:noProof/>
        </w:rPr>
      </w:pPr>
      <w:r>
        <w:br w:type="page"/>
      </w:r>
    </w:p>
    <w:p w14:paraId="55760E3A" w14:textId="77777777" w:rsidR="005A555C" w:rsidRPr="006B4557" w:rsidRDefault="005A555C" w:rsidP="005A555C">
      <w:pPr>
        <w:pBdr>
          <w:top w:val="single" w:sz="4" w:space="1" w:color="auto"/>
          <w:left w:val="single" w:sz="4" w:space="4" w:color="auto"/>
          <w:bottom w:val="single" w:sz="4" w:space="1" w:color="auto"/>
          <w:right w:val="single" w:sz="4" w:space="4" w:color="auto"/>
        </w:pBdr>
        <w:rPr>
          <w:b/>
          <w:noProof/>
        </w:rPr>
      </w:pPr>
      <w:r>
        <w:rPr>
          <w:b/>
        </w:rPr>
        <w:lastRenderedPageBreak/>
        <w:t>PODACI KOJI SE MORAJU NALAZITI NA VANJSKOM PAKIRANJU</w:t>
      </w:r>
    </w:p>
    <w:p w14:paraId="2D0C9838"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rPr>
          <w:bCs/>
          <w:noProof/>
        </w:rPr>
      </w:pPr>
    </w:p>
    <w:p w14:paraId="57386B51" w14:textId="05E8DD88" w:rsidR="005A555C" w:rsidRPr="006B4557" w:rsidRDefault="005A555C" w:rsidP="005A555C">
      <w:pPr>
        <w:pBdr>
          <w:top w:val="single" w:sz="4" w:space="1" w:color="auto"/>
          <w:left w:val="single" w:sz="4" w:space="4" w:color="auto"/>
          <w:bottom w:val="single" w:sz="4" w:space="1" w:color="auto"/>
          <w:right w:val="single" w:sz="4" w:space="4" w:color="auto"/>
        </w:pBdr>
        <w:rPr>
          <w:bCs/>
          <w:noProof/>
        </w:rPr>
      </w:pPr>
      <w:r>
        <w:rPr>
          <w:b/>
        </w:rPr>
        <w:t>VANJSKA KUTIJA ZA BLISTER</w:t>
      </w:r>
      <w:r w:rsidR="001C1CFF">
        <w:rPr>
          <w:b/>
        </w:rPr>
        <w:t xml:space="preserve"> PAKIRANJE</w:t>
      </w:r>
    </w:p>
    <w:p w14:paraId="2A79ED80" w14:textId="77777777" w:rsidR="005A555C" w:rsidRPr="006B4557" w:rsidRDefault="005A555C" w:rsidP="005A555C"/>
    <w:p w14:paraId="229910A2" w14:textId="77777777" w:rsidR="005A555C" w:rsidRPr="006C6114" w:rsidRDefault="005A555C" w:rsidP="005A555C">
      <w:pPr>
        <w:rPr>
          <w:noProof/>
        </w:rPr>
      </w:pPr>
    </w:p>
    <w:p w14:paraId="651FD51D"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NAZIV LIJEKA</w:t>
      </w:r>
    </w:p>
    <w:p w14:paraId="113FB791" w14:textId="77777777" w:rsidR="005A555C" w:rsidRPr="00BC6DC2" w:rsidRDefault="005A555C" w:rsidP="005A555C">
      <w:pPr>
        <w:rPr>
          <w:noProof/>
        </w:rPr>
      </w:pPr>
    </w:p>
    <w:p w14:paraId="5471FD15" w14:textId="77777777" w:rsidR="005A555C" w:rsidRPr="006B4557" w:rsidRDefault="005A555C" w:rsidP="005A555C">
      <w:pPr>
        <w:rPr>
          <w:noProof/>
        </w:rPr>
      </w:pPr>
      <w:r>
        <w:t>Dasatinib Accord Healthcare 140 mg filmom obložene tablete</w:t>
      </w:r>
    </w:p>
    <w:p w14:paraId="3406EC71" w14:textId="77777777" w:rsidR="005A555C" w:rsidRPr="00067B16" w:rsidRDefault="005A555C" w:rsidP="005A555C">
      <w:pPr>
        <w:rPr>
          <w:b/>
        </w:rPr>
      </w:pPr>
      <w:r>
        <w:t>dasatinib</w:t>
      </w:r>
    </w:p>
    <w:p w14:paraId="08A96E6A" w14:textId="77777777" w:rsidR="005A555C" w:rsidRPr="00067B16" w:rsidRDefault="005A555C" w:rsidP="005A555C">
      <w:pPr>
        <w:rPr>
          <w:noProof/>
        </w:rPr>
      </w:pPr>
    </w:p>
    <w:p w14:paraId="66FD974C" w14:textId="77777777" w:rsidR="005A555C" w:rsidRPr="00B3208E" w:rsidRDefault="005A555C" w:rsidP="005A555C">
      <w:pPr>
        <w:rPr>
          <w:noProof/>
        </w:rPr>
      </w:pPr>
    </w:p>
    <w:p w14:paraId="29A220B1"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NAVOĐENJE DJELATNE(IH) TVARI</w:t>
      </w:r>
    </w:p>
    <w:p w14:paraId="4BCCF739" w14:textId="77777777" w:rsidR="005A555C" w:rsidRPr="006B4557" w:rsidRDefault="005A555C" w:rsidP="005A555C">
      <w:pPr>
        <w:rPr>
          <w:noProof/>
        </w:rPr>
      </w:pPr>
    </w:p>
    <w:p w14:paraId="11352625" w14:textId="2BA9667B" w:rsidR="005A555C" w:rsidRPr="00B3208E" w:rsidRDefault="005A555C" w:rsidP="005A555C">
      <w:pPr>
        <w:rPr>
          <w:noProof/>
        </w:rPr>
      </w:pPr>
      <w:r>
        <w:t xml:space="preserve">Jedna filmom obložena tableta sadrži 140 mg dasatiniba (u obliku </w:t>
      </w:r>
      <w:r w:rsidR="0019067D">
        <w:t>dasatinib</w:t>
      </w:r>
      <w:r w:rsidR="00A35C8B">
        <w:t xml:space="preserve"> </w:t>
      </w:r>
      <w:r>
        <w:t>hidrata).</w:t>
      </w:r>
    </w:p>
    <w:p w14:paraId="3F050427" w14:textId="77777777" w:rsidR="005A555C" w:rsidRPr="00F0280B" w:rsidRDefault="005A555C" w:rsidP="005A555C">
      <w:pPr>
        <w:rPr>
          <w:noProof/>
        </w:rPr>
      </w:pPr>
    </w:p>
    <w:p w14:paraId="3E7D142D" w14:textId="77777777" w:rsidR="005A555C" w:rsidRPr="00A26F79" w:rsidRDefault="005A555C" w:rsidP="005A555C">
      <w:pPr>
        <w:rPr>
          <w:noProof/>
        </w:rPr>
      </w:pPr>
    </w:p>
    <w:p w14:paraId="5F7BCB2D" w14:textId="77777777" w:rsidR="005A555C" w:rsidRPr="008225EB"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3.</w:t>
      </w:r>
      <w:r>
        <w:rPr>
          <w:b/>
        </w:rPr>
        <w:tab/>
        <w:t>POPIS POMOĆNIH TVARI</w:t>
      </w:r>
    </w:p>
    <w:p w14:paraId="2B2E6C78" w14:textId="77777777" w:rsidR="005A555C" w:rsidRPr="00A3136F" w:rsidRDefault="005A555C" w:rsidP="005A555C">
      <w:pPr>
        <w:rPr>
          <w:noProof/>
        </w:rPr>
      </w:pPr>
    </w:p>
    <w:p w14:paraId="2F03F962" w14:textId="0F3ECD85" w:rsidR="005A555C" w:rsidRDefault="005A555C" w:rsidP="005A555C">
      <w:pPr>
        <w:rPr>
          <w:noProof/>
        </w:rPr>
      </w:pPr>
      <w:r>
        <w:t>Pomoćne tvari: sadrži laktozu</w:t>
      </w:r>
      <w:r w:rsidR="00A35C8B">
        <w:t>.</w:t>
      </w:r>
      <w:r>
        <w:t xml:space="preserve"> </w:t>
      </w:r>
    </w:p>
    <w:p w14:paraId="4682EA82" w14:textId="77777777" w:rsidR="005A555C" w:rsidRDefault="005A555C" w:rsidP="005A555C">
      <w:pPr>
        <w:rPr>
          <w:noProof/>
        </w:rPr>
      </w:pPr>
      <w:r>
        <w:rPr>
          <w:highlight w:val="lightGray"/>
        </w:rPr>
        <w:t>Za dodatne informacije vidjeti uputu o lijeku.</w:t>
      </w:r>
    </w:p>
    <w:p w14:paraId="276B6920" w14:textId="77777777" w:rsidR="005A555C" w:rsidRDefault="005A555C" w:rsidP="005A555C">
      <w:pPr>
        <w:rPr>
          <w:noProof/>
        </w:rPr>
      </w:pPr>
    </w:p>
    <w:p w14:paraId="5EACB9AE" w14:textId="77777777" w:rsidR="005A555C" w:rsidRPr="000643D3" w:rsidRDefault="005A555C" w:rsidP="005A555C">
      <w:pPr>
        <w:rPr>
          <w:noProof/>
        </w:rPr>
      </w:pPr>
    </w:p>
    <w:p w14:paraId="235C25E0"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FARMACEUTSKI OBLIK I SADRŽAJ</w:t>
      </w:r>
    </w:p>
    <w:p w14:paraId="2125B7CD" w14:textId="77777777" w:rsidR="005A555C" w:rsidRDefault="005A555C" w:rsidP="005A555C">
      <w:pPr>
        <w:rPr>
          <w:noProof/>
        </w:rPr>
      </w:pPr>
    </w:p>
    <w:p w14:paraId="567F0832" w14:textId="77777777" w:rsidR="005A555C" w:rsidRDefault="005A555C" w:rsidP="005A555C">
      <w:r>
        <w:rPr>
          <w:highlight w:val="lightGray"/>
        </w:rPr>
        <w:t>30 filmom obloženih tableta</w:t>
      </w:r>
    </w:p>
    <w:p w14:paraId="637ED533" w14:textId="2C1EAF65" w:rsidR="00030B1F" w:rsidRPr="00675D00" w:rsidRDefault="00030B1F" w:rsidP="005A555C">
      <w:r w:rsidRPr="002C3132">
        <w:rPr>
          <w:highlight w:val="lightGray"/>
        </w:rPr>
        <w:t>56 fillmom obloženih tableta</w:t>
      </w:r>
    </w:p>
    <w:p w14:paraId="626A3E21" w14:textId="3A57769C" w:rsidR="005A555C" w:rsidRPr="0050753A" w:rsidRDefault="00030B1F" w:rsidP="005A555C">
      <w:pPr>
        <w:rPr>
          <w:noProof/>
          <w:highlight w:val="lightGray"/>
        </w:rPr>
      </w:pPr>
      <w:r>
        <w:rPr>
          <w:highlight w:val="lightGray"/>
        </w:rPr>
        <w:t>30</w:t>
      </w:r>
      <w:r w:rsidR="005A555C">
        <w:rPr>
          <w:highlight w:val="lightGray"/>
        </w:rPr>
        <w:t xml:space="preserve"> x 1 filmom obložena tableta</w:t>
      </w:r>
    </w:p>
    <w:p w14:paraId="4C424B81" w14:textId="60D6CB2E" w:rsidR="007B1242" w:rsidRDefault="00030B1F" w:rsidP="005A555C">
      <w:pPr>
        <w:rPr>
          <w:noProof/>
        </w:rPr>
      </w:pPr>
      <w:r>
        <w:rPr>
          <w:highlight w:val="lightGray"/>
        </w:rPr>
        <w:t>56</w:t>
      </w:r>
      <w:r w:rsidR="005A555C">
        <w:rPr>
          <w:highlight w:val="lightGray"/>
        </w:rPr>
        <w:t xml:space="preserve"> x 1 filmom obložena tableta</w:t>
      </w:r>
    </w:p>
    <w:p w14:paraId="6B06CB05" w14:textId="77777777" w:rsidR="007B1242" w:rsidRPr="00CB0F2E" w:rsidRDefault="007B1242" w:rsidP="007B1242">
      <w:pPr>
        <w:rPr>
          <w:noProof/>
        </w:rPr>
      </w:pPr>
      <w:r w:rsidRPr="0046674A">
        <w:rPr>
          <w:highlight w:val="lightGray"/>
        </w:rPr>
        <w:t>10 x 1 filmom obložena tableta</w:t>
      </w:r>
    </w:p>
    <w:p w14:paraId="3EA06E8D" w14:textId="5A567773" w:rsidR="005A555C" w:rsidRDefault="005A555C" w:rsidP="005A555C">
      <w:pPr>
        <w:rPr>
          <w:noProof/>
        </w:rPr>
      </w:pPr>
    </w:p>
    <w:p w14:paraId="42316200" w14:textId="77777777" w:rsidR="00C45327" w:rsidRPr="007B42D3" w:rsidRDefault="00C45327" w:rsidP="005A555C">
      <w:pPr>
        <w:rPr>
          <w:noProof/>
        </w:rPr>
      </w:pPr>
    </w:p>
    <w:p w14:paraId="2BBDEE4A" w14:textId="77777777" w:rsidR="005A555C" w:rsidRPr="00067B16"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5.</w:t>
      </w:r>
      <w:r>
        <w:rPr>
          <w:b/>
        </w:rPr>
        <w:tab/>
        <w:t>NAČIN I PUT(EVI) PRIMJENE LIJEKA</w:t>
      </w:r>
    </w:p>
    <w:p w14:paraId="306B6945" w14:textId="77777777" w:rsidR="005A555C" w:rsidRPr="006B4557" w:rsidRDefault="005A555C" w:rsidP="005A555C">
      <w:pPr>
        <w:rPr>
          <w:noProof/>
        </w:rPr>
      </w:pPr>
    </w:p>
    <w:p w14:paraId="23B2547C" w14:textId="77777777" w:rsidR="005A555C" w:rsidRDefault="005A555C" w:rsidP="005A555C">
      <w:pPr>
        <w:rPr>
          <w:noProof/>
        </w:rPr>
      </w:pPr>
      <w:r>
        <w:t>Prije uporabe pročitajte uputu o lijeku.</w:t>
      </w:r>
    </w:p>
    <w:p w14:paraId="0B5FD96A" w14:textId="77777777" w:rsidR="005A555C" w:rsidRPr="007B42D3" w:rsidRDefault="005A555C" w:rsidP="005A555C">
      <w:pPr>
        <w:rPr>
          <w:noProof/>
        </w:rPr>
      </w:pPr>
      <w:r>
        <w:t>Primjena kroz usta.</w:t>
      </w:r>
    </w:p>
    <w:p w14:paraId="77246C1B" w14:textId="77777777" w:rsidR="005A555C" w:rsidRPr="00067B16" w:rsidRDefault="005A555C" w:rsidP="005A555C">
      <w:pPr>
        <w:rPr>
          <w:noProof/>
        </w:rPr>
      </w:pPr>
    </w:p>
    <w:p w14:paraId="4B543547" w14:textId="77777777" w:rsidR="005A555C" w:rsidRPr="00067B16" w:rsidRDefault="005A555C" w:rsidP="005A555C">
      <w:pPr>
        <w:rPr>
          <w:noProof/>
        </w:rPr>
      </w:pPr>
    </w:p>
    <w:p w14:paraId="788CCD2A" w14:textId="77777777" w:rsidR="005A555C" w:rsidRPr="00A26F79"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POSEBNO UPOZORENJE O ČUVANJU LIJEKA IZVAN POGLEDA I DOHVATA DJECE</w:t>
      </w:r>
    </w:p>
    <w:p w14:paraId="4CA7C56F" w14:textId="77777777" w:rsidR="005A555C" w:rsidRPr="008225EB" w:rsidRDefault="005A555C" w:rsidP="005A555C">
      <w:pPr>
        <w:rPr>
          <w:noProof/>
        </w:rPr>
      </w:pPr>
    </w:p>
    <w:p w14:paraId="5B4E12DB" w14:textId="77777777" w:rsidR="005A555C" w:rsidRPr="008225EB" w:rsidRDefault="005A555C" w:rsidP="005A555C">
      <w:pPr>
        <w:outlineLvl w:val="0"/>
        <w:rPr>
          <w:noProof/>
        </w:rPr>
      </w:pPr>
      <w:r>
        <w:t>Čuvati izvan pogleda i dohvata djece.</w:t>
      </w:r>
    </w:p>
    <w:p w14:paraId="5D364C19" w14:textId="77777777" w:rsidR="005A555C" w:rsidRPr="00A3136F" w:rsidRDefault="005A555C" w:rsidP="005A555C">
      <w:pPr>
        <w:rPr>
          <w:noProof/>
        </w:rPr>
      </w:pPr>
    </w:p>
    <w:p w14:paraId="0712548B" w14:textId="77777777" w:rsidR="005A555C" w:rsidRPr="000643D3" w:rsidRDefault="005A555C" w:rsidP="005A555C">
      <w:pPr>
        <w:rPr>
          <w:noProof/>
        </w:rPr>
      </w:pPr>
    </w:p>
    <w:p w14:paraId="65421CD4" w14:textId="77777777" w:rsidR="005A555C" w:rsidRPr="00412450" w:rsidRDefault="005A555C" w:rsidP="005A555C">
      <w:pPr>
        <w:pBdr>
          <w:top w:val="single" w:sz="4" w:space="1" w:color="auto"/>
          <w:left w:val="single" w:sz="4" w:space="4" w:color="auto"/>
          <w:bottom w:val="single" w:sz="4" w:space="1" w:color="auto"/>
          <w:right w:val="single" w:sz="4" w:space="4" w:color="auto"/>
        </w:pBdr>
        <w:ind w:left="567" w:hanging="567"/>
        <w:outlineLvl w:val="0"/>
        <w:rPr>
          <w:noProof/>
        </w:rPr>
      </w:pPr>
      <w:r>
        <w:rPr>
          <w:b/>
        </w:rPr>
        <w:t>7.</w:t>
      </w:r>
      <w:r>
        <w:rPr>
          <w:b/>
        </w:rPr>
        <w:tab/>
        <w:t>DRUGO(A) POSEBNO(A) UPOZORENJE(A), AKO JE POTREBNO</w:t>
      </w:r>
    </w:p>
    <w:p w14:paraId="3458E408" w14:textId="77777777" w:rsidR="005A555C" w:rsidRPr="006B4557" w:rsidRDefault="005A555C" w:rsidP="005A555C">
      <w:pPr>
        <w:tabs>
          <w:tab w:val="left" w:pos="749"/>
        </w:tabs>
      </w:pPr>
    </w:p>
    <w:p w14:paraId="5130D9C7" w14:textId="77777777" w:rsidR="005A555C" w:rsidRPr="006B4557" w:rsidRDefault="005A555C" w:rsidP="005A555C">
      <w:pPr>
        <w:tabs>
          <w:tab w:val="left" w:pos="749"/>
        </w:tabs>
      </w:pPr>
    </w:p>
    <w:p w14:paraId="5A1F7D16"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ROK VALJANOSTI</w:t>
      </w:r>
    </w:p>
    <w:p w14:paraId="050E8E03" w14:textId="77777777" w:rsidR="005A555C" w:rsidRPr="006B4557" w:rsidRDefault="005A555C" w:rsidP="005A555C"/>
    <w:p w14:paraId="1A6AB47A" w14:textId="77777777" w:rsidR="005A555C" w:rsidRDefault="005A555C" w:rsidP="005A555C">
      <w:pPr>
        <w:rPr>
          <w:noProof/>
        </w:rPr>
      </w:pPr>
      <w:r>
        <w:t>EXP</w:t>
      </w:r>
    </w:p>
    <w:p w14:paraId="0A9A6652" w14:textId="77777777" w:rsidR="005A555C" w:rsidRDefault="005A555C" w:rsidP="005A555C">
      <w:pPr>
        <w:rPr>
          <w:noProof/>
        </w:rPr>
      </w:pPr>
    </w:p>
    <w:p w14:paraId="6053FB87" w14:textId="77777777" w:rsidR="005A555C" w:rsidRPr="00BC6DC2" w:rsidRDefault="005A555C" w:rsidP="005A555C">
      <w:pPr>
        <w:rPr>
          <w:noProof/>
        </w:rPr>
      </w:pPr>
    </w:p>
    <w:p w14:paraId="10E55C89" w14:textId="77777777" w:rsidR="005A555C" w:rsidRPr="00157895" w:rsidRDefault="005A555C" w:rsidP="005A555C">
      <w:pPr>
        <w:pBdr>
          <w:top w:val="single" w:sz="4" w:space="1" w:color="auto"/>
          <w:left w:val="single" w:sz="4" w:space="4" w:color="auto"/>
          <w:bottom w:val="single" w:sz="4" w:space="1" w:color="auto"/>
          <w:right w:val="single" w:sz="4" w:space="4" w:color="auto"/>
        </w:pBdr>
        <w:ind w:left="562" w:hanging="562"/>
        <w:outlineLvl w:val="0"/>
        <w:rPr>
          <w:noProof/>
        </w:rPr>
      </w:pPr>
      <w:r>
        <w:rPr>
          <w:b/>
        </w:rPr>
        <w:t>9.</w:t>
      </w:r>
      <w:r>
        <w:rPr>
          <w:b/>
        </w:rPr>
        <w:tab/>
        <w:t>POSEBNE MJERE ČUVANJA</w:t>
      </w:r>
    </w:p>
    <w:p w14:paraId="4A1BBC3A" w14:textId="77777777" w:rsidR="005A555C" w:rsidRPr="001F6423" w:rsidRDefault="005A555C" w:rsidP="005A555C">
      <w:pPr>
        <w:rPr>
          <w:noProof/>
        </w:rPr>
      </w:pPr>
    </w:p>
    <w:p w14:paraId="685FDE99" w14:textId="2B3D9AD9" w:rsidR="005A555C" w:rsidRPr="001F6423" w:rsidRDefault="00A35C8B" w:rsidP="00364B53">
      <w:pPr>
        <w:rPr>
          <w:noProof/>
        </w:rPr>
      </w:pPr>
      <w:r>
        <w:rPr>
          <w:noProof/>
        </w:rPr>
        <w:br w:type="page"/>
      </w:r>
    </w:p>
    <w:p w14:paraId="100931BA" w14:textId="77777777" w:rsidR="005A555C" w:rsidRPr="006B4557" w:rsidRDefault="005A555C" w:rsidP="005A555C">
      <w:pPr>
        <w:pBdr>
          <w:top w:val="single" w:sz="4" w:space="1" w:color="auto"/>
          <w:left w:val="single" w:sz="4" w:space="4" w:color="auto"/>
          <w:bottom w:val="single" w:sz="4" w:space="1" w:color="auto"/>
          <w:right w:val="single" w:sz="4" w:space="4" w:color="auto"/>
        </w:pBdr>
        <w:ind w:left="567" w:hanging="567"/>
        <w:outlineLvl w:val="0"/>
        <w:rPr>
          <w:b/>
          <w:noProof/>
        </w:rPr>
      </w:pPr>
      <w:r>
        <w:rPr>
          <w:b/>
        </w:rPr>
        <w:lastRenderedPageBreak/>
        <w:t>10.</w:t>
      </w:r>
      <w:r>
        <w:rPr>
          <w:b/>
        </w:rPr>
        <w:tab/>
        <w:t>POSEBNE MJERE ZA ZBRINJAVANJE NEISKORIŠTENOG LIJEKA ILI OTPADNIH MATERIJALA KOJI POTJEČU OD LIJEKA, AKO JE POTREBNO</w:t>
      </w:r>
    </w:p>
    <w:p w14:paraId="4BC5709B" w14:textId="77777777" w:rsidR="005A555C" w:rsidRPr="006B4557" w:rsidRDefault="005A555C" w:rsidP="005A555C">
      <w:pPr>
        <w:rPr>
          <w:noProof/>
        </w:rPr>
      </w:pPr>
    </w:p>
    <w:p w14:paraId="707DC173" w14:textId="77777777" w:rsidR="005A555C" w:rsidRPr="006B4557" w:rsidRDefault="005A555C" w:rsidP="005A555C">
      <w:pPr>
        <w:rPr>
          <w:noProof/>
        </w:rPr>
      </w:pPr>
    </w:p>
    <w:p w14:paraId="23733C22"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11.</w:t>
      </w:r>
      <w:r>
        <w:rPr>
          <w:b/>
        </w:rPr>
        <w:tab/>
        <w:t>NAZIV I ADRESA NOSITELJA ODOBRENJA ZA STAVLJANJE LIJEKA U PROMET</w:t>
      </w:r>
    </w:p>
    <w:p w14:paraId="16D6B8CC" w14:textId="77777777" w:rsidR="005A555C" w:rsidRPr="006B4557" w:rsidRDefault="005A555C" w:rsidP="005A555C">
      <w:pPr>
        <w:rPr>
          <w:noProof/>
        </w:rPr>
      </w:pPr>
    </w:p>
    <w:p w14:paraId="467C38C9" w14:textId="77777777" w:rsidR="005A555C" w:rsidRPr="00993D25" w:rsidRDefault="005A555C" w:rsidP="005A555C">
      <w:r>
        <w:t>Accord Healthcare S.L.U.</w:t>
      </w:r>
    </w:p>
    <w:p w14:paraId="269B4638" w14:textId="77777777" w:rsidR="005A555C" w:rsidRPr="00675D00" w:rsidRDefault="005A555C" w:rsidP="005A555C">
      <w:r>
        <w:t>World Trade Center, Moll de Barcelona s/n,</w:t>
      </w:r>
    </w:p>
    <w:p w14:paraId="2DE1ABF6" w14:textId="77777777" w:rsidR="005A555C" w:rsidRPr="00675D00" w:rsidRDefault="005A555C" w:rsidP="005A555C">
      <w:r>
        <w:t>Edifici Est, 6</w:t>
      </w:r>
      <w:r>
        <w:rPr>
          <w:vertAlign w:val="superscript"/>
        </w:rPr>
        <w:t>a</w:t>
      </w:r>
      <w:r>
        <w:t xml:space="preserve"> Planta</w:t>
      </w:r>
    </w:p>
    <w:p w14:paraId="458EB922" w14:textId="77777777" w:rsidR="005A555C" w:rsidRPr="00675D00" w:rsidRDefault="005A555C" w:rsidP="005A555C">
      <w:r>
        <w:t>08039 Barcelona</w:t>
      </w:r>
    </w:p>
    <w:p w14:paraId="0F61331C" w14:textId="77777777" w:rsidR="005A555C" w:rsidRPr="00675D00" w:rsidRDefault="005A555C" w:rsidP="005A555C">
      <w:r>
        <w:t>Španjolska</w:t>
      </w:r>
    </w:p>
    <w:p w14:paraId="1EF25FEA" w14:textId="77777777" w:rsidR="005A555C" w:rsidRPr="00675D00" w:rsidRDefault="005A555C" w:rsidP="005A555C">
      <w:pPr>
        <w:rPr>
          <w:lang w:val="fr-FR"/>
        </w:rPr>
      </w:pPr>
    </w:p>
    <w:p w14:paraId="535643F6" w14:textId="77777777" w:rsidR="005A555C" w:rsidRPr="00675D00" w:rsidRDefault="005A555C" w:rsidP="005A555C">
      <w:pPr>
        <w:rPr>
          <w:lang w:val="fr-FR"/>
        </w:rPr>
      </w:pPr>
    </w:p>
    <w:p w14:paraId="2F7A17CC"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noProof/>
        </w:rPr>
      </w:pPr>
      <w:r>
        <w:rPr>
          <w:b/>
        </w:rPr>
        <w:t>12.</w:t>
      </w:r>
      <w:r>
        <w:rPr>
          <w:b/>
        </w:rPr>
        <w:tab/>
        <w:t>BROJ(EVI) ODOBRENJA ZA STAVLJANJE LIJEKA U PROMET</w:t>
      </w:r>
    </w:p>
    <w:p w14:paraId="486AA321" w14:textId="77777777" w:rsidR="00030B1F" w:rsidRDefault="00030B1F" w:rsidP="005A555C">
      <w:pPr>
        <w:rPr>
          <w:noProof/>
        </w:rPr>
      </w:pPr>
    </w:p>
    <w:p w14:paraId="517B83B8" w14:textId="77777777" w:rsidR="00030B1F" w:rsidRDefault="00030B1F" w:rsidP="00030B1F">
      <w:pPr>
        <w:rPr>
          <w:noProof/>
        </w:rPr>
      </w:pPr>
      <w:r>
        <w:rPr>
          <w:noProof/>
        </w:rPr>
        <w:t>EU/1/24/1839/021</w:t>
      </w:r>
    </w:p>
    <w:p w14:paraId="0A7915F8" w14:textId="77777777" w:rsidR="00030B1F" w:rsidRDefault="00030B1F" w:rsidP="00030B1F">
      <w:pPr>
        <w:rPr>
          <w:noProof/>
        </w:rPr>
      </w:pPr>
      <w:r>
        <w:rPr>
          <w:noProof/>
        </w:rPr>
        <w:t>EU/1/24/1839/022</w:t>
      </w:r>
    </w:p>
    <w:p w14:paraId="624C82B0" w14:textId="77777777" w:rsidR="00030B1F" w:rsidRDefault="00030B1F" w:rsidP="00030B1F">
      <w:pPr>
        <w:rPr>
          <w:noProof/>
        </w:rPr>
      </w:pPr>
      <w:r>
        <w:rPr>
          <w:noProof/>
        </w:rPr>
        <w:t>EU/1/24/1839/023</w:t>
      </w:r>
    </w:p>
    <w:p w14:paraId="6B6BF19C" w14:textId="2C3E9199" w:rsidR="00030B1F" w:rsidRPr="006B4557" w:rsidRDefault="00030B1F" w:rsidP="00030B1F">
      <w:pPr>
        <w:rPr>
          <w:noProof/>
        </w:rPr>
      </w:pPr>
      <w:r>
        <w:rPr>
          <w:noProof/>
        </w:rPr>
        <w:t>EU/1/24/1839/024</w:t>
      </w:r>
    </w:p>
    <w:p w14:paraId="7EE6C77D" w14:textId="0D1F8DE7" w:rsidR="005A555C" w:rsidRPr="00310EA0" w:rsidRDefault="007B1242" w:rsidP="005A555C">
      <w:pPr>
        <w:rPr>
          <w:lang w:val="pl-PL"/>
        </w:rPr>
      </w:pPr>
      <w:r w:rsidRPr="00310EA0">
        <w:rPr>
          <w:lang w:val="pl-PL"/>
        </w:rPr>
        <w:t>EU/1/24/1839/030</w:t>
      </w:r>
    </w:p>
    <w:p w14:paraId="26C06CCF" w14:textId="7B897110" w:rsidR="002C25D1" w:rsidRPr="00310EA0" w:rsidRDefault="002C25D1" w:rsidP="005A555C">
      <w:pPr>
        <w:rPr>
          <w:lang w:val="pl-PL"/>
        </w:rPr>
      </w:pPr>
    </w:p>
    <w:p w14:paraId="62C37590" w14:textId="77777777" w:rsidR="00C45327" w:rsidRPr="00310EA0" w:rsidRDefault="00C45327" w:rsidP="005A555C">
      <w:pPr>
        <w:rPr>
          <w:lang w:val="pl-PL"/>
        </w:rPr>
      </w:pPr>
    </w:p>
    <w:p w14:paraId="768004A9" w14:textId="77777777" w:rsidR="005A555C" w:rsidRPr="00675D00" w:rsidRDefault="005A555C" w:rsidP="001858B4">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BROJ SERIJE</w:t>
      </w:r>
    </w:p>
    <w:p w14:paraId="283FCA25" w14:textId="77777777" w:rsidR="005A555C" w:rsidRPr="00310EA0" w:rsidRDefault="005A555C" w:rsidP="005A555C">
      <w:pPr>
        <w:rPr>
          <w:lang w:val="pl-PL"/>
        </w:rPr>
      </w:pPr>
    </w:p>
    <w:p w14:paraId="13C82929" w14:textId="4F870BDE" w:rsidR="005A555C" w:rsidRPr="008C030F" w:rsidRDefault="002C3132" w:rsidP="005A555C">
      <w:pPr>
        <w:rPr>
          <w:noProof/>
        </w:rPr>
      </w:pPr>
      <w:r>
        <w:t>Lot</w:t>
      </w:r>
    </w:p>
    <w:p w14:paraId="00DFBA61" w14:textId="3F1AFA12" w:rsidR="005A555C" w:rsidRDefault="005A555C" w:rsidP="005A555C">
      <w:pPr>
        <w:rPr>
          <w:noProof/>
        </w:rPr>
      </w:pPr>
    </w:p>
    <w:p w14:paraId="08F85936" w14:textId="77777777" w:rsidR="002C25D1" w:rsidRPr="006B4557" w:rsidRDefault="002C25D1" w:rsidP="005A555C">
      <w:pPr>
        <w:rPr>
          <w:noProof/>
        </w:rPr>
      </w:pPr>
    </w:p>
    <w:p w14:paraId="21FDBC5C"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noProof/>
        </w:rPr>
      </w:pPr>
      <w:r>
        <w:rPr>
          <w:b/>
        </w:rPr>
        <w:t>14.</w:t>
      </w:r>
      <w:r>
        <w:rPr>
          <w:b/>
        </w:rPr>
        <w:tab/>
        <w:t>NAČIN IZDAVANJA LIJEKA</w:t>
      </w:r>
    </w:p>
    <w:p w14:paraId="1E2FD3D7" w14:textId="77777777" w:rsidR="005A555C" w:rsidRPr="006B4557" w:rsidRDefault="005A555C" w:rsidP="005A555C">
      <w:pPr>
        <w:rPr>
          <w:i/>
          <w:noProof/>
        </w:rPr>
      </w:pPr>
    </w:p>
    <w:p w14:paraId="2BDEA9D9" w14:textId="77777777" w:rsidR="005A555C" w:rsidRPr="00B3208E" w:rsidRDefault="005A555C" w:rsidP="005A555C">
      <w:pPr>
        <w:rPr>
          <w:noProof/>
        </w:rPr>
      </w:pPr>
    </w:p>
    <w:p w14:paraId="1826B7A6" w14:textId="77777777" w:rsidR="005A555C" w:rsidRPr="00A26F79" w:rsidRDefault="005A555C" w:rsidP="001858B4">
      <w:pPr>
        <w:pBdr>
          <w:top w:val="single" w:sz="4" w:space="2" w:color="auto"/>
          <w:left w:val="single" w:sz="4" w:space="4" w:color="auto"/>
          <w:bottom w:val="single" w:sz="4" w:space="1" w:color="auto"/>
          <w:right w:val="single" w:sz="4" w:space="4" w:color="auto"/>
        </w:pBdr>
        <w:tabs>
          <w:tab w:val="left" w:pos="567"/>
        </w:tabs>
        <w:outlineLvl w:val="0"/>
        <w:rPr>
          <w:noProof/>
        </w:rPr>
      </w:pPr>
      <w:r>
        <w:rPr>
          <w:b/>
        </w:rPr>
        <w:t>15.</w:t>
      </w:r>
      <w:r>
        <w:rPr>
          <w:b/>
        </w:rPr>
        <w:tab/>
        <w:t>UPUTE ZA UPORABU</w:t>
      </w:r>
    </w:p>
    <w:p w14:paraId="206013EA" w14:textId="77777777" w:rsidR="005A555C" w:rsidRPr="008225EB" w:rsidRDefault="005A555C" w:rsidP="005A555C">
      <w:pPr>
        <w:rPr>
          <w:noProof/>
        </w:rPr>
      </w:pPr>
    </w:p>
    <w:p w14:paraId="20E8C779" w14:textId="77777777" w:rsidR="005A555C" w:rsidRPr="008225EB" w:rsidRDefault="005A555C" w:rsidP="005A555C">
      <w:pPr>
        <w:rPr>
          <w:noProof/>
        </w:rPr>
      </w:pPr>
    </w:p>
    <w:p w14:paraId="1D39256B" w14:textId="77777777" w:rsidR="005A555C" w:rsidRPr="006B4557" w:rsidRDefault="005A555C" w:rsidP="001858B4">
      <w:pPr>
        <w:pBdr>
          <w:top w:val="single" w:sz="4" w:space="1" w:color="auto"/>
          <w:left w:val="single" w:sz="4" w:space="4" w:color="auto"/>
          <w:bottom w:val="single" w:sz="4" w:space="0" w:color="auto"/>
          <w:right w:val="single" w:sz="4" w:space="4" w:color="auto"/>
        </w:pBdr>
        <w:tabs>
          <w:tab w:val="left" w:pos="567"/>
        </w:tabs>
        <w:rPr>
          <w:noProof/>
        </w:rPr>
      </w:pPr>
      <w:r>
        <w:rPr>
          <w:b/>
        </w:rPr>
        <w:t>16.</w:t>
      </w:r>
      <w:r>
        <w:rPr>
          <w:b/>
        </w:rPr>
        <w:tab/>
        <w:t>PODACI NA BRAILLEOVOM PISMU</w:t>
      </w:r>
    </w:p>
    <w:p w14:paraId="345D3B66" w14:textId="77777777" w:rsidR="005A555C" w:rsidRPr="007B42D3" w:rsidRDefault="005A555C" w:rsidP="005A555C">
      <w:pPr>
        <w:rPr>
          <w:noProof/>
        </w:rPr>
      </w:pPr>
    </w:p>
    <w:p w14:paraId="77BC78C1" w14:textId="77777777" w:rsidR="005A555C" w:rsidRDefault="005A555C" w:rsidP="005A555C">
      <w:r>
        <w:t>Dasatinib Accord Healthcare 140 mg</w:t>
      </w:r>
    </w:p>
    <w:p w14:paraId="14716B41" w14:textId="77777777" w:rsidR="005A555C" w:rsidRPr="002758D7" w:rsidRDefault="005A555C" w:rsidP="005A555C"/>
    <w:p w14:paraId="5E2C6478" w14:textId="77777777" w:rsidR="005A555C" w:rsidRPr="00067B16" w:rsidRDefault="005A555C" w:rsidP="005A555C">
      <w:pPr>
        <w:rPr>
          <w:noProof/>
          <w:shd w:val="clear" w:color="auto" w:fill="CCCCCC"/>
        </w:rPr>
      </w:pPr>
    </w:p>
    <w:p w14:paraId="681730D9" w14:textId="77777777" w:rsidR="005A555C" w:rsidRPr="00C937E7" w:rsidRDefault="005A555C" w:rsidP="001858B4">
      <w:pPr>
        <w:pBdr>
          <w:top w:val="single" w:sz="4" w:space="1" w:color="auto"/>
          <w:left w:val="single" w:sz="4" w:space="4" w:color="auto"/>
          <w:bottom w:val="single" w:sz="4" w:space="0" w:color="auto"/>
          <w:right w:val="single" w:sz="4" w:space="4" w:color="auto"/>
        </w:pBdr>
        <w:tabs>
          <w:tab w:val="left" w:pos="567"/>
        </w:tabs>
        <w:rPr>
          <w:i/>
          <w:noProof/>
        </w:rPr>
      </w:pPr>
      <w:r>
        <w:rPr>
          <w:b/>
        </w:rPr>
        <w:t>17.</w:t>
      </w:r>
      <w:r>
        <w:rPr>
          <w:b/>
        </w:rPr>
        <w:tab/>
        <w:t>JEDINSTVENI IDENTIFIKATOR – 2D BARKOD</w:t>
      </w:r>
    </w:p>
    <w:p w14:paraId="5CB9EC31" w14:textId="77777777" w:rsidR="005A555C" w:rsidRPr="00C937E7" w:rsidRDefault="005A555C" w:rsidP="005A555C">
      <w:pPr>
        <w:rPr>
          <w:noProof/>
        </w:rPr>
      </w:pPr>
    </w:p>
    <w:p w14:paraId="63A6FB33" w14:textId="77777777" w:rsidR="005A555C" w:rsidRPr="00C937E7" w:rsidRDefault="005A555C" w:rsidP="005A555C">
      <w:pPr>
        <w:rPr>
          <w:noProof/>
          <w:shd w:val="clear" w:color="auto" w:fill="CCCCCC"/>
        </w:rPr>
      </w:pPr>
      <w:r>
        <w:rPr>
          <w:shd w:val="clear" w:color="auto" w:fill="CCCCCC"/>
        </w:rPr>
        <w:t>Sadrži 2D barkod s jedinstvenim identifikatorom.</w:t>
      </w:r>
    </w:p>
    <w:p w14:paraId="17FFC6D8" w14:textId="77777777" w:rsidR="005A555C" w:rsidRDefault="005A555C" w:rsidP="005A555C">
      <w:pPr>
        <w:rPr>
          <w:noProof/>
        </w:rPr>
      </w:pPr>
    </w:p>
    <w:p w14:paraId="4A7C14D9" w14:textId="77777777" w:rsidR="005A555C" w:rsidRPr="00C937E7" w:rsidRDefault="005A555C" w:rsidP="005A555C">
      <w:pPr>
        <w:rPr>
          <w:noProof/>
        </w:rPr>
      </w:pPr>
    </w:p>
    <w:p w14:paraId="1538B482" w14:textId="77777777" w:rsidR="005A555C" w:rsidRPr="00C937E7" w:rsidRDefault="005A555C" w:rsidP="001858B4">
      <w:pPr>
        <w:pBdr>
          <w:top w:val="single" w:sz="4" w:space="1" w:color="auto"/>
          <w:left w:val="single" w:sz="4" w:space="4" w:color="auto"/>
          <w:bottom w:val="single" w:sz="4" w:space="0" w:color="auto"/>
          <w:right w:val="single" w:sz="4" w:space="4" w:color="auto"/>
        </w:pBdr>
        <w:tabs>
          <w:tab w:val="left" w:pos="567"/>
        </w:tabs>
        <w:rPr>
          <w:i/>
          <w:noProof/>
        </w:rPr>
      </w:pPr>
      <w:r>
        <w:rPr>
          <w:b/>
        </w:rPr>
        <w:t>18.</w:t>
      </w:r>
      <w:r>
        <w:rPr>
          <w:b/>
        </w:rPr>
        <w:tab/>
        <w:t>JEDINSTVENI IDENTIFIKATOR – PODACI ČITLJIVI LJUDSKIM OKOM</w:t>
      </w:r>
    </w:p>
    <w:p w14:paraId="3B719361" w14:textId="77777777" w:rsidR="005A555C" w:rsidRDefault="005A555C" w:rsidP="005A555C">
      <w:pPr>
        <w:rPr>
          <w:noProof/>
        </w:rPr>
      </w:pPr>
    </w:p>
    <w:p w14:paraId="0F2FB3E7" w14:textId="77777777" w:rsidR="005A555C" w:rsidRPr="00923D99" w:rsidRDefault="005A555C" w:rsidP="005A555C">
      <w:r>
        <w:t>PC</w:t>
      </w:r>
    </w:p>
    <w:p w14:paraId="34155938" w14:textId="77777777" w:rsidR="005A555C" w:rsidRPr="00923D99" w:rsidRDefault="005A555C" w:rsidP="005A555C">
      <w:r>
        <w:t>SN</w:t>
      </w:r>
    </w:p>
    <w:p w14:paraId="320C8AF1" w14:textId="77777777" w:rsidR="005A555C" w:rsidRPr="00923D99" w:rsidRDefault="005A555C" w:rsidP="005A555C">
      <w:r>
        <w:t>NN</w:t>
      </w:r>
    </w:p>
    <w:p w14:paraId="263B11F9" w14:textId="77777777" w:rsidR="005A555C" w:rsidRPr="00A26F79" w:rsidRDefault="005A555C" w:rsidP="005A555C">
      <w:pPr>
        <w:rPr>
          <w:noProof/>
          <w:shd w:val="clear" w:color="auto" w:fill="CCCCCC"/>
        </w:rPr>
      </w:pPr>
    </w:p>
    <w:p w14:paraId="432D4FCE" w14:textId="77777777" w:rsidR="005A555C" w:rsidRPr="008225EB" w:rsidRDefault="005A555C" w:rsidP="005A555C">
      <w:pPr>
        <w:rPr>
          <w:b/>
          <w:noProof/>
        </w:rPr>
      </w:pPr>
      <w:r>
        <w:br w:type="page"/>
      </w:r>
    </w:p>
    <w:p w14:paraId="3C5B5D37" w14:textId="77777777" w:rsidR="005A555C" w:rsidRPr="00A3136F" w:rsidRDefault="005A555C" w:rsidP="005A555C">
      <w:pPr>
        <w:pBdr>
          <w:top w:val="single" w:sz="4" w:space="1" w:color="auto"/>
          <w:left w:val="single" w:sz="4" w:space="4" w:color="auto"/>
          <w:bottom w:val="single" w:sz="4" w:space="1" w:color="auto"/>
          <w:right w:val="single" w:sz="4" w:space="4" w:color="auto"/>
        </w:pBdr>
        <w:ind w:left="567" w:hanging="567"/>
        <w:rPr>
          <w:b/>
          <w:noProof/>
        </w:rPr>
      </w:pPr>
      <w:r>
        <w:rPr>
          <w:b/>
        </w:rPr>
        <w:lastRenderedPageBreak/>
        <w:t>PODACI KOJE MORA NAJMANJE SADRŽAVATI BLISTER ILI STRIP</w:t>
      </w:r>
    </w:p>
    <w:p w14:paraId="1813D67B" w14:textId="77777777" w:rsidR="005A555C" w:rsidRPr="000643D3" w:rsidRDefault="005A555C" w:rsidP="005A555C">
      <w:pPr>
        <w:pBdr>
          <w:top w:val="single" w:sz="4" w:space="1" w:color="auto"/>
          <w:left w:val="single" w:sz="4" w:space="4" w:color="auto"/>
          <w:bottom w:val="single" w:sz="4" w:space="1" w:color="auto"/>
          <w:right w:val="single" w:sz="4" w:space="4" w:color="auto"/>
        </w:pBdr>
        <w:ind w:left="567" w:hanging="567"/>
        <w:rPr>
          <w:b/>
          <w:noProof/>
        </w:rPr>
      </w:pPr>
    </w:p>
    <w:p w14:paraId="4C17FBCF" w14:textId="4D1DDC54" w:rsidR="005A555C" w:rsidRPr="00412450" w:rsidRDefault="005A555C" w:rsidP="005A555C">
      <w:pPr>
        <w:pBdr>
          <w:top w:val="single" w:sz="4" w:space="1" w:color="auto"/>
          <w:left w:val="single" w:sz="4" w:space="4" w:color="auto"/>
          <w:bottom w:val="single" w:sz="4" w:space="1" w:color="auto"/>
          <w:right w:val="single" w:sz="4" w:space="4" w:color="auto"/>
        </w:pBdr>
        <w:rPr>
          <w:b/>
          <w:noProof/>
        </w:rPr>
      </w:pPr>
      <w:r>
        <w:rPr>
          <w:b/>
        </w:rPr>
        <w:t>BLISTER ili PERFORIRAN</w:t>
      </w:r>
      <w:r w:rsidR="001858B4">
        <w:rPr>
          <w:b/>
        </w:rPr>
        <w:t>I</w:t>
      </w:r>
      <w:r>
        <w:rPr>
          <w:b/>
        </w:rPr>
        <w:t xml:space="preserve"> BLISTER </w:t>
      </w:r>
      <w:r w:rsidR="001858B4">
        <w:rPr>
          <w:b/>
        </w:rPr>
        <w:t>S</w:t>
      </w:r>
      <w:r>
        <w:rPr>
          <w:b/>
        </w:rPr>
        <w:t xml:space="preserve"> JEDINIČN</w:t>
      </w:r>
      <w:r w:rsidR="001858B4">
        <w:rPr>
          <w:b/>
        </w:rPr>
        <w:t>IM</w:t>
      </w:r>
      <w:r>
        <w:rPr>
          <w:b/>
        </w:rPr>
        <w:t xml:space="preserve"> DOZ</w:t>
      </w:r>
      <w:r w:rsidR="001858B4">
        <w:rPr>
          <w:b/>
        </w:rPr>
        <w:t>AMA</w:t>
      </w:r>
    </w:p>
    <w:p w14:paraId="4F2406D8" w14:textId="77777777" w:rsidR="005A555C" w:rsidRPr="00412450" w:rsidRDefault="005A555C" w:rsidP="005A555C">
      <w:pPr>
        <w:rPr>
          <w:noProof/>
        </w:rPr>
      </w:pPr>
    </w:p>
    <w:p w14:paraId="342773B9" w14:textId="77777777" w:rsidR="005A555C" w:rsidRPr="00412450" w:rsidRDefault="005A555C" w:rsidP="005A555C">
      <w:pPr>
        <w:rPr>
          <w:noProof/>
        </w:rPr>
      </w:pPr>
    </w:p>
    <w:p w14:paraId="688F3F38" w14:textId="77777777" w:rsidR="005A555C" w:rsidRPr="00EB595B" w:rsidRDefault="005A555C" w:rsidP="001858B4">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1.</w:t>
      </w:r>
      <w:r>
        <w:rPr>
          <w:b/>
        </w:rPr>
        <w:tab/>
        <w:t>NAZIV LIJEKA</w:t>
      </w:r>
    </w:p>
    <w:p w14:paraId="5A793E54" w14:textId="77777777" w:rsidR="005A555C" w:rsidRPr="008A1008" w:rsidRDefault="005A555C" w:rsidP="005A555C">
      <w:pPr>
        <w:rPr>
          <w:i/>
          <w:noProof/>
        </w:rPr>
      </w:pPr>
    </w:p>
    <w:p w14:paraId="7859076F" w14:textId="77777777" w:rsidR="005A555C" w:rsidRDefault="005A555C" w:rsidP="005A555C">
      <w:r>
        <w:t>Dasatinib Accord Healthcare 140 mg tablete</w:t>
      </w:r>
    </w:p>
    <w:p w14:paraId="0A7F353F" w14:textId="77777777" w:rsidR="005A555C" w:rsidRPr="006B4557" w:rsidRDefault="005A555C" w:rsidP="005A555C">
      <w:r>
        <w:t>dasatinib</w:t>
      </w:r>
    </w:p>
    <w:p w14:paraId="4D2A788B" w14:textId="77777777" w:rsidR="005A555C" w:rsidRDefault="005A555C" w:rsidP="005A555C"/>
    <w:p w14:paraId="715F5159" w14:textId="77777777" w:rsidR="005A555C" w:rsidRPr="006B4557" w:rsidRDefault="005A555C" w:rsidP="005A555C"/>
    <w:p w14:paraId="70C0AFE7"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b/>
        </w:rPr>
      </w:pPr>
      <w:r>
        <w:rPr>
          <w:b/>
        </w:rPr>
        <w:t>2.</w:t>
      </w:r>
      <w:r>
        <w:rPr>
          <w:b/>
        </w:rPr>
        <w:tab/>
        <w:t>NAZIV NOSITELJA ODOBRENJA ZA STAVLJANJE LIJEKA U PROMET</w:t>
      </w:r>
    </w:p>
    <w:p w14:paraId="2B291267" w14:textId="77777777" w:rsidR="005A555C" w:rsidRPr="00BC6DC2" w:rsidRDefault="005A555C" w:rsidP="005A555C">
      <w:pPr>
        <w:rPr>
          <w:noProof/>
        </w:rPr>
      </w:pPr>
    </w:p>
    <w:p w14:paraId="61B3B908" w14:textId="77777777" w:rsidR="005A555C" w:rsidRPr="001F6423" w:rsidRDefault="005A555C" w:rsidP="005A555C">
      <w:pPr>
        <w:rPr>
          <w:noProof/>
        </w:rPr>
      </w:pPr>
      <w:r>
        <w:t>Accord</w:t>
      </w:r>
    </w:p>
    <w:p w14:paraId="46CE49EA" w14:textId="77777777" w:rsidR="005A555C" w:rsidRDefault="005A555C" w:rsidP="005A555C">
      <w:pPr>
        <w:rPr>
          <w:noProof/>
        </w:rPr>
      </w:pPr>
    </w:p>
    <w:p w14:paraId="72F65FF6" w14:textId="77777777" w:rsidR="005A555C" w:rsidRPr="001F6423" w:rsidRDefault="005A555C" w:rsidP="005A555C">
      <w:pPr>
        <w:rPr>
          <w:noProof/>
        </w:rPr>
      </w:pPr>
    </w:p>
    <w:p w14:paraId="70CC44EB" w14:textId="77777777" w:rsidR="005A555C" w:rsidRPr="006B4557" w:rsidRDefault="005A555C" w:rsidP="001858B4">
      <w:pPr>
        <w:pBdr>
          <w:top w:val="single" w:sz="4" w:space="1" w:color="auto"/>
          <w:left w:val="single" w:sz="4" w:space="4" w:color="auto"/>
          <w:bottom w:val="single" w:sz="4" w:space="2" w:color="auto"/>
          <w:right w:val="single" w:sz="4" w:space="4" w:color="auto"/>
        </w:pBdr>
        <w:tabs>
          <w:tab w:val="left" w:pos="567"/>
        </w:tabs>
        <w:outlineLvl w:val="0"/>
        <w:rPr>
          <w:b/>
          <w:noProof/>
        </w:rPr>
      </w:pPr>
      <w:r>
        <w:rPr>
          <w:b/>
        </w:rPr>
        <w:t>3.</w:t>
      </w:r>
      <w:r>
        <w:rPr>
          <w:b/>
        </w:rPr>
        <w:tab/>
        <w:t>ROK VALJANOSTI</w:t>
      </w:r>
    </w:p>
    <w:p w14:paraId="677CE294" w14:textId="77777777" w:rsidR="005A555C" w:rsidRPr="006B4557" w:rsidRDefault="005A555C" w:rsidP="005A555C">
      <w:pPr>
        <w:rPr>
          <w:noProof/>
        </w:rPr>
      </w:pPr>
    </w:p>
    <w:p w14:paraId="3D0D47AB" w14:textId="77777777" w:rsidR="005A555C" w:rsidRDefault="005A555C" w:rsidP="005A555C">
      <w:pPr>
        <w:rPr>
          <w:noProof/>
        </w:rPr>
      </w:pPr>
      <w:r>
        <w:t>EXP</w:t>
      </w:r>
    </w:p>
    <w:p w14:paraId="41834748" w14:textId="77777777" w:rsidR="005A555C" w:rsidRDefault="005A555C" w:rsidP="005A555C">
      <w:pPr>
        <w:rPr>
          <w:noProof/>
        </w:rPr>
      </w:pPr>
    </w:p>
    <w:p w14:paraId="64527F07" w14:textId="77777777" w:rsidR="005A555C" w:rsidRPr="006B4557" w:rsidRDefault="005A555C" w:rsidP="005A555C">
      <w:pPr>
        <w:rPr>
          <w:noProof/>
        </w:rPr>
      </w:pPr>
    </w:p>
    <w:p w14:paraId="4BE022A2"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4.</w:t>
      </w:r>
      <w:r>
        <w:rPr>
          <w:b/>
        </w:rPr>
        <w:tab/>
        <w:t>BROJ SERIJE</w:t>
      </w:r>
    </w:p>
    <w:p w14:paraId="709D7AB0" w14:textId="77777777" w:rsidR="005A555C" w:rsidRPr="006B4557" w:rsidRDefault="005A555C" w:rsidP="005A555C">
      <w:pPr>
        <w:rPr>
          <w:noProof/>
        </w:rPr>
      </w:pPr>
    </w:p>
    <w:p w14:paraId="041D8F00" w14:textId="2FE7CEA4" w:rsidR="005A555C" w:rsidRDefault="002C3132" w:rsidP="005A555C">
      <w:pPr>
        <w:rPr>
          <w:noProof/>
        </w:rPr>
      </w:pPr>
      <w:r>
        <w:t>Lot</w:t>
      </w:r>
    </w:p>
    <w:p w14:paraId="7D03A8CC" w14:textId="3A8329D6" w:rsidR="005A555C" w:rsidRDefault="005A555C" w:rsidP="005A555C">
      <w:pPr>
        <w:rPr>
          <w:noProof/>
        </w:rPr>
      </w:pPr>
    </w:p>
    <w:p w14:paraId="54E8B994" w14:textId="77777777" w:rsidR="002C25D1" w:rsidRPr="006B4557" w:rsidRDefault="002C25D1" w:rsidP="005A555C">
      <w:pPr>
        <w:rPr>
          <w:noProof/>
        </w:rPr>
      </w:pPr>
    </w:p>
    <w:p w14:paraId="106F83FC" w14:textId="77777777" w:rsidR="005A555C" w:rsidRPr="006B4557" w:rsidRDefault="005A555C" w:rsidP="001858B4">
      <w:pPr>
        <w:pBdr>
          <w:top w:val="single" w:sz="4" w:space="1" w:color="auto"/>
          <w:left w:val="single" w:sz="4" w:space="4" w:color="auto"/>
          <w:bottom w:val="single" w:sz="4" w:space="1" w:color="auto"/>
          <w:right w:val="single" w:sz="4" w:space="4" w:color="auto"/>
        </w:pBdr>
        <w:tabs>
          <w:tab w:val="left" w:pos="567"/>
        </w:tabs>
        <w:outlineLvl w:val="0"/>
        <w:rPr>
          <w:b/>
          <w:noProof/>
        </w:rPr>
      </w:pPr>
      <w:r>
        <w:rPr>
          <w:b/>
        </w:rPr>
        <w:t>5.</w:t>
      </w:r>
      <w:r>
        <w:rPr>
          <w:b/>
        </w:rPr>
        <w:tab/>
        <w:t>DRUGO</w:t>
      </w:r>
    </w:p>
    <w:p w14:paraId="2127275A" w14:textId="77777777" w:rsidR="005A555C" w:rsidRPr="006B4557" w:rsidRDefault="005A555C" w:rsidP="005A555C">
      <w:pPr>
        <w:rPr>
          <w:noProof/>
        </w:rPr>
      </w:pPr>
    </w:p>
    <w:p w14:paraId="761D6223" w14:textId="6ED29894" w:rsidR="005A555C" w:rsidRDefault="00030B1F" w:rsidP="005A555C">
      <w:pPr>
        <w:shd w:val="clear" w:color="auto" w:fill="FFFFFF"/>
        <w:rPr>
          <w:noProof/>
        </w:rPr>
      </w:pPr>
      <w:r w:rsidRPr="000A0E58">
        <w:rPr>
          <w:noProof/>
          <w:highlight w:val="lightGray"/>
        </w:rPr>
        <w:t>Primjena kroz usta.</w:t>
      </w:r>
    </w:p>
    <w:p w14:paraId="11EA16FC" w14:textId="77777777" w:rsidR="00554E9C" w:rsidRPr="00F25CE6" w:rsidRDefault="00554E9C" w:rsidP="00396A82">
      <w:pPr>
        <w:pageBreakBefore/>
        <w:widowControl/>
        <w:rPr>
          <w:rFonts w:asciiTheme="majorBidi" w:hAnsiTheme="majorBidi" w:cstheme="majorBidi"/>
        </w:rPr>
      </w:pPr>
    </w:p>
    <w:p w14:paraId="7CA5EDBD" w14:textId="77777777" w:rsidR="00AF7ABC" w:rsidRPr="00F25CE6" w:rsidRDefault="00AF7ABC" w:rsidP="00F25CE6">
      <w:pPr>
        <w:pStyle w:val="BodyText"/>
        <w:widowControl/>
        <w:rPr>
          <w:rFonts w:asciiTheme="majorBidi" w:hAnsiTheme="majorBidi" w:cstheme="majorBidi"/>
          <w:szCs w:val="22"/>
        </w:rPr>
      </w:pPr>
    </w:p>
    <w:p w14:paraId="049E7622" w14:textId="77777777" w:rsidR="00AF7ABC" w:rsidRPr="00F25CE6" w:rsidRDefault="00AF7ABC" w:rsidP="00F25CE6">
      <w:pPr>
        <w:pStyle w:val="BodyText"/>
        <w:widowControl/>
        <w:rPr>
          <w:rFonts w:asciiTheme="majorBidi" w:hAnsiTheme="majorBidi" w:cstheme="majorBidi"/>
          <w:szCs w:val="22"/>
        </w:rPr>
      </w:pPr>
    </w:p>
    <w:p w14:paraId="4E269D3D" w14:textId="77777777" w:rsidR="00AF7ABC" w:rsidRPr="00F25CE6" w:rsidRDefault="00AF7ABC" w:rsidP="00F25CE6">
      <w:pPr>
        <w:pStyle w:val="BodyText"/>
        <w:widowControl/>
        <w:rPr>
          <w:rFonts w:asciiTheme="majorBidi" w:hAnsiTheme="majorBidi" w:cstheme="majorBidi"/>
          <w:szCs w:val="22"/>
        </w:rPr>
      </w:pPr>
    </w:p>
    <w:p w14:paraId="3A6B116A" w14:textId="77777777" w:rsidR="00AF7ABC" w:rsidRPr="00F25CE6" w:rsidRDefault="00AF7ABC" w:rsidP="00F25CE6">
      <w:pPr>
        <w:pStyle w:val="BodyText"/>
        <w:widowControl/>
        <w:rPr>
          <w:rFonts w:asciiTheme="majorBidi" w:hAnsiTheme="majorBidi" w:cstheme="majorBidi"/>
          <w:szCs w:val="22"/>
        </w:rPr>
      </w:pPr>
    </w:p>
    <w:p w14:paraId="3887EAB2" w14:textId="77777777" w:rsidR="00AF7ABC" w:rsidRPr="00F25CE6" w:rsidRDefault="00AF7ABC" w:rsidP="00F25CE6">
      <w:pPr>
        <w:pStyle w:val="BodyText"/>
        <w:widowControl/>
        <w:rPr>
          <w:rFonts w:asciiTheme="majorBidi" w:hAnsiTheme="majorBidi" w:cstheme="majorBidi"/>
          <w:szCs w:val="22"/>
        </w:rPr>
      </w:pPr>
    </w:p>
    <w:p w14:paraId="51438AAD" w14:textId="77777777" w:rsidR="00AF7ABC" w:rsidRPr="00F25CE6" w:rsidRDefault="00AF7ABC" w:rsidP="00F25CE6">
      <w:pPr>
        <w:pStyle w:val="BodyText"/>
        <w:widowControl/>
        <w:rPr>
          <w:rFonts w:asciiTheme="majorBidi" w:hAnsiTheme="majorBidi" w:cstheme="majorBidi"/>
          <w:szCs w:val="22"/>
        </w:rPr>
      </w:pPr>
    </w:p>
    <w:p w14:paraId="272BEAC9" w14:textId="77777777" w:rsidR="00AF7ABC" w:rsidRPr="00F25CE6" w:rsidRDefault="00AF7ABC" w:rsidP="00F25CE6">
      <w:pPr>
        <w:pStyle w:val="BodyText"/>
        <w:widowControl/>
        <w:rPr>
          <w:rFonts w:asciiTheme="majorBidi" w:hAnsiTheme="majorBidi" w:cstheme="majorBidi"/>
          <w:szCs w:val="22"/>
        </w:rPr>
      </w:pPr>
    </w:p>
    <w:p w14:paraId="5ADAF5FD" w14:textId="77777777" w:rsidR="00AF7ABC" w:rsidRPr="00F25CE6" w:rsidRDefault="00AF7ABC" w:rsidP="00F25CE6">
      <w:pPr>
        <w:pStyle w:val="BodyText"/>
        <w:widowControl/>
        <w:rPr>
          <w:rFonts w:asciiTheme="majorBidi" w:hAnsiTheme="majorBidi" w:cstheme="majorBidi"/>
          <w:szCs w:val="22"/>
        </w:rPr>
      </w:pPr>
    </w:p>
    <w:p w14:paraId="1D1BC401" w14:textId="77777777" w:rsidR="00AF7ABC" w:rsidRPr="00F25CE6" w:rsidRDefault="00AF7ABC" w:rsidP="00F25CE6">
      <w:pPr>
        <w:pStyle w:val="BodyText"/>
        <w:widowControl/>
        <w:rPr>
          <w:rFonts w:asciiTheme="majorBidi" w:hAnsiTheme="majorBidi" w:cstheme="majorBidi"/>
          <w:szCs w:val="22"/>
        </w:rPr>
      </w:pPr>
    </w:p>
    <w:p w14:paraId="4D3B0CB7" w14:textId="77777777" w:rsidR="00AF7ABC" w:rsidRPr="00F25CE6" w:rsidRDefault="00AF7ABC" w:rsidP="00F25CE6">
      <w:pPr>
        <w:pStyle w:val="BodyText"/>
        <w:widowControl/>
        <w:rPr>
          <w:rFonts w:asciiTheme="majorBidi" w:hAnsiTheme="majorBidi" w:cstheme="majorBidi"/>
          <w:szCs w:val="22"/>
        </w:rPr>
      </w:pPr>
    </w:p>
    <w:p w14:paraId="6D63A4B7" w14:textId="77777777" w:rsidR="00AF7ABC" w:rsidRPr="00F25CE6" w:rsidRDefault="00AF7ABC" w:rsidP="00F25CE6">
      <w:pPr>
        <w:pStyle w:val="BodyText"/>
        <w:widowControl/>
        <w:rPr>
          <w:rFonts w:asciiTheme="majorBidi" w:hAnsiTheme="majorBidi" w:cstheme="majorBidi"/>
          <w:szCs w:val="22"/>
        </w:rPr>
      </w:pPr>
    </w:p>
    <w:p w14:paraId="22B2F153" w14:textId="77777777" w:rsidR="00AF7ABC" w:rsidRPr="00F25CE6" w:rsidRDefault="00AF7ABC" w:rsidP="00F25CE6">
      <w:pPr>
        <w:pStyle w:val="BodyText"/>
        <w:widowControl/>
        <w:rPr>
          <w:rFonts w:asciiTheme="majorBidi" w:hAnsiTheme="majorBidi" w:cstheme="majorBidi"/>
          <w:szCs w:val="22"/>
        </w:rPr>
      </w:pPr>
    </w:p>
    <w:p w14:paraId="45E0C5E8" w14:textId="77777777" w:rsidR="00AF7ABC" w:rsidRPr="00F25CE6" w:rsidRDefault="00AF7ABC" w:rsidP="00F25CE6">
      <w:pPr>
        <w:pStyle w:val="BodyText"/>
        <w:widowControl/>
        <w:rPr>
          <w:rFonts w:asciiTheme="majorBidi" w:hAnsiTheme="majorBidi" w:cstheme="majorBidi"/>
          <w:szCs w:val="22"/>
        </w:rPr>
      </w:pPr>
    </w:p>
    <w:p w14:paraId="5B153D6E" w14:textId="77777777" w:rsidR="00AF7ABC" w:rsidRPr="00F25CE6" w:rsidRDefault="00AF7ABC" w:rsidP="00F25CE6">
      <w:pPr>
        <w:pStyle w:val="BodyText"/>
        <w:widowControl/>
        <w:rPr>
          <w:rFonts w:asciiTheme="majorBidi" w:hAnsiTheme="majorBidi" w:cstheme="majorBidi"/>
          <w:szCs w:val="22"/>
        </w:rPr>
      </w:pPr>
    </w:p>
    <w:p w14:paraId="58E2913B" w14:textId="77777777" w:rsidR="00AF7ABC" w:rsidRPr="00F25CE6" w:rsidRDefault="00AF7ABC" w:rsidP="00F25CE6">
      <w:pPr>
        <w:pStyle w:val="BodyText"/>
        <w:widowControl/>
        <w:rPr>
          <w:rFonts w:asciiTheme="majorBidi" w:hAnsiTheme="majorBidi" w:cstheme="majorBidi"/>
          <w:szCs w:val="22"/>
        </w:rPr>
      </w:pPr>
    </w:p>
    <w:p w14:paraId="06EA7056" w14:textId="77777777" w:rsidR="00AF7ABC" w:rsidRPr="00F25CE6" w:rsidRDefault="00AF7ABC" w:rsidP="00F25CE6">
      <w:pPr>
        <w:pStyle w:val="BodyText"/>
        <w:widowControl/>
        <w:rPr>
          <w:rFonts w:asciiTheme="majorBidi" w:hAnsiTheme="majorBidi" w:cstheme="majorBidi"/>
          <w:szCs w:val="22"/>
        </w:rPr>
      </w:pPr>
    </w:p>
    <w:p w14:paraId="6AE435EF" w14:textId="77777777" w:rsidR="00AF7ABC" w:rsidRPr="00F25CE6" w:rsidRDefault="00AF7ABC" w:rsidP="00F25CE6">
      <w:pPr>
        <w:pStyle w:val="BodyText"/>
        <w:widowControl/>
        <w:rPr>
          <w:rFonts w:asciiTheme="majorBidi" w:hAnsiTheme="majorBidi" w:cstheme="majorBidi"/>
          <w:szCs w:val="22"/>
        </w:rPr>
      </w:pPr>
    </w:p>
    <w:p w14:paraId="4FF5EF7C" w14:textId="77777777" w:rsidR="00AF7ABC" w:rsidRPr="00F25CE6" w:rsidRDefault="00AF7ABC" w:rsidP="00F25CE6">
      <w:pPr>
        <w:pStyle w:val="BodyText"/>
        <w:widowControl/>
        <w:rPr>
          <w:rFonts w:asciiTheme="majorBidi" w:hAnsiTheme="majorBidi" w:cstheme="majorBidi"/>
          <w:szCs w:val="22"/>
        </w:rPr>
      </w:pPr>
    </w:p>
    <w:p w14:paraId="28F143FC" w14:textId="77777777" w:rsidR="00AF7ABC" w:rsidRPr="00F25CE6" w:rsidRDefault="00AF7ABC" w:rsidP="00F25CE6">
      <w:pPr>
        <w:pStyle w:val="BodyText"/>
        <w:widowControl/>
        <w:rPr>
          <w:rFonts w:asciiTheme="majorBidi" w:hAnsiTheme="majorBidi" w:cstheme="majorBidi"/>
          <w:szCs w:val="22"/>
        </w:rPr>
      </w:pPr>
    </w:p>
    <w:p w14:paraId="4AC9EF84" w14:textId="77777777" w:rsidR="00AF7ABC" w:rsidRPr="00F25CE6" w:rsidRDefault="00AF7ABC" w:rsidP="00F25CE6">
      <w:pPr>
        <w:pStyle w:val="BodyText"/>
        <w:widowControl/>
        <w:rPr>
          <w:rFonts w:asciiTheme="majorBidi" w:hAnsiTheme="majorBidi" w:cstheme="majorBidi"/>
          <w:szCs w:val="22"/>
        </w:rPr>
      </w:pPr>
    </w:p>
    <w:p w14:paraId="7D88336E" w14:textId="77777777" w:rsidR="006B5AE9" w:rsidRDefault="006B5AE9" w:rsidP="00396A82">
      <w:pPr>
        <w:pStyle w:val="BodyText"/>
        <w:jc w:val="center"/>
        <w:rPr>
          <w:b/>
          <w:bCs/>
        </w:rPr>
      </w:pPr>
      <w:bookmarkStart w:id="18" w:name="B._UPUTA_O_LIJEKU"/>
      <w:bookmarkEnd w:id="18"/>
    </w:p>
    <w:p w14:paraId="6D2A106C" w14:textId="77777777" w:rsidR="006B5AE9" w:rsidRDefault="006B5AE9" w:rsidP="00396A82">
      <w:pPr>
        <w:pStyle w:val="BodyText"/>
        <w:jc w:val="center"/>
        <w:rPr>
          <w:b/>
          <w:bCs/>
        </w:rPr>
      </w:pPr>
    </w:p>
    <w:p w14:paraId="3FF6740B" w14:textId="77777777" w:rsidR="00AF7ABC" w:rsidRPr="00396A82" w:rsidRDefault="00422138" w:rsidP="00396A82">
      <w:pPr>
        <w:pStyle w:val="BodyText"/>
        <w:jc w:val="center"/>
        <w:rPr>
          <w:b/>
          <w:bCs/>
        </w:rPr>
      </w:pPr>
      <w:r w:rsidRPr="00396A82">
        <w:rPr>
          <w:b/>
          <w:bCs/>
        </w:rPr>
        <w:t>B. UPUTA O LIJEKU</w:t>
      </w:r>
    </w:p>
    <w:p w14:paraId="6CCEA2B5" w14:textId="77777777" w:rsidR="00A15E8A" w:rsidRPr="00F25CE6" w:rsidRDefault="00A15E8A" w:rsidP="00F25CE6">
      <w:pPr>
        <w:widowControl/>
        <w:rPr>
          <w:rFonts w:asciiTheme="majorBidi" w:hAnsiTheme="majorBidi" w:cstheme="majorBidi"/>
        </w:rPr>
      </w:pPr>
    </w:p>
    <w:p w14:paraId="4E44FC5A" w14:textId="77777777" w:rsidR="00AF7ABC" w:rsidRPr="00F25CE6" w:rsidRDefault="00422138" w:rsidP="00396A82">
      <w:pPr>
        <w:pageBreakBefore/>
        <w:widowControl/>
        <w:jc w:val="center"/>
        <w:rPr>
          <w:rFonts w:asciiTheme="majorBidi" w:hAnsiTheme="majorBidi" w:cstheme="majorBidi"/>
          <w:b/>
        </w:rPr>
      </w:pPr>
      <w:r w:rsidRPr="00F25CE6">
        <w:rPr>
          <w:rFonts w:asciiTheme="majorBidi" w:hAnsiTheme="majorBidi" w:cstheme="majorBidi"/>
          <w:b/>
        </w:rPr>
        <w:lastRenderedPageBreak/>
        <w:t>Uputa o lijeku: Informacije za korisnika</w:t>
      </w:r>
    </w:p>
    <w:p w14:paraId="4791F99D" w14:textId="77777777" w:rsidR="00AF7ABC" w:rsidRPr="00F25CE6" w:rsidRDefault="00AF7ABC" w:rsidP="00F25CE6">
      <w:pPr>
        <w:pStyle w:val="BodyText"/>
        <w:widowControl/>
        <w:rPr>
          <w:rFonts w:asciiTheme="majorBidi" w:hAnsiTheme="majorBidi" w:cstheme="majorBidi"/>
          <w:b/>
          <w:szCs w:val="22"/>
        </w:rPr>
      </w:pPr>
    </w:p>
    <w:p w14:paraId="4621CB9C" w14:textId="40002A2C"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20 mg filmom obložene tablete</w:t>
      </w:r>
    </w:p>
    <w:p w14:paraId="198CF5C4" w14:textId="615EA6DC"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50 mg filmom obložene tablete</w:t>
      </w:r>
    </w:p>
    <w:p w14:paraId="4FBD2EBA" w14:textId="07342DB4"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70 mg filmom obložene tablete</w:t>
      </w:r>
    </w:p>
    <w:p w14:paraId="27B67D33" w14:textId="77C9F574"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80 mg filmom obložene tablete</w:t>
      </w:r>
    </w:p>
    <w:p w14:paraId="1EEDC906" w14:textId="19DA63A5"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100 mg filmom obložene tablete</w:t>
      </w:r>
    </w:p>
    <w:p w14:paraId="2345A733" w14:textId="6A2D7832" w:rsidR="00396A82" w:rsidRDefault="00064F60" w:rsidP="00396A82">
      <w:pPr>
        <w:widowControl/>
        <w:jc w:val="center"/>
        <w:rPr>
          <w:rFonts w:asciiTheme="majorBidi" w:hAnsiTheme="majorBidi" w:cstheme="majorBidi"/>
          <w:b/>
        </w:rPr>
      </w:pPr>
      <w:r>
        <w:rPr>
          <w:rFonts w:asciiTheme="majorBidi" w:hAnsiTheme="majorBidi" w:cstheme="majorBidi"/>
          <w:b/>
        </w:rPr>
        <w:t xml:space="preserve">Dasatinib </w:t>
      </w:r>
      <w:r w:rsidR="00911CD7">
        <w:rPr>
          <w:rFonts w:asciiTheme="majorBidi" w:hAnsiTheme="majorBidi" w:cstheme="majorBidi"/>
          <w:b/>
        </w:rPr>
        <w:t>Accord Healthcare</w:t>
      </w:r>
      <w:r w:rsidR="00422138" w:rsidRPr="00F25CE6">
        <w:rPr>
          <w:rFonts w:asciiTheme="majorBidi" w:hAnsiTheme="majorBidi" w:cstheme="majorBidi"/>
          <w:b/>
        </w:rPr>
        <w:t xml:space="preserve"> 140 mg filmom obložene tablete</w:t>
      </w:r>
    </w:p>
    <w:p w14:paraId="422C15F6" w14:textId="77777777" w:rsidR="00AF7ABC" w:rsidRPr="00F25CE6" w:rsidRDefault="00422138" w:rsidP="00396A82">
      <w:pPr>
        <w:widowControl/>
        <w:jc w:val="center"/>
        <w:rPr>
          <w:rFonts w:asciiTheme="majorBidi" w:hAnsiTheme="majorBidi" w:cstheme="majorBidi"/>
        </w:rPr>
      </w:pPr>
      <w:r w:rsidRPr="00F25CE6">
        <w:rPr>
          <w:rFonts w:asciiTheme="majorBidi" w:hAnsiTheme="majorBidi" w:cstheme="majorBidi"/>
        </w:rPr>
        <w:t>dasatinib</w:t>
      </w:r>
    </w:p>
    <w:p w14:paraId="30534E51" w14:textId="77777777" w:rsidR="00AF7ABC" w:rsidRPr="00F25CE6" w:rsidRDefault="00AF7ABC" w:rsidP="00F25CE6">
      <w:pPr>
        <w:pStyle w:val="BodyText"/>
        <w:widowControl/>
        <w:rPr>
          <w:rFonts w:asciiTheme="majorBidi" w:hAnsiTheme="majorBidi" w:cstheme="majorBidi"/>
          <w:szCs w:val="22"/>
        </w:rPr>
      </w:pPr>
    </w:p>
    <w:p w14:paraId="06F04C00" w14:textId="77777777" w:rsidR="00AF7ABC" w:rsidRPr="00F25CE6" w:rsidRDefault="00422138" w:rsidP="00F25CE6">
      <w:pPr>
        <w:widowControl/>
        <w:rPr>
          <w:rFonts w:asciiTheme="majorBidi" w:hAnsiTheme="majorBidi" w:cstheme="majorBidi"/>
          <w:b/>
        </w:rPr>
      </w:pPr>
      <w:r w:rsidRPr="00F25CE6">
        <w:rPr>
          <w:rFonts w:asciiTheme="majorBidi" w:hAnsiTheme="majorBidi" w:cstheme="majorBidi"/>
          <w:b/>
        </w:rPr>
        <w:t>Pažljivo pročitajte cijelu uputu prije nego počnete uzimati ovaj lijek jer sadrži Vama važne podatke.</w:t>
      </w:r>
    </w:p>
    <w:p w14:paraId="4BA055EB" w14:textId="77777777" w:rsidR="00AF7ABC" w:rsidRPr="00F25CE6" w:rsidRDefault="00422138" w:rsidP="00612D2B">
      <w:pPr>
        <w:pStyle w:val="ListParagraph"/>
        <w:widowControl/>
        <w:numPr>
          <w:ilvl w:val="0"/>
          <w:numId w:val="61"/>
        </w:numPr>
        <w:ind w:hanging="672"/>
        <w:rPr>
          <w:rFonts w:asciiTheme="majorBidi" w:hAnsiTheme="majorBidi" w:cstheme="majorBidi"/>
        </w:rPr>
      </w:pPr>
      <w:r w:rsidRPr="00F25CE6">
        <w:rPr>
          <w:rFonts w:asciiTheme="majorBidi" w:hAnsiTheme="majorBidi" w:cstheme="majorBidi"/>
        </w:rPr>
        <w:t>Sačuvajte ovu uputu. Možda ćete je trebati ponovno pročitati.</w:t>
      </w:r>
    </w:p>
    <w:p w14:paraId="610D01DE" w14:textId="77777777" w:rsidR="00AF7ABC" w:rsidRPr="00F25CE6" w:rsidRDefault="00422138" w:rsidP="00612D2B">
      <w:pPr>
        <w:pStyle w:val="ListParagraph"/>
        <w:widowControl/>
        <w:numPr>
          <w:ilvl w:val="0"/>
          <w:numId w:val="61"/>
        </w:numPr>
        <w:ind w:hanging="672"/>
        <w:rPr>
          <w:rFonts w:asciiTheme="majorBidi" w:hAnsiTheme="majorBidi" w:cstheme="majorBidi"/>
        </w:rPr>
      </w:pPr>
      <w:r w:rsidRPr="00F25CE6">
        <w:rPr>
          <w:rFonts w:asciiTheme="majorBidi" w:hAnsiTheme="majorBidi" w:cstheme="majorBidi"/>
        </w:rPr>
        <w:t>Ako imate dodatnih pitanja, obratite se liječniku ili ljekarniku.</w:t>
      </w:r>
    </w:p>
    <w:p w14:paraId="4B0D9842" w14:textId="77777777" w:rsidR="00AF7ABC" w:rsidRPr="00F25CE6" w:rsidRDefault="00422138" w:rsidP="00612D2B">
      <w:pPr>
        <w:pStyle w:val="ListParagraph"/>
        <w:widowControl/>
        <w:numPr>
          <w:ilvl w:val="0"/>
          <w:numId w:val="61"/>
        </w:numPr>
        <w:ind w:hanging="672"/>
        <w:rPr>
          <w:rFonts w:asciiTheme="majorBidi" w:hAnsiTheme="majorBidi" w:cstheme="majorBidi"/>
        </w:rPr>
      </w:pPr>
      <w:r w:rsidRPr="00F25CE6">
        <w:rPr>
          <w:rFonts w:asciiTheme="majorBidi" w:hAnsiTheme="majorBidi" w:cstheme="majorBidi"/>
        </w:rPr>
        <w:t>Ovaj je lijek propisan samo Vama. Nemojte ga davati drugima. Može im naškoditi, čak i ako su njihovi znakovi bolesti jednaki Vašima.</w:t>
      </w:r>
    </w:p>
    <w:p w14:paraId="63970A6B" w14:textId="50CEFBD4" w:rsidR="00AF7ABC" w:rsidRPr="00F25CE6" w:rsidRDefault="00422138" w:rsidP="00612D2B">
      <w:pPr>
        <w:pStyle w:val="ListParagraph"/>
        <w:widowControl/>
        <w:numPr>
          <w:ilvl w:val="0"/>
          <w:numId w:val="61"/>
        </w:numPr>
        <w:ind w:hanging="672"/>
        <w:rPr>
          <w:rFonts w:asciiTheme="majorBidi" w:hAnsiTheme="majorBidi" w:cstheme="majorBidi"/>
        </w:rPr>
      </w:pPr>
      <w:r w:rsidRPr="00F25CE6">
        <w:rPr>
          <w:rFonts w:asciiTheme="majorBidi" w:hAnsiTheme="majorBidi" w:cstheme="majorBidi"/>
        </w:rPr>
        <w:t>Ako primijetite bilo koju nuspojavu, potrebno je obavijestiti liječnika ili ljekarnika. To uključuje i svaku moguću nuspojavu koja nije navedena u ovoj uputi. Pogledajte dio 4.</w:t>
      </w:r>
    </w:p>
    <w:p w14:paraId="3477A109" w14:textId="77777777" w:rsidR="00AF7ABC" w:rsidRPr="00F25CE6" w:rsidRDefault="00AF7ABC" w:rsidP="00F25CE6">
      <w:pPr>
        <w:pStyle w:val="BodyText"/>
        <w:widowControl/>
        <w:rPr>
          <w:rFonts w:asciiTheme="majorBidi" w:hAnsiTheme="majorBidi" w:cstheme="majorBidi"/>
          <w:szCs w:val="22"/>
        </w:rPr>
      </w:pPr>
    </w:p>
    <w:p w14:paraId="6C699AE7" w14:textId="77777777" w:rsidR="00AF7ABC" w:rsidRPr="00896BC5" w:rsidRDefault="00422138" w:rsidP="00896BC5">
      <w:pPr>
        <w:pStyle w:val="BodyText"/>
        <w:rPr>
          <w:b/>
          <w:bCs/>
        </w:rPr>
      </w:pPr>
      <w:r w:rsidRPr="00896BC5">
        <w:rPr>
          <w:b/>
          <w:bCs/>
        </w:rPr>
        <w:t>Što se nalazi u ovoj uputi:</w:t>
      </w:r>
    </w:p>
    <w:p w14:paraId="2A687872" w14:textId="77777777" w:rsidR="00AF7ABC" w:rsidRPr="00F25CE6" w:rsidRDefault="00AF7ABC" w:rsidP="00F25CE6">
      <w:pPr>
        <w:pStyle w:val="BodyText"/>
        <w:widowControl/>
        <w:rPr>
          <w:rFonts w:asciiTheme="majorBidi" w:hAnsiTheme="majorBidi" w:cstheme="majorBidi"/>
          <w:b/>
          <w:szCs w:val="22"/>
        </w:rPr>
      </w:pPr>
    </w:p>
    <w:p w14:paraId="04E16FE1" w14:textId="6D690C66"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 xml:space="preserve">Što je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i za što se koristi</w:t>
      </w:r>
    </w:p>
    <w:p w14:paraId="578DC2A2" w14:textId="720D9705"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 xml:space="preserve">Što morate znati prije nego počnete uzimati </w:t>
      </w:r>
      <w:r w:rsidR="00064F60">
        <w:rPr>
          <w:rFonts w:asciiTheme="majorBidi" w:hAnsiTheme="majorBidi" w:cstheme="majorBidi"/>
        </w:rPr>
        <w:t xml:space="preserve">Dasatinib </w:t>
      </w:r>
      <w:r w:rsidR="00911CD7">
        <w:rPr>
          <w:rFonts w:asciiTheme="majorBidi" w:hAnsiTheme="majorBidi" w:cstheme="majorBidi"/>
        </w:rPr>
        <w:t>Accord Healthcare</w:t>
      </w:r>
    </w:p>
    <w:p w14:paraId="7470AE05" w14:textId="789EC0A8"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Kako uzimati</w:t>
      </w:r>
      <w:r w:rsidR="00675B5A">
        <w:rPr>
          <w:rFonts w:asciiTheme="majorBidi" w:hAnsiTheme="majorBidi" w:cstheme="majorBidi"/>
        </w:rPr>
        <w:t xml:space="preserve"> </w:t>
      </w:r>
      <w:r w:rsidR="00064F60">
        <w:rPr>
          <w:rFonts w:asciiTheme="majorBidi" w:hAnsiTheme="majorBidi" w:cstheme="majorBidi"/>
        </w:rPr>
        <w:t xml:space="preserve">Dasatinib </w:t>
      </w:r>
      <w:r w:rsidR="00911CD7">
        <w:rPr>
          <w:rFonts w:asciiTheme="majorBidi" w:hAnsiTheme="majorBidi" w:cstheme="majorBidi"/>
        </w:rPr>
        <w:t>Accord Healthcare</w:t>
      </w:r>
    </w:p>
    <w:p w14:paraId="21D0E89C" w14:textId="77777777"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Moguće nuspojave</w:t>
      </w:r>
    </w:p>
    <w:p w14:paraId="667866A3" w14:textId="7D51D434"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 xml:space="preserve">Kako čuvati </w:t>
      </w:r>
      <w:r w:rsidR="00064F60">
        <w:rPr>
          <w:rFonts w:asciiTheme="majorBidi" w:hAnsiTheme="majorBidi" w:cstheme="majorBidi"/>
        </w:rPr>
        <w:t xml:space="preserve">Dasatinib </w:t>
      </w:r>
      <w:r w:rsidR="00911CD7">
        <w:rPr>
          <w:rFonts w:asciiTheme="majorBidi" w:hAnsiTheme="majorBidi" w:cstheme="majorBidi"/>
        </w:rPr>
        <w:t>Accord Healthcare</w:t>
      </w:r>
    </w:p>
    <w:p w14:paraId="34065D5F" w14:textId="77777777" w:rsidR="00AF7ABC" w:rsidRPr="00F25CE6" w:rsidRDefault="00422138" w:rsidP="00896BC5">
      <w:pPr>
        <w:pStyle w:val="ListParagraph"/>
        <w:widowControl/>
        <w:numPr>
          <w:ilvl w:val="0"/>
          <w:numId w:val="3"/>
        </w:numPr>
        <w:ind w:left="562" w:hanging="562"/>
        <w:rPr>
          <w:rFonts w:asciiTheme="majorBidi" w:hAnsiTheme="majorBidi" w:cstheme="majorBidi"/>
        </w:rPr>
      </w:pPr>
      <w:r w:rsidRPr="00F25CE6">
        <w:rPr>
          <w:rFonts w:asciiTheme="majorBidi" w:hAnsiTheme="majorBidi" w:cstheme="majorBidi"/>
        </w:rPr>
        <w:t>Sadržaj pakiranja i druge informacije</w:t>
      </w:r>
    </w:p>
    <w:p w14:paraId="7338DD66" w14:textId="77777777" w:rsidR="00AF7ABC" w:rsidRPr="00F25CE6" w:rsidRDefault="00AF7ABC" w:rsidP="00F25CE6">
      <w:pPr>
        <w:pStyle w:val="BodyText"/>
        <w:widowControl/>
        <w:rPr>
          <w:rFonts w:asciiTheme="majorBidi" w:hAnsiTheme="majorBidi" w:cstheme="majorBidi"/>
          <w:szCs w:val="22"/>
        </w:rPr>
      </w:pPr>
    </w:p>
    <w:p w14:paraId="679294BA" w14:textId="77777777" w:rsidR="00AF7ABC" w:rsidRPr="00F25CE6" w:rsidRDefault="00AF7ABC" w:rsidP="00F25CE6">
      <w:pPr>
        <w:pStyle w:val="BodyText"/>
        <w:widowControl/>
        <w:rPr>
          <w:rFonts w:asciiTheme="majorBidi" w:hAnsiTheme="majorBidi" w:cstheme="majorBidi"/>
          <w:szCs w:val="22"/>
        </w:rPr>
      </w:pPr>
    </w:p>
    <w:p w14:paraId="7D609B61" w14:textId="0298C921" w:rsidR="00AF7ABC" w:rsidRPr="00F25CE6" w:rsidRDefault="00422138" w:rsidP="00896BC5">
      <w:pPr>
        <w:pStyle w:val="Heading1"/>
        <w:numPr>
          <w:ilvl w:val="0"/>
          <w:numId w:val="2"/>
        </w:numPr>
        <w:ind w:left="562" w:hanging="562"/>
      </w:pPr>
      <w:r w:rsidRPr="00F25CE6">
        <w:t xml:space="preserve">Što je </w:t>
      </w:r>
      <w:r w:rsidR="00064F60">
        <w:t xml:space="preserve">Dasatinib </w:t>
      </w:r>
      <w:r w:rsidR="00911CD7">
        <w:t>Accord Healthcare</w:t>
      </w:r>
      <w:r w:rsidRPr="00F25CE6">
        <w:t xml:space="preserve"> i za što se koristi</w:t>
      </w:r>
    </w:p>
    <w:p w14:paraId="7E35C315" w14:textId="77777777" w:rsidR="00AF7ABC" w:rsidRPr="00F25CE6" w:rsidRDefault="00AF7ABC" w:rsidP="00F25CE6">
      <w:pPr>
        <w:pStyle w:val="BodyText"/>
        <w:widowControl/>
        <w:rPr>
          <w:rFonts w:asciiTheme="majorBidi" w:hAnsiTheme="majorBidi" w:cstheme="majorBidi"/>
          <w:b/>
          <w:szCs w:val="22"/>
        </w:rPr>
      </w:pPr>
    </w:p>
    <w:p w14:paraId="6F89FDBA" w14:textId="493BD795"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sadrži djelatnu tvar dasatinib. Ovaj lijek koristi se za liječenje kronične mijeloične leukemije (KML) u odraslih, adolescenata i djece u dobi od najmanje godinu dana. Leukemija je rak bijelih krvnih stanica. Bijele krvne stanice uobičajeno pomažu tijelu da se obrani od infekcije. U osoba s KML</w:t>
      </w:r>
      <w:r w:rsidR="001F5D94">
        <w:rPr>
          <w:rFonts w:asciiTheme="majorBidi" w:hAnsiTheme="majorBidi" w:cstheme="majorBidi"/>
          <w:szCs w:val="22"/>
        </w:rPr>
        <w:t>-om</w:t>
      </w:r>
      <w:r w:rsidR="00422138" w:rsidRPr="00F25CE6">
        <w:rPr>
          <w:rFonts w:asciiTheme="majorBidi" w:hAnsiTheme="majorBidi" w:cstheme="majorBidi"/>
          <w:szCs w:val="22"/>
        </w:rPr>
        <w:t xml:space="preserve">, bijele krvne stanice koje se zovu granulociti nekontrolirano se počnu umnažati.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sprječava umnažanje tih leukemijskih stanica.</w:t>
      </w:r>
    </w:p>
    <w:p w14:paraId="1BD7C794" w14:textId="77777777" w:rsidR="00AF7ABC" w:rsidRPr="00F25CE6" w:rsidRDefault="00AF7ABC" w:rsidP="00F25CE6">
      <w:pPr>
        <w:pStyle w:val="BodyText"/>
        <w:widowControl/>
        <w:rPr>
          <w:rFonts w:asciiTheme="majorBidi" w:hAnsiTheme="majorBidi" w:cstheme="majorBidi"/>
          <w:szCs w:val="22"/>
        </w:rPr>
      </w:pPr>
    </w:p>
    <w:p w14:paraId="401027BF" w14:textId="0335D574"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se koristi i za liječenje akutne limfoblastične leukemije (ALL) s pozitivnim Philadelphia kromosomom (Ph+) u odraslih, adolescenata i djece u dobi od najmanje godinu dana te limfoidn</w:t>
      </w:r>
      <w:r w:rsidR="0019067D">
        <w:rPr>
          <w:rFonts w:asciiTheme="majorBidi" w:hAnsiTheme="majorBidi" w:cstheme="majorBidi"/>
          <w:szCs w:val="22"/>
        </w:rPr>
        <w:t>og</w:t>
      </w:r>
      <w:r w:rsidR="00422138" w:rsidRPr="00F25CE6">
        <w:rPr>
          <w:rFonts w:asciiTheme="majorBidi" w:hAnsiTheme="majorBidi" w:cstheme="majorBidi"/>
          <w:szCs w:val="22"/>
        </w:rPr>
        <w:t xml:space="preserve"> blastn</w:t>
      </w:r>
      <w:r w:rsidR="0019067D">
        <w:rPr>
          <w:rFonts w:asciiTheme="majorBidi" w:hAnsiTheme="majorBidi" w:cstheme="majorBidi"/>
          <w:szCs w:val="22"/>
        </w:rPr>
        <w:t>og</w:t>
      </w:r>
      <w:r w:rsidR="00422138" w:rsidRPr="00F25CE6">
        <w:rPr>
          <w:rFonts w:asciiTheme="majorBidi" w:hAnsiTheme="majorBidi" w:cstheme="majorBidi"/>
          <w:szCs w:val="22"/>
        </w:rPr>
        <w:t xml:space="preserve"> KML</w:t>
      </w:r>
      <w:r w:rsidR="0019067D">
        <w:rPr>
          <w:rFonts w:asciiTheme="majorBidi" w:hAnsiTheme="majorBidi" w:cstheme="majorBidi"/>
          <w:szCs w:val="22"/>
        </w:rPr>
        <w:t>-a</w:t>
      </w:r>
      <w:r w:rsidR="00422138" w:rsidRPr="00F25CE6">
        <w:rPr>
          <w:rFonts w:asciiTheme="majorBidi" w:hAnsiTheme="majorBidi" w:cstheme="majorBidi"/>
          <w:szCs w:val="22"/>
        </w:rPr>
        <w:t xml:space="preserve"> u odraslih u kojih prethodno liječenje nije dovelo do poboljšanja. U osoba s ALL</w:t>
      </w:r>
      <w:r w:rsidR="0019067D">
        <w:rPr>
          <w:rFonts w:asciiTheme="majorBidi" w:hAnsiTheme="majorBidi" w:cstheme="majorBidi"/>
          <w:szCs w:val="22"/>
        </w:rPr>
        <w:t>-om</w:t>
      </w:r>
      <w:r w:rsidR="00422138" w:rsidRPr="00F25CE6">
        <w:rPr>
          <w:rFonts w:asciiTheme="majorBidi" w:hAnsiTheme="majorBidi" w:cstheme="majorBidi"/>
          <w:szCs w:val="22"/>
        </w:rPr>
        <w:t xml:space="preserve">, bijele krvne stanice koje se zovu limfociti prebrzo se množe i predugo žive.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sprječava rast tih leukemijskih stanica.</w:t>
      </w:r>
    </w:p>
    <w:p w14:paraId="46D19FF4" w14:textId="77777777" w:rsidR="00AF7ABC" w:rsidRPr="00F25CE6" w:rsidRDefault="00AF7ABC" w:rsidP="00F25CE6">
      <w:pPr>
        <w:pStyle w:val="BodyText"/>
        <w:widowControl/>
        <w:rPr>
          <w:rFonts w:asciiTheme="majorBidi" w:hAnsiTheme="majorBidi" w:cstheme="majorBidi"/>
          <w:szCs w:val="22"/>
        </w:rPr>
      </w:pPr>
    </w:p>
    <w:p w14:paraId="72F23E1C" w14:textId="0DA43EDC"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Ako imate dodatnih pitanja o načinu djelovanja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ili razlogu zašto Vam je propisan ovaj lijek, obratite se liječniku.</w:t>
      </w:r>
    </w:p>
    <w:p w14:paraId="5245BCA5" w14:textId="77777777" w:rsidR="00AF7ABC" w:rsidRDefault="00AF7ABC" w:rsidP="00F25CE6">
      <w:pPr>
        <w:pStyle w:val="BodyText"/>
        <w:widowControl/>
        <w:rPr>
          <w:rFonts w:asciiTheme="majorBidi" w:hAnsiTheme="majorBidi" w:cstheme="majorBidi"/>
          <w:szCs w:val="22"/>
        </w:rPr>
      </w:pPr>
    </w:p>
    <w:p w14:paraId="5862E52D" w14:textId="77777777" w:rsidR="00896BC5" w:rsidRPr="00F25CE6" w:rsidRDefault="00896BC5" w:rsidP="00F25CE6">
      <w:pPr>
        <w:pStyle w:val="BodyText"/>
        <w:widowControl/>
        <w:rPr>
          <w:rFonts w:asciiTheme="majorBidi" w:hAnsiTheme="majorBidi" w:cstheme="majorBidi"/>
          <w:szCs w:val="22"/>
        </w:rPr>
      </w:pPr>
    </w:p>
    <w:p w14:paraId="64FEC404" w14:textId="710C348B" w:rsidR="00896BC5" w:rsidRDefault="00422138" w:rsidP="00896BC5">
      <w:pPr>
        <w:pStyle w:val="Heading1"/>
        <w:numPr>
          <w:ilvl w:val="0"/>
          <w:numId w:val="2"/>
        </w:numPr>
        <w:ind w:left="562" w:hanging="562"/>
      </w:pPr>
      <w:r w:rsidRPr="00F25CE6">
        <w:t xml:space="preserve">Što morate znati prije nego počnete uzimati </w:t>
      </w:r>
      <w:r w:rsidR="00064F60">
        <w:t xml:space="preserve">Dasatinib </w:t>
      </w:r>
      <w:r w:rsidR="00911CD7">
        <w:t>Accord Healthcare</w:t>
      </w:r>
    </w:p>
    <w:p w14:paraId="1CB2B109" w14:textId="77777777" w:rsidR="00896BC5" w:rsidRDefault="00896BC5" w:rsidP="00896BC5">
      <w:pPr>
        <w:pStyle w:val="Heading1"/>
        <w:numPr>
          <w:ilvl w:val="0"/>
          <w:numId w:val="0"/>
        </w:numPr>
        <w:ind w:left="562" w:hanging="562"/>
      </w:pPr>
    </w:p>
    <w:p w14:paraId="0E3E691C" w14:textId="7C48A24B" w:rsidR="00AF7ABC" w:rsidRPr="00F25CE6" w:rsidRDefault="00422138" w:rsidP="00896BC5">
      <w:pPr>
        <w:pStyle w:val="Heading1"/>
        <w:numPr>
          <w:ilvl w:val="0"/>
          <w:numId w:val="0"/>
        </w:numPr>
        <w:ind w:left="562" w:hanging="562"/>
      </w:pPr>
      <w:r w:rsidRPr="00F25CE6">
        <w:t xml:space="preserve">Nemojte uzimati </w:t>
      </w:r>
      <w:r w:rsidR="00064F60">
        <w:t xml:space="preserve">Dasatinib </w:t>
      </w:r>
      <w:r w:rsidR="00911CD7">
        <w:t>Accord Healthcare</w:t>
      </w:r>
    </w:p>
    <w:p w14:paraId="0B530B8D" w14:textId="77777777"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 xml:space="preserve">ako ste </w:t>
      </w:r>
      <w:r w:rsidRPr="00F25CE6">
        <w:rPr>
          <w:rFonts w:asciiTheme="majorBidi" w:hAnsiTheme="majorBidi" w:cstheme="majorBidi"/>
          <w:b/>
        </w:rPr>
        <w:t xml:space="preserve">alergični </w:t>
      </w:r>
      <w:r w:rsidRPr="00F25CE6">
        <w:rPr>
          <w:rFonts w:asciiTheme="majorBidi" w:hAnsiTheme="majorBidi" w:cstheme="majorBidi"/>
        </w:rPr>
        <w:t>na dasatinib ili neki drugi sastojak ovog lijeka (naveden u dijelu 6.).</w:t>
      </w:r>
    </w:p>
    <w:p w14:paraId="0BEED26E" w14:textId="77777777" w:rsidR="00AF7ABC" w:rsidRPr="00896BC5" w:rsidRDefault="00422138" w:rsidP="00896BC5">
      <w:pPr>
        <w:pStyle w:val="BodyText"/>
        <w:rPr>
          <w:b/>
          <w:bCs/>
        </w:rPr>
      </w:pPr>
      <w:r w:rsidRPr="00896BC5">
        <w:rPr>
          <w:b/>
          <w:bCs/>
        </w:rPr>
        <w:t>U slučaju da biste mogli biti alergični, potražite savjet svoga liječnika.</w:t>
      </w:r>
    </w:p>
    <w:p w14:paraId="640B6DE5" w14:textId="77777777" w:rsidR="00AF7ABC" w:rsidRPr="00F25CE6" w:rsidRDefault="00AF7ABC" w:rsidP="00F25CE6">
      <w:pPr>
        <w:pStyle w:val="BodyText"/>
        <w:widowControl/>
        <w:rPr>
          <w:rFonts w:asciiTheme="majorBidi" w:hAnsiTheme="majorBidi" w:cstheme="majorBidi"/>
          <w:b/>
          <w:szCs w:val="22"/>
        </w:rPr>
      </w:pPr>
    </w:p>
    <w:p w14:paraId="2583E347" w14:textId="77777777" w:rsidR="00AF7ABC" w:rsidRPr="00F25CE6" w:rsidRDefault="00422138" w:rsidP="00896BC5">
      <w:pPr>
        <w:keepNext/>
        <w:widowControl/>
        <w:rPr>
          <w:rFonts w:asciiTheme="majorBidi" w:hAnsiTheme="majorBidi" w:cstheme="majorBidi"/>
          <w:b/>
        </w:rPr>
      </w:pPr>
      <w:r w:rsidRPr="00F25CE6">
        <w:rPr>
          <w:rFonts w:asciiTheme="majorBidi" w:hAnsiTheme="majorBidi" w:cstheme="majorBidi"/>
          <w:b/>
        </w:rPr>
        <w:t>Upozorenja i mjere opreza</w:t>
      </w:r>
    </w:p>
    <w:p w14:paraId="4FB2E2A6" w14:textId="0987035F"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Obratite se svom liječniku ili ljekarniku prije nego uzmete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p>
    <w:p w14:paraId="1CADDB90" w14:textId="434A63CF"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 xml:space="preserve">ako uzimate </w:t>
      </w:r>
      <w:r w:rsidRPr="00F25CE6">
        <w:rPr>
          <w:rFonts w:asciiTheme="majorBidi" w:hAnsiTheme="majorBidi" w:cstheme="majorBidi"/>
          <w:b/>
        </w:rPr>
        <w:t xml:space="preserve">lijekove za razrjeđivanje krvi </w:t>
      </w:r>
      <w:r w:rsidRPr="00F25CE6">
        <w:rPr>
          <w:rFonts w:asciiTheme="majorBidi" w:hAnsiTheme="majorBidi" w:cstheme="majorBidi"/>
        </w:rPr>
        <w:t xml:space="preserve">ili sprječavanje stvaranja krvnih ugrušaka (pogledajte dio </w:t>
      </w:r>
      <w:r w:rsidR="0019067D">
        <w:rPr>
          <w:rFonts w:asciiTheme="majorBidi" w:hAnsiTheme="majorBidi" w:cstheme="majorBidi"/>
        </w:rPr>
        <w:t>„</w:t>
      </w:r>
      <w:r w:rsidRPr="00F25CE6">
        <w:rPr>
          <w:rFonts w:asciiTheme="majorBidi" w:hAnsiTheme="majorBidi" w:cstheme="majorBidi"/>
        </w:rPr>
        <w:t xml:space="preserve">Drugi lijekovi i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w:t>
      </w:r>
    </w:p>
    <w:p w14:paraId="54CCF44F" w14:textId="77777777"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lastRenderedPageBreak/>
        <w:t>ako imate ili ste imali problema s jetrom ili srcem</w:t>
      </w:r>
    </w:p>
    <w:p w14:paraId="55C56219" w14:textId="594EE257"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 xml:space="preserve">ako počnete </w:t>
      </w:r>
      <w:r w:rsidRPr="00F25CE6">
        <w:rPr>
          <w:rFonts w:asciiTheme="majorBidi" w:hAnsiTheme="majorBidi" w:cstheme="majorBidi"/>
          <w:b/>
        </w:rPr>
        <w:t xml:space="preserve">otežano disati, osjetite bol u prsištu ili počnete kašljati </w:t>
      </w:r>
      <w:r w:rsidRPr="00F25CE6">
        <w:rPr>
          <w:rFonts w:asciiTheme="majorBidi" w:hAnsiTheme="majorBidi" w:cstheme="majorBidi"/>
        </w:rPr>
        <w:t xml:space="preserve">dok uzimate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to može biti znak da se u plućima ili prsištu zadržava voda (što se zna češće javljati u bolesnika u dobi od 65 godina i starijih) ili znak promjena na krvnim žilama koje opskrbljuju pluća</w:t>
      </w:r>
    </w:p>
    <w:p w14:paraId="10514C66" w14:textId="424DFC65"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 xml:space="preserve">ako ste ikada imali ili možda sada imate infekciju virusom hepatitisa B. To je potrebno jer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može uzrokovati ponovnu aktivaciju hepatitisa B što u nekim slučajevima može rezultirati smrtnim ishodom. Prije početka liječenja liječnik će pažljvo pregledati bolesnike radi utvrđivanja eventualnih znakova te infekcije.</w:t>
      </w:r>
    </w:p>
    <w:p w14:paraId="19ECAD70" w14:textId="44D891E6" w:rsidR="00AF7ABC" w:rsidRPr="00F25CE6" w:rsidRDefault="00422138" w:rsidP="00896BC5">
      <w:pPr>
        <w:pStyle w:val="ListParagraph"/>
        <w:widowControl/>
        <w:numPr>
          <w:ilvl w:val="0"/>
          <w:numId w:val="9"/>
        </w:numPr>
        <w:ind w:left="562" w:hanging="562"/>
        <w:rPr>
          <w:rFonts w:asciiTheme="majorBidi" w:hAnsiTheme="majorBidi" w:cstheme="majorBidi"/>
        </w:rPr>
      </w:pPr>
      <w:r w:rsidRPr="00F25CE6">
        <w:rPr>
          <w:rFonts w:asciiTheme="majorBidi" w:hAnsiTheme="majorBidi" w:cstheme="majorBidi"/>
        </w:rPr>
        <w:t xml:space="preserve">ako se tijekom liječenja lijekom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 xml:space="preserve"> jave modrice, krvarenje, vrućica, umor i smetenost, obratite se svom liječniku. To može biti znak oštećenja krvnih žila koje se zove trombotična mikroangiopatija (TMA).</w:t>
      </w:r>
    </w:p>
    <w:p w14:paraId="27C666FF" w14:textId="77777777" w:rsidR="00AF7ABC" w:rsidRPr="00F25CE6" w:rsidRDefault="00AF7ABC" w:rsidP="00F25CE6">
      <w:pPr>
        <w:pStyle w:val="BodyText"/>
        <w:widowControl/>
        <w:rPr>
          <w:rFonts w:asciiTheme="majorBidi" w:hAnsiTheme="majorBidi" w:cstheme="majorBidi"/>
          <w:szCs w:val="22"/>
        </w:rPr>
      </w:pPr>
    </w:p>
    <w:p w14:paraId="016A1F27" w14:textId="1E7DDBF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Liječnik će redovito kontrolirati Vaše zdravstveno stanje kako bi provjerio ima li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željeni učinak. Također ćete tijekom uzimanja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redovito obavljati krvne pretrage.</w:t>
      </w:r>
    </w:p>
    <w:p w14:paraId="5F39DED4" w14:textId="77777777" w:rsidR="00AF7ABC" w:rsidRPr="00F25CE6" w:rsidRDefault="00AF7ABC" w:rsidP="00F25CE6">
      <w:pPr>
        <w:pStyle w:val="BodyText"/>
        <w:widowControl/>
        <w:rPr>
          <w:rFonts w:asciiTheme="majorBidi" w:hAnsiTheme="majorBidi" w:cstheme="majorBidi"/>
          <w:szCs w:val="22"/>
        </w:rPr>
      </w:pPr>
    </w:p>
    <w:p w14:paraId="4A2645AE" w14:textId="77777777" w:rsidR="00AF7ABC" w:rsidRPr="00896BC5" w:rsidRDefault="00422138" w:rsidP="00896BC5">
      <w:pPr>
        <w:pStyle w:val="BodyText"/>
        <w:rPr>
          <w:b/>
          <w:bCs/>
        </w:rPr>
      </w:pPr>
      <w:r w:rsidRPr="00896BC5">
        <w:rPr>
          <w:b/>
          <w:bCs/>
        </w:rPr>
        <w:t>Djeca i adolescenti</w:t>
      </w:r>
    </w:p>
    <w:p w14:paraId="394C0146" w14:textId="4593A6D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Nemojte dati ovaj lijek djeci mlađoj od godinu dana. Iskustvo s primjenom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u ovoj dobnoj skupini je ograničeno. Pažljivo će se pratiti rast i razvoj kostiju djece koja uzimaju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w:t>
      </w:r>
    </w:p>
    <w:p w14:paraId="33D9A4D6" w14:textId="77777777" w:rsidR="00AF7ABC" w:rsidRPr="00F25CE6" w:rsidRDefault="00AF7ABC" w:rsidP="00F25CE6">
      <w:pPr>
        <w:pStyle w:val="BodyText"/>
        <w:widowControl/>
        <w:rPr>
          <w:rFonts w:asciiTheme="majorBidi" w:hAnsiTheme="majorBidi" w:cstheme="majorBidi"/>
          <w:szCs w:val="22"/>
        </w:rPr>
      </w:pPr>
    </w:p>
    <w:p w14:paraId="3F956761" w14:textId="4C74E637" w:rsidR="00AF7ABC" w:rsidRPr="00896BC5" w:rsidRDefault="00422138" w:rsidP="00896BC5">
      <w:pPr>
        <w:pStyle w:val="BodyText"/>
        <w:rPr>
          <w:b/>
          <w:bCs/>
        </w:rPr>
      </w:pPr>
      <w:r w:rsidRPr="00896BC5">
        <w:rPr>
          <w:b/>
          <w:bCs/>
        </w:rPr>
        <w:t xml:space="preserve">Drugi lijekovi i </w:t>
      </w:r>
      <w:r w:rsidR="00064F60">
        <w:rPr>
          <w:b/>
          <w:bCs/>
        </w:rPr>
        <w:t xml:space="preserve">Dasatinib </w:t>
      </w:r>
      <w:r w:rsidR="00911CD7">
        <w:rPr>
          <w:b/>
          <w:bCs/>
        </w:rPr>
        <w:t>Accord Healthcare</w:t>
      </w:r>
    </w:p>
    <w:p w14:paraId="61ABD292" w14:textId="77777777" w:rsidR="00AF7ABC" w:rsidRPr="00F25CE6" w:rsidRDefault="00422138" w:rsidP="00F25CE6">
      <w:pPr>
        <w:widowControl/>
        <w:rPr>
          <w:rFonts w:asciiTheme="majorBidi" w:hAnsiTheme="majorBidi" w:cstheme="majorBidi"/>
        </w:rPr>
      </w:pPr>
      <w:r w:rsidRPr="00F25CE6">
        <w:rPr>
          <w:rFonts w:asciiTheme="majorBidi" w:hAnsiTheme="majorBidi" w:cstheme="majorBidi"/>
          <w:b/>
        </w:rPr>
        <w:t xml:space="preserve">Obavijestite svog liječnika </w:t>
      </w:r>
      <w:r w:rsidRPr="00F25CE6">
        <w:rPr>
          <w:rFonts w:asciiTheme="majorBidi" w:hAnsiTheme="majorBidi" w:cstheme="majorBidi"/>
        </w:rPr>
        <w:t>ako uzimate, nedavno ste uzeli ili biste mogli uzeti bilo koje druge lijekove.</w:t>
      </w:r>
    </w:p>
    <w:p w14:paraId="17BA1F2E" w14:textId="77777777" w:rsidR="00AF7ABC" w:rsidRPr="00F25CE6" w:rsidRDefault="00AF7ABC" w:rsidP="00F25CE6">
      <w:pPr>
        <w:pStyle w:val="BodyText"/>
        <w:widowControl/>
        <w:rPr>
          <w:rFonts w:asciiTheme="majorBidi" w:hAnsiTheme="majorBidi" w:cstheme="majorBidi"/>
          <w:szCs w:val="22"/>
        </w:rPr>
      </w:pPr>
    </w:p>
    <w:p w14:paraId="5A4AF004" w14:textId="047CC7F4"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se uglavnom razgrađuje u jetri. Određeni lijekovi mogu utjecati na djelovanje lijeka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ako se uzimaju istodobno.</w:t>
      </w:r>
    </w:p>
    <w:p w14:paraId="07E6AE29" w14:textId="77777777" w:rsidR="00AF7ABC" w:rsidRPr="00F25CE6" w:rsidRDefault="00AF7ABC" w:rsidP="00F25CE6">
      <w:pPr>
        <w:pStyle w:val="BodyText"/>
        <w:widowControl/>
        <w:rPr>
          <w:rFonts w:asciiTheme="majorBidi" w:hAnsiTheme="majorBidi" w:cstheme="majorBidi"/>
          <w:szCs w:val="22"/>
        </w:rPr>
      </w:pPr>
    </w:p>
    <w:p w14:paraId="37B4132B" w14:textId="420F96AF" w:rsidR="00AF7ABC" w:rsidRPr="00896BC5" w:rsidRDefault="00422138" w:rsidP="00896BC5">
      <w:pPr>
        <w:pStyle w:val="BodyText"/>
        <w:rPr>
          <w:b/>
          <w:bCs/>
        </w:rPr>
      </w:pPr>
      <w:r w:rsidRPr="00896BC5">
        <w:rPr>
          <w:b/>
          <w:bCs/>
        </w:rPr>
        <w:t xml:space="preserve">Sljedeći se lijekovi ne smiju uzimati zajedno s lijekom </w:t>
      </w:r>
      <w:r w:rsidR="00064F60">
        <w:rPr>
          <w:b/>
          <w:bCs/>
        </w:rPr>
        <w:t xml:space="preserve">Dasatinib </w:t>
      </w:r>
      <w:r w:rsidR="00911CD7">
        <w:rPr>
          <w:b/>
          <w:bCs/>
        </w:rPr>
        <w:t>Accord Healthcare</w:t>
      </w:r>
      <w:r w:rsidRPr="00896BC5">
        <w:rPr>
          <w:b/>
          <w:bCs/>
        </w:rPr>
        <w:t>:</w:t>
      </w:r>
    </w:p>
    <w:p w14:paraId="12501BE9"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ketokonazol, itrakonazol - to su </w:t>
      </w:r>
      <w:r w:rsidRPr="00F25CE6">
        <w:rPr>
          <w:rFonts w:asciiTheme="majorBidi" w:hAnsiTheme="majorBidi" w:cstheme="majorBidi"/>
          <w:b/>
        </w:rPr>
        <w:t>lijekovi protiv gljivica</w:t>
      </w:r>
    </w:p>
    <w:p w14:paraId="264B7178"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eritromicin, klaritromicin, telitromicin - to su </w:t>
      </w:r>
      <w:r w:rsidRPr="00F25CE6">
        <w:rPr>
          <w:rFonts w:asciiTheme="majorBidi" w:hAnsiTheme="majorBidi" w:cstheme="majorBidi"/>
          <w:b/>
        </w:rPr>
        <w:t>antibiotici</w:t>
      </w:r>
    </w:p>
    <w:p w14:paraId="374CC86F"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ritonavir - to je </w:t>
      </w:r>
      <w:r w:rsidRPr="00F25CE6">
        <w:rPr>
          <w:rFonts w:asciiTheme="majorBidi" w:hAnsiTheme="majorBidi" w:cstheme="majorBidi"/>
          <w:b/>
        </w:rPr>
        <w:t>antivirusni lijek</w:t>
      </w:r>
    </w:p>
    <w:p w14:paraId="17B21AE0"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fenitoin, karbamazepin, fenobarbital - koriste se za liječenje </w:t>
      </w:r>
      <w:r w:rsidRPr="00F25CE6">
        <w:rPr>
          <w:rFonts w:asciiTheme="majorBidi" w:hAnsiTheme="majorBidi" w:cstheme="majorBidi"/>
          <w:b/>
        </w:rPr>
        <w:t>epilepsije</w:t>
      </w:r>
    </w:p>
    <w:p w14:paraId="26BDC0F8"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rifampicin - koristi se u liječenju </w:t>
      </w:r>
      <w:r w:rsidRPr="00F25CE6">
        <w:rPr>
          <w:rFonts w:asciiTheme="majorBidi" w:hAnsiTheme="majorBidi" w:cstheme="majorBidi"/>
          <w:b/>
        </w:rPr>
        <w:t>tuberkuloze</w:t>
      </w:r>
    </w:p>
    <w:p w14:paraId="58A0A968" w14:textId="77777777" w:rsidR="00AF7ABC" w:rsidRPr="00F25CE6" w:rsidRDefault="00422138" w:rsidP="00896BC5">
      <w:pPr>
        <w:pStyle w:val="ListParagraph"/>
        <w:widowControl/>
        <w:numPr>
          <w:ilvl w:val="0"/>
          <w:numId w:val="9"/>
        </w:numPr>
        <w:ind w:left="562" w:hanging="562"/>
        <w:rPr>
          <w:rFonts w:asciiTheme="majorBidi" w:hAnsiTheme="majorBidi" w:cstheme="majorBidi"/>
          <w:b/>
        </w:rPr>
      </w:pPr>
      <w:r w:rsidRPr="00F25CE6">
        <w:rPr>
          <w:rFonts w:asciiTheme="majorBidi" w:hAnsiTheme="majorBidi" w:cstheme="majorBidi"/>
        </w:rPr>
        <w:t xml:space="preserve">famotidin, omeprazol - to su lijekovi koji </w:t>
      </w:r>
      <w:r w:rsidRPr="00F25CE6">
        <w:rPr>
          <w:rFonts w:asciiTheme="majorBidi" w:hAnsiTheme="majorBidi" w:cstheme="majorBidi"/>
          <w:b/>
        </w:rPr>
        <w:t>blokiraju kiselinu u želucu</w:t>
      </w:r>
    </w:p>
    <w:p w14:paraId="268FE747" w14:textId="77777777" w:rsidR="00AF7ABC" w:rsidRPr="00896BC5" w:rsidRDefault="00422138" w:rsidP="00D90C85">
      <w:pPr>
        <w:pStyle w:val="ListParagraph"/>
        <w:widowControl/>
        <w:numPr>
          <w:ilvl w:val="0"/>
          <w:numId w:val="9"/>
        </w:numPr>
        <w:ind w:left="562" w:hanging="562"/>
        <w:rPr>
          <w:rFonts w:asciiTheme="majorBidi" w:hAnsiTheme="majorBidi" w:cstheme="majorBidi"/>
        </w:rPr>
      </w:pPr>
      <w:r w:rsidRPr="00896BC5">
        <w:rPr>
          <w:rFonts w:asciiTheme="majorBidi" w:hAnsiTheme="majorBidi" w:cstheme="majorBidi"/>
        </w:rPr>
        <w:t>gospina trava - biljni pripravak koji se izdaje bez liječničkog recepta i koristi se u liječenju</w:t>
      </w:r>
      <w:r w:rsidR="00896BC5" w:rsidRPr="00896BC5">
        <w:rPr>
          <w:rFonts w:asciiTheme="majorBidi" w:hAnsiTheme="majorBidi" w:cstheme="majorBidi"/>
        </w:rPr>
        <w:t xml:space="preserve"> </w:t>
      </w:r>
      <w:r w:rsidRPr="00896BC5">
        <w:rPr>
          <w:rFonts w:asciiTheme="majorBidi" w:hAnsiTheme="majorBidi" w:cstheme="majorBidi"/>
          <w:b/>
        </w:rPr>
        <w:t xml:space="preserve">depresije </w:t>
      </w:r>
      <w:r w:rsidRPr="00896BC5">
        <w:rPr>
          <w:rFonts w:asciiTheme="majorBidi" w:hAnsiTheme="majorBidi" w:cstheme="majorBidi"/>
        </w:rPr>
        <w:t xml:space="preserve">i drugih bolesti (biljka poznata i pod imenom </w:t>
      </w:r>
      <w:r w:rsidRPr="00896BC5">
        <w:rPr>
          <w:rFonts w:asciiTheme="majorBidi" w:hAnsiTheme="majorBidi" w:cstheme="majorBidi"/>
          <w:i/>
        </w:rPr>
        <w:t>Hypericum perforatum</w:t>
      </w:r>
      <w:r w:rsidRPr="00896BC5">
        <w:rPr>
          <w:rFonts w:asciiTheme="majorBidi" w:hAnsiTheme="majorBidi" w:cstheme="majorBidi"/>
        </w:rPr>
        <w:t>)</w:t>
      </w:r>
    </w:p>
    <w:p w14:paraId="79A8693A" w14:textId="77777777" w:rsidR="00AF7ABC" w:rsidRPr="00F25CE6" w:rsidRDefault="00AF7ABC" w:rsidP="00F25CE6">
      <w:pPr>
        <w:pStyle w:val="BodyText"/>
        <w:widowControl/>
        <w:rPr>
          <w:rFonts w:asciiTheme="majorBidi" w:hAnsiTheme="majorBidi" w:cstheme="majorBidi"/>
          <w:szCs w:val="22"/>
        </w:rPr>
      </w:pPr>
    </w:p>
    <w:p w14:paraId="4CD9DF7D" w14:textId="6B149682" w:rsidR="00AF7ABC" w:rsidRPr="00F25CE6" w:rsidRDefault="00422138" w:rsidP="00F25CE6">
      <w:pPr>
        <w:widowControl/>
        <w:rPr>
          <w:rFonts w:asciiTheme="majorBidi" w:hAnsiTheme="majorBidi" w:cstheme="majorBidi"/>
        </w:rPr>
      </w:pPr>
      <w:r w:rsidRPr="00F25CE6">
        <w:rPr>
          <w:rFonts w:asciiTheme="majorBidi" w:hAnsiTheme="majorBidi" w:cstheme="majorBidi"/>
          <w:b/>
        </w:rPr>
        <w:t xml:space="preserve">Ne uzimajte </w:t>
      </w:r>
      <w:r w:rsidRPr="00F25CE6">
        <w:rPr>
          <w:rFonts w:asciiTheme="majorBidi" w:hAnsiTheme="majorBidi" w:cstheme="majorBidi"/>
        </w:rPr>
        <w:t>lijekove koji neutraliziraju kiselinu u želucu (</w:t>
      </w:r>
      <w:r w:rsidRPr="00F25CE6">
        <w:rPr>
          <w:rFonts w:asciiTheme="majorBidi" w:hAnsiTheme="majorBidi" w:cstheme="majorBidi"/>
          <w:b/>
        </w:rPr>
        <w:t xml:space="preserve">antacidi </w:t>
      </w:r>
      <w:r w:rsidRPr="00F25CE6">
        <w:rPr>
          <w:rFonts w:asciiTheme="majorBidi" w:hAnsiTheme="majorBidi" w:cstheme="majorBidi"/>
        </w:rPr>
        <w:t xml:space="preserve">poput aluminijevog hidroksida ili magnezijevog hidroksida) </w:t>
      </w:r>
      <w:r w:rsidRPr="00F25CE6">
        <w:rPr>
          <w:rFonts w:asciiTheme="majorBidi" w:hAnsiTheme="majorBidi" w:cstheme="majorBidi"/>
          <w:b/>
        </w:rPr>
        <w:t xml:space="preserve">2 sata prije ili 2 sata poslije uzimanja lijeka </w:t>
      </w:r>
      <w:r w:rsidR="00064F60">
        <w:rPr>
          <w:rFonts w:asciiTheme="majorBidi" w:hAnsiTheme="majorBidi" w:cstheme="majorBidi"/>
          <w:b/>
        </w:rPr>
        <w:t xml:space="preserve">Dasatinib </w:t>
      </w:r>
      <w:r w:rsidR="00911CD7">
        <w:rPr>
          <w:rFonts w:asciiTheme="majorBidi" w:hAnsiTheme="majorBidi" w:cstheme="majorBidi"/>
          <w:b/>
        </w:rPr>
        <w:t>Accord Healthcare</w:t>
      </w:r>
      <w:r w:rsidRPr="00F25CE6">
        <w:rPr>
          <w:rFonts w:asciiTheme="majorBidi" w:hAnsiTheme="majorBidi" w:cstheme="majorBidi"/>
        </w:rPr>
        <w:t>.</w:t>
      </w:r>
    </w:p>
    <w:p w14:paraId="5D5F9D58" w14:textId="77777777" w:rsidR="00AF7ABC" w:rsidRPr="00F25CE6" w:rsidRDefault="00AF7ABC" w:rsidP="00F25CE6">
      <w:pPr>
        <w:pStyle w:val="BodyText"/>
        <w:widowControl/>
        <w:rPr>
          <w:rFonts w:asciiTheme="majorBidi" w:hAnsiTheme="majorBidi" w:cstheme="majorBidi"/>
          <w:szCs w:val="22"/>
        </w:rPr>
      </w:pPr>
    </w:p>
    <w:p w14:paraId="38241821" w14:textId="77777777" w:rsidR="00AF7ABC" w:rsidRPr="00F25CE6" w:rsidRDefault="00422138" w:rsidP="00F25CE6">
      <w:pPr>
        <w:widowControl/>
        <w:rPr>
          <w:rFonts w:asciiTheme="majorBidi" w:hAnsiTheme="majorBidi" w:cstheme="majorBidi"/>
        </w:rPr>
      </w:pPr>
      <w:r w:rsidRPr="00F25CE6">
        <w:rPr>
          <w:rFonts w:asciiTheme="majorBidi" w:hAnsiTheme="majorBidi" w:cstheme="majorBidi"/>
        </w:rPr>
        <w:t xml:space="preserve">Ako uzimate </w:t>
      </w:r>
      <w:r w:rsidRPr="00F25CE6">
        <w:rPr>
          <w:rFonts w:asciiTheme="majorBidi" w:hAnsiTheme="majorBidi" w:cstheme="majorBidi"/>
          <w:b/>
        </w:rPr>
        <w:t xml:space="preserve">lijekove za razrjeđivanje krvi </w:t>
      </w:r>
      <w:r w:rsidRPr="00F25CE6">
        <w:rPr>
          <w:rFonts w:asciiTheme="majorBidi" w:hAnsiTheme="majorBidi" w:cstheme="majorBidi"/>
        </w:rPr>
        <w:t xml:space="preserve">ili sprječavanje stvaranja krvnih ugrušaka, </w:t>
      </w:r>
      <w:r w:rsidRPr="00F25CE6">
        <w:rPr>
          <w:rFonts w:asciiTheme="majorBidi" w:hAnsiTheme="majorBidi" w:cstheme="majorBidi"/>
          <w:b/>
        </w:rPr>
        <w:t>obavijestite o tome liječnika</w:t>
      </w:r>
      <w:r w:rsidRPr="00F25CE6">
        <w:rPr>
          <w:rFonts w:asciiTheme="majorBidi" w:hAnsiTheme="majorBidi" w:cstheme="majorBidi"/>
        </w:rPr>
        <w:t>.</w:t>
      </w:r>
    </w:p>
    <w:p w14:paraId="5BBE77B0" w14:textId="77777777" w:rsidR="00AF7ABC" w:rsidRPr="00F25CE6" w:rsidRDefault="00AF7ABC" w:rsidP="00F25CE6">
      <w:pPr>
        <w:pStyle w:val="BodyText"/>
        <w:widowControl/>
        <w:rPr>
          <w:rFonts w:asciiTheme="majorBidi" w:hAnsiTheme="majorBidi" w:cstheme="majorBidi"/>
          <w:szCs w:val="22"/>
        </w:rPr>
      </w:pPr>
    </w:p>
    <w:p w14:paraId="350282A4" w14:textId="0FDED864" w:rsidR="00AF7ABC" w:rsidRPr="00896BC5" w:rsidRDefault="00064F60" w:rsidP="00896BC5">
      <w:pPr>
        <w:pStyle w:val="BodyText"/>
        <w:rPr>
          <w:b/>
          <w:bCs/>
        </w:rPr>
      </w:pPr>
      <w:r>
        <w:rPr>
          <w:b/>
          <w:bCs/>
        </w:rPr>
        <w:t xml:space="preserve">Dasatinib </w:t>
      </w:r>
      <w:r w:rsidR="00911CD7">
        <w:rPr>
          <w:b/>
          <w:bCs/>
        </w:rPr>
        <w:t>Accord Healthcare</w:t>
      </w:r>
      <w:r w:rsidR="00422138" w:rsidRPr="00896BC5">
        <w:rPr>
          <w:b/>
          <w:bCs/>
        </w:rPr>
        <w:t xml:space="preserve"> s hranom i pićem</w:t>
      </w:r>
    </w:p>
    <w:p w14:paraId="3C5A900A" w14:textId="73201BD0"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se ne smije uzimati s grejpom niti sokom od grejpa.</w:t>
      </w:r>
    </w:p>
    <w:p w14:paraId="7954ADE4" w14:textId="77777777" w:rsidR="00AF7ABC" w:rsidRPr="00F25CE6" w:rsidRDefault="00AF7ABC" w:rsidP="00F25CE6">
      <w:pPr>
        <w:pStyle w:val="BodyText"/>
        <w:widowControl/>
        <w:rPr>
          <w:rFonts w:asciiTheme="majorBidi" w:hAnsiTheme="majorBidi" w:cstheme="majorBidi"/>
          <w:szCs w:val="22"/>
        </w:rPr>
      </w:pPr>
    </w:p>
    <w:p w14:paraId="409FF100" w14:textId="77777777" w:rsidR="00AF7ABC" w:rsidRPr="00896BC5" w:rsidRDefault="00422138" w:rsidP="00896BC5">
      <w:pPr>
        <w:pStyle w:val="BodyText"/>
        <w:rPr>
          <w:b/>
          <w:bCs/>
        </w:rPr>
      </w:pPr>
      <w:r w:rsidRPr="00896BC5">
        <w:rPr>
          <w:b/>
          <w:bCs/>
        </w:rPr>
        <w:t>Trudnoća i dojenje</w:t>
      </w:r>
    </w:p>
    <w:p w14:paraId="52ED5980" w14:textId="4426B543" w:rsidR="00AF7ABC" w:rsidRPr="00F25CE6" w:rsidRDefault="00422138" w:rsidP="00F25CE6">
      <w:pPr>
        <w:pStyle w:val="BodyText"/>
        <w:widowControl/>
        <w:jc w:val="both"/>
        <w:rPr>
          <w:rFonts w:asciiTheme="majorBidi" w:hAnsiTheme="majorBidi" w:cstheme="majorBidi"/>
          <w:szCs w:val="22"/>
        </w:rPr>
      </w:pPr>
      <w:r w:rsidRPr="00F25CE6">
        <w:rPr>
          <w:rFonts w:asciiTheme="majorBidi" w:hAnsiTheme="majorBidi" w:cstheme="majorBidi"/>
          <w:b/>
          <w:szCs w:val="22"/>
        </w:rPr>
        <w:t xml:space="preserve">Ako ste trudni </w:t>
      </w:r>
      <w:r w:rsidRPr="00F25CE6">
        <w:rPr>
          <w:rFonts w:asciiTheme="majorBidi" w:hAnsiTheme="majorBidi" w:cstheme="majorBidi"/>
          <w:szCs w:val="22"/>
        </w:rPr>
        <w:t xml:space="preserve">ili mislite da biste mogli biti trudni, </w:t>
      </w:r>
      <w:r w:rsidRPr="00F25CE6">
        <w:rPr>
          <w:rFonts w:asciiTheme="majorBidi" w:hAnsiTheme="majorBidi" w:cstheme="majorBidi"/>
          <w:b/>
          <w:szCs w:val="22"/>
        </w:rPr>
        <w:t xml:space="preserve">odmah o tome obavijestite liječnika. </w:t>
      </w:r>
      <w:r w:rsidR="00064F60" w:rsidRPr="00A66F1D">
        <w:rPr>
          <w:rFonts w:asciiTheme="majorBidi" w:hAnsiTheme="majorBidi" w:cstheme="majorBidi"/>
          <w:b/>
          <w:szCs w:val="22"/>
        </w:rPr>
        <w:t xml:space="preserve">Dasatinib </w:t>
      </w:r>
      <w:r w:rsidR="00911CD7">
        <w:rPr>
          <w:rFonts w:asciiTheme="majorBidi" w:hAnsiTheme="majorBidi" w:cstheme="majorBidi"/>
          <w:b/>
          <w:szCs w:val="22"/>
        </w:rPr>
        <w:t>Accord Healthcare</w:t>
      </w:r>
      <w:r w:rsidRPr="00F25CE6">
        <w:rPr>
          <w:rFonts w:asciiTheme="majorBidi" w:hAnsiTheme="majorBidi" w:cstheme="majorBidi"/>
          <w:szCs w:val="22"/>
        </w:rPr>
        <w:t xml:space="preserve"> se </w:t>
      </w:r>
      <w:r w:rsidRPr="00A66F1D">
        <w:rPr>
          <w:rFonts w:asciiTheme="majorBidi" w:hAnsiTheme="majorBidi" w:cstheme="majorBidi"/>
          <w:b/>
          <w:szCs w:val="22"/>
        </w:rPr>
        <w:t>ne smije uzimati tijekom trudnoće</w:t>
      </w:r>
      <w:r w:rsidRPr="00F25CE6">
        <w:rPr>
          <w:rFonts w:asciiTheme="majorBidi" w:hAnsiTheme="majorBidi" w:cstheme="majorBidi"/>
          <w:szCs w:val="22"/>
        </w:rPr>
        <w:t xml:space="preserve"> osim ako to nije jasno neophodno. Liječnik će Vas obavijestiti o mogućim rizicima uzimanja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tijekom trudnoće.</w:t>
      </w:r>
    </w:p>
    <w:p w14:paraId="768F6ECB" w14:textId="765EE89E"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Muškarcima i ženama koji uzimaju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savjetuje se da tijekom liječenja koriste djelotvornu kontracepciju.</w:t>
      </w:r>
    </w:p>
    <w:p w14:paraId="779A6624" w14:textId="77777777" w:rsidR="00AF7ABC" w:rsidRPr="00F25CE6" w:rsidRDefault="00AF7ABC" w:rsidP="00F25CE6">
      <w:pPr>
        <w:pStyle w:val="BodyText"/>
        <w:widowControl/>
        <w:rPr>
          <w:rFonts w:asciiTheme="majorBidi" w:hAnsiTheme="majorBidi" w:cstheme="majorBidi"/>
          <w:szCs w:val="22"/>
        </w:rPr>
      </w:pPr>
    </w:p>
    <w:p w14:paraId="794D71C7" w14:textId="009DE164" w:rsidR="00AF7ABC" w:rsidRPr="00F25CE6" w:rsidRDefault="00422138" w:rsidP="00F25CE6">
      <w:pPr>
        <w:widowControl/>
        <w:rPr>
          <w:rFonts w:asciiTheme="majorBidi" w:hAnsiTheme="majorBidi" w:cstheme="majorBidi"/>
        </w:rPr>
      </w:pPr>
      <w:r w:rsidRPr="00F25CE6">
        <w:rPr>
          <w:rFonts w:asciiTheme="majorBidi" w:hAnsiTheme="majorBidi" w:cstheme="majorBidi"/>
          <w:b/>
        </w:rPr>
        <w:lastRenderedPageBreak/>
        <w:t xml:space="preserve">Ako dojite, obavijestite o tome liječnika. </w:t>
      </w:r>
      <w:r w:rsidRPr="00F25CE6">
        <w:rPr>
          <w:rFonts w:asciiTheme="majorBidi" w:hAnsiTheme="majorBidi" w:cstheme="majorBidi"/>
        </w:rPr>
        <w:t xml:space="preserve">Morate prestati dojiti dok uzimate </w:t>
      </w:r>
      <w:r w:rsidR="00064F60">
        <w:rPr>
          <w:rFonts w:asciiTheme="majorBidi" w:hAnsiTheme="majorBidi" w:cstheme="majorBidi"/>
        </w:rPr>
        <w:t xml:space="preserve">Dasatinib </w:t>
      </w:r>
      <w:r w:rsidR="00911CD7">
        <w:rPr>
          <w:rFonts w:asciiTheme="majorBidi" w:hAnsiTheme="majorBidi" w:cstheme="majorBidi"/>
        </w:rPr>
        <w:t>Accord Healthcare</w:t>
      </w:r>
      <w:r w:rsidRPr="00F25CE6">
        <w:rPr>
          <w:rFonts w:asciiTheme="majorBidi" w:hAnsiTheme="majorBidi" w:cstheme="majorBidi"/>
        </w:rPr>
        <w:t>.</w:t>
      </w:r>
    </w:p>
    <w:p w14:paraId="2B12E57E" w14:textId="77777777" w:rsidR="00AF7ABC" w:rsidRPr="00F25CE6" w:rsidRDefault="00AF7ABC" w:rsidP="00F25CE6">
      <w:pPr>
        <w:pStyle w:val="BodyText"/>
        <w:widowControl/>
        <w:rPr>
          <w:rFonts w:asciiTheme="majorBidi" w:hAnsiTheme="majorBidi" w:cstheme="majorBidi"/>
          <w:szCs w:val="22"/>
        </w:rPr>
      </w:pPr>
    </w:p>
    <w:p w14:paraId="0EFAD28A" w14:textId="77777777" w:rsidR="00AF7ABC" w:rsidRPr="00896BC5" w:rsidRDefault="00422138" w:rsidP="00896BC5">
      <w:pPr>
        <w:pStyle w:val="BodyText"/>
        <w:rPr>
          <w:b/>
          <w:bCs/>
        </w:rPr>
      </w:pPr>
      <w:r w:rsidRPr="00896BC5">
        <w:rPr>
          <w:b/>
          <w:bCs/>
        </w:rPr>
        <w:t>Upravljanje vozilima i strojevima</w:t>
      </w:r>
    </w:p>
    <w:p w14:paraId="476BC1B6"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Budite osobito oprezni pri vožnji ili radu na strojevima u slučaju da dobijete nuspojave poput omaglice ili zamagljenog vida.</w:t>
      </w:r>
    </w:p>
    <w:p w14:paraId="0BF34B32" w14:textId="77777777" w:rsidR="00A15E8A" w:rsidRPr="00F25CE6" w:rsidRDefault="00A15E8A" w:rsidP="00F25CE6">
      <w:pPr>
        <w:widowControl/>
        <w:rPr>
          <w:rFonts w:asciiTheme="majorBidi" w:hAnsiTheme="majorBidi" w:cstheme="majorBidi"/>
        </w:rPr>
      </w:pPr>
    </w:p>
    <w:p w14:paraId="0F987C1B" w14:textId="43DC756C" w:rsidR="00AF7ABC" w:rsidRPr="00896BC5" w:rsidRDefault="00064F60" w:rsidP="00896BC5">
      <w:pPr>
        <w:pStyle w:val="BodyText"/>
        <w:rPr>
          <w:b/>
          <w:bCs/>
        </w:rPr>
      </w:pPr>
      <w:r>
        <w:rPr>
          <w:b/>
          <w:bCs/>
        </w:rPr>
        <w:t xml:space="preserve">Dasatinib </w:t>
      </w:r>
      <w:r w:rsidR="00911CD7">
        <w:rPr>
          <w:b/>
          <w:bCs/>
        </w:rPr>
        <w:t>Accord Healthcare</w:t>
      </w:r>
      <w:r w:rsidR="00422138" w:rsidRPr="00896BC5">
        <w:rPr>
          <w:b/>
          <w:bCs/>
        </w:rPr>
        <w:t xml:space="preserve"> sadrži laktozu.</w:t>
      </w:r>
    </w:p>
    <w:p w14:paraId="67DDE176" w14:textId="5B23CF65" w:rsidR="00AF7ABC"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Ako Vam je liječnik rekao da ne podnosite neke šećere, </w:t>
      </w:r>
      <w:r w:rsidR="00F91140">
        <w:rPr>
          <w:rFonts w:asciiTheme="majorBidi" w:hAnsiTheme="majorBidi" w:cstheme="majorBidi"/>
          <w:szCs w:val="22"/>
        </w:rPr>
        <w:t>obratite se</w:t>
      </w:r>
      <w:r w:rsidRPr="00F25CE6">
        <w:rPr>
          <w:rFonts w:asciiTheme="majorBidi" w:hAnsiTheme="majorBidi" w:cstheme="majorBidi"/>
          <w:szCs w:val="22"/>
        </w:rPr>
        <w:t xml:space="preserve"> liječnik</w:t>
      </w:r>
      <w:r w:rsidR="00F91140">
        <w:rPr>
          <w:rFonts w:asciiTheme="majorBidi" w:hAnsiTheme="majorBidi" w:cstheme="majorBidi"/>
          <w:szCs w:val="22"/>
        </w:rPr>
        <w:t>u</w:t>
      </w:r>
      <w:r w:rsidRPr="00F25CE6">
        <w:rPr>
          <w:rFonts w:asciiTheme="majorBidi" w:hAnsiTheme="majorBidi" w:cstheme="majorBidi"/>
          <w:szCs w:val="22"/>
        </w:rPr>
        <w:t xml:space="preserve"> prije uzimanja ovog lijeka.</w:t>
      </w:r>
    </w:p>
    <w:p w14:paraId="30843DAC" w14:textId="5C3EC593" w:rsidR="00E55D92" w:rsidRDefault="00E55D92" w:rsidP="00F25CE6">
      <w:pPr>
        <w:pStyle w:val="BodyText"/>
        <w:widowControl/>
        <w:rPr>
          <w:rFonts w:asciiTheme="majorBidi" w:hAnsiTheme="majorBidi" w:cstheme="majorBidi"/>
          <w:szCs w:val="22"/>
        </w:rPr>
      </w:pPr>
    </w:p>
    <w:p w14:paraId="6F2E8D4A" w14:textId="178DAD82" w:rsidR="00E55D92" w:rsidRDefault="00E55D92" w:rsidP="00F25CE6">
      <w:pPr>
        <w:pStyle w:val="BodyText"/>
        <w:widowControl/>
        <w:rPr>
          <w:rFonts w:asciiTheme="majorBidi" w:hAnsiTheme="majorBidi" w:cstheme="majorBidi"/>
          <w:szCs w:val="22"/>
        </w:rPr>
      </w:pPr>
      <w:r>
        <w:rPr>
          <w:rFonts w:asciiTheme="majorBidi" w:hAnsiTheme="majorBidi" w:cstheme="majorBidi"/>
          <w:b/>
          <w:bCs/>
          <w:szCs w:val="22"/>
        </w:rPr>
        <w:t xml:space="preserve">Dasatinib </w:t>
      </w:r>
      <w:r w:rsidR="00911CD7">
        <w:rPr>
          <w:rFonts w:asciiTheme="majorBidi" w:hAnsiTheme="majorBidi" w:cstheme="majorBidi"/>
          <w:b/>
          <w:bCs/>
          <w:szCs w:val="22"/>
        </w:rPr>
        <w:t>Accord Healthcare</w:t>
      </w:r>
      <w:r>
        <w:rPr>
          <w:rFonts w:asciiTheme="majorBidi" w:hAnsiTheme="majorBidi" w:cstheme="majorBidi"/>
          <w:b/>
          <w:bCs/>
          <w:szCs w:val="22"/>
        </w:rPr>
        <w:t xml:space="preserve"> sadrži </w:t>
      </w:r>
      <w:r w:rsidR="00F4240B">
        <w:rPr>
          <w:rFonts w:asciiTheme="majorBidi" w:hAnsiTheme="majorBidi" w:cstheme="majorBidi"/>
          <w:b/>
          <w:bCs/>
          <w:szCs w:val="22"/>
        </w:rPr>
        <w:t>natrij</w:t>
      </w:r>
    </w:p>
    <w:p w14:paraId="461F5AE9" w14:textId="3F2A5EDF" w:rsidR="00AF7ABC" w:rsidRPr="00F25CE6" w:rsidRDefault="00F4240B" w:rsidP="00F25CE6">
      <w:pPr>
        <w:pStyle w:val="BodyText"/>
        <w:widowControl/>
        <w:rPr>
          <w:rFonts w:asciiTheme="majorBidi" w:hAnsiTheme="majorBidi" w:cstheme="majorBidi"/>
          <w:szCs w:val="22"/>
        </w:rPr>
      </w:pPr>
      <w:r>
        <w:rPr>
          <w:rFonts w:asciiTheme="majorBidi" w:hAnsiTheme="majorBidi" w:cstheme="majorBidi"/>
          <w:szCs w:val="22"/>
        </w:rPr>
        <w:t>Ovaj lijek sadrži manje od 1 mmol (23 mg) natrija po tableti, tj. zanemarive količine natrija.</w:t>
      </w:r>
    </w:p>
    <w:p w14:paraId="3BEF7DD4" w14:textId="77777777" w:rsidR="00AF7ABC" w:rsidRDefault="00AF7ABC" w:rsidP="00F25CE6">
      <w:pPr>
        <w:pStyle w:val="BodyText"/>
        <w:widowControl/>
        <w:rPr>
          <w:rFonts w:asciiTheme="majorBidi" w:hAnsiTheme="majorBidi" w:cstheme="majorBidi"/>
          <w:szCs w:val="22"/>
        </w:rPr>
      </w:pPr>
    </w:p>
    <w:p w14:paraId="6D2987F6" w14:textId="77777777" w:rsidR="00416B4E" w:rsidRPr="00F25CE6" w:rsidRDefault="00416B4E" w:rsidP="00F25CE6">
      <w:pPr>
        <w:pStyle w:val="BodyText"/>
        <w:widowControl/>
        <w:rPr>
          <w:rFonts w:asciiTheme="majorBidi" w:hAnsiTheme="majorBidi" w:cstheme="majorBidi"/>
          <w:szCs w:val="22"/>
        </w:rPr>
      </w:pPr>
    </w:p>
    <w:p w14:paraId="6DBAF80B" w14:textId="1BB69961" w:rsidR="00AF7ABC" w:rsidRPr="00F25CE6" w:rsidRDefault="00422138" w:rsidP="00896BC5">
      <w:pPr>
        <w:pStyle w:val="Heading1"/>
        <w:numPr>
          <w:ilvl w:val="0"/>
          <w:numId w:val="2"/>
        </w:numPr>
        <w:ind w:left="562" w:hanging="562"/>
      </w:pPr>
      <w:r w:rsidRPr="00F25CE6">
        <w:t>Kako uzimati</w:t>
      </w:r>
      <w:r w:rsidR="00675B5A">
        <w:t xml:space="preserve"> </w:t>
      </w:r>
      <w:r w:rsidR="00064F60">
        <w:t xml:space="preserve">Dasatinib </w:t>
      </w:r>
      <w:r w:rsidR="00911CD7">
        <w:t>Accord Healthcare</w:t>
      </w:r>
    </w:p>
    <w:p w14:paraId="38CAA985" w14:textId="77777777" w:rsidR="00AF7ABC" w:rsidRPr="00F25CE6" w:rsidRDefault="00AF7ABC" w:rsidP="00F25CE6">
      <w:pPr>
        <w:pStyle w:val="BodyText"/>
        <w:widowControl/>
        <w:rPr>
          <w:rFonts w:asciiTheme="majorBidi" w:hAnsiTheme="majorBidi" w:cstheme="majorBidi"/>
          <w:b/>
          <w:szCs w:val="22"/>
        </w:rPr>
      </w:pPr>
    </w:p>
    <w:p w14:paraId="1E953FF8" w14:textId="269F5745"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će Vam propisati samo liječnik s iskustvom u liječenju leukemije. Uvijek uzmite ovaj lijek točno onako kako Vam je rekao liječnik. Provjerite s liječnikom ili ljekarnikom ako niste sigurni.</w:t>
      </w:r>
      <w:r w:rsidR="002E291B">
        <w:rPr>
          <w:rFonts w:asciiTheme="majorBidi" w:hAnsiTheme="majorBidi" w:cstheme="majorBidi"/>
          <w:szCs w:val="22"/>
        </w:rPr>
        <w:t xml:space="preserve">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se propisuje odraslim osobama i djeci u dobi od najmanje godinu dana.</w:t>
      </w:r>
    </w:p>
    <w:p w14:paraId="5EC3BC86" w14:textId="77777777" w:rsidR="00AF7ABC" w:rsidRPr="00F25CE6" w:rsidRDefault="00AF7ABC" w:rsidP="00F25CE6">
      <w:pPr>
        <w:pStyle w:val="BodyText"/>
        <w:widowControl/>
        <w:rPr>
          <w:rFonts w:asciiTheme="majorBidi" w:hAnsiTheme="majorBidi" w:cstheme="majorBidi"/>
          <w:szCs w:val="22"/>
        </w:rPr>
      </w:pPr>
    </w:p>
    <w:p w14:paraId="162439B3" w14:textId="37568A82" w:rsidR="00AF7ABC" w:rsidRPr="00896BC5" w:rsidRDefault="00422138" w:rsidP="00896BC5">
      <w:pPr>
        <w:pStyle w:val="BodyText"/>
        <w:rPr>
          <w:b/>
          <w:bCs/>
        </w:rPr>
      </w:pPr>
      <w:r w:rsidRPr="00896BC5">
        <w:rPr>
          <w:b/>
          <w:bCs/>
        </w:rPr>
        <w:t xml:space="preserve">Početna doza koja se preporučuje u odraslih bolesnika </w:t>
      </w:r>
      <w:r w:rsidR="00377620">
        <w:rPr>
          <w:b/>
          <w:bCs/>
        </w:rPr>
        <w:t>s</w:t>
      </w:r>
      <w:r w:rsidR="00377620" w:rsidRPr="00896BC5">
        <w:rPr>
          <w:b/>
          <w:bCs/>
        </w:rPr>
        <w:t xml:space="preserve"> </w:t>
      </w:r>
      <w:r w:rsidRPr="00896BC5">
        <w:rPr>
          <w:b/>
          <w:bCs/>
        </w:rPr>
        <w:t>KML</w:t>
      </w:r>
      <w:r w:rsidR="00377620">
        <w:rPr>
          <w:b/>
          <w:bCs/>
        </w:rPr>
        <w:t>-om u kroničnoj fazi</w:t>
      </w:r>
      <w:r w:rsidRPr="00896BC5">
        <w:rPr>
          <w:b/>
          <w:bCs/>
        </w:rPr>
        <w:t xml:space="preserve"> iznosi 100 mg jedanput dnevno.</w:t>
      </w:r>
    </w:p>
    <w:p w14:paraId="06C6336A" w14:textId="77777777" w:rsidR="00AF7ABC" w:rsidRPr="00F25CE6" w:rsidRDefault="00AF7ABC" w:rsidP="00F25CE6">
      <w:pPr>
        <w:pStyle w:val="BodyText"/>
        <w:widowControl/>
        <w:rPr>
          <w:rFonts w:asciiTheme="majorBidi" w:hAnsiTheme="majorBidi" w:cstheme="majorBidi"/>
          <w:b/>
          <w:szCs w:val="22"/>
        </w:rPr>
      </w:pPr>
    </w:p>
    <w:p w14:paraId="7CAF2380" w14:textId="50F6E5E4" w:rsidR="00AF7ABC" w:rsidRPr="00F25CE6" w:rsidRDefault="00422138" w:rsidP="00F25CE6">
      <w:pPr>
        <w:widowControl/>
        <w:rPr>
          <w:rFonts w:asciiTheme="majorBidi" w:hAnsiTheme="majorBidi" w:cstheme="majorBidi"/>
          <w:b/>
        </w:rPr>
      </w:pPr>
      <w:r w:rsidRPr="00F25CE6">
        <w:rPr>
          <w:rFonts w:asciiTheme="majorBidi" w:hAnsiTheme="majorBidi" w:cstheme="majorBidi"/>
          <w:b/>
        </w:rPr>
        <w:t>Početna doza koja se preporučuje u odraslih bolesnika s KML</w:t>
      </w:r>
      <w:r w:rsidR="00377620">
        <w:rPr>
          <w:rFonts w:asciiTheme="majorBidi" w:hAnsiTheme="majorBidi" w:cstheme="majorBidi"/>
          <w:b/>
        </w:rPr>
        <w:t>-om</w:t>
      </w:r>
      <w:r w:rsidRPr="00F25CE6">
        <w:rPr>
          <w:rFonts w:asciiTheme="majorBidi" w:hAnsiTheme="majorBidi" w:cstheme="majorBidi"/>
          <w:b/>
        </w:rPr>
        <w:t xml:space="preserve"> u fazi ubrzanja ili blastnoj krizi ili Ph+ ALL</w:t>
      </w:r>
      <w:r w:rsidR="00377620">
        <w:rPr>
          <w:rFonts w:asciiTheme="majorBidi" w:hAnsiTheme="majorBidi" w:cstheme="majorBidi"/>
          <w:b/>
        </w:rPr>
        <w:t>-om</w:t>
      </w:r>
      <w:r w:rsidRPr="00F25CE6">
        <w:rPr>
          <w:rFonts w:asciiTheme="majorBidi" w:hAnsiTheme="majorBidi" w:cstheme="majorBidi"/>
          <w:b/>
        </w:rPr>
        <w:t xml:space="preserve"> iznosi 140 mg jedanput dnevno.</w:t>
      </w:r>
    </w:p>
    <w:p w14:paraId="65F1D5F7" w14:textId="77777777" w:rsidR="00AF7ABC" w:rsidRPr="00F25CE6" w:rsidRDefault="00AF7ABC" w:rsidP="00F25CE6">
      <w:pPr>
        <w:pStyle w:val="BodyText"/>
        <w:widowControl/>
        <w:rPr>
          <w:rFonts w:asciiTheme="majorBidi" w:hAnsiTheme="majorBidi" w:cstheme="majorBidi"/>
          <w:b/>
          <w:szCs w:val="22"/>
        </w:rPr>
      </w:pPr>
    </w:p>
    <w:p w14:paraId="09AA574D" w14:textId="495AAB29"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b/>
          <w:szCs w:val="22"/>
        </w:rPr>
        <w:t>Doziranje za djecu s KML</w:t>
      </w:r>
      <w:r w:rsidR="00377620">
        <w:rPr>
          <w:rFonts w:asciiTheme="majorBidi" w:hAnsiTheme="majorBidi" w:cstheme="majorBidi"/>
          <w:b/>
          <w:szCs w:val="22"/>
        </w:rPr>
        <w:t>-om</w:t>
      </w:r>
      <w:r w:rsidRPr="00F25CE6">
        <w:rPr>
          <w:rFonts w:asciiTheme="majorBidi" w:hAnsiTheme="majorBidi" w:cstheme="majorBidi"/>
          <w:b/>
          <w:szCs w:val="22"/>
        </w:rPr>
        <w:t xml:space="preserve"> u kroničnoj fazi ili Ph+ ALL</w:t>
      </w:r>
      <w:r w:rsidR="00377620">
        <w:rPr>
          <w:rFonts w:asciiTheme="majorBidi" w:hAnsiTheme="majorBidi" w:cstheme="majorBidi"/>
          <w:b/>
          <w:szCs w:val="22"/>
        </w:rPr>
        <w:t>-om</w:t>
      </w:r>
      <w:r w:rsidRPr="00F25CE6">
        <w:rPr>
          <w:rFonts w:asciiTheme="majorBidi" w:hAnsiTheme="majorBidi" w:cstheme="majorBidi"/>
          <w:b/>
          <w:szCs w:val="22"/>
        </w:rPr>
        <w:t xml:space="preserve"> temelji se na tjelesnoj težini.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se primjenjuje jedanput dnevno kroz usta u obliku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tableta ili </w:t>
      </w:r>
      <w:r w:rsidR="00AB6FA0">
        <w:rPr>
          <w:rFonts w:asciiTheme="majorBidi" w:hAnsiTheme="majorBidi" w:cstheme="majorBidi"/>
          <w:szCs w:val="22"/>
        </w:rPr>
        <w:t>d</w:t>
      </w:r>
      <w:r w:rsidR="00064F60">
        <w:rPr>
          <w:rFonts w:asciiTheme="majorBidi" w:hAnsiTheme="majorBidi" w:cstheme="majorBidi"/>
          <w:szCs w:val="22"/>
        </w:rPr>
        <w:t>asatinib</w:t>
      </w:r>
      <w:r w:rsidRPr="00F25CE6">
        <w:rPr>
          <w:rFonts w:asciiTheme="majorBidi" w:hAnsiTheme="majorBidi" w:cstheme="majorBidi"/>
          <w:szCs w:val="22"/>
        </w:rPr>
        <w:t xml:space="preserve"> praška za oralnu suspenziju.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tablete ne preporučuju se za bolesnike tjelesne težine manje od 10 kg. Prašak za oralnu suspenziju treba primijeniti u bolesnika koji teže manje od 10 kg i koji ne mogu gutati tablete. Možda će trebati promijeniti dozu lijeka pri prelasku s jednog oblika lijeka na drugi (tj.</w:t>
      </w:r>
      <w:r w:rsidR="00AB6FA0">
        <w:rPr>
          <w:rFonts w:asciiTheme="majorBidi" w:hAnsiTheme="majorBidi" w:cstheme="majorBidi"/>
          <w:szCs w:val="22"/>
        </w:rPr>
        <w:t xml:space="preserve"> </w:t>
      </w:r>
      <w:r w:rsidRPr="00F25CE6">
        <w:rPr>
          <w:rFonts w:asciiTheme="majorBidi" w:hAnsiTheme="majorBidi" w:cstheme="majorBidi"/>
          <w:szCs w:val="22"/>
        </w:rPr>
        <w:t>tablete i prašak za oralnu suspenziju), stoga nemojte prelaziti s jednog oblika na drugi.</w:t>
      </w:r>
    </w:p>
    <w:p w14:paraId="66E3CE08" w14:textId="77777777" w:rsidR="00AF7ABC" w:rsidRPr="00F25CE6" w:rsidRDefault="00AF7ABC" w:rsidP="00F25CE6">
      <w:pPr>
        <w:pStyle w:val="BodyText"/>
        <w:widowControl/>
        <w:rPr>
          <w:rFonts w:asciiTheme="majorBidi" w:hAnsiTheme="majorBidi" w:cstheme="majorBidi"/>
          <w:szCs w:val="22"/>
        </w:rPr>
      </w:pPr>
    </w:p>
    <w:p w14:paraId="4C63F76D" w14:textId="7D37C4D8" w:rsidR="00AF7ABC" w:rsidRPr="00F25CE6" w:rsidRDefault="00422138" w:rsidP="00F25CE6">
      <w:pPr>
        <w:pStyle w:val="BodyText"/>
        <w:widowControl/>
        <w:jc w:val="both"/>
        <w:rPr>
          <w:rFonts w:asciiTheme="majorBidi" w:hAnsiTheme="majorBidi" w:cstheme="majorBidi"/>
          <w:szCs w:val="22"/>
        </w:rPr>
      </w:pPr>
      <w:r w:rsidRPr="00F25CE6">
        <w:rPr>
          <w:rFonts w:asciiTheme="majorBidi" w:hAnsiTheme="majorBidi" w:cstheme="majorBidi"/>
          <w:szCs w:val="22"/>
        </w:rPr>
        <w:t xml:space="preserve">Vaš će liječnik odrediti odgovarajući oblik lijeka i dozu na temelju Vaše tjelesne težine, bilo kakvih nuspojava i odgovora na liječenje. Početna doza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za djecu izračunava se na temelju tjelesne težine kako je prikazano u nastavku:</w:t>
      </w:r>
    </w:p>
    <w:p w14:paraId="3217E75E" w14:textId="77777777" w:rsidR="00AF7ABC" w:rsidRPr="00F25CE6" w:rsidRDefault="00AF7ABC" w:rsidP="00F25CE6">
      <w:pPr>
        <w:pStyle w:val="BodyText"/>
        <w:widowControl/>
        <w:rPr>
          <w:rFonts w:asciiTheme="majorBidi" w:hAnsiTheme="majorBidi" w:cstheme="majorBidi"/>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536"/>
        <w:gridCol w:w="4536"/>
      </w:tblGrid>
      <w:tr w:rsidR="00314678" w:rsidRPr="00F25CE6" w14:paraId="72E37779" w14:textId="77777777" w:rsidTr="00896BC5">
        <w:trPr>
          <w:trHeight w:val="20"/>
        </w:trPr>
        <w:tc>
          <w:tcPr>
            <w:tcW w:w="4536" w:type="dxa"/>
            <w:tcBorders>
              <w:top w:val="single" w:sz="4" w:space="0" w:color="auto"/>
              <w:bottom w:val="single" w:sz="4" w:space="0" w:color="auto"/>
            </w:tcBorders>
          </w:tcPr>
          <w:p w14:paraId="5A13C1A9" w14:textId="77777777" w:rsidR="00314678" w:rsidRPr="00896BC5" w:rsidRDefault="00314678" w:rsidP="00896BC5">
            <w:pPr>
              <w:pStyle w:val="BodyText"/>
              <w:autoSpaceDE/>
              <w:autoSpaceDN/>
              <w:ind w:left="29" w:right="29"/>
              <w:rPr>
                <w:b/>
                <w:bCs/>
              </w:rPr>
            </w:pPr>
            <w:r w:rsidRPr="00896BC5">
              <w:rPr>
                <w:b/>
                <w:bCs/>
              </w:rPr>
              <w:t>Tjelesna težina (kg)</w:t>
            </w:r>
            <w:r w:rsidRPr="00896BC5">
              <w:rPr>
                <w:b/>
                <w:bCs/>
                <w:vertAlign w:val="superscript"/>
              </w:rPr>
              <w:t>a</w:t>
            </w:r>
          </w:p>
        </w:tc>
        <w:tc>
          <w:tcPr>
            <w:tcW w:w="4536" w:type="dxa"/>
            <w:tcBorders>
              <w:top w:val="single" w:sz="4" w:space="0" w:color="auto"/>
              <w:bottom w:val="single" w:sz="4" w:space="0" w:color="auto"/>
            </w:tcBorders>
          </w:tcPr>
          <w:p w14:paraId="42F9594B" w14:textId="77777777" w:rsidR="00314678" w:rsidRPr="00896BC5" w:rsidRDefault="00314678" w:rsidP="00896BC5">
            <w:pPr>
              <w:pStyle w:val="BodyText"/>
              <w:autoSpaceDE/>
              <w:autoSpaceDN/>
              <w:ind w:left="29" w:right="29"/>
              <w:rPr>
                <w:b/>
                <w:bCs/>
              </w:rPr>
            </w:pPr>
            <w:r w:rsidRPr="00896BC5">
              <w:rPr>
                <w:b/>
                <w:bCs/>
              </w:rPr>
              <w:t>Dnevna doza (mg)</w:t>
            </w:r>
          </w:p>
        </w:tc>
      </w:tr>
      <w:tr w:rsidR="00314678" w:rsidRPr="00F25CE6" w14:paraId="5486E697" w14:textId="77777777" w:rsidTr="00896BC5">
        <w:trPr>
          <w:trHeight w:val="20"/>
        </w:trPr>
        <w:tc>
          <w:tcPr>
            <w:tcW w:w="4536" w:type="dxa"/>
            <w:tcBorders>
              <w:top w:val="single" w:sz="4" w:space="0" w:color="auto"/>
            </w:tcBorders>
          </w:tcPr>
          <w:p w14:paraId="1B6B4602"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od 10 do manje od 20 kg</w:t>
            </w:r>
          </w:p>
        </w:tc>
        <w:tc>
          <w:tcPr>
            <w:tcW w:w="4536" w:type="dxa"/>
            <w:tcBorders>
              <w:top w:val="single" w:sz="4" w:space="0" w:color="auto"/>
            </w:tcBorders>
          </w:tcPr>
          <w:p w14:paraId="7D6987AD"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40 mg</w:t>
            </w:r>
          </w:p>
        </w:tc>
      </w:tr>
      <w:tr w:rsidR="00314678" w:rsidRPr="00F25CE6" w14:paraId="59691064" w14:textId="77777777" w:rsidTr="00896BC5">
        <w:trPr>
          <w:trHeight w:val="20"/>
        </w:trPr>
        <w:tc>
          <w:tcPr>
            <w:tcW w:w="4536" w:type="dxa"/>
          </w:tcPr>
          <w:p w14:paraId="56491AAD"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od 20 do manje od 30 kg</w:t>
            </w:r>
          </w:p>
        </w:tc>
        <w:tc>
          <w:tcPr>
            <w:tcW w:w="4536" w:type="dxa"/>
          </w:tcPr>
          <w:p w14:paraId="4D91474C"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60 mg</w:t>
            </w:r>
          </w:p>
        </w:tc>
      </w:tr>
      <w:tr w:rsidR="00314678" w:rsidRPr="00F25CE6" w14:paraId="5C367357" w14:textId="77777777" w:rsidTr="00896BC5">
        <w:trPr>
          <w:trHeight w:val="20"/>
        </w:trPr>
        <w:tc>
          <w:tcPr>
            <w:tcW w:w="4536" w:type="dxa"/>
          </w:tcPr>
          <w:p w14:paraId="2EA6A7BE"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od 30 do manje od 45 kg</w:t>
            </w:r>
          </w:p>
        </w:tc>
        <w:tc>
          <w:tcPr>
            <w:tcW w:w="4536" w:type="dxa"/>
          </w:tcPr>
          <w:p w14:paraId="4A7DEE94"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70 mg</w:t>
            </w:r>
          </w:p>
        </w:tc>
      </w:tr>
      <w:tr w:rsidR="00314678" w:rsidRPr="00F25CE6" w14:paraId="3C48DBD9" w14:textId="77777777" w:rsidTr="00896BC5">
        <w:trPr>
          <w:trHeight w:val="20"/>
        </w:trPr>
        <w:tc>
          <w:tcPr>
            <w:tcW w:w="4536" w:type="dxa"/>
            <w:tcBorders>
              <w:bottom w:val="single" w:sz="4" w:space="0" w:color="auto"/>
            </w:tcBorders>
          </w:tcPr>
          <w:p w14:paraId="2FF3A6B3"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najmanje 45 kg</w:t>
            </w:r>
          </w:p>
        </w:tc>
        <w:tc>
          <w:tcPr>
            <w:tcW w:w="4536" w:type="dxa"/>
            <w:tcBorders>
              <w:bottom w:val="single" w:sz="4" w:space="0" w:color="auto"/>
            </w:tcBorders>
          </w:tcPr>
          <w:p w14:paraId="314EEF8E" w14:textId="77777777" w:rsidR="00314678" w:rsidRPr="00F25CE6" w:rsidRDefault="00314678" w:rsidP="00896BC5">
            <w:pPr>
              <w:pStyle w:val="BodyText"/>
              <w:autoSpaceDE/>
              <w:autoSpaceDN/>
              <w:ind w:left="29" w:right="29"/>
              <w:rPr>
                <w:rFonts w:asciiTheme="majorBidi" w:hAnsiTheme="majorBidi" w:cstheme="majorBidi"/>
                <w:szCs w:val="22"/>
              </w:rPr>
            </w:pPr>
            <w:r w:rsidRPr="00F25CE6">
              <w:rPr>
                <w:rFonts w:asciiTheme="majorBidi" w:hAnsiTheme="majorBidi" w:cstheme="majorBidi"/>
                <w:szCs w:val="22"/>
              </w:rPr>
              <w:t>100 mg</w:t>
            </w:r>
          </w:p>
        </w:tc>
      </w:tr>
    </w:tbl>
    <w:p w14:paraId="5226F5B0" w14:textId="4CA285CC" w:rsidR="00AF7ABC" w:rsidRPr="00F25CE6" w:rsidRDefault="00422138" w:rsidP="00612D2B">
      <w:pPr>
        <w:pStyle w:val="Footnote"/>
        <w:ind w:left="0" w:firstLine="0"/>
      </w:pPr>
      <w:r w:rsidRPr="00896BC5">
        <w:rPr>
          <w:vertAlign w:val="superscript"/>
        </w:rPr>
        <w:t>a</w:t>
      </w:r>
      <w:r w:rsidR="007B6663">
        <w:t xml:space="preserve"> </w:t>
      </w:r>
      <w:r w:rsidRPr="00F25CE6">
        <w:t>Tableta se ne preporučuje za bolesnike koji teže manje od 10 kg; u tih bolesnika treba koristiti prašak za oralnu suspenziju</w:t>
      </w:r>
    </w:p>
    <w:p w14:paraId="3BAC4352" w14:textId="77777777" w:rsidR="00AF7ABC" w:rsidRPr="00F25CE6" w:rsidRDefault="00AF7ABC" w:rsidP="00F25CE6">
      <w:pPr>
        <w:pStyle w:val="BodyText"/>
        <w:widowControl/>
        <w:rPr>
          <w:rFonts w:asciiTheme="majorBidi" w:hAnsiTheme="majorBidi" w:cstheme="majorBidi"/>
          <w:szCs w:val="22"/>
        </w:rPr>
      </w:pPr>
    </w:p>
    <w:p w14:paraId="5A9F6738" w14:textId="5F877B9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Nema preporuke za doziranje lijeka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u djece mlađe od godinu dana.</w:t>
      </w:r>
    </w:p>
    <w:p w14:paraId="3047C5A8" w14:textId="77777777" w:rsidR="00AF7ABC" w:rsidRPr="00F25CE6" w:rsidRDefault="00AF7ABC" w:rsidP="00F25CE6">
      <w:pPr>
        <w:pStyle w:val="BodyText"/>
        <w:widowControl/>
        <w:rPr>
          <w:rFonts w:asciiTheme="majorBidi" w:hAnsiTheme="majorBidi" w:cstheme="majorBidi"/>
          <w:szCs w:val="22"/>
        </w:rPr>
      </w:pPr>
    </w:p>
    <w:p w14:paraId="4C76909A" w14:textId="77777777" w:rsidR="00AF7ABC" w:rsidRPr="00F25CE6" w:rsidRDefault="00422138" w:rsidP="00F25CE6">
      <w:pPr>
        <w:pStyle w:val="BodyText"/>
        <w:widowControl/>
        <w:jc w:val="both"/>
        <w:rPr>
          <w:rFonts w:asciiTheme="majorBidi" w:hAnsiTheme="majorBidi" w:cstheme="majorBidi"/>
          <w:szCs w:val="22"/>
        </w:rPr>
      </w:pPr>
      <w:r w:rsidRPr="00F25CE6">
        <w:rPr>
          <w:rFonts w:asciiTheme="majorBidi" w:hAnsiTheme="majorBidi" w:cstheme="majorBidi"/>
          <w:szCs w:val="22"/>
        </w:rPr>
        <w:t>Ovisno o odgovoru na liječenje, liječnik Vam može preporučiti više ili niže doze ili čak nakratko prekinuti liječenje. Za više ili niže doze, možda ćete morati koristiti kombinaciju tableta različitih jačina.</w:t>
      </w:r>
    </w:p>
    <w:p w14:paraId="7B96443A" w14:textId="77777777" w:rsidR="00AF7ABC" w:rsidRPr="00F25CE6" w:rsidRDefault="00AF7ABC" w:rsidP="00F25CE6">
      <w:pPr>
        <w:pStyle w:val="BodyText"/>
        <w:widowControl/>
        <w:rPr>
          <w:rFonts w:asciiTheme="majorBidi" w:hAnsiTheme="majorBidi" w:cstheme="majorBidi"/>
          <w:szCs w:val="22"/>
        </w:rPr>
      </w:pPr>
    </w:p>
    <w:p w14:paraId="14AF69F8" w14:textId="6B9D4A10" w:rsidR="00AF7ABC" w:rsidRPr="00896BC5" w:rsidRDefault="00422138" w:rsidP="00896BC5">
      <w:pPr>
        <w:pStyle w:val="BodyText"/>
        <w:rPr>
          <w:b/>
          <w:bCs/>
        </w:rPr>
      </w:pPr>
      <w:r w:rsidRPr="00896BC5">
        <w:rPr>
          <w:b/>
          <w:bCs/>
        </w:rPr>
        <w:t xml:space="preserve">Kako uzimati </w:t>
      </w:r>
      <w:r w:rsidR="00064F60">
        <w:rPr>
          <w:b/>
          <w:bCs/>
        </w:rPr>
        <w:t xml:space="preserve">Dasatinib </w:t>
      </w:r>
      <w:r w:rsidR="00911CD7">
        <w:rPr>
          <w:b/>
          <w:bCs/>
        </w:rPr>
        <w:t>Accord Healthcare</w:t>
      </w:r>
    </w:p>
    <w:p w14:paraId="2880F888" w14:textId="0C2F2B7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b/>
          <w:szCs w:val="22"/>
        </w:rPr>
        <w:t xml:space="preserve">Tablete uzmite svakog dana u isto vrijeme. </w:t>
      </w:r>
      <w:r w:rsidRPr="00F25CE6">
        <w:rPr>
          <w:rFonts w:asciiTheme="majorBidi" w:hAnsiTheme="majorBidi" w:cstheme="majorBidi"/>
          <w:szCs w:val="22"/>
        </w:rPr>
        <w:t xml:space="preserve">Tablete treba progutati cijele. </w:t>
      </w:r>
      <w:r w:rsidRPr="002E291B">
        <w:rPr>
          <w:rFonts w:asciiTheme="majorBidi" w:hAnsiTheme="majorBidi" w:cstheme="majorBidi"/>
          <w:b/>
          <w:szCs w:val="22"/>
        </w:rPr>
        <w:t>Tablete se ne smiju drobiti, lomiti ni žvakati.</w:t>
      </w:r>
      <w:r w:rsidRPr="00F25CE6">
        <w:rPr>
          <w:rFonts w:asciiTheme="majorBidi" w:hAnsiTheme="majorBidi" w:cstheme="majorBidi"/>
          <w:szCs w:val="22"/>
        </w:rPr>
        <w:t xml:space="preserve"> Tablete se ne smiju otapati. Ne možete biti sigurni da ste primili točnu dozu </w:t>
      </w:r>
      <w:r w:rsidRPr="00F25CE6">
        <w:rPr>
          <w:rFonts w:asciiTheme="majorBidi" w:hAnsiTheme="majorBidi" w:cstheme="majorBidi"/>
          <w:szCs w:val="22"/>
        </w:rPr>
        <w:lastRenderedPageBreak/>
        <w:t xml:space="preserve">ako zdrobite, prelomite, prožvačete ili otopite tablete.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tablete mogu se uzimati uz obrok ili bez njega.</w:t>
      </w:r>
    </w:p>
    <w:p w14:paraId="76CB3E0A" w14:textId="77777777" w:rsidR="00AF7ABC" w:rsidRPr="00F25CE6" w:rsidRDefault="00AF7ABC" w:rsidP="00F25CE6">
      <w:pPr>
        <w:pStyle w:val="BodyText"/>
        <w:widowControl/>
        <w:rPr>
          <w:rFonts w:asciiTheme="majorBidi" w:hAnsiTheme="majorBidi" w:cstheme="majorBidi"/>
          <w:szCs w:val="22"/>
        </w:rPr>
      </w:pPr>
    </w:p>
    <w:p w14:paraId="6E17EE28" w14:textId="08A3648D" w:rsidR="00AF7ABC" w:rsidRPr="00896BC5" w:rsidRDefault="00422138" w:rsidP="00896BC5">
      <w:pPr>
        <w:pStyle w:val="BodyText"/>
        <w:rPr>
          <w:b/>
          <w:bCs/>
        </w:rPr>
      </w:pPr>
      <w:r w:rsidRPr="00896BC5">
        <w:rPr>
          <w:b/>
          <w:bCs/>
        </w:rPr>
        <w:t xml:space="preserve">Posebne upute za rukovanje lijekom </w:t>
      </w:r>
      <w:r w:rsidR="00064F60">
        <w:rPr>
          <w:b/>
          <w:bCs/>
        </w:rPr>
        <w:t xml:space="preserve">Dasatinib </w:t>
      </w:r>
      <w:r w:rsidR="00911CD7">
        <w:rPr>
          <w:b/>
          <w:bCs/>
        </w:rPr>
        <w:t>Accord Healthcare</w:t>
      </w:r>
    </w:p>
    <w:p w14:paraId="27185D5C" w14:textId="0F0FC842"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Nije vjerojatno da bi </w:t>
      </w:r>
      <w:r w:rsidR="00064F60">
        <w:rPr>
          <w:rFonts w:asciiTheme="majorBidi" w:hAnsiTheme="majorBidi" w:cstheme="majorBidi"/>
          <w:szCs w:val="22"/>
        </w:rPr>
        <w:t xml:space="preserve">Dasatinib </w:t>
      </w:r>
      <w:r w:rsidR="00911CD7">
        <w:rPr>
          <w:rFonts w:asciiTheme="majorBidi" w:hAnsiTheme="majorBidi" w:cstheme="majorBidi"/>
          <w:szCs w:val="22"/>
        </w:rPr>
        <w:t>Accord Healthcare</w:t>
      </w:r>
      <w:r w:rsidRPr="00F25CE6">
        <w:rPr>
          <w:rFonts w:asciiTheme="majorBidi" w:hAnsiTheme="majorBidi" w:cstheme="majorBidi"/>
          <w:szCs w:val="22"/>
        </w:rPr>
        <w:t xml:space="preserve"> tablete bile zdrobljene. Ali ako jesu, osobe koje dolaze u kontakt s tabletama, a nisu bolesnici</w:t>
      </w:r>
      <w:r w:rsidR="00377620">
        <w:rPr>
          <w:rFonts w:asciiTheme="majorBidi" w:hAnsiTheme="majorBidi" w:cstheme="majorBidi"/>
          <w:szCs w:val="22"/>
        </w:rPr>
        <w:t>,</w:t>
      </w:r>
      <w:r w:rsidRPr="00F25CE6">
        <w:rPr>
          <w:rFonts w:asciiTheme="majorBidi" w:hAnsiTheme="majorBidi" w:cstheme="majorBidi"/>
          <w:szCs w:val="22"/>
        </w:rPr>
        <w:t xml:space="preserve"> moraju koristiti rukavice za jednokratnu uporabu.</w:t>
      </w:r>
    </w:p>
    <w:p w14:paraId="6CC24A64" w14:textId="77777777" w:rsidR="00A15E8A" w:rsidRPr="00F25CE6" w:rsidRDefault="00A15E8A" w:rsidP="00F25CE6">
      <w:pPr>
        <w:widowControl/>
        <w:rPr>
          <w:rFonts w:asciiTheme="majorBidi" w:hAnsiTheme="majorBidi" w:cstheme="majorBidi"/>
        </w:rPr>
      </w:pPr>
    </w:p>
    <w:p w14:paraId="74ACD277" w14:textId="02A23A36" w:rsidR="00AF7ABC" w:rsidRPr="00896BC5" w:rsidRDefault="00422138" w:rsidP="00896BC5">
      <w:pPr>
        <w:pStyle w:val="BodyText"/>
        <w:rPr>
          <w:b/>
          <w:bCs/>
        </w:rPr>
      </w:pPr>
      <w:r w:rsidRPr="00896BC5">
        <w:rPr>
          <w:b/>
          <w:bCs/>
        </w:rPr>
        <w:t xml:space="preserve">Koliko dugo uzimati </w:t>
      </w:r>
      <w:r w:rsidR="00064F60">
        <w:rPr>
          <w:b/>
          <w:bCs/>
        </w:rPr>
        <w:t xml:space="preserve">Dasatinib </w:t>
      </w:r>
      <w:r w:rsidR="00911CD7">
        <w:rPr>
          <w:b/>
          <w:bCs/>
        </w:rPr>
        <w:t>Accord Healthcare</w:t>
      </w:r>
    </w:p>
    <w:p w14:paraId="25130E0D" w14:textId="21CF8BF8" w:rsidR="00AF7ABC" w:rsidRPr="00F25CE6" w:rsidRDefault="00064F60" w:rsidP="00F25CE6">
      <w:pPr>
        <w:pStyle w:val="BodyText"/>
        <w:widowControl/>
        <w:rPr>
          <w:rFonts w:asciiTheme="majorBidi" w:hAnsiTheme="majorBidi" w:cstheme="majorBidi"/>
          <w:szCs w:val="22"/>
        </w:rPr>
      </w:pP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uzimajte svakodnevno sve dok Vam liječnik ne kaže da prestanete. Uzimajte </w:t>
      </w:r>
      <w:r>
        <w:rPr>
          <w:rFonts w:asciiTheme="majorBidi" w:hAnsiTheme="majorBidi" w:cstheme="majorBidi"/>
          <w:szCs w:val="22"/>
        </w:rPr>
        <w:t xml:space="preserve">Dasatinib </w:t>
      </w:r>
      <w:r w:rsidR="00911CD7">
        <w:rPr>
          <w:rFonts w:asciiTheme="majorBidi" w:hAnsiTheme="majorBidi" w:cstheme="majorBidi"/>
          <w:szCs w:val="22"/>
        </w:rPr>
        <w:t>Accord Healthcare</w:t>
      </w:r>
      <w:r w:rsidR="00422138" w:rsidRPr="00F25CE6">
        <w:rPr>
          <w:rFonts w:asciiTheme="majorBidi" w:hAnsiTheme="majorBidi" w:cstheme="majorBidi"/>
          <w:szCs w:val="22"/>
        </w:rPr>
        <w:t xml:space="preserve"> onoliko dugo koliko je propisano.</w:t>
      </w:r>
    </w:p>
    <w:p w14:paraId="670ED513" w14:textId="77777777" w:rsidR="00AF7ABC" w:rsidRPr="00F25CE6" w:rsidRDefault="00AF7ABC" w:rsidP="00F25CE6">
      <w:pPr>
        <w:pStyle w:val="BodyText"/>
        <w:widowControl/>
        <w:rPr>
          <w:rFonts w:asciiTheme="majorBidi" w:hAnsiTheme="majorBidi" w:cstheme="majorBidi"/>
          <w:szCs w:val="22"/>
        </w:rPr>
      </w:pPr>
    </w:p>
    <w:p w14:paraId="3F111743" w14:textId="32395C7F" w:rsidR="00AF7ABC" w:rsidRPr="00896BC5" w:rsidRDefault="00422138" w:rsidP="00896BC5">
      <w:pPr>
        <w:pStyle w:val="BodyText"/>
        <w:rPr>
          <w:b/>
          <w:bCs/>
        </w:rPr>
      </w:pPr>
      <w:r w:rsidRPr="00896BC5">
        <w:rPr>
          <w:b/>
          <w:bCs/>
        </w:rPr>
        <w:t xml:space="preserve">Ako uzmete više lijeka </w:t>
      </w:r>
      <w:r w:rsidR="00064F60">
        <w:rPr>
          <w:b/>
          <w:bCs/>
        </w:rPr>
        <w:t xml:space="preserve">Dasatinib </w:t>
      </w:r>
      <w:r w:rsidR="00911CD7">
        <w:rPr>
          <w:b/>
          <w:bCs/>
        </w:rPr>
        <w:t>Accord Healthcare</w:t>
      </w:r>
      <w:r w:rsidRPr="00896BC5">
        <w:rPr>
          <w:b/>
          <w:bCs/>
        </w:rPr>
        <w:t xml:space="preserve"> nego što ste trebali</w:t>
      </w:r>
    </w:p>
    <w:p w14:paraId="0DB64B9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Ako ste slučajno uzeli previše tableta, </w:t>
      </w:r>
      <w:r w:rsidRPr="00F25CE6">
        <w:rPr>
          <w:rFonts w:asciiTheme="majorBidi" w:hAnsiTheme="majorBidi" w:cstheme="majorBidi"/>
          <w:b/>
          <w:szCs w:val="22"/>
        </w:rPr>
        <w:t xml:space="preserve">odmah </w:t>
      </w:r>
      <w:r w:rsidRPr="00F25CE6">
        <w:rPr>
          <w:rFonts w:asciiTheme="majorBidi" w:hAnsiTheme="majorBidi" w:cstheme="majorBidi"/>
          <w:szCs w:val="22"/>
        </w:rPr>
        <w:t>se javite liječniku. Možda će vam biti potrebna medicinska pomoć.</w:t>
      </w:r>
    </w:p>
    <w:p w14:paraId="257FC3EB" w14:textId="77777777" w:rsidR="00AF7ABC" w:rsidRPr="00F25CE6" w:rsidRDefault="00AF7ABC" w:rsidP="00F25CE6">
      <w:pPr>
        <w:pStyle w:val="BodyText"/>
        <w:widowControl/>
        <w:rPr>
          <w:rFonts w:asciiTheme="majorBidi" w:hAnsiTheme="majorBidi" w:cstheme="majorBidi"/>
          <w:szCs w:val="22"/>
        </w:rPr>
      </w:pPr>
    </w:p>
    <w:p w14:paraId="318BC7D8" w14:textId="5D9E3ED7" w:rsidR="00AF7ABC" w:rsidRPr="00896BC5" w:rsidRDefault="00422138" w:rsidP="00896BC5">
      <w:pPr>
        <w:pStyle w:val="BodyText"/>
        <w:rPr>
          <w:b/>
          <w:bCs/>
        </w:rPr>
      </w:pPr>
      <w:r w:rsidRPr="00896BC5">
        <w:rPr>
          <w:b/>
          <w:bCs/>
        </w:rPr>
        <w:t xml:space="preserve">Ako ste zaboravili uzeti </w:t>
      </w:r>
      <w:r w:rsidR="00064F60">
        <w:rPr>
          <w:b/>
          <w:bCs/>
        </w:rPr>
        <w:t xml:space="preserve">Dasatinib </w:t>
      </w:r>
      <w:r w:rsidR="00911CD7">
        <w:rPr>
          <w:b/>
          <w:bCs/>
        </w:rPr>
        <w:t>Accord Healthcare</w:t>
      </w:r>
    </w:p>
    <w:p w14:paraId="5A7E6928"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Nemojte uzeti dvostruku dozu kako biste nadoknadili zaboravljenu tabletu. Uzmite sljedeću dozu prema rasporedu u uobičajeno vrijeme.</w:t>
      </w:r>
    </w:p>
    <w:p w14:paraId="3E950C82" w14:textId="77777777" w:rsidR="00AF7ABC" w:rsidRPr="00F25CE6" w:rsidRDefault="00AF7ABC" w:rsidP="00F25CE6">
      <w:pPr>
        <w:pStyle w:val="BodyText"/>
        <w:widowControl/>
        <w:rPr>
          <w:rFonts w:asciiTheme="majorBidi" w:hAnsiTheme="majorBidi" w:cstheme="majorBidi"/>
          <w:szCs w:val="22"/>
        </w:rPr>
      </w:pPr>
    </w:p>
    <w:p w14:paraId="770D9D0F"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U slučaju bilo kakvih pitanja u vezi s primjenom ovog lijeka, obratite se liječniku ili ljekarniku.</w:t>
      </w:r>
    </w:p>
    <w:p w14:paraId="604F2D60" w14:textId="77777777" w:rsidR="00AF7ABC" w:rsidRPr="00F25CE6" w:rsidRDefault="00AF7ABC" w:rsidP="00F25CE6">
      <w:pPr>
        <w:pStyle w:val="BodyText"/>
        <w:widowControl/>
        <w:rPr>
          <w:rFonts w:asciiTheme="majorBidi" w:hAnsiTheme="majorBidi" w:cstheme="majorBidi"/>
          <w:szCs w:val="22"/>
        </w:rPr>
      </w:pPr>
    </w:p>
    <w:p w14:paraId="588CAF7D" w14:textId="77777777" w:rsidR="00AF7ABC" w:rsidRPr="00F25CE6" w:rsidRDefault="00AF7ABC" w:rsidP="00F25CE6">
      <w:pPr>
        <w:pStyle w:val="BodyText"/>
        <w:widowControl/>
        <w:rPr>
          <w:rFonts w:asciiTheme="majorBidi" w:hAnsiTheme="majorBidi" w:cstheme="majorBidi"/>
          <w:szCs w:val="22"/>
        </w:rPr>
      </w:pPr>
    </w:p>
    <w:p w14:paraId="283532AA" w14:textId="77777777" w:rsidR="00AF7ABC" w:rsidRPr="00F25CE6" w:rsidRDefault="00422138" w:rsidP="00896BC5">
      <w:pPr>
        <w:pStyle w:val="Heading1"/>
        <w:numPr>
          <w:ilvl w:val="0"/>
          <w:numId w:val="2"/>
        </w:numPr>
        <w:ind w:left="562" w:hanging="562"/>
      </w:pPr>
      <w:r w:rsidRPr="00F25CE6">
        <w:t>Moguće nuspojave</w:t>
      </w:r>
    </w:p>
    <w:p w14:paraId="1BE57EF3" w14:textId="77777777" w:rsidR="00AF7ABC" w:rsidRPr="00F25CE6" w:rsidRDefault="00AF7ABC" w:rsidP="00F25CE6">
      <w:pPr>
        <w:pStyle w:val="BodyText"/>
        <w:widowControl/>
        <w:rPr>
          <w:rFonts w:asciiTheme="majorBidi" w:hAnsiTheme="majorBidi" w:cstheme="majorBidi"/>
          <w:b/>
          <w:szCs w:val="22"/>
        </w:rPr>
      </w:pPr>
    </w:p>
    <w:p w14:paraId="4E43E5ED"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Kao i svi lijekovi, ovaj lijek može uzrokovati nuspojave iako se one neće javiti kod svakog.</w:t>
      </w:r>
    </w:p>
    <w:p w14:paraId="1DD89109" w14:textId="77777777" w:rsidR="00AF7ABC" w:rsidRPr="00F25CE6" w:rsidRDefault="00AF7ABC" w:rsidP="00F25CE6">
      <w:pPr>
        <w:pStyle w:val="BodyText"/>
        <w:widowControl/>
        <w:rPr>
          <w:rFonts w:asciiTheme="majorBidi" w:hAnsiTheme="majorBidi" w:cstheme="majorBidi"/>
          <w:szCs w:val="22"/>
        </w:rPr>
      </w:pPr>
    </w:p>
    <w:p w14:paraId="1840DB3E" w14:textId="77777777" w:rsidR="00AF7ABC" w:rsidRPr="00F25CE6" w:rsidRDefault="00422138" w:rsidP="00896BC5">
      <w:pPr>
        <w:pStyle w:val="Heading1"/>
        <w:numPr>
          <w:ilvl w:val="0"/>
          <w:numId w:val="9"/>
        </w:numPr>
        <w:ind w:left="562" w:hanging="562"/>
      </w:pPr>
      <w:r w:rsidRPr="00F25CE6">
        <w:t>Sljedeće mogu biti znakovi ozbiljnih nuspojava:</w:t>
      </w:r>
    </w:p>
    <w:p w14:paraId="0B278C41"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Bol u prsištu, otežano disanje, kašljanje i nesvjestica</w:t>
      </w:r>
    </w:p>
    <w:p w14:paraId="073C4BF8"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Neočekivano krvarenje ili modrice</w:t>
      </w:r>
      <w:r w:rsidRPr="00F25CE6">
        <w:rPr>
          <w:rFonts w:asciiTheme="majorBidi" w:hAnsiTheme="majorBidi" w:cstheme="majorBidi"/>
        </w:rPr>
        <w:t>, a da se niste ozlijedili</w:t>
      </w:r>
    </w:p>
    <w:p w14:paraId="2F3B1EF8"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Krv u povraćenom sadržaju, stolici ili mokraći ili crna stolica</w:t>
      </w:r>
    </w:p>
    <w:p w14:paraId="0A1FDA93"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Znakovi infekcije </w:t>
      </w:r>
      <w:r w:rsidRPr="00F25CE6">
        <w:rPr>
          <w:rFonts w:asciiTheme="majorBidi" w:hAnsiTheme="majorBidi" w:cstheme="majorBidi"/>
        </w:rPr>
        <w:t>poput vrućice i jake zimice</w:t>
      </w:r>
    </w:p>
    <w:p w14:paraId="03110203"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Vrućica, upala usta ili grla, pojava mjehurića ili ljuštenje kože i/ili sluznica</w:t>
      </w:r>
    </w:p>
    <w:p w14:paraId="3E86E0F1" w14:textId="77777777" w:rsidR="00AF7ABC" w:rsidRPr="00F25CE6" w:rsidRDefault="00422138" w:rsidP="00F25CE6">
      <w:pPr>
        <w:widowControl/>
        <w:rPr>
          <w:rFonts w:asciiTheme="majorBidi" w:hAnsiTheme="majorBidi" w:cstheme="majorBidi"/>
        </w:rPr>
      </w:pPr>
      <w:r w:rsidRPr="00F25CE6">
        <w:rPr>
          <w:rFonts w:asciiTheme="majorBidi" w:hAnsiTheme="majorBidi" w:cstheme="majorBidi"/>
          <w:b/>
        </w:rPr>
        <w:t xml:space="preserve">Odmah obavijestite liječnika </w:t>
      </w:r>
      <w:r w:rsidRPr="00F25CE6">
        <w:rPr>
          <w:rFonts w:asciiTheme="majorBidi" w:hAnsiTheme="majorBidi" w:cstheme="majorBidi"/>
        </w:rPr>
        <w:t>ako primijetite nešto od gore navedenog.</w:t>
      </w:r>
    </w:p>
    <w:p w14:paraId="57704BB4" w14:textId="77777777" w:rsidR="00AF7ABC" w:rsidRPr="00F25CE6" w:rsidRDefault="00AF7ABC" w:rsidP="00F25CE6">
      <w:pPr>
        <w:pStyle w:val="BodyText"/>
        <w:widowControl/>
        <w:rPr>
          <w:rFonts w:asciiTheme="majorBidi" w:hAnsiTheme="majorBidi" w:cstheme="majorBidi"/>
          <w:szCs w:val="22"/>
        </w:rPr>
      </w:pPr>
    </w:p>
    <w:p w14:paraId="0A15142E" w14:textId="77777777" w:rsidR="00AF7ABC" w:rsidRPr="00F25CE6" w:rsidRDefault="00422138" w:rsidP="00896BC5">
      <w:pPr>
        <w:pStyle w:val="Heading1"/>
        <w:numPr>
          <w:ilvl w:val="0"/>
          <w:numId w:val="0"/>
        </w:numPr>
      </w:pPr>
      <w:r w:rsidRPr="00F25CE6">
        <w:t>Vrlo česte nuspojave (mogu se javiti u više od 1 na 10 osoba)</w:t>
      </w:r>
    </w:p>
    <w:p w14:paraId="65B3EFBE"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Infekcije </w:t>
      </w:r>
      <w:r w:rsidRPr="00F25CE6">
        <w:rPr>
          <w:rFonts w:asciiTheme="majorBidi" w:hAnsiTheme="majorBidi" w:cstheme="majorBidi"/>
        </w:rPr>
        <w:t>(uključujući bakterijske, virusne i gljivične)</w:t>
      </w:r>
    </w:p>
    <w:p w14:paraId="43012D5B"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Srce i pluća</w:t>
      </w:r>
      <w:r w:rsidRPr="00F25CE6">
        <w:rPr>
          <w:rFonts w:asciiTheme="majorBidi" w:hAnsiTheme="majorBidi" w:cstheme="majorBidi"/>
        </w:rPr>
        <w:t>: nedostatak zraka</w:t>
      </w:r>
    </w:p>
    <w:p w14:paraId="1F35D407"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Probavni problemi: </w:t>
      </w:r>
      <w:r w:rsidRPr="00F25CE6">
        <w:rPr>
          <w:rFonts w:asciiTheme="majorBidi" w:hAnsiTheme="majorBidi" w:cstheme="majorBidi"/>
        </w:rPr>
        <w:t>proljev, loše osjećanje (mučnina, povraćanje)</w:t>
      </w:r>
    </w:p>
    <w:p w14:paraId="6F13CD75"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Koža, kosa, oko, općenito: </w:t>
      </w:r>
      <w:r w:rsidRPr="00F25CE6">
        <w:rPr>
          <w:rFonts w:asciiTheme="majorBidi" w:hAnsiTheme="majorBidi" w:cstheme="majorBidi"/>
        </w:rPr>
        <w:t>kožni osip, vrućica, oticanje lica, šaka i stopala, glavobolja, osjećaj umora ili slabosti, krvarenje</w:t>
      </w:r>
    </w:p>
    <w:p w14:paraId="65BDF531"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Bol: </w:t>
      </w:r>
      <w:r w:rsidRPr="00F25CE6">
        <w:rPr>
          <w:rFonts w:asciiTheme="majorBidi" w:hAnsiTheme="majorBidi" w:cstheme="majorBidi"/>
        </w:rPr>
        <w:t>bol u mišićima (tijekom liječenja ili nakon njegova prekida), bol u trbuhu</w:t>
      </w:r>
    </w:p>
    <w:p w14:paraId="43744406"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Pretrage mogu pokazati: </w:t>
      </w:r>
      <w:r w:rsidRPr="00F25CE6">
        <w:rPr>
          <w:rFonts w:asciiTheme="majorBidi" w:hAnsiTheme="majorBidi" w:cstheme="majorBidi"/>
        </w:rPr>
        <w:t>snižen broj krvnih pločica, snižen broj bijelih krvnih stanica (neutropenija), anemija, tekućina oko pluća</w:t>
      </w:r>
    </w:p>
    <w:p w14:paraId="5E62713F" w14:textId="77777777" w:rsidR="00AF7ABC" w:rsidRPr="00F25CE6" w:rsidRDefault="00AF7ABC" w:rsidP="00F25CE6">
      <w:pPr>
        <w:pStyle w:val="BodyText"/>
        <w:widowControl/>
        <w:rPr>
          <w:rFonts w:asciiTheme="majorBidi" w:hAnsiTheme="majorBidi" w:cstheme="majorBidi"/>
          <w:szCs w:val="22"/>
        </w:rPr>
      </w:pPr>
    </w:p>
    <w:p w14:paraId="019F5A47" w14:textId="77777777" w:rsidR="00AF7ABC" w:rsidRPr="00F25CE6" w:rsidRDefault="00422138" w:rsidP="00896BC5">
      <w:pPr>
        <w:pStyle w:val="Heading1"/>
        <w:numPr>
          <w:ilvl w:val="0"/>
          <w:numId w:val="0"/>
        </w:numPr>
      </w:pPr>
      <w:r w:rsidRPr="00F25CE6">
        <w:t>Česte nuspojave (mogu se javiti u do 1 na 10 osoba)</w:t>
      </w:r>
    </w:p>
    <w:p w14:paraId="595707D8" w14:textId="77777777" w:rsidR="00AF7ABC" w:rsidRPr="00F25CE6" w:rsidRDefault="00422138" w:rsidP="00896BC5">
      <w:pPr>
        <w:pStyle w:val="ListParagraph"/>
        <w:widowControl/>
        <w:numPr>
          <w:ilvl w:val="0"/>
          <w:numId w:val="9"/>
        </w:numPr>
        <w:tabs>
          <w:tab w:val="left" w:pos="868"/>
        </w:tabs>
        <w:ind w:left="562" w:hanging="562"/>
        <w:rPr>
          <w:rFonts w:asciiTheme="majorBidi" w:hAnsiTheme="majorBidi" w:cstheme="majorBidi"/>
        </w:rPr>
      </w:pPr>
      <w:r w:rsidRPr="00F25CE6">
        <w:rPr>
          <w:rFonts w:asciiTheme="majorBidi" w:hAnsiTheme="majorBidi" w:cstheme="majorBidi"/>
          <w:b/>
        </w:rPr>
        <w:t>Infekcije</w:t>
      </w:r>
      <w:r w:rsidRPr="00F25CE6">
        <w:rPr>
          <w:rFonts w:asciiTheme="majorBidi" w:hAnsiTheme="majorBidi" w:cstheme="majorBidi"/>
        </w:rPr>
        <w:t>: upala pluća, infekcija virusom herpesa (uključujući citomegalovirus - CMV), infekcija gornjih dišnih putova, ozbiljne infekcije krvi ili tkiva (uključujući manje česte slučajeve sa smrtnim ishodima)</w:t>
      </w:r>
    </w:p>
    <w:p w14:paraId="7AD4D031"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Srce i pluća</w:t>
      </w:r>
      <w:r w:rsidRPr="00F25CE6">
        <w:rPr>
          <w:rFonts w:asciiTheme="majorBidi" w:hAnsiTheme="majorBidi" w:cstheme="majorBidi"/>
        </w:rPr>
        <w:t>: palpitacije (jako lupanje srca), nepravilni otkucaji srca, zastojno zatajenje srca, oslabljen srčani mišić, visoki krvni tlak, povišen krvni tlak u plućima, kašalj</w:t>
      </w:r>
    </w:p>
    <w:p w14:paraId="5143F497"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Probavni problemi: </w:t>
      </w:r>
      <w:r w:rsidRPr="00F25CE6">
        <w:rPr>
          <w:rFonts w:asciiTheme="majorBidi" w:hAnsiTheme="majorBidi" w:cstheme="majorBidi"/>
        </w:rPr>
        <w:t>poremećaj apetita, poremećaj osjeta okusa, nadutost ili nadimanje trbuha, upala debelog crijeva, zatvor, žgaravica, vrijed u ustima, povećanje tjelesne težine, gubitak tjelesne težine, gastritis</w:t>
      </w:r>
    </w:p>
    <w:p w14:paraId="370B2A62" w14:textId="77777777" w:rsidR="00AF7ABC" w:rsidRPr="00F25CE6" w:rsidRDefault="00422138" w:rsidP="00896BC5">
      <w:pPr>
        <w:pStyle w:val="ListParagraph"/>
        <w:widowControl/>
        <w:numPr>
          <w:ilvl w:val="0"/>
          <w:numId w:val="9"/>
        </w:numPr>
        <w:tabs>
          <w:tab w:val="left" w:pos="867"/>
          <w:tab w:val="left" w:pos="869"/>
        </w:tabs>
        <w:ind w:left="562" w:hanging="562"/>
        <w:rPr>
          <w:rFonts w:asciiTheme="majorBidi" w:hAnsiTheme="majorBidi" w:cstheme="majorBidi"/>
        </w:rPr>
      </w:pPr>
      <w:r w:rsidRPr="00F25CE6">
        <w:rPr>
          <w:rFonts w:asciiTheme="majorBidi" w:hAnsiTheme="majorBidi" w:cstheme="majorBidi"/>
          <w:b/>
        </w:rPr>
        <w:t xml:space="preserve">Koža, kosa, oko, općenito: </w:t>
      </w:r>
      <w:r w:rsidRPr="00F25CE6">
        <w:rPr>
          <w:rFonts w:asciiTheme="majorBidi" w:hAnsiTheme="majorBidi" w:cstheme="majorBidi"/>
        </w:rPr>
        <w:t>trnci u koži, svrbež, suha koža, akne, upalne promjene na koži, neprekidni šum u ušima, gubitak kose, obilno znojenje, poremećaji vida (uključujući zamagljen vid i poremećaj vida), suhoća oka, modrice, depresija, nesanica, naleti crvenila, omaglica, nagnječenja (modrice), anoreksija, pospanost, generalizirani edem</w:t>
      </w:r>
    </w:p>
    <w:p w14:paraId="4265D029" w14:textId="77777777" w:rsidR="00AF7ABC" w:rsidRPr="00F25CE6" w:rsidRDefault="00422138" w:rsidP="00896BC5">
      <w:pPr>
        <w:pStyle w:val="ListParagraph"/>
        <w:widowControl/>
        <w:numPr>
          <w:ilvl w:val="0"/>
          <w:numId w:val="9"/>
        </w:numPr>
        <w:tabs>
          <w:tab w:val="left" w:pos="867"/>
          <w:tab w:val="left" w:pos="869"/>
        </w:tabs>
        <w:ind w:left="562" w:hanging="562"/>
        <w:rPr>
          <w:rFonts w:asciiTheme="majorBidi" w:hAnsiTheme="majorBidi" w:cstheme="majorBidi"/>
        </w:rPr>
      </w:pPr>
      <w:r w:rsidRPr="00F25CE6">
        <w:rPr>
          <w:rFonts w:asciiTheme="majorBidi" w:hAnsiTheme="majorBidi" w:cstheme="majorBidi"/>
          <w:b/>
        </w:rPr>
        <w:lastRenderedPageBreak/>
        <w:t xml:space="preserve">Bol: </w:t>
      </w:r>
      <w:r w:rsidRPr="00F25CE6">
        <w:rPr>
          <w:rFonts w:asciiTheme="majorBidi" w:hAnsiTheme="majorBidi" w:cstheme="majorBidi"/>
        </w:rPr>
        <w:t>bol u zglobovima, slabost mišića, bol u prsištu, bol u šakama i stopalima, zimica, ukočenost mišića i zglobova, spazam mišića</w:t>
      </w:r>
    </w:p>
    <w:p w14:paraId="56EF9793" w14:textId="77777777" w:rsidR="00AF7ABC" w:rsidRPr="00F25CE6" w:rsidRDefault="00422138" w:rsidP="00896BC5">
      <w:pPr>
        <w:pStyle w:val="ListParagraph"/>
        <w:widowControl/>
        <w:numPr>
          <w:ilvl w:val="0"/>
          <w:numId w:val="9"/>
        </w:numPr>
        <w:tabs>
          <w:tab w:val="left" w:pos="867"/>
          <w:tab w:val="left" w:pos="869"/>
        </w:tabs>
        <w:ind w:left="562" w:hanging="562"/>
        <w:rPr>
          <w:rFonts w:asciiTheme="majorBidi" w:hAnsiTheme="majorBidi" w:cstheme="majorBidi"/>
        </w:rPr>
      </w:pPr>
      <w:r w:rsidRPr="00F25CE6">
        <w:rPr>
          <w:rFonts w:asciiTheme="majorBidi" w:hAnsiTheme="majorBidi" w:cstheme="majorBidi"/>
          <w:b/>
        </w:rPr>
        <w:t xml:space="preserve">Pretrage mogu pokazati: </w:t>
      </w:r>
      <w:r w:rsidRPr="00F25CE6">
        <w:rPr>
          <w:rFonts w:asciiTheme="majorBidi" w:hAnsiTheme="majorBidi" w:cstheme="majorBidi"/>
        </w:rPr>
        <w:t>tekućina oko srca, tekućina u plućima, aritmija (poremećaj srčanog ritma), febrilna neutropenija, krvarenje u probavni sustav, velika koncentracija mokraćne kiseline u krvi</w:t>
      </w:r>
    </w:p>
    <w:p w14:paraId="4096C4B5" w14:textId="77777777" w:rsidR="00A15E8A" w:rsidRPr="00F25CE6" w:rsidRDefault="00A15E8A" w:rsidP="00F25CE6">
      <w:pPr>
        <w:widowControl/>
        <w:rPr>
          <w:rFonts w:asciiTheme="majorBidi" w:hAnsiTheme="majorBidi" w:cstheme="majorBidi"/>
        </w:rPr>
      </w:pPr>
    </w:p>
    <w:p w14:paraId="73053994" w14:textId="77777777" w:rsidR="00AF7ABC" w:rsidRPr="00F25CE6" w:rsidRDefault="00422138" w:rsidP="00896BC5">
      <w:pPr>
        <w:pStyle w:val="Heading1"/>
        <w:numPr>
          <w:ilvl w:val="0"/>
          <w:numId w:val="0"/>
        </w:numPr>
      </w:pPr>
      <w:r w:rsidRPr="00F25CE6">
        <w:t>Manje česte nuspojave (mogu se javiti u do 1 na 100 osoba)</w:t>
      </w:r>
    </w:p>
    <w:p w14:paraId="2A7EDD33"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Srce i pluća: </w:t>
      </w:r>
      <w:r w:rsidRPr="00F25CE6">
        <w:rPr>
          <w:rFonts w:asciiTheme="majorBidi" w:hAnsiTheme="majorBidi" w:cstheme="majorBidi"/>
        </w:rPr>
        <w:t>srčani udar (uključujući smrtni ishod), upala srčane ovojnice, nepravilni otkucaji srca, bol u prsima zbog smanjene opskrbe srca krvlju (angina), snižen krvni tlak, suženje dišnih putova koje može izazvati poteškoće s disanjem, astma, povišen krvni tlak u plućnim arterijama (krvnim žilama pluća)</w:t>
      </w:r>
    </w:p>
    <w:p w14:paraId="5FF8BFDF"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Probavni problemi</w:t>
      </w:r>
      <w:r w:rsidRPr="00F25CE6">
        <w:rPr>
          <w:rFonts w:asciiTheme="majorBidi" w:hAnsiTheme="majorBidi" w:cstheme="majorBidi"/>
        </w:rPr>
        <w:t>: upala gušterače, peptički ulkus, upala jednjaka, otečen trbuh, rascjep kože na analnom kanalu, poteškoće pri gutanju, upala žučnog mjehura, začepljenje žučnih kanala, gastroezofagealni refluks (stanje kod kojega se želučana kiselina i sadržaj želuca vraćaju u grlo)</w:t>
      </w:r>
    </w:p>
    <w:p w14:paraId="64E5BFC0"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Koža, kosa, oko, općenito</w:t>
      </w:r>
      <w:r w:rsidRPr="00F25CE6">
        <w:rPr>
          <w:rFonts w:asciiTheme="majorBidi" w:hAnsiTheme="majorBidi" w:cstheme="majorBidi"/>
        </w:rPr>
        <w:t>: alergijska reakcija, uključujući blage, crvene kvržice na koži (erythema nodosum), anksioznost, zbunjenost, promjene raspoloženja, smanjenje seksualnog nagona, malaksalost, tremor, upala oka koja uzrokuje crvenilo ili bol, kožna bolest karakterizirana mekim, crvenim, dobro definiranim mrljama s iznenadnim nastupom vrućice i povišenjem bijelih krvnih stanica (neutrofilna dermatoza), gubitak sluha, osjetljivost na svjetlo, oštećenje vida, pojačano suzenje oka, poremećaj u boji kože, upala potkožnog masnog tkiva, ulkus kože, plikovi na koži, poremećaj noktiju, poremećaj kose, poremećaj ruku-nogu, zatajenje bubrega, učestalo mokrenje, povećanje grudi u muškaraca, poremećaj mjesečnice, opća slabost i nelagoda, smanjena funkcija štitnjače, gubitak ravnoteže u hodu, osteonekroza (bolest kod koje je smanjen dotok krvi u kosti, što može uzrokovati gubitak i odumiranje kosti), artritis, oticanje kože na bilo kojem dijelu tijela</w:t>
      </w:r>
    </w:p>
    <w:p w14:paraId="5CFA1E9C"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Bol: </w:t>
      </w:r>
      <w:r w:rsidRPr="00F25CE6">
        <w:rPr>
          <w:rFonts w:asciiTheme="majorBidi" w:hAnsiTheme="majorBidi" w:cstheme="majorBidi"/>
        </w:rPr>
        <w:t>upala vena koja može uzrokovati crvenilo, osjetljivost i oteklinu, upala tetiva</w:t>
      </w:r>
    </w:p>
    <w:p w14:paraId="02753C2A"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Mozak: </w:t>
      </w:r>
      <w:r w:rsidRPr="00F25CE6">
        <w:rPr>
          <w:rFonts w:asciiTheme="majorBidi" w:hAnsiTheme="majorBidi" w:cstheme="majorBidi"/>
        </w:rPr>
        <w:t>gubitak pamćenja</w:t>
      </w:r>
    </w:p>
    <w:p w14:paraId="6691C38A" w14:textId="65BE6594"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Pretrage mogu pokazati: </w:t>
      </w:r>
      <w:r w:rsidRPr="00F25CE6">
        <w:rPr>
          <w:rFonts w:asciiTheme="majorBidi" w:hAnsiTheme="majorBidi" w:cstheme="majorBidi"/>
        </w:rPr>
        <w:t>abnormalni rezultati krvnih pretraga i moguća oslabljena funkcija bubrega uzrokovana otpadnim proizvodima od umirućeg tumora (sindrom lize tumora), niske razine albumina u krvi, niske razine limfocita (jedne vrste bijelih krvnih stanica) u krvi, visoke razine kolesterola u krvi, otečene limfne žlijezde, krvarenje u mozgu, nepravilna električna aktivnost srca, prošireno srce, upala jetre, proteini u urinu, povećana kreatin fosfokinaza (enzim koji se većinom nalazi u srcu, mozgu i skeletnim mišićima), povišene razine troponina (enzima koji se pretežno nalazi u srcu i mišićima kostura), povišene razine gama-glutamiltransferaze (enzima koji se pretežno nalazi u jetri)</w:t>
      </w:r>
      <w:r w:rsidR="005D759D">
        <w:rPr>
          <w:rFonts w:asciiTheme="majorBidi" w:hAnsiTheme="majorBidi" w:cstheme="majorBidi"/>
        </w:rPr>
        <w:t>, nakupljanje tekućine mliječnog izgleda oko pluća (hilotoraks)</w:t>
      </w:r>
    </w:p>
    <w:p w14:paraId="01076C64" w14:textId="77777777" w:rsidR="00AF7ABC" w:rsidRPr="00F25CE6" w:rsidRDefault="00AF7ABC" w:rsidP="00F25CE6">
      <w:pPr>
        <w:pStyle w:val="BodyText"/>
        <w:widowControl/>
        <w:rPr>
          <w:rFonts w:asciiTheme="majorBidi" w:hAnsiTheme="majorBidi" w:cstheme="majorBidi"/>
          <w:szCs w:val="22"/>
        </w:rPr>
      </w:pPr>
    </w:p>
    <w:p w14:paraId="14D5E7FC" w14:textId="77777777" w:rsidR="00AF7ABC" w:rsidRPr="00F25CE6" w:rsidRDefault="00422138" w:rsidP="00896BC5">
      <w:pPr>
        <w:pStyle w:val="Heading1"/>
        <w:numPr>
          <w:ilvl w:val="0"/>
          <w:numId w:val="0"/>
        </w:numPr>
      </w:pPr>
      <w:r w:rsidRPr="00F25CE6">
        <w:t>Rijetke nuspojave (mogu se javiti u do 1 na 1000 osoba)</w:t>
      </w:r>
    </w:p>
    <w:p w14:paraId="6D31761A"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Srce i pluća: </w:t>
      </w:r>
      <w:r w:rsidRPr="00F25CE6">
        <w:rPr>
          <w:rFonts w:asciiTheme="majorBidi" w:hAnsiTheme="majorBidi" w:cstheme="majorBidi"/>
        </w:rPr>
        <w:t>povećanje desne klijetke u srcu, upala srčanog mišića, skupina stanja koja proizlaze iz blokade opskrbe srčanog mišića krvlju (akutni koronarni sindrom), srčani zastoj (prekid protoka krvi iz srca), bolest koronarnih (srčanih) arterija, upala tkiva koje obavija srce i pluća, krvni ugrušci, krvni ugrušci u plućima</w:t>
      </w:r>
    </w:p>
    <w:p w14:paraId="1D8CBAB2" w14:textId="77777777" w:rsidR="00AF7ABC" w:rsidRPr="00F25CE6" w:rsidRDefault="00422138" w:rsidP="00896BC5">
      <w:pPr>
        <w:pStyle w:val="ListParagraph"/>
        <w:widowControl/>
        <w:numPr>
          <w:ilvl w:val="0"/>
          <w:numId w:val="9"/>
        </w:numPr>
        <w:tabs>
          <w:tab w:val="left" w:pos="868"/>
        </w:tabs>
        <w:ind w:left="562" w:hanging="562"/>
        <w:rPr>
          <w:rFonts w:asciiTheme="majorBidi" w:hAnsiTheme="majorBidi" w:cstheme="majorBidi"/>
        </w:rPr>
      </w:pPr>
      <w:r w:rsidRPr="00F25CE6">
        <w:rPr>
          <w:rFonts w:asciiTheme="majorBidi" w:hAnsiTheme="majorBidi" w:cstheme="majorBidi"/>
          <w:b/>
        </w:rPr>
        <w:t xml:space="preserve">Probavni problemi: </w:t>
      </w:r>
      <w:r w:rsidRPr="00F25CE6">
        <w:rPr>
          <w:rFonts w:asciiTheme="majorBidi" w:hAnsiTheme="majorBidi" w:cstheme="majorBidi"/>
        </w:rPr>
        <w:t>gubitak vitalnih hranjivih tvari kao što su proteini iz probavnog trakta, začepljenje crijeva, analna fistula (abnormalan otvor koji vodi od anusa do kože oko anusa), poremećaj funkcije bubrega, šećerna bolest</w:t>
      </w:r>
    </w:p>
    <w:p w14:paraId="3AE30878"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Koža, kosa, oko, općenito: </w:t>
      </w:r>
      <w:r w:rsidRPr="00F25CE6">
        <w:rPr>
          <w:rFonts w:asciiTheme="majorBidi" w:hAnsiTheme="majorBidi" w:cstheme="majorBidi"/>
        </w:rPr>
        <w:t>grčevi, upala optičkog živca koja može izazvati potpuni ili djelomični gubitak vida, plavo ljubičaste mrlje na koži, neuobičajeno pojačana funkcija štitnjače, upala štitnjače, ataksija (stanje povezano s nedostatkom mišićne koordinacije), poteškoće pri hodanju, spontani pobačaj, upala krvnih žila u koži, kožna fibroza</w:t>
      </w:r>
    </w:p>
    <w:p w14:paraId="32C8BA36"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 xml:space="preserve">Mozak: </w:t>
      </w:r>
      <w:r w:rsidRPr="00F25CE6">
        <w:rPr>
          <w:rFonts w:asciiTheme="majorBidi" w:hAnsiTheme="majorBidi" w:cstheme="majorBidi"/>
        </w:rPr>
        <w:t>moždani udar, privremena epizoda poremećaja neurološke funkcije uzrokovana gubitkom krvi, paraliza živca lica, demencija</w:t>
      </w:r>
    </w:p>
    <w:p w14:paraId="599C828E"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Imunološki sustav</w:t>
      </w:r>
      <w:r w:rsidRPr="00F25CE6">
        <w:rPr>
          <w:rFonts w:asciiTheme="majorBidi" w:hAnsiTheme="majorBidi" w:cstheme="majorBidi"/>
        </w:rPr>
        <w:t>: teška alergijska reakcija</w:t>
      </w:r>
    </w:p>
    <w:p w14:paraId="644972BA"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b/>
        </w:rPr>
        <w:t>Mišićno-koštani sustav i vezivno tkivo</w:t>
      </w:r>
      <w:r w:rsidRPr="00F25CE6">
        <w:rPr>
          <w:rFonts w:asciiTheme="majorBidi" w:hAnsiTheme="majorBidi" w:cstheme="majorBidi"/>
        </w:rPr>
        <w:t>: zakašnjelo srastanje zaobljenih dijelova koji tvore zglobove (epifize); sporiji rast ili zastoj u rastu</w:t>
      </w:r>
    </w:p>
    <w:p w14:paraId="70C32E0C" w14:textId="77777777" w:rsidR="00AF7ABC" w:rsidRPr="00F25CE6" w:rsidRDefault="00AF7ABC" w:rsidP="00F25CE6">
      <w:pPr>
        <w:pStyle w:val="BodyText"/>
        <w:widowControl/>
        <w:rPr>
          <w:rFonts w:asciiTheme="majorBidi" w:hAnsiTheme="majorBidi" w:cstheme="majorBidi"/>
          <w:szCs w:val="22"/>
        </w:rPr>
      </w:pPr>
    </w:p>
    <w:p w14:paraId="0ACA7275" w14:textId="77777777" w:rsidR="00AF7ABC" w:rsidRPr="00F25CE6" w:rsidRDefault="00422138" w:rsidP="00896BC5">
      <w:pPr>
        <w:pStyle w:val="Heading1"/>
        <w:numPr>
          <w:ilvl w:val="0"/>
          <w:numId w:val="0"/>
        </w:numPr>
      </w:pPr>
      <w:r w:rsidRPr="00F25CE6">
        <w:t>Ostale prijavljene nuspojave čija učestalost nije poznata (ne može se procijeniti iz dostupnih podataka) uključuju:</w:t>
      </w:r>
    </w:p>
    <w:p w14:paraId="13959BCB"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lastRenderedPageBreak/>
        <w:t>upalu pluća</w:t>
      </w:r>
    </w:p>
    <w:p w14:paraId="6D867171"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krvarenje u želucu ili crijevima koje može dovesti do smrti</w:t>
      </w:r>
    </w:p>
    <w:p w14:paraId="59BAECD1"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ponovnu pojavu (ponovnu aktivaciju) infekcije virusom hepatitisa B ako ste u prošlosti imali hepatitis B (infekciju jetre)</w:t>
      </w:r>
    </w:p>
    <w:p w14:paraId="731BF600"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reakciju s vrućicom, mjehurićima na koži i ulceracijom sluznica</w:t>
      </w:r>
    </w:p>
    <w:p w14:paraId="12B9434E"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bolesti bubrega sa simptomima koji uključuju edeme i odstupanja u rezultateima laboratorijskih testova kao što su proteini u urinu i niska razina proteina u krvi</w:t>
      </w:r>
    </w:p>
    <w:p w14:paraId="6857D0FD"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oštećenje krvnih žila koje se zove trombotična mikroangiopatija (TMA), uključujući smanjen broj crvenih krvnih stanica, smanjen broj krvnih pločica i stvaranje krvnih ugrušaka</w:t>
      </w:r>
    </w:p>
    <w:p w14:paraId="0BF968F5" w14:textId="77777777" w:rsidR="00AF7ABC" w:rsidRPr="00F25CE6" w:rsidRDefault="00AF7ABC" w:rsidP="00F25CE6">
      <w:pPr>
        <w:pStyle w:val="BodyText"/>
        <w:widowControl/>
        <w:rPr>
          <w:rFonts w:asciiTheme="majorBidi" w:hAnsiTheme="majorBidi" w:cstheme="majorBidi"/>
          <w:szCs w:val="22"/>
        </w:rPr>
      </w:pPr>
    </w:p>
    <w:p w14:paraId="7A3C39D2"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Liječnik će Vas pregledavati tijekom trajanja liječenja na navedene nuspojave.</w:t>
      </w:r>
    </w:p>
    <w:p w14:paraId="73831DAE" w14:textId="77777777" w:rsidR="00AF7ABC" w:rsidRPr="00F25CE6" w:rsidRDefault="00AF7ABC" w:rsidP="00F25CE6">
      <w:pPr>
        <w:pStyle w:val="BodyText"/>
        <w:widowControl/>
        <w:rPr>
          <w:rFonts w:asciiTheme="majorBidi" w:hAnsiTheme="majorBidi" w:cstheme="majorBidi"/>
          <w:szCs w:val="22"/>
        </w:rPr>
      </w:pPr>
    </w:p>
    <w:p w14:paraId="081687BD" w14:textId="77777777" w:rsidR="00AF7ABC" w:rsidRPr="00F25CE6" w:rsidRDefault="00422138" w:rsidP="00896BC5">
      <w:pPr>
        <w:pStyle w:val="Heading1"/>
        <w:numPr>
          <w:ilvl w:val="0"/>
          <w:numId w:val="0"/>
        </w:numPr>
      </w:pPr>
      <w:r w:rsidRPr="00F25CE6">
        <w:t>Prijavljivanje nuspojava</w:t>
      </w:r>
    </w:p>
    <w:p w14:paraId="636203F2" w14:textId="0463FA45" w:rsidR="00AF7ABC" w:rsidRPr="00F25CE6" w:rsidRDefault="00422138" w:rsidP="00F25CE6">
      <w:pPr>
        <w:pStyle w:val="BodyText"/>
        <w:widowControl/>
        <w:rPr>
          <w:rFonts w:asciiTheme="majorBidi" w:hAnsiTheme="majorBidi" w:cstheme="majorBidi"/>
          <w:szCs w:val="22"/>
        </w:rPr>
      </w:pPr>
      <w:r w:rsidRPr="00565D5C">
        <w:rPr>
          <w:rFonts w:asciiTheme="majorBidi" w:hAnsiTheme="majorBidi" w:cstheme="majorBidi"/>
          <w:szCs w:val="22"/>
        </w:rPr>
        <w:t>Ako primijetite bilo koju nuspojavu, potrebno je obavijestiti liječnika ili ljekarnika. To uključuje i</w:t>
      </w:r>
      <w:r w:rsidRPr="00F25CE6">
        <w:rPr>
          <w:rFonts w:asciiTheme="majorBidi" w:hAnsiTheme="majorBidi" w:cstheme="majorBidi"/>
          <w:szCs w:val="22"/>
        </w:rPr>
        <w:t xml:space="preserve"> svaku moguću nuspojavu koja nije navedena u ovoj uputi. Nuspojave možete prijaviti izravno putem nacionalnog sustava za prijavu nuspojava: </w:t>
      </w:r>
      <w:r w:rsidRPr="00F25CE6">
        <w:rPr>
          <w:rFonts w:asciiTheme="majorBidi" w:hAnsiTheme="majorBidi" w:cstheme="majorBidi"/>
          <w:szCs w:val="22"/>
          <w:shd w:val="clear" w:color="auto" w:fill="D3D3D3"/>
        </w:rPr>
        <w:t xml:space="preserve">navedenog u </w:t>
      </w:r>
      <w:hyperlink r:id="rId31" w:history="1">
        <w:r w:rsidRPr="00A20899">
          <w:rPr>
            <w:rStyle w:val="Hyperlink"/>
            <w:rFonts w:asciiTheme="majorBidi" w:hAnsiTheme="majorBidi" w:cstheme="majorBidi"/>
            <w:szCs w:val="22"/>
            <w:shd w:val="clear" w:color="auto" w:fill="D3D3D3"/>
            <w:lang w:eastAsia="hr"/>
          </w:rPr>
          <w:t>Dodatku V</w:t>
        </w:r>
      </w:hyperlink>
      <w:r w:rsidRPr="00F25CE6">
        <w:rPr>
          <w:rFonts w:asciiTheme="majorBidi" w:hAnsiTheme="majorBidi" w:cstheme="majorBidi"/>
          <w:szCs w:val="22"/>
        </w:rPr>
        <w:t>. Prijavljivanjem nuspojava možete pridonijeti u procjeni sigurnosti ovog lijeka.</w:t>
      </w:r>
    </w:p>
    <w:p w14:paraId="423E5426" w14:textId="77777777" w:rsidR="00AF7ABC" w:rsidRPr="00F25CE6" w:rsidRDefault="00AF7ABC" w:rsidP="00F25CE6">
      <w:pPr>
        <w:pStyle w:val="BodyText"/>
        <w:widowControl/>
        <w:rPr>
          <w:rFonts w:asciiTheme="majorBidi" w:hAnsiTheme="majorBidi" w:cstheme="majorBidi"/>
          <w:szCs w:val="22"/>
        </w:rPr>
      </w:pPr>
    </w:p>
    <w:p w14:paraId="6C2F0B98" w14:textId="77777777" w:rsidR="00AF7ABC" w:rsidRPr="00F25CE6" w:rsidRDefault="00AF7ABC" w:rsidP="00F25CE6">
      <w:pPr>
        <w:pStyle w:val="BodyText"/>
        <w:widowControl/>
        <w:rPr>
          <w:rFonts w:asciiTheme="majorBidi" w:hAnsiTheme="majorBidi" w:cstheme="majorBidi"/>
          <w:szCs w:val="22"/>
        </w:rPr>
      </w:pPr>
    </w:p>
    <w:p w14:paraId="63DCC598" w14:textId="1ADD9B9E" w:rsidR="00AF7ABC" w:rsidRPr="00F25CE6" w:rsidRDefault="00422138" w:rsidP="00896BC5">
      <w:pPr>
        <w:pStyle w:val="Heading1"/>
        <w:numPr>
          <w:ilvl w:val="0"/>
          <w:numId w:val="2"/>
        </w:numPr>
        <w:ind w:left="562" w:hanging="562"/>
      </w:pPr>
      <w:r w:rsidRPr="00F25CE6">
        <w:t xml:space="preserve">Kako čuvati </w:t>
      </w:r>
      <w:r w:rsidR="00675B5A">
        <w:t xml:space="preserve">lijek Dasatinib </w:t>
      </w:r>
      <w:r w:rsidR="00911CD7">
        <w:t>Accord Healthcare</w:t>
      </w:r>
    </w:p>
    <w:p w14:paraId="27955055" w14:textId="77777777" w:rsidR="00AF7ABC" w:rsidRPr="00F25CE6" w:rsidRDefault="00AF7ABC" w:rsidP="00F25CE6">
      <w:pPr>
        <w:pStyle w:val="BodyText"/>
        <w:widowControl/>
        <w:rPr>
          <w:rFonts w:asciiTheme="majorBidi" w:hAnsiTheme="majorBidi" w:cstheme="majorBidi"/>
          <w:b/>
          <w:szCs w:val="22"/>
        </w:rPr>
      </w:pPr>
    </w:p>
    <w:p w14:paraId="263786E0"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Lijek čuvajte izvan pogleda i dohvata djece.</w:t>
      </w:r>
    </w:p>
    <w:p w14:paraId="3B3E097B" w14:textId="77777777" w:rsidR="00AF7ABC" w:rsidRPr="00F25CE6" w:rsidRDefault="00AF7ABC" w:rsidP="00F25CE6">
      <w:pPr>
        <w:pStyle w:val="BodyText"/>
        <w:widowControl/>
        <w:rPr>
          <w:rFonts w:asciiTheme="majorBidi" w:hAnsiTheme="majorBidi" w:cstheme="majorBidi"/>
          <w:szCs w:val="22"/>
        </w:rPr>
      </w:pPr>
    </w:p>
    <w:p w14:paraId="55FE7FCF" w14:textId="0C18DD31"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Ovaj lijek se ne smije upotrijebiti nakon isteka roka valjanosti navedenog na blisteru ili kutiji iza oznake </w:t>
      </w:r>
      <w:r w:rsidR="00377620">
        <w:rPr>
          <w:rFonts w:asciiTheme="majorBidi" w:hAnsiTheme="majorBidi" w:cstheme="majorBidi"/>
          <w:szCs w:val="22"/>
        </w:rPr>
        <w:t>„</w:t>
      </w:r>
      <w:r w:rsidRPr="00F25CE6">
        <w:rPr>
          <w:rFonts w:asciiTheme="majorBidi" w:hAnsiTheme="majorBidi" w:cstheme="majorBidi"/>
          <w:szCs w:val="22"/>
        </w:rPr>
        <w:t>EXP</w:t>
      </w:r>
      <w:r w:rsidR="007A24BD">
        <w:rPr>
          <w:rFonts w:asciiTheme="majorBidi" w:hAnsiTheme="majorBidi" w:cstheme="majorBidi"/>
          <w:szCs w:val="22"/>
        </w:rPr>
        <w:t>“</w:t>
      </w:r>
      <w:r w:rsidRPr="00F25CE6">
        <w:rPr>
          <w:rFonts w:asciiTheme="majorBidi" w:hAnsiTheme="majorBidi" w:cstheme="majorBidi"/>
          <w:szCs w:val="22"/>
        </w:rPr>
        <w:t>. Rok valjanosti odnosi se na zadnji dan navedenog mjeseca.</w:t>
      </w:r>
    </w:p>
    <w:p w14:paraId="1F7A1705" w14:textId="77777777" w:rsidR="00AF7ABC" w:rsidRPr="00F25CE6" w:rsidRDefault="00AF7ABC" w:rsidP="00F25CE6">
      <w:pPr>
        <w:pStyle w:val="BodyText"/>
        <w:widowControl/>
        <w:rPr>
          <w:rFonts w:asciiTheme="majorBidi" w:hAnsiTheme="majorBidi" w:cstheme="majorBidi"/>
          <w:szCs w:val="22"/>
        </w:rPr>
      </w:pPr>
    </w:p>
    <w:p w14:paraId="29D1E718" w14:textId="4465159A"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Ovaj lijek ne zahtijeva posebne uvjete čuvanja.</w:t>
      </w:r>
    </w:p>
    <w:p w14:paraId="749B5A1C" w14:textId="77777777" w:rsidR="00AF7ABC" w:rsidRPr="00F25CE6" w:rsidRDefault="00AF7ABC" w:rsidP="00F25CE6">
      <w:pPr>
        <w:pStyle w:val="BodyText"/>
        <w:widowControl/>
        <w:rPr>
          <w:rFonts w:asciiTheme="majorBidi" w:hAnsiTheme="majorBidi" w:cstheme="majorBidi"/>
          <w:szCs w:val="22"/>
        </w:rPr>
      </w:pPr>
    </w:p>
    <w:p w14:paraId="06DCCE9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Nikada nemojte nikakve lijekove bacati u otpadne vode ili kućni otpad. Pitajte svog ljekarnika kako baciti lijekove koje više ne koristite. Ove će mjere pomoći u očuvanju okoliša.</w:t>
      </w:r>
    </w:p>
    <w:p w14:paraId="5FED8E2E" w14:textId="77777777" w:rsidR="00AF7ABC" w:rsidRDefault="00AF7ABC" w:rsidP="00F25CE6">
      <w:pPr>
        <w:pStyle w:val="BodyText"/>
        <w:widowControl/>
        <w:rPr>
          <w:rFonts w:asciiTheme="majorBidi" w:hAnsiTheme="majorBidi" w:cstheme="majorBidi"/>
          <w:szCs w:val="22"/>
        </w:rPr>
      </w:pPr>
    </w:p>
    <w:p w14:paraId="696F2052" w14:textId="77777777" w:rsidR="00565D5C" w:rsidRPr="00F25CE6" w:rsidRDefault="00565D5C" w:rsidP="00F25CE6">
      <w:pPr>
        <w:pStyle w:val="BodyText"/>
        <w:widowControl/>
        <w:rPr>
          <w:rFonts w:asciiTheme="majorBidi" w:hAnsiTheme="majorBidi" w:cstheme="majorBidi"/>
          <w:szCs w:val="22"/>
        </w:rPr>
      </w:pPr>
    </w:p>
    <w:p w14:paraId="37745E11" w14:textId="77777777" w:rsidR="00896BC5" w:rsidRDefault="00422138" w:rsidP="00896BC5">
      <w:pPr>
        <w:pStyle w:val="Heading1"/>
        <w:numPr>
          <w:ilvl w:val="0"/>
          <w:numId w:val="2"/>
        </w:numPr>
        <w:ind w:left="562" w:hanging="562"/>
      </w:pPr>
      <w:r w:rsidRPr="00F25CE6">
        <w:t>Sadržaj pakiranja i druge informacije</w:t>
      </w:r>
    </w:p>
    <w:p w14:paraId="06498679" w14:textId="77777777" w:rsidR="00896BC5" w:rsidRDefault="00896BC5" w:rsidP="00896BC5">
      <w:pPr>
        <w:pStyle w:val="Heading1"/>
        <w:numPr>
          <w:ilvl w:val="0"/>
          <w:numId w:val="0"/>
        </w:numPr>
      </w:pPr>
    </w:p>
    <w:p w14:paraId="4DB890B2" w14:textId="42A7CA40" w:rsidR="00AF7ABC" w:rsidRPr="00F25CE6" w:rsidRDefault="00422138" w:rsidP="00896BC5">
      <w:pPr>
        <w:pStyle w:val="Heading1"/>
        <w:numPr>
          <w:ilvl w:val="0"/>
          <w:numId w:val="0"/>
        </w:numPr>
      </w:pPr>
      <w:r w:rsidRPr="00F25CE6">
        <w:t xml:space="preserve">Što </w:t>
      </w:r>
      <w:r w:rsidR="00064F60">
        <w:t xml:space="preserve">Dasatinib </w:t>
      </w:r>
      <w:r w:rsidR="00911CD7">
        <w:t>Accord Healthcare</w:t>
      </w:r>
      <w:r w:rsidRPr="00F25CE6">
        <w:t xml:space="preserve"> sadrži</w:t>
      </w:r>
    </w:p>
    <w:p w14:paraId="3C93D41B" w14:textId="2AA7D4DA"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Djelatna tvar je dasatinib. Jedna filmom obložena tableta sadrži 20 mg, 50 mg, 70 mg, 80 mg,</w:t>
      </w:r>
      <w:r w:rsidR="00896BC5">
        <w:rPr>
          <w:rFonts w:asciiTheme="majorBidi" w:hAnsiTheme="majorBidi" w:cstheme="majorBidi"/>
        </w:rPr>
        <w:t xml:space="preserve"> </w:t>
      </w:r>
      <w:r w:rsidRPr="00F25CE6">
        <w:rPr>
          <w:rFonts w:asciiTheme="majorBidi" w:hAnsiTheme="majorBidi" w:cstheme="majorBidi"/>
        </w:rPr>
        <w:t>100</w:t>
      </w:r>
      <w:r w:rsidR="00896BC5">
        <w:rPr>
          <w:rFonts w:asciiTheme="majorBidi" w:hAnsiTheme="majorBidi" w:cstheme="majorBidi"/>
        </w:rPr>
        <w:t> </w:t>
      </w:r>
      <w:r w:rsidRPr="00F25CE6">
        <w:rPr>
          <w:rFonts w:asciiTheme="majorBidi" w:hAnsiTheme="majorBidi" w:cstheme="majorBidi"/>
        </w:rPr>
        <w:t>mg ili 140</w:t>
      </w:r>
      <w:r w:rsidR="006C71F3">
        <w:rPr>
          <w:rFonts w:asciiTheme="majorBidi" w:hAnsiTheme="majorBidi" w:cstheme="majorBidi"/>
        </w:rPr>
        <w:t> </w:t>
      </w:r>
      <w:r w:rsidRPr="00F25CE6">
        <w:rPr>
          <w:rFonts w:asciiTheme="majorBidi" w:hAnsiTheme="majorBidi" w:cstheme="majorBidi"/>
        </w:rPr>
        <w:t>mg dasatiniba</w:t>
      </w:r>
      <w:r w:rsidR="00A20899">
        <w:rPr>
          <w:rFonts w:asciiTheme="majorBidi" w:hAnsiTheme="majorBidi" w:cstheme="majorBidi"/>
        </w:rPr>
        <w:t xml:space="preserve"> (u obliku </w:t>
      </w:r>
      <w:r w:rsidR="00377620">
        <w:rPr>
          <w:rFonts w:asciiTheme="majorBidi" w:hAnsiTheme="majorBidi" w:cstheme="majorBidi"/>
        </w:rPr>
        <w:t>dasatinib</w:t>
      </w:r>
      <w:r w:rsidR="001858B4">
        <w:rPr>
          <w:rFonts w:asciiTheme="majorBidi" w:hAnsiTheme="majorBidi" w:cstheme="majorBidi"/>
        </w:rPr>
        <w:t xml:space="preserve"> </w:t>
      </w:r>
      <w:r w:rsidR="00A20899">
        <w:rPr>
          <w:rFonts w:asciiTheme="majorBidi" w:hAnsiTheme="majorBidi" w:cstheme="majorBidi"/>
        </w:rPr>
        <w:t>hidrata)</w:t>
      </w:r>
      <w:r w:rsidR="00560FFA">
        <w:rPr>
          <w:rFonts w:asciiTheme="majorBidi" w:hAnsiTheme="majorBidi" w:cstheme="majorBidi"/>
        </w:rPr>
        <w:t>.</w:t>
      </w:r>
    </w:p>
    <w:p w14:paraId="0E3CE8AD" w14:textId="77777777" w:rsidR="00AF7ABC" w:rsidRPr="00F25CE6" w:rsidRDefault="00422138" w:rsidP="00896BC5">
      <w:pPr>
        <w:pStyle w:val="ListParagraph"/>
        <w:widowControl/>
        <w:numPr>
          <w:ilvl w:val="0"/>
          <w:numId w:val="9"/>
        </w:numPr>
        <w:tabs>
          <w:tab w:val="left" w:pos="867"/>
          <w:tab w:val="left" w:pos="868"/>
        </w:tabs>
        <w:ind w:left="562" w:hanging="562"/>
        <w:rPr>
          <w:rFonts w:asciiTheme="majorBidi" w:hAnsiTheme="majorBidi" w:cstheme="majorBidi"/>
        </w:rPr>
      </w:pPr>
      <w:r w:rsidRPr="00F25CE6">
        <w:rPr>
          <w:rFonts w:asciiTheme="majorBidi" w:hAnsiTheme="majorBidi" w:cstheme="majorBidi"/>
        </w:rPr>
        <w:t>Drugi sastojci su:</w:t>
      </w:r>
    </w:p>
    <w:p w14:paraId="51B6F8A8" w14:textId="216D2018" w:rsidR="00AF7ABC" w:rsidRPr="00F25CE6" w:rsidRDefault="00422138" w:rsidP="00896BC5">
      <w:pPr>
        <w:pStyle w:val="ListParagraph"/>
        <w:widowControl/>
        <w:numPr>
          <w:ilvl w:val="0"/>
          <w:numId w:val="9"/>
        </w:numPr>
        <w:ind w:left="1124" w:hanging="562"/>
        <w:rPr>
          <w:rFonts w:asciiTheme="majorBidi" w:hAnsiTheme="majorBidi" w:cstheme="majorBidi"/>
        </w:rPr>
      </w:pPr>
      <w:r w:rsidRPr="00F25CE6">
        <w:rPr>
          <w:rFonts w:asciiTheme="majorBidi" w:hAnsiTheme="majorBidi" w:cstheme="majorBidi"/>
          <w:i/>
        </w:rPr>
        <w:t xml:space="preserve">Jezgra tablete: </w:t>
      </w:r>
      <w:r w:rsidRPr="00F25CE6">
        <w:rPr>
          <w:rFonts w:asciiTheme="majorBidi" w:hAnsiTheme="majorBidi" w:cstheme="majorBidi"/>
        </w:rPr>
        <w:t>laktoza hidrat</w:t>
      </w:r>
      <w:r w:rsidR="00E436B6">
        <w:rPr>
          <w:rFonts w:asciiTheme="majorBidi" w:hAnsiTheme="majorBidi" w:cstheme="majorBidi"/>
        </w:rPr>
        <w:t xml:space="preserve">, mikrokristalična celuloza </w:t>
      </w:r>
      <w:r w:rsidR="00287A4D">
        <w:rPr>
          <w:rFonts w:asciiTheme="majorBidi" w:hAnsiTheme="majorBidi" w:cstheme="majorBidi"/>
        </w:rPr>
        <w:t>P</w:t>
      </w:r>
      <w:r w:rsidR="00E436B6">
        <w:rPr>
          <w:rFonts w:asciiTheme="majorBidi" w:hAnsiTheme="majorBidi" w:cstheme="majorBidi"/>
        </w:rPr>
        <w:t xml:space="preserve">H 101 (E460); umrežena karmelozanatrij (E468); hidroksipropilceluloza (E463); mikrokristalična celuloza </w:t>
      </w:r>
      <w:r w:rsidR="00287A4D">
        <w:rPr>
          <w:rFonts w:asciiTheme="majorBidi" w:hAnsiTheme="majorBidi" w:cstheme="majorBidi"/>
        </w:rPr>
        <w:t>P</w:t>
      </w:r>
      <w:r w:rsidR="00E436B6">
        <w:rPr>
          <w:rFonts w:asciiTheme="majorBidi" w:hAnsiTheme="majorBidi" w:cstheme="majorBidi"/>
        </w:rPr>
        <w:t>H 112 (E460); magnezijev stearat (E470).</w:t>
      </w:r>
    </w:p>
    <w:p w14:paraId="736E2DA1" w14:textId="757DAB2D" w:rsidR="00AF7ABC" w:rsidRPr="00F25CE6" w:rsidRDefault="00422138" w:rsidP="00896BC5">
      <w:pPr>
        <w:pStyle w:val="ListParagraph"/>
        <w:widowControl/>
        <w:numPr>
          <w:ilvl w:val="0"/>
          <w:numId w:val="9"/>
        </w:numPr>
        <w:ind w:left="1124" w:hanging="562"/>
        <w:rPr>
          <w:rFonts w:asciiTheme="majorBidi" w:hAnsiTheme="majorBidi" w:cstheme="majorBidi"/>
        </w:rPr>
      </w:pPr>
      <w:r w:rsidRPr="00F25CE6">
        <w:rPr>
          <w:rFonts w:asciiTheme="majorBidi" w:hAnsiTheme="majorBidi" w:cstheme="majorBidi"/>
          <w:i/>
        </w:rPr>
        <w:t xml:space="preserve">Film ovojnica: </w:t>
      </w:r>
      <w:r w:rsidRPr="00F25CE6">
        <w:rPr>
          <w:rFonts w:asciiTheme="majorBidi" w:hAnsiTheme="majorBidi" w:cstheme="majorBidi"/>
        </w:rPr>
        <w:t>hipromeloza</w:t>
      </w:r>
      <w:r w:rsidR="000C5A11">
        <w:rPr>
          <w:rFonts w:asciiTheme="majorBidi" w:hAnsiTheme="majorBidi" w:cstheme="majorBidi"/>
        </w:rPr>
        <w:t xml:space="preserve"> (E464)</w:t>
      </w:r>
      <w:r w:rsidRPr="00F25CE6">
        <w:rPr>
          <w:rFonts w:asciiTheme="majorBidi" w:hAnsiTheme="majorBidi" w:cstheme="majorBidi"/>
        </w:rPr>
        <w:t xml:space="preserve">; titanijev dioksid (E171); </w:t>
      </w:r>
      <w:r w:rsidR="00E436B6">
        <w:rPr>
          <w:rFonts w:asciiTheme="majorBidi" w:hAnsiTheme="majorBidi" w:cstheme="majorBidi"/>
        </w:rPr>
        <w:t>triacetin (E1518).</w:t>
      </w:r>
    </w:p>
    <w:p w14:paraId="64D96934" w14:textId="77777777" w:rsidR="00AF7ABC" w:rsidRPr="00F25CE6" w:rsidRDefault="00AF7ABC" w:rsidP="00F25CE6">
      <w:pPr>
        <w:pStyle w:val="BodyText"/>
        <w:widowControl/>
        <w:rPr>
          <w:rFonts w:asciiTheme="majorBidi" w:hAnsiTheme="majorBidi" w:cstheme="majorBidi"/>
          <w:szCs w:val="22"/>
        </w:rPr>
      </w:pPr>
    </w:p>
    <w:p w14:paraId="03A5E981" w14:textId="711CE710" w:rsidR="00AF7ABC" w:rsidRPr="00F25CE6" w:rsidRDefault="00422138" w:rsidP="00896BC5">
      <w:pPr>
        <w:pStyle w:val="Heading1"/>
        <w:keepNext/>
        <w:numPr>
          <w:ilvl w:val="0"/>
          <w:numId w:val="0"/>
        </w:numPr>
      </w:pPr>
      <w:r w:rsidRPr="00F25CE6">
        <w:t xml:space="preserve">Kako </w:t>
      </w:r>
      <w:r w:rsidR="00064F60">
        <w:t xml:space="preserve">Dasatinib </w:t>
      </w:r>
      <w:r w:rsidR="00911CD7">
        <w:t>Accord Healthcare</w:t>
      </w:r>
      <w:r w:rsidRPr="00F25CE6">
        <w:t xml:space="preserve"> izgleda i sadržaj pakiranja</w:t>
      </w:r>
    </w:p>
    <w:p w14:paraId="2A575DEB" w14:textId="1B9DC7AE" w:rsidR="000C5A11" w:rsidRPr="00BF4663" w:rsidRDefault="000C5A11" w:rsidP="000C5A11">
      <w:pPr>
        <w:pStyle w:val="BodyText"/>
        <w:widowControl/>
        <w:rPr>
          <w:rFonts w:asciiTheme="majorBidi" w:hAnsiTheme="majorBidi" w:cstheme="majorBidi"/>
          <w:szCs w:val="22"/>
        </w:rPr>
      </w:pPr>
      <w:r w:rsidRPr="00612D2B">
        <w:rPr>
          <w:rFonts w:asciiTheme="majorBidi" w:hAnsiTheme="majorBidi" w:cstheme="majorBidi"/>
          <w:szCs w:val="22"/>
        </w:rPr>
        <w:t xml:space="preserve">Dasatinib </w:t>
      </w:r>
      <w:r w:rsidR="00911CD7">
        <w:rPr>
          <w:rFonts w:asciiTheme="majorBidi" w:hAnsiTheme="majorBidi" w:cstheme="majorBidi"/>
          <w:szCs w:val="22"/>
        </w:rPr>
        <w:t>Accord Healthcare</w:t>
      </w:r>
      <w:r w:rsidRPr="00612D2B">
        <w:rPr>
          <w:rFonts w:asciiTheme="majorBidi" w:hAnsiTheme="majorBidi" w:cstheme="majorBidi"/>
          <w:szCs w:val="22"/>
        </w:rPr>
        <w:t xml:space="preserve"> 20 mg</w:t>
      </w:r>
      <w:r>
        <w:rPr>
          <w:rFonts w:asciiTheme="majorBidi" w:hAnsiTheme="majorBidi" w:cstheme="majorBidi"/>
          <w:szCs w:val="22"/>
        </w:rPr>
        <w:t xml:space="preserve">: </w:t>
      </w:r>
      <w:r w:rsidR="00E436B6">
        <w:rPr>
          <w:rFonts w:asciiTheme="majorBidi" w:hAnsiTheme="majorBidi" w:cstheme="majorBidi"/>
          <w:szCs w:val="22"/>
        </w:rPr>
        <w:t>filmom obložena tableta je bijela do gotovo bijela, bikonveksna okrugla filmom obložena table</w:t>
      </w:r>
      <w:r w:rsidR="00377620">
        <w:rPr>
          <w:rFonts w:asciiTheme="majorBidi" w:hAnsiTheme="majorBidi" w:cstheme="majorBidi"/>
          <w:szCs w:val="22"/>
        </w:rPr>
        <w:t>t</w:t>
      </w:r>
      <w:r w:rsidR="00E436B6">
        <w:rPr>
          <w:rFonts w:asciiTheme="majorBidi" w:hAnsiTheme="majorBidi" w:cstheme="majorBidi"/>
          <w:szCs w:val="22"/>
        </w:rPr>
        <w:t>a veličine od oko 5,5 mm, s oznakom „IV1“ utisnutom s jedne strane i bez oznake na drugoj strani.</w:t>
      </w:r>
    </w:p>
    <w:p w14:paraId="38E59458" w14:textId="77777777" w:rsidR="000C5A11" w:rsidRDefault="000C5A11" w:rsidP="000C5A11">
      <w:pPr>
        <w:pStyle w:val="BodyText"/>
        <w:widowControl/>
        <w:rPr>
          <w:rFonts w:asciiTheme="majorBidi" w:hAnsiTheme="majorBidi" w:cstheme="majorBidi"/>
          <w:szCs w:val="22"/>
        </w:rPr>
      </w:pPr>
    </w:p>
    <w:p w14:paraId="773F2284" w14:textId="593CAE80" w:rsidR="00B9520A" w:rsidRDefault="000C5A11" w:rsidP="000C5A11">
      <w:pPr>
        <w:pStyle w:val="BodyText"/>
        <w:widowControl/>
        <w:rPr>
          <w:rFonts w:asciiTheme="majorBidi" w:hAnsiTheme="majorBidi" w:cstheme="majorBidi"/>
          <w:szCs w:val="22"/>
        </w:rPr>
      </w:pPr>
      <w:r w:rsidRPr="00612D2B">
        <w:rPr>
          <w:rFonts w:asciiTheme="majorBidi" w:hAnsiTheme="majorBidi" w:cstheme="majorBidi"/>
          <w:szCs w:val="22"/>
        </w:rPr>
        <w:t xml:space="preserve">Dasatinib </w:t>
      </w:r>
      <w:r w:rsidR="00911CD7">
        <w:rPr>
          <w:rFonts w:asciiTheme="majorBidi" w:hAnsiTheme="majorBidi" w:cstheme="majorBidi"/>
          <w:szCs w:val="22"/>
        </w:rPr>
        <w:t>Accord Healthcare</w:t>
      </w:r>
      <w:r w:rsidRPr="00612D2B">
        <w:rPr>
          <w:rFonts w:asciiTheme="majorBidi" w:hAnsiTheme="majorBidi" w:cstheme="majorBidi"/>
          <w:szCs w:val="22"/>
        </w:rPr>
        <w:t xml:space="preserve"> 50 mg</w:t>
      </w:r>
      <w:r w:rsidR="00AE093C">
        <w:rPr>
          <w:rFonts w:asciiTheme="majorBidi" w:hAnsiTheme="majorBidi" w:cstheme="majorBidi"/>
          <w:szCs w:val="22"/>
        </w:rPr>
        <w:t>:</w:t>
      </w:r>
      <w:r w:rsidR="00B9520A">
        <w:rPr>
          <w:rFonts w:asciiTheme="majorBidi" w:hAnsiTheme="majorBidi" w:cstheme="majorBidi"/>
          <w:szCs w:val="22"/>
        </w:rPr>
        <w:t xml:space="preserve"> </w:t>
      </w:r>
      <w:r w:rsidR="00F562C8">
        <w:rPr>
          <w:rFonts w:asciiTheme="majorBidi" w:hAnsiTheme="majorBidi" w:cstheme="majorBidi"/>
          <w:szCs w:val="22"/>
        </w:rPr>
        <w:t>filmom obložena tableta je bijela do gotovo bijela, bikonveksna ovalna filmom obložena table</w:t>
      </w:r>
      <w:r w:rsidR="00377620">
        <w:rPr>
          <w:rFonts w:asciiTheme="majorBidi" w:hAnsiTheme="majorBidi" w:cstheme="majorBidi"/>
          <w:szCs w:val="22"/>
        </w:rPr>
        <w:t>t</w:t>
      </w:r>
      <w:r w:rsidR="00F562C8">
        <w:rPr>
          <w:rFonts w:asciiTheme="majorBidi" w:hAnsiTheme="majorBidi" w:cstheme="majorBidi"/>
          <w:szCs w:val="22"/>
        </w:rPr>
        <w:t>a veličine od oko 10,70 x 5,70 mm, s oznakom „IV2“ utisnutom s jedne strane i bez oznake na drugoj strani.</w:t>
      </w:r>
    </w:p>
    <w:p w14:paraId="6A5D980F" w14:textId="77777777" w:rsidR="00B9520A" w:rsidRDefault="00B9520A" w:rsidP="000C5A11">
      <w:pPr>
        <w:pStyle w:val="BodyText"/>
        <w:widowControl/>
        <w:rPr>
          <w:rFonts w:asciiTheme="majorBidi" w:hAnsiTheme="majorBidi" w:cstheme="majorBidi"/>
          <w:szCs w:val="22"/>
        </w:rPr>
      </w:pPr>
    </w:p>
    <w:p w14:paraId="52A07F0F" w14:textId="2F5DCD59" w:rsidR="000C5A11" w:rsidRPr="000C5A11" w:rsidRDefault="000C5A11" w:rsidP="000C5A11">
      <w:pPr>
        <w:pStyle w:val="BodyText"/>
        <w:widowControl/>
        <w:rPr>
          <w:rFonts w:asciiTheme="majorBidi" w:hAnsiTheme="majorBidi" w:cstheme="majorBidi"/>
          <w:szCs w:val="22"/>
        </w:rPr>
      </w:pPr>
      <w:r w:rsidRPr="00612D2B">
        <w:rPr>
          <w:rFonts w:asciiTheme="majorBidi" w:hAnsiTheme="majorBidi" w:cstheme="majorBidi"/>
          <w:szCs w:val="22"/>
        </w:rPr>
        <w:t xml:space="preserve">Dasatinib </w:t>
      </w:r>
      <w:r w:rsidR="00911CD7">
        <w:rPr>
          <w:rFonts w:asciiTheme="majorBidi" w:hAnsiTheme="majorBidi" w:cstheme="majorBidi"/>
          <w:szCs w:val="22"/>
        </w:rPr>
        <w:t>Accord Healthcare</w:t>
      </w:r>
      <w:r w:rsidRPr="00612D2B">
        <w:rPr>
          <w:rFonts w:asciiTheme="majorBidi" w:hAnsiTheme="majorBidi" w:cstheme="majorBidi"/>
          <w:szCs w:val="22"/>
        </w:rPr>
        <w:t xml:space="preserve"> 70 mg</w:t>
      </w:r>
      <w:r w:rsidR="00AE093C">
        <w:rPr>
          <w:rFonts w:asciiTheme="majorBidi" w:hAnsiTheme="majorBidi" w:cstheme="majorBidi"/>
          <w:szCs w:val="22"/>
        </w:rPr>
        <w:t>:</w:t>
      </w:r>
      <w:r w:rsidR="00F562C8">
        <w:rPr>
          <w:rFonts w:asciiTheme="majorBidi" w:hAnsiTheme="majorBidi" w:cstheme="majorBidi"/>
          <w:szCs w:val="22"/>
        </w:rPr>
        <w:t xml:space="preserve"> filmom obložena tableta je bijela do gotovo bijela, bikonveksna okrugla filmom obložena table</w:t>
      </w:r>
      <w:r w:rsidR="00377620">
        <w:rPr>
          <w:rFonts w:asciiTheme="majorBidi" w:hAnsiTheme="majorBidi" w:cstheme="majorBidi"/>
          <w:szCs w:val="22"/>
        </w:rPr>
        <w:t>t</w:t>
      </w:r>
      <w:r w:rsidR="00F562C8">
        <w:rPr>
          <w:rFonts w:asciiTheme="majorBidi" w:hAnsiTheme="majorBidi" w:cstheme="majorBidi"/>
          <w:szCs w:val="22"/>
        </w:rPr>
        <w:t>a veličine od oko 8,7 mm, s oznakom „IV3“ utisnutom s jedne strane i bez oznake na drugoj strani.</w:t>
      </w:r>
    </w:p>
    <w:p w14:paraId="72374DD2" w14:textId="77777777" w:rsidR="000C5A11" w:rsidRPr="000C5A11" w:rsidRDefault="000C5A11" w:rsidP="000C5A11">
      <w:pPr>
        <w:pStyle w:val="BodyText"/>
        <w:widowControl/>
        <w:rPr>
          <w:rFonts w:asciiTheme="majorBidi" w:hAnsiTheme="majorBidi" w:cstheme="majorBidi"/>
          <w:szCs w:val="22"/>
        </w:rPr>
      </w:pPr>
    </w:p>
    <w:p w14:paraId="04484F65" w14:textId="784A2975" w:rsidR="000C5A11" w:rsidRPr="000C5A11" w:rsidRDefault="000C5A11" w:rsidP="000C5A11">
      <w:pPr>
        <w:pStyle w:val="BodyText"/>
        <w:widowControl/>
        <w:rPr>
          <w:rFonts w:asciiTheme="majorBidi" w:hAnsiTheme="majorBidi" w:cstheme="majorBidi"/>
          <w:szCs w:val="22"/>
        </w:rPr>
      </w:pPr>
      <w:r w:rsidRPr="00612D2B">
        <w:rPr>
          <w:rFonts w:asciiTheme="majorBidi" w:hAnsiTheme="majorBidi" w:cstheme="majorBidi"/>
          <w:szCs w:val="22"/>
        </w:rPr>
        <w:lastRenderedPageBreak/>
        <w:t xml:space="preserve">Dasatinib </w:t>
      </w:r>
      <w:r w:rsidR="00911CD7">
        <w:rPr>
          <w:rFonts w:asciiTheme="majorBidi" w:hAnsiTheme="majorBidi" w:cstheme="majorBidi"/>
          <w:szCs w:val="22"/>
        </w:rPr>
        <w:t>Accord Healthcare</w:t>
      </w:r>
      <w:r w:rsidRPr="00612D2B">
        <w:rPr>
          <w:rFonts w:asciiTheme="majorBidi" w:hAnsiTheme="majorBidi" w:cstheme="majorBidi"/>
          <w:szCs w:val="22"/>
        </w:rPr>
        <w:t xml:space="preserve"> 80 mg</w:t>
      </w:r>
      <w:r w:rsidR="00AE093C">
        <w:rPr>
          <w:rFonts w:asciiTheme="majorBidi" w:hAnsiTheme="majorBidi" w:cstheme="majorBidi"/>
          <w:szCs w:val="22"/>
        </w:rPr>
        <w:t>:</w:t>
      </w:r>
      <w:r w:rsidR="00B9520A">
        <w:rPr>
          <w:rFonts w:asciiTheme="majorBidi" w:hAnsiTheme="majorBidi" w:cstheme="majorBidi"/>
          <w:szCs w:val="22"/>
        </w:rPr>
        <w:t xml:space="preserve"> </w:t>
      </w:r>
      <w:r w:rsidR="00F562C8">
        <w:rPr>
          <w:rFonts w:asciiTheme="majorBidi" w:hAnsiTheme="majorBidi" w:cstheme="majorBidi"/>
          <w:szCs w:val="22"/>
        </w:rPr>
        <w:t>filmom obložena tableta je bijela do gotovo bijela, bikonveksna trokutasta filmom obložena table</w:t>
      </w:r>
      <w:r w:rsidR="00377620">
        <w:rPr>
          <w:rFonts w:asciiTheme="majorBidi" w:hAnsiTheme="majorBidi" w:cstheme="majorBidi"/>
          <w:szCs w:val="22"/>
        </w:rPr>
        <w:t>t</w:t>
      </w:r>
      <w:r w:rsidR="00F562C8">
        <w:rPr>
          <w:rFonts w:asciiTheme="majorBidi" w:hAnsiTheme="majorBidi" w:cstheme="majorBidi"/>
          <w:szCs w:val="22"/>
        </w:rPr>
        <w:t>a veličine od oko 10,20 x 9,95 mm, s oznakom „IV4“ utisnutom s jedne strane i bez oznake na drugoj strani.</w:t>
      </w:r>
    </w:p>
    <w:p w14:paraId="651A887E" w14:textId="77777777" w:rsidR="000C5A11" w:rsidRPr="000C5A11" w:rsidRDefault="000C5A11" w:rsidP="000C5A11">
      <w:pPr>
        <w:pStyle w:val="BodyText"/>
        <w:widowControl/>
        <w:rPr>
          <w:rFonts w:asciiTheme="majorBidi" w:hAnsiTheme="majorBidi" w:cstheme="majorBidi"/>
          <w:szCs w:val="22"/>
        </w:rPr>
      </w:pPr>
    </w:p>
    <w:p w14:paraId="1C8A459F" w14:textId="04EE66DF" w:rsidR="000C5A11" w:rsidRPr="000C5A11" w:rsidRDefault="000C5A11" w:rsidP="000C5A11">
      <w:pPr>
        <w:pStyle w:val="BodyText"/>
        <w:widowControl/>
        <w:rPr>
          <w:rFonts w:asciiTheme="majorBidi" w:hAnsiTheme="majorBidi" w:cstheme="majorBidi"/>
          <w:szCs w:val="22"/>
        </w:rPr>
      </w:pPr>
      <w:r w:rsidRPr="00612D2B">
        <w:rPr>
          <w:rFonts w:asciiTheme="majorBidi" w:hAnsiTheme="majorBidi" w:cstheme="majorBidi"/>
          <w:szCs w:val="22"/>
        </w:rPr>
        <w:t xml:space="preserve">Dasatinib </w:t>
      </w:r>
      <w:r w:rsidR="00911CD7">
        <w:rPr>
          <w:rFonts w:asciiTheme="majorBidi" w:hAnsiTheme="majorBidi" w:cstheme="majorBidi"/>
          <w:szCs w:val="22"/>
        </w:rPr>
        <w:t>Accord Healthcare</w:t>
      </w:r>
      <w:r w:rsidRPr="00612D2B">
        <w:rPr>
          <w:rFonts w:asciiTheme="majorBidi" w:hAnsiTheme="majorBidi" w:cstheme="majorBidi"/>
          <w:szCs w:val="22"/>
        </w:rPr>
        <w:t xml:space="preserve"> 100 mg</w:t>
      </w:r>
      <w:r w:rsidR="00AE093C">
        <w:rPr>
          <w:rFonts w:asciiTheme="majorBidi" w:hAnsiTheme="majorBidi" w:cstheme="majorBidi"/>
          <w:szCs w:val="22"/>
        </w:rPr>
        <w:t>:</w:t>
      </w:r>
      <w:r w:rsidR="00BF4663">
        <w:rPr>
          <w:rFonts w:asciiTheme="majorBidi" w:hAnsiTheme="majorBidi" w:cstheme="majorBidi"/>
          <w:szCs w:val="22"/>
        </w:rPr>
        <w:t xml:space="preserve"> </w:t>
      </w:r>
      <w:r w:rsidR="00F562C8">
        <w:rPr>
          <w:rFonts w:asciiTheme="majorBidi" w:hAnsiTheme="majorBidi" w:cstheme="majorBidi"/>
          <w:szCs w:val="22"/>
        </w:rPr>
        <w:t>filmom obložena tableta je bijela do gotovo bijela, bikonveksna ovalna filmom obložena table</w:t>
      </w:r>
      <w:r w:rsidR="00377620">
        <w:rPr>
          <w:rFonts w:asciiTheme="majorBidi" w:hAnsiTheme="majorBidi" w:cstheme="majorBidi"/>
          <w:szCs w:val="22"/>
        </w:rPr>
        <w:t>t</w:t>
      </w:r>
      <w:r w:rsidR="00F562C8">
        <w:rPr>
          <w:rFonts w:asciiTheme="majorBidi" w:hAnsiTheme="majorBidi" w:cstheme="majorBidi"/>
          <w:szCs w:val="22"/>
        </w:rPr>
        <w:t>a veličine od oko 14,70 x 7,10 mm, s oznakom „IV5“ utisnutom s jedne strane i bez oznake na drugoj strani.</w:t>
      </w:r>
    </w:p>
    <w:p w14:paraId="7F9DAF9D" w14:textId="77777777" w:rsidR="000C5A11" w:rsidRPr="000C5A11" w:rsidRDefault="000C5A11" w:rsidP="000C5A11">
      <w:pPr>
        <w:pStyle w:val="BodyText"/>
        <w:widowControl/>
        <w:rPr>
          <w:rFonts w:asciiTheme="majorBidi" w:hAnsiTheme="majorBidi" w:cstheme="majorBidi"/>
          <w:szCs w:val="22"/>
        </w:rPr>
      </w:pPr>
    </w:p>
    <w:p w14:paraId="37590415" w14:textId="7AE0E81C" w:rsidR="00BF4663" w:rsidRDefault="000C5A11" w:rsidP="000C5A11">
      <w:pPr>
        <w:pStyle w:val="BodyText"/>
        <w:widowControl/>
        <w:rPr>
          <w:rFonts w:asciiTheme="majorBidi" w:hAnsiTheme="majorBidi" w:cstheme="majorBidi"/>
          <w:szCs w:val="22"/>
        </w:rPr>
      </w:pPr>
      <w:r w:rsidRPr="00612D2B">
        <w:rPr>
          <w:rFonts w:asciiTheme="majorBidi" w:hAnsiTheme="majorBidi" w:cstheme="majorBidi"/>
        </w:rPr>
        <w:t xml:space="preserve">Dasatinib </w:t>
      </w:r>
      <w:r w:rsidR="00911CD7">
        <w:rPr>
          <w:rFonts w:asciiTheme="majorBidi" w:hAnsiTheme="majorBidi" w:cstheme="majorBidi"/>
        </w:rPr>
        <w:t>Accord Healthcare</w:t>
      </w:r>
      <w:r w:rsidRPr="00612D2B">
        <w:rPr>
          <w:rFonts w:asciiTheme="majorBidi" w:hAnsiTheme="majorBidi" w:cstheme="majorBidi"/>
        </w:rPr>
        <w:t xml:space="preserve"> 140 </w:t>
      </w:r>
      <w:r>
        <w:rPr>
          <w:rFonts w:asciiTheme="majorBidi" w:hAnsiTheme="majorBidi" w:cstheme="majorBidi"/>
          <w:szCs w:val="22"/>
        </w:rPr>
        <w:t>mg</w:t>
      </w:r>
      <w:r w:rsidR="00AE093C">
        <w:rPr>
          <w:rFonts w:asciiTheme="majorBidi" w:hAnsiTheme="majorBidi" w:cstheme="majorBidi"/>
          <w:szCs w:val="22"/>
        </w:rPr>
        <w:t>:</w:t>
      </w:r>
      <w:r w:rsidR="00BF4663">
        <w:rPr>
          <w:rFonts w:asciiTheme="majorBidi" w:hAnsiTheme="majorBidi" w:cstheme="majorBidi"/>
          <w:szCs w:val="22"/>
        </w:rPr>
        <w:t xml:space="preserve"> </w:t>
      </w:r>
      <w:r w:rsidR="00F562C8">
        <w:rPr>
          <w:rFonts w:asciiTheme="majorBidi" w:hAnsiTheme="majorBidi" w:cstheme="majorBidi"/>
          <w:szCs w:val="22"/>
        </w:rPr>
        <w:t>filmom obložena tableta je bijela do gotovo bijela, bikonveksna, okrugla filmom obložena table</w:t>
      </w:r>
      <w:r w:rsidR="00377620">
        <w:rPr>
          <w:rFonts w:asciiTheme="majorBidi" w:hAnsiTheme="majorBidi" w:cstheme="majorBidi"/>
          <w:szCs w:val="22"/>
        </w:rPr>
        <w:t>t</w:t>
      </w:r>
      <w:r w:rsidR="00F562C8">
        <w:rPr>
          <w:rFonts w:asciiTheme="majorBidi" w:hAnsiTheme="majorBidi" w:cstheme="majorBidi"/>
          <w:szCs w:val="22"/>
        </w:rPr>
        <w:t>a veličine od oko 10,9 mm, s oznakom „IV6“ utisnutom s jedne strane i bez oznake na drugoj strani.</w:t>
      </w:r>
    </w:p>
    <w:p w14:paraId="3E87D92A" w14:textId="77777777" w:rsidR="00E45581" w:rsidRDefault="00E45581" w:rsidP="00F25CE6">
      <w:pPr>
        <w:pStyle w:val="BodyText"/>
        <w:widowControl/>
        <w:rPr>
          <w:rFonts w:asciiTheme="majorBidi" w:hAnsiTheme="majorBidi" w:cstheme="majorBidi"/>
          <w:szCs w:val="22"/>
        </w:rPr>
      </w:pPr>
    </w:p>
    <w:p w14:paraId="087DECFB" w14:textId="34CC0A6A" w:rsidR="00442CE2" w:rsidRDefault="00442CE2" w:rsidP="00442CE2">
      <w:pPr>
        <w:pStyle w:val="BodyText"/>
        <w:widowControl/>
        <w:rPr>
          <w:rFonts w:asciiTheme="majorBidi" w:hAnsiTheme="majorBidi" w:cstheme="majorBidi"/>
          <w:szCs w:val="22"/>
        </w:rPr>
      </w:pPr>
      <w:r>
        <w:rPr>
          <w:rFonts w:asciiTheme="majorBidi" w:hAnsiTheme="majorBidi" w:cstheme="majorBidi"/>
          <w:szCs w:val="22"/>
        </w:rPr>
        <w:t xml:space="preserve">Dasatanib Accord Healthcare 20 mg i 50 mg filmom obložene tablete dostupne su u kutijama koje sadrže </w:t>
      </w:r>
      <w:r w:rsidR="00646A82">
        <w:rPr>
          <w:rFonts w:asciiTheme="majorBidi" w:hAnsiTheme="majorBidi" w:cstheme="majorBidi"/>
          <w:szCs w:val="22"/>
        </w:rPr>
        <w:t xml:space="preserve">56 ili 60 filmom obloženih tableta u blisterima i u kutijama koje sadrže </w:t>
      </w:r>
      <w:r w:rsidR="007B1242">
        <w:rPr>
          <w:rFonts w:asciiTheme="majorBidi" w:hAnsiTheme="majorBidi" w:cstheme="majorBidi"/>
          <w:szCs w:val="22"/>
        </w:rPr>
        <w:t xml:space="preserve">10 x 1, </w:t>
      </w:r>
      <w:r w:rsidR="00646A82">
        <w:rPr>
          <w:rFonts w:asciiTheme="majorBidi" w:hAnsiTheme="majorBidi" w:cstheme="majorBidi"/>
          <w:szCs w:val="22"/>
        </w:rPr>
        <w:t xml:space="preserve">56 x 1 ili 60 x 1 filmom obloženu tabletu u perforiranim blisterima </w:t>
      </w:r>
      <w:r w:rsidR="001858B4">
        <w:rPr>
          <w:rFonts w:asciiTheme="majorBidi" w:hAnsiTheme="majorBidi" w:cstheme="majorBidi"/>
          <w:szCs w:val="22"/>
        </w:rPr>
        <w:t>s</w:t>
      </w:r>
      <w:r w:rsidR="00646A82">
        <w:rPr>
          <w:rFonts w:asciiTheme="majorBidi" w:hAnsiTheme="majorBidi" w:cstheme="majorBidi"/>
          <w:szCs w:val="22"/>
        </w:rPr>
        <w:t xml:space="preserve"> jediničn</w:t>
      </w:r>
      <w:r w:rsidR="001858B4">
        <w:rPr>
          <w:rFonts w:asciiTheme="majorBidi" w:hAnsiTheme="majorBidi" w:cstheme="majorBidi"/>
          <w:szCs w:val="22"/>
        </w:rPr>
        <w:t>im</w:t>
      </w:r>
      <w:r w:rsidR="00646A82">
        <w:rPr>
          <w:rFonts w:asciiTheme="majorBidi" w:hAnsiTheme="majorBidi" w:cstheme="majorBidi"/>
          <w:szCs w:val="22"/>
        </w:rPr>
        <w:t xml:space="preserve"> doz</w:t>
      </w:r>
      <w:r w:rsidR="001858B4">
        <w:rPr>
          <w:rFonts w:asciiTheme="majorBidi" w:hAnsiTheme="majorBidi" w:cstheme="majorBidi"/>
          <w:szCs w:val="22"/>
        </w:rPr>
        <w:t>ama</w:t>
      </w:r>
      <w:r w:rsidR="00646A82">
        <w:rPr>
          <w:rFonts w:asciiTheme="majorBidi" w:hAnsiTheme="majorBidi" w:cstheme="majorBidi"/>
          <w:szCs w:val="22"/>
        </w:rPr>
        <w:t>.</w:t>
      </w:r>
    </w:p>
    <w:p w14:paraId="5679141E" w14:textId="77777777" w:rsidR="00646A82" w:rsidRDefault="00646A82" w:rsidP="00442CE2">
      <w:pPr>
        <w:pStyle w:val="BodyText"/>
        <w:widowControl/>
        <w:rPr>
          <w:rFonts w:asciiTheme="majorBidi" w:hAnsiTheme="majorBidi" w:cstheme="majorBidi"/>
          <w:szCs w:val="22"/>
        </w:rPr>
      </w:pPr>
    </w:p>
    <w:p w14:paraId="12A63697" w14:textId="5A4C6426" w:rsidR="00442CE2" w:rsidRDefault="00646A82" w:rsidP="00F25CE6">
      <w:pPr>
        <w:pStyle w:val="BodyText"/>
        <w:widowControl/>
        <w:rPr>
          <w:rFonts w:asciiTheme="majorBidi" w:hAnsiTheme="majorBidi" w:cstheme="majorBidi"/>
          <w:szCs w:val="22"/>
        </w:rPr>
      </w:pPr>
      <w:r>
        <w:rPr>
          <w:rFonts w:asciiTheme="majorBidi" w:hAnsiTheme="majorBidi" w:cstheme="majorBidi"/>
          <w:szCs w:val="22"/>
        </w:rPr>
        <w:t xml:space="preserve">Dasatanib Accord Healthcare 70 mg filmom obložene tablete dostupne su u kutijama koje </w:t>
      </w:r>
      <w:r w:rsidR="00030B1F">
        <w:rPr>
          <w:rFonts w:asciiTheme="majorBidi" w:hAnsiTheme="majorBidi" w:cstheme="majorBidi"/>
          <w:szCs w:val="22"/>
        </w:rPr>
        <w:t xml:space="preserve">sadrže </w:t>
      </w:r>
      <w:r>
        <w:rPr>
          <w:rFonts w:asciiTheme="majorBidi" w:hAnsiTheme="majorBidi" w:cstheme="majorBidi"/>
          <w:szCs w:val="22"/>
        </w:rPr>
        <w:t xml:space="preserve">56 ili 60 filmom obloženih tableta u blisterima i u kutijama koje sadrže </w:t>
      </w:r>
      <w:r w:rsidR="007B1242">
        <w:rPr>
          <w:rFonts w:asciiTheme="majorBidi" w:hAnsiTheme="majorBidi" w:cstheme="majorBidi"/>
          <w:szCs w:val="22"/>
        </w:rPr>
        <w:t xml:space="preserve">10 x 1, </w:t>
      </w:r>
      <w:r>
        <w:rPr>
          <w:rFonts w:asciiTheme="majorBidi" w:hAnsiTheme="majorBidi" w:cstheme="majorBidi"/>
          <w:szCs w:val="22"/>
        </w:rPr>
        <w:t xml:space="preserve">56 x 1 ili 60 x 1 filmom obloženu tabletu u perforiranim blisterima </w:t>
      </w:r>
      <w:r w:rsidR="001858B4">
        <w:rPr>
          <w:rFonts w:asciiTheme="majorBidi" w:hAnsiTheme="majorBidi" w:cstheme="majorBidi"/>
          <w:szCs w:val="22"/>
        </w:rPr>
        <w:t>s</w:t>
      </w:r>
      <w:r>
        <w:rPr>
          <w:rFonts w:asciiTheme="majorBidi" w:hAnsiTheme="majorBidi" w:cstheme="majorBidi"/>
          <w:szCs w:val="22"/>
        </w:rPr>
        <w:t xml:space="preserve"> jediničn</w:t>
      </w:r>
      <w:r w:rsidR="001858B4">
        <w:rPr>
          <w:rFonts w:asciiTheme="majorBidi" w:hAnsiTheme="majorBidi" w:cstheme="majorBidi"/>
          <w:szCs w:val="22"/>
        </w:rPr>
        <w:t>im</w:t>
      </w:r>
      <w:r>
        <w:rPr>
          <w:rFonts w:asciiTheme="majorBidi" w:hAnsiTheme="majorBidi" w:cstheme="majorBidi"/>
          <w:szCs w:val="22"/>
        </w:rPr>
        <w:t xml:space="preserve"> doz</w:t>
      </w:r>
      <w:r w:rsidR="001858B4">
        <w:rPr>
          <w:rFonts w:asciiTheme="majorBidi" w:hAnsiTheme="majorBidi" w:cstheme="majorBidi"/>
          <w:szCs w:val="22"/>
        </w:rPr>
        <w:t>ama</w:t>
      </w:r>
      <w:r>
        <w:rPr>
          <w:rFonts w:asciiTheme="majorBidi" w:hAnsiTheme="majorBidi" w:cstheme="majorBidi"/>
          <w:szCs w:val="22"/>
        </w:rPr>
        <w:t>.</w:t>
      </w:r>
    </w:p>
    <w:p w14:paraId="41959F1F" w14:textId="77777777" w:rsidR="00646A82" w:rsidRDefault="00646A82" w:rsidP="00F25CE6">
      <w:pPr>
        <w:pStyle w:val="BodyText"/>
        <w:widowControl/>
        <w:rPr>
          <w:rFonts w:asciiTheme="majorBidi" w:hAnsiTheme="majorBidi" w:cstheme="majorBidi"/>
          <w:szCs w:val="22"/>
        </w:rPr>
      </w:pPr>
    </w:p>
    <w:p w14:paraId="04BBDBD9" w14:textId="4A4CDA27" w:rsidR="00646A82" w:rsidDel="00B11DAD" w:rsidRDefault="00646A82">
      <w:pPr>
        <w:pStyle w:val="BodyText"/>
        <w:widowControl/>
        <w:rPr>
          <w:rFonts w:asciiTheme="majorBidi" w:hAnsiTheme="majorBidi" w:cstheme="majorBidi"/>
          <w:szCs w:val="22"/>
        </w:rPr>
      </w:pPr>
      <w:r>
        <w:rPr>
          <w:rFonts w:asciiTheme="majorBidi" w:hAnsiTheme="majorBidi" w:cstheme="majorBidi"/>
          <w:szCs w:val="22"/>
        </w:rPr>
        <w:t xml:space="preserve">Dasatanib Accord Healthcare 80 mg i 140 mg filmom obložene tablete dostupne su u kutijama koje sadrže </w:t>
      </w:r>
      <w:r w:rsidR="00030B1F">
        <w:rPr>
          <w:rFonts w:asciiTheme="majorBidi" w:hAnsiTheme="majorBidi" w:cstheme="majorBidi"/>
          <w:szCs w:val="22"/>
        </w:rPr>
        <w:t>30</w:t>
      </w:r>
      <w:r>
        <w:rPr>
          <w:rFonts w:asciiTheme="majorBidi" w:hAnsiTheme="majorBidi" w:cstheme="majorBidi"/>
          <w:szCs w:val="22"/>
        </w:rPr>
        <w:t xml:space="preserve"> ili </w:t>
      </w:r>
      <w:r w:rsidR="00030B1F">
        <w:rPr>
          <w:rFonts w:asciiTheme="majorBidi" w:hAnsiTheme="majorBidi" w:cstheme="majorBidi"/>
          <w:szCs w:val="22"/>
        </w:rPr>
        <w:t>56</w:t>
      </w:r>
      <w:r>
        <w:rPr>
          <w:rFonts w:asciiTheme="majorBidi" w:hAnsiTheme="majorBidi" w:cstheme="majorBidi"/>
          <w:szCs w:val="22"/>
        </w:rPr>
        <w:t xml:space="preserve"> filmom obloženih tableta u blisterima i u kutijama koje sadrže </w:t>
      </w:r>
      <w:r w:rsidR="007B1242">
        <w:rPr>
          <w:rFonts w:asciiTheme="majorBidi" w:hAnsiTheme="majorBidi" w:cstheme="majorBidi"/>
          <w:szCs w:val="22"/>
        </w:rPr>
        <w:t xml:space="preserve">10 x 1, </w:t>
      </w:r>
      <w:r w:rsidR="00030B1F">
        <w:rPr>
          <w:rFonts w:asciiTheme="majorBidi" w:hAnsiTheme="majorBidi" w:cstheme="majorBidi"/>
          <w:szCs w:val="22"/>
        </w:rPr>
        <w:t>30</w:t>
      </w:r>
      <w:r>
        <w:rPr>
          <w:rFonts w:asciiTheme="majorBidi" w:hAnsiTheme="majorBidi" w:cstheme="majorBidi"/>
          <w:szCs w:val="22"/>
        </w:rPr>
        <w:t xml:space="preserve"> x 1 ili </w:t>
      </w:r>
      <w:r w:rsidR="00030B1F">
        <w:rPr>
          <w:rFonts w:asciiTheme="majorBidi" w:hAnsiTheme="majorBidi" w:cstheme="majorBidi"/>
          <w:szCs w:val="22"/>
        </w:rPr>
        <w:t>56</w:t>
      </w:r>
      <w:r>
        <w:rPr>
          <w:rFonts w:asciiTheme="majorBidi" w:hAnsiTheme="majorBidi" w:cstheme="majorBidi"/>
          <w:szCs w:val="22"/>
        </w:rPr>
        <w:t xml:space="preserve"> x 1 filmom obloženu tabletu u perforiranim blisterima </w:t>
      </w:r>
      <w:r w:rsidR="001858B4">
        <w:rPr>
          <w:rFonts w:asciiTheme="majorBidi" w:hAnsiTheme="majorBidi" w:cstheme="majorBidi"/>
          <w:szCs w:val="22"/>
        </w:rPr>
        <w:t>s</w:t>
      </w:r>
      <w:r>
        <w:rPr>
          <w:rFonts w:asciiTheme="majorBidi" w:hAnsiTheme="majorBidi" w:cstheme="majorBidi"/>
          <w:szCs w:val="22"/>
        </w:rPr>
        <w:t xml:space="preserve"> jediničn</w:t>
      </w:r>
      <w:r w:rsidR="001858B4">
        <w:rPr>
          <w:rFonts w:asciiTheme="majorBidi" w:hAnsiTheme="majorBidi" w:cstheme="majorBidi"/>
          <w:szCs w:val="22"/>
        </w:rPr>
        <w:t>im</w:t>
      </w:r>
      <w:r>
        <w:rPr>
          <w:rFonts w:asciiTheme="majorBidi" w:hAnsiTheme="majorBidi" w:cstheme="majorBidi"/>
          <w:szCs w:val="22"/>
        </w:rPr>
        <w:t xml:space="preserve"> doz</w:t>
      </w:r>
      <w:r w:rsidR="001858B4">
        <w:rPr>
          <w:rFonts w:asciiTheme="majorBidi" w:hAnsiTheme="majorBidi" w:cstheme="majorBidi"/>
          <w:szCs w:val="22"/>
        </w:rPr>
        <w:t>ama</w:t>
      </w:r>
      <w:r>
        <w:rPr>
          <w:rFonts w:asciiTheme="majorBidi" w:hAnsiTheme="majorBidi" w:cstheme="majorBidi"/>
          <w:szCs w:val="22"/>
        </w:rPr>
        <w:t>.</w:t>
      </w:r>
    </w:p>
    <w:p w14:paraId="14292ABB" w14:textId="77777777" w:rsidR="00646A82" w:rsidDel="00B11DAD" w:rsidRDefault="00646A82">
      <w:pPr>
        <w:pStyle w:val="BodyText"/>
        <w:widowControl/>
        <w:rPr>
          <w:rFonts w:asciiTheme="majorBidi" w:hAnsiTheme="majorBidi" w:cstheme="majorBidi"/>
          <w:szCs w:val="22"/>
        </w:rPr>
      </w:pPr>
    </w:p>
    <w:p w14:paraId="432721A1" w14:textId="6F4F21E7" w:rsidR="00646A82" w:rsidDel="00B11DAD" w:rsidRDefault="00646A82" w:rsidP="00646A82">
      <w:pPr>
        <w:pStyle w:val="BodyText"/>
        <w:widowControl/>
        <w:rPr>
          <w:rFonts w:asciiTheme="majorBidi" w:hAnsiTheme="majorBidi" w:cstheme="majorBidi"/>
          <w:szCs w:val="22"/>
        </w:rPr>
      </w:pPr>
      <w:r>
        <w:rPr>
          <w:rFonts w:asciiTheme="majorBidi" w:hAnsiTheme="majorBidi" w:cstheme="majorBidi"/>
          <w:szCs w:val="22"/>
        </w:rPr>
        <w:t xml:space="preserve">Dasatanib Accord Healthcare 100 mg filmom obložene tablete dostupne su u kutijama koje sadrže 30 ili </w:t>
      </w:r>
      <w:r w:rsidR="00030B1F">
        <w:rPr>
          <w:rFonts w:asciiTheme="majorBidi" w:hAnsiTheme="majorBidi" w:cstheme="majorBidi"/>
          <w:szCs w:val="22"/>
        </w:rPr>
        <w:t>56</w:t>
      </w:r>
      <w:r>
        <w:rPr>
          <w:rFonts w:asciiTheme="majorBidi" w:hAnsiTheme="majorBidi" w:cstheme="majorBidi"/>
          <w:szCs w:val="22"/>
        </w:rPr>
        <w:t xml:space="preserve"> filmom obloženih tableta i u kutijama koje sadrže </w:t>
      </w:r>
      <w:r w:rsidR="007B1242">
        <w:rPr>
          <w:rFonts w:asciiTheme="majorBidi" w:hAnsiTheme="majorBidi" w:cstheme="majorBidi"/>
          <w:szCs w:val="22"/>
        </w:rPr>
        <w:t xml:space="preserve">10 x 1, </w:t>
      </w:r>
      <w:r w:rsidR="00030B1F">
        <w:rPr>
          <w:rFonts w:asciiTheme="majorBidi" w:hAnsiTheme="majorBidi" w:cstheme="majorBidi"/>
          <w:szCs w:val="22"/>
        </w:rPr>
        <w:t>30 x 1 ili 56 x 1</w:t>
      </w:r>
      <w:r>
        <w:rPr>
          <w:rFonts w:asciiTheme="majorBidi" w:hAnsiTheme="majorBidi" w:cstheme="majorBidi"/>
          <w:szCs w:val="22"/>
        </w:rPr>
        <w:t xml:space="preserve"> filmom obloženu tabletu u perforiranim blisterima </w:t>
      </w:r>
      <w:r w:rsidR="001858B4">
        <w:rPr>
          <w:rFonts w:asciiTheme="majorBidi" w:hAnsiTheme="majorBidi" w:cstheme="majorBidi"/>
          <w:szCs w:val="22"/>
        </w:rPr>
        <w:t>s</w:t>
      </w:r>
      <w:r>
        <w:rPr>
          <w:rFonts w:asciiTheme="majorBidi" w:hAnsiTheme="majorBidi" w:cstheme="majorBidi"/>
          <w:szCs w:val="22"/>
        </w:rPr>
        <w:t xml:space="preserve"> jediničn</w:t>
      </w:r>
      <w:r w:rsidR="001858B4">
        <w:rPr>
          <w:rFonts w:asciiTheme="majorBidi" w:hAnsiTheme="majorBidi" w:cstheme="majorBidi"/>
          <w:szCs w:val="22"/>
        </w:rPr>
        <w:t>im</w:t>
      </w:r>
      <w:r>
        <w:rPr>
          <w:rFonts w:asciiTheme="majorBidi" w:hAnsiTheme="majorBidi" w:cstheme="majorBidi"/>
          <w:szCs w:val="22"/>
        </w:rPr>
        <w:t xml:space="preserve"> doz</w:t>
      </w:r>
      <w:r w:rsidR="001858B4">
        <w:rPr>
          <w:rFonts w:asciiTheme="majorBidi" w:hAnsiTheme="majorBidi" w:cstheme="majorBidi"/>
          <w:szCs w:val="22"/>
        </w:rPr>
        <w:t>ama</w:t>
      </w:r>
      <w:r>
        <w:rPr>
          <w:rFonts w:asciiTheme="majorBidi" w:hAnsiTheme="majorBidi" w:cstheme="majorBidi"/>
          <w:szCs w:val="22"/>
        </w:rPr>
        <w:t>.</w:t>
      </w:r>
    </w:p>
    <w:p w14:paraId="7166EB4C" w14:textId="77777777" w:rsidR="00646A82" w:rsidRDefault="00646A82">
      <w:pPr>
        <w:pStyle w:val="BodyText"/>
        <w:widowControl/>
        <w:rPr>
          <w:rFonts w:asciiTheme="majorBidi" w:hAnsiTheme="majorBidi" w:cstheme="majorBidi"/>
          <w:szCs w:val="22"/>
        </w:rPr>
      </w:pPr>
    </w:p>
    <w:p w14:paraId="0ACE97C3" w14:textId="77777777"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Na tržištu se ne moraju nalaziti sve veličine pakiranja.</w:t>
      </w:r>
    </w:p>
    <w:p w14:paraId="32A0D0C2" w14:textId="77777777" w:rsidR="00AF7ABC" w:rsidRPr="00F25CE6" w:rsidRDefault="00AF7ABC" w:rsidP="00F25CE6">
      <w:pPr>
        <w:pStyle w:val="BodyText"/>
        <w:widowControl/>
        <w:rPr>
          <w:rFonts w:asciiTheme="majorBidi" w:hAnsiTheme="majorBidi" w:cstheme="majorBidi"/>
          <w:szCs w:val="22"/>
        </w:rPr>
      </w:pPr>
    </w:p>
    <w:p w14:paraId="4E84B7B7" w14:textId="756A4953" w:rsidR="00565D5C" w:rsidRDefault="00422138" w:rsidP="00364B53">
      <w:pPr>
        <w:pStyle w:val="Heading1"/>
        <w:numPr>
          <w:ilvl w:val="0"/>
          <w:numId w:val="0"/>
        </w:numPr>
      </w:pPr>
      <w:r w:rsidRPr="00F25CE6">
        <w:t>Nositelj odobrenja za stavljanje lijeka u promet</w:t>
      </w:r>
    </w:p>
    <w:p w14:paraId="2824414F" w14:textId="77777777" w:rsidR="00E45581" w:rsidRPr="00993D25" w:rsidRDefault="00E45581" w:rsidP="00E45581">
      <w:r w:rsidRPr="00993D25">
        <w:t>Accord Healthcare S.L.U.</w:t>
      </w:r>
    </w:p>
    <w:p w14:paraId="11EA4586" w14:textId="6F66697E" w:rsidR="00E45581" w:rsidRPr="00993D25" w:rsidRDefault="00E45581" w:rsidP="00E45581">
      <w:r w:rsidRPr="00993D25">
        <w:t xml:space="preserve">World Trade Center, Moll </w:t>
      </w:r>
      <w:r>
        <w:t>d</w:t>
      </w:r>
      <w:r w:rsidRPr="00993D25">
        <w:t>e Barcelona</w:t>
      </w:r>
      <w:r>
        <w:t>, s/n</w:t>
      </w:r>
    </w:p>
    <w:p w14:paraId="6379E6A4" w14:textId="46E9EE07" w:rsidR="00E45581" w:rsidRDefault="00E45581" w:rsidP="00E45581">
      <w:r w:rsidRPr="00993D25">
        <w:t>Edifici Est, 6</w:t>
      </w:r>
      <w:r w:rsidRPr="0059414D">
        <w:rPr>
          <w:vertAlign w:val="superscript"/>
        </w:rPr>
        <w:t>a</w:t>
      </w:r>
      <w:r w:rsidRPr="00993D25">
        <w:t xml:space="preserve"> Planta</w:t>
      </w:r>
    </w:p>
    <w:p w14:paraId="56920DEC" w14:textId="175D4D19" w:rsidR="00E45581" w:rsidRDefault="00E45581" w:rsidP="00E45581">
      <w:r w:rsidRPr="00993D25">
        <w:t>08039</w:t>
      </w:r>
      <w:r>
        <w:t xml:space="preserve"> </w:t>
      </w:r>
      <w:r w:rsidRPr="00745EC5">
        <w:t>Barcelona</w:t>
      </w:r>
    </w:p>
    <w:p w14:paraId="3C2D099A" w14:textId="0C9A8BC1" w:rsidR="00E45581" w:rsidRDefault="00E45581" w:rsidP="00E45581">
      <w:r>
        <w:t>Španjolska</w:t>
      </w:r>
    </w:p>
    <w:p w14:paraId="1F88D91B" w14:textId="77777777" w:rsidR="00E45581" w:rsidRPr="00993D25" w:rsidRDefault="00E45581" w:rsidP="00E45581"/>
    <w:p w14:paraId="30A64673" w14:textId="098BF4D5" w:rsidR="00416B4E" w:rsidRPr="00F25CE6" w:rsidRDefault="00422138" w:rsidP="00896BC5">
      <w:pPr>
        <w:pStyle w:val="Heading1"/>
        <w:numPr>
          <w:ilvl w:val="0"/>
          <w:numId w:val="0"/>
        </w:numPr>
      </w:pPr>
      <w:r w:rsidRPr="00F25CE6">
        <w:t>Proizvođač</w:t>
      </w:r>
    </w:p>
    <w:p w14:paraId="0DF23118" w14:textId="716387A7" w:rsidR="00B11DAD" w:rsidRPr="000E635A" w:rsidRDefault="00B11DAD" w:rsidP="00B11DAD">
      <w:pPr>
        <w:spacing w:before="10"/>
        <w:rPr>
          <w:color w:val="000000"/>
          <w:lang w:val="pt-PT"/>
        </w:rPr>
      </w:pPr>
      <w:r w:rsidRPr="000E635A">
        <w:rPr>
          <w:color w:val="000000"/>
          <w:lang w:val="pt-PT"/>
        </w:rPr>
        <w:t>Accord Healthcare Polska Sp. z o.o.</w:t>
      </w:r>
    </w:p>
    <w:p w14:paraId="2EDC1F76" w14:textId="77777777" w:rsidR="00B11DAD" w:rsidRPr="000E635A" w:rsidRDefault="00B11DAD" w:rsidP="00B11DAD">
      <w:pPr>
        <w:spacing w:before="10"/>
        <w:rPr>
          <w:color w:val="000000"/>
          <w:lang w:val="pt-PT"/>
        </w:rPr>
      </w:pPr>
      <w:r w:rsidRPr="000E635A">
        <w:rPr>
          <w:color w:val="000000"/>
          <w:lang w:val="pt-PT"/>
        </w:rPr>
        <w:t>ul. Lutomierska 50</w:t>
      </w:r>
    </w:p>
    <w:p w14:paraId="4DAFC988" w14:textId="77777777" w:rsidR="00B11DAD" w:rsidRPr="000E635A" w:rsidRDefault="00B11DAD" w:rsidP="00B11DAD">
      <w:pPr>
        <w:spacing w:before="10"/>
        <w:rPr>
          <w:color w:val="000000"/>
          <w:lang w:val="pt-PT"/>
        </w:rPr>
      </w:pPr>
      <w:r w:rsidRPr="000E635A">
        <w:rPr>
          <w:color w:val="000000"/>
          <w:lang w:val="pt-PT"/>
        </w:rPr>
        <w:t xml:space="preserve">Pabianice, 95-200 </w:t>
      </w:r>
    </w:p>
    <w:p w14:paraId="6BD3542D" w14:textId="318DF840" w:rsidR="00B11DAD" w:rsidRPr="000E635A" w:rsidRDefault="00B11DAD" w:rsidP="00B11DAD">
      <w:pPr>
        <w:spacing w:before="10"/>
        <w:rPr>
          <w:color w:val="000000"/>
          <w:lang w:val="pt-PT"/>
        </w:rPr>
      </w:pPr>
      <w:r>
        <w:rPr>
          <w:color w:val="000000"/>
          <w:lang w:val="pt-PT"/>
        </w:rPr>
        <w:t>Poljska</w:t>
      </w:r>
      <w:r w:rsidRPr="000E635A">
        <w:rPr>
          <w:color w:val="000000"/>
          <w:lang w:val="pt-PT"/>
        </w:rPr>
        <w:tab/>
      </w:r>
    </w:p>
    <w:p w14:paraId="25512029" w14:textId="77777777" w:rsidR="00B11DAD" w:rsidRPr="000E635A" w:rsidRDefault="00B11DAD" w:rsidP="00B11DAD">
      <w:pPr>
        <w:spacing w:before="10"/>
        <w:rPr>
          <w:color w:val="000000"/>
          <w:lang w:val="pt-PT"/>
        </w:rPr>
      </w:pPr>
    </w:p>
    <w:p w14:paraId="344B8842" w14:textId="77777777" w:rsidR="00B11DAD" w:rsidRPr="000E635A" w:rsidRDefault="00B11DAD" w:rsidP="00B11DAD">
      <w:pPr>
        <w:spacing w:before="10"/>
        <w:rPr>
          <w:color w:val="000000"/>
          <w:lang w:val="pt-PT"/>
        </w:rPr>
      </w:pPr>
      <w:r w:rsidRPr="000E635A">
        <w:rPr>
          <w:color w:val="000000"/>
          <w:lang w:val="pt-PT"/>
        </w:rPr>
        <w:t>Accord Healthcare B.V.</w:t>
      </w:r>
    </w:p>
    <w:p w14:paraId="50B70AC4" w14:textId="77777777" w:rsidR="00B11DAD" w:rsidRPr="000E635A" w:rsidRDefault="00B11DAD" w:rsidP="00B11DAD">
      <w:pPr>
        <w:spacing w:before="10"/>
        <w:rPr>
          <w:color w:val="000000"/>
          <w:lang w:val="pt-PT"/>
        </w:rPr>
      </w:pPr>
      <w:r w:rsidRPr="000E635A">
        <w:rPr>
          <w:color w:val="000000"/>
          <w:lang w:val="pt-PT"/>
        </w:rPr>
        <w:t xml:space="preserve">Winthontlaan 200 </w:t>
      </w:r>
    </w:p>
    <w:p w14:paraId="1924E349" w14:textId="77777777" w:rsidR="00B11DAD" w:rsidRPr="000E635A" w:rsidRDefault="00B11DAD" w:rsidP="00B11DAD">
      <w:pPr>
        <w:spacing w:before="10"/>
        <w:rPr>
          <w:color w:val="000000"/>
          <w:lang w:val="pt-PT"/>
        </w:rPr>
      </w:pPr>
      <w:r w:rsidRPr="000E635A">
        <w:rPr>
          <w:color w:val="000000"/>
          <w:lang w:val="pt-PT"/>
        </w:rPr>
        <w:t xml:space="preserve">Utrecht, 3526 KV </w:t>
      </w:r>
    </w:p>
    <w:p w14:paraId="37303871" w14:textId="522E77CC" w:rsidR="00B11DAD" w:rsidRPr="000E635A" w:rsidRDefault="00B11DAD" w:rsidP="00B11DAD">
      <w:pPr>
        <w:spacing w:before="10"/>
        <w:rPr>
          <w:color w:val="000000"/>
          <w:lang w:val="pt-PT"/>
        </w:rPr>
      </w:pPr>
      <w:r>
        <w:rPr>
          <w:color w:val="000000"/>
          <w:lang w:val="pt-PT"/>
        </w:rPr>
        <w:t>Nizozemska</w:t>
      </w:r>
    </w:p>
    <w:p w14:paraId="4FF2277C" w14:textId="77777777" w:rsidR="00B11DAD" w:rsidRPr="000E635A" w:rsidRDefault="00B11DAD" w:rsidP="00B11DAD">
      <w:pPr>
        <w:spacing w:before="10"/>
        <w:rPr>
          <w:color w:val="000000"/>
          <w:lang w:val="pt-PT"/>
        </w:rPr>
      </w:pPr>
    </w:p>
    <w:p w14:paraId="17E1911F" w14:textId="77777777" w:rsidR="00B11DAD" w:rsidRPr="002C3132" w:rsidRDefault="00B11DAD" w:rsidP="002C3132">
      <w:pPr>
        <w:spacing w:before="10"/>
        <w:rPr>
          <w:color w:val="000000"/>
          <w:szCs w:val="20"/>
          <w:lang w:val="pt-PT"/>
        </w:rPr>
      </w:pPr>
      <w:r w:rsidRPr="000E635A">
        <w:rPr>
          <w:color w:val="000000"/>
          <w:lang w:val="pt-PT"/>
        </w:rPr>
        <w:t>Pharmadox Healthcare</w:t>
      </w:r>
      <w:r w:rsidRPr="002C3132">
        <w:rPr>
          <w:color w:val="000000"/>
          <w:szCs w:val="20"/>
          <w:lang w:val="pt-PT"/>
        </w:rPr>
        <w:t xml:space="preserve"> Limited</w:t>
      </w:r>
      <w:r w:rsidRPr="000E635A">
        <w:rPr>
          <w:color w:val="000000"/>
          <w:lang w:val="pt-PT"/>
        </w:rPr>
        <w:t xml:space="preserve"> </w:t>
      </w:r>
    </w:p>
    <w:p w14:paraId="52CAD7EC" w14:textId="77777777" w:rsidR="00B11DAD" w:rsidRPr="000E635A" w:rsidRDefault="00B11DAD" w:rsidP="00B11DAD">
      <w:pPr>
        <w:spacing w:before="10"/>
        <w:rPr>
          <w:color w:val="000000"/>
          <w:lang w:val="it-IT"/>
        </w:rPr>
      </w:pPr>
      <w:r w:rsidRPr="000E635A">
        <w:rPr>
          <w:color w:val="000000"/>
          <w:lang w:val="it-IT"/>
        </w:rPr>
        <w:t xml:space="preserve">Kw20a Kordin Industrial Park </w:t>
      </w:r>
    </w:p>
    <w:p w14:paraId="4ACA6BF9" w14:textId="77777777" w:rsidR="00B11DAD" w:rsidRPr="000E635A" w:rsidRDefault="00B11DAD" w:rsidP="00B11DAD">
      <w:pPr>
        <w:spacing w:before="10"/>
        <w:rPr>
          <w:color w:val="000000"/>
          <w:lang w:val="it-IT"/>
        </w:rPr>
      </w:pPr>
      <w:r w:rsidRPr="000E635A">
        <w:rPr>
          <w:color w:val="000000"/>
          <w:lang w:val="it-IT"/>
        </w:rPr>
        <w:t>Paola, PLA 3000</w:t>
      </w:r>
    </w:p>
    <w:p w14:paraId="529D173B" w14:textId="77777777" w:rsidR="00B11DAD" w:rsidRPr="000E635A" w:rsidRDefault="00B11DAD" w:rsidP="00B11DAD">
      <w:pPr>
        <w:spacing w:before="10"/>
        <w:rPr>
          <w:color w:val="000000"/>
          <w:lang w:val="it-IT"/>
        </w:rPr>
      </w:pPr>
      <w:r w:rsidRPr="000E635A">
        <w:rPr>
          <w:color w:val="000000"/>
          <w:lang w:val="it-IT"/>
        </w:rPr>
        <w:t>Malta</w:t>
      </w:r>
    </w:p>
    <w:p w14:paraId="05DC518F" w14:textId="77777777" w:rsidR="00646A82" w:rsidRDefault="00646A82">
      <w:pPr>
        <w:pStyle w:val="Heading1"/>
        <w:numPr>
          <w:ilvl w:val="0"/>
          <w:numId w:val="0"/>
        </w:numPr>
        <w:rPr>
          <w:ins w:id="19" w:author="MAH Review_RD" w:date="2026-01-05T11:58:00Z" w16du:dateUtc="2026-01-05T06:28:00Z"/>
          <w:lang w:val="en-GB"/>
        </w:rPr>
      </w:pPr>
    </w:p>
    <w:p w14:paraId="5CED0D0B" w14:textId="2FD6ABE3" w:rsidR="00FA34CB" w:rsidRPr="007D7FDD" w:rsidRDefault="00FA34CB" w:rsidP="00FA34CB">
      <w:pPr>
        <w:spacing w:before="10"/>
        <w:rPr>
          <w:ins w:id="20" w:author="MAH Review_RD" w:date="2026-01-05T11:58:00Z" w16du:dateUtc="2026-01-05T06:28:00Z"/>
          <w:color w:val="000000"/>
          <w:lang w:val="en-IN"/>
        </w:rPr>
      </w:pPr>
      <w:ins w:id="21" w:author="MAH Review_RD" w:date="2026-01-05T11:58:00Z" w16du:dateUtc="2026-01-05T06:28:00Z">
        <w:r w:rsidRPr="007D7FDD">
          <w:rPr>
            <w:color w:val="000000"/>
            <w:lang w:val="en-IN"/>
          </w:rPr>
          <w:t xml:space="preserve">Accord Healthcare </w:t>
        </w:r>
      </w:ins>
      <w:ins w:id="22" w:author="MAH Review_RD" w:date="2026-01-16T14:22:00Z" w16du:dateUtc="2026-01-16T08:52:00Z">
        <w:r w:rsidR="00310EA0">
          <w:rPr>
            <w:color w:val="000000"/>
            <w:lang w:val="en-IN"/>
          </w:rPr>
          <w:t>s</w:t>
        </w:r>
      </w:ins>
      <w:ins w:id="23" w:author="MAH Review_RD" w:date="2026-01-05T11:58:00Z" w16du:dateUtc="2026-01-05T06:28:00Z">
        <w:r w:rsidRPr="007D7FDD">
          <w:rPr>
            <w:color w:val="000000"/>
            <w:lang w:val="en-IN"/>
          </w:rPr>
          <w:t xml:space="preserve">ingle </w:t>
        </w:r>
      </w:ins>
      <w:ins w:id="24" w:author="MAH Review_RD" w:date="2026-01-16T14:22:00Z" w16du:dateUtc="2026-01-16T08:52:00Z">
        <w:r w:rsidR="00310EA0">
          <w:rPr>
            <w:color w:val="000000"/>
            <w:lang w:val="en-IN"/>
          </w:rPr>
          <w:t>m</w:t>
        </w:r>
      </w:ins>
      <w:ins w:id="25" w:author="MAH Review_RD" w:date="2026-01-05T11:58:00Z" w16du:dateUtc="2026-01-05T06:28:00Z">
        <w:r w:rsidRPr="007D7FDD">
          <w:rPr>
            <w:color w:val="000000"/>
            <w:lang w:val="en-IN"/>
          </w:rPr>
          <w:t xml:space="preserve">ember S.A., </w:t>
        </w:r>
      </w:ins>
    </w:p>
    <w:p w14:paraId="0D1A5550" w14:textId="77777777" w:rsidR="00FA34CB" w:rsidRDefault="00FA34CB" w:rsidP="00FA34CB">
      <w:pPr>
        <w:spacing w:before="10"/>
        <w:rPr>
          <w:ins w:id="26" w:author="MAH Review_RD" w:date="2026-01-05T11:58:00Z" w16du:dateUtc="2026-01-05T06:28:00Z"/>
          <w:color w:val="000000"/>
          <w:lang w:val="en-IN"/>
        </w:rPr>
      </w:pPr>
      <w:ins w:id="27" w:author="MAH Review_RD" w:date="2026-01-05T11:58:00Z" w16du:dateUtc="2026-01-05T06:28:00Z">
        <w:r w:rsidRPr="007D7FDD">
          <w:rPr>
            <w:color w:val="000000"/>
            <w:lang w:val="en-IN"/>
          </w:rPr>
          <w:t xml:space="preserve">64th Km National Road Athens, </w:t>
        </w:r>
      </w:ins>
    </w:p>
    <w:p w14:paraId="46478A45" w14:textId="3358D153" w:rsidR="00FA34CB" w:rsidRPr="000E635A" w:rsidRDefault="00FA34CB" w:rsidP="00FA34CB">
      <w:pPr>
        <w:spacing w:before="10"/>
        <w:rPr>
          <w:ins w:id="28" w:author="MAH Review_RD" w:date="2026-01-05T11:58:00Z" w16du:dateUtc="2026-01-05T06:28:00Z"/>
          <w:color w:val="000000"/>
          <w:lang w:val="it-IT"/>
        </w:rPr>
      </w:pPr>
      <w:ins w:id="29" w:author="MAH Review_RD" w:date="2026-01-05T11:58:00Z" w16du:dateUtc="2026-01-05T06:28:00Z">
        <w:r w:rsidRPr="00310EA0">
          <w:rPr>
            <w:color w:val="000000"/>
            <w:lang w:val="pl-PL"/>
          </w:rPr>
          <w:t>Lamia, Schimatari, 32009, Grčka</w:t>
        </w:r>
      </w:ins>
    </w:p>
    <w:p w14:paraId="63ABF029" w14:textId="77777777" w:rsidR="00FA34CB" w:rsidRPr="006C2C2A" w:rsidRDefault="00FA34CB">
      <w:pPr>
        <w:pStyle w:val="Heading1"/>
        <w:numPr>
          <w:ilvl w:val="0"/>
          <w:numId w:val="0"/>
        </w:numPr>
        <w:rPr>
          <w:ins w:id="30" w:author="MAH Review_RD" w:date="2026-01-05T11:58:00Z" w16du:dateUtc="2026-01-05T06:28:00Z"/>
          <w:lang w:val="pl-PL"/>
        </w:rPr>
      </w:pPr>
    </w:p>
    <w:p w14:paraId="115C5D51" w14:textId="77777777" w:rsidR="00FA34CB" w:rsidRPr="006C2C2A" w:rsidRDefault="00FA34CB">
      <w:pPr>
        <w:pStyle w:val="Heading1"/>
        <w:numPr>
          <w:ilvl w:val="0"/>
          <w:numId w:val="0"/>
        </w:numPr>
        <w:rPr>
          <w:lang w:val="pl-PL"/>
        </w:rPr>
      </w:pPr>
    </w:p>
    <w:p w14:paraId="72CADD0C" w14:textId="4696CE2A" w:rsidR="00646A82" w:rsidRPr="002C3132" w:rsidRDefault="00646A82" w:rsidP="002C3132">
      <w:pPr>
        <w:keepNext/>
        <w:ind w:right="-2"/>
      </w:pPr>
      <w:r w:rsidRPr="00442181">
        <w:t>Za sve informacije o ovom lijeku obratite se lokalnom predstavniku nositelja odobrenja za stavljanje lijeka u promet:</w:t>
      </w:r>
    </w:p>
    <w:p w14:paraId="7F8E64B1" w14:textId="77777777" w:rsidR="00646A82" w:rsidRPr="00310EA0" w:rsidRDefault="00646A82" w:rsidP="00646A82">
      <w:pPr>
        <w:pStyle w:val="Default"/>
        <w:rPr>
          <w:bCs/>
          <w:sz w:val="22"/>
          <w:szCs w:val="22"/>
          <w:lang w:val="pl-PL"/>
        </w:rPr>
      </w:pPr>
    </w:p>
    <w:p w14:paraId="7923866D" w14:textId="4DDAC7E9" w:rsidR="00646A82" w:rsidRPr="002C3132" w:rsidDel="00B11DAD" w:rsidRDefault="00646A82" w:rsidP="002C3132">
      <w:pPr>
        <w:pStyle w:val="Default"/>
        <w:rPr>
          <w:lang w:val="en-GB" w:eastAsia="en-IN"/>
        </w:rPr>
      </w:pPr>
      <w:r w:rsidRPr="004E157E">
        <w:rPr>
          <w:bCs/>
          <w:sz w:val="22"/>
          <w:szCs w:val="22"/>
          <w:lang w:val="en-GB"/>
        </w:rPr>
        <w:t>AT / BE / BG / CY / CZ / DE / DK / EE / ES / FI / FR / HR / HU / IE / IS / IT / LT / LV / L</w:t>
      </w:r>
      <w:r w:rsidR="00B71E55">
        <w:rPr>
          <w:bCs/>
          <w:sz w:val="22"/>
          <w:szCs w:val="22"/>
          <w:lang w:val="en-GB"/>
        </w:rPr>
        <w:t>U</w:t>
      </w:r>
      <w:r w:rsidRPr="004E157E">
        <w:rPr>
          <w:bCs/>
          <w:sz w:val="22"/>
          <w:szCs w:val="22"/>
          <w:lang w:val="en-GB"/>
        </w:rPr>
        <w:t xml:space="preserve"> / MT / NL / NO / PL / PT / RO / SE / SI / SK</w:t>
      </w:r>
    </w:p>
    <w:p w14:paraId="14B9D530" w14:textId="77777777" w:rsidR="00646A82" w:rsidRPr="00F304C7" w:rsidDel="00B11DAD" w:rsidRDefault="00646A82">
      <w:pPr>
        <w:pStyle w:val="Heading1"/>
        <w:numPr>
          <w:ilvl w:val="0"/>
          <w:numId w:val="0"/>
        </w:numPr>
        <w:rPr>
          <w:lang w:val="en-GB"/>
        </w:rPr>
      </w:pPr>
    </w:p>
    <w:p w14:paraId="339A40CC" w14:textId="77777777" w:rsidR="00646A82" w:rsidRPr="00EB6C38" w:rsidRDefault="00646A82" w:rsidP="00646A82">
      <w:pPr>
        <w:pStyle w:val="Default"/>
        <w:rPr>
          <w:bCs/>
          <w:sz w:val="22"/>
          <w:szCs w:val="22"/>
          <w:lang w:val="en-GB"/>
        </w:rPr>
      </w:pPr>
      <w:r w:rsidRPr="00EB6C38">
        <w:rPr>
          <w:bCs/>
          <w:sz w:val="22"/>
          <w:szCs w:val="22"/>
          <w:lang w:val="en-GB"/>
        </w:rPr>
        <w:t xml:space="preserve">Accord Healthcare S.L.U. </w:t>
      </w:r>
    </w:p>
    <w:p w14:paraId="3FB4B05F" w14:textId="77777777" w:rsidR="00646A82" w:rsidRPr="00EB6C38" w:rsidRDefault="00646A82" w:rsidP="00646A82">
      <w:pPr>
        <w:pStyle w:val="Default"/>
        <w:rPr>
          <w:bCs/>
          <w:sz w:val="22"/>
          <w:szCs w:val="22"/>
          <w:lang w:val="es-ES"/>
        </w:rPr>
      </w:pPr>
      <w:r w:rsidRPr="00EB6C38">
        <w:rPr>
          <w:bCs/>
          <w:sz w:val="22"/>
          <w:szCs w:val="22"/>
          <w:lang w:val="es-ES"/>
        </w:rPr>
        <w:t xml:space="preserve">Tel: +34 93 301 00 64 </w:t>
      </w:r>
    </w:p>
    <w:p w14:paraId="11DEF352" w14:textId="77777777" w:rsidR="00646A82" w:rsidRPr="00EB6C38" w:rsidRDefault="00646A82" w:rsidP="00646A82">
      <w:pPr>
        <w:pStyle w:val="Default"/>
        <w:rPr>
          <w:sz w:val="22"/>
          <w:szCs w:val="22"/>
          <w:lang w:val="es-ES"/>
        </w:rPr>
      </w:pPr>
    </w:p>
    <w:p w14:paraId="31295D38" w14:textId="77777777" w:rsidR="00646A82" w:rsidRPr="00EB6C38" w:rsidRDefault="00646A82" w:rsidP="00646A82">
      <w:pPr>
        <w:pStyle w:val="Default"/>
        <w:rPr>
          <w:bCs/>
          <w:color w:val="auto"/>
          <w:sz w:val="22"/>
          <w:szCs w:val="22"/>
          <w:lang w:val="es-ES"/>
        </w:rPr>
      </w:pPr>
      <w:r w:rsidRPr="00EB6C38">
        <w:rPr>
          <w:bCs/>
          <w:color w:val="auto"/>
          <w:sz w:val="22"/>
          <w:szCs w:val="22"/>
          <w:lang w:val="es-ES"/>
        </w:rPr>
        <w:t xml:space="preserve">EL </w:t>
      </w:r>
    </w:p>
    <w:p w14:paraId="1AE9EB50" w14:textId="77777777" w:rsidR="00646A82" w:rsidRPr="00EB6C38" w:rsidRDefault="00646A82" w:rsidP="00646A82">
      <w:pPr>
        <w:rPr>
          <w:bCs/>
          <w:lang w:val="el-GR"/>
        </w:rPr>
      </w:pPr>
      <w:r w:rsidRPr="00EB6C38">
        <w:rPr>
          <w:bCs/>
          <w:lang w:val="es-ES"/>
        </w:rPr>
        <w:t xml:space="preserve">Win Medica </w:t>
      </w:r>
      <w:r w:rsidRPr="00EB6C38">
        <w:rPr>
          <w:bCs/>
          <w:lang w:val="el-GR"/>
        </w:rPr>
        <w:t>Α.Ε.</w:t>
      </w:r>
    </w:p>
    <w:p w14:paraId="1943D78A" w14:textId="723CC7E4" w:rsidR="00646A82" w:rsidRPr="002C3132" w:rsidDel="00B11DAD" w:rsidRDefault="00646A82" w:rsidP="002C3132">
      <w:r w:rsidRPr="00EB6C38">
        <w:rPr>
          <w:bCs/>
          <w:lang w:val="el-GR"/>
        </w:rPr>
        <w:t>Τηλ: +30 210 74 88 821</w:t>
      </w:r>
    </w:p>
    <w:p w14:paraId="5B20ED7E" w14:textId="77777777" w:rsidR="00646A82" w:rsidRPr="00310EA0" w:rsidDel="00B11DAD" w:rsidRDefault="00646A82">
      <w:pPr>
        <w:pStyle w:val="Heading1"/>
        <w:numPr>
          <w:ilvl w:val="0"/>
          <w:numId w:val="0"/>
        </w:numPr>
        <w:rPr>
          <w:lang w:val="pl-PL"/>
        </w:rPr>
      </w:pPr>
    </w:p>
    <w:p w14:paraId="51B0D695" w14:textId="77777777" w:rsidR="00AF7ABC" w:rsidRPr="00F25CE6" w:rsidRDefault="00422138" w:rsidP="00433CDE">
      <w:pPr>
        <w:pStyle w:val="Heading1"/>
        <w:numPr>
          <w:ilvl w:val="0"/>
          <w:numId w:val="0"/>
        </w:numPr>
      </w:pPr>
      <w:r w:rsidRPr="00F25CE6">
        <w:t>Ova uputa je zadnji puta revidirana u</w:t>
      </w:r>
    </w:p>
    <w:p w14:paraId="0824F9E9" w14:textId="77777777" w:rsidR="00AF7ABC" w:rsidRPr="00F25CE6" w:rsidRDefault="00AF7ABC" w:rsidP="00F25CE6">
      <w:pPr>
        <w:pStyle w:val="BodyText"/>
        <w:widowControl/>
        <w:rPr>
          <w:rFonts w:asciiTheme="majorBidi" w:hAnsiTheme="majorBidi" w:cstheme="majorBidi"/>
          <w:b/>
          <w:szCs w:val="22"/>
        </w:rPr>
      </w:pPr>
    </w:p>
    <w:p w14:paraId="6EF97EC8" w14:textId="77777777" w:rsidR="00E45581" w:rsidRPr="00612D2B" w:rsidRDefault="00E45581" w:rsidP="00F25CE6">
      <w:pPr>
        <w:pStyle w:val="BodyText"/>
        <w:widowControl/>
        <w:rPr>
          <w:rFonts w:asciiTheme="majorBidi" w:hAnsiTheme="majorBidi" w:cstheme="majorBidi"/>
          <w:b/>
          <w:bCs/>
          <w:szCs w:val="22"/>
        </w:rPr>
      </w:pPr>
      <w:r w:rsidRPr="00612D2B">
        <w:rPr>
          <w:rFonts w:asciiTheme="majorBidi" w:hAnsiTheme="majorBidi" w:cstheme="majorBidi"/>
          <w:b/>
          <w:bCs/>
          <w:szCs w:val="22"/>
        </w:rPr>
        <w:t>Ostali izvori informacija</w:t>
      </w:r>
    </w:p>
    <w:p w14:paraId="0238DA43" w14:textId="2377FA28" w:rsidR="00AF7ABC" w:rsidRPr="00F25CE6" w:rsidRDefault="00422138" w:rsidP="00F25CE6">
      <w:pPr>
        <w:pStyle w:val="BodyText"/>
        <w:widowControl/>
        <w:rPr>
          <w:rFonts w:asciiTheme="majorBidi" w:hAnsiTheme="majorBidi" w:cstheme="majorBidi"/>
          <w:szCs w:val="22"/>
        </w:rPr>
      </w:pPr>
      <w:r w:rsidRPr="00F25CE6">
        <w:rPr>
          <w:rFonts w:asciiTheme="majorBidi" w:hAnsiTheme="majorBidi" w:cstheme="majorBidi"/>
          <w:szCs w:val="22"/>
        </w:rPr>
        <w:t xml:space="preserve">Detaljnije informacije o ovom lijeku dostupne su na internetskoj stranici Europske agencije za </w:t>
      </w:r>
      <w:r w:rsidRPr="00260D55">
        <w:rPr>
          <w:rFonts w:asciiTheme="majorBidi" w:hAnsiTheme="majorBidi" w:cstheme="majorBidi"/>
          <w:szCs w:val="22"/>
        </w:rPr>
        <w:t>lijekove</w:t>
      </w:r>
      <w:r w:rsidRPr="00F25CE6">
        <w:rPr>
          <w:rFonts w:asciiTheme="majorBidi" w:hAnsiTheme="majorBidi" w:cstheme="majorBidi"/>
          <w:szCs w:val="22"/>
        </w:rPr>
        <w:t>:</w:t>
      </w:r>
      <w:r w:rsidR="00E45581">
        <w:rPr>
          <w:rFonts w:asciiTheme="majorBidi" w:hAnsiTheme="majorBidi" w:cstheme="majorBidi"/>
          <w:szCs w:val="22"/>
        </w:rPr>
        <w:t xml:space="preserve"> </w:t>
      </w:r>
      <w:hyperlink r:id="rId32" w:history="1">
        <w:r w:rsidR="00416B4E" w:rsidRPr="00963E3E">
          <w:rPr>
            <w:rStyle w:val="Hyperlink"/>
            <w:rFonts w:asciiTheme="majorBidi" w:hAnsiTheme="majorBidi" w:cstheme="majorBidi"/>
            <w:szCs w:val="22"/>
            <w:lang w:eastAsia="hr"/>
          </w:rPr>
          <w:t>https://www.ema.europa.eu.</w:t>
        </w:r>
      </w:hyperlink>
    </w:p>
    <w:sectPr w:rsidR="00AF7ABC" w:rsidRPr="00F25CE6" w:rsidSect="00767145">
      <w:footerReference w:type="default" r:id="rId33"/>
      <w:type w:val="continuous"/>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84B6" w14:textId="77777777" w:rsidR="00C57242" w:rsidRDefault="00C57242">
      <w:r>
        <w:separator/>
      </w:r>
    </w:p>
  </w:endnote>
  <w:endnote w:type="continuationSeparator" w:id="0">
    <w:p w14:paraId="61C4188A" w14:textId="77777777" w:rsidR="00C57242" w:rsidRDefault="00C57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PSMT">
    <w:altName w:val="Malgun Gothic"/>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E7D7" w14:textId="5088E0C0" w:rsidR="00106F7D" w:rsidRPr="0031614A" w:rsidRDefault="00106F7D" w:rsidP="00F25CE6">
    <w:pPr>
      <w:jc w:val="center"/>
      <w:rPr>
        <w:rFonts w:ascii="Arial" w:hAnsi="Arial" w:cs="Arial"/>
        <w:sz w:val="16"/>
        <w:szCs w:val="16"/>
      </w:rPr>
    </w:pPr>
    <w:r w:rsidRPr="0031614A">
      <w:rPr>
        <w:rFonts w:ascii="Arial" w:hAnsi="Arial" w:cs="Arial"/>
        <w:sz w:val="16"/>
        <w:szCs w:val="16"/>
      </w:rPr>
      <w:fldChar w:fldCharType="begin"/>
    </w:r>
    <w:r w:rsidRPr="0031614A">
      <w:rPr>
        <w:rFonts w:ascii="Arial" w:hAnsi="Arial" w:cs="Arial"/>
        <w:sz w:val="16"/>
        <w:szCs w:val="16"/>
      </w:rPr>
      <w:instrText xml:space="preserve"> PAGE </w:instrText>
    </w:r>
    <w:r w:rsidRPr="0031614A">
      <w:rPr>
        <w:rFonts w:ascii="Arial" w:hAnsi="Arial" w:cs="Arial"/>
        <w:sz w:val="16"/>
        <w:szCs w:val="16"/>
      </w:rPr>
      <w:fldChar w:fldCharType="separate"/>
    </w:r>
    <w:r w:rsidR="00364B53">
      <w:rPr>
        <w:rFonts w:ascii="Arial" w:hAnsi="Arial" w:cs="Arial"/>
        <w:noProof/>
        <w:sz w:val="16"/>
        <w:szCs w:val="16"/>
      </w:rPr>
      <w:t>7</w:t>
    </w:r>
    <w:r w:rsidR="00364B53">
      <w:rPr>
        <w:rFonts w:ascii="Arial" w:hAnsi="Arial" w:cs="Arial"/>
        <w:noProof/>
        <w:sz w:val="16"/>
        <w:szCs w:val="16"/>
      </w:rPr>
      <w:t>1</w:t>
    </w:r>
    <w:r w:rsidRPr="003161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F04D" w14:textId="77777777" w:rsidR="00C57242" w:rsidRDefault="00C57242">
      <w:r>
        <w:separator/>
      </w:r>
    </w:p>
  </w:footnote>
  <w:footnote w:type="continuationSeparator" w:id="0">
    <w:p w14:paraId="1A9774CA" w14:textId="77777777" w:rsidR="00C57242" w:rsidRDefault="00C57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4D2A92"/>
    <w:multiLevelType w:val="hybridMultilevel"/>
    <w:tmpl w:val="B422342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1477F5"/>
    <w:multiLevelType w:val="hybridMultilevel"/>
    <w:tmpl w:val="A8B493D2"/>
    <w:lvl w:ilvl="0" w:tplc="4702957A">
      <w:start w:val="1"/>
      <w:numFmt w:val="decimal"/>
      <w:lvlText w:val="%1."/>
      <w:lvlJc w:val="left"/>
      <w:pPr>
        <w:ind w:left="868" w:hanging="535"/>
      </w:pPr>
      <w:rPr>
        <w:rFonts w:ascii="Times New Roman" w:eastAsia="Times New Roman" w:hAnsi="Times New Roman" w:cs="Times New Roman" w:hint="default"/>
        <w:w w:val="103"/>
        <w:sz w:val="22"/>
        <w:szCs w:val="22"/>
        <w:lang w:val="hr" w:eastAsia="hr" w:bidi="hr"/>
      </w:rPr>
    </w:lvl>
    <w:lvl w:ilvl="1" w:tplc="F56CB49C">
      <w:numFmt w:val="bullet"/>
      <w:lvlText w:val="•"/>
      <w:lvlJc w:val="left"/>
      <w:pPr>
        <w:ind w:left="1846" w:hanging="535"/>
      </w:pPr>
      <w:rPr>
        <w:rFonts w:hint="default"/>
        <w:lang w:val="hr" w:eastAsia="hr" w:bidi="hr"/>
      </w:rPr>
    </w:lvl>
    <w:lvl w:ilvl="2" w:tplc="37B0B83C">
      <w:numFmt w:val="bullet"/>
      <w:lvlText w:val="•"/>
      <w:lvlJc w:val="left"/>
      <w:pPr>
        <w:ind w:left="2832" w:hanging="535"/>
      </w:pPr>
      <w:rPr>
        <w:rFonts w:hint="default"/>
        <w:lang w:val="hr" w:eastAsia="hr" w:bidi="hr"/>
      </w:rPr>
    </w:lvl>
    <w:lvl w:ilvl="3" w:tplc="63C86E0C">
      <w:numFmt w:val="bullet"/>
      <w:lvlText w:val="•"/>
      <w:lvlJc w:val="left"/>
      <w:pPr>
        <w:ind w:left="3818" w:hanging="535"/>
      </w:pPr>
      <w:rPr>
        <w:rFonts w:hint="default"/>
        <w:lang w:val="hr" w:eastAsia="hr" w:bidi="hr"/>
      </w:rPr>
    </w:lvl>
    <w:lvl w:ilvl="4" w:tplc="465A4EE6">
      <w:numFmt w:val="bullet"/>
      <w:lvlText w:val="•"/>
      <w:lvlJc w:val="left"/>
      <w:pPr>
        <w:ind w:left="4804" w:hanging="535"/>
      </w:pPr>
      <w:rPr>
        <w:rFonts w:hint="default"/>
        <w:lang w:val="hr" w:eastAsia="hr" w:bidi="hr"/>
      </w:rPr>
    </w:lvl>
    <w:lvl w:ilvl="5" w:tplc="48E28F38">
      <w:numFmt w:val="bullet"/>
      <w:lvlText w:val="•"/>
      <w:lvlJc w:val="left"/>
      <w:pPr>
        <w:ind w:left="5790" w:hanging="535"/>
      </w:pPr>
      <w:rPr>
        <w:rFonts w:hint="default"/>
        <w:lang w:val="hr" w:eastAsia="hr" w:bidi="hr"/>
      </w:rPr>
    </w:lvl>
    <w:lvl w:ilvl="6" w:tplc="D66210B4">
      <w:numFmt w:val="bullet"/>
      <w:lvlText w:val="•"/>
      <w:lvlJc w:val="left"/>
      <w:pPr>
        <w:ind w:left="6776" w:hanging="535"/>
      </w:pPr>
      <w:rPr>
        <w:rFonts w:hint="default"/>
        <w:lang w:val="hr" w:eastAsia="hr" w:bidi="hr"/>
      </w:rPr>
    </w:lvl>
    <w:lvl w:ilvl="7" w:tplc="14184794">
      <w:numFmt w:val="bullet"/>
      <w:lvlText w:val="•"/>
      <w:lvlJc w:val="left"/>
      <w:pPr>
        <w:ind w:left="7762" w:hanging="535"/>
      </w:pPr>
      <w:rPr>
        <w:rFonts w:hint="default"/>
        <w:lang w:val="hr" w:eastAsia="hr" w:bidi="hr"/>
      </w:rPr>
    </w:lvl>
    <w:lvl w:ilvl="8" w:tplc="66961210">
      <w:numFmt w:val="bullet"/>
      <w:lvlText w:val="•"/>
      <w:lvlJc w:val="left"/>
      <w:pPr>
        <w:ind w:left="8748" w:hanging="535"/>
      </w:pPr>
      <w:rPr>
        <w:rFonts w:hint="default"/>
        <w:lang w:val="hr" w:eastAsia="hr" w:bidi="hr"/>
      </w:rPr>
    </w:lvl>
  </w:abstractNum>
  <w:abstractNum w:abstractNumId="5" w15:restartNumberingAfterBreak="0">
    <w:nsid w:val="083217A3"/>
    <w:multiLevelType w:val="hybridMultilevel"/>
    <w:tmpl w:val="EB468B3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150143"/>
    <w:multiLevelType w:val="hybridMultilevel"/>
    <w:tmpl w:val="2B8C16CE"/>
    <w:lvl w:ilvl="0" w:tplc="268896B6">
      <w:numFmt w:val="bullet"/>
      <w:lvlText w:val=""/>
      <w:lvlJc w:val="left"/>
      <w:pPr>
        <w:ind w:left="672" w:hanging="339"/>
      </w:pPr>
      <w:rPr>
        <w:rFonts w:ascii="Wingdings" w:eastAsia="Wingdings" w:hAnsi="Wingdings" w:cs="Wingdings" w:hint="default"/>
        <w:w w:val="103"/>
        <w:sz w:val="20"/>
        <w:szCs w:val="20"/>
        <w:lang w:val="hr" w:eastAsia="hr" w:bidi="hr"/>
      </w:rPr>
    </w:lvl>
    <w:lvl w:ilvl="1" w:tplc="65689F10">
      <w:numFmt w:val="bullet"/>
      <w:lvlText w:val=""/>
      <w:lvlJc w:val="left"/>
      <w:pPr>
        <w:ind w:left="1400" w:hanging="534"/>
      </w:pPr>
      <w:rPr>
        <w:rFonts w:ascii="Wingdings" w:eastAsia="Wingdings" w:hAnsi="Wingdings" w:cs="Wingdings" w:hint="default"/>
        <w:w w:val="103"/>
        <w:sz w:val="20"/>
        <w:szCs w:val="20"/>
        <w:lang w:val="hr" w:eastAsia="hr" w:bidi="hr"/>
      </w:rPr>
    </w:lvl>
    <w:lvl w:ilvl="2" w:tplc="B546F638">
      <w:numFmt w:val="bullet"/>
      <w:lvlText w:val="•"/>
      <w:lvlJc w:val="left"/>
      <w:pPr>
        <w:ind w:left="2435" w:hanging="534"/>
      </w:pPr>
      <w:rPr>
        <w:rFonts w:hint="default"/>
        <w:lang w:val="hr" w:eastAsia="hr" w:bidi="hr"/>
      </w:rPr>
    </w:lvl>
    <w:lvl w:ilvl="3" w:tplc="653E62F6">
      <w:numFmt w:val="bullet"/>
      <w:lvlText w:val="•"/>
      <w:lvlJc w:val="left"/>
      <w:pPr>
        <w:ind w:left="3471" w:hanging="534"/>
      </w:pPr>
      <w:rPr>
        <w:rFonts w:hint="default"/>
        <w:lang w:val="hr" w:eastAsia="hr" w:bidi="hr"/>
      </w:rPr>
    </w:lvl>
    <w:lvl w:ilvl="4" w:tplc="F3D49802">
      <w:numFmt w:val="bullet"/>
      <w:lvlText w:val="•"/>
      <w:lvlJc w:val="left"/>
      <w:pPr>
        <w:ind w:left="4506" w:hanging="534"/>
      </w:pPr>
      <w:rPr>
        <w:rFonts w:hint="default"/>
        <w:lang w:val="hr" w:eastAsia="hr" w:bidi="hr"/>
      </w:rPr>
    </w:lvl>
    <w:lvl w:ilvl="5" w:tplc="F3BC0890">
      <w:numFmt w:val="bullet"/>
      <w:lvlText w:val="•"/>
      <w:lvlJc w:val="left"/>
      <w:pPr>
        <w:ind w:left="5542" w:hanging="534"/>
      </w:pPr>
      <w:rPr>
        <w:rFonts w:hint="default"/>
        <w:lang w:val="hr" w:eastAsia="hr" w:bidi="hr"/>
      </w:rPr>
    </w:lvl>
    <w:lvl w:ilvl="6" w:tplc="CB2026FC">
      <w:numFmt w:val="bullet"/>
      <w:lvlText w:val="•"/>
      <w:lvlJc w:val="left"/>
      <w:pPr>
        <w:ind w:left="6577" w:hanging="534"/>
      </w:pPr>
      <w:rPr>
        <w:rFonts w:hint="default"/>
        <w:lang w:val="hr" w:eastAsia="hr" w:bidi="hr"/>
      </w:rPr>
    </w:lvl>
    <w:lvl w:ilvl="7" w:tplc="005E5876">
      <w:numFmt w:val="bullet"/>
      <w:lvlText w:val="•"/>
      <w:lvlJc w:val="left"/>
      <w:pPr>
        <w:ind w:left="7613" w:hanging="534"/>
      </w:pPr>
      <w:rPr>
        <w:rFonts w:hint="default"/>
        <w:lang w:val="hr" w:eastAsia="hr" w:bidi="hr"/>
      </w:rPr>
    </w:lvl>
    <w:lvl w:ilvl="8" w:tplc="32487DB8">
      <w:numFmt w:val="bullet"/>
      <w:lvlText w:val="•"/>
      <w:lvlJc w:val="left"/>
      <w:pPr>
        <w:ind w:left="8648" w:hanging="534"/>
      </w:pPr>
      <w:rPr>
        <w:rFonts w:hint="default"/>
        <w:lang w:val="hr" w:eastAsia="hr" w:bidi="hr"/>
      </w:rPr>
    </w:lvl>
  </w:abstractNum>
  <w:abstractNum w:abstractNumId="8" w15:restartNumberingAfterBreak="0">
    <w:nsid w:val="0DD604B0"/>
    <w:multiLevelType w:val="hybridMultilevel"/>
    <w:tmpl w:val="E632B7B6"/>
    <w:lvl w:ilvl="0" w:tplc="64C08C8C">
      <w:start w:val="1"/>
      <w:numFmt w:val="decimal"/>
      <w:lvlText w:val="%1."/>
      <w:lvlJc w:val="left"/>
      <w:pPr>
        <w:ind w:left="72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F3B68"/>
    <w:multiLevelType w:val="hybridMultilevel"/>
    <w:tmpl w:val="9A6A7F6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031796"/>
    <w:multiLevelType w:val="hybridMultilevel"/>
    <w:tmpl w:val="FAA658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EB5CB0"/>
    <w:multiLevelType w:val="hybridMultilevel"/>
    <w:tmpl w:val="521E9C5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7D472A"/>
    <w:multiLevelType w:val="hybridMultilevel"/>
    <w:tmpl w:val="AE8E0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B15D8F"/>
    <w:multiLevelType w:val="hybridMultilevel"/>
    <w:tmpl w:val="FCD8AD50"/>
    <w:lvl w:ilvl="0" w:tplc="FFFFFFFF">
      <w:start w:val="1"/>
      <w:numFmt w:val="upperLetter"/>
      <w:lvlText w:val="%1."/>
      <w:lvlJc w:val="left"/>
      <w:pPr>
        <w:ind w:left="624" w:hanging="534"/>
      </w:pPr>
      <w:rPr>
        <w:rFonts w:ascii="Times New Roman" w:eastAsia="Times New Roman" w:hAnsi="Times New Roman" w:hint="default"/>
        <w:b/>
        <w:bCs/>
        <w:w w:val="103"/>
        <w:sz w:val="20"/>
        <w:szCs w:val="20"/>
      </w:rPr>
    </w:lvl>
    <w:lvl w:ilvl="1" w:tplc="FFFFFFFF">
      <w:start w:val="1"/>
      <w:numFmt w:val="bullet"/>
      <w:lvlText w:val="•"/>
      <w:lvlJc w:val="left"/>
      <w:pPr>
        <w:ind w:left="1481" w:hanging="534"/>
      </w:pPr>
      <w:rPr>
        <w:rFonts w:hint="default"/>
      </w:rPr>
    </w:lvl>
    <w:lvl w:ilvl="2" w:tplc="FFFFFFFF">
      <w:start w:val="1"/>
      <w:numFmt w:val="bullet"/>
      <w:lvlText w:val="•"/>
      <w:lvlJc w:val="left"/>
      <w:pPr>
        <w:ind w:left="2294" w:hanging="534"/>
      </w:pPr>
      <w:rPr>
        <w:rFonts w:hint="default"/>
      </w:rPr>
    </w:lvl>
    <w:lvl w:ilvl="3" w:tplc="FFFFFFFF">
      <w:start w:val="1"/>
      <w:numFmt w:val="bullet"/>
      <w:lvlText w:val="•"/>
      <w:lvlJc w:val="left"/>
      <w:pPr>
        <w:ind w:left="3107" w:hanging="534"/>
      </w:pPr>
      <w:rPr>
        <w:rFonts w:hint="default"/>
      </w:rPr>
    </w:lvl>
    <w:lvl w:ilvl="4" w:tplc="FFFFFFFF">
      <w:start w:val="1"/>
      <w:numFmt w:val="bullet"/>
      <w:lvlText w:val="•"/>
      <w:lvlJc w:val="left"/>
      <w:pPr>
        <w:ind w:left="3920" w:hanging="534"/>
      </w:pPr>
      <w:rPr>
        <w:rFonts w:hint="default"/>
      </w:rPr>
    </w:lvl>
    <w:lvl w:ilvl="5" w:tplc="FFFFFFFF">
      <w:start w:val="1"/>
      <w:numFmt w:val="bullet"/>
      <w:lvlText w:val="•"/>
      <w:lvlJc w:val="left"/>
      <w:pPr>
        <w:ind w:left="4734" w:hanging="534"/>
      </w:pPr>
      <w:rPr>
        <w:rFonts w:hint="default"/>
      </w:rPr>
    </w:lvl>
    <w:lvl w:ilvl="6" w:tplc="FFFFFFFF">
      <w:start w:val="1"/>
      <w:numFmt w:val="bullet"/>
      <w:lvlText w:val="•"/>
      <w:lvlJc w:val="left"/>
      <w:pPr>
        <w:ind w:left="5547" w:hanging="534"/>
      </w:pPr>
      <w:rPr>
        <w:rFonts w:hint="default"/>
      </w:rPr>
    </w:lvl>
    <w:lvl w:ilvl="7" w:tplc="FFFFFFFF">
      <w:start w:val="1"/>
      <w:numFmt w:val="bullet"/>
      <w:lvlText w:val="•"/>
      <w:lvlJc w:val="left"/>
      <w:pPr>
        <w:ind w:left="6360" w:hanging="534"/>
      </w:pPr>
      <w:rPr>
        <w:rFonts w:hint="default"/>
      </w:rPr>
    </w:lvl>
    <w:lvl w:ilvl="8" w:tplc="FFFFFFFF">
      <w:start w:val="1"/>
      <w:numFmt w:val="bullet"/>
      <w:lvlText w:val="•"/>
      <w:lvlJc w:val="left"/>
      <w:pPr>
        <w:ind w:left="7173" w:hanging="534"/>
      </w:pPr>
      <w:rPr>
        <w:rFont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B45CB8"/>
    <w:multiLevelType w:val="hybridMultilevel"/>
    <w:tmpl w:val="DABE4F4A"/>
    <w:lvl w:ilvl="0" w:tplc="4AC4A128">
      <w:start w:val="1"/>
      <w:numFmt w:val="upperLetter"/>
      <w:lvlText w:val="%1."/>
      <w:lvlJc w:val="left"/>
      <w:pPr>
        <w:ind w:left="601" w:hanging="254"/>
      </w:pPr>
      <w:rPr>
        <w:rFonts w:ascii="Times New Roman" w:eastAsia="Times New Roman" w:hAnsi="Times New Roman" w:cs="Times New Roman" w:hint="default"/>
        <w:b/>
        <w:bCs/>
        <w:w w:val="103"/>
        <w:sz w:val="22"/>
        <w:szCs w:val="22"/>
        <w:lang w:val="hr" w:eastAsia="hr" w:bidi="hr"/>
      </w:rPr>
    </w:lvl>
    <w:lvl w:ilvl="1" w:tplc="6E680A84">
      <w:numFmt w:val="bullet"/>
      <w:lvlText w:val="•"/>
      <w:lvlJc w:val="left"/>
      <w:pPr>
        <w:ind w:left="3840" w:hanging="254"/>
      </w:pPr>
      <w:rPr>
        <w:rFonts w:hint="default"/>
        <w:lang w:val="hr" w:eastAsia="hr" w:bidi="hr"/>
      </w:rPr>
    </w:lvl>
    <w:lvl w:ilvl="2" w:tplc="ABA42DA0">
      <w:numFmt w:val="bullet"/>
      <w:lvlText w:val="•"/>
      <w:lvlJc w:val="left"/>
      <w:pPr>
        <w:ind w:left="4604" w:hanging="254"/>
      </w:pPr>
      <w:rPr>
        <w:rFonts w:hint="default"/>
        <w:lang w:val="hr" w:eastAsia="hr" w:bidi="hr"/>
      </w:rPr>
    </w:lvl>
    <w:lvl w:ilvl="3" w:tplc="BBEAA47E">
      <w:numFmt w:val="bullet"/>
      <w:lvlText w:val="•"/>
      <w:lvlJc w:val="left"/>
      <w:pPr>
        <w:ind w:left="5368" w:hanging="254"/>
      </w:pPr>
      <w:rPr>
        <w:rFonts w:hint="default"/>
        <w:lang w:val="hr" w:eastAsia="hr" w:bidi="hr"/>
      </w:rPr>
    </w:lvl>
    <w:lvl w:ilvl="4" w:tplc="EEC6AFE0">
      <w:numFmt w:val="bullet"/>
      <w:lvlText w:val="•"/>
      <w:lvlJc w:val="left"/>
      <w:pPr>
        <w:ind w:left="6133" w:hanging="254"/>
      </w:pPr>
      <w:rPr>
        <w:rFonts w:hint="default"/>
        <w:lang w:val="hr" w:eastAsia="hr" w:bidi="hr"/>
      </w:rPr>
    </w:lvl>
    <w:lvl w:ilvl="5" w:tplc="8F52A92E">
      <w:numFmt w:val="bullet"/>
      <w:lvlText w:val="•"/>
      <w:lvlJc w:val="left"/>
      <w:pPr>
        <w:ind w:left="6897" w:hanging="254"/>
      </w:pPr>
      <w:rPr>
        <w:rFonts w:hint="default"/>
        <w:lang w:val="hr" w:eastAsia="hr" w:bidi="hr"/>
      </w:rPr>
    </w:lvl>
    <w:lvl w:ilvl="6" w:tplc="E068A86C">
      <w:numFmt w:val="bullet"/>
      <w:lvlText w:val="•"/>
      <w:lvlJc w:val="left"/>
      <w:pPr>
        <w:ind w:left="7662" w:hanging="254"/>
      </w:pPr>
      <w:rPr>
        <w:rFonts w:hint="default"/>
        <w:lang w:val="hr" w:eastAsia="hr" w:bidi="hr"/>
      </w:rPr>
    </w:lvl>
    <w:lvl w:ilvl="7" w:tplc="AEF0A9EC">
      <w:numFmt w:val="bullet"/>
      <w:lvlText w:val="•"/>
      <w:lvlJc w:val="left"/>
      <w:pPr>
        <w:ind w:left="8426" w:hanging="254"/>
      </w:pPr>
      <w:rPr>
        <w:rFonts w:hint="default"/>
        <w:lang w:val="hr" w:eastAsia="hr" w:bidi="hr"/>
      </w:rPr>
    </w:lvl>
    <w:lvl w:ilvl="8" w:tplc="395E52C2">
      <w:numFmt w:val="bullet"/>
      <w:lvlText w:val="•"/>
      <w:lvlJc w:val="left"/>
      <w:pPr>
        <w:ind w:left="9191" w:hanging="254"/>
      </w:pPr>
      <w:rPr>
        <w:rFonts w:hint="default"/>
        <w:lang w:val="hr" w:eastAsia="hr" w:bidi="hr"/>
      </w:rPr>
    </w:lvl>
  </w:abstractNum>
  <w:abstractNum w:abstractNumId="16" w15:restartNumberingAfterBreak="0">
    <w:nsid w:val="247271D3"/>
    <w:multiLevelType w:val="hybridMultilevel"/>
    <w:tmpl w:val="AD74AF8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847781C"/>
    <w:multiLevelType w:val="hybridMultilevel"/>
    <w:tmpl w:val="6DD64E28"/>
    <w:lvl w:ilvl="0" w:tplc="BAF2476E">
      <w:start w:val="1"/>
      <w:numFmt w:val="upperLetter"/>
      <w:lvlText w:val="%1."/>
      <w:lvlJc w:val="left"/>
      <w:pPr>
        <w:ind w:left="1933" w:hanging="254"/>
      </w:pPr>
      <w:rPr>
        <w:rFonts w:ascii="Times New Roman" w:eastAsia="Times New Roman" w:hAnsi="Times New Roman" w:cs="Times New Roman" w:hint="default"/>
        <w:b/>
        <w:bCs/>
        <w:w w:val="103"/>
        <w:sz w:val="22"/>
        <w:szCs w:val="22"/>
        <w:lang w:val="hr" w:eastAsia="hr" w:bidi="hr"/>
      </w:rPr>
    </w:lvl>
    <w:lvl w:ilvl="1" w:tplc="06844620">
      <w:numFmt w:val="bullet"/>
      <w:lvlText w:val="•"/>
      <w:lvlJc w:val="left"/>
      <w:pPr>
        <w:ind w:left="2818" w:hanging="254"/>
      </w:pPr>
      <w:rPr>
        <w:rFonts w:hint="default"/>
        <w:lang w:val="hr" w:eastAsia="hr" w:bidi="hr"/>
      </w:rPr>
    </w:lvl>
    <w:lvl w:ilvl="2" w:tplc="C39E34DA">
      <w:numFmt w:val="bullet"/>
      <w:lvlText w:val="•"/>
      <w:lvlJc w:val="left"/>
      <w:pPr>
        <w:ind w:left="3696" w:hanging="254"/>
      </w:pPr>
      <w:rPr>
        <w:rFonts w:hint="default"/>
        <w:lang w:val="hr" w:eastAsia="hr" w:bidi="hr"/>
      </w:rPr>
    </w:lvl>
    <w:lvl w:ilvl="3" w:tplc="01F6AEA4">
      <w:numFmt w:val="bullet"/>
      <w:lvlText w:val="•"/>
      <w:lvlJc w:val="left"/>
      <w:pPr>
        <w:ind w:left="4574" w:hanging="254"/>
      </w:pPr>
      <w:rPr>
        <w:rFonts w:hint="default"/>
        <w:lang w:val="hr" w:eastAsia="hr" w:bidi="hr"/>
      </w:rPr>
    </w:lvl>
    <w:lvl w:ilvl="4" w:tplc="680E5DB2">
      <w:numFmt w:val="bullet"/>
      <w:lvlText w:val="•"/>
      <w:lvlJc w:val="left"/>
      <w:pPr>
        <w:ind w:left="5452" w:hanging="254"/>
      </w:pPr>
      <w:rPr>
        <w:rFonts w:hint="default"/>
        <w:lang w:val="hr" w:eastAsia="hr" w:bidi="hr"/>
      </w:rPr>
    </w:lvl>
    <w:lvl w:ilvl="5" w:tplc="FA52C408">
      <w:numFmt w:val="bullet"/>
      <w:lvlText w:val="•"/>
      <w:lvlJc w:val="left"/>
      <w:pPr>
        <w:ind w:left="6330" w:hanging="254"/>
      </w:pPr>
      <w:rPr>
        <w:rFonts w:hint="default"/>
        <w:lang w:val="hr" w:eastAsia="hr" w:bidi="hr"/>
      </w:rPr>
    </w:lvl>
    <w:lvl w:ilvl="6" w:tplc="12F0EA94">
      <w:numFmt w:val="bullet"/>
      <w:lvlText w:val="•"/>
      <w:lvlJc w:val="left"/>
      <w:pPr>
        <w:ind w:left="7208" w:hanging="254"/>
      </w:pPr>
      <w:rPr>
        <w:rFonts w:hint="default"/>
        <w:lang w:val="hr" w:eastAsia="hr" w:bidi="hr"/>
      </w:rPr>
    </w:lvl>
    <w:lvl w:ilvl="7" w:tplc="DD84B174">
      <w:numFmt w:val="bullet"/>
      <w:lvlText w:val="•"/>
      <w:lvlJc w:val="left"/>
      <w:pPr>
        <w:ind w:left="8086" w:hanging="254"/>
      </w:pPr>
      <w:rPr>
        <w:rFonts w:hint="default"/>
        <w:lang w:val="hr" w:eastAsia="hr" w:bidi="hr"/>
      </w:rPr>
    </w:lvl>
    <w:lvl w:ilvl="8" w:tplc="4CE8F282">
      <w:numFmt w:val="bullet"/>
      <w:lvlText w:val="•"/>
      <w:lvlJc w:val="left"/>
      <w:pPr>
        <w:ind w:left="8964" w:hanging="254"/>
      </w:pPr>
      <w:rPr>
        <w:rFonts w:hint="default"/>
        <w:lang w:val="hr" w:eastAsia="hr" w:bidi="hr"/>
      </w:rPr>
    </w:lvl>
  </w:abstractNum>
  <w:abstractNum w:abstractNumId="18" w15:restartNumberingAfterBreak="0">
    <w:nsid w:val="2E135BD9"/>
    <w:multiLevelType w:val="hybridMultilevel"/>
    <w:tmpl w:val="DAD6C0E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5053B56"/>
    <w:multiLevelType w:val="hybridMultilevel"/>
    <w:tmpl w:val="101A1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A30C37"/>
    <w:multiLevelType w:val="multilevel"/>
    <w:tmpl w:val="C0562698"/>
    <w:lvl w:ilvl="0">
      <w:start w:val="1"/>
      <w:numFmt w:val="decimal"/>
      <w:lvlText w:val="%1."/>
      <w:lvlJc w:val="left"/>
      <w:pPr>
        <w:ind w:left="867" w:hanging="534"/>
      </w:pPr>
      <w:rPr>
        <w:rFonts w:ascii="Times New Roman" w:eastAsia="Times New Roman" w:hAnsi="Times New Roman" w:cs="Times New Roman" w:hint="default"/>
        <w:b/>
        <w:bCs/>
        <w:w w:val="103"/>
        <w:sz w:val="22"/>
        <w:szCs w:val="22"/>
        <w:lang w:val="et" w:eastAsia="et" w:bidi="et"/>
      </w:rPr>
    </w:lvl>
    <w:lvl w:ilvl="1">
      <w:start w:val="1"/>
      <w:numFmt w:val="decimal"/>
      <w:lvlText w:val="%1.%2"/>
      <w:lvlJc w:val="left"/>
      <w:pPr>
        <w:ind w:left="867" w:hanging="534"/>
      </w:pPr>
      <w:rPr>
        <w:rFonts w:hint="default"/>
        <w:b/>
        <w:bCs/>
        <w:w w:val="103"/>
        <w:lang w:val="et" w:eastAsia="et" w:bidi="et"/>
      </w:rPr>
    </w:lvl>
    <w:lvl w:ilvl="2">
      <w:numFmt w:val="bullet"/>
      <w:lvlText w:val="•"/>
      <w:lvlJc w:val="left"/>
      <w:pPr>
        <w:ind w:left="3217" w:hanging="534"/>
      </w:pPr>
      <w:rPr>
        <w:rFonts w:hint="default"/>
        <w:lang w:val="et" w:eastAsia="et" w:bidi="et"/>
      </w:rPr>
    </w:lvl>
    <w:lvl w:ilvl="3">
      <w:numFmt w:val="bullet"/>
      <w:lvlText w:val="•"/>
      <w:lvlJc w:val="left"/>
      <w:pPr>
        <w:ind w:left="4155" w:hanging="534"/>
      </w:pPr>
      <w:rPr>
        <w:rFonts w:hint="default"/>
        <w:lang w:val="et" w:eastAsia="et" w:bidi="et"/>
      </w:rPr>
    </w:lvl>
    <w:lvl w:ilvl="4">
      <w:numFmt w:val="bullet"/>
      <w:lvlText w:val="•"/>
      <w:lvlJc w:val="left"/>
      <w:pPr>
        <w:ind w:left="5093" w:hanging="534"/>
      </w:pPr>
      <w:rPr>
        <w:rFonts w:hint="default"/>
        <w:lang w:val="et" w:eastAsia="et" w:bidi="et"/>
      </w:rPr>
    </w:lvl>
    <w:lvl w:ilvl="5">
      <w:numFmt w:val="bullet"/>
      <w:lvlText w:val="•"/>
      <w:lvlJc w:val="left"/>
      <w:pPr>
        <w:ind w:left="6031" w:hanging="534"/>
      </w:pPr>
      <w:rPr>
        <w:rFonts w:hint="default"/>
        <w:lang w:val="et" w:eastAsia="et" w:bidi="et"/>
      </w:rPr>
    </w:lvl>
    <w:lvl w:ilvl="6">
      <w:numFmt w:val="bullet"/>
      <w:lvlText w:val="•"/>
      <w:lvlJc w:val="left"/>
      <w:pPr>
        <w:ind w:left="6968" w:hanging="534"/>
      </w:pPr>
      <w:rPr>
        <w:rFonts w:hint="default"/>
        <w:lang w:val="et" w:eastAsia="et" w:bidi="et"/>
      </w:rPr>
    </w:lvl>
    <w:lvl w:ilvl="7">
      <w:numFmt w:val="bullet"/>
      <w:lvlText w:val="•"/>
      <w:lvlJc w:val="left"/>
      <w:pPr>
        <w:ind w:left="7906" w:hanging="534"/>
      </w:pPr>
      <w:rPr>
        <w:rFonts w:hint="default"/>
        <w:lang w:val="et" w:eastAsia="et" w:bidi="et"/>
      </w:rPr>
    </w:lvl>
    <w:lvl w:ilvl="8">
      <w:numFmt w:val="bullet"/>
      <w:lvlText w:val="•"/>
      <w:lvlJc w:val="left"/>
      <w:pPr>
        <w:ind w:left="8844" w:hanging="534"/>
      </w:pPr>
      <w:rPr>
        <w:rFonts w:hint="default"/>
        <w:lang w:val="et" w:eastAsia="et" w:bidi="e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3F2A7B80"/>
    <w:multiLevelType w:val="hybridMultilevel"/>
    <w:tmpl w:val="508219C4"/>
    <w:lvl w:ilvl="0" w:tplc="C87E2C90">
      <w:start w:val="2"/>
      <w:numFmt w:val="decimal"/>
      <w:lvlText w:val="%1"/>
      <w:lvlJc w:val="left"/>
      <w:pPr>
        <w:ind w:left="365" w:hanging="263"/>
      </w:pPr>
      <w:rPr>
        <w:rFonts w:hint="default"/>
        <w:w w:val="102"/>
        <w:lang w:val="hr" w:eastAsia="hr" w:bidi="hr"/>
      </w:rPr>
    </w:lvl>
    <w:lvl w:ilvl="1" w:tplc="DD3027BA">
      <w:numFmt w:val="bullet"/>
      <w:lvlText w:val="•"/>
      <w:lvlJc w:val="left"/>
      <w:pPr>
        <w:ind w:left="745" w:hanging="263"/>
      </w:pPr>
      <w:rPr>
        <w:rFonts w:hint="default"/>
        <w:lang w:val="hr" w:eastAsia="hr" w:bidi="hr"/>
      </w:rPr>
    </w:lvl>
    <w:lvl w:ilvl="2" w:tplc="7C88DBA8">
      <w:numFmt w:val="bullet"/>
      <w:lvlText w:val="•"/>
      <w:lvlJc w:val="left"/>
      <w:pPr>
        <w:ind w:left="1131" w:hanging="263"/>
      </w:pPr>
      <w:rPr>
        <w:rFonts w:hint="default"/>
        <w:lang w:val="hr" w:eastAsia="hr" w:bidi="hr"/>
      </w:rPr>
    </w:lvl>
    <w:lvl w:ilvl="3" w:tplc="67046AE4">
      <w:numFmt w:val="bullet"/>
      <w:lvlText w:val="•"/>
      <w:lvlJc w:val="left"/>
      <w:pPr>
        <w:ind w:left="1516" w:hanging="263"/>
      </w:pPr>
      <w:rPr>
        <w:rFonts w:hint="default"/>
        <w:lang w:val="hr" w:eastAsia="hr" w:bidi="hr"/>
      </w:rPr>
    </w:lvl>
    <w:lvl w:ilvl="4" w:tplc="4F16575E">
      <w:numFmt w:val="bullet"/>
      <w:lvlText w:val="•"/>
      <w:lvlJc w:val="left"/>
      <w:pPr>
        <w:ind w:left="1902" w:hanging="263"/>
      </w:pPr>
      <w:rPr>
        <w:rFonts w:hint="default"/>
        <w:lang w:val="hr" w:eastAsia="hr" w:bidi="hr"/>
      </w:rPr>
    </w:lvl>
    <w:lvl w:ilvl="5" w:tplc="23AC0512">
      <w:numFmt w:val="bullet"/>
      <w:lvlText w:val="•"/>
      <w:lvlJc w:val="left"/>
      <w:pPr>
        <w:ind w:left="2288" w:hanging="263"/>
      </w:pPr>
      <w:rPr>
        <w:rFonts w:hint="default"/>
        <w:lang w:val="hr" w:eastAsia="hr" w:bidi="hr"/>
      </w:rPr>
    </w:lvl>
    <w:lvl w:ilvl="6" w:tplc="D130C3EC">
      <w:numFmt w:val="bullet"/>
      <w:lvlText w:val="•"/>
      <w:lvlJc w:val="left"/>
      <w:pPr>
        <w:ind w:left="2673" w:hanging="263"/>
      </w:pPr>
      <w:rPr>
        <w:rFonts w:hint="default"/>
        <w:lang w:val="hr" w:eastAsia="hr" w:bidi="hr"/>
      </w:rPr>
    </w:lvl>
    <w:lvl w:ilvl="7" w:tplc="BDDC4F72">
      <w:numFmt w:val="bullet"/>
      <w:lvlText w:val="•"/>
      <w:lvlJc w:val="left"/>
      <w:pPr>
        <w:ind w:left="3059" w:hanging="263"/>
      </w:pPr>
      <w:rPr>
        <w:rFonts w:hint="default"/>
        <w:lang w:val="hr" w:eastAsia="hr" w:bidi="hr"/>
      </w:rPr>
    </w:lvl>
    <w:lvl w:ilvl="8" w:tplc="5E8810D4">
      <w:numFmt w:val="bullet"/>
      <w:lvlText w:val="•"/>
      <w:lvlJc w:val="left"/>
      <w:pPr>
        <w:ind w:left="3444" w:hanging="263"/>
      </w:pPr>
      <w:rPr>
        <w:rFonts w:hint="default"/>
        <w:lang w:val="hr" w:eastAsia="hr" w:bidi="hr"/>
      </w:rPr>
    </w:lvl>
  </w:abstractNum>
  <w:abstractNum w:abstractNumId="25" w15:restartNumberingAfterBreak="0">
    <w:nsid w:val="45F455DB"/>
    <w:multiLevelType w:val="multilevel"/>
    <w:tmpl w:val="8F2040E4"/>
    <w:lvl w:ilvl="0">
      <w:start w:val="1"/>
      <w:numFmt w:val="decimal"/>
      <w:pStyle w:val="Heading1"/>
      <w:lvlText w:val="%1."/>
      <w:lvlJc w:val="left"/>
      <w:pPr>
        <w:ind w:left="868" w:hanging="535"/>
      </w:pPr>
      <w:rPr>
        <w:rFonts w:ascii="Times New Roman" w:eastAsia="Times New Roman" w:hAnsi="Times New Roman" w:cs="Times New Roman" w:hint="default"/>
        <w:b/>
        <w:bCs/>
        <w:w w:val="103"/>
        <w:sz w:val="22"/>
        <w:szCs w:val="22"/>
        <w:lang w:val="hr" w:eastAsia="hr" w:bidi="hr"/>
      </w:rPr>
    </w:lvl>
    <w:lvl w:ilvl="1">
      <w:start w:val="1"/>
      <w:numFmt w:val="decimal"/>
      <w:pStyle w:val="Heading2"/>
      <w:lvlText w:val="%1.%2"/>
      <w:lvlJc w:val="left"/>
      <w:pPr>
        <w:ind w:left="867" w:hanging="534"/>
      </w:pPr>
      <w:rPr>
        <w:rFonts w:ascii="Times New Roman" w:eastAsia="Times New Roman" w:hAnsi="Times New Roman" w:cs="Times New Roman" w:hint="default"/>
        <w:b/>
        <w:bCs/>
        <w:w w:val="103"/>
        <w:sz w:val="22"/>
        <w:szCs w:val="22"/>
        <w:lang w:val="hr" w:eastAsia="hr" w:bidi="hr"/>
      </w:rPr>
    </w:lvl>
    <w:lvl w:ilvl="2">
      <w:numFmt w:val="bullet"/>
      <w:lvlText w:val="•"/>
      <w:lvlJc w:val="left"/>
      <w:pPr>
        <w:ind w:left="2832" w:hanging="534"/>
      </w:pPr>
      <w:rPr>
        <w:rFonts w:hint="default"/>
        <w:lang w:val="hr" w:eastAsia="hr" w:bidi="hr"/>
      </w:rPr>
    </w:lvl>
    <w:lvl w:ilvl="3">
      <w:numFmt w:val="bullet"/>
      <w:lvlText w:val="•"/>
      <w:lvlJc w:val="left"/>
      <w:pPr>
        <w:ind w:left="3818" w:hanging="534"/>
      </w:pPr>
      <w:rPr>
        <w:rFonts w:hint="default"/>
        <w:lang w:val="hr" w:eastAsia="hr" w:bidi="hr"/>
      </w:rPr>
    </w:lvl>
    <w:lvl w:ilvl="4">
      <w:numFmt w:val="bullet"/>
      <w:lvlText w:val="•"/>
      <w:lvlJc w:val="left"/>
      <w:pPr>
        <w:ind w:left="4804" w:hanging="534"/>
      </w:pPr>
      <w:rPr>
        <w:rFonts w:hint="default"/>
        <w:lang w:val="hr" w:eastAsia="hr" w:bidi="hr"/>
      </w:rPr>
    </w:lvl>
    <w:lvl w:ilvl="5">
      <w:numFmt w:val="bullet"/>
      <w:lvlText w:val="•"/>
      <w:lvlJc w:val="left"/>
      <w:pPr>
        <w:ind w:left="5790" w:hanging="534"/>
      </w:pPr>
      <w:rPr>
        <w:rFonts w:hint="default"/>
        <w:lang w:val="hr" w:eastAsia="hr" w:bidi="hr"/>
      </w:rPr>
    </w:lvl>
    <w:lvl w:ilvl="6">
      <w:numFmt w:val="bullet"/>
      <w:lvlText w:val="•"/>
      <w:lvlJc w:val="left"/>
      <w:pPr>
        <w:ind w:left="6776" w:hanging="534"/>
      </w:pPr>
      <w:rPr>
        <w:rFonts w:hint="default"/>
        <w:lang w:val="hr" w:eastAsia="hr" w:bidi="hr"/>
      </w:rPr>
    </w:lvl>
    <w:lvl w:ilvl="7">
      <w:numFmt w:val="bullet"/>
      <w:lvlText w:val="•"/>
      <w:lvlJc w:val="left"/>
      <w:pPr>
        <w:ind w:left="7762" w:hanging="534"/>
      </w:pPr>
      <w:rPr>
        <w:rFonts w:hint="default"/>
        <w:lang w:val="hr" w:eastAsia="hr" w:bidi="hr"/>
      </w:rPr>
    </w:lvl>
    <w:lvl w:ilvl="8">
      <w:numFmt w:val="bullet"/>
      <w:lvlText w:val="•"/>
      <w:lvlJc w:val="left"/>
      <w:pPr>
        <w:ind w:left="8748" w:hanging="534"/>
      </w:pPr>
      <w:rPr>
        <w:rFonts w:hint="default"/>
        <w:lang w:val="hr" w:eastAsia="hr" w:bidi="hr"/>
      </w:rPr>
    </w:lvl>
  </w:abstractNum>
  <w:abstractNum w:abstractNumId="26" w15:restartNumberingAfterBreak="0">
    <w:nsid w:val="482204FA"/>
    <w:multiLevelType w:val="hybridMultilevel"/>
    <w:tmpl w:val="1BB080BA"/>
    <w:lvl w:ilvl="0" w:tplc="1CC881FC">
      <w:start w:val="1"/>
      <w:numFmt w:val="bullet"/>
      <w:lvlText w:val="-"/>
      <w:lvlJc w:val="left"/>
      <w:pPr>
        <w:ind w:left="672" w:hanging="339"/>
      </w:pPr>
      <w:rPr>
        <w:rFonts w:ascii="Courier New" w:hAnsi="Courier New" w:hint="default"/>
        <w:w w:val="103"/>
        <w:sz w:val="20"/>
        <w:szCs w:val="20"/>
        <w:lang w:val="hr" w:eastAsia="hr" w:bidi="hr"/>
      </w:rPr>
    </w:lvl>
    <w:lvl w:ilvl="1" w:tplc="65689F10">
      <w:numFmt w:val="bullet"/>
      <w:lvlText w:val=""/>
      <w:lvlJc w:val="left"/>
      <w:pPr>
        <w:ind w:left="1400" w:hanging="534"/>
      </w:pPr>
      <w:rPr>
        <w:rFonts w:ascii="Wingdings" w:eastAsia="Wingdings" w:hAnsi="Wingdings" w:cs="Wingdings" w:hint="default"/>
        <w:w w:val="103"/>
        <w:sz w:val="20"/>
        <w:szCs w:val="20"/>
        <w:lang w:val="hr" w:eastAsia="hr" w:bidi="hr"/>
      </w:rPr>
    </w:lvl>
    <w:lvl w:ilvl="2" w:tplc="B546F638">
      <w:numFmt w:val="bullet"/>
      <w:lvlText w:val="•"/>
      <w:lvlJc w:val="left"/>
      <w:pPr>
        <w:ind w:left="2435" w:hanging="534"/>
      </w:pPr>
      <w:rPr>
        <w:rFonts w:hint="default"/>
        <w:lang w:val="hr" w:eastAsia="hr" w:bidi="hr"/>
      </w:rPr>
    </w:lvl>
    <w:lvl w:ilvl="3" w:tplc="653E62F6">
      <w:numFmt w:val="bullet"/>
      <w:lvlText w:val="•"/>
      <w:lvlJc w:val="left"/>
      <w:pPr>
        <w:ind w:left="3471" w:hanging="534"/>
      </w:pPr>
      <w:rPr>
        <w:rFonts w:hint="default"/>
        <w:lang w:val="hr" w:eastAsia="hr" w:bidi="hr"/>
      </w:rPr>
    </w:lvl>
    <w:lvl w:ilvl="4" w:tplc="F3D49802">
      <w:numFmt w:val="bullet"/>
      <w:lvlText w:val="•"/>
      <w:lvlJc w:val="left"/>
      <w:pPr>
        <w:ind w:left="4506" w:hanging="534"/>
      </w:pPr>
      <w:rPr>
        <w:rFonts w:hint="default"/>
        <w:lang w:val="hr" w:eastAsia="hr" w:bidi="hr"/>
      </w:rPr>
    </w:lvl>
    <w:lvl w:ilvl="5" w:tplc="F3BC0890">
      <w:numFmt w:val="bullet"/>
      <w:lvlText w:val="•"/>
      <w:lvlJc w:val="left"/>
      <w:pPr>
        <w:ind w:left="5542" w:hanging="534"/>
      </w:pPr>
      <w:rPr>
        <w:rFonts w:hint="default"/>
        <w:lang w:val="hr" w:eastAsia="hr" w:bidi="hr"/>
      </w:rPr>
    </w:lvl>
    <w:lvl w:ilvl="6" w:tplc="CB2026FC">
      <w:numFmt w:val="bullet"/>
      <w:lvlText w:val="•"/>
      <w:lvlJc w:val="left"/>
      <w:pPr>
        <w:ind w:left="6577" w:hanging="534"/>
      </w:pPr>
      <w:rPr>
        <w:rFonts w:hint="default"/>
        <w:lang w:val="hr" w:eastAsia="hr" w:bidi="hr"/>
      </w:rPr>
    </w:lvl>
    <w:lvl w:ilvl="7" w:tplc="005E5876">
      <w:numFmt w:val="bullet"/>
      <w:lvlText w:val="•"/>
      <w:lvlJc w:val="left"/>
      <w:pPr>
        <w:ind w:left="7613" w:hanging="534"/>
      </w:pPr>
      <w:rPr>
        <w:rFonts w:hint="default"/>
        <w:lang w:val="hr" w:eastAsia="hr" w:bidi="hr"/>
      </w:rPr>
    </w:lvl>
    <w:lvl w:ilvl="8" w:tplc="32487DB8">
      <w:numFmt w:val="bullet"/>
      <w:lvlText w:val="•"/>
      <w:lvlJc w:val="left"/>
      <w:pPr>
        <w:ind w:left="8648" w:hanging="534"/>
      </w:pPr>
      <w:rPr>
        <w:rFonts w:hint="default"/>
        <w:lang w:val="hr" w:eastAsia="hr" w:bidi="hr"/>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AE44020"/>
    <w:multiLevelType w:val="hybridMultilevel"/>
    <w:tmpl w:val="B2B2E0D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19477E"/>
    <w:multiLevelType w:val="hybridMultilevel"/>
    <w:tmpl w:val="F856BB4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0B32F8"/>
    <w:multiLevelType w:val="hybridMultilevel"/>
    <w:tmpl w:val="088657D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C62EFC"/>
    <w:multiLevelType w:val="hybridMultilevel"/>
    <w:tmpl w:val="7C7C193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1F65AA"/>
    <w:multiLevelType w:val="hybridMultilevel"/>
    <w:tmpl w:val="F76A3D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BB91888"/>
    <w:multiLevelType w:val="hybridMultilevel"/>
    <w:tmpl w:val="B97097B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E36ABE"/>
    <w:multiLevelType w:val="hybridMultilevel"/>
    <w:tmpl w:val="4F9EC792"/>
    <w:lvl w:ilvl="0" w:tplc="BA246924">
      <w:start w:val="1"/>
      <w:numFmt w:val="decimal"/>
      <w:lvlText w:val="%1."/>
      <w:lvlJc w:val="left"/>
      <w:pPr>
        <w:ind w:left="867" w:hanging="534"/>
      </w:pPr>
      <w:rPr>
        <w:rFonts w:ascii="Times New Roman" w:eastAsia="Times New Roman" w:hAnsi="Times New Roman" w:cs="Times New Roman" w:hint="default"/>
        <w:b/>
        <w:bCs/>
        <w:w w:val="103"/>
        <w:sz w:val="22"/>
        <w:szCs w:val="22"/>
        <w:lang w:val="hr" w:eastAsia="hr" w:bidi="hr"/>
      </w:rPr>
    </w:lvl>
    <w:lvl w:ilvl="1" w:tplc="D692157A">
      <w:numFmt w:val="bullet"/>
      <w:lvlText w:val="•"/>
      <w:lvlJc w:val="left"/>
      <w:pPr>
        <w:ind w:left="1846" w:hanging="534"/>
      </w:pPr>
      <w:rPr>
        <w:rFonts w:hint="default"/>
        <w:lang w:val="hr" w:eastAsia="hr" w:bidi="hr"/>
      </w:rPr>
    </w:lvl>
    <w:lvl w:ilvl="2" w:tplc="3F980BE4">
      <w:numFmt w:val="bullet"/>
      <w:lvlText w:val="•"/>
      <w:lvlJc w:val="left"/>
      <w:pPr>
        <w:ind w:left="2832" w:hanging="534"/>
      </w:pPr>
      <w:rPr>
        <w:rFonts w:hint="default"/>
        <w:lang w:val="hr" w:eastAsia="hr" w:bidi="hr"/>
      </w:rPr>
    </w:lvl>
    <w:lvl w:ilvl="3" w:tplc="983CACBE">
      <w:numFmt w:val="bullet"/>
      <w:lvlText w:val="•"/>
      <w:lvlJc w:val="left"/>
      <w:pPr>
        <w:ind w:left="3818" w:hanging="534"/>
      </w:pPr>
      <w:rPr>
        <w:rFonts w:hint="default"/>
        <w:lang w:val="hr" w:eastAsia="hr" w:bidi="hr"/>
      </w:rPr>
    </w:lvl>
    <w:lvl w:ilvl="4" w:tplc="96F85528">
      <w:numFmt w:val="bullet"/>
      <w:lvlText w:val="•"/>
      <w:lvlJc w:val="left"/>
      <w:pPr>
        <w:ind w:left="4804" w:hanging="534"/>
      </w:pPr>
      <w:rPr>
        <w:rFonts w:hint="default"/>
        <w:lang w:val="hr" w:eastAsia="hr" w:bidi="hr"/>
      </w:rPr>
    </w:lvl>
    <w:lvl w:ilvl="5" w:tplc="3FA0518E">
      <w:numFmt w:val="bullet"/>
      <w:lvlText w:val="•"/>
      <w:lvlJc w:val="left"/>
      <w:pPr>
        <w:ind w:left="5790" w:hanging="534"/>
      </w:pPr>
      <w:rPr>
        <w:rFonts w:hint="default"/>
        <w:lang w:val="hr" w:eastAsia="hr" w:bidi="hr"/>
      </w:rPr>
    </w:lvl>
    <w:lvl w:ilvl="6" w:tplc="365247C2">
      <w:numFmt w:val="bullet"/>
      <w:lvlText w:val="•"/>
      <w:lvlJc w:val="left"/>
      <w:pPr>
        <w:ind w:left="6776" w:hanging="534"/>
      </w:pPr>
      <w:rPr>
        <w:rFonts w:hint="default"/>
        <w:lang w:val="hr" w:eastAsia="hr" w:bidi="hr"/>
      </w:rPr>
    </w:lvl>
    <w:lvl w:ilvl="7" w:tplc="64EC11F6">
      <w:numFmt w:val="bullet"/>
      <w:lvlText w:val="•"/>
      <w:lvlJc w:val="left"/>
      <w:pPr>
        <w:ind w:left="7762" w:hanging="534"/>
      </w:pPr>
      <w:rPr>
        <w:rFonts w:hint="default"/>
        <w:lang w:val="hr" w:eastAsia="hr" w:bidi="hr"/>
      </w:rPr>
    </w:lvl>
    <w:lvl w:ilvl="8" w:tplc="484AC152">
      <w:numFmt w:val="bullet"/>
      <w:lvlText w:val="•"/>
      <w:lvlJc w:val="left"/>
      <w:pPr>
        <w:ind w:left="8748" w:hanging="534"/>
      </w:pPr>
      <w:rPr>
        <w:rFonts w:hint="default"/>
        <w:lang w:val="hr" w:eastAsia="hr" w:bidi="hr"/>
      </w:r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4415525"/>
    <w:multiLevelType w:val="hybridMultilevel"/>
    <w:tmpl w:val="5B78A2B8"/>
    <w:lvl w:ilvl="0" w:tplc="FFFFFFFF">
      <w:start w:val="1"/>
      <w:numFmt w:val="bullet"/>
      <w:lvlText w:val=""/>
      <w:lvlJc w:val="left"/>
      <w:pPr>
        <w:ind w:left="99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513A8F"/>
    <w:multiLevelType w:val="hybridMultilevel"/>
    <w:tmpl w:val="7BE4515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1" w15:restartNumberingAfterBreak="0">
    <w:nsid w:val="67B56638"/>
    <w:multiLevelType w:val="hybridMultilevel"/>
    <w:tmpl w:val="79AAD04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9E95A54"/>
    <w:multiLevelType w:val="hybridMultilevel"/>
    <w:tmpl w:val="3C18EFB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6" w15:restartNumberingAfterBreak="0">
    <w:nsid w:val="6EC964C5"/>
    <w:multiLevelType w:val="hybridMultilevel"/>
    <w:tmpl w:val="479A4BB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AB50F1"/>
    <w:multiLevelType w:val="hybridMultilevel"/>
    <w:tmpl w:val="64CEA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4458B7"/>
    <w:multiLevelType w:val="hybridMultilevel"/>
    <w:tmpl w:val="04CA3B72"/>
    <w:lvl w:ilvl="0" w:tplc="B4803DE0">
      <w:start w:val="1"/>
      <w:numFmt w:val="decimal"/>
      <w:suff w:val="space"/>
      <w:lvlText w:val="%1."/>
      <w:lvlJc w:val="left"/>
      <w:pPr>
        <w:ind w:left="309" w:hanging="207"/>
      </w:pPr>
      <w:rPr>
        <w:rFonts w:ascii="Times New Roman" w:eastAsia="Times New Roman" w:hAnsi="Times New Roman" w:cs="Times New Roman" w:hint="default"/>
        <w:w w:val="103"/>
        <w:sz w:val="22"/>
        <w:szCs w:val="22"/>
        <w:lang w:val="hr" w:eastAsia="hr" w:bidi="hr"/>
      </w:rPr>
    </w:lvl>
    <w:lvl w:ilvl="1" w:tplc="0FC4109C">
      <w:numFmt w:val="bullet"/>
      <w:lvlText w:val="•"/>
      <w:lvlJc w:val="left"/>
      <w:pPr>
        <w:ind w:left="348" w:hanging="207"/>
      </w:pPr>
      <w:rPr>
        <w:rFonts w:hint="default"/>
        <w:lang w:val="hr" w:eastAsia="hr" w:bidi="hr"/>
      </w:rPr>
    </w:lvl>
    <w:lvl w:ilvl="2" w:tplc="A20AE99C">
      <w:numFmt w:val="bullet"/>
      <w:lvlText w:val="•"/>
      <w:lvlJc w:val="left"/>
      <w:pPr>
        <w:ind w:left="596" w:hanging="207"/>
      </w:pPr>
      <w:rPr>
        <w:rFonts w:hint="default"/>
        <w:lang w:val="hr" w:eastAsia="hr" w:bidi="hr"/>
      </w:rPr>
    </w:lvl>
    <w:lvl w:ilvl="3" w:tplc="83EC9F08">
      <w:numFmt w:val="bullet"/>
      <w:lvlText w:val="•"/>
      <w:lvlJc w:val="left"/>
      <w:pPr>
        <w:ind w:left="844" w:hanging="207"/>
      </w:pPr>
      <w:rPr>
        <w:rFonts w:hint="default"/>
        <w:lang w:val="hr" w:eastAsia="hr" w:bidi="hr"/>
      </w:rPr>
    </w:lvl>
    <w:lvl w:ilvl="4" w:tplc="738A0D12">
      <w:numFmt w:val="bullet"/>
      <w:lvlText w:val="•"/>
      <w:lvlJc w:val="left"/>
      <w:pPr>
        <w:ind w:left="1093" w:hanging="207"/>
      </w:pPr>
      <w:rPr>
        <w:rFonts w:hint="default"/>
        <w:lang w:val="hr" w:eastAsia="hr" w:bidi="hr"/>
      </w:rPr>
    </w:lvl>
    <w:lvl w:ilvl="5" w:tplc="E0D60BB8">
      <w:numFmt w:val="bullet"/>
      <w:lvlText w:val="•"/>
      <w:lvlJc w:val="left"/>
      <w:pPr>
        <w:ind w:left="1341" w:hanging="207"/>
      </w:pPr>
      <w:rPr>
        <w:rFonts w:hint="default"/>
        <w:lang w:val="hr" w:eastAsia="hr" w:bidi="hr"/>
      </w:rPr>
    </w:lvl>
    <w:lvl w:ilvl="6" w:tplc="D4988412">
      <w:numFmt w:val="bullet"/>
      <w:lvlText w:val="•"/>
      <w:lvlJc w:val="left"/>
      <w:pPr>
        <w:ind w:left="1589" w:hanging="207"/>
      </w:pPr>
      <w:rPr>
        <w:rFonts w:hint="default"/>
        <w:lang w:val="hr" w:eastAsia="hr" w:bidi="hr"/>
      </w:rPr>
    </w:lvl>
    <w:lvl w:ilvl="7" w:tplc="3F3A04AA">
      <w:numFmt w:val="bullet"/>
      <w:lvlText w:val="•"/>
      <w:lvlJc w:val="left"/>
      <w:pPr>
        <w:ind w:left="1838" w:hanging="207"/>
      </w:pPr>
      <w:rPr>
        <w:rFonts w:hint="default"/>
        <w:lang w:val="hr" w:eastAsia="hr" w:bidi="hr"/>
      </w:rPr>
    </w:lvl>
    <w:lvl w:ilvl="8" w:tplc="5A7CDBA8">
      <w:numFmt w:val="bullet"/>
      <w:lvlText w:val="•"/>
      <w:lvlJc w:val="left"/>
      <w:pPr>
        <w:ind w:left="2086" w:hanging="207"/>
      </w:pPr>
      <w:rPr>
        <w:rFonts w:hint="default"/>
        <w:lang w:val="hr" w:eastAsia="hr" w:bidi="hr"/>
      </w:rPr>
    </w:lvl>
  </w:abstractNum>
  <w:abstractNum w:abstractNumId="50" w15:restartNumberingAfterBreak="0">
    <w:nsid w:val="76C10EFF"/>
    <w:multiLevelType w:val="hybridMultilevel"/>
    <w:tmpl w:val="F79263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D63161"/>
    <w:multiLevelType w:val="hybridMultilevel"/>
    <w:tmpl w:val="3FCCF55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8F77EAF"/>
    <w:multiLevelType w:val="hybridMultilevel"/>
    <w:tmpl w:val="68865964"/>
    <w:lvl w:ilvl="0" w:tplc="64C08C8C">
      <w:start w:val="1"/>
      <w:numFmt w:val="decimal"/>
      <w:lvlText w:val="%1."/>
      <w:lvlJc w:val="left"/>
      <w:pPr>
        <w:ind w:left="365" w:hanging="263"/>
      </w:pPr>
      <w:rPr>
        <w:rFonts w:ascii="Times New Roman" w:eastAsia="Times New Roman" w:hAnsi="Times New Roman" w:cs="Times New Roman" w:hint="default"/>
        <w:w w:val="100"/>
        <w:sz w:val="22"/>
        <w:szCs w:val="22"/>
        <w:lang w:val="hr" w:eastAsia="hr" w:bidi="hr"/>
      </w:rPr>
    </w:lvl>
    <w:lvl w:ilvl="1" w:tplc="5F6E5C0A">
      <w:numFmt w:val="bullet"/>
      <w:lvlText w:val="•"/>
      <w:lvlJc w:val="left"/>
      <w:pPr>
        <w:ind w:left="745" w:hanging="263"/>
      </w:pPr>
      <w:rPr>
        <w:rFonts w:hint="default"/>
        <w:lang w:val="hr" w:eastAsia="hr" w:bidi="hr"/>
      </w:rPr>
    </w:lvl>
    <w:lvl w:ilvl="2" w:tplc="6916E1F0">
      <w:numFmt w:val="bullet"/>
      <w:lvlText w:val="•"/>
      <w:lvlJc w:val="left"/>
      <w:pPr>
        <w:ind w:left="1131" w:hanging="263"/>
      </w:pPr>
      <w:rPr>
        <w:rFonts w:hint="default"/>
        <w:lang w:val="hr" w:eastAsia="hr" w:bidi="hr"/>
      </w:rPr>
    </w:lvl>
    <w:lvl w:ilvl="3" w:tplc="426CA6F2">
      <w:numFmt w:val="bullet"/>
      <w:lvlText w:val="•"/>
      <w:lvlJc w:val="left"/>
      <w:pPr>
        <w:ind w:left="1516" w:hanging="263"/>
      </w:pPr>
      <w:rPr>
        <w:rFonts w:hint="default"/>
        <w:lang w:val="hr" w:eastAsia="hr" w:bidi="hr"/>
      </w:rPr>
    </w:lvl>
    <w:lvl w:ilvl="4" w:tplc="221011D8">
      <w:numFmt w:val="bullet"/>
      <w:lvlText w:val="•"/>
      <w:lvlJc w:val="left"/>
      <w:pPr>
        <w:ind w:left="1902" w:hanging="263"/>
      </w:pPr>
      <w:rPr>
        <w:rFonts w:hint="default"/>
        <w:lang w:val="hr" w:eastAsia="hr" w:bidi="hr"/>
      </w:rPr>
    </w:lvl>
    <w:lvl w:ilvl="5" w:tplc="112ACC34">
      <w:numFmt w:val="bullet"/>
      <w:lvlText w:val="•"/>
      <w:lvlJc w:val="left"/>
      <w:pPr>
        <w:ind w:left="2288" w:hanging="263"/>
      </w:pPr>
      <w:rPr>
        <w:rFonts w:hint="default"/>
        <w:lang w:val="hr" w:eastAsia="hr" w:bidi="hr"/>
      </w:rPr>
    </w:lvl>
    <w:lvl w:ilvl="6" w:tplc="7362026A">
      <w:numFmt w:val="bullet"/>
      <w:lvlText w:val="•"/>
      <w:lvlJc w:val="left"/>
      <w:pPr>
        <w:ind w:left="2673" w:hanging="263"/>
      </w:pPr>
      <w:rPr>
        <w:rFonts w:hint="default"/>
        <w:lang w:val="hr" w:eastAsia="hr" w:bidi="hr"/>
      </w:rPr>
    </w:lvl>
    <w:lvl w:ilvl="7" w:tplc="1F9865A2">
      <w:numFmt w:val="bullet"/>
      <w:lvlText w:val="•"/>
      <w:lvlJc w:val="left"/>
      <w:pPr>
        <w:ind w:left="3059" w:hanging="263"/>
      </w:pPr>
      <w:rPr>
        <w:rFonts w:hint="default"/>
        <w:lang w:val="hr" w:eastAsia="hr" w:bidi="hr"/>
      </w:rPr>
    </w:lvl>
    <w:lvl w:ilvl="8" w:tplc="761C8DB0">
      <w:numFmt w:val="bullet"/>
      <w:lvlText w:val="•"/>
      <w:lvlJc w:val="left"/>
      <w:pPr>
        <w:ind w:left="3444" w:hanging="263"/>
      </w:pPr>
      <w:rPr>
        <w:rFonts w:hint="default"/>
        <w:lang w:val="hr" w:eastAsia="hr" w:bidi="hr"/>
      </w:rPr>
    </w:lvl>
  </w:abstractNum>
  <w:abstractNum w:abstractNumId="54" w15:restartNumberingAfterBreak="0">
    <w:nsid w:val="7B356D23"/>
    <w:multiLevelType w:val="hybridMultilevel"/>
    <w:tmpl w:val="2D4C3D9E"/>
    <w:lvl w:ilvl="0" w:tplc="FFFFFFFF">
      <w:start w:val="1"/>
      <w:numFmt w:val="bullet"/>
      <w:lvlText w:val=""/>
      <w:lvlJc w:val="left"/>
      <w:pPr>
        <w:ind w:left="534" w:hanging="534"/>
      </w:pPr>
      <w:rPr>
        <w:rFonts w:ascii="Wingdings" w:eastAsia="Wingdings" w:hAnsi="Wingdings" w:hint="default"/>
        <w:w w:val="103"/>
        <w:sz w:val="20"/>
        <w:szCs w:val="20"/>
      </w:rPr>
    </w:lvl>
    <w:lvl w:ilvl="1" w:tplc="FFFFFFFF">
      <w:start w:val="1"/>
      <w:numFmt w:val="bullet"/>
      <w:lvlText w:val="•"/>
      <w:lvlJc w:val="left"/>
      <w:pPr>
        <w:ind w:left="1367" w:hanging="534"/>
      </w:pPr>
      <w:rPr>
        <w:rFonts w:hint="default"/>
      </w:rPr>
    </w:lvl>
    <w:lvl w:ilvl="2" w:tplc="FFFFFFFF">
      <w:start w:val="1"/>
      <w:numFmt w:val="bullet"/>
      <w:lvlText w:val="•"/>
      <w:lvlJc w:val="left"/>
      <w:pPr>
        <w:ind w:left="2199" w:hanging="534"/>
      </w:pPr>
      <w:rPr>
        <w:rFonts w:hint="default"/>
      </w:rPr>
    </w:lvl>
    <w:lvl w:ilvl="3" w:tplc="FFFFFFFF">
      <w:start w:val="1"/>
      <w:numFmt w:val="bullet"/>
      <w:lvlText w:val="•"/>
      <w:lvlJc w:val="left"/>
      <w:pPr>
        <w:ind w:left="3032" w:hanging="534"/>
      </w:pPr>
      <w:rPr>
        <w:rFonts w:hint="default"/>
      </w:rPr>
    </w:lvl>
    <w:lvl w:ilvl="4" w:tplc="FFFFFFFF">
      <w:start w:val="1"/>
      <w:numFmt w:val="bullet"/>
      <w:lvlText w:val="•"/>
      <w:lvlJc w:val="left"/>
      <w:pPr>
        <w:ind w:left="3865" w:hanging="534"/>
      </w:pPr>
      <w:rPr>
        <w:rFonts w:hint="default"/>
      </w:rPr>
    </w:lvl>
    <w:lvl w:ilvl="5" w:tplc="FFFFFFFF">
      <w:start w:val="1"/>
      <w:numFmt w:val="bullet"/>
      <w:lvlText w:val="•"/>
      <w:lvlJc w:val="left"/>
      <w:pPr>
        <w:ind w:left="4698" w:hanging="534"/>
      </w:pPr>
      <w:rPr>
        <w:rFonts w:hint="default"/>
      </w:rPr>
    </w:lvl>
    <w:lvl w:ilvl="6" w:tplc="FFFFFFFF">
      <w:start w:val="1"/>
      <w:numFmt w:val="bullet"/>
      <w:lvlText w:val="•"/>
      <w:lvlJc w:val="left"/>
      <w:pPr>
        <w:ind w:left="5530" w:hanging="534"/>
      </w:pPr>
      <w:rPr>
        <w:rFonts w:hint="default"/>
      </w:rPr>
    </w:lvl>
    <w:lvl w:ilvl="7" w:tplc="FFFFFFFF">
      <w:start w:val="1"/>
      <w:numFmt w:val="bullet"/>
      <w:lvlText w:val="•"/>
      <w:lvlJc w:val="left"/>
      <w:pPr>
        <w:ind w:left="6363" w:hanging="534"/>
      </w:pPr>
      <w:rPr>
        <w:rFonts w:hint="default"/>
      </w:rPr>
    </w:lvl>
    <w:lvl w:ilvl="8" w:tplc="FFFFFFFF">
      <w:start w:val="1"/>
      <w:numFmt w:val="bullet"/>
      <w:lvlText w:val="•"/>
      <w:lvlJc w:val="left"/>
      <w:pPr>
        <w:ind w:left="7196" w:hanging="534"/>
      </w:pPr>
      <w:rPr>
        <w:rFonts w:hint="default"/>
      </w:rPr>
    </w:lvl>
  </w:abstractNum>
  <w:abstractNum w:abstractNumId="55" w15:restartNumberingAfterBreak="0">
    <w:nsid w:val="7D950DD7"/>
    <w:multiLevelType w:val="hybridMultilevel"/>
    <w:tmpl w:val="695EC130"/>
    <w:lvl w:ilvl="0" w:tplc="ED1CE144">
      <w:numFmt w:val="bullet"/>
      <w:lvlText w:val=""/>
      <w:lvlJc w:val="left"/>
      <w:pPr>
        <w:ind w:left="1012" w:hanging="340"/>
      </w:pPr>
      <w:rPr>
        <w:rFonts w:ascii="Symbol" w:eastAsia="Symbol" w:hAnsi="Symbol" w:cs="Symbol" w:hint="default"/>
        <w:w w:val="103"/>
        <w:sz w:val="20"/>
        <w:szCs w:val="20"/>
        <w:lang w:val="hr" w:eastAsia="hr" w:bidi="hr"/>
      </w:rPr>
    </w:lvl>
    <w:lvl w:ilvl="1" w:tplc="97588112">
      <w:numFmt w:val="bullet"/>
      <w:lvlText w:val="•"/>
      <w:lvlJc w:val="left"/>
      <w:pPr>
        <w:ind w:left="1990" w:hanging="340"/>
      </w:pPr>
      <w:rPr>
        <w:rFonts w:hint="default"/>
        <w:lang w:val="hr" w:eastAsia="hr" w:bidi="hr"/>
      </w:rPr>
    </w:lvl>
    <w:lvl w:ilvl="2" w:tplc="F9B2E4C6">
      <w:numFmt w:val="bullet"/>
      <w:lvlText w:val="•"/>
      <w:lvlJc w:val="left"/>
      <w:pPr>
        <w:ind w:left="2960" w:hanging="340"/>
      </w:pPr>
      <w:rPr>
        <w:rFonts w:hint="default"/>
        <w:lang w:val="hr" w:eastAsia="hr" w:bidi="hr"/>
      </w:rPr>
    </w:lvl>
    <w:lvl w:ilvl="3" w:tplc="29CAAEB4">
      <w:numFmt w:val="bullet"/>
      <w:lvlText w:val="•"/>
      <w:lvlJc w:val="left"/>
      <w:pPr>
        <w:ind w:left="3930" w:hanging="340"/>
      </w:pPr>
      <w:rPr>
        <w:rFonts w:hint="default"/>
        <w:lang w:val="hr" w:eastAsia="hr" w:bidi="hr"/>
      </w:rPr>
    </w:lvl>
    <w:lvl w:ilvl="4" w:tplc="A166508C">
      <w:numFmt w:val="bullet"/>
      <w:lvlText w:val="•"/>
      <w:lvlJc w:val="left"/>
      <w:pPr>
        <w:ind w:left="4900" w:hanging="340"/>
      </w:pPr>
      <w:rPr>
        <w:rFonts w:hint="default"/>
        <w:lang w:val="hr" w:eastAsia="hr" w:bidi="hr"/>
      </w:rPr>
    </w:lvl>
    <w:lvl w:ilvl="5" w:tplc="8690CC76">
      <w:numFmt w:val="bullet"/>
      <w:lvlText w:val="•"/>
      <w:lvlJc w:val="left"/>
      <w:pPr>
        <w:ind w:left="5870" w:hanging="340"/>
      </w:pPr>
      <w:rPr>
        <w:rFonts w:hint="default"/>
        <w:lang w:val="hr" w:eastAsia="hr" w:bidi="hr"/>
      </w:rPr>
    </w:lvl>
    <w:lvl w:ilvl="6" w:tplc="83C0FF42">
      <w:numFmt w:val="bullet"/>
      <w:lvlText w:val="•"/>
      <w:lvlJc w:val="left"/>
      <w:pPr>
        <w:ind w:left="6840" w:hanging="340"/>
      </w:pPr>
      <w:rPr>
        <w:rFonts w:hint="default"/>
        <w:lang w:val="hr" w:eastAsia="hr" w:bidi="hr"/>
      </w:rPr>
    </w:lvl>
    <w:lvl w:ilvl="7" w:tplc="3AB47180">
      <w:numFmt w:val="bullet"/>
      <w:lvlText w:val="•"/>
      <w:lvlJc w:val="left"/>
      <w:pPr>
        <w:ind w:left="7810" w:hanging="340"/>
      </w:pPr>
      <w:rPr>
        <w:rFonts w:hint="default"/>
        <w:lang w:val="hr" w:eastAsia="hr" w:bidi="hr"/>
      </w:rPr>
    </w:lvl>
    <w:lvl w:ilvl="8" w:tplc="B6E296EE">
      <w:numFmt w:val="bullet"/>
      <w:lvlText w:val="•"/>
      <w:lvlJc w:val="left"/>
      <w:pPr>
        <w:ind w:left="8780" w:hanging="340"/>
      </w:pPr>
      <w:rPr>
        <w:rFonts w:hint="default"/>
        <w:lang w:val="hr" w:eastAsia="hr" w:bidi="hr"/>
      </w:rPr>
    </w:lvl>
  </w:abstractNum>
  <w:abstractNum w:abstractNumId="56" w15:restartNumberingAfterBreak="0">
    <w:nsid w:val="7E072EA1"/>
    <w:multiLevelType w:val="hybridMultilevel"/>
    <w:tmpl w:val="43B83A4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8269391">
    <w:abstractNumId w:val="55"/>
  </w:num>
  <w:num w:numId="2" w16cid:durableId="1431781479">
    <w:abstractNumId w:val="36"/>
  </w:num>
  <w:num w:numId="3" w16cid:durableId="1796176328">
    <w:abstractNumId w:val="4"/>
  </w:num>
  <w:num w:numId="4" w16cid:durableId="562907597">
    <w:abstractNumId w:val="15"/>
  </w:num>
  <w:num w:numId="5" w16cid:durableId="1685277854">
    <w:abstractNumId w:val="17"/>
  </w:num>
  <w:num w:numId="6" w16cid:durableId="1976786653">
    <w:abstractNumId w:val="49"/>
  </w:num>
  <w:num w:numId="7" w16cid:durableId="1742487480">
    <w:abstractNumId w:val="24"/>
  </w:num>
  <w:num w:numId="8" w16cid:durableId="2137866543">
    <w:abstractNumId w:val="53"/>
  </w:num>
  <w:num w:numId="9" w16cid:durableId="1207641472">
    <w:abstractNumId w:val="7"/>
  </w:num>
  <w:num w:numId="10" w16cid:durableId="1867215510">
    <w:abstractNumId w:val="25"/>
  </w:num>
  <w:num w:numId="11" w16cid:durableId="945427557">
    <w:abstractNumId w:val="22"/>
  </w:num>
  <w:num w:numId="12" w16cid:durableId="1233660168">
    <w:abstractNumId w:val="8"/>
  </w:num>
  <w:num w:numId="13" w16cid:durableId="493567456">
    <w:abstractNumId w:val="3"/>
  </w:num>
  <w:num w:numId="14" w16cid:durableId="322321158">
    <w:abstractNumId w:val="40"/>
  </w:num>
  <w:num w:numId="15" w16cid:durableId="176429404">
    <w:abstractNumId w:val="0"/>
    <w:lvlOverride w:ilvl="0">
      <w:lvl w:ilvl="0">
        <w:start w:val="1"/>
        <w:numFmt w:val="bullet"/>
        <w:lvlText w:val="-"/>
        <w:legacy w:legacy="1" w:legacySpace="0" w:legacyIndent="360"/>
        <w:lvlJc w:val="left"/>
        <w:pPr>
          <w:ind w:left="360" w:hanging="360"/>
        </w:pPr>
      </w:lvl>
    </w:lvlOverride>
  </w:num>
  <w:num w:numId="16" w16cid:durableId="2009005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124423654">
    <w:abstractNumId w:val="42"/>
  </w:num>
  <w:num w:numId="18" w16cid:durableId="4671656">
    <w:abstractNumId w:val="34"/>
  </w:num>
  <w:num w:numId="19" w16cid:durableId="831605569">
    <w:abstractNumId w:val="19"/>
  </w:num>
  <w:num w:numId="20" w16cid:durableId="1361976585">
    <w:abstractNumId w:val="23"/>
  </w:num>
  <w:num w:numId="21" w16cid:durableId="1979065905">
    <w:abstractNumId w:val="48"/>
  </w:num>
  <w:num w:numId="22" w16cid:durableId="45570919">
    <w:abstractNumId w:val="1"/>
  </w:num>
  <w:num w:numId="23" w16cid:durableId="1818913831">
    <w:abstractNumId w:val="44"/>
  </w:num>
  <w:num w:numId="24" w16cid:durableId="353575396">
    <w:abstractNumId w:val="21"/>
  </w:num>
  <w:num w:numId="25" w16cid:durableId="2145462979">
    <w:abstractNumId w:val="14"/>
  </w:num>
  <w:num w:numId="26" w16cid:durableId="927813484">
    <w:abstractNumId w:val="6"/>
  </w:num>
  <w:num w:numId="27" w16cid:durableId="948010646">
    <w:abstractNumId w:val="0"/>
    <w:lvlOverride w:ilvl="0">
      <w:lvl w:ilvl="0">
        <w:start w:val="1"/>
        <w:numFmt w:val="bullet"/>
        <w:lvlText w:val="-"/>
        <w:legacy w:legacy="1" w:legacySpace="0" w:legacyIndent="360"/>
        <w:lvlJc w:val="left"/>
        <w:pPr>
          <w:ind w:left="360" w:hanging="360"/>
        </w:pPr>
      </w:lvl>
    </w:lvlOverride>
  </w:num>
  <w:num w:numId="28" w16cid:durableId="1644575387">
    <w:abstractNumId w:val="45"/>
  </w:num>
  <w:num w:numId="29" w16cid:durableId="1882859482">
    <w:abstractNumId w:val="27"/>
  </w:num>
  <w:num w:numId="30" w16cid:durableId="1069235421">
    <w:abstractNumId w:val="31"/>
  </w:num>
  <w:num w:numId="31" w16cid:durableId="714936931">
    <w:abstractNumId w:val="52"/>
  </w:num>
  <w:num w:numId="32" w16cid:durableId="2109425188">
    <w:abstractNumId w:val="37"/>
  </w:num>
  <w:num w:numId="33" w16cid:durableId="803085352">
    <w:abstractNumId w:val="47"/>
  </w:num>
  <w:num w:numId="34" w16cid:durableId="535236781">
    <w:abstractNumId w:val="43"/>
  </w:num>
  <w:num w:numId="35" w16cid:durableId="1627856312">
    <w:abstractNumId w:val="18"/>
  </w:num>
  <w:num w:numId="36" w16cid:durableId="1050375388">
    <w:abstractNumId w:val="47"/>
  </w:num>
  <w:num w:numId="37" w16cid:durableId="167061212">
    <w:abstractNumId w:val="6"/>
  </w:num>
  <w:num w:numId="38" w16cid:durableId="2092267705">
    <w:abstractNumId w:val="5"/>
  </w:num>
  <w:num w:numId="39" w16cid:durableId="1746797995">
    <w:abstractNumId w:val="41"/>
  </w:num>
  <w:num w:numId="40" w16cid:durableId="1244144867">
    <w:abstractNumId w:val="20"/>
  </w:num>
  <w:num w:numId="41" w16cid:durableId="1304895529">
    <w:abstractNumId w:val="50"/>
  </w:num>
  <w:num w:numId="42" w16cid:durableId="1960453003">
    <w:abstractNumId w:val="33"/>
  </w:num>
  <w:num w:numId="43" w16cid:durableId="467821667">
    <w:abstractNumId w:val="51"/>
  </w:num>
  <w:num w:numId="44" w16cid:durableId="255794977">
    <w:abstractNumId w:val="46"/>
  </w:num>
  <w:num w:numId="45" w16cid:durableId="1269116772">
    <w:abstractNumId w:val="30"/>
  </w:num>
  <w:num w:numId="46" w16cid:durableId="1957758526">
    <w:abstractNumId w:val="28"/>
  </w:num>
  <w:num w:numId="47" w16cid:durableId="436339546">
    <w:abstractNumId w:val="11"/>
  </w:num>
  <w:num w:numId="48" w16cid:durableId="35741575">
    <w:abstractNumId w:val="56"/>
  </w:num>
  <w:num w:numId="49" w16cid:durableId="308677941">
    <w:abstractNumId w:val="10"/>
  </w:num>
  <w:num w:numId="50" w16cid:durableId="117919077">
    <w:abstractNumId w:val="12"/>
  </w:num>
  <w:num w:numId="51" w16cid:durableId="1311710304">
    <w:abstractNumId w:val="2"/>
  </w:num>
  <w:num w:numId="52" w16cid:durableId="971524262">
    <w:abstractNumId w:val="35"/>
  </w:num>
  <w:num w:numId="53" w16cid:durableId="1764103301">
    <w:abstractNumId w:val="29"/>
  </w:num>
  <w:num w:numId="54" w16cid:durableId="1672948366">
    <w:abstractNumId w:val="9"/>
  </w:num>
  <w:num w:numId="55" w16cid:durableId="2137865235">
    <w:abstractNumId w:val="32"/>
  </w:num>
  <w:num w:numId="56" w16cid:durableId="1351680455">
    <w:abstractNumId w:val="39"/>
  </w:num>
  <w:num w:numId="57" w16cid:durableId="327638948">
    <w:abstractNumId w:val="38"/>
  </w:num>
  <w:num w:numId="58" w16cid:durableId="761805786">
    <w:abstractNumId w:val="16"/>
  </w:num>
  <w:num w:numId="59" w16cid:durableId="1881933500">
    <w:abstractNumId w:val="54"/>
  </w:num>
  <w:num w:numId="60" w16cid:durableId="524950158">
    <w:abstractNumId w:val="13"/>
  </w:num>
  <w:num w:numId="61" w16cid:durableId="233859604">
    <w:abstractNumId w:val="2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BC"/>
    <w:rsid w:val="0000299B"/>
    <w:rsid w:val="000119B2"/>
    <w:rsid w:val="00013A69"/>
    <w:rsid w:val="00016AF1"/>
    <w:rsid w:val="00020492"/>
    <w:rsid w:val="00021834"/>
    <w:rsid w:val="00025E8A"/>
    <w:rsid w:val="00030B1F"/>
    <w:rsid w:val="00040B7B"/>
    <w:rsid w:val="000509D3"/>
    <w:rsid w:val="00054184"/>
    <w:rsid w:val="00056599"/>
    <w:rsid w:val="00064F60"/>
    <w:rsid w:val="00071F21"/>
    <w:rsid w:val="000809AF"/>
    <w:rsid w:val="00084610"/>
    <w:rsid w:val="00097806"/>
    <w:rsid w:val="000A07D1"/>
    <w:rsid w:val="000A0E58"/>
    <w:rsid w:val="000A28BA"/>
    <w:rsid w:val="000A5D41"/>
    <w:rsid w:val="000B2AE7"/>
    <w:rsid w:val="000B6D7B"/>
    <w:rsid w:val="000C5A11"/>
    <w:rsid w:val="000D27A5"/>
    <w:rsid w:val="000D43D3"/>
    <w:rsid w:val="000E36F7"/>
    <w:rsid w:val="00101663"/>
    <w:rsid w:val="00104747"/>
    <w:rsid w:val="0010487B"/>
    <w:rsid w:val="00106F7D"/>
    <w:rsid w:val="0011227A"/>
    <w:rsid w:val="00113E5A"/>
    <w:rsid w:val="00120624"/>
    <w:rsid w:val="0012569E"/>
    <w:rsid w:val="00132020"/>
    <w:rsid w:val="0015595C"/>
    <w:rsid w:val="00160E44"/>
    <w:rsid w:val="00161721"/>
    <w:rsid w:val="001630EF"/>
    <w:rsid w:val="00170E33"/>
    <w:rsid w:val="00176E48"/>
    <w:rsid w:val="00180B1F"/>
    <w:rsid w:val="001811F2"/>
    <w:rsid w:val="00181715"/>
    <w:rsid w:val="001825EE"/>
    <w:rsid w:val="001858B4"/>
    <w:rsid w:val="001867D6"/>
    <w:rsid w:val="0019067D"/>
    <w:rsid w:val="00193979"/>
    <w:rsid w:val="00197D2D"/>
    <w:rsid w:val="001A1CF4"/>
    <w:rsid w:val="001B267A"/>
    <w:rsid w:val="001C1CFF"/>
    <w:rsid w:val="001C29D6"/>
    <w:rsid w:val="001C6E6B"/>
    <w:rsid w:val="001F5494"/>
    <w:rsid w:val="001F5D94"/>
    <w:rsid w:val="002157D3"/>
    <w:rsid w:val="00216A16"/>
    <w:rsid w:val="0022440C"/>
    <w:rsid w:val="0022679F"/>
    <w:rsid w:val="00230BC7"/>
    <w:rsid w:val="002346DB"/>
    <w:rsid w:val="0024185D"/>
    <w:rsid w:val="002513A1"/>
    <w:rsid w:val="00252BC0"/>
    <w:rsid w:val="00260D55"/>
    <w:rsid w:val="00261564"/>
    <w:rsid w:val="002618E0"/>
    <w:rsid w:val="00262AED"/>
    <w:rsid w:val="002748A6"/>
    <w:rsid w:val="002815D5"/>
    <w:rsid w:val="00287A4D"/>
    <w:rsid w:val="002963F6"/>
    <w:rsid w:val="00297B12"/>
    <w:rsid w:val="002B6120"/>
    <w:rsid w:val="002C25D1"/>
    <w:rsid w:val="002C3132"/>
    <w:rsid w:val="002D2F12"/>
    <w:rsid w:val="002D7341"/>
    <w:rsid w:val="002E291B"/>
    <w:rsid w:val="002F54EA"/>
    <w:rsid w:val="002F5734"/>
    <w:rsid w:val="002F5ACA"/>
    <w:rsid w:val="00300CE5"/>
    <w:rsid w:val="003033DE"/>
    <w:rsid w:val="00305F81"/>
    <w:rsid w:val="00310EA0"/>
    <w:rsid w:val="00314678"/>
    <w:rsid w:val="0031614A"/>
    <w:rsid w:val="00320555"/>
    <w:rsid w:val="00323A73"/>
    <w:rsid w:val="0032669E"/>
    <w:rsid w:val="0033097F"/>
    <w:rsid w:val="0033182B"/>
    <w:rsid w:val="00334098"/>
    <w:rsid w:val="003455F4"/>
    <w:rsid w:val="003472AE"/>
    <w:rsid w:val="0035267D"/>
    <w:rsid w:val="00364A15"/>
    <w:rsid w:val="00364B53"/>
    <w:rsid w:val="003702E0"/>
    <w:rsid w:val="00377620"/>
    <w:rsid w:val="00381BBA"/>
    <w:rsid w:val="00386B67"/>
    <w:rsid w:val="00396A82"/>
    <w:rsid w:val="003A26FC"/>
    <w:rsid w:val="003A4FA9"/>
    <w:rsid w:val="003B074C"/>
    <w:rsid w:val="003B29B3"/>
    <w:rsid w:val="003C0E83"/>
    <w:rsid w:val="003D03E3"/>
    <w:rsid w:val="003D11D9"/>
    <w:rsid w:val="003E0D82"/>
    <w:rsid w:val="003E6C6B"/>
    <w:rsid w:val="004042AB"/>
    <w:rsid w:val="00404A6F"/>
    <w:rsid w:val="00410D8C"/>
    <w:rsid w:val="0041164B"/>
    <w:rsid w:val="004128B6"/>
    <w:rsid w:val="00413530"/>
    <w:rsid w:val="004140C1"/>
    <w:rsid w:val="00416887"/>
    <w:rsid w:val="00416B4E"/>
    <w:rsid w:val="00422138"/>
    <w:rsid w:val="00433CDE"/>
    <w:rsid w:val="00436ED0"/>
    <w:rsid w:val="00442CE2"/>
    <w:rsid w:val="00446CFB"/>
    <w:rsid w:val="00451231"/>
    <w:rsid w:val="00451B46"/>
    <w:rsid w:val="004545DF"/>
    <w:rsid w:val="004554D4"/>
    <w:rsid w:val="00456E0C"/>
    <w:rsid w:val="00477C50"/>
    <w:rsid w:val="00480EA3"/>
    <w:rsid w:val="004A44C5"/>
    <w:rsid w:val="004A6DA0"/>
    <w:rsid w:val="004A75D0"/>
    <w:rsid w:val="004C2AC7"/>
    <w:rsid w:val="004D0A12"/>
    <w:rsid w:val="004D1FAC"/>
    <w:rsid w:val="004D3FA1"/>
    <w:rsid w:val="004E17E6"/>
    <w:rsid w:val="004E4679"/>
    <w:rsid w:val="004F58C8"/>
    <w:rsid w:val="005004FE"/>
    <w:rsid w:val="00501CDA"/>
    <w:rsid w:val="00503528"/>
    <w:rsid w:val="005154A8"/>
    <w:rsid w:val="0052014E"/>
    <w:rsid w:val="0052358B"/>
    <w:rsid w:val="00545FBD"/>
    <w:rsid w:val="00554E9C"/>
    <w:rsid w:val="00560FFA"/>
    <w:rsid w:val="00565D5C"/>
    <w:rsid w:val="00574947"/>
    <w:rsid w:val="005854EA"/>
    <w:rsid w:val="005A555C"/>
    <w:rsid w:val="005A5578"/>
    <w:rsid w:val="005A5E5E"/>
    <w:rsid w:val="005B06A1"/>
    <w:rsid w:val="005B3E2F"/>
    <w:rsid w:val="005B6B46"/>
    <w:rsid w:val="005C7575"/>
    <w:rsid w:val="005C7BDA"/>
    <w:rsid w:val="005D0D64"/>
    <w:rsid w:val="005D26CA"/>
    <w:rsid w:val="005D66B4"/>
    <w:rsid w:val="005D759D"/>
    <w:rsid w:val="005E1B32"/>
    <w:rsid w:val="005E1F46"/>
    <w:rsid w:val="005E4576"/>
    <w:rsid w:val="005E526B"/>
    <w:rsid w:val="005F3BC5"/>
    <w:rsid w:val="00604C2B"/>
    <w:rsid w:val="00605A0B"/>
    <w:rsid w:val="00612D2B"/>
    <w:rsid w:val="00624809"/>
    <w:rsid w:val="006254C7"/>
    <w:rsid w:val="006268ED"/>
    <w:rsid w:val="00626A91"/>
    <w:rsid w:val="00646A82"/>
    <w:rsid w:val="006527F8"/>
    <w:rsid w:val="00656BD4"/>
    <w:rsid w:val="00670AEC"/>
    <w:rsid w:val="00675B5A"/>
    <w:rsid w:val="006871F7"/>
    <w:rsid w:val="0069635E"/>
    <w:rsid w:val="006B0D7C"/>
    <w:rsid w:val="006B5AE9"/>
    <w:rsid w:val="006C2B95"/>
    <w:rsid w:val="006C2C2A"/>
    <w:rsid w:val="006C71F3"/>
    <w:rsid w:val="006D093F"/>
    <w:rsid w:val="006E3739"/>
    <w:rsid w:val="006E38AE"/>
    <w:rsid w:val="006E43C5"/>
    <w:rsid w:val="006F066C"/>
    <w:rsid w:val="006F618C"/>
    <w:rsid w:val="0070115C"/>
    <w:rsid w:val="00703A15"/>
    <w:rsid w:val="00707264"/>
    <w:rsid w:val="007112EF"/>
    <w:rsid w:val="00711852"/>
    <w:rsid w:val="00714762"/>
    <w:rsid w:val="0072080C"/>
    <w:rsid w:val="00731502"/>
    <w:rsid w:val="00732977"/>
    <w:rsid w:val="0073712C"/>
    <w:rsid w:val="00744369"/>
    <w:rsid w:val="00744852"/>
    <w:rsid w:val="00747B22"/>
    <w:rsid w:val="00757446"/>
    <w:rsid w:val="00760A2B"/>
    <w:rsid w:val="00764585"/>
    <w:rsid w:val="007659C6"/>
    <w:rsid w:val="00767145"/>
    <w:rsid w:val="007732A8"/>
    <w:rsid w:val="007813B5"/>
    <w:rsid w:val="00786042"/>
    <w:rsid w:val="00795008"/>
    <w:rsid w:val="00795344"/>
    <w:rsid w:val="00797AB1"/>
    <w:rsid w:val="007A24BD"/>
    <w:rsid w:val="007A74BF"/>
    <w:rsid w:val="007B1242"/>
    <w:rsid w:val="007B2894"/>
    <w:rsid w:val="007B316F"/>
    <w:rsid w:val="007B6663"/>
    <w:rsid w:val="007B697A"/>
    <w:rsid w:val="007C5A7B"/>
    <w:rsid w:val="007D1972"/>
    <w:rsid w:val="007D65A1"/>
    <w:rsid w:val="007E67EE"/>
    <w:rsid w:val="007F13E9"/>
    <w:rsid w:val="007F3849"/>
    <w:rsid w:val="007F64DC"/>
    <w:rsid w:val="00802429"/>
    <w:rsid w:val="00803F2C"/>
    <w:rsid w:val="0080451A"/>
    <w:rsid w:val="008061B5"/>
    <w:rsid w:val="008277BE"/>
    <w:rsid w:val="008444EF"/>
    <w:rsid w:val="008473C1"/>
    <w:rsid w:val="008850F5"/>
    <w:rsid w:val="00891B95"/>
    <w:rsid w:val="00896BC5"/>
    <w:rsid w:val="00896BD0"/>
    <w:rsid w:val="008972B9"/>
    <w:rsid w:val="008A564B"/>
    <w:rsid w:val="008B34FA"/>
    <w:rsid w:val="008B38E1"/>
    <w:rsid w:val="008B7339"/>
    <w:rsid w:val="008C0693"/>
    <w:rsid w:val="008C2C05"/>
    <w:rsid w:val="008E1281"/>
    <w:rsid w:val="008E2B61"/>
    <w:rsid w:val="008F6C6D"/>
    <w:rsid w:val="00904173"/>
    <w:rsid w:val="00911CD7"/>
    <w:rsid w:val="00913FD9"/>
    <w:rsid w:val="00915BF4"/>
    <w:rsid w:val="00920FD5"/>
    <w:rsid w:val="00931094"/>
    <w:rsid w:val="009505AC"/>
    <w:rsid w:val="00961414"/>
    <w:rsid w:val="00964A0C"/>
    <w:rsid w:val="00970252"/>
    <w:rsid w:val="00972BA1"/>
    <w:rsid w:val="009737F3"/>
    <w:rsid w:val="0098018B"/>
    <w:rsid w:val="00980543"/>
    <w:rsid w:val="00981664"/>
    <w:rsid w:val="00981E2C"/>
    <w:rsid w:val="00983CE1"/>
    <w:rsid w:val="009A68FB"/>
    <w:rsid w:val="009B11B7"/>
    <w:rsid w:val="009B2CEC"/>
    <w:rsid w:val="009B5DD8"/>
    <w:rsid w:val="009C07EF"/>
    <w:rsid w:val="009D1507"/>
    <w:rsid w:val="009D1DF6"/>
    <w:rsid w:val="009E0D61"/>
    <w:rsid w:val="009E0E7F"/>
    <w:rsid w:val="009E4149"/>
    <w:rsid w:val="009E6528"/>
    <w:rsid w:val="00A02662"/>
    <w:rsid w:val="00A0587F"/>
    <w:rsid w:val="00A15E8A"/>
    <w:rsid w:val="00A20899"/>
    <w:rsid w:val="00A21D5D"/>
    <w:rsid w:val="00A303A4"/>
    <w:rsid w:val="00A31A43"/>
    <w:rsid w:val="00A35C8B"/>
    <w:rsid w:val="00A3661F"/>
    <w:rsid w:val="00A46945"/>
    <w:rsid w:val="00A50C93"/>
    <w:rsid w:val="00A66F1D"/>
    <w:rsid w:val="00A759CD"/>
    <w:rsid w:val="00A82B89"/>
    <w:rsid w:val="00A8679F"/>
    <w:rsid w:val="00A97997"/>
    <w:rsid w:val="00AA1FC5"/>
    <w:rsid w:val="00AB4905"/>
    <w:rsid w:val="00AB6FA0"/>
    <w:rsid w:val="00AB7F8B"/>
    <w:rsid w:val="00AC0A8C"/>
    <w:rsid w:val="00AD557C"/>
    <w:rsid w:val="00AD6F5B"/>
    <w:rsid w:val="00AD7480"/>
    <w:rsid w:val="00AE093C"/>
    <w:rsid w:val="00AE68EB"/>
    <w:rsid w:val="00AE78FC"/>
    <w:rsid w:val="00AF3735"/>
    <w:rsid w:val="00AF54BC"/>
    <w:rsid w:val="00AF5F85"/>
    <w:rsid w:val="00AF7ABC"/>
    <w:rsid w:val="00B113ED"/>
    <w:rsid w:val="00B11DAD"/>
    <w:rsid w:val="00B14A0E"/>
    <w:rsid w:val="00B1654B"/>
    <w:rsid w:val="00B17658"/>
    <w:rsid w:val="00B41E92"/>
    <w:rsid w:val="00B42B87"/>
    <w:rsid w:val="00B466AE"/>
    <w:rsid w:val="00B57217"/>
    <w:rsid w:val="00B63A47"/>
    <w:rsid w:val="00B675EB"/>
    <w:rsid w:val="00B71E55"/>
    <w:rsid w:val="00B83ECB"/>
    <w:rsid w:val="00B9520A"/>
    <w:rsid w:val="00BA1918"/>
    <w:rsid w:val="00BA3D7F"/>
    <w:rsid w:val="00BD601A"/>
    <w:rsid w:val="00BE5BF4"/>
    <w:rsid w:val="00BF4663"/>
    <w:rsid w:val="00BF6359"/>
    <w:rsid w:val="00C0260A"/>
    <w:rsid w:val="00C05E24"/>
    <w:rsid w:val="00C12A1B"/>
    <w:rsid w:val="00C24187"/>
    <w:rsid w:val="00C410FA"/>
    <w:rsid w:val="00C42CB0"/>
    <w:rsid w:val="00C44CEA"/>
    <w:rsid w:val="00C45327"/>
    <w:rsid w:val="00C46291"/>
    <w:rsid w:val="00C476E1"/>
    <w:rsid w:val="00C55558"/>
    <w:rsid w:val="00C57242"/>
    <w:rsid w:val="00C62530"/>
    <w:rsid w:val="00C71658"/>
    <w:rsid w:val="00C734BB"/>
    <w:rsid w:val="00C8272B"/>
    <w:rsid w:val="00C83EE3"/>
    <w:rsid w:val="00C87D2E"/>
    <w:rsid w:val="00C9686E"/>
    <w:rsid w:val="00CA0262"/>
    <w:rsid w:val="00CA0D31"/>
    <w:rsid w:val="00CA1B75"/>
    <w:rsid w:val="00CA2DB3"/>
    <w:rsid w:val="00CB67D9"/>
    <w:rsid w:val="00CC2C1F"/>
    <w:rsid w:val="00CC6970"/>
    <w:rsid w:val="00CD1308"/>
    <w:rsid w:val="00CD3869"/>
    <w:rsid w:val="00CF4200"/>
    <w:rsid w:val="00D063B6"/>
    <w:rsid w:val="00D10D84"/>
    <w:rsid w:val="00D12A5F"/>
    <w:rsid w:val="00D15BF6"/>
    <w:rsid w:val="00D33259"/>
    <w:rsid w:val="00D34C82"/>
    <w:rsid w:val="00D40294"/>
    <w:rsid w:val="00D4124C"/>
    <w:rsid w:val="00D42749"/>
    <w:rsid w:val="00D51102"/>
    <w:rsid w:val="00D61C33"/>
    <w:rsid w:val="00D70A36"/>
    <w:rsid w:val="00D70E56"/>
    <w:rsid w:val="00D7766F"/>
    <w:rsid w:val="00D81351"/>
    <w:rsid w:val="00D8221B"/>
    <w:rsid w:val="00D853E9"/>
    <w:rsid w:val="00D90C85"/>
    <w:rsid w:val="00D97503"/>
    <w:rsid w:val="00DB0505"/>
    <w:rsid w:val="00DB3660"/>
    <w:rsid w:val="00DB4A3A"/>
    <w:rsid w:val="00DE0F71"/>
    <w:rsid w:val="00DF3667"/>
    <w:rsid w:val="00E00F78"/>
    <w:rsid w:val="00E05E61"/>
    <w:rsid w:val="00E17911"/>
    <w:rsid w:val="00E31EEB"/>
    <w:rsid w:val="00E436B6"/>
    <w:rsid w:val="00E43A44"/>
    <w:rsid w:val="00E45581"/>
    <w:rsid w:val="00E528E9"/>
    <w:rsid w:val="00E55D92"/>
    <w:rsid w:val="00E634B4"/>
    <w:rsid w:val="00E711FB"/>
    <w:rsid w:val="00E7599D"/>
    <w:rsid w:val="00E9102A"/>
    <w:rsid w:val="00E917DC"/>
    <w:rsid w:val="00E93D91"/>
    <w:rsid w:val="00E956BC"/>
    <w:rsid w:val="00EA02E9"/>
    <w:rsid w:val="00EA2135"/>
    <w:rsid w:val="00EA5BE2"/>
    <w:rsid w:val="00EB46EF"/>
    <w:rsid w:val="00ED06BA"/>
    <w:rsid w:val="00ED1B66"/>
    <w:rsid w:val="00ED38DB"/>
    <w:rsid w:val="00ED62D2"/>
    <w:rsid w:val="00EE756F"/>
    <w:rsid w:val="00EF39BB"/>
    <w:rsid w:val="00F14963"/>
    <w:rsid w:val="00F253E0"/>
    <w:rsid w:val="00F25CE6"/>
    <w:rsid w:val="00F2657A"/>
    <w:rsid w:val="00F35202"/>
    <w:rsid w:val="00F40B95"/>
    <w:rsid w:val="00F4240B"/>
    <w:rsid w:val="00F51BC0"/>
    <w:rsid w:val="00F54E68"/>
    <w:rsid w:val="00F562C8"/>
    <w:rsid w:val="00F56C85"/>
    <w:rsid w:val="00F6129A"/>
    <w:rsid w:val="00F66746"/>
    <w:rsid w:val="00F735D9"/>
    <w:rsid w:val="00F8116D"/>
    <w:rsid w:val="00F81BAA"/>
    <w:rsid w:val="00F91140"/>
    <w:rsid w:val="00F93601"/>
    <w:rsid w:val="00FA088F"/>
    <w:rsid w:val="00FA34CB"/>
    <w:rsid w:val="00FA7042"/>
    <w:rsid w:val="00FB0B4C"/>
    <w:rsid w:val="00FB3468"/>
    <w:rsid w:val="00FB5ECE"/>
    <w:rsid w:val="00FB698A"/>
    <w:rsid w:val="00FC0C60"/>
    <w:rsid w:val="00FC1F68"/>
    <w:rsid w:val="00FC7114"/>
    <w:rsid w:val="00FD535B"/>
    <w:rsid w:val="00FE12FC"/>
    <w:rsid w:val="00FE6F1F"/>
    <w:rsid w:val="00FF2A43"/>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DA0A1"/>
  <w15:docId w15:val="{44EDC4ED-C28C-4BCE-9C97-ADBA1486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hr-HR" w:eastAsia="hr"/>
    </w:rPr>
  </w:style>
  <w:style w:type="paragraph" w:styleId="Heading1">
    <w:name w:val="heading 1"/>
    <w:basedOn w:val="Normal"/>
    <w:link w:val="Heading1Char"/>
    <w:uiPriority w:val="1"/>
    <w:qFormat/>
    <w:rsid w:val="00503528"/>
    <w:pPr>
      <w:widowControl/>
      <w:numPr>
        <w:numId w:val="10"/>
      </w:numPr>
      <w:ind w:left="562" w:hanging="562"/>
      <w:outlineLvl w:val="0"/>
    </w:pPr>
    <w:rPr>
      <w:rFonts w:asciiTheme="majorBidi" w:hAnsiTheme="majorBidi" w:cstheme="majorBidi"/>
      <w:b/>
      <w:bCs/>
    </w:rPr>
  </w:style>
  <w:style w:type="paragraph" w:styleId="Heading2">
    <w:name w:val="heading 2"/>
    <w:basedOn w:val="ListParagraph"/>
    <w:next w:val="Normal"/>
    <w:link w:val="Heading2Char"/>
    <w:uiPriority w:val="1"/>
    <w:unhideWhenUsed/>
    <w:qFormat/>
    <w:rsid w:val="00503528"/>
    <w:pPr>
      <w:widowControl/>
      <w:numPr>
        <w:ilvl w:val="1"/>
        <w:numId w:val="10"/>
      </w:numPr>
      <w:ind w:left="562" w:hanging="562"/>
      <w:outlineLvl w:val="1"/>
    </w:pPr>
    <w:rPr>
      <w:rFonts w:asciiTheme="majorBidi" w:hAnsiTheme="majorBid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A82"/>
    <w:rPr>
      <w:szCs w:val="20"/>
    </w:rPr>
  </w:style>
  <w:style w:type="paragraph" w:styleId="ListParagraph">
    <w:name w:val="List Paragraph"/>
    <w:basedOn w:val="Normal"/>
    <w:uiPriority w:val="34"/>
    <w:qFormat/>
    <w:rsid w:val="00F25CE6"/>
    <w:pPr>
      <w:ind w:left="562" w:hanging="56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rsid w:val="00396A82"/>
    <w:rPr>
      <w:rFonts w:ascii="Times New Roman" w:eastAsia="Times New Roman" w:hAnsi="Times New Roman" w:cs="Times New Roman"/>
      <w:szCs w:val="20"/>
      <w:lang w:eastAsia="hr"/>
    </w:rPr>
  </w:style>
  <w:style w:type="character" w:customStyle="1" w:styleId="Heading1Char">
    <w:name w:val="Heading 1 Char"/>
    <w:basedOn w:val="DefaultParagraphFont"/>
    <w:link w:val="Heading1"/>
    <w:uiPriority w:val="1"/>
    <w:rsid w:val="00503528"/>
    <w:rPr>
      <w:rFonts w:asciiTheme="majorBidi" w:eastAsia="Times New Roman" w:hAnsiTheme="majorBidi" w:cstheme="majorBidi"/>
      <w:b/>
      <w:bCs/>
      <w:lang w:eastAsia="hr"/>
    </w:rPr>
  </w:style>
  <w:style w:type="table" w:styleId="TableGrid">
    <w:name w:val="Table Grid"/>
    <w:basedOn w:val="TableNormal"/>
    <w:rsid w:val="0031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25CE6"/>
    <w:pPr>
      <w:tabs>
        <w:tab w:val="center" w:pos="4513"/>
        <w:tab w:val="right" w:pos="9026"/>
      </w:tabs>
    </w:pPr>
  </w:style>
  <w:style w:type="character" w:customStyle="1" w:styleId="HeaderChar">
    <w:name w:val="Header Char"/>
    <w:basedOn w:val="DefaultParagraphFont"/>
    <w:link w:val="Header"/>
    <w:uiPriority w:val="99"/>
    <w:rsid w:val="00F25CE6"/>
    <w:rPr>
      <w:rFonts w:ascii="Times New Roman" w:eastAsia="Times New Roman" w:hAnsi="Times New Roman" w:cs="Times New Roman"/>
      <w:lang w:eastAsia="hr"/>
    </w:rPr>
  </w:style>
  <w:style w:type="paragraph" w:styleId="Footer">
    <w:name w:val="footer"/>
    <w:basedOn w:val="Normal"/>
    <w:link w:val="FooterChar"/>
    <w:unhideWhenUsed/>
    <w:rsid w:val="00F25CE6"/>
    <w:pPr>
      <w:tabs>
        <w:tab w:val="center" w:pos="4513"/>
        <w:tab w:val="right" w:pos="9026"/>
      </w:tabs>
    </w:pPr>
  </w:style>
  <w:style w:type="character" w:customStyle="1" w:styleId="FooterChar">
    <w:name w:val="Footer Char"/>
    <w:basedOn w:val="DefaultParagraphFont"/>
    <w:link w:val="Footer"/>
    <w:uiPriority w:val="99"/>
    <w:rsid w:val="00F25CE6"/>
    <w:rPr>
      <w:rFonts w:ascii="Times New Roman" w:eastAsia="Times New Roman" w:hAnsi="Times New Roman" w:cs="Times New Roman"/>
      <w:lang w:eastAsia="hr"/>
    </w:rPr>
  </w:style>
  <w:style w:type="paragraph" w:customStyle="1" w:styleId="Tableheading">
    <w:name w:val="Table heading"/>
    <w:basedOn w:val="Heading1"/>
    <w:uiPriority w:val="1"/>
    <w:qFormat/>
    <w:rsid w:val="00503528"/>
    <w:pPr>
      <w:numPr>
        <w:numId w:val="0"/>
      </w:numPr>
      <w:spacing w:after="60"/>
      <w:ind w:left="1166" w:hanging="1166"/>
    </w:pPr>
  </w:style>
  <w:style w:type="paragraph" w:customStyle="1" w:styleId="Footnote">
    <w:name w:val="Footnote"/>
    <w:basedOn w:val="Normal"/>
    <w:uiPriority w:val="1"/>
    <w:qFormat/>
    <w:rsid w:val="001825EE"/>
    <w:pPr>
      <w:widowControl/>
      <w:ind w:left="360" w:hanging="360"/>
    </w:pPr>
    <w:rPr>
      <w:rFonts w:asciiTheme="majorBidi" w:hAnsiTheme="majorBidi" w:cstheme="majorBidi"/>
      <w:sz w:val="20"/>
      <w:szCs w:val="20"/>
    </w:rPr>
  </w:style>
  <w:style w:type="character" w:customStyle="1" w:styleId="Heading2Char">
    <w:name w:val="Heading 2 Char"/>
    <w:basedOn w:val="DefaultParagraphFont"/>
    <w:link w:val="Heading2"/>
    <w:uiPriority w:val="9"/>
    <w:rsid w:val="00503528"/>
    <w:rPr>
      <w:rFonts w:asciiTheme="majorBidi" w:eastAsia="Times New Roman" w:hAnsiTheme="majorBidi" w:cstheme="majorBidi"/>
      <w:b/>
      <w:lang w:eastAsia="hr"/>
    </w:rPr>
  </w:style>
  <w:style w:type="paragraph" w:customStyle="1" w:styleId="FigureHeading">
    <w:name w:val="Figure Heading"/>
    <w:basedOn w:val="Tableheading"/>
    <w:uiPriority w:val="1"/>
    <w:qFormat/>
    <w:rsid w:val="00CB67D9"/>
    <w:pPr>
      <w:ind w:left="900" w:hanging="900"/>
    </w:pPr>
  </w:style>
  <w:style w:type="character" w:styleId="CommentReference">
    <w:name w:val="annotation reference"/>
    <w:basedOn w:val="DefaultParagraphFont"/>
    <w:unhideWhenUsed/>
    <w:rsid w:val="0052014E"/>
    <w:rPr>
      <w:sz w:val="16"/>
      <w:szCs w:val="16"/>
    </w:rPr>
  </w:style>
  <w:style w:type="paragraph" w:styleId="CommentText">
    <w:name w:val="annotation text"/>
    <w:basedOn w:val="Normal"/>
    <w:link w:val="CommentTextChar"/>
    <w:unhideWhenUsed/>
    <w:rsid w:val="0052014E"/>
    <w:rPr>
      <w:sz w:val="20"/>
      <w:szCs w:val="20"/>
    </w:rPr>
  </w:style>
  <w:style w:type="character" w:customStyle="1" w:styleId="CommentTextChar">
    <w:name w:val="Comment Text Char"/>
    <w:basedOn w:val="DefaultParagraphFont"/>
    <w:link w:val="CommentText"/>
    <w:rsid w:val="0052014E"/>
    <w:rPr>
      <w:rFonts w:ascii="Times New Roman" w:eastAsia="Times New Roman" w:hAnsi="Times New Roman" w:cs="Times New Roman"/>
      <w:sz w:val="20"/>
      <w:szCs w:val="20"/>
      <w:lang w:eastAsia="hr"/>
    </w:rPr>
  </w:style>
  <w:style w:type="paragraph" w:styleId="CommentSubject">
    <w:name w:val="annotation subject"/>
    <w:basedOn w:val="CommentText"/>
    <w:next w:val="CommentText"/>
    <w:link w:val="CommentSubjectChar"/>
    <w:unhideWhenUsed/>
    <w:rsid w:val="0052014E"/>
    <w:rPr>
      <w:b/>
      <w:bCs/>
    </w:rPr>
  </w:style>
  <w:style w:type="character" w:customStyle="1" w:styleId="CommentSubjectChar">
    <w:name w:val="Comment Subject Char"/>
    <w:basedOn w:val="CommentTextChar"/>
    <w:link w:val="CommentSubject"/>
    <w:rsid w:val="0052014E"/>
    <w:rPr>
      <w:rFonts w:ascii="Times New Roman" w:eastAsia="Times New Roman" w:hAnsi="Times New Roman" w:cs="Times New Roman"/>
      <w:b/>
      <w:bCs/>
      <w:sz w:val="20"/>
      <w:szCs w:val="20"/>
      <w:lang w:eastAsia="hr"/>
    </w:rPr>
  </w:style>
  <w:style w:type="paragraph" w:customStyle="1" w:styleId="Default">
    <w:name w:val="Default"/>
    <w:rsid w:val="000B6D7B"/>
    <w:pPr>
      <w:widowControl/>
      <w:adjustRightInd w:val="0"/>
    </w:pPr>
    <w:rPr>
      <w:rFonts w:ascii="Times New Roman" w:eastAsia="SimSun" w:hAnsi="Times New Roman" w:cs="Times New Roman"/>
      <w:color w:val="000000"/>
      <w:sz w:val="24"/>
      <w:szCs w:val="24"/>
      <w:lang w:val="en-US"/>
    </w:rPr>
  </w:style>
  <w:style w:type="paragraph" w:customStyle="1" w:styleId="MemoHeaderStyle">
    <w:name w:val="MemoHeaderStyle"/>
    <w:basedOn w:val="Normal"/>
    <w:next w:val="Normal"/>
    <w:rsid w:val="00C24187"/>
    <w:pPr>
      <w:widowControl/>
      <w:tabs>
        <w:tab w:val="left" w:pos="567"/>
      </w:tabs>
      <w:autoSpaceDE/>
      <w:autoSpaceDN/>
      <w:spacing w:line="120" w:lineRule="atLeast"/>
      <w:ind w:left="1418"/>
      <w:jc w:val="both"/>
    </w:pPr>
    <w:rPr>
      <w:rFonts w:ascii="Arial" w:hAnsi="Arial"/>
      <w:b/>
      <w:smallCaps/>
      <w:szCs w:val="20"/>
      <w:lang w:eastAsia="hr-HR"/>
    </w:rPr>
  </w:style>
  <w:style w:type="character" w:styleId="PageNumber">
    <w:name w:val="page number"/>
    <w:basedOn w:val="DefaultParagraphFont"/>
    <w:rsid w:val="00C24187"/>
  </w:style>
  <w:style w:type="character" w:styleId="Hyperlink">
    <w:name w:val="Hyperlink"/>
    <w:rsid w:val="00C24187"/>
    <w:rPr>
      <w:color w:val="0000FF"/>
      <w:u w:val="single"/>
      <w:lang w:val="hr-HR" w:eastAsia="hr-HR"/>
    </w:rPr>
  </w:style>
  <w:style w:type="paragraph" w:customStyle="1" w:styleId="EMEAEnBodyText">
    <w:name w:val="EMEA En Body Text"/>
    <w:basedOn w:val="Normal"/>
    <w:rsid w:val="00C24187"/>
    <w:pPr>
      <w:widowControl/>
      <w:autoSpaceDE/>
      <w:autoSpaceDN/>
      <w:spacing w:before="120" w:after="120"/>
      <w:jc w:val="both"/>
    </w:pPr>
    <w:rPr>
      <w:szCs w:val="20"/>
      <w:lang w:eastAsia="hr-HR"/>
    </w:rPr>
  </w:style>
  <w:style w:type="paragraph" w:styleId="BalloonText">
    <w:name w:val="Balloon Text"/>
    <w:basedOn w:val="Normal"/>
    <w:link w:val="BalloonTextChar"/>
    <w:semiHidden/>
    <w:rsid w:val="00C24187"/>
    <w:pPr>
      <w:widowControl/>
      <w:tabs>
        <w:tab w:val="left" w:pos="567"/>
      </w:tabs>
      <w:autoSpaceDE/>
      <w:autoSpaceDN/>
      <w:spacing w:line="260" w:lineRule="exact"/>
    </w:pPr>
    <w:rPr>
      <w:rFonts w:ascii="Tahoma" w:hAnsi="Tahoma" w:cs="Tahoma"/>
      <w:sz w:val="16"/>
      <w:szCs w:val="16"/>
      <w:lang w:eastAsia="hr-HR"/>
    </w:rPr>
  </w:style>
  <w:style w:type="character" w:customStyle="1" w:styleId="BalloonTextChar">
    <w:name w:val="Balloon Text Char"/>
    <w:basedOn w:val="DefaultParagraphFont"/>
    <w:link w:val="BalloonText"/>
    <w:semiHidden/>
    <w:rsid w:val="00C24187"/>
    <w:rPr>
      <w:rFonts w:ascii="Tahoma" w:eastAsia="Times New Roman" w:hAnsi="Tahoma" w:cs="Tahoma"/>
      <w:sz w:val="16"/>
      <w:szCs w:val="16"/>
      <w:lang w:val="hr-HR" w:eastAsia="hr-HR"/>
    </w:rPr>
  </w:style>
  <w:style w:type="paragraph" w:customStyle="1" w:styleId="BodytextAgency">
    <w:name w:val="Body text (Agency)"/>
    <w:basedOn w:val="Normal"/>
    <w:link w:val="BodytextAgencyChar"/>
    <w:rsid w:val="00C24187"/>
    <w:pPr>
      <w:widowControl/>
      <w:autoSpaceDE/>
      <w:autoSpaceDN/>
      <w:spacing w:after="140" w:line="280" w:lineRule="atLeast"/>
    </w:pPr>
    <w:rPr>
      <w:rFonts w:ascii="Verdana" w:eastAsia="Verdana" w:hAnsi="Verdana" w:cs="Verdana"/>
      <w:sz w:val="18"/>
      <w:szCs w:val="18"/>
      <w:lang w:eastAsia="hr-HR"/>
    </w:rPr>
  </w:style>
  <w:style w:type="character" w:customStyle="1" w:styleId="BodytextAgencyChar">
    <w:name w:val="Body text (Agency) Char"/>
    <w:link w:val="BodytextAgency"/>
    <w:rsid w:val="00C24187"/>
    <w:rPr>
      <w:rFonts w:ascii="Verdana" w:eastAsia="Verdana" w:hAnsi="Verdana" w:cs="Verdana"/>
      <w:sz w:val="18"/>
      <w:szCs w:val="18"/>
      <w:lang w:val="hr-HR" w:eastAsia="hr-HR"/>
    </w:rPr>
  </w:style>
  <w:style w:type="paragraph" w:customStyle="1" w:styleId="DraftingNotesAgency">
    <w:name w:val="Drafting Notes (Agency)"/>
    <w:basedOn w:val="Normal"/>
    <w:next w:val="BodytextAgency"/>
    <w:link w:val="DraftingNotesAgencyChar"/>
    <w:rsid w:val="00C24187"/>
    <w:pPr>
      <w:widowControl/>
      <w:autoSpaceDE/>
      <w:autoSpaceDN/>
      <w:spacing w:after="140" w:line="280" w:lineRule="atLeast"/>
    </w:pPr>
    <w:rPr>
      <w:rFonts w:ascii="Courier New" w:eastAsia="Verdana" w:hAnsi="Courier New"/>
      <w:i/>
      <w:color w:val="339966"/>
      <w:szCs w:val="18"/>
      <w:lang w:eastAsia="hr-HR"/>
    </w:rPr>
  </w:style>
  <w:style w:type="character" w:customStyle="1" w:styleId="DraftingNotesAgencyChar">
    <w:name w:val="Drafting Notes (Agency) Char"/>
    <w:link w:val="DraftingNotesAgency"/>
    <w:rsid w:val="00C24187"/>
    <w:rPr>
      <w:rFonts w:ascii="Courier New" w:eastAsia="Verdana" w:hAnsi="Courier New" w:cs="Times New Roman"/>
      <w:i/>
      <w:color w:val="339966"/>
      <w:szCs w:val="18"/>
      <w:lang w:val="hr-HR" w:eastAsia="hr-HR"/>
    </w:rPr>
  </w:style>
  <w:style w:type="paragraph" w:customStyle="1" w:styleId="NormalAgency">
    <w:name w:val="Normal (Agency)"/>
    <w:link w:val="NormalAgencyChar"/>
    <w:rsid w:val="00C24187"/>
    <w:pPr>
      <w:widowControl/>
      <w:autoSpaceDE/>
      <w:autoSpaceDN/>
    </w:pPr>
    <w:rPr>
      <w:rFonts w:ascii="Verdana" w:eastAsia="Verdana" w:hAnsi="Verdana" w:cs="Verdana"/>
      <w:sz w:val="18"/>
      <w:szCs w:val="18"/>
      <w:lang w:val="hr-HR" w:eastAsia="hr-HR"/>
    </w:rPr>
  </w:style>
  <w:style w:type="table" w:customStyle="1" w:styleId="TablegridAgencyblack">
    <w:name w:val="Table grid (Agency) black"/>
    <w:basedOn w:val="TableNormal"/>
    <w:semiHidden/>
    <w:rsid w:val="00C24187"/>
    <w:pPr>
      <w:widowControl/>
      <w:autoSpaceDE/>
      <w:autoSpaceDN/>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24187"/>
    <w:pPr>
      <w:keepNext/>
    </w:pPr>
    <w:rPr>
      <w:rFonts w:eastAsia="Times New Roman"/>
      <w:b/>
    </w:rPr>
  </w:style>
  <w:style w:type="paragraph" w:customStyle="1" w:styleId="TabletextrowsAgency">
    <w:name w:val="Table text rows (Agency)"/>
    <w:basedOn w:val="Normal"/>
    <w:rsid w:val="00C24187"/>
    <w:pPr>
      <w:widowControl/>
      <w:autoSpaceDE/>
      <w:autoSpaceDN/>
      <w:spacing w:line="280" w:lineRule="exact"/>
    </w:pPr>
    <w:rPr>
      <w:rFonts w:ascii="Verdana" w:hAnsi="Verdana" w:cs="Verdana"/>
      <w:sz w:val="18"/>
      <w:szCs w:val="18"/>
      <w:lang w:eastAsia="hr-HR"/>
    </w:rPr>
  </w:style>
  <w:style w:type="character" w:customStyle="1" w:styleId="NormalAgencyChar">
    <w:name w:val="Normal (Agency) Char"/>
    <w:link w:val="NormalAgency"/>
    <w:rsid w:val="00C24187"/>
    <w:rPr>
      <w:rFonts w:ascii="Verdana" w:eastAsia="Verdana" w:hAnsi="Verdana" w:cs="Verdana"/>
      <w:sz w:val="18"/>
      <w:szCs w:val="18"/>
      <w:lang w:val="hr-HR" w:eastAsia="hr-HR"/>
    </w:rPr>
  </w:style>
  <w:style w:type="paragraph" w:styleId="Revision">
    <w:name w:val="Revision"/>
    <w:hidden/>
    <w:uiPriority w:val="99"/>
    <w:semiHidden/>
    <w:rsid w:val="00C24187"/>
    <w:pPr>
      <w:widowControl/>
      <w:autoSpaceDE/>
      <w:autoSpaceDN/>
    </w:pPr>
    <w:rPr>
      <w:rFonts w:ascii="Times New Roman" w:eastAsia="Times New Roman" w:hAnsi="Times New Roman" w:cs="Times New Roman"/>
      <w:szCs w:val="20"/>
      <w:lang w:val="hr-HR" w:eastAsia="hr-HR"/>
    </w:rPr>
  </w:style>
  <w:style w:type="character" w:styleId="LineNumber">
    <w:name w:val="line number"/>
    <w:rsid w:val="00C24187"/>
  </w:style>
  <w:style w:type="character" w:customStyle="1" w:styleId="UnresolvedMention1">
    <w:name w:val="Unresolved Mention1"/>
    <w:basedOn w:val="DefaultParagraphFont"/>
    <w:uiPriority w:val="99"/>
    <w:semiHidden/>
    <w:unhideWhenUsed/>
    <w:rsid w:val="00416B4E"/>
    <w:rPr>
      <w:color w:val="605E5C"/>
      <w:shd w:val="clear" w:color="auto" w:fill="E1DFDD"/>
    </w:rPr>
  </w:style>
  <w:style w:type="character" w:styleId="FollowedHyperlink">
    <w:name w:val="FollowedHyperlink"/>
    <w:basedOn w:val="DefaultParagraphFont"/>
    <w:uiPriority w:val="99"/>
    <w:semiHidden/>
    <w:unhideWhenUsed/>
    <w:rsid w:val="00A208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34032">
      <w:bodyDiv w:val="1"/>
      <w:marLeft w:val="0"/>
      <w:marRight w:val="0"/>
      <w:marTop w:val="0"/>
      <w:marBottom w:val="0"/>
      <w:divBdr>
        <w:top w:val="none" w:sz="0" w:space="0" w:color="auto"/>
        <w:left w:val="none" w:sz="0" w:space="0" w:color="auto"/>
        <w:bottom w:val="none" w:sz="0" w:space="0" w:color="auto"/>
        <w:right w:val="none" w:sz="0" w:space="0" w:color="auto"/>
      </w:divBdr>
    </w:div>
    <w:div w:id="92315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0.jpg"/><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3.png"/><Relationship Id="rId32" Type="http://schemas.openxmlformats.org/officeDocument/2006/relationships/hyperlink" Target="https://www.ema.europa.eu." TargetMode="Externa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s://www.ema.europa.eu." TargetMode="Externa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EMADOC-1700519818-2887326</_dlc_DocId>
    <_dlc_DocIdUrl xmlns="a034c160-bfb7-45f5-8632-2eb7e0508071">
      <Url>https://euema.sharepoint.com/sites/CRM/_layouts/15/DocIdRedir.aspx?ID=EMADOC-1700519818-2887326</Url>
      <Description>EMADOC-1700519818-2887326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CE09AC-6AA2-4886-A69B-A312BE45A7BA}">
  <ds:schemaRefs>
    <ds:schemaRef ds:uri="http://purl.org/dc/terms/"/>
    <ds:schemaRef ds:uri="http://schemas.openxmlformats.org/package/2006/metadata/core-properties"/>
    <ds:schemaRef ds:uri="http://schemas.microsoft.com/office/2006/documentManagement/types"/>
    <ds:schemaRef ds:uri="3f43a7e4-0095-4210-ba90-3b106b2b745d"/>
    <ds:schemaRef ds:uri="http://schemas.microsoft.com/office/infopath/2007/PartnerControls"/>
    <ds:schemaRef ds:uri="http://schemas.microsoft.com/office/2006/metadata/properties"/>
    <ds:schemaRef ds:uri="http://purl.org/dc/elements/1.1/"/>
    <ds:schemaRef ds:uri="15b730e8-ef52-47c0-882f-c114b1201c56"/>
    <ds:schemaRef ds:uri="http://www.w3.org/XML/1998/namespace"/>
    <ds:schemaRef ds:uri="http://purl.org/dc/dcmitype/"/>
  </ds:schemaRefs>
</ds:datastoreItem>
</file>

<file path=customXml/itemProps2.xml><?xml version="1.0" encoding="utf-8"?>
<ds:datastoreItem xmlns:ds="http://schemas.openxmlformats.org/officeDocument/2006/customXml" ds:itemID="{A754F775-7DE2-4A87-9D75-667B751E7518}">
  <ds:schemaRefs>
    <ds:schemaRef ds:uri="http://schemas.microsoft.com/sharepoint/v3/contenttype/forms"/>
  </ds:schemaRefs>
</ds:datastoreItem>
</file>

<file path=customXml/itemProps3.xml><?xml version="1.0" encoding="utf-8"?>
<ds:datastoreItem xmlns:ds="http://schemas.openxmlformats.org/officeDocument/2006/customXml" ds:itemID="{B428D3A9-A6A2-40BF-97A6-9D7A30867BBD}"/>
</file>

<file path=customXml/itemProps4.xml><?xml version="1.0" encoding="utf-8"?>
<ds:datastoreItem xmlns:ds="http://schemas.openxmlformats.org/officeDocument/2006/customXml" ds:itemID="{9B64B828-834F-4B6D-A06A-2F6B7F164A32}">
  <ds:schemaRefs>
    <ds:schemaRef ds:uri="http://schemas.openxmlformats.org/officeDocument/2006/bibliography"/>
  </ds:schemaRefs>
</ds:datastoreItem>
</file>

<file path=customXml/itemProps5.xml><?xml version="1.0" encoding="utf-8"?>
<ds:datastoreItem xmlns:ds="http://schemas.openxmlformats.org/officeDocument/2006/customXml" ds:itemID="{EFC4F931-0467-4ABD-AE2B-5775FFE85971}"/>
</file>

<file path=docProps/app.xml><?xml version="1.0" encoding="utf-8"?>
<Properties xmlns="http://schemas.openxmlformats.org/officeDocument/2006/extended-properties" xmlns:vt="http://schemas.openxmlformats.org/officeDocument/2006/docPropsVTypes">
  <Template>Normal</Template>
  <TotalTime>2220</TotalTime>
  <Pages>71</Pages>
  <Words>23892</Words>
  <Characters>136191</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Sprycel, INN-dasatinib</vt:lpstr>
    </vt:vector>
  </TitlesOfParts>
  <Company/>
  <LinksUpToDate>false</LinksUpToDate>
  <CharactersWithSpaces>159764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EPAR – Product information – tracked changes</dc:title>
  <dc:subject>EPAR</dc:subject>
  <dc:creator>CHMP</dc:creator>
  <cp:keywords>Dasatinib Accord, INN-dasatinib</cp:keywords>
  <cp:lastModifiedBy>Shalu Jha</cp:lastModifiedBy>
  <cp:revision>320</cp:revision>
  <dcterms:created xsi:type="dcterms:W3CDTF">2021-02-17T11:26:00Z</dcterms:created>
  <dcterms:modified xsi:type="dcterms:W3CDTF">2026-01-17T08:13:00Z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391ac4e1-2a03-4e8c-abbf-9fcce9fc8fe1</vt:lpwstr>
  </property>
</Properties>
</file>